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7F79C16">
      <w:pPr>
        <w:wordWrap w:val="0"/>
        <w:spacing w:line="360" w:lineRule="auto"/>
        <w:ind w:right="105"/>
        <w:jc w:val="right"/>
        <w:rPr>
          <w:b/>
          <w:color w:val="auto"/>
          <w:sz w:val="28"/>
          <w:szCs w:val="28"/>
          <w:highlight w:val="none"/>
        </w:rPr>
      </w:pPr>
      <w:bookmarkStart w:id="380" w:name="_GoBack"/>
    </w:p>
    <w:p w14:paraId="6186ACBF">
      <w:pPr>
        <w:wordWrap w:val="0"/>
        <w:spacing w:line="360" w:lineRule="auto"/>
        <w:jc w:val="right"/>
        <w:rPr>
          <w:b/>
          <w:color w:val="auto"/>
          <w:sz w:val="28"/>
          <w:szCs w:val="28"/>
          <w:highlight w:val="none"/>
        </w:rPr>
      </w:pPr>
    </w:p>
    <w:p w14:paraId="202634E2">
      <w:pPr>
        <w:spacing w:line="360" w:lineRule="auto"/>
        <w:ind w:right="720" w:firstLine="480" w:firstLineChars="200"/>
        <w:jc w:val="right"/>
        <w:rPr>
          <w:color w:val="auto"/>
          <w:sz w:val="24"/>
          <w:highlight w:val="none"/>
        </w:rPr>
      </w:pPr>
    </w:p>
    <w:p w14:paraId="53DECC85">
      <w:pPr>
        <w:pStyle w:val="50"/>
        <w:ind w:firstLine="200"/>
        <w:rPr>
          <w:color w:val="auto"/>
          <w:highlight w:val="none"/>
        </w:rPr>
      </w:pPr>
    </w:p>
    <w:p w14:paraId="28FA31DA">
      <w:pPr>
        <w:adjustRightInd/>
        <w:snapToGrid w:val="0"/>
        <w:ind w:firstLine="0" w:firstLineChars="0"/>
        <w:jc w:val="center"/>
        <w:textAlignment w:val="auto"/>
        <w:rPr>
          <w:rFonts w:hint="eastAsia"/>
          <w:b/>
          <w:color w:val="auto"/>
          <w:kern w:val="2"/>
          <w:sz w:val="48"/>
          <w:szCs w:val="48"/>
          <w:highlight w:val="none"/>
          <w:lang w:val="en-US" w:eastAsia="zh-CN"/>
        </w:rPr>
      </w:pPr>
      <w:bookmarkStart w:id="0" w:name="OLE_LINK56"/>
      <w:r>
        <w:rPr>
          <w:rFonts w:hint="eastAsia"/>
          <w:b/>
          <w:color w:val="auto"/>
          <w:kern w:val="2"/>
          <w:sz w:val="48"/>
          <w:szCs w:val="48"/>
          <w:highlight w:val="none"/>
          <w:lang w:val="en-US" w:eastAsia="zh-CN"/>
        </w:rPr>
        <w:t>台州临港热有限公司扩建项目</w:t>
      </w:r>
    </w:p>
    <w:p w14:paraId="2D992CFE">
      <w:pPr>
        <w:adjustRightInd/>
        <w:snapToGrid w:val="0"/>
        <w:ind w:firstLine="0" w:firstLineChars="0"/>
        <w:jc w:val="both"/>
        <w:textAlignment w:val="auto"/>
        <w:rPr>
          <w:rFonts w:hint="eastAsia" w:ascii="宋体" w:hAnsi="宋体" w:eastAsia="宋体" w:cs="宋体"/>
          <w:b/>
          <w:bCs/>
          <w:color w:val="auto"/>
          <w:sz w:val="40"/>
          <w:szCs w:val="40"/>
          <w:highlight w:val="none"/>
        </w:rPr>
      </w:pPr>
    </w:p>
    <w:p w14:paraId="78AA1BD6">
      <w:pPr>
        <w:adjustRightInd/>
        <w:snapToGrid w:val="0"/>
        <w:ind w:firstLine="0" w:firstLineChars="0"/>
        <w:jc w:val="center"/>
        <w:textAlignment w:val="auto"/>
        <w:rPr>
          <w:rFonts w:hint="eastAsia"/>
          <w:b/>
          <w:bCs/>
          <w:color w:val="auto"/>
          <w:sz w:val="40"/>
          <w:szCs w:val="40"/>
          <w:highlight w:val="none"/>
        </w:rPr>
      </w:pPr>
    </w:p>
    <w:p w14:paraId="0503CB66">
      <w:pPr>
        <w:adjustRightInd/>
        <w:snapToGrid w:val="0"/>
        <w:ind w:firstLine="0" w:firstLineChars="0"/>
        <w:jc w:val="center"/>
        <w:textAlignment w:val="auto"/>
        <w:rPr>
          <w:rFonts w:hint="eastAsia"/>
          <w:b/>
          <w:bCs/>
          <w:color w:val="auto"/>
          <w:sz w:val="40"/>
          <w:szCs w:val="40"/>
          <w:highlight w:val="none"/>
        </w:rPr>
      </w:pPr>
    </w:p>
    <w:p w14:paraId="119D1BD7">
      <w:pPr>
        <w:adjustRightInd/>
        <w:snapToGrid w:val="0"/>
        <w:ind w:firstLine="1767" w:firstLineChars="400"/>
        <w:jc w:val="both"/>
        <w:textAlignment w:val="auto"/>
        <w:rPr>
          <w:rFonts w:hint="eastAsia"/>
          <w:b/>
          <w:color w:val="auto"/>
          <w:kern w:val="2"/>
          <w:sz w:val="44"/>
          <w:szCs w:val="44"/>
          <w:highlight w:val="none"/>
          <w:lang w:val="en-US" w:eastAsia="zh-CN"/>
        </w:rPr>
      </w:pPr>
      <w:r>
        <w:rPr>
          <w:rFonts w:hint="eastAsia"/>
          <w:b/>
          <w:color w:val="auto"/>
          <w:kern w:val="2"/>
          <w:sz w:val="44"/>
          <w:szCs w:val="44"/>
          <w:highlight w:val="none"/>
          <w:lang w:val="en-US" w:eastAsia="zh-CN"/>
        </w:rPr>
        <w:t>烟气脱硫系统技术规范书</w:t>
      </w:r>
    </w:p>
    <w:p w14:paraId="5D65DB1B">
      <w:pPr>
        <w:rPr>
          <w:color w:val="auto"/>
          <w:highlight w:val="none"/>
        </w:rPr>
      </w:pPr>
    </w:p>
    <w:p w14:paraId="08E5227F">
      <w:pPr>
        <w:jc w:val="center"/>
        <w:rPr>
          <w:rFonts w:hint="eastAsia" w:ascii="宋体" w:hAnsi="宋体" w:eastAsia="宋体" w:cs="宋体"/>
          <w:b/>
          <w:color w:val="auto"/>
          <w:sz w:val="32"/>
          <w:szCs w:val="32"/>
          <w:highlight w:val="none"/>
        </w:rPr>
      </w:pPr>
    </w:p>
    <w:p w14:paraId="40276F67">
      <w:pPr>
        <w:keepNext w:val="0"/>
        <w:keepLines w:val="0"/>
        <w:pageBreakBefore w:val="0"/>
        <w:widowControl w:val="0"/>
        <w:kinsoku/>
        <w:wordWrap/>
        <w:overflowPunct/>
        <w:topLinePunct w:val="0"/>
        <w:autoSpaceDE/>
        <w:autoSpaceDN/>
        <w:bidi w:val="0"/>
        <w:adjustRightInd w:val="0"/>
        <w:snapToGrid w:val="0"/>
        <w:spacing w:line="360" w:lineRule="auto"/>
        <w:ind w:firstLine="3000" w:firstLineChars="1000"/>
        <w:jc w:val="left"/>
        <w:textAlignment w:val="auto"/>
        <w:rPr>
          <w:rFonts w:hint="eastAsia" w:ascii="宋体" w:hAnsi="宋体" w:eastAsia="宋体" w:cs="宋体"/>
          <w:color w:val="auto"/>
          <w:sz w:val="30"/>
          <w:szCs w:val="30"/>
          <w:highlight w:val="none"/>
          <w:u w:val="single"/>
          <w:lang w:val="en-US" w:eastAsia="zh-CN"/>
        </w:rPr>
      </w:pPr>
      <w:r>
        <w:rPr>
          <w:rFonts w:hint="eastAsia" w:ascii="宋体" w:hAnsi="宋体" w:eastAsia="宋体" w:cs="宋体"/>
          <w:color w:val="auto"/>
          <w:sz w:val="30"/>
          <w:szCs w:val="30"/>
          <w:highlight w:val="none"/>
        </w:rPr>
        <w:t>编写</w:t>
      </w:r>
      <w:r>
        <w:rPr>
          <w:rFonts w:hint="eastAsia" w:ascii="宋体" w:hAnsi="宋体" w:eastAsia="宋体" w:cs="宋体"/>
          <w:color w:val="auto"/>
          <w:sz w:val="30"/>
          <w:szCs w:val="30"/>
          <w:highlight w:val="none"/>
          <w:u w:val="single"/>
          <w:lang w:val="en-US" w:eastAsia="zh-CN"/>
        </w:rPr>
        <w:t xml:space="preserve">            </w:t>
      </w:r>
    </w:p>
    <w:p w14:paraId="7D2CA8D7">
      <w:pPr>
        <w:keepNext w:val="0"/>
        <w:keepLines w:val="0"/>
        <w:pageBreakBefore w:val="0"/>
        <w:widowControl w:val="0"/>
        <w:kinsoku/>
        <w:wordWrap/>
        <w:overflowPunct/>
        <w:topLinePunct w:val="0"/>
        <w:autoSpaceDE/>
        <w:autoSpaceDN/>
        <w:bidi w:val="0"/>
        <w:adjustRightInd w:val="0"/>
        <w:snapToGrid w:val="0"/>
        <w:spacing w:line="360" w:lineRule="auto"/>
        <w:ind w:firstLine="3000" w:firstLineChars="1000"/>
        <w:jc w:val="left"/>
        <w:textAlignment w:val="auto"/>
        <w:rPr>
          <w:rFonts w:hint="eastAsia" w:ascii="宋体" w:hAnsi="宋体" w:eastAsia="宋体" w:cs="宋体"/>
          <w:color w:val="auto"/>
          <w:sz w:val="30"/>
          <w:szCs w:val="30"/>
          <w:highlight w:val="none"/>
        </w:rPr>
      </w:pPr>
    </w:p>
    <w:p w14:paraId="16E9C423">
      <w:pPr>
        <w:keepNext w:val="0"/>
        <w:keepLines w:val="0"/>
        <w:pageBreakBefore w:val="0"/>
        <w:widowControl w:val="0"/>
        <w:kinsoku/>
        <w:wordWrap/>
        <w:overflowPunct/>
        <w:topLinePunct w:val="0"/>
        <w:autoSpaceDE/>
        <w:autoSpaceDN/>
        <w:bidi w:val="0"/>
        <w:adjustRightInd w:val="0"/>
        <w:snapToGrid w:val="0"/>
        <w:spacing w:line="360" w:lineRule="auto"/>
        <w:ind w:firstLine="3000" w:firstLineChars="1000"/>
        <w:jc w:val="left"/>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会审</w:t>
      </w:r>
      <w:r>
        <w:rPr>
          <w:rFonts w:hint="eastAsia" w:ascii="宋体" w:hAnsi="宋体" w:eastAsia="宋体" w:cs="宋体"/>
          <w:color w:val="auto"/>
          <w:sz w:val="30"/>
          <w:szCs w:val="30"/>
          <w:highlight w:val="none"/>
          <w:u w:val="single"/>
          <w:lang w:val="en-US" w:eastAsia="zh-CN"/>
        </w:rPr>
        <w:t xml:space="preserve">            </w:t>
      </w:r>
    </w:p>
    <w:p w14:paraId="4588440F">
      <w:pPr>
        <w:keepNext w:val="0"/>
        <w:keepLines w:val="0"/>
        <w:pageBreakBefore w:val="0"/>
        <w:widowControl w:val="0"/>
        <w:kinsoku/>
        <w:wordWrap/>
        <w:overflowPunct/>
        <w:topLinePunct w:val="0"/>
        <w:autoSpaceDE/>
        <w:autoSpaceDN/>
        <w:bidi w:val="0"/>
        <w:adjustRightInd w:val="0"/>
        <w:snapToGrid w:val="0"/>
        <w:spacing w:line="360" w:lineRule="auto"/>
        <w:ind w:firstLine="3000" w:firstLineChars="1000"/>
        <w:jc w:val="left"/>
        <w:textAlignment w:val="auto"/>
        <w:rPr>
          <w:rFonts w:hint="eastAsia" w:ascii="宋体" w:hAnsi="宋体" w:eastAsia="宋体" w:cs="宋体"/>
          <w:color w:val="auto"/>
          <w:sz w:val="30"/>
          <w:szCs w:val="30"/>
          <w:highlight w:val="none"/>
        </w:rPr>
      </w:pPr>
    </w:p>
    <w:p w14:paraId="2E8068C1">
      <w:pPr>
        <w:keepNext w:val="0"/>
        <w:keepLines w:val="0"/>
        <w:pageBreakBefore w:val="0"/>
        <w:widowControl w:val="0"/>
        <w:kinsoku/>
        <w:wordWrap/>
        <w:overflowPunct/>
        <w:topLinePunct w:val="0"/>
        <w:autoSpaceDE/>
        <w:autoSpaceDN/>
        <w:bidi w:val="0"/>
        <w:adjustRightInd w:val="0"/>
        <w:snapToGrid w:val="0"/>
        <w:spacing w:line="360" w:lineRule="auto"/>
        <w:ind w:firstLine="3000" w:firstLineChars="1000"/>
        <w:jc w:val="left"/>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审</w:t>
      </w:r>
      <w:r>
        <w:rPr>
          <w:rFonts w:hint="eastAsia" w:ascii="宋体" w:hAnsi="宋体" w:eastAsia="宋体" w:cs="宋体"/>
          <w:color w:val="auto"/>
          <w:sz w:val="30"/>
          <w:szCs w:val="30"/>
          <w:highlight w:val="none"/>
          <w:lang w:val="en-US" w:eastAsia="zh-CN"/>
        </w:rPr>
        <w:t>核</w:t>
      </w:r>
      <w:r>
        <w:rPr>
          <w:rFonts w:hint="eastAsia" w:ascii="宋体" w:hAnsi="宋体" w:eastAsia="宋体" w:cs="宋体"/>
          <w:color w:val="auto"/>
          <w:sz w:val="30"/>
          <w:szCs w:val="30"/>
          <w:highlight w:val="none"/>
          <w:u w:val="single"/>
          <w:lang w:val="en-US" w:eastAsia="zh-CN"/>
        </w:rPr>
        <w:t xml:space="preserve">            </w:t>
      </w:r>
    </w:p>
    <w:p w14:paraId="3C1A78C1">
      <w:pPr>
        <w:keepNext w:val="0"/>
        <w:keepLines w:val="0"/>
        <w:pageBreakBefore w:val="0"/>
        <w:widowControl w:val="0"/>
        <w:kinsoku/>
        <w:wordWrap/>
        <w:overflowPunct/>
        <w:topLinePunct w:val="0"/>
        <w:autoSpaceDE/>
        <w:autoSpaceDN/>
        <w:bidi w:val="0"/>
        <w:adjustRightInd w:val="0"/>
        <w:snapToGrid w:val="0"/>
        <w:spacing w:line="360" w:lineRule="auto"/>
        <w:ind w:firstLine="3000" w:firstLineChars="1000"/>
        <w:jc w:val="left"/>
        <w:textAlignment w:val="auto"/>
        <w:rPr>
          <w:rFonts w:hint="eastAsia" w:ascii="宋体" w:hAnsi="宋体" w:eastAsia="宋体" w:cs="宋体"/>
          <w:color w:val="auto"/>
          <w:sz w:val="30"/>
          <w:szCs w:val="30"/>
          <w:highlight w:val="none"/>
        </w:rPr>
      </w:pPr>
    </w:p>
    <w:p w14:paraId="33B911FC">
      <w:pPr>
        <w:ind w:firstLine="3000" w:firstLineChars="1000"/>
        <w:jc w:val="both"/>
        <w:rPr>
          <w:bCs/>
          <w:color w:val="auto"/>
          <w:sz w:val="28"/>
          <w:szCs w:val="28"/>
          <w:highlight w:val="none"/>
        </w:rPr>
      </w:pPr>
      <w:r>
        <w:rPr>
          <w:rFonts w:hint="eastAsia" w:ascii="宋体" w:hAnsi="宋体" w:eastAsia="宋体" w:cs="宋体"/>
          <w:color w:val="auto"/>
          <w:sz w:val="30"/>
          <w:szCs w:val="30"/>
          <w:highlight w:val="none"/>
        </w:rPr>
        <w:t>批准</w:t>
      </w:r>
      <w:r>
        <w:rPr>
          <w:rFonts w:hint="eastAsia" w:ascii="宋体" w:hAnsi="宋体" w:eastAsia="宋体" w:cs="宋体"/>
          <w:color w:val="auto"/>
          <w:sz w:val="30"/>
          <w:szCs w:val="30"/>
          <w:highlight w:val="none"/>
          <w:u w:val="single"/>
          <w:lang w:val="en-US" w:eastAsia="zh-CN"/>
        </w:rPr>
        <w:t xml:space="preserve">            </w:t>
      </w:r>
    </w:p>
    <w:p w14:paraId="19AFE32C">
      <w:pPr>
        <w:pStyle w:val="50"/>
        <w:ind w:left="0" w:leftChars="0" w:firstLine="0" w:firstLineChars="0"/>
        <w:rPr>
          <w:color w:val="auto"/>
          <w:highlight w:val="none"/>
        </w:rPr>
      </w:pPr>
      <w:bookmarkStart w:id="1" w:name="_Toc42048216"/>
    </w:p>
    <w:p w14:paraId="49FAAE68">
      <w:pPr>
        <w:pStyle w:val="50"/>
        <w:ind w:firstLine="200"/>
        <w:rPr>
          <w:color w:val="auto"/>
          <w:highlight w:val="none"/>
        </w:rPr>
      </w:pPr>
    </w:p>
    <w:p w14:paraId="233C5846">
      <w:pPr>
        <w:pStyle w:val="50"/>
        <w:ind w:left="0" w:leftChars="0" w:firstLine="0" w:firstLineChars="0"/>
        <w:rPr>
          <w:rFonts w:hint="eastAsia"/>
          <w:color w:val="auto"/>
          <w:highlight w:val="none"/>
        </w:rPr>
      </w:pPr>
    </w:p>
    <w:p w14:paraId="26A87C99">
      <w:pPr>
        <w:pStyle w:val="50"/>
        <w:ind w:firstLine="200"/>
        <w:rPr>
          <w:rFonts w:hint="eastAsia"/>
          <w:color w:val="auto"/>
          <w:highlight w:val="none"/>
        </w:rPr>
      </w:pPr>
    </w:p>
    <w:p w14:paraId="7CBCA511">
      <w:pPr>
        <w:jc w:val="center"/>
        <w:rPr>
          <w:rFonts w:hint="eastAsia" w:cs="Arial"/>
          <w:b/>
          <w:color w:val="auto"/>
          <w:sz w:val="32"/>
          <w:szCs w:val="32"/>
          <w:highlight w:val="none"/>
        </w:rPr>
      </w:pPr>
      <w:r>
        <w:rPr>
          <w:rFonts w:hint="eastAsia" w:cs="Arial"/>
          <w:b/>
          <w:color w:val="auto"/>
          <w:sz w:val="32"/>
          <w:szCs w:val="32"/>
          <w:highlight w:val="none"/>
        </w:rPr>
        <w:t>202</w:t>
      </w:r>
      <w:r>
        <w:rPr>
          <w:rFonts w:hint="eastAsia" w:cs="Arial"/>
          <w:b/>
          <w:color w:val="auto"/>
          <w:sz w:val="32"/>
          <w:szCs w:val="32"/>
          <w:highlight w:val="none"/>
          <w:lang w:val="en-US" w:eastAsia="zh-CN"/>
        </w:rPr>
        <w:t>5</w:t>
      </w:r>
      <w:r>
        <w:rPr>
          <w:rFonts w:hint="eastAsia" w:cs="Arial"/>
          <w:b/>
          <w:color w:val="auto"/>
          <w:sz w:val="32"/>
          <w:szCs w:val="32"/>
          <w:highlight w:val="none"/>
        </w:rPr>
        <w:t>年</w:t>
      </w:r>
      <w:r>
        <w:rPr>
          <w:rFonts w:hint="eastAsia" w:cs="Arial"/>
          <w:b/>
          <w:color w:val="auto"/>
          <w:sz w:val="32"/>
          <w:szCs w:val="32"/>
          <w:highlight w:val="none"/>
          <w:lang w:val="en-US" w:eastAsia="zh-CN"/>
        </w:rPr>
        <w:t>9</w:t>
      </w:r>
      <w:r>
        <w:rPr>
          <w:rFonts w:hint="eastAsia" w:cs="Arial"/>
          <w:b/>
          <w:color w:val="auto"/>
          <w:sz w:val="32"/>
          <w:szCs w:val="32"/>
          <w:highlight w:val="none"/>
        </w:rPr>
        <w:t>月</w:t>
      </w:r>
    </w:p>
    <w:p w14:paraId="4346F99A">
      <w:pPr>
        <w:pStyle w:val="42"/>
        <w:tabs>
          <w:tab w:val="right" w:leader="dot" w:pos="8777"/>
        </w:tabs>
        <w:ind w:left="0"/>
        <w:jc w:val="center"/>
        <w:rPr>
          <w:b/>
          <w:color w:val="auto"/>
          <w:sz w:val="32"/>
          <w:szCs w:val="32"/>
          <w:highlight w:val="none"/>
        </w:rPr>
      </w:pPr>
    </w:p>
    <w:p w14:paraId="1F35662D">
      <w:pPr>
        <w:rPr>
          <w:b/>
          <w:color w:val="auto"/>
          <w:sz w:val="32"/>
          <w:szCs w:val="32"/>
          <w:highlight w:val="none"/>
        </w:rPr>
      </w:pPr>
    </w:p>
    <w:p w14:paraId="6B3EDA6C">
      <w:pPr>
        <w:rPr>
          <w:b/>
          <w:color w:val="auto"/>
          <w:sz w:val="32"/>
          <w:szCs w:val="32"/>
          <w:highlight w:val="none"/>
        </w:rPr>
      </w:pPr>
    </w:p>
    <w:p w14:paraId="3FB72AC7">
      <w:pPr>
        <w:rPr>
          <w:b/>
          <w:color w:val="auto"/>
          <w:sz w:val="32"/>
          <w:szCs w:val="32"/>
          <w:highlight w:val="none"/>
        </w:rPr>
      </w:pPr>
    </w:p>
    <w:p w14:paraId="0E565F2C">
      <w:pPr>
        <w:rPr>
          <w:b/>
          <w:color w:val="auto"/>
          <w:sz w:val="32"/>
          <w:szCs w:val="32"/>
          <w:highlight w:val="none"/>
        </w:rPr>
      </w:pPr>
    </w:p>
    <w:p w14:paraId="5B7B6A68">
      <w:pPr>
        <w:rPr>
          <w:b/>
          <w:color w:val="auto"/>
          <w:sz w:val="32"/>
          <w:szCs w:val="32"/>
          <w:highlight w:val="none"/>
        </w:rPr>
      </w:pPr>
    </w:p>
    <w:bookmarkEnd w:id="0"/>
    <w:p w14:paraId="05FC42AA">
      <w:pPr>
        <w:rPr>
          <w:b/>
          <w:color w:val="auto"/>
          <w:sz w:val="32"/>
          <w:szCs w:val="32"/>
          <w:highlight w:val="none"/>
        </w:rPr>
      </w:pPr>
    </w:p>
    <w:p w14:paraId="2FB8C5F4">
      <w:pPr>
        <w:pStyle w:val="42"/>
        <w:tabs>
          <w:tab w:val="right" w:leader="dot" w:pos="8777"/>
        </w:tabs>
        <w:ind w:left="0"/>
        <w:jc w:val="both"/>
        <w:rPr>
          <w:b/>
          <w:color w:val="auto"/>
          <w:sz w:val="32"/>
          <w:szCs w:val="32"/>
          <w:highlight w:val="none"/>
        </w:rPr>
      </w:pPr>
    </w:p>
    <w:p w14:paraId="54FA87A9">
      <w:pPr>
        <w:pStyle w:val="42"/>
        <w:tabs>
          <w:tab w:val="right" w:leader="dot" w:pos="8777"/>
        </w:tabs>
        <w:ind w:left="0"/>
        <w:jc w:val="center"/>
        <w:rPr>
          <w:b/>
          <w:color w:val="auto"/>
          <w:sz w:val="32"/>
          <w:szCs w:val="32"/>
          <w:highlight w:val="none"/>
        </w:rPr>
      </w:pPr>
      <w:r>
        <w:rPr>
          <w:b/>
          <w:color w:val="auto"/>
          <w:sz w:val="32"/>
          <w:szCs w:val="32"/>
          <w:highlight w:val="none"/>
        </w:rPr>
        <w:t>目</w:t>
      </w:r>
      <w:r>
        <w:rPr>
          <w:rFonts w:hint="eastAsia"/>
          <w:b/>
          <w:color w:val="auto"/>
          <w:sz w:val="32"/>
          <w:szCs w:val="32"/>
          <w:highlight w:val="none"/>
        </w:rPr>
        <w:t xml:space="preserve"> </w:t>
      </w:r>
      <w:r>
        <w:rPr>
          <w:b/>
          <w:color w:val="auto"/>
          <w:sz w:val="32"/>
          <w:szCs w:val="32"/>
          <w:highlight w:val="none"/>
        </w:rPr>
        <w:t>录</w:t>
      </w:r>
    </w:p>
    <w:p w14:paraId="54C0DD79">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highlight w:val="none"/>
        </w:rPr>
      </w:pPr>
      <w:r>
        <w:rPr>
          <w:b w:val="0"/>
          <w:smallCaps/>
          <w:color w:val="auto"/>
          <w:sz w:val="24"/>
          <w:szCs w:val="24"/>
          <w:highlight w:val="none"/>
        </w:rPr>
        <w:fldChar w:fldCharType="begin"/>
      </w:r>
      <w:r>
        <w:rPr>
          <w:b w:val="0"/>
          <w:smallCaps/>
          <w:color w:val="auto"/>
          <w:sz w:val="24"/>
          <w:szCs w:val="24"/>
          <w:highlight w:val="none"/>
        </w:rPr>
        <w:instrText xml:space="preserve"> TOC \o "1-2" \h \z \u </w:instrText>
      </w:r>
      <w:r>
        <w:rPr>
          <w:b w:val="0"/>
          <w:smallCaps/>
          <w:color w:val="auto"/>
          <w:sz w:val="24"/>
          <w:szCs w:val="24"/>
          <w:highlight w:val="none"/>
        </w:rPr>
        <w:fldChar w:fldCharType="separate"/>
      </w:r>
      <w:r>
        <w:rPr>
          <w:rFonts w:hint="eastAsia" w:ascii="宋体" w:hAnsi="宋体" w:eastAsia="宋体" w:cs="宋体"/>
          <w:smallCaps/>
          <w:color w:val="auto"/>
          <w:sz w:val="24"/>
          <w:szCs w:val="24"/>
          <w:highlight w:val="none"/>
        </w:rPr>
        <w:fldChar w:fldCharType="begin"/>
      </w:r>
      <w:r>
        <w:rPr>
          <w:rFonts w:hint="eastAsia" w:ascii="宋体" w:hAnsi="宋体" w:eastAsia="宋体" w:cs="宋体"/>
          <w:smallCaps/>
          <w:color w:val="auto"/>
          <w:sz w:val="24"/>
          <w:szCs w:val="24"/>
          <w:highlight w:val="none"/>
        </w:rPr>
        <w:instrText xml:space="preserve"> HYPERLINK \l _Toc28568 </w:instrText>
      </w:r>
      <w:r>
        <w:rPr>
          <w:rFonts w:hint="eastAsia" w:ascii="宋体" w:hAnsi="宋体" w:eastAsia="宋体" w:cs="宋体"/>
          <w:smallCaps/>
          <w:color w:val="auto"/>
          <w:sz w:val="24"/>
          <w:szCs w:val="24"/>
          <w:highlight w:val="none"/>
        </w:rPr>
        <w:fldChar w:fldCharType="separate"/>
      </w:r>
      <w:r>
        <w:rPr>
          <w:rFonts w:hint="eastAsia" w:ascii="宋体" w:hAnsi="宋体" w:eastAsia="宋体" w:cs="宋体"/>
          <w:color w:val="auto"/>
          <w:sz w:val="24"/>
          <w:szCs w:val="24"/>
          <w:highlight w:val="none"/>
        </w:rPr>
        <w:t>附件1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技术规范</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_Toc28568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smallCaps/>
          <w:color w:val="auto"/>
          <w:sz w:val="24"/>
          <w:szCs w:val="24"/>
          <w:highlight w:val="none"/>
        </w:rPr>
        <w:fldChar w:fldCharType="end"/>
      </w:r>
    </w:p>
    <w:p w14:paraId="45D54C5E">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rFonts w:hint="eastAsia" w:ascii="宋体" w:hAnsi="宋体" w:eastAsia="宋体" w:cs="宋体"/>
          <w:color w:val="auto"/>
          <w:sz w:val="24"/>
          <w:szCs w:val="24"/>
          <w:highlight w:val="none"/>
        </w:rPr>
      </w:pPr>
      <w:r>
        <w:rPr>
          <w:rFonts w:hint="eastAsia" w:ascii="宋体" w:hAnsi="宋体" w:eastAsia="宋体" w:cs="宋体"/>
          <w:bCs w:val="0"/>
          <w:smallCaps/>
          <w:color w:val="auto"/>
          <w:sz w:val="24"/>
          <w:szCs w:val="24"/>
          <w:highlight w:val="none"/>
        </w:rPr>
        <w:fldChar w:fldCharType="begin"/>
      </w:r>
      <w:r>
        <w:rPr>
          <w:rFonts w:hint="eastAsia" w:ascii="宋体" w:hAnsi="宋体" w:eastAsia="宋体" w:cs="宋体"/>
          <w:bCs w:val="0"/>
          <w:smallCaps/>
          <w:color w:val="auto"/>
          <w:sz w:val="24"/>
          <w:szCs w:val="24"/>
          <w:highlight w:val="none"/>
        </w:rPr>
        <w:instrText xml:space="preserve"> HYPERLINK \l _Toc25755 </w:instrText>
      </w:r>
      <w:r>
        <w:rPr>
          <w:rFonts w:hint="eastAsia" w:ascii="宋体" w:hAnsi="宋体" w:eastAsia="宋体" w:cs="宋体"/>
          <w:bCs w:val="0"/>
          <w:smallCaps/>
          <w:color w:val="auto"/>
          <w:sz w:val="24"/>
          <w:szCs w:val="24"/>
          <w:highlight w:val="none"/>
        </w:rPr>
        <w:fldChar w:fldCharType="separate"/>
      </w:r>
      <w:r>
        <w:rPr>
          <w:rFonts w:hint="eastAsia" w:ascii="宋体" w:hAnsi="宋体" w:eastAsia="宋体" w:cs="宋体"/>
          <w:color w:val="auto"/>
          <w:sz w:val="24"/>
          <w:szCs w:val="24"/>
          <w:highlight w:val="none"/>
        </w:rPr>
        <w:t>附件2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供货及工作范围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_Toc25755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103</w:t>
      </w:r>
      <w:r>
        <w:rPr>
          <w:rFonts w:hint="eastAsia" w:ascii="宋体" w:hAnsi="宋体" w:eastAsia="宋体" w:cs="宋体"/>
          <w:color w:val="auto"/>
          <w:sz w:val="24"/>
          <w:szCs w:val="24"/>
          <w:highlight w:val="none"/>
        </w:rPr>
        <w:fldChar w:fldCharType="end"/>
      </w:r>
      <w:r>
        <w:rPr>
          <w:rFonts w:hint="eastAsia" w:ascii="宋体" w:hAnsi="宋体" w:eastAsia="宋体" w:cs="宋体"/>
          <w:bCs w:val="0"/>
          <w:smallCaps/>
          <w:color w:val="auto"/>
          <w:sz w:val="24"/>
          <w:szCs w:val="24"/>
          <w:highlight w:val="none"/>
        </w:rPr>
        <w:fldChar w:fldCharType="end"/>
      </w:r>
    </w:p>
    <w:p w14:paraId="7EFBBEA1">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_Toc18041 </w:instrText>
      </w:r>
      <w:r>
        <w:rPr>
          <w:bCs w:val="0"/>
          <w:smallCaps/>
          <w:color w:val="auto"/>
          <w:sz w:val="24"/>
          <w:szCs w:val="24"/>
          <w:highlight w:val="none"/>
        </w:rPr>
        <w:fldChar w:fldCharType="separate"/>
      </w:r>
      <w:r>
        <w:rPr>
          <w:color w:val="auto"/>
          <w:sz w:val="24"/>
          <w:szCs w:val="24"/>
          <w:highlight w:val="none"/>
        </w:rPr>
        <w:t>附件3 设计范围与设计联络会</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_Toc18041 \h </w:instrText>
      </w:r>
      <w:r>
        <w:rPr>
          <w:color w:val="auto"/>
          <w:sz w:val="24"/>
          <w:szCs w:val="24"/>
          <w:highlight w:val="none"/>
        </w:rPr>
        <w:fldChar w:fldCharType="separate"/>
      </w:r>
      <w:r>
        <w:rPr>
          <w:color w:val="auto"/>
          <w:sz w:val="24"/>
          <w:szCs w:val="24"/>
          <w:highlight w:val="none"/>
        </w:rPr>
        <w:t>118</w:t>
      </w:r>
      <w:r>
        <w:rPr>
          <w:color w:val="auto"/>
          <w:sz w:val="24"/>
          <w:szCs w:val="24"/>
          <w:highlight w:val="none"/>
        </w:rPr>
        <w:fldChar w:fldCharType="end"/>
      </w:r>
      <w:r>
        <w:rPr>
          <w:bCs w:val="0"/>
          <w:smallCaps/>
          <w:color w:val="auto"/>
          <w:sz w:val="24"/>
          <w:szCs w:val="24"/>
          <w:highlight w:val="none"/>
        </w:rPr>
        <w:fldChar w:fldCharType="end"/>
      </w:r>
    </w:p>
    <w:p w14:paraId="16C1A1A5">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_Toc18853 </w:instrText>
      </w:r>
      <w:r>
        <w:rPr>
          <w:bCs w:val="0"/>
          <w:smallCaps/>
          <w:color w:val="auto"/>
          <w:sz w:val="24"/>
          <w:szCs w:val="24"/>
          <w:highlight w:val="none"/>
        </w:rPr>
        <w:fldChar w:fldCharType="separate"/>
      </w:r>
      <w:r>
        <w:rPr>
          <w:color w:val="auto"/>
          <w:sz w:val="24"/>
          <w:szCs w:val="24"/>
          <w:highlight w:val="none"/>
        </w:rPr>
        <w:t>附件4 技术资料</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_Toc18853 \h </w:instrText>
      </w:r>
      <w:r>
        <w:rPr>
          <w:color w:val="auto"/>
          <w:sz w:val="24"/>
          <w:szCs w:val="24"/>
          <w:highlight w:val="none"/>
        </w:rPr>
        <w:fldChar w:fldCharType="separate"/>
      </w:r>
      <w:r>
        <w:rPr>
          <w:color w:val="auto"/>
          <w:sz w:val="24"/>
          <w:szCs w:val="24"/>
          <w:highlight w:val="none"/>
        </w:rPr>
        <w:t>123</w:t>
      </w:r>
      <w:r>
        <w:rPr>
          <w:color w:val="auto"/>
          <w:sz w:val="24"/>
          <w:szCs w:val="24"/>
          <w:highlight w:val="none"/>
        </w:rPr>
        <w:fldChar w:fldCharType="end"/>
      </w:r>
      <w:r>
        <w:rPr>
          <w:bCs w:val="0"/>
          <w:smallCaps/>
          <w:color w:val="auto"/>
          <w:sz w:val="24"/>
          <w:szCs w:val="24"/>
          <w:highlight w:val="none"/>
        </w:rPr>
        <w:fldChar w:fldCharType="end"/>
      </w:r>
    </w:p>
    <w:p w14:paraId="695CB8E6">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_Toc12642 </w:instrText>
      </w:r>
      <w:r>
        <w:rPr>
          <w:bCs w:val="0"/>
          <w:smallCaps/>
          <w:color w:val="auto"/>
          <w:sz w:val="24"/>
          <w:szCs w:val="24"/>
          <w:highlight w:val="none"/>
        </w:rPr>
        <w:fldChar w:fldCharType="separate"/>
      </w:r>
      <w:r>
        <w:rPr>
          <w:color w:val="auto"/>
          <w:sz w:val="24"/>
          <w:szCs w:val="24"/>
          <w:highlight w:val="none"/>
        </w:rPr>
        <w:t>附件5 工程进度计划</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_Toc12642 \h </w:instrText>
      </w:r>
      <w:r>
        <w:rPr>
          <w:color w:val="auto"/>
          <w:sz w:val="24"/>
          <w:szCs w:val="24"/>
          <w:highlight w:val="none"/>
        </w:rPr>
        <w:fldChar w:fldCharType="separate"/>
      </w:r>
      <w:r>
        <w:rPr>
          <w:color w:val="auto"/>
          <w:sz w:val="24"/>
          <w:szCs w:val="24"/>
          <w:highlight w:val="none"/>
        </w:rPr>
        <w:t>127</w:t>
      </w:r>
      <w:r>
        <w:rPr>
          <w:color w:val="auto"/>
          <w:sz w:val="24"/>
          <w:szCs w:val="24"/>
          <w:highlight w:val="none"/>
        </w:rPr>
        <w:fldChar w:fldCharType="end"/>
      </w:r>
      <w:r>
        <w:rPr>
          <w:bCs w:val="0"/>
          <w:smallCaps/>
          <w:color w:val="auto"/>
          <w:sz w:val="24"/>
          <w:szCs w:val="24"/>
          <w:highlight w:val="none"/>
        </w:rPr>
        <w:fldChar w:fldCharType="end"/>
      </w:r>
    </w:p>
    <w:p w14:paraId="6B02A7BE">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sz w:val="24"/>
          <w:szCs w:val="24"/>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_Toc19264 </w:instrText>
      </w:r>
      <w:r>
        <w:rPr>
          <w:bCs w:val="0"/>
          <w:smallCaps/>
          <w:color w:val="auto"/>
          <w:sz w:val="24"/>
          <w:szCs w:val="24"/>
          <w:highlight w:val="none"/>
        </w:rPr>
        <w:fldChar w:fldCharType="separate"/>
      </w:r>
      <w:r>
        <w:rPr>
          <w:color w:val="auto"/>
          <w:sz w:val="24"/>
          <w:szCs w:val="24"/>
          <w:highlight w:val="none"/>
        </w:rPr>
        <w:t>附件6 检验、试验和验收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_Toc19264 \h </w:instrText>
      </w:r>
      <w:r>
        <w:rPr>
          <w:color w:val="auto"/>
          <w:sz w:val="24"/>
          <w:szCs w:val="24"/>
          <w:highlight w:val="none"/>
        </w:rPr>
        <w:fldChar w:fldCharType="separate"/>
      </w:r>
      <w:r>
        <w:rPr>
          <w:color w:val="auto"/>
          <w:sz w:val="24"/>
          <w:szCs w:val="24"/>
          <w:highlight w:val="none"/>
        </w:rPr>
        <w:t>129</w:t>
      </w:r>
      <w:r>
        <w:rPr>
          <w:color w:val="auto"/>
          <w:sz w:val="24"/>
          <w:szCs w:val="24"/>
          <w:highlight w:val="none"/>
        </w:rPr>
        <w:fldChar w:fldCharType="end"/>
      </w:r>
      <w:r>
        <w:rPr>
          <w:bCs w:val="0"/>
          <w:smallCaps/>
          <w:color w:val="auto"/>
          <w:sz w:val="24"/>
          <w:szCs w:val="24"/>
          <w:highlight w:val="none"/>
        </w:rPr>
        <w:fldChar w:fldCharType="end"/>
      </w:r>
    </w:p>
    <w:p w14:paraId="21C8C29F">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_Toc11462 </w:instrText>
      </w:r>
      <w:r>
        <w:rPr>
          <w:bCs w:val="0"/>
          <w:smallCaps/>
          <w:color w:val="auto"/>
          <w:sz w:val="24"/>
          <w:szCs w:val="24"/>
          <w:highlight w:val="none"/>
        </w:rPr>
        <w:fldChar w:fldCharType="separate"/>
      </w:r>
      <w:r>
        <w:rPr>
          <w:color w:val="auto"/>
          <w:sz w:val="24"/>
          <w:szCs w:val="24"/>
          <w:highlight w:val="none"/>
        </w:rPr>
        <w:t>附件7</w:t>
      </w:r>
      <w:r>
        <w:rPr>
          <w:rFonts w:hint="eastAsia"/>
          <w:color w:val="auto"/>
          <w:sz w:val="24"/>
          <w:szCs w:val="24"/>
          <w:highlight w:val="none"/>
          <w:lang w:val="en-US" w:eastAsia="zh-CN"/>
        </w:rPr>
        <w:t xml:space="preserve"> </w:t>
      </w:r>
      <w:r>
        <w:rPr>
          <w:color w:val="auto"/>
          <w:sz w:val="24"/>
          <w:szCs w:val="24"/>
          <w:highlight w:val="none"/>
        </w:rPr>
        <w:t>分包与外购</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_Toc11462 \h </w:instrText>
      </w:r>
      <w:r>
        <w:rPr>
          <w:color w:val="auto"/>
          <w:sz w:val="24"/>
          <w:szCs w:val="24"/>
          <w:highlight w:val="none"/>
        </w:rPr>
        <w:fldChar w:fldCharType="separate"/>
      </w:r>
      <w:r>
        <w:rPr>
          <w:color w:val="auto"/>
          <w:sz w:val="24"/>
          <w:szCs w:val="24"/>
          <w:highlight w:val="none"/>
        </w:rPr>
        <w:t>134</w:t>
      </w:r>
      <w:r>
        <w:rPr>
          <w:color w:val="auto"/>
          <w:sz w:val="24"/>
          <w:szCs w:val="24"/>
          <w:highlight w:val="none"/>
        </w:rPr>
        <w:fldChar w:fldCharType="end"/>
      </w:r>
      <w:r>
        <w:rPr>
          <w:bCs w:val="0"/>
          <w:smallCaps/>
          <w:color w:val="auto"/>
          <w:sz w:val="24"/>
          <w:szCs w:val="24"/>
          <w:highlight w:val="none"/>
        </w:rPr>
        <w:fldChar w:fldCharType="end"/>
      </w:r>
    </w:p>
    <w:p w14:paraId="4E4CE8E7">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_Toc10990 </w:instrText>
      </w:r>
      <w:r>
        <w:rPr>
          <w:bCs w:val="0"/>
          <w:smallCaps/>
          <w:color w:val="auto"/>
          <w:sz w:val="24"/>
          <w:szCs w:val="24"/>
          <w:highlight w:val="none"/>
        </w:rPr>
        <w:fldChar w:fldCharType="separate"/>
      </w:r>
      <w:r>
        <w:rPr>
          <w:rFonts w:ascii="Times New Roman" w:hAnsi="Times New Roman"/>
          <w:color w:val="auto"/>
          <w:kern w:val="2"/>
          <w:sz w:val="24"/>
          <w:szCs w:val="24"/>
          <w:highlight w:val="none"/>
        </w:rPr>
        <w:t>附件8 大（部）件情况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_Toc10990 \h </w:instrText>
      </w:r>
      <w:r>
        <w:rPr>
          <w:color w:val="auto"/>
          <w:sz w:val="24"/>
          <w:szCs w:val="24"/>
          <w:highlight w:val="none"/>
        </w:rPr>
        <w:fldChar w:fldCharType="separate"/>
      </w:r>
      <w:r>
        <w:rPr>
          <w:color w:val="auto"/>
          <w:sz w:val="24"/>
          <w:szCs w:val="24"/>
          <w:highlight w:val="none"/>
        </w:rPr>
        <w:t>139</w:t>
      </w:r>
      <w:r>
        <w:rPr>
          <w:color w:val="auto"/>
          <w:sz w:val="24"/>
          <w:szCs w:val="24"/>
          <w:highlight w:val="none"/>
        </w:rPr>
        <w:fldChar w:fldCharType="end"/>
      </w:r>
      <w:r>
        <w:rPr>
          <w:bCs w:val="0"/>
          <w:smallCaps/>
          <w:color w:val="auto"/>
          <w:sz w:val="24"/>
          <w:szCs w:val="24"/>
          <w:highlight w:val="none"/>
        </w:rPr>
        <w:fldChar w:fldCharType="end"/>
      </w:r>
    </w:p>
    <w:p w14:paraId="07B54730">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sz w:val="24"/>
          <w:szCs w:val="24"/>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_Toc30935 </w:instrText>
      </w:r>
      <w:r>
        <w:rPr>
          <w:bCs w:val="0"/>
          <w:smallCaps/>
          <w:color w:val="auto"/>
          <w:sz w:val="24"/>
          <w:szCs w:val="24"/>
          <w:highlight w:val="none"/>
        </w:rPr>
        <w:fldChar w:fldCharType="separate"/>
      </w:r>
      <w:r>
        <w:rPr>
          <w:rFonts w:ascii="Times New Roman" w:hAnsi="Times New Roman"/>
          <w:color w:val="auto"/>
          <w:kern w:val="2"/>
          <w:sz w:val="24"/>
          <w:szCs w:val="24"/>
          <w:highlight w:val="none"/>
        </w:rPr>
        <w:t>附件</w:t>
      </w:r>
      <w:r>
        <w:rPr>
          <w:rFonts w:hint="eastAsia" w:ascii="Times New Roman" w:hAnsi="Times New Roman"/>
          <w:color w:val="auto"/>
          <w:kern w:val="2"/>
          <w:sz w:val="24"/>
          <w:szCs w:val="24"/>
          <w:highlight w:val="none"/>
          <w:lang w:val="en-US" w:eastAsia="zh-CN"/>
        </w:rPr>
        <w:t>9 业绩及用户评价</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_Toc30935 \h </w:instrText>
      </w:r>
      <w:r>
        <w:rPr>
          <w:color w:val="auto"/>
          <w:sz w:val="24"/>
          <w:szCs w:val="24"/>
          <w:highlight w:val="none"/>
        </w:rPr>
        <w:fldChar w:fldCharType="separate"/>
      </w:r>
      <w:r>
        <w:rPr>
          <w:color w:val="auto"/>
          <w:sz w:val="24"/>
          <w:szCs w:val="24"/>
          <w:highlight w:val="none"/>
        </w:rPr>
        <w:t>140</w:t>
      </w:r>
      <w:r>
        <w:rPr>
          <w:color w:val="auto"/>
          <w:sz w:val="24"/>
          <w:szCs w:val="24"/>
          <w:highlight w:val="none"/>
        </w:rPr>
        <w:fldChar w:fldCharType="end"/>
      </w:r>
      <w:r>
        <w:rPr>
          <w:bCs w:val="0"/>
          <w:smallCaps/>
          <w:color w:val="auto"/>
          <w:sz w:val="24"/>
          <w:szCs w:val="24"/>
          <w:highlight w:val="none"/>
        </w:rPr>
        <w:fldChar w:fldCharType="end"/>
      </w:r>
    </w:p>
    <w:p w14:paraId="08042149">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sz w:val="24"/>
          <w:szCs w:val="24"/>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_Toc8895 </w:instrText>
      </w:r>
      <w:r>
        <w:rPr>
          <w:bCs w:val="0"/>
          <w:smallCaps/>
          <w:color w:val="auto"/>
          <w:sz w:val="24"/>
          <w:szCs w:val="24"/>
          <w:highlight w:val="none"/>
        </w:rPr>
        <w:fldChar w:fldCharType="separate"/>
      </w:r>
      <w:r>
        <w:rPr>
          <w:rFonts w:ascii="Times New Roman" w:hAnsi="Times New Roman"/>
          <w:color w:val="auto"/>
          <w:kern w:val="2"/>
          <w:sz w:val="24"/>
          <w:szCs w:val="24"/>
          <w:highlight w:val="none"/>
        </w:rPr>
        <w:t>附件</w:t>
      </w:r>
      <w:r>
        <w:rPr>
          <w:rFonts w:hint="eastAsia" w:ascii="Times New Roman" w:hAnsi="Times New Roman"/>
          <w:color w:val="auto"/>
          <w:kern w:val="2"/>
          <w:sz w:val="24"/>
          <w:szCs w:val="24"/>
          <w:highlight w:val="none"/>
          <w:lang w:val="en-US" w:eastAsia="zh-CN"/>
        </w:rPr>
        <w:t>10 技术差异表</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_Toc8895 \h </w:instrText>
      </w:r>
      <w:r>
        <w:rPr>
          <w:color w:val="auto"/>
          <w:sz w:val="24"/>
          <w:szCs w:val="24"/>
          <w:highlight w:val="none"/>
        </w:rPr>
        <w:fldChar w:fldCharType="separate"/>
      </w:r>
      <w:r>
        <w:rPr>
          <w:color w:val="auto"/>
          <w:sz w:val="24"/>
          <w:szCs w:val="24"/>
          <w:highlight w:val="none"/>
        </w:rPr>
        <w:t>141</w:t>
      </w:r>
      <w:r>
        <w:rPr>
          <w:color w:val="auto"/>
          <w:sz w:val="24"/>
          <w:szCs w:val="24"/>
          <w:highlight w:val="none"/>
        </w:rPr>
        <w:fldChar w:fldCharType="end"/>
      </w:r>
      <w:r>
        <w:rPr>
          <w:bCs w:val="0"/>
          <w:smallCaps/>
          <w:color w:val="auto"/>
          <w:sz w:val="24"/>
          <w:szCs w:val="24"/>
          <w:highlight w:val="none"/>
        </w:rPr>
        <w:fldChar w:fldCharType="end"/>
      </w:r>
    </w:p>
    <w:p w14:paraId="509BD5DD">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_Toc26573 </w:instrText>
      </w:r>
      <w:r>
        <w:rPr>
          <w:bCs w:val="0"/>
          <w:smallCaps/>
          <w:color w:val="auto"/>
          <w:sz w:val="24"/>
          <w:szCs w:val="24"/>
          <w:highlight w:val="none"/>
        </w:rPr>
        <w:fldChar w:fldCharType="separate"/>
      </w:r>
      <w:r>
        <w:rPr>
          <w:rFonts w:ascii="Times New Roman" w:hAnsi="Times New Roman"/>
          <w:color w:val="auto"/>
          <w:kern w:val="2"/>
          <w:sz w:val="24"/>
          <w:szCs w:val="24"/>
          <w:highlight w:val="none"/>
        </w:rPr>
        <w:t>附件</w:t>
      </w:r>
      <w:r>
        <w:rPr>
          <w:rFonts w:hint="eastAsia" w:ascii="Times New Roman" w:hAnsi="Times New Roman"/>
          <w:color w:val="auto"/>
          <w:kern w:val="2"/>
          <w:sz w:val="24"/>
          <w:szCs w:val="24"/>
          <w:highlight w:val="none"/>
          <w:lang w:val="en-US" w:eastAsia="zh-CN"/>
        </w:rPr>
        <w:t>11 订货情况和排产计划说明</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_Toc26573 \h </w:instrText>
      </w:r>
      <w:r>
        <w:rPr>
          <w:color w:val="auto"/>
          <w:sz w:val="24"/>
          <w:szCs w:val="24"/>
          <w:highlight w:val="none"/>
        </w:rPr>
        <w:fldChar w:fldCharType="separate"/>
      </w:r>
      <w:r>
        <w:rPr>
          <w:color w:val="auto"/>
          <w:sz w:val="24"/>
          <w:szCs w:val="24"/>
          <w:highlight w:val="none"/>
        </w:rPr>
        <w:t>142</w:t>
      </w:r>
      <w:r>
        <w:rPr>
          <w:color w:val="auto"/>
          <w:sz w:val="24"/>
          <w:szCs w:val="24"/>
          <w:highlight w:val="none"/>
        </w:rPr>
        <w:fldChar w:fldCharType="end"/>
      </w:r>
      <w:r>
        <w:rPr>
          <w:bCs w:val="0"/>
          <w:smallCaps/>
          <w:color w:val="auto"/>
          <w:sz w:val="24"/>
          <w:szCs w:val="24"/>
          <w:highlight w:val="none"/>
        </w:rPr>
        <w:fldChar w:fldCharType="end"/>
      </w:r>
    </w:p>
    <w:p w14:paraId="6BC10AB8">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_Toc5955 </w:instrText>
      </w:r>
      <w:r>
        <w:rPr>
          <w:bCs w:val="0"/>
          <w:smallCaps/>
          <w:color w:val="auto"/>
          <w:sz w:val="24"/>
          <w:szCs w:val="24"/>
          <w:highlight w:val="none"/>
        </w:rPr>
        <w:fldChar w:fldCharType="separate"/>
      </w:r>
      <w:r>
        <w:rPr>
          <w:rFonts w:ascii="Times New Roman" w:hAnsi="Times New Roman"/>
          <w:color w:val="auto"/>
          <w:kern w:val="2"/>
          <w:sz w:val="24"/>
          <w:szCs w:val="24"/>
          <w:highlight w:val="none"/>
        </w:rPr>
        <w:t>附件</w:t>
      </w:r>
      <w:r>
        <w:rPr>
          <w:rFonts w:hint="eastAsia" w:ascii="Times New Roman" w:hAnsi="Times New Roman"/>
          <w:color w:val="auto"/>
          <w:kern w:val="2"/>
          <w:sz w:val="24"/>
          <w:szCs w:val="24"/>
          <w:highlight w:val="none"/>
          <w:lang w:val="en-US" w:eastAsia="zh-CN"/>
        </w:rPr>
        <w:t>12 投标人需要说明的其他问题</w:t>
      </w:r>
      <w:r>
        <w:rPr>
          <w:rFonts w:hint="eastAsia"/>
          <w:color w:val="auto"/>
          <w:sz w:val="24"/>
          <w:szCs w:val="24"/>
          <w:highlight w:val="none"/>
        </w:rPr>
        <w:t>投标人</w:t>
      </w:r>
      <w:r>
        <w:rPr>
          <w:color w:val="auto"/>
          <w:sz w:val="24"/>
          <w:szCs w:val="24"/>
          <w:highlight w:val="none"/>
        </w:rPr>
        <w:t>需要说明的其它问题</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_Toc5955 \h </w:instrText>
      </w:r>
      <w:r>
        <w:rPr>
          <w:color w:val="auto"/>
          <w:sz w:val="24"/>
          <w:szCs w:val="24"/>
          <w:highlight w:val="none"/>
        </w:rPr>
        <w:fldChar w:fldCharType="separate"/>
      </w:r>
      <w:r>
        <w:rPr>
          <w:color w:val="auto"/>
          <w:sz w:val="24"/>
          <w:szCs w:val="24"/>
          <w:highlight w:val="none"/>
        </w:rPr>
        <w:t>143</w:t>
      </w:r>
      <w:r>
        <w:rPr>
          <w:color w:val="auto"/>
          <w:sz w:val="24"/>
          <w:szCs w:val="24"/>
          <w:highlight w:val="none"/>
        </w:rPr>
        <w:fldChar w:fldCharType="end"/>
      </w:r>
      <w:r>
        <w:rPr>
          <w:bCs w:val="0"/>
          <w:smallCaps/>
          <w:color w:val="auto"/>
          <w:sz w:val="24"/>
          <w:szCs w:val="24"/>
          <w:highlight w:val="none"/>
        </w:rPr>
        <w:fldChar w:fldCharType="end"/>
      </w:r>
    </w:p>
    <w:p w14:paraId="55D9656E">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_Toc30765 </w:instrText>
      </w:r>
      <w:r>
        <w:rPr>
          <w:bCs w:val="0"/>
          <w:smallCaps/>
          <w:color w:val="auto"/>
          <w:sz w:val="24"/>
          <w:szCs w:val="24"/>
          <w:highlight w:val="none"/>
        </w:rPr>
        <w:fldChar w:fldCharType="separate"/>
      </w:r>
      <w:r>
        <w:rPr>
          <w:rFonts w:ascii="Times New Roman" w:hAnsi="Times New Roman"/>
          <w:color w:val="auto"/>
          <w:kern w:val="2"/>
          <w:sz w:val="24"/>
          <w:szCs w:val="24"/>
          <w:highlight w:val="none"/>
        </w:rPr>
        <w:t>附件</w:t>
      </w:r>
      <w:r>
        <w:rPr>
          <w:rFonts w:hint="eastAsia" w:ascii="Times New Roman" w:hAnsi="Times New Roman"/>
          <w:color w:val="auto"/>
          <w:kern w:val="2"/>
          <w:sz w:val="24"/>
          <w:szCs w:val="24"/>
          <w:highlight w:val="none"/>
          <w:lang w:val="en-US" w:eastAsia="zh-CN"/>
        </w:rPr>
        <w:t>13 性能考核</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_Toc30765 \h </w:instrText>
      </w:r>
      <w:r>
        <w:rPr>
          <w:color w:val="auto"/>
          <w:sz w:val="24"/>
          <w:szCs w:val="24"/>
          <w:highlight w:val="none"/>
        </w:rPr>
        <w:fldChar w:fldCharType="separate"/>
      </w:r>
      <w:r>
        <w:rPr>
          <w:color w:val="auto"/>
          <w:sz w:val="24"/>
          <w:szCs w:val="24"/>
          <w:highlight w:val="none"/>
        </w:rPr>
        <w:t>144</w:t>
      </w:r>
      <w:r>
        <w:rPr>
          <w:color w:val="auto"/>
          <w:sz w:val="24"/>
          <w:szCs w:val="24"/>
          <w:highlight w:val="none"/>
        </w:rPr>
        <w:fldChar w:fldCharType="end"/>
      </w:r>
      <w:r>
        <w:rPr>
          <w:bCs w:val="0"/>
          <w:smallCaps/>
          <w:color w:val="auto"/>
          <w:sz w:val="24"/>
          <w:szCs w:val="24"/>
          <w:highlight w:val="none"/>
        </w:rPr>
        <w:fldChar w:fldCharType="end"/>
      </w:r>
    </w:p>
    <w:p w14:paraId="0FEB88E9">
      <w:pPr>
        <w:pStyle w:val="36"/>
        <w:keepNext w:val="0"/>
        <w:keepLines w:val="0"/>
        <w:pageBreakBefore w:val="0"/>
        <w:widowControl w:val="0"/>
        <w:tabs>
          <w:tab w:val="right" w:leader="dot" w:pos="8250"/>
        </w:tabs>
        <w:kinsoku/>
        <w:wordWrap/>
        <w:overflowPunct/>
        <w:topLinePunct w:val="0"/>
        <w:autoSpaceDE/>
        <w:autoSpaceDN/>
        <w:bidi w:val="0"/>
        <w:adjustRightInd w:val="0"/>
        <w:snapToGrid/>
        <w:spacing w:line="500" w:lineRule="exact"/>
        <w:textAlignment w:val="baseline"/>
        <w:rPr>
          <w:color w:val="auto"/>
          <w:highlight w:val="none"/>
        </w:rPr>
      </w:pPr>
      <w:r>
        <w:rPr>
          <w:bCs w:val="0"/>
          <w:smallCaps/>
          <w:color w:val="auto"/>
          <w:sz w:val="24"/>
          <w:szCs w:val="24"/>
          <w:highlight w:val="none"/>
        </w:rPr>
        <w:fldChar w:fldCharType="begin"/>
      </w:r>
      <w:r>
        <w:rPr>
          <w:bCs w:val="0"/>
          <w:smallCaps/>
          <w:color w:val="auto"/>
          <w:sz w:val="24"/>
          <w:szCs w:val="24"/>
          <w:highlight w:val="none"/>
        </w:rPr>
        <w:instrText xml:space="preserve"> HYPERLINK \l _Toc1529 </w:instrText>
      </w:r>
      <w:r>
        <w:rPr>
          <w:bCs w:val="0"/>
          <w:smallCaps/>
          <w:color w:val="auto"/>
          <w:sz w:val="24"/>
          <w:szCs w:val="24"/>
          <w:highlight w:val="none"/>
        </w:rPr>
        <w:fldChar w:fldCharType="separate"/>
      </w:r>
      <w:r>
        <w:rPr>
          <w:rFonts w:ascii="Times New Roman" w:hAnsi="Times New Roman"/>
          <w:color w:val="auto"/>
          <w:kern w:val="2"/>
          <w:sz w:val="24"/>
          <w:szCs w:val="24"/>
          <w:highlight w:val="none"/>
        </w:rPr>
        <w:t>附件</w:t>
      </w:r>
      <w:r>
        <w:rPr>
          <w:rFonts w:hint="eastAsia" w:ascii="Times New Roman" w:hAnsi="Times New Roman"/>
          <w:color w:val="auto"/>
          <w:kern w:val="2"/>
          <w:sz w:val="24"/>
          <w:szCs w:val="24"/>
          <w:highlight w:val="none"/>
          <w:lang w:val="en-US" w:eastAsia="zh-CN"/>
        </w:rPr>
        <w:t>14 附图</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_Toc1529 \h </w:instrText>
      </w:r>
      <w:r>
        <w:rPr>
          <w:color w:val="auto"/>
          <w:sz w:val="24"/>
          <w:szCs w:val="24"/>
          <w:highlight w:val="none"/>
        </w:rPr>
        <w:fldChar w:fldCharType="separate"/>
      </w:r>
      <w:r>
        <w:rPr>
          <w:color w:val="auto"/>
          <w:sz w:val="24"/>
          <w:szCs w:val="24"/>
          <w:highlight w:val="none"/>
        </w:rPr>
        <w:t>145</w:t>
      </w:r>
      <w:r>
        <w:rPr>
          <w:color w:val="auto"/>
          <w:sz w:val="24"/>
          <w:szCs w:val="24"/>
          <w:highlight w:val="none"/>
        </w:rPr>
        <w:fldChar w:fldCharType="end"/>
      </w:r>
      <w:r>
        <w:rPr>
          <w:bCs w:val="0"/>
          <w:smallCaps/>
          <w:color w:val="auto"/>
          <w:sz w:val="24"/>
          <w:szCs w:val="24"/>
          <w:highlight w:val="none"/>
        </w:rPr>
        <w:fldChar w:fldCharType="end"/>
      </w:r>
    </w:p>
    <w:p w14:paraId="54C18EC9">
      <w:pPr>
        <w:adjustRightInd w:val="0"/>
        <w:snapToGrid w:val="0"/>
        <w:spacing w:line="288" w:lineRule="auto"/>
        <w:rPr>
          <w:rFonts w:hint="default" w:eastAsia="宋体"/>
          <w:b/>
          <w:bCs/>
          <w:color w:val="auto"/>
          <w:sz w:val="24"/>
          <w:highlight w:val="none"/>
          <w:lang w:val="en-US" w:eastAsia="zh-CN"/>
        </w:rPr>
        <w:sectPr>
          <w:pgSz w:w="11850" w:h="16783"/>
          <w:pgMar w:top="1440" w:right="1800" w:bottom="1440" w:left="1800" w:header="851" w:footer="992" w:gutter="0"/>
          <w:pgNumType w:start="1"/>
          <w:cols w:space="720" w:num="1"/>
          <w:docGrid w:linePitch="485" w:charSpace="0"/>
        </w:sectPr>
      </w:pPr>
      <w:r>
        <w:rPr>
          <w:bCs/>
          <w:smallCaps/>
          <w:color w:val="auto"/>
          <w:highlight w:val="none"/>
        </w:rPr>
        <w:fldChar w:fldCharType="end"/>
      </w:r>
    </w:p>
    <w:p w14:paraId="697D58B2">
      <w:pPr>
        <w:pStyle w:val="2"/>
        <w:spacing w:before="240" w:after="240" w:line="360" w:lineRule="auto"/>
        <w:rPr>
          <w:color w:val="auto"/>
          <w:sz w:val="32"/>
          <w:szCs w:val="32"/>
          <w:highlight w:val="none"/>
        </w:rPr>
      </w:pPr>
      <w:bookmarkStart w:id="2" w:name="_Toc24777"/>
      <w:bookmarkStart w:id="3" w:name="_Toc15933"/>
      <w:bookmarkStart w:id="4" w:name="_Toc22911"/>
      <w:bookmarkStart w:id="5" w:name="_Toc410636275"/>
      <w:bookmarkStart w:id="6" w:name="_Toc4511"/>
      <w:bookmarkStart w:id="7" w:name="_Toc28568"/>
      <w:bookmarkStart w:id="8" w:name="_Toc482189912"/>
      <w:bookmarkStart w:id="9" w:name="_Toc22177"/>
      <w:r>
        <w:rPr>
          <w:color w:val="auto"/>
          <w:sz w:val="32"/>
          <w:szCs w:val="32"/>
          <w:highlight w:val="none"/>
        </w:rPr>
        <w:t>附件1技术规范</w:t>
      </w:r>
      <w:bookmarkEnd w:id="2"/>
      <w:bookmarkEnd w:id="3"/>
      <w:bookmarkEnd w:id="4"/>
      <w:bookmarkEnd w:id="5"/>
      <w:bookmarkEnd w:id="6"/>
      <w:bookmarkEnd w:id="7"/>
      <w:bookmarkEnd w:id="8"/>
      <w:bookmarkEnd w:id="9"/>
    </w:p>
    <w:bookmarkEnd w:id="1"/>
    <w:p w14:paraId="0D2C20E8">
      <w:pPr>
        <w:pStyle w:val="3"/>
        <w:spacing w:before="120" w:after="120"/>
        <w:rPr>
          <w:rFonts w:hint="default" w:ascii="Times New Roman" w:hAnsi="Times New Roman" w:eastAsia="宋体"/>
          <w:color w:val="auto"/>
          <w:sz w:val="28"/>
          <w:szCs w:val="28"/>
          <w:highlight w:val="none"/>
        </w:rPr>
      </w:pPr>
      <w:bookmarkStart w:id="10" w:name="_Toc6883"/>
      <w:bookmarkStart w:id="11" w:name="_Toc482189913"/>
      <w:bookmarkStart w:id="12" w:name="_Toc4779"/>
      <w:bookmarkStart w:id="13" w:name="_Toc410636276"/>
      <w:bookmarkStart w:id="14" w:name="_Toc28825"/>
      <w:bookmarkStart w:id="15" w:name="_Toc25203"/>
      <w:bookmarkStart w:id="16" w:name="_Toc28365"/>
      <w:bookmarkStart w:id="17" w:name="_Toc14404"/>
      <w:bookmarkStart w:id="18" w:name="_Toc41298036"/>
      <w:r>
        <w:rPr>
          <w:rFonts w:hint="default" w:ascii="Times New Roman" w:hAnsi="Times New Roman" w:eastAsia="宋体"/>
          <w:color w:val="auto"/>
          <w:sz w:val="28"/>
          <w:szCs w:val="28"/>
          <w:highlight w:val="none"/>
        </w:rPr>
        <w:t>1 总述</w:t>
      </w:r>
      <w:bookmarkEnd w:id="10"/>
      <w:bookmarkEnd w:id="11"/>
      <w:bookmarkEnd w:id="12"/>
      <w:bookmarkEnd w:id="13"/>
      <w:bookmarkEnd w:id="14"/>
      <w:bookmarkEnd w:id="15"/>
      <w:bookmarkEnd w:id="16"/>
      <w:bookmarkEnd w:id="17"/>
    </w:p>
    <w:bookmarkEnd w:id="18"/>
    <w:p w14:paraId="4FE522FB">
      <w:pPr>
        <w:adjustRightInd w:val="0"/>
        <w:snapToGrid w:val="0"/>
        <w:spacing w:line="360" w:lineRule="auto"/>
        <w:rPr>
          <w:rFonts w:hint="eastAsia" w:eastAsia="宋体"/>
          <w:color w:val="auto"/>
          <w:sz w:val="24"/>
          <w:highlight w:val="none"/>
          <w:lang w:val="en-US" w:eastAsia="zh-CN"/>
        </w:rPr>
      </w:pPr>
      <w:r>
        <w:rPr>
          <w:color w:val="auto"/>
          <w:sz w:val="24"/>
          <w:highlight w:val="none"/>
        </w:rPr>
        <w:t>（1）本技术规范适用于</w:t>
      </w:r>
      <w:r>
        <w:rPr>
          <w:rFonts w:hint="eastAsia"/>
          <w:color w:val="auto"/>
          <w:sz w:val="24"/>
          <w:highlight w:val="none"/>
          <w:lang w:val="en-US" w:eastAsia="zh-CN"/>
        </w:rPr>
        <w:t>台临港热电有限公司扩建</w:t>
      </w:r>
      <w:r>
        <w:rPr>
          <w:color w:val="auto"/>
          <w:sz w:val="24"/>
          <w:highlight w:val="none"/>
        </w:rPr>
        <w:t>项目</w:t>
      </w:r>
      <w:r>
        <w:rPr>
          <w:rFonts w:hint="eastAsia"/>
          <w:color w:val="auto"/>
          <w:sz w:val="24"/>
          <w:highlight w:val="none"/>
          <w:lang w:val="en-US" w:eastAsia="zh-CN"/>
        </w:rPr>
        <w:t>1台铭牌蒸发量240t/h高温高压循环流化床锅炉烟气脱硫及10t/h脱硫废水三联箱处理系统</w:t>
      </w:r>
      <w:r>
        <w:rPr>
          <w:rFonts w:hint="eastAsia"/>
          <w:color w:val="auto"/>
          <w:sz w:val="24"/>
          <w:highlight w:val="none"/>
          <w:lang w:eastAsia="zh-CN"/>
        </w:rPr>
        <w:t>EPC</w:t>
      </w:r>
      <w:r>
        <w:rPr>
          <w:rFonts w:hint="eastAsia"/>
          <w:color w:val="auto"/>
          <w:sz w:val="24"/>
          <w:highlight w:val="none"/>
        </w:rPr>
        <w:t>项目</w:t>
      </w:r>
      <w:r>
        <w:rPr>
          <w:color w:val="auto"/>
          <w:sz w:val="24"/>
          <w:highlight w:val="none"/>
        </w:rPr>
        <w:t>。脱硫工艺系统采用石灰石石膏湿法烟气脱硫工艺，一炉一塔的布置方案，不设增压风机，不设烟气旁路</w:t>
      </w:r>
      <w:r>
        <w:rPr>
          <w:rFonts w:hint="eastAsia"/>
          <w:color w:val="auto"/>
          <w:sz w:val="24"/>
          <w:highlight w:val="none"/>
          <w:lang w:eastAsia="zh-CN"/>
        </w:rPr>
        <w:t>，</w:t>
      </w:r>
      <w:r>
        <w:rPr>
          <w:rFonts w:hint="eastAsia"/>
          <w:color w:val="auto"/>
          <w:sz w:val="24"/>
          <w:highlight w:val="none"/>
          <w:lang w:val="en-US" w:eastAsia="zh-CN"/>
        </w:rPr>
        <w:t>吸收塔布置高效冷凝除尘除雾器</w:t>
      </w:r>
      <w:r>
        <w:rPr>
          <w:rFonts w:hint="eastAsia"/>
          <w:color w:val="auto"/>
          <w:sz w:val="24"/>
          <w:highlight w:val="none"/>
          <w:lang w:eastAsia="zh-CN"/>
        </w:rPr>
        <w:t>。</w:t>
      </w:r>
      <w:r>
        <w:rPr>
          <w:b w:val="0"/>
          <w:bCs/>
          <w:color w:val="auto"/>
          <w:sz w:val="24"/>
          <w:highlight w:val="none"/>
        </w:rPr>
        <w:t>在燃用设计煤种和校核煤种的所有工况下，要求脱硫后排出</w:t>
      </w:r>
      <w:r>
        <w:rPr>
          <w:rFonts w:hint="eastAsia"/>
          <w:b w:val="0"/>
          <w:bCs/>
          <w:color w:val="auto"/>
          <w:sz w:val="24"/>
          <w:highlight w:val="none"/>
          <w:lang w:val="en-US" w:eastAsia="zh-CN"/>
        </w:rPr>
        <w:t>烟气</w:t>
      </w:r>
      <w:r>
        <w:rPr>
          <w:b w:val="0"/>
          <w:bCs/>
          <w:color w:val="auto"/>
          <w:sz w:val="24"/>
          <w:highlight w:val="none"/>
        </w:rPr>
        <w:t>的二氧化硫浓度不高于</w:t>
      </w:r>
      <w:r>
        <w:rPr>
          <w:rFonts w:hint="eastAsia"/>
          <w:b w:val="0"/>
          <w:bCs/>
          <w:color w:val="auto"/>
          <w:sz w:val="24"/>
          <w:highlight w:val="none"/>
          <w:lang w:val="en-US" w:eastAsia="zh-CN"/>
        </w:rPr>
        <w:t>24.5</w:t>
      </w:r>
      <w:r>
        <w:rPr>
          <w:b w:val="0"/>
          <w:bCs/>
          <w:color w:val="auto"/>
          <w:sz w:val="24"/>
          <w:highlight w:val="none"/>
        </w:rPr>
        <w:t>mg/Nm</w:t>
      </w:r>
      <w:r>
        <w:rPr>
          <w:b w:val="0"/>
          <w:bCs/>
          <w:color w:val="auto"/>
          <w:sz w:val="24"/>
          <w:highlight w:val="none"/>
          <w:vertAlign w:val="superscript"/>
        </w:rPr>
        <w:t>3</w:t>
      </w:r>
      <w:r>
        <w:rPr>
          <w:b w:val="0"/>
          <w:bCs/>
          <w:color w:val="auto"/>
          <w:sz w:val="24"/>
          <w:highlight w:val="none"/>
        </w:rPr>
        <w:t>，烟尘排放浓度不大于</w:t>
      </w:r>
      <w:r>
        <w:rPr>
          <w:rFonts w:hint="eastAsia"/>
          <w:b w:val="0"/>
          <w:bCs/>
          <w:color w:val="auto"/>
          <w:sz w:val="24"/>
          <w:highlight w:val="none"/>
          <w:lang w:val="en-US" w:eastAsia="zh-CN"/>
        </w:rPr>
        <w:t>3.5</w:t>
      </w:r>
      <w:r>
        <w:rPr>
          <w:b w:val="0"/>
          <w:bCs/>
          <w:color w:val="auto"/>
          <w:sz w:val="24"/>
          <w:highlight w:val="none"/>
        </w:rPr>
        <w:t>mg/Nm</w:t>
      </w:r>
      <w:r>
        <w:rPr>
          <w:b w:val="0"/>
          <w:bCs/>
          <w:color w:val="auto"/>
          <w:sz w:val="24"/>
          <w:highlight w:val="none"/>
          <w:vertAlign w:val="superscript"/>
        </w:rPr>
        <w:t>3</w:t>
      </w:r>
      <w:r>
        <w:rPr>
          <w:b/>
          <w:bCs w:val="0"/>
          <w:color w:val="auto"/>
          <w:sz w:val="24"/>
          <w:highlight w:val="none"/>
        </w:rPr>
        <w:t>。</w:t>
      </w:r>
      <w:r>
        <w:rPr>
          <w:color w:val="auto"/>
          <w:sz w:val="24"/>
          <w:highlight w:val="none"/>
        </w:rPr>
        <w:t>装置的可利用率不小于98%。</w:t>
      </w:r>
      <w:r>
        <w:rPr>
          <w:rFonts w:hint="eastAsia"/>
          <w:color w:val="auto"/>
          <w:sz w:val="24"/>
          <w:highlight w:val="none"/>
          <w:lang w:val="en-US" w:eastAsia="zh-CN"/>
        </w:rPr>
        <w:t>当吸收塔入口</w:t>
      </w:r>
      <w:r>
        <w:rPr>
          <w:b w:val="0"/>
          <w:bCs/>
          <w:color w:val="auto"/>
          <w:sz w:val="24"/>
          <w:highlight w:val="none"/>
        </w:rPr>
        <w:t>二氧化硫浓度</w:t>
      </w:r>
      <w:r>
        <w:rPr>
          <w:rFonts w:hint="eastAsia"/>
          <w:color w:val="auto"/>
          <w:sz w:val="24"/>
          <w:highlight w:val="none"/>
          <w:lang w:val="en-US" w:eastAsia="zh-CN"/>
        </w:rPr>
        <w:t>2400</w:t>
      </w:r>
      <w:r>
        <w:rPr>
          <w:b w:val="0"/>
          <w:bCs/>
          <w:color w:val="auto"/>
          <w:sz w:val="24"/>
          <w:highlight w:val="none"/>
        </w:rPr>
        <w:t>mg/Nm</w:t>
      </w:r>
      <w:r>
        <w:rPr>
          <w:b w:val="0"/>
          <w:bCs/>
          <w:color w:val="auto"/>
          <w:sz w:val="24"/>
          <w:highlight w:val="none"/>
          <w:vertAlign w:val="superscript"/>
        </w:rPr>
        <w:t>3</w:t>
      </w:r>
      <w:r>
        <w:rPr>
          <w:rFonts w:hint="default"/>
          <w:b w:val="0"/>
          <w:bCs w:val="0"/>
          <w:color w:val="auto"/>
          <w:sz w:val="24"/>
          <w:highlight w:val="none"/>
          <w:vertAlign w:val="baseline"/>
          <w:lang w:val="en-US" w:eastAsia="zh-CN"/>
        </w:rPr>
        <w:t>工况</w:t>
      </w:r>
      <w:r>
        <w:rPr>
          <w:rFonts w:hint="eastAsia" w:ascii="Times New Roman" w:hAnsi="Times New Roman" w:eastAsia="宋体" w:cs="Times New Roman"/>
          <w:b w:val="0"/>
          <w:bCs w:val="0"/>
          <w:color w:val="auto"/>
          <w:sz w:val="24"/>
          <w:highlight w:val="none"/>
          <w:vertAlign w:val="baseline"/>
          <w:lang w:val="en-US" w:eastAsia="zh-CN"/>
        </w:rPr>
        <w:t>下，</w:t>
      </w:r>
      <w:r>
        <w:rPr>
          <w:b w:val="0"/>
          <w:bCs/>
          <w:color w:val="auto"/>
          <w:sz w:val="24"/>
          <w:highlight w:val="none"/>
        </w:rPr>
        <w:t>要求脱硫后排出</w:t>
      </w:r>
      <w:r>
        <w:rPr>
          <w:rFonts w:hint="eastAsia"/>
          <w:b w:val="0"/>
          <w:bCs/>
          <w:color w:val="auto"/>
          <w:sz w:val="24"/>
          <w:highlight w:val="none"/>
          <w:lang w:val="en-US" w:eastAsia="zh-CN"/>
        </w:rPr>
        <w:t>烟气</w:t>
      </w:r>
      <w:r>
        <w:rPr>
          <w:b w:val="0"/>
          <w:bCs/>
          <w:color w:val="auto"/>
          <w:sz w:val="24"/>
          <w:highlight w:val="none"/>
        </w:rPr>
        <w:t>的二氧化硫浓度不高于</w:t>
      </w:r>
      <w:r>
        <w:rPr>
          <w:rFonts w:hint="eastAsia"/>
          <w:b w:val="0"/>
          <w:bCs/>
          <w:color w:val="auto"/>
          <w:sz w:val="24"/>
          <w:highlight w:val="none"/>
          <w:lang w:val="en-US" w:eastAsia="zh-CN"/>
        </w:rPr>
        <w:t>35</w:t>
      </w:r>
      <w:r>
        <w:rPr>
          <w:b w:val="0"/>
          <w:bCs/>
          <w:color w:val="auto"/>
          <w:sz w:val="24"/>
          <w:highlight w:val="none"/>
        </w:rPr>
        <w:t>mg/Nm</w:t>
      </w:r>
      <w:r>
        <w:rPr>
          <w:b w:val="0"/>
          <w:bCs/>
          <w:color w:val="auto"/>
          <w:sz w:val="24"/>
          <w:highlight w:val="none"/>
          <w:vertAlign w:val="superscript"/>
        </w:rPr>
        <w:t>3</w:t>
      </w:r>
      <w:r>
        <w:rPr>
          <w:rFonts w:hint="eastAsia"/>
          <w:b w:val="0"/>
          <w:bCs/>
          <w:color w:val="auto"/>
          <w:sz w:val="24"/>
          <w:highlight w:val="none"/>
          <w:vertAlign w:val="baseline"/>
          <w:lang w:eastAsia="zh-CN"/>
        </w:rPr>
        <w:t>。</w:t>
      </w:r>
    </w:p>
    <w:p w14:paraId="2A53E2F6">
      <w:pPr>
        <w:adjustRightInd w:val="0"/>
        <w:snapToGrid w:val="0"/>
        <w:spacing w:line="360" w:lineRule="auto"/>
        <w:ind w:firstLine="0" w:firstLineChars="0"/>
        <w:rPr>
          <w:color w:val="auto"/>
          <w:sz w:val="24"/>
          <w:highlight w:val="none"/>
        </w:rPr>
      </w:pPr>
      <w:r>
        <w:rPr>
          <w:color w:val="auto"/>
          <w:sz w:val="24"/>
          <w:highlight w:val="none"/>
        </w:rPr>
        <w:t>（2）工程采用设计、设备</w:t>
      </w:r>
      <w:r>
        <w:rPr>
          <w:rFonts w:hint="eastAsia"/>
          <w:color w:val="auto"/>
          <w:sz w:val="24"/>
          <w:highlight w:val="none"/>
          <w:lang w:val="en-US" w:eastAsia="zh-CN"/>
        </w:rPr>
        <w:t>及材料</w:t>
      </w:r>
      <w:r>
        <w:rPr>
          <w:color w:val="auto"/>
          <w:sz w:val="24"/>
          <w:highlight w:val="none"/>
        </w:rPr>
        <w:t>供货</w:t>
      </w:r>
      <w:r>
        <w:rPr>
          <w:rFonts w:hint="eastAsia"/>
          <w:color w:val="auto"/>
          <w:sz w:val="24"/>
          <w:highlight w:val="none"/>
          <w:lang w:eastAsia="zh-CN"/>
        </w:rPr>
        <w:t>、</w:t>
      </w:r>
      <w:r>
        <w:rPr>
          <w:rFonts w:hint="eastAsia"/>
          <w:color w:val="auto"/>
          <w:sz w:val="24"/>
          <w:highlight w:val="none"/>
          <w:lang w:val="en-US" w:eastAsia="zh-CN"/>
        </w:rPr>
        <w:t>安装</w:t>
      </w:r>
      <w:r>
        <w:rPr>
          <w:color w:val="auto"/>
          <w:sz w:val="24"/>
          <w:highlight w:val="none"/>
        </w:rPr>
        <w:t>的</w:t>
      </w:r>
      <w:r>
        <w:rPr>
          <w:rFonts w:hint="eastAsia"/>
          <w:color w:val="auto"/>
          <w:sz w:val="24"/>
          <w:highlight w:val="none"/>
          <w:lang w:val="en-US" w:eastAsia="zh-CN"/>
        </w:rPr>
        <w:t>总</w:t>
      </w:r>
      <w:r>
        <w:rPr>
          <w:color w:val="auto"/>
          <w:sz w:val="24"/>
          <w:highlight w:val="none"/>
        </w:rPr>
        <w:t>承包方式（</w:t>
      </w:r>
      <w:r>
        <w:rPr>
          <w:rFonts w:hint="eastAsia"/>
          <w:color w:val="auto"/>
          <w:sz w:val="24"/>
          <w:highlight w:val="none"/>
          <w:lang w:eastAsia="zh-CN"/>
        </w:rPr>
        <w:t>EPC</w:t>
      </w:r>
      <w:r>
        <w:rPr>
          <w:color w:val="auto"/>
          <w:sz w:val="24"/>
          <w:highlight w:val="none"/>
        </w:rPr>
        <w:t>）。从项目建设开始到质保期结束所涉及到的烟气脱硫及附属系统</w:t>
      </w:r>
      <w:r>
        <w:rPr>
          <w:rFonts w:hint="eastAsia"/>
          <w:color w:val="auto"/>
          <w:sz w:val="24"/>
          <w:highlight w:val="none"/>
        </w:rPr>
        <w:t>的</w:t>
      </w:r>
      <w:r>
        <w:rPr>
          <w:snapToGrid w:val="0"/>
          <w:color w:val="auto"/>
          <w:sz w:val="24"/>
          <w:highlight w:val="none"/>
        </w:rPr>
        <w:t>设计、设备采购</w:t>
      </w:r>
      <w:r>
        <w:rPr>
          <w:rFonts w:hint="eastAsia"/>
          <w:snapToGrid w:val="0"/>
          <w:color w:val="auto"/>
          <w:sz w:val="24"/>
          <w:highlight w:val="none"/>
          <w:lang w:eastAsia="zh-CN"/>
        </w:rPr>
        <w:t>、</w:t>
      </w:r>
      <w:r>
        <w:rPr>
          <w:rFonts w:hint="eastAsia"/>
          <w:color w:val="auto"/>
          <w:sz w:val="24"/>
          <w:highlight w:val="none"/>
          <w:lang w:val="en-US" w:eastAsia="zh-CN"/>
        </w:rPr>
        <w:t>设备安装</w:t>
      </w:r>
      <w:r>
        <w:rPr>
          <w:snapToGrid w:val="0"/>
          <w:color w:val="auto"/>
          <w:sz w:val="24"/>
          <w:highlight w:val="none"/>
        </w:rPr>
        <w:t>相关的</w:t>
      </w:r>
      <w:r>
        <w:rPr>
          <w:color w:val="auto"/>
          <w:sz w:val="24"/>
          <w:highlight w:val="none"/>
        </w:rPr>
        <w:t>所有工作。具体包括</w:t>
      </w:r>
      <w:r>
        <w:rPr>
          <w:rFonts w:hint="eastAsia"/>
          <w:color w:val="auto"/>
          <w:sz w:val="24"/>
          <w:highlight w:val="none"/>
          <w:lang w:val="en-US" w:eastAsia="zh-CN"/>
        </w:rPr>
        <w:t>但不限于：</w:t>
      </w:r>
      <w:r>
        <w:rPr>
          <w:color w:val="auto"/>
          <w:sz w:val="24"/>
          <w:highlight w:val="none"/>
        </w:rPr>
        <w:t>工程设计、设备</w:t>
      </w:r>
      <w:r>
        <w:rPr>
          <w:rFonts w:hint="eastAsia"/>
          <w:color w:val="auto"/>
          <w:sz w:val="24"/>
          <w:highlight w:val="none"/>
          <w:lang w:val="en-US" w:eastAsia="zh-CN"/>
        </w:rPr>
        <w:t>及材料</w:t>
      </w:r>
      <w:r>
        <w:rPr>
          <w:color w:val="auto"/>
          <w:sz w:val="24"/>
          <w:highlight w:val="none"/>
        </w:rPr>
        <w:t>供货</w:t>
      </w:r>
      <w:r>
        <w:rPr>
          <w:rFonts w:hint="eastAsia"/>
          <w:color w:val="auto"/>
          <w:sz w:val="24"/>
          <w:highlight w:val="none"/>
          <w:lang w:eastAsia="zh-CN"/>
        </w:rPr>
        <w:t>（</w:t>
      </w:r>
      <w:r>
        <w:rPr>
          <w:rFonts w:hint="eastAsia"/>
          <w:color w:val="auto"/>
          <w:sz w:val="24"/>
          <w:highlight w:val="none"/>
          <w:lang w:val="en-US" w:eastAsia="zh-CN"/>
        </w:rPr>
        <w:t>含运输</w:t>
      </w:r>
      <w:r>
        <w:rPr>
          <w:rFonts w:hint="eastAsia"/>
          <w:color w:val="auto"/>
          <w:sz w:val="24"/>
          <w:highlight w:val="none"/>
          <w:lang w:eastAsia="zh-CN"/>
        </w:rPr>
        <w:t>）</w:t>
      </w:r>
      <w:r>
        <w:rPr>
          <w:rFonts w:hint="eastAsia"/>
          <w:color w:val="auto"/>
          <w:sz w:val="24"/>
          <w:highlight w:val="none"/>
          <w:lang w:val="en-US" w:eastAsia="zh-CN"/>
        </w:rPr>
        <w:t>及装卸</w:t>
      </w:r>
      <w:r>
        <w:rPr>
          <w:rFonts w:hint="eastAsia"/>
          <w:color w:val="auto"/>
          <w:sz w:val="24"/>
          <w:highlight w:val="none"/>
        </w:rPr>
        <w:t>、</w:t>
      </w:r>
      <w:r>
        <w:rPr>
          <w:rFonts w:hint="eastAsia"/>
          <w:color w:val="auto"/>
          <w:sz w:val="24"/>
          <w:highlight w:val="none"/>
          <w:lang w:val="en-US" w:eastAsia="zh-CN"/>
        </w:rPr>
        <w:t>设备安装（含单机调试）、</w:t>
      </w:r>
      <w:r>
        <w:rPr>
          <w:color w:val="auto"/>
          <w:sz w:val="24"/>
          <w:highlight w:val="none"/>
        </w:rPr>
        <w:t>配合</w:t>
      </w:r>
      <w:r>
        <w:rPr>
          <w:rFonts w:hint="eastAsia"/>
          <w:color w:val="auto"/>
          <w:sz w:val="24"/>
          <w:highlight w:val="none"/>
          <w:lang w:val="en-US" w:eastAsia="zh-CN"/>
        </w:rPr>
        <w:t>机组</w:t>
      </w:r>
      <w:r>
        <w:rPr>
          <w:color w:val="auto"/>
          <w:sz w:val="24"/>
          <w:highlight w:val="none"/>
        </w:rPr>
        <w:t>调试</w:t>
      </w:r>
      <w:r>
        <w:rPr>
          <w:rFonts w:hint="eastAsia"/>
          <w:color w:val="auto"/>
          <w:sz w:val="24"/>
          <w:highlight w:val="none"/>
          <w:lang w:val="en-US" w:eastAsia="zh-CN"/>
        </w:rPr>
        <w:t>及试运行</w:t>
      </w:r>
      <w:r>
        <w:rPr>
          <w:color w:val="auto"/>
          <w:sz w:val="24"/>
          <w:highlight w:val="none"/>
        </w:rPr>
        <w:t>、配合设备性能考核验收、设备消缺</w:t>
      </w:r>
      <w:r>
        <w:rPr>
          <w:rFonts w:hint="eastAsia"/>
          <w:color w:val="auto"/>
          <w:sz w:val="24"/>
          <w:highlight w:val="none"/>
          <w:lang w:eastAsia="zh-CN"/>
        </w:rPr>
        <w:t>、</w:t>
      </w:r>
      <w:r>
        <w:rPr>
          <w:rStyle w:val="54"/>
          <w:rFonts w:hint="eastAsia" w:ascii="宋体" w:hAnsi="宋体" w:eastAsia="宋体" w:cs="Times New Roman"/>
          <w:bCs/>
          <w:color w:val="auto"/>
          <w:sz w:val="24"/>
          <w:szCs w:val="24"/>
          <w:highlight w:val="none"/>
        </w:rPr>
        <w:t>培训、售后服务</w:t>
      </w:r>
      <w:r>
        <w:rPr>
          <w:color w:val="auto"/>
          <w:sz w:val="24"/>
          <w:highlight w:val="none"/>
        </w:rPr>
        <w:t>等方面的内容。</w:t>
      </w:r>
    </w:p>
    <w:p w14:paraId="0E92BAE5">
      <w:pPr>
        <w:pStyle w:val="21"/>
        <w:snapToGrid w:val="0"/>
        <w:spacing w:after="0" w:line="360" w:lineRule="auto"/>
        <w:rPr>
          <w:color w:val="auto"/>
          <w:sz w:val="24"/>
          <w:szCs w:val="24"/>
          <w:highlight w:val="none"/>
        </w:rPr>
      </w:pPr>
      <w:r>
        <w:rPr>
          <w:color w:val="auto"/>
          <w:sz w:val="24"/>
          <w:szCs w:val="24"/>
          <w:highlight w:val="none"/>
        </w:rPr>
        <w:t>（3）本技术规范所涉及的要求和供货范围都是最低限度的要求，并未对一切技术细节作出规定，也未充分地详述有关标准和规范的条文，</w:t>
      </w:r>
      <w:r>
        <w:rPr>
          <w:rFonts w:hint="eastAsia"/>
          <w:color w:val="auto"/>
          <w:sz w:val="24"/>
          <w:szCs w:val="24"/>
          <w:highlight w:val="none"/>
          <w:lang w:eastAsia="zh-CN"/>
        </w:rPr>
        <w:t>投标方</w:t>
      </w:r>
      <w:r>
        <w:rPr>
          <w:color w:val="auto"/>
          <w:sz w:val="24"/>
          <w:szCs w:val="24"/>
          <w:highlight w:val="none"/>
        </w:rPr>
        <w:t>应保证提供符合本技术规范和工业标准的功能齐全的优质产品及其相应服务。</w:t>
      </w:r>
    </w:p>
    <w:p w14:paraId="3A0AC0D2">
      <w:pPr>
        <w:snapToGrid w:val="0"/>
        <w:spacing w:line="360" w:lineRule="auto"/>
        <w:rPr>
          <w:color w:val="auto"/>
          <w:kern w:val="0"/>
          <w:sz w:val="24"/>
          <w:highlight w:val="none"/>
        </w:rPr>
      </w:pPr>
      <w:r>
        <w:rPr>
          <w:color w:val="auto"/>
          <w:kern w:val="0"/>
          <w:sz w:val="24"/>
          <w:highlight w:val="none"/>
        </w:rPr>
        <w:t>（4）本工程采用统一标识系统，编码按照GB/T 50549</w:t>
      </w:r>
      <w:r>
        <w:rPr>
          <w:rFonts w:hint="eastAsia"/>
          <w:color w:val="auto"/>
          <w:kern w:val="0"/>
          <w:sz w:val="24"/>
          <w:highlight w:val="none"/>
        </w:rPr>
        <w:t>-2010</w:t>
      </w:r>
      <w:r>
        <w:rPr>
          <w:color w:val="auto"/>
          <w:kern w:val="0"/>
          <w:sz w:val="24"/>
          <w:highlight w:val="none"/>
        </w:rPr>
        <w:t>《电厂标识系统编码标准》</w:t>
      </w:r>
      <w:r>
        <w:rPr>
          <w:rFonts w:hint="eastAsia"/>
          <w:color w:val="auto"/>
          <w:sz w:val="24"/>
          <w:szCs w:val="24"/>
          <w:highlight w:val="none"/>
        </w:rPr>
        <w:t>和</w:t>
      </w:r>
      <w:r>
        <w:rPr>
          <w:rFonts w:hint="eastAsia"/>
          <w:color w:val="auto"/>
          <w:sz w:val="24"/>
          <w:szCs w:val="24"/>
          <w:highlight w:val="none"/>
        </w:rPr>
        <w:t>DL/T950</w:t>
      </w:r>
      <w:r>
        <w:rPr>
          <w:color w:val="auto"/>
          <w:kern w:val="0"/>
          <w:sz w:val="24"/>
          <w:highlight w:val="none"/>
        </w:rPr>
        <w:t>执行。</w:t>
      </w:r>
      <w:r>
        <w:rPr>
          <w:rFonts w:hint="eastAsia"/>
          <w:color w:val="auto"/>
          <w:kern w:val="0"/>
          <w:sz w:val="24"/>
          <w:highlight w:val="none"/>
          <w:lang w:eastAsia="zh-CN"/>
        </w:rPr>
        <w:t>投标方</w:t>
      </w:r>
      <w:r>
        <w:rPr>
          <w:color w:val="auto"/>
          <w:kern w:val="0"/>
          <w:sz w:val="24"/>
          <w:highlight w:val="none"/>
        </w:rPr>
        <w:t>在提供的技术资料（包括图纸）和设备施工图必须标识统一编码。编码范围包括</w:t>
      </w:r>
      <w:r>
        <w:rPr>
          <w:rFonts w:hint="eastAsia"/>
          <w:color w:val="auto"/>
          <w:kern w:val="0"/>
          <w:sz w:val="24"/>
          <w:highlight w:val="none"/>
          <w:lang w:eastAsia="zh-CN"/>
        </w:rPr>
        <w:t>投标方</w:t>
      </w:r>
      <w:r>
        <w:rPr>
          <w:color w:val="auto"/>
          <w:kern w:val="0"/>
          <w:sz w:val="24"/>
          <w:highlight w:val="none"/>
        </w:rPr>
        <w:t>所供系统、设备、主要部件（包括分包和采购件）、设备易损件和构筑物等。编码原则及具体标识由</w:t>
      </w:r>
      <w:r>
        <w:rPr>
          <w:rFonts w:hint="eastAsia"/>
          <w:color w:val="auto"/>
          <w:kern w:val="0"/>
          <w:sz w:val="24"/>
          <w:highlight w:val="none"/>
          <w:lang w:eastAsia="zh-CN"/>
        </w:rPr>
        <w:t>招标方</w:t>
      </w:r>
      <w:r>
        <w:rPr>
          <w:color w:val="auto"/>
          <w:kern w:val="0"/>
          <w:sz w:val="24"/>
          <w:highlight w:val="none"/>
        </w:rPr>
        <w:t>提出。编码使用规范及含编码的设备信息样表由</w:t>
      </w:r>
      <w:r>
        <w:rPr>
          <w:rFonts w:hint="eastAsia"/>
          <w:color w:val="auto"/>
          <w:kern w:val="0"/>
          <w:sz w:val="24"/>
          <w:highlight w:val="none"/>
          <w:lang w:eastAsia="zh-CN"/>
        </w:rPr>
        <w:t>招标方</w:t>
      </w:r>
      <w:r>
        <w:rPr>
          <w:color w:val="auto"/>
          <w:kern w:val="0"/>
          <w:sz w:val="24"/>
          <w:highlight w:val="none"/>
        </w:rPr>
        <w:t>提供，具体在设计联络会上确定。</w:t>
      </w:r>
      <w:r>
        <w:rPr>
          <w:rFonts w:hint="eastAsia"/>
          <w:color w:val="auto"/>
          <w:kern w:val="0"/>
          <w:sz w:val="24"/>
          <w:highlight w:val="none"/>
          <w:lang w:eastAsia="zh-CN"/>
        </w:rPr>
        <w:t>投标方</w:t>
      </w:r>
      <w:r>
        <w:rPr>
          <w:color w:val="auto"/>
          <w:kern w:val="0"/>
          <w:sz w:val="24"/>
          <w:highlight w:val="none"/>
        </w:rPr>
        <w:t>在制造、运输、安装、试运及项目管理等各个环节使用统一编码。</w:t>
      </w:r>
    </w:p>
    <w:p w14:paraId="1B6CC230">
      <w:pPr>
        <w:snapToGrid w:val="0"/>
        <w:spacing w:line="360" w:lineRule="auto"/>
        <w:rPr>
          <w:color w:val="auto"/>
          <w:highlight w:val="none"/>
        </w:rPr>
      </w:pPr>
      <w:r>
        <w:rPr>
          <w:color w:val="auto"/>
          <w:highlight w:val="none"/>
        </w:rPr>
        <w:t>（</w:t>
      </w:r>
      <w:r>
        <w:rPr>
          <w:color w:val="auto"/>
          <w:kern w:val="0"/>
          <w:sz w:val="24"/>
          <w:highlight w:val="none"/>
        </w:rPr>
        <w:t>5）</w:t>
      </w:r>
      <w:r>
        <w:rPr>
          <w:rFonts w:hint="eastAsia"/>
          <w:color w:val="auto"/>
          <w:kern w:val="0"/>
          <w:sz w:val="24"/>
          <w:highlight w:val="none"/>
          <w:lang w:eastAsia="zh-CN"/>
        </w:rPr>
        <w:t>投标方</w:t>
      </w:r>
      <w:r>
        <w:rPr>
          <w:color w:val="auto"/>
          <w:kern w:val="0"/>
          <w:sz w:val="24"/>
          <w:highlight w:val="none"/>
        </w:rPr>
        <w:t>配套电动机</w:t>
      </w:r>
      <w:r>
        <w:rPr>
          <w:rFonts w:hint="eastAsia"/>
          <w:color w:val="auto"/>
          <w:kern w:val="0"/>
          <w:sz w:val="24"/>
          <w:highlight w:val="none"/>
          <w:lang w:val="en-US" w:eastAsia="zh-CN"/>
        </w:rPr>
        <w:t>及电缆</w:t>
      </w:r>
      <w:r>
        <w:rPr>
          <w:color w:val="auto"/>
          <w:kern w:val="0"/>
          <w:sz w:val="24"/>
          <w:highlight w:val="none"/>
        </w:rPr>
        <w:t>应满足下列总的要求：</w:t>
      </w:r>
    </w:p>
    <w:p w14:paraId="5EC880AF">
      <w:pPr>
        <w:spacing w:line="360" w:lineRule="auto"/>
        <w:ind w:firstLine="480" w:firstLineChars="200"/>
        <w:rPr>
          <w:rFonts w:hint="eastAsia" w:ascii="宋体" w:hAnsi="宋体" w:cs="宋体"/>
          <w:color w:val="auto"/>
          <w:kern w:val="28"/>
          <w:sz w:val="24"/>
          <w:szCs w:val="24"/>
          <w:highlight w:val="none"/>
          <w:lang w:val="en-US" w:eastAsia="zh-CN"/>
        </w:rPr>
      </w:pPr>
      <w:r>
        <w:rPr>
          <w:rFonts w:hint="eastAsia"/>
          <w:color w:val="auto"/>
          <w:sz w:val="24"/>
          <w:szCs w:val="24"/>
          <w:highlight w:val="none"/>
        </w:rPr>
        <w:t>项目选用的低压电机</w:t>
      </w:r>
      <w:r>
        <w:rPr>
          <w:rFonts w:hint="eastAsia"/>
          <w:color w:val="auto"/>
          <w:sz w:val="24"/>
          <w:szCs w:val="24"/>
          <w:highlight w:val="none"/>
          <w:lang w:eastAsia="zh-CN"/>
        </w:rPr>
        <w:t>及执行机构电机</w:t>
      </w:r>
      <w:r>
        <w:rPr>
          <w:rFonts w:hint="eastAsia"/>
          <w:color w:val="auto"/>
          <w:sz w:val="24"/>
          <w:szCs w:val="24"/>
          <w:highlight w:val="none"/>
        </w:rPr>
        <w:t>达到</w:t>
      </w:r>
      <w:r>
        <w:rPr>
          <w:rFonts w:hint="eastAsia"/>
          <w:color w:val="auto"/>
          <w:sz w:val="24"/>
          <w:szCs w:val="24"/>
          <w:highlight w:val="none"/>
          <w:lang w:eastAsia="zh-CN"/>
        </w:rPr>
        <w:t>《</w:t>
      </w:r>
      <w:r>
        <w:rPr>
          <w:rFonts w:hint="eastAsia"/>
          <w:color w:val="auto"/>
          <w:sz w:val="24"/>
          <w:szCs w:val="24"/>
          <w:highlight w:val="none"/>
        </w:rPr>
        <w:t>电动机能效限定值及能效等级</w:t>
      </w:r>
      <w:r>
        <w:rPr>
          <w:rFonts w:hint="eastAsia"/>
          <w:color w:val="auto"/>
          <w:sz w:val="24"/>
          <w:szCs w:val="24"/>
          <w:highlight w:val="none"/>
          <w:lang w:eastAsia="zh-CN"/>
        </w:rPr>
        <w:t>》</w:t>
      </w:r>
      <w:r>
        <w:rPr>
          <w:rFonts w:hint="eastAsia"/>
          <w:color w:val="auto"/>
          <w:sz w:val="24"/>
          <w:szCs w:val="24"/>
          <w:highlight w:val="none"/>
        </w:rPr>
        <w:t>（</w:t>
      </w:r>
      <w:r>
        <w:rPr>
          <w:color w:val="auto"/>
          <w:sz w:val="24"/>
          <w:szCs w:val="24"/>
          <w:highlight w:val="none"/>
        </w:rPr>
        <w:t>GB18613-2020）</w:t>
      </w:r>
      <w:r>
        <w:rPr>
          <w:rFonts w:hint="eastAsia"/>
          <w:color w:val="auto"/>
          <w:sz w:val="24"/>
          <w:szCs w:val="24"/>
          <w:highlight w:val="none"/>
        </w:rPr>
        <w:t>中2级能效水平。项目选用的高压电机达到《高压三相笼型异步电动机能效限定值及能效等级》(GB30254-2013)中2级能效水平，具有防爆要求的电机达到2级能效及以上水平</w:t>
      </w:r>
      <w:r>
        <w:rPr>
          <w:rFonts w:hint="eastAsia"/>
          <w:color w:val="auto"/>
          <w:sz w:val="24"/>
          <w:szCs w:val="24"/>
          <w:highlight w:val="none"/>
          <w:lang w:eastAsia="zh-CN"/>
        </w:rPr>
        <w:t>。</w:t>
      </w:r>
    </w:p>
    <w:p w14:paraId="43B17CF2">
      <w:pPr>
        <w:pStyle w:val="5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color w:val="auto"/>
          <w:sz w:val="24"/>
          <w:szCs w:val="24"/>
          <w:highlight w:val="none"/>
        </w:rPr>
      </w:pPr>
      <w:r>
        <w:rPr>
          <w:rFonts w:hint="eastAsia"/>
          <w:color w:val="auto"/>
          <w:sz w:val="24"/>
          <w:szCs w:val="24"/>
          <w:highlight w:val="none"/>
        </w:rPr>
        <w:t>项目选用的水泵类设备达到《清水离心泵能效限定值及节能评价值》(GB19762-2007)中节能评价值要求。</w:t>
      </w:r>
    </w:p>
    <w:p w14:paraId="1886AA97">
      <w:pPr>
        <w:pStyle w:val="50"/>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default" w:eastAsia="宋体"/>
          <w:color w:val="auto"/>
          <w:sz w:val="24"/>
          <w:szCs w:val="24"/>
          <w:highlight w:val="none"/>
          <w:lang w:val="en-US" w:eastAsia="zh-CN"/>
        </w:rPr>
      </w:pPr>
      <w:r>
        <w:rPr>
          <w:rFonts w:hint="eastAsia"/>
          <w:color w:val="auto"/>
          <w:sz w:val="24"/>
          <w:szCs w:val="24"/>
          <w:highlight w:val="none"/>
          <w:lang w:val="en-US" w:eastAsia="zh-CN"/>
        </w:rPr>
        <w:t>所有动力电缆按经济截面积选型。</w:t>
      </w:r>
    </w:p>
    <w:p w14:paraId="142010B3">
      <w:pPr>
        <w:snapToGrid w:val="0"/>
        <w:spacing w:line="360" w:lineRule="auto"/>
        <w:rPr>
          <w:rFonts w:cs="宋体"/>
          <w:color w:val="auto"/>
          <w:sz w:val="24"/>
          <w:highlight w:val="none"/>
          <w:lang w:bidi="ar"/>
        </w:rPr>
      </w:pPr>
      <w:r>
        <w:rPr>
          <w:rFonts w:cs="宋体"/>
          <w:color w:val="auto"/>
          <w:sz w:val="24"/>
          <w:highlight w:val="none"/>
          <w:lang w:bidi="ar"/>
        </w:rPr>
        <w:t>（</w:t>
      </w:r>
      <w:r>
        <w:rPr>
          <w:rFonts w:hint="eastAsia" w:cs="宋体"/>
          <w:color w:val="auto"/>
          <w:sz w:val="24"/>
          <w:highlight w:val="none"/>
          <w:lang w:val="en-US" w:eastAsia="zh-CN" w:bidi="ar"/>
        </w:rPr>
        <w:t>8</w:t>
      </w:r>
      <w:r>
        <w:rPr>
          <w:rFonts w:cs="宋体"/>
          <w:color w:val="auto"/>
          <w:sz w:val="24"/>
          <w:highlight w:val="none"/>
          <w:lang w:bidi="ar"/>
        </w:rPr>
        <w:t>）</w:t>
      </w:r>
      <w:r>
        <w:rPr>
          <w:rFonts w:hint="eastAsia" w:cs="宋体"/>
          <w:color w:val="auto"/>
          <w:sz w:val="24"/>
          <w:highlight w:val="none"/>
          <w:lang w:eastAsia="zh-CN" w:bidi="ar"/>
        </w:rPr>
        <w:t>投标方</w:t>
      </w:r>
      <w:r>
        <w:rPr>
          <w:rFonts w:cs="宋体"/>
          <w:color w:val="auto"/>
          <w:sz w:val="24"/>
          <w:highlight w:val="none"/>
          <w:lang w:bidi="ar"/>
        </w:rPr>
        <w:t>应执行本技术规范所列标准；不一致时，按较高标准执行。</w:t>
      </w:r>
    </w:p>
    <w:p w14:paraId="30CA4988">
      <w:pPr>
        <w:snapToGrid w:val="0"/>
        <w:spacing w:line="360" w:lineRule="auto"/>
        <w:rPr>
          <w:rFonts w:cs="宋体"/>
          <w:color w:val="auto"/>
          <w:sz w:val="24"/>
          <w:highlight w:val="none"/>
          <w:lang w:bidi="ar"/>
        </w:rPr>
      </w:pPr>
      <w:r>
        <w:rPr>
          <w:rFonts w:cs="宋体"/>
          <w:color w:val="auto"/>
          <w:sz w:val="24"/>
          <w:highlight w:val="none"/>
          <w:lang w:bidi="ar"/>
        </w:rPr>
        <w:t>（</w:t>
      </w:r>
      <w:r>
        <w:rPr>
          <w:rFonts w:hint="eastAsia" w:cs="宋体"/>
          <w:color w:val="auto"/>
          <w:sz w:val="24"/>
          <w:highlight w:val="none"/>
          <w:lang w:val="en-US" w:eastAsia="zh-CN" w:bidi="ar"/>
        </w:rPr>
        <w:t>9</w:t>
      </w:r>
      <w:r>
        <w:rPr>
          <w:rFonts w:cs="宋体"/>
          <w:color w:val="auto"/>
          <w:sz w:val="24"/>
          <w:highlight w:val="none"/>
          <w:lang w:bidi="ar"/>
        </w:rPr>
        <w:t>）在签订合同之后，</w:t>
      </w:r>
      <w:r>
        <w:rPr>
          <w:rFonts w:hint="eastAsia" w:cs="宋体"/>
          <w:color w:val="auto"/>
          <w:sz w:val="24"/>
          <w:highlight w:val="none"/>
          <w:lang w:eastAsia="zh-CN" w:bidi="ar"/>
        </w:rPr>
        <w:t>招标方</w:t>
      </w:r>
      <w:r>
        <w:rPr>
          <w:rFonts w:cs="宋体"/>
          <w:color w:val="auto"/>
          <w:sz w:val="24"/>
          <w:highlight w:val="none"/>
          <w:lang w:bidi="ar"/>
        </w:rPr>
        <w:t>有权提出因规范标准和规程发生变化而产生的一些补充要求，在设备投料生产前，</w:t>
      </w:r>
      <w:r>
        <w:rPr>
          <w:rFonts w:hint="eastAsia" w:cs="宋体"/>
          <w:color w:val="auto"/>
          <w:sz w:val="24"/>
          <w:highlight w:val="none"/>
          <w:lang w:eastAsia="zh-CN" w:bidi="ar"/>
        </w:rPr>
        <w:t>投标方</w:t>
      </w:r>
      <w:r>
        <w:rPr>
          <w:rFonts w:cs="宋体"/>
          <w:color w:val="auto"/>
          <w:sz w:val="24"/>
          <w:highlight w:val="none"/>
          <w:lang w:bidi="ar"/>
        </w:rPr>
        <w:t>应给予修改。具体项目由</w:t>
      </w:r>
      <w:r>
        <w:rPr>
          <w:rFonts w:hint="eastAsia" w:cs="宋体"/>
          <w:color w:val="auto"/>
          <w:sz w:val="24"/>
          <w:highlight w:val="none"/>
          <w:lang w:bidi="ar"/>
        </w:rPr>
        <w:t>买卖</w:t>
      </w:r>
      <w:r>
        <w:rPr>
          <w:rFonts w:cs="宋体"/>
          <w:color w:val="auto"/>
          <w:sz w:val="24"/>
          <w:highlight w:val="none"/>
          <w:lang w:bidi="ar"/>
        </w:rPr>
        <w:t>双方共同商定。</w:t>
      </w:r>
    </w:p>
    <w:p w14:paraId="1F0D80D6">
      <w:pPr>
        <w:snapToGrid w:val="0"/>
        <w:spacing w:line="360" w:lineRule="auto"/>
        <w:rPr>
          <w:rFonts w:hint="eastAsia" w:ascii="宋体" w:hAnsi="宋体" w:cs="宋体"/>
          <w:color w:val="auto"/>
          <w:kern w:val="0"/>
          <w:sz w:val="24"/>
          <w:szCs w:val="24"/>
          <w:highlight w:val="none"/>
          <w:lang w:eastAsia="zh-CN"/>
        </w:rPr>
      </w:pPr>
      <w:r>
        <w:rPr>
          <w:rFonts w:hint="eastAsia" w:cs="宋体"/>
          <w:color w:val="auto"/>
          <w:sz w:val="24"/>
          <w:highlight w:val="none"/>
          <w:lang w:eastAsia="zh-CN" w:bidi="ar"/>
        </w:rPr>
        <w:t>（</w:t>
      </w:r>
      <w:r>
        <w:rPr>
          <w:rFonts w:hint="eastAsia" w:cs="宋体"/>
          <w:color w:val="auto"/>
          <w:sz w:val="24"/>
          <w:highlight w:val="none"/>
          <w:lang w:val="en-US" w:eastAsia="zh-CN" w:bidi="ar"/>
        </w:rPr>
        <w:t>10）</w:t>
      </w:r>
      <w:r>
        <w:rPr>
          <w:rFonts w:hint="eastAsia" w:ascii="宋体" w:hAnsi="宋体" w:eastAsia="宋体" w:cs="宋体"/>
          <w:color w:val="auto"/>
          <w:kern w:val="0"/>
          <w:sz w:val="24"/>
          <w:szCs w:val="24"/>
          <w:highlight w:val="none"/>
        </w:rPr>
        <w:t>工程质量必须全面达到国家和电力行业的标准，</w:t>
      </w:r>
      <w:r>
        <w:rPr>
          <w:rFonts w:hint="eastAsia" w:ascii="宋体" w:hAnsi="宋体" w:cs="宋体"/>
          <w:color w:val="auto"/>
          <w:kern w:val="0"/>
          <w:sz w:val="24"/>
          <w:szCs w:val="24"/>
          <w:highlight w:val="none"/>
          <w:lang w:val="en-US" w:eastAsia="zh-CN"/>
        </w:rPr>
        <w:t>并</w:t>
      </w:r>
      <w:r>
        <w:rPr>
          <w:rFonts w:hint="eastAsia" w:ascii="宋体" w:hAnsi="宋体" w:eastAsia="宋体" w:cs="宋体"/>
          <w:color w:val="auto"/>
          <w:kern w:val="0"/>
          <w:sz w:val="24"/>
          <w:szCs w:val="24"/>
          <w:highlight w:val="none"/>
        </w:rPr>
        <w:t>保证达到浙江省能源集团有限公司《基建工程全过程达标投产管理规定》（</w:t>
      </w:r>
      <w:r>
        <w:rPr>
          <w:rFonts w:hint="eastAsia" w:ascii="宋体" w:hAnsi="宋体" w:eastAsia="宋体" w:cs="宋体"/>
          <w:color w:val="auto"/>
          <w:kern w:val="0"/>
          <w:sz w:val="24"/>
          <w:szCs w:val="24"/>
          <w:highlight w:val="none"/>
          <w:lang w:val="en-US" w:eastAsia="zh-CN"/>
        </w:rPr>
        <w:t>BZ/</w:t>
      </w:r>
      <w:r>
        <w:rPr>
          <w:rFonts w:hint="eastAsia" w:ascii="宋体" w:hAnsi="宋体" w:eastAsia="宋体" w:cs="宋体"/>
          <w:color w:val="auto"/>
          <w:kern w:val="0"/>
          <w:sz w:val="24"/>
          <w:szCs w:val="24"/>
          <w:highlight w:val="none"/>
        </w:rPr>
        <w:t>ZN202113）AAA</w:t>
      </w:r>
      <w:r>
        <w:rPr>
          <w:rFonts w:hint="eastAsia" w:ascii="宋体" w:hAnsi="宋体" w:eastAsia="宋体" w:cs="宋体"/>
          <w:color w:val="auto"/>
          <w:kern w:val="0"/>
          <w:sz w:val="24"/>
          <w:szCs w:val="24"/>
          <w:highlight w:val="none"/>
          <w:lang w:val="en-US" w:eastAsia="zh-CN"/>
        </w:rPr>
        <w:t>A</w:t>
      </w:r>
      <w:r>
        <w:rPr>
          <w:rFonts w:hint="eastAsia" w:ascii="宋体" w:hAnsi="宋体" w:eastAsia="宋体" w:cs="宋体"/>
          <w:color w:val="auto"/>
          <w:kern w:val="0"/>
          <w:sz w:val="24"/>
          <w:szCs w:val="24"/>
          <w:highlight w:val="none"/>
        </w:rPr>
        <w:t>及以上等级</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标准见附件15</w:t>
      </w:r>
      <w:r>
        <w:rPr>
          <w:rFonts w:hint="eastAsia" w:ascii="宋体" w:hAnsi="宋体" w:eastAsia="宋体" w:cs="宋体"/>
          <w:color w:val="auto"/>
          <w:kern w:val="0"/>
          <w:sz w:val="24"/>
          <w:szCs w:val="24"/>
          <w:highlight w:val="none"/>
        </w:rPr>
        <w:t>《基建工程全过程达标投产管理规定》（</w:t>
      </w:r>
      <w:r>
        <w:rPr>
          <w:rFonts w:hint="eastAsia" w:ascii="宋体" w:hAnsi="宋体" w:eastAsia="宋体" w:cs="宋体"/>
          <w:color w:val="auto"/>
          <w:kern w:val="0"/>
          <w:sz w:val="24"/>
          <w:szCs w:val="24"/>
          <w:highlight w:val="none"/>
          <w:lang w:val="en-US" w:eastAsia="zh-CN"/>
        </w:rPr>
        <w:t>BZ/</w:t>
      </w:r>
      <w:r>
        <w:rPr>
          <w:rFonts w:hint="eastAsia" w:ascii="宋体" w:hAnsi="宋体" w:eastAsia="宋体" w:cs="宋体"/>
          <w:color w:val="auto"/>
          <w:kern w:val="0"/>
          <w:sz w:val="24"/>
          <w:szCs w:val="24"/>
          <w:highlight w:val="none"/>
        </w:rPr>
        <w:t>ZN202113）</w:t>
      </w:r>
      <w:r>
        <w:rPr>
          <w:rFonts w:hint="eastAsia" w:ascii="宋体" w:hAnsi="宋体" w:cs="宋体"/>
          <w:color w:val="auto"/>
          <w:kern w:val="0"/>
          <w:sz w:val="24"/>
          <w:szCs w:val="24"/>
          <w:highlight w:val="none"/>
          <w:lang w:eastAsia="zh-CN"/>
        </w:rPr>
        <w:t>。</w:t>
      </w:r>
    </w:p>
    <w:p w14:paraId="4B1D98DE">
      <w:pPr>
        <w:snapToGrid w:val="0"/>
        <w:spacing w:line="360" w:lineRule="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11</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工地安全文明施工符合</w:t>
      </w:r>
      <w:r>
        <w:rPr>
          <w:rFonts w:hint="eastAsia" w:ascii="宋体" w:hAnsi="宋体" w:eastAsia="宋体" w:cs="宋体"/>
          <w:color w:val="auto"/>
          <w:kern w:val="0"/>
          <w:sz w:val="24"/>
          <w:szCs w:val="24"/>
          <w:highlight w:val="none"/>
        </w:rPr>
        <w:t>浙江省能源集团有限公司</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工程安全文明施工标准化管理办法</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BZ/</w:t>
      </w:r>
      <w:r>
        <w:rPr>
          <w:rFonts w:hint="eastAsia" w:ascii="宋体" w:hAnsi="宋体" w:eastAsia="宋体" w:cs="宋体"/>
          <w:color w:val="auto"/>
          <w:kern w:val="0"/>
          <w:sz w:val="24"/>
          <w:szCs w:val="24"/>
          <w:highlight w:val="none"/>
        </w:rPr>
        <w:t>ZN202</w:t>
      </w:r>
      <w:r>
        <w:rPr>
          <w:rFonts w:hint="eastAsia" w:ascii="宋体" w:hAnsi="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1</w:t>
      </w:r>
      <w:r>
        <w:rPr>
          <w:rFonts w:hint="eastAsia" w:ascii="宋体" w:hAnsi="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要求</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标准见附件16</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工程安全文明施工标准化管理办法</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BZ/</w:t>
      </w:r>
      <w:r>
        <w:rPr>
          <w:rFonts w:hint="eastAsia" w:ascii="宋体" w:hAnsi="宋体" w:eastAsia="宋体" w:cs="宋体"/>
          <w:color w:val="auto"/>
          <w:kern w:val="0"/>
          <w:sz w:val="24"/>
          <w:szCs w:val="24"/>
          <w:highlight w:val="none"/>
        </w:rPr>
        <w:t>ZN202</w:t>
      </w:r>
      <w:r>
        <w:rPr>
          <w:rFonts w:hint="eastAsia" w:ascii="宋体" w:hAnsi="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1</w:t>
      </w:r>
      <w:r>
        <w:rPr>
          <w:rFonts w:hint="eastAsia" w:ascii="宋体" w:hAnsi="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w:t>
      </w:r>
    </w:p>
    <w:p w14:paraId="257B552B">
      <w:pPr>
        <w:spacing w:line="360" w:lineRule="auto"/>
        <w:outlineLvl w:val="2"/>
        <w:rPr>
          <w:b/>
          <w:color w:val="auto"/>
          <w:sz w:val="24"/>
          <w:highlight w:val="none"/>
        </w:rPr>
      </w:pPr>
      <w:bookmarkStart w:id="19" w:name="_Toc482189914"/>
      <w:r>
        <w:rPr>
          <w:b/>
          <w:color w:val="auto"/>
          <w:sz w:val="24"/>
          <w:highlight w:val="none"/>
        </w:rPr>
        <w:t>1.1</w:t>
      </w:r>
      <w:r>
        <w:rPr>
          <w:rFonts w:hint="eastAsia"/>
          <w:b/>
          <w:color w:val="auto"/>
          <w:sz w:val="24"/>
          <w:highlight w:val="none"/>
          <w:lang w:val="en-US" w:eastAsia="zh-CN"/>
        </w:rPr>
        <w:t>工程</w:t>
      </w:r>
      <w:r>
        <w:rPr>
          <w:b/>
          <w:color w:val="auto"/>
          <w:sz w:val="24"/>
          <w:highlight w:val="none"/>
        </w:rPr>
        <w:t>概况</w:t>
      </w:r>
      <w:bookmarkEnd w:id="19"/>
    </w:p>
    <w:p w14:paraId="088A4E29">
      <w:pPr>
        <w:numPr>
          <w:ilvl w:val="2"/>
          <w:numId w:val="1"/>
        </w:numPr>
        <w:adjustRightInd w:val="0"/>
        <w:snapToGrid w:val="0"/>
        <w:spacing w:line="360" w:lineRule="auto"/>
        <w:rPr>
          <w:color w:val="auto"/>
          <w:sz w:val="24"/>
          <w:highlight w:val="none"/>
        </w:rPr>
      </w:pPr>
      <w:r>
        <w:rPr>
          <w:color w:val="auto"/>
          <w:sz w:val="24"/>
          <w:highlight w:val="none"/>
        </w:rPr>
        <w:t>概述</w:t>
      </w:r>
    </w:p>
    <w:p w14:paraId="3B5AC7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bookmarkStart w:id="20" w:name="OLE_LINK57"/>
      <w:r>
        <w:rPr>
          <w:rFonts w:hint="eastAsia" w:ascii="宋体" w:hAnsi="宋体" w:eastAsia="宋体" w:cs="宋体"/>
          <w:color w:val="auto"/>
          <w:kern w:val="0"/>
          <w:sz w:val="24"/>
          <w:szCs w:val="24"/>
          <w:highlight w:val="none"/>
          <w:lang w:val="en-US" w:eastAsia="zh-CN" w:bidi="ar"/>
        </w:rPr>
        <w:t>本期拟扩建1台铭牌蒸发量为240t/h高温高压循环流化床锅炉和1台30MW背压式汽轮发电机组、相关辅助系统。台州临港热电有限公司原有机组规模为3台150t/h高温高压循环流化床锅炉（2用1备），2台15MW高温高压背压式汽轮机，配2台15MW的发电机。本期扩建后，台州临港热电有限公司最终规模为4炉3机，总装机容量达到60MW。</w:t>
      </w:r>
    </w:p>
    <w:p w14:paraId="0E4C822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本</w:t>
      </w:r>
      <w:r>
        <w:rPr>
          <w:rFonts w:hint="eastAsia" w:ascii="宋体" w:hAnsi="宋体" w:cs="宋体"/>
          <w:color w:val="auto"/>
          <w:kern w:val="0"/>
          <w:sz w:val="24"/>
          <w:szCs w:val="24"/>
          <w:highlight w:val="none"/>
          <w:lang w:val="en-US" w:eastAsia="zh-CN" w:bidi="ar"/>
        </w:rPr>
        <w:t>工程</w:t>
      </w:r>
      <w:r>
        <w:rPr>
          <w:rFonts w:hint="eastAsia" w:ascii="宋体" w:hAnsi="宋体" w:eastAsia="宋体" w:cs="宋体"/>
          <w:color w:val="auto"/>
          <w:kern w:val="0"/>
          <w:sz w:val="24"/>
          <w:szCs w:val="24"/>
          <w:highlight w:val="none"/>
          <w:lang w:val="en-US" w:eastAsia="zh-CN" w:bidi="ar"/>
        </w:rPr>
        <w:t>炉后烟气处置设施采用高效布袋除尘、石灰石-石膏法脱硫工艺、高效</w:t>
      </w:r>
      <w:r>
        <w:rPr>
          <w:rFonts w:hint="eastAsia" w:ascii="宋体" w:hAnsi="宋体" w:cs="宋体"/>
          <w:color w:val="auto"/>
          <w:kern w:val="0"/>
          <w:sz w:val="24"/>
          <w:szCs w:val="24"/>
          <w:highlight w:val="none"/>
          <w:lang w:val="en-US" w:eastAsia="zh-CN" w:bidi="ar"/>
        </w:rPr>
        <w:t>冷凝除尘</w:t>
      </w:r>
      <w:r>
        <w:rPr>
          <w:rFonts w:hint="eastAsia" w:ascii="宋体" w:hAnsi="宋体" w:eastAsia="宋体" w:cs="宋体"/>
          <w:color w:val="auto"/>
          <w:kern w:val="0"/>
          <w:sz w:val="24"/>
          <w:szCs w:val="24"/>
          <w:highlight w:val="none"/>
          <w:lang w:val="en-US" w:eastAsia="zh-CN" w:bidi="ar"/>
        </w:rPr>
        <w:t>除雾器、SNCR和SCR相结合的脱硝工艺。烟囱利用现有，不考虑新建。</w:t>
      </w:r>
    </w:p>
    <w:p w14:paraId="71AC810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本</w:t>
      </w:r>
      <w:r>
        <w:rPr>
          <w:rFonts w:hint="eastAsia" w:ascii="宋体" w:hAnsi="宋体" w:cs="宋体"/>
          <w:color w:val="auto"/>
          <w:kern w:val="0"/>
          <w:sz w:val="24"/>
          <w:szCs w:val="24"/>
          <w:highlight w:val="none"/>
          <w:lang w:val="en-US" w:eastAsia="zh-CN" w:bidi="ar"/>
        </w:rPr>
        <w:t>项目</w:t>
      </w:r>
      <w:r>
        <w:rPr>
          <w:rFonts w:hint="eastAsia" w:ascii="宋体" w:hAnsi="宋体" w:eastAsia="宋体" w:cs="宋体"/>
          <w:color w:val="auto"/>
          <w:kern w:val="0"/>
          <w:sz w:val="24"/>
          <w:szCs w:val="24"/>
          <w:highlight w:val="none"/>
          <w:lang w:val="en-US" w:eastAsia="zh-CN" w:bidi="ar"/>
        </w:rPr>
        <w:t>设置一套脱硫废水</w:t>
      </w:r>
      <w:r>
        <w:rPr>
          <w:rFonts w:hint="eastAsia" w:ascii="宋体" w:hAnsi="宋体" w:cs="宋体"/>
          <w:color w:val="auto"/>
          <w:kern w:val="0"/>
          <w:sz w:val="24"/>
          <w:szCs w:val="24"/>
          <w:highlight w:val="none"/>
          <w:lang w:val="en-US" w:eastAsia="zh-CN" w:bidi="ar"/>
        </w:rPr>
        <w:t>预处理系统，</w:t>
      </w:r>
      <w:r>
        <w:rPr>
          <w:rFonts w:hint="eastAsia" w:ascii="宋体" w:hAnsi="宋体" w:eastAsia="宋体" w:cs="宋体"/>
          <w:color w:val="auto"/>
          <w:kern w:val="0"/>
          <w:sz w:val="24"/>
          <w:szCs w:val="24"/>
          <w:highlight w:val="none"/>
          <w:lang w:val="en-US" w:eastAsia="zh-CN" w:bidi="ar"/>
        </w:rPr>
        <w:t>废水</w:t>
      </w:r>
      <w:r>
        <w:rPr>
          <w:rFonts w:hint="eastAsia" w:ascii="宋体" w:hAnsi="宋体" w:cs="宋体"/>
          <w:color w:val="auto"/>
          <w:kern w:val="0"/>
          <w:sz w:val="24"/>
          <w:szCs w:val="24"/>
          <w:highlight w:val="none"/>
          <w:lang w:val="en-US" w:eastAsia="zh-CN" w:bidi="ar"/>
        </w:rPr>
        <w:t>预处理系统设计处理量为10t/h，采用三联箱处理工艺。</w:t>
      </w:r>
    </w:p>
    <w:p w14:paraId="09830E1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auto"/>
          <w:kern w:val="0"/>
          <w:sz w:val="24"/>
          <w:szCs w:val="24"/>
          <w:highlight w:val="none"/>
          <w:lang w:val="en-US" w:eastAsia="zh-CN" w:bidi="ar"/>
        </w:rPr>
      </w:pPr>
      <w:r>
        <w:rPr>
          <w:rFonts w:hint="eastAsia" w:ascii="宋体" w:hAnsi="宋体" w:cs="宋体"/>
          <w:color w:val="auto"/>
          <w:kern w:val="0"/>
          <w:sz w:val="24"/>
          <w:szCs w:val="24"/>
          <w:highlight w:val="none"/>
          <w:lang w:val="en-US" w:eastAsia="zh-CN" w:bidi="ar"/>
        </w:rPr>
        <w:t>脱硫</w:t>
      </w:r>
      <w:r>
        <w:rPr>
          <w:rFonts w:hint="eastAsia" w:ascii="宋体" w:hAnsi="宋体" w:eastAsia="宋体" w:cs="宋体"/>
          <w:color w:val="auto"/>
          <w:kern w:val="0"/>
          <w:sz w:val="24"/>
          <w:szCs w:val="24"/>
          <w:highlight w:val="none"/>
          <w:lang w:val="en-US" w:eastAsia="zh-CN" w:bidi="ar"/>
        </w:rPr>
        <w:t>废水</w:t>
      </w:r>
      <w:r>
        <w:rPr>
          <w:rFonts w:hint="eastAsia" w:ascii="宋体" w:hAnsi="宋体" w:cs="宋体"/>
          <w:color w:val="auto"/>
          <w:kern w:val="0"/>
          <w:sz w:val="24"/>
          <w:szCs w:val="24"/>
          <w:highlight w:val="none"/>
          <w:lang w:val="en-US" w:eastAsia="zh-CN" w:bidi="ar"/>
        </w:rPr>
        <w:t>零排放系统</w:t>
      </w:r>
      <w:r>
        <w:rPr>
          <w:rFonts w:hint="eastAsia" w:ascii="宋体" w:hAnsi="宋体" w:eastAsia="宋体" w:cs="宋体"/>
          <w:color w:val="auto"/>
          <w:kern w:val="0"/>
          <w:sz w:val="24"/>
          <w:szCs w:val="24"/>
          <w:highlight w:val="none"/>
          <w:lang w:val="en-US" w:eastAsia="zh-CN" w:bidi="ar"/>
        </w:rPr>
        <w:t>采用“先浓缩减量后旁路高温烟气干化”的工艺</w:t>
      </w:r>
      <w:r>
        <w:rPr>
          <w:rFonts w:hint="eastAsia" w:ascii="宋体" w:hAnsi="宋体" w:cs="宋体"/>
          <w:color w:val="auto"/>
          <w:kern w:val="0"/>
          <w:sz w:val="24"/>
          <w:szCs w:val="24"/>
          <w:highlight w:val="none"/>
          <w:lang w:val="en-US" w:eastAsia="zh-CN" w:bidi="ar"/>
        </w:rPr>
        <w:t>，</w:t>
      </w:r>
      <w:r>
        <w:rPr>
          <w:rFonts w:hint="eastAsia" w:ascii="宋体" w:hAnsi="宋体" w:eastAsia="宋体" w:cs="宋体"/>
          <w:color w:val="auto"/>
          <w:kern w:val="0"/>
          <w:sz w:val="24"/>
          <w:szCs w:val="24"/>
          <w:highlight w:val="none"/>
          <w:lang w:val="en-US" w:eastAsia="zh-CN" w:bidi="ar"/>
        </w:rPr>
        <w:t>处理量2.5m</w:t>
      </w:r>
      <w:r>
        <w:rPr>
          <w:rFonts w:hint="eastAsia" w:ascii="宋体" w:hAnsi="宋体" w:eastAsia="宋体" w:cs="宋体"/>
          <w:color w:val="auto"/>
          <w:kern w:val="0"/>
          <w:sz w:val="24"/>
          <w:szCs w:val="24"/>
          <w:highlight w:val="none"/>
          <w:vertAlign w:val="superscript"/>
          <w:lang w:val="en-US" w:eastAsia="zh-CN" w:bidi="ar"/>
        </w:rPr>
        <w:t>3</w:t>
      </w:r>
      <w:r>
        <w:rPr>
          <w:rFonts w:hint="eastAsia" w:ascii="宋体" w:hAnsi="宋体" w:eastAsia="宋体" w:cs="宋体"/>
          <w:color w:val="auto"/>
          <w:kern w:val="0"/>
          <w:sz w:val="24"/>
          <w:szCs w:val="24"/>
          <w:highlight w:val="none"/>
          <w:lang w:val="en-US" w:eastAsia="zh-CN" w:bidi="ar"/>
        </w:rPr>
        <w:t>/h</w:t>
      </w:r>
      <w:r>
        <w:rPr>
          <w:rFonts w:hint="eastAsia" w:ascii="宋体" w:hAnsi="宋体" w:cs="宋体"/>
          <w:color w:val="auto"/>
          <w:kern w:val="0"/>
          <w:sz w:val="24"/>
          <w:szCs w:val="24"/>
          <w:highlight w:val="none"/>
          <w:lang w:val="en-US" w:eastAsia="zh-CN" w:bidi="ar"/>
        </w:rPr>
        <w:t>,不属本工程范围</w:t>
      </w:r>
      <w:r>
        <w:rPr>
          <w:rFonts w:hint="eastAsia" w:ascii="宋体" w:hAnsi="宋体" w:eastAsia="宋体" w:cs="宋体"/>
          <w:color w:val="auto"/>
          <w:kern w:val="0"/>
          <w:sz w:val="24"/>
          <w:szCs w:val="24"/>
          <w:highlight w:val="none"/>
          <w:lang w:val="en-US" w:eastAsia="zh-CN" w:bidi="ar"/>
        </w:rPr>
        <w:t>。</w:t>
      </w:r>
    </w:p>
    <w:bookmarkEnd w:id="20"/>
    <w:p w14:paraId="547724E3">
      <w:pPr>
        <w:numPr>
          <w:ilvl w:val="2"/>
          <w:numId w:val="1"/>
        </w:numPr>
        <w:adjustRightInd w:val="0"/>
        <w:snapToGrid w:val="0"/>
        <w:spacing w:line="360" w:lineRule="auto"/>
        <w:rPr>
          <w:color w:val="auto"/>
          <w:sz w:val="24"/>
          <w:highlight w:val="none"/>
        </w:rPr>
      </w:pPr>
      <w:r>
        <w:rPr>
          <w:color w:val="auto"/>
          <w:sz w:val="24"/>
          <w:highlight w:val="none"/>
        </w:rPr>
        <w:t>场地条件和自然条件</w:t>
      </w:r>
    </w:p>
    <w:p w14:paraId="2DD00AFB">
      <w:pPr>
        <w:numPr>
          <w:ilvl w:val="3"/>
          <w:numId w:val="1"/>
        </w:numPr>
        <w:adjustRightInd w:val="0"/>
        <w:snapToGrid w:val="0"/>
        <w:spacing w:line="360" w:lineRule="auto"/>
        <w:rPr>
          <w:color w:val="auto"/>
          <w:sz w:val="24"/>
          <w:highlight w:val="none"/>
        </w:rPr>
      </w:pPr>
      <w:r>
        <w:rPr>
          <w:color w:val="auto"/>
          <w:sz w:val="24"/>
          <w:highlight w:val="none"/>
        </w:rPr>
        <w:t>厂址概述</w:t>
      </w:r>
    </w:p>
    <w:p w14:paraId="47833FDB">
      <w:pPr>
        <w:keepNext w:val="0"/>
        <w:keepLines w:val="0"/>
        <w:pageBreakBefore w:val="0"/>
        <w:widowControl/>
        <w:suppressLineNumbers w:val="0"/>
        <w:kinsoku/>
        <w:wordWrap/>
        <w:overflowPunct/>
        <w:topLinePunct w:val="0"/>
        <w:autoSpaceDE/>
        <w:autoSpaceDN/>
        <w:bidi w:val="0"/>
        <w:adjustRightInd/>
        <w:snapToGrid/>
        <w:spacing w:line="360" w:lineRule="auto"/>
        <w:ind w:firstLine="500" w:firstLineChars="200"/>
        <w:jc w:val="both"/>
        <w:textAlignment w:val="auto"/>
        <w:rPr>
          <w:color w:val="auto"/>
          <w:sz w:val="24"/>
          <w:highlight w:val="none"/>
        </w:rPr>
      </w:pPr>
      <w:bookmarkStart w:id="21" w:name="OLE_LINK58"/>
      <w:r>
        <w:rPr>
          <w:rFonts w:hint="eastAsia" w:ascii="宋体" w:hAnsi="宋体" w:eastAsia="宋体" w:cs="宋体"/>
          <w:color w:val="auto"/>
          <w:kern w:val="0"/>
          <w:sz w:val="25"/>
          <w:szCs w:val="25"/>
          <w:highlight w:val="none"/>
          <w:lang w:val="en-US" w:eastAsia="zh-CN" w:bidi="ar"/>
        </w:rPr>
        <w:t>台州临港热电有限公司（简称“临港热电”）位于头门港片区的临海医化园区，现有规模为</w:t>
      </w:r>
      <w:r>
        <w:rPr>
          <w:rFonts w:hint="default" w:ascii="Times New Roman" w:hAnsi="Times New Roman" w:eastAsia="宋体" w:cs="Times New Roman"/>
          <w:color w:val="auto"/>
          <w:kern w:val="0"/>
          <w:sz w:val="25"/>
          <w:szCs w:val="25"/>
          <w:highlight w:val="none"/>
          <w:lang w:val="en-US" w:eastAsia="zh-CN" w:bidi="ar"/>
        </w:rPr>
        <w:t>3</w:t>
      </w:r>
      <w:r>
        <w:rPr>
          <w:rFonts w:hint="eastAsia" w:ascii="宋体" w:hAnsi="宋体" w:eastAsia="宋体" w:cs="宋体"/>
          <w:color w:val="auto"/>
          <w:kern w:val="0"/>
          <w:sz w:val="25"/>
          <w:szCs w:val="25"/>
          <w:highlight w:val="none"/>
          <w:lang w:val="en-US" w:eastAsia="zh-CN" w:bidi="ar"/>
        </w:rPr>
        <w:t>台</w:t>
      </w:r>
      <w:r>
        <w:rPr>
          <w:rFonts w:hint="default" w:ascii="Times New Roman" w:hAnsi="Times New Roman" w:eastAsia="宋体" w:cs="Times New Roman"/>
          <w:color w:val="auto"/>
          <w:kern w:val="0"/>
          <w:sz w:val="25"/>
          <w:szCs w:val="25"/>
          <w:highlight w:val="none"/>
          <w:lang w:val="en-US" w:eastAsia="zh-CN" w:bidi="ar"/>
        </w:rPr>
        <w:t>150t/h</w:t>
      </w:r>
      <w:r>
        <w:rPr>
          <w:rFonts w:hint="eastAsia" w:ascii="宋体" w:hAnsi="宋体" w:eastAsia="宋体" w:cs="宋体"/>
          <w:color w:val="auto"/>
          <w:kern w:val="0"/>
          <w:sz w:val="25"/>
          <w:szCs w:val="25"/>
          <w:highlight w:val="none"/>
          <w:lang w:val="en-US" w:eastAsia="zh-CN" w:bidi="ar"/>
        </w:rPr>
        <w:t>高温高压循环流化床锅炉、</w:t>
      </w:r>
      <w:r>
        <w:rPr>
          <w:rFonts w:hint="default" w:ascii="Times New Roman" w:hAnsi="Times New Roman" w:eastAsia="宋体" w:cs="Times New Roman"/>
          <w:color w:val="auto"/>
          <w:kern w:val="0"/>
          <w:sz w:val="25"/>
          <w:szCs w:val="25"/>
          <w:highlight w:val="none"/>
          <w:lang w:val="en-US" w:eastAsia="zh-CN" w:bidi="ar"/>
        </w:rPr>
        <w:t>2</w:t>
      </w:r>
      <w:r>
        <w:rPr>
          <w:rFonts w:hint="eastAsia" w:ascii="宋体" w:hAnsi="宋体" w:eastAsia="宋体" w:cs="宋体"/>
          <w:color w:val="auto"/>
          <w:kern w:val="0"/>
          <w:sz w:val="25"/>
          <w:szCs w:val="25"/>
          <w:highlight w:val="none"/>
          <w:lang w:val="en-US" w:eastAsia="zh-CN" w:bidi="ar"/>
        </w:rPr>
        <w:t>台</w:t>
      </w:r>
      <w:r>
        <w:rPr>
          <w:rFonts w:hint="default" w:ascii="Times New Roman" w:hAnsi="Times New Roman" w:eastAsia="宋体" w:cs="Times New Roman"/>
          <w:color w:val="auto"/>
          <w:kern w:val="0"/>
          <w:sz w:val="25"/>
          <w:szCs w:val="25"/>
          <w:highlight w:val="none"/>
          <w:lang w:val="en-US" w:eastAsia="zh-CN" w:bidi="ar"/>
        </w:rPr>
        <w:t>15MW</w:t>
      </w:r>
      <w:r>
        <w:rPr>
          <w:rFonts w:hint="eastAsia" w:ascii="宋体" w:hAnsi="宋体" w:eastAsia="宋体" w:cs="宋体"/>
          <w:color w:val="auto"/>
          <w:kern w:val="0"/>
          <w:sz w:val="25"/>
          <w:szCs w:val="25"/>
          <w:highlight w:val="none"/>
          <w:lang w:val="en-US" w:eastAsia="zh-CN" w:bidi="ar"/>
        </w:rPr>
        <w:t>背压式汽轮发电机组。台州临港热电有限公司主要负责向临海医化园区（东区）企业供热，集中供热分区互联互通后，根据两处热源点实情出发，台州临港热电有限公司需要考虑承担临海医化园区（西区）企业新增供热负荷。临港热电地处浙江省化学原料药基地临海医化园区，东海第四大道北侧、南洋六路西侧，总占地面积约</w:t>
      </w:r>
      <w:r>
        <w:rPr>
          <w:rFonts w:hint="default" w:ascii="Times New Roman" w:hAnsi="Times New Roman" w:eastAsia="宋体" w:cs="Times New Roman"/>
          <w:color w:val="auto"/>
          <w:kern w:val="0"/>
          <w:sz w:val="25"/>
          <w:szCs w:val="25"/>
          <w:highlight w:val="none"/>
          <w:lang w:val="en-US" w:eastAsia="zh-CN" w:bidi="ar"/>
        </w:rPr>
        <w:t>118.76</w:t>
      </w:r>
      <w:r>
        <w:rPr>
          <w:rFonts w:hint="eastAsia" w:ascii="宋体" w:hAnsi="宋体" w:eastAsia="宋体" w:cs="宋体"/>
          <w:color w:val="auto"/>
          <w:kern w:val="0"/>
          <w:sz w:val="25"/>
          <w:szCs w:val="25"/>
          <w:highlight w:val="none"/>
          <w:lang w:val="en-US" w:eastAsia="zh-CN" w:bidi="ar"/>
        </w:rPr>
        <w:t>亩。</w:t>
      </w:r>
    </w:p>
    <w:bookmarkEnd w:id="21"/>
    <w:p w14:paraId="7A5D4367">
      <w:pPr>
        <w:numPr>
          <w:ilvl w:val="3"/>
          <w:numId w:val="1"/>
        </w:numPr>
        <w:adjustRightInd w:val="0"/>
        <w:snapToGrid w:val="0"/>
        <w:spacing w:line="360" w:lineRule="auto"/>
        <w:rPr>
          <w:color w:val="auto"/>
          <w:sz w:val="24"/>
          <w:highlight w:val="none"/>
        </w:rPr>
      </w:pPr>
      <w:r>
        <w:rPr>
          <w:color w:val="auto"/>
          <w:sz w:val="24"/>
          <w:highlight w:val="none"/>
        </w:rPr>
        <w:t>气象条件</w:t>
      </w:r>
    </w:p>
    <w:p w14:paraId="55FE7713">
      <w:pPr>
        <w:keepNext w:val="0"/>
        <w:keepLines w:val="0"/>
        <w:pageBreakBefore w:val="0"/>
        <w:widowControl/>
        <w:numPr>
          <w:ilvl w:val="3"/>
          <w:numId w:val="1"/>
        </w:numPr>
        <w:suppressLineNumbers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highlight w:val="none"/>
        </w:rPr>
      </w:pPr>
      <w:bookmarkStart w:id="22" w:name="OLE_LINK59"/>
      <w:r>
        <w:rPr>
          <w:rFonts w:hint="eastAsia" w:ascii="宋体" w:hAnsi="宋体" w:eastAsia="宋体" w:cs="宋体"/>
          <w:color w:val="auto"/>
          <w:kern w:val="0"/>
          <w:sz w:val="24"/>
          <w:szCs w:val="24"/>
          <w:highlight w:val="none"/>
          <w:lang w:val="en-US" w:eastAsia="zh-CN" w:bidi="ar"/>
        </w:rPr>
        <w:t>临海市属亚热带季风性湿润气候，四季分明，年平均气温 17.1℃，受海洋水体调节和西北高山对寒流的阻滞，境内夏少酷热，冬无邪寒，热量丰富，雨水充沛，气候温和湿润。</w:t>
      </w:r>
    </w:p>
    <w:p w14:paraId="035E446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多年平均气温17.9℃；</w:t>
      </w:r>
    </w:p>
    <w:p w14:paraId="3D68869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极端最高气温36.6°（1966年8月9日）；</w:t>
      </w:r>
    </w:p>
    <w:p w14:paraId="173F5F0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极端最低气温－5.8°；</w:t>
      </w:r>
    </w:p>
    <w:p w14:paraId="243BF83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多年平均降水量1558.47.1mm；</w:t>
      </w:r>
    </w:p>
    <w:p w14:paraId="64D329F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最大降水量2375.1mm；</w:t>
      </w:r>
    </w:p>
    <w:p w14:paraId="6D0C5D4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最小降水量912.8mm；</w:t>
      </w:r>
    </w:p>
    <w:p w14:paraId="2572E64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多年平均蒸发量1360.4mm；</w:t>
      </w:r>
    </w:p>
    <w:p w14:paraId="2DC4324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多年平均风速为2.7m/s；</w:t>
      </w:r>
    </w:p>
    <w:p w14:paraId="3D45E50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瞬时极端最大风速45m/s；</w:t>
      </w:r>
    </w:p>
    <w:p w14:paraId="688DAE2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最大 24 小时降水量446.7mm；</w:t>
      </w:r>
    </w:p>
    <w:p w14:paraId="4EECA74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最大 1 小时降水量58.2mm；</w:t>
      </w:r>
    </w:p>
    <w:p w14:paraId="6DA7226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4"/>
          <w:highlight w:val="none"/>
        </w:rPr>
      </w:pPr>
      <w:r>
        <w:rPr>
          <w:rFonts w:hint="eastAsia" w:ascii="宋体" w:hAnsi="宋体" w:eastAsia="宋体" w:cs="宋体"/>
          <w:color w:val="auto"/>
          <w:kern w:val="0"/>
          <w:sz w:val="24"/>
          <w:szCs w:val="24"/>
          <w:highlight w:val="none"/>
          <w:lang w:val="en-US" w:eastAsia="zh-CN" w:bidi="ar"/>
        </w:rPr>
        <w:t>最长连续降雨天数18天，过程降雨量254.6mm。降水一般集中在4～6月和7～9月。建设场地台风规律一般为每年1-2次，最高为3-4次，影响季节一般为7-9月，最早为5月，最迟为11月，台风暴雨常常是形成地质灾害的重要引发因素之一。</w:t>
      </w:r>
    </w:p>
    <w:bookmarkEnd w:id="22"/>
    <w:p w14:paraId="155DB685">
      <w:pPr>
        <w:numPr>
          <w:ilvl w:val="2"/>
          <w:numId w:val="1"/>
        </w:numPr>
        <w:adjustRightInd w:val="0"/>
        <w:snapToGrid w:val="0"/>
        <w:spacing w:line="360" w:lineRule="auto"/>
        <w:rPr>
          <w:color w:val="auto"/>
          <w:sz w:val="24"/>
          <w:highlight w:val="none"/>
        </w:rPr>
      </w:pPr>
      <w:r>
        <w:rPr>
          <w:color w:val="auto"/>
          <w:sz w:val="24"/>
          <w:highlight w:val="none"/>
        </w:rPr>
        <w:t>工程地质</w:t>
      </w:r>
    </w:p>
    <w:p w14:paraId="3B81E3E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sz w:val="24"/>
          <w:szCs w:val="24"/>
          <w:highlight w:val="none"/>
          <w:lang w:val="en-US" w:eastAsia="zh-CN"/>
        </w:rPr>
      </w:pPr>
      <w:bookmarkStart w:id="23" w:name="OLE_LINK60"/>
      <w:r>
        <w:rPr>
          <w:rFonts w:hint="eastAsia" w:ascii="宋体" w:hAnsi="宋体" w:eastAsia="宋体" w:cs="宋体"/>
          <w:color w:val="auto"/>
          <w:sz w:val="24"/>
          <w:szCs w:val="24"/>
          <w:highlight w:val="none"/>
          <w:lang w:val="en-US" w:eastAsia="zh-CN"/>
        </w:rPr>
        <w:t>1.1.3.1地质（</w:t>
      </w:r>
      <w:r>
        <w:rPr>
          <w:rFonts w:hint="eastAsia" w:ascii="宋体" w:hAnsi="宋体" w:eastAsia="宋体" w:cs="宋体"/>
          <w:color w:val="auto"/>
          <w:sz w:val="24"/>
          <w:szCs w:val="24"/>
          <w:highlight w:val="none"/>
          <w:lang w:val="en-US" w:eastAsia="zh-CN"/>
        </w:rPr>
        <w:t>最终以详勘为准</w:t>
      </w:r>
      <w:r>
        <w:rPr>
          <w:rFonts w:hint="eastAsia" w:ascii="宋体" w:hAnsi="宋体" w:eastAsia="宋体" w:cs="宋体"/>
          <w:color w:val="auto"/>
          <w:sz w:val="24"/>
          <w:szCs w:val="24"/>
          <w:highlight w:val="none"/>
          <w:lang w:val="en-US" w:eastAsia="zh-CN"/>
        </w:rPr>
        <w:t>）</w:t>
      </w:r>
    </w:p>
    <w:p w14:paraId="1F21319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根据浙江省工程勘察设计院集团有限公司二0二五年4月份初步勘察，勘探深度以内可分为4个层组，细划为8个工程地质亚层。各层的岩性定名、岩性分层特征如下：</w:t>
      </w:r>
    </w:p>
    <w:p w14:paraId="2EC0E35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①oa层杂填土：灰色，松散。以碎石为主，局部含有建筑、生活垃圾，土质不均。碎石含量约为40~60%，碎石粒径约为5~18cm，最大粒径约为22cm。</w:t>
      </w:r>
    </w:p>
    <w:p w14:paraId="422619A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①ob层素填土：灰黑色，松散。以人工回填的粉煤灰为主，厚度约5m，广泛分布于场地浅表层。</w:t>
      </w:r>
    </w:p>
    <w:p w14:paraId="2F82D748">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②1 层淤泥质粉质黏土：灰色或灰黄色，流塑，厚层状，局部为淤泥，切面光滑，干强度及韧性高。</w:t>
      </w:r>
    </w:p>
    <w:p w14:paraId="212BE179">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②2层淤泥质黏土：灰色，流塑，厚层状，局部为淤泥，切面光滑，干强度及韧性高。</w:t>
      </w:r>
    </w:p>
    <w:p w14:paraId="5DBFAA0C">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③2层黏土：灰色，厚层状，软塑为主，局部为软可塑，干强度及韧性中等。</w:t>
      </w:r>
    </w:p>
    <w:p w14:paraId="32B39BA5">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③3层黏土：灰色，厚层状，软塑为主，局部软可塑，厚层状，切面光滑，干强度及韧性中等。</w:t>
      </w:r>
    </w:p>
    <w:p w14:paraId="4BED961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③4层黏土：灰色，软塑为主，局部为软可塑，鳞片状，切面光滑，干强度及韧性中等。</w:t>
      </w:r>
    </w:p>
    <w:p w14:paraId="29281385">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④2层粉质黏土：灰色，软可塑，薄层状，局部含粉上薄层，切面略粗糙，干强度及韧性中等</w:t>
      </w:r>
      <w:r>
        <w:rPr>
          <w:rFonts w:hint="eastAsia" w:ascii="宋体" w:hAnsi="宋体" w:cs="宋体"/>
          <w:color w:val="auto"/>
          <w:kern w:val="0"/>
          <w:sz w:val="24"/>
          <w:szCs w:val="24"/>
          <w:highlight w:val="none"/>
          <w:lang w:val="en-US" w:eastAsia="zh-CN" w:bidi="ar"/>
        </w:rPr>
        <w:t>。</w:t>
      </w:r>
    </w:p>
    <w:p w14:paraId="03476628">
      <w:pPr>
        <w:numPr>
          <w:ilvl w:val="0"/>
          <w:numId w:val="0"/>
        </w:numPr>
        <w:adjustRightInd w:val="0"/>
        <w:snapToGrid w:val="0"/>
        <w:spacing w:line="360" w:lineRule="auto"/>
        <w:ind w:leftChars="0"/>
        <w:rPr>
          <w:color w:val="auto"/>
          <w:sz w:val="24"/>
          <w:highlight w:val="none"/>
        </w:rPr>
      </w:pPr>
      <w:bookmarkStart w:id="24" w:name="OLE_LINK61"/>
      <w:r>
        <w:rPr>
          <w:rFonts w:hint="eastAsia"/>
          <w:color w:val="auto"/>
          <w:sz w:val="24"/>
          <w:highlight w:val="none"/>
          <w:lang w:val="en-US" w:eastAsia="zh-CN"/>
        </w:rPr>
        <w:t>1.1.3.2</w:t>
      </w:r>
      <w:r>
        <w:rPr>
          <w:color w:val="auto"/>
          <w:sz w:val="24"/>
          <w:highlight w:val="none"/>
        </w:rPr>
        <w:t>地震地质条件</w:t>
      </w:r>
    </w:p>
    <w:p w14:paraId="7B382A0C">
      <w:pPr>
        <w:snapToGrid w:val="0"/>
        <w:spacing w:line="360" w:lineRule="auto"/>
        <w:ind w:firstLine="460" w:firstLineChars="192"/>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本地区地震基本烈度小于6度。</w:t>
      </w:r>
      <w:bookmarkEnd w:id="24"/>
    </w:p>
    <w:p w14:paraId="3F95B1BE">
      <w:pPr>
        <w:numPr>
          <w:ilvl w:val="0"/>
          <w:numId w:val="0"/>
        </w:numPr>
        <w:adjustRightInd w:val="0"/>
        <w:snapToGrid w:val="0"/>
        <w:spacing w:line="360" w:lineRule="auto"/>
        <w:ind w:leftChars="0"/>
        <w:rPr>
          <w:rFonts w:hint="eastAsia" w:eastAsia="宋体"/>
          <w:color w:val="auto"/>
          <w:sz w:val="24"/>
          <w:highlight w:val="none"/>
          <w:lang w:val="en-US" w:eastAsia="zh-CN"/>
        </w:rPr>
      </w:pPr>
      <w:r>
        <w:rPr>
          <w:rFonts w:hint="eastAsia"/>
          <w:color w:val="auto"/>
          <w:sz w:val="24"/>
          <w:highlight w:val="none"/>
          <w:lang w:val="en-US" w:eastAsia="zh-CN"/>
        </w:rPr>
        <w:t>1.1.3.3</w:t>
      </w:r>
      <w:r>
        <w:rPr>
          <w:color w:val="auto"/>
          <w:sz w:val="24"/>
          <w:highlight w:val="none"/>
        </w:rPr>
        <w:t>水</w:t>
      </w:r>
      <w:r>
        <w:rPr>
          <w:rFonts w:hint="eastAsia"/>
          <w:color w:val="auto"/>
          <w:sz w:val="24"/>
          <w:highlight w:val="none"/>
          <w:lang w:val="en-US" w:eastAsia="zh-CN"/>
        </w:rPr>
        <w:t>源</w:t>
      </w:r>
    </w:p>
    <w:p w14:paraId="5AA3768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临海东部分区现有两座水厂，一座为杜桥水厂，现状规模为3×10</w:t>
      </w:r>
      <w:r>
        <w:rPr>
          <w:rFonts w:hint="eastAsia" w:ascii="宋体" w:hAnsi="宋体" w:eastAsia="宋体" w:cs="宋体"/>
          <w:color w:val="auto"/>
          <w:kern w:val="0"/>
          <w:sz w:val="24"/>
          <w:szCs w:val="24"/>
          <w:highlight w:val="none"/>
          <w:vertAlign w:val="superscript"/>
          <w:lang w:val="en-US" w:eastAsia="zh-CN" w:bidi="ar"/>
        </w:rPr>
        <w:t>4</w:t>
      </w:r>
      <w:r>
        <w:rPr>
          <w:rFonts w:hint="eastAsia" w:ascii="宋体" w:hAnsi="宋体" w:eastAsia="宋体" w:cs="宋体"/>
          <w:color w:val="auto"/>
          <w:kern w:val="0"/>
          <w:sz w:val="24"/>
          <w:szCs w:val="24"/>
          <w:highlight w:val="none"/>
          <w:lang w:val="en-US" w:eastAsia="zh-CN" w:bidi="ar"/>
        </w:rPr>
        <w:t>m³/d，</w:t>
      </w:r>
    </w:p>
    <w:p w14:paraId="04DD7793">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设计规模为6.0×10</w:t>
      </w:r>
      <w:r>
        <w:rPr>
          <w:rFonts w:hint="eastAsia" w:ascii="宋体" w:hAnsi="宋体" w:eastAsia="宋体" w:cs="宋体"/>
          <w:color w:val="auto"/>
          <w:kern w:val="0"/>
          <w:sz w:val="24"/>
          <w:szCs w:val="24"/>
          <w:highlight w:val="none"/>
          <w:vertAlign w:val="superscript"/>
          <w:lang w:val="en-US" w:eastAsia="zh-CN" w:bidi="ar"/>
        </w:rPr>
        <w:t>4</w:t>
      </w:r>
      <w:r>
        <w:rPr>
          <w:rFonts w:hint="eastAsia" w:ascii="宋体" w:hAnsi="宋体" w:eastAsia="宋体" w:cs="宋体"/>
          <w:color w:val="auto"/>
          <w:kern w:val="0"/>
          <w:sz w:val="24"/>
          <w:szCs w:val="24"/>
          <w:highlight w:val="none"/>
          <w:lang w:val="en-US" w:eastAsia="zh-CN" w:bidi="ar"/>
        </w:rPr>
        <w:t>m³/d，主供杜桥镇、上盘镇及医化园区；另外一座为连盘水厂，主供桃渚镇。东部产业带总体规划中明确在现状基础上进行杜桥水厂、连盘水厂的扩建，并新建完成西湖水厂、上盘水厂，供水规模达到35万</w:t>
      </w:r>
      <w:bookmarkStart w:id="25" w:name="OLE_LINK8"/>
      <w:r>
        <w:rPr>
          <w:rFonts w:hint="eastAsia" w:ascii="宋体" w:hAnsi="宋体" w:eastAsia="宋体" w:cs="宋体"/>
          <w:color w:val="auto"/>
          <w:kern w:val="0"/>
          <w:sz w:val="24"/>
          <w:szCs w:val="24"/>
          <w:highlight w:val="none"/>
          <w:lang w:val="en-US" w:eastAsia="zh-CN" w:bidi="ar"/>
        </w:rPr>
        <w:t>m³</w:t>
      </w:r>
      <w:bookmarkEnd w:id="25"/>
      <w:r>
        <w:rPr>
          <w:rFonts w:hint="eastAsia" w:ascii="宋体" w:hAnsi="宋体" w:eastAsia="宋体" w:cs="宋体"/>
          <w:color w:val="auto"/>
          <w:kern w:val="0"/>
          <w:sz w:val="24"/>
          <w:szCs w:val="24"/>
          <w:highlight w:val="none"/>
          <w:lang w:val="en-US" w:eastAsia="zh-CN" w:bidi="ar"/>
        </w:rPr>
        <w:t>/d。远景最终供水规模达到47×10</w:t>
      </w:r>
      <w:r>
        <w:rPr>
          <w:rFonts w:hint="eastAsia" w:ascii="宋体" w:hAnsi="宋体" w:eastAsia="宋体" w:cs="宋体"/>
          <w:color w:val="auto"/>
          <w:kern w:val="0"/>
          <w:sz w:val="24"/>
          <w:szCs w:val="24"/>
          <w:highlight w:val="none"/>
          <w:vertAlign w:val="superscript"/>
          <w:lang w:val="en-US" w:eastAsia="zh-CN" w:bidi="ar"/>
        </w:rPr>
        <w:t>4</w:t>
      </w:r>
      <w:r>
        <w:rPr>
          <w:rFonts w:hint="eastAsia" w:ascii="宋体" w:hAnsi="宋体" w:eastAsia="宋体" w:cs="宋体"/>
          <w:color w:val="auto"/>
          <w:kern w:val="0"/>
          <w:sz w:val="24"/>
          <w:szCs w:val="24"/>
          <w:highlight w:val="none"/>
          <w:lang w:val="en-US" w:eastAsia="zh-CN" w:bidi="ar"/>
        </w:rPr>
        <w:t>m³/d，同时在远景开展海水淡化处理，以满足用水需求。台州临港热电有限公司现有工程厂区工业用水、消防用水、生活用水等均采用市政自来水。</w:t>
      </w:r>
    </w:p>
    <w:p w14:paraId="6D88387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Ansi="宋体" w:cs="宋体"/>
          <w:color w:val="auto"/>
          <w:position w:val="-2"/>
          <w:sz w:val="24"/>
          <w:szCs w:val="24"/>
          <w:highlight w:val="none"/>
          <w:lang w:bidi="ar"/>
        </w:rPr>
      </w:pPr>
      <w:r>
        <w:rPr>
          <w:rFonts w:hint="eastAsia" w:ascii="宋体" w:hAnsi="宋体" w:eastAsia="宋体" w:cs="宋体"/>
          <w:color w:val="auto"/>
          <w:kern w:val="0"/>
          <w:sz w:val="24"/>
          <w:szCs w:val="24"/>
          <w:highlight w:val="none"/>
          <w:lang w:val="en-US" w:eastAsia="zh-CN" w:bidi="ar"/>
        </w:rPr>
        <w:t>本项目厂区工业用水、消防补水、生活用水等均采用市政自来水。消防水取自厂区原有消防水池。</w:t>
      </w:r>
    </w:p>
    <w:bookmarkEnd w:id="23"/>
    <w:p w14:paraId="1B75B59C">
      <w:pPr>
        <w:numPr>
          <w:ilvl w:val="2"/>
          <w:numId w:val="1"/>
        </w:numPr>
        <w:adjustRightInd w:val="0"/>
        <w:snapToGrid w:val="0"/>
        <w:spacing w:line="360" w:lineRule="auto"/>
        <w:rPr>
          <w:color w:val="auto"/>
          <w:sz w:val="24"/>
          <w:highlight w:val="none"/>
        </w:rPr>
      </w:pPr>
      <w:r>
        <w:rPr>
          <w:color w:val="auto"/>
          <w:sz w:val="24"/>
          <w:highlight w:val="none"/>
        </w:rPr>
        <w:t>交通运输</w:t>
      </w:r>
    </w:p>
    <w:p w14:paraId="04FAB05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color w:val="auto"/>
          <w:sz w:val="24"/>
          <w:highlight w:val="none"/>
        </w:rPr>
      </w:pPr>
      <w:r>
        <w:rPr>
          <w:rFonts w:hint="eastAsia" w:ascii="宋体" w:hAnsi="宋体" w:eastAsia="宋体" w:cs="宋体"/>
          <w:color w:val="auto"/>
          <w:kern w:val="0"/>
          <w:sz w:val="24"/>
          <w:szCs w:val="24"/>
          <w:highlight w:val="none"/>
          <w:lang w:val="en-US" w:eastAsia="zh-CN" w:bidi="ar"/>
        </w:rPr>
        <w:t>台州临港热电有限公司地处临海医化园区，厂址南侧为园区东海第四大道通过，周边河网分布，其中椒江距离厂址南侧不到1公里。该区域交通运输十分便捷，距台州市区10公里，黄岩机场20公里，海门港8公里，并距温州、宁波、杭州机场2-3小时车程，同时基地紧邻104国道、甬台温、上三高速公路，并与建设中的台缙高速公路、甬台温高速公路复线，规划中的甬台温铁路相连接。</w:t>
      </w:r>
    </w:p>
    <w:p w14:paraId="77BDC7AA">
      <w:pPr>
        <w:numPr>
          <w:ilvl w:val="2"/>
          <w:numId w:val="1"/>
        </w:numPr>
        <w:adjustRightInd w:val="0"/>
        <w:snapToGrid w:val="0"/>
        <w:spacing w:line="360" w:lineRule="auto"/>
        <w:rPr>
          <w:color w:val="auto"/>
          <w:sz w:val="24"/>
          <w:highlight w:val="none"/>
        </w:rPr>
      </w:pPr>
      <w:bookmarkStart w:id="26" w:name="_Toc482189915"/>
      <w:r>
        <w:rPr>
          <w:color w:val="auto"/>
          <w:sz w:val="24"/>
          <w:highlight w:val="none"/>
        </w:rPr>
        <w:t>现场条件</w:t>
      </w:r>
    </w:p>
    <w:p w14:paraId="2CAA0F47">
      <w:pPr>
        <w:adjustRightInd w:val="0"/>
        <w:snapToGrid w:val="0"/>
        <w:spacing w:line="360" w:lineRule="auto"/>
        <w:ind w:firstLine="480" w:firstLineChars="200"/>
        <w:rPr>
          <w:color w:val="auto"/>
          <w:sz w:val="24"/>
          <w:highlight w:val="none"/>
        </w:rPr>
      </w:pPr>
      <w:r>
        <w:rPr>
          <w:color w:val="auto"/>
          <w:sz w:val="24"/>
          <w:highlight w:val="none"/>
        </w:rPr>
        <w:t>脱硫办公临设</w:t>
      </w:r>
      <w:r>
        <w:rPr>
          <w:rFonts w:hint="default"/>
          <w:color w:val="auto"/>
          <w:sz w:val="24"/>
          <w:highlight w:val="none"/>
          <w:lang w:val="en-US" w:eastAsia="zh-CN"/>
        </w:rPr>
        <w:t>招标方只负责一间</w:t>
      </w:r>
      <w:r>
        <w:rPr>
          <w:rFonts w:hint="eastAsia"/>
          <w:color w:val="auto"/>
          <w:sz w:val="24"/>
          <w:highlight w:val="none"/>
          <w:lang w:val="en-US" w:eastAsia="zh-CN"/>
        </w:rPr>
        <w:t>，</w:t>
      </w:r>
      <w:r>
        <w:rPr>
          <w:color w:val="auto"/>
          <w:sz w:val="24"/>
          <w:highlight w:val="none"/>
        </w:rPr>
        <w:t>生活临设不提供场地，由</w:t>
      </w:r>
      <w:r>
        <w:rPr>
          <w:rFonts w:hint="eastAsia"/>
          <w:color w:val="auto"/>
          <w:sz w:val="24"/>
          <w:highlight w:val="none"/>
          <w:lang w:eastAsia="zh-CN"/>
        </w:rPr>
        <w:t>投标方</w:t>
      </w:r>
      <w:r>
        <w:rPr>
          <w:color w:val="auto"/>
          <w:sz w:val="24"/>
          <w:highlight w:val="none"/>
        </w:rPr>
        <w:t>自行解决。</w:t>
      </w:r>
    </w:p>
    <w:p w14:paraId="141DC95D">
      <w:pPr>
        <w:adjustRightInd w:val="0"/>
        <w:snapToGrid w:val="0"/>
        <w:spacing w:line="360" w:lineRule="auto"/>
        <w:ind w:right="-109" w:rightChars="-52" w:firstLine="510"/>
        <w:textAlignment w:val="baseline"/>
        <w:rPr>
          <w:color w:val="auto"/>
          <w:sz w:val="24"/>
          <w:highlight w:val="none"/>
        </w:rPr>
      </w:pPr>
      <w:r>
        <w:rPr>
          <w:color w:val="auto"/>
          <w:sz w:val="24"/>
          <w:highlight w:val="none"/>
        </w:rPr>
        <w:t>施工用水及用电由</w:t>
      </w:r>
      <w:r>
        <w:rPr>
          <w:rFonts w:hint="eastAsia"/>
          <w:color w:val="auto"/>
          <w:sz w:val="24"/>
          <w:highlight w:val="none"/>
          <w:lang w:eastAsia="zh-CN"/>
        </w:rPr>
        <w:t>招标方</w:t>
      </w:r>
      <w:r>
        <w:rPr>
          <w:color w:val="auto"/>
          <w:sz w:val="24"/>
          <w:highlight w:val="none"/>
        </w:rPr>
        <w:t>指定接口自行引入。</w:t>
      </w:r>
    </w:p>
    <w:p w14:paraId="1246CE22">
      <w:pPr>
        <w:adjustRightInd w:val="0"/>
        <w:snapToGrid w:val="0"/>
        <w:spacing w:line="360" w:lineRule="auto"/>
        <w:ind w:right="-109" w:rightChars="-52" w:firstLine="510"/>
        <w:textAlignment w:val="baseline"/>
        <w:rPr>
          <w:rFonts w:hint="default" w:eastAsia="宋体"/>
          <w:color w:val="auto"/>
          <w:sz w:val="24"/>
          <w:highlight w:val="none"/>
          <w:lang w:val="en-US" w:eastAsia="zh-CN"/>
        </w:rPr>
      </w:pPr>
      <w:r>
        <w:rPr>
          <w:rFonts w:hint="eastAsia"/>
          <w:color w:val="auto"/>
          <w:sz w:val="24"/>
          <w:highlight w:val="none"/>
          <w:lang w:val="en-US" w:eastAsia="zh-CN"/>
        </w:rPr>
        <w:t>由于现场场地有有限，投标方投标时需充分考虑，并接受主体工程总包方协调、安排。项目位置参考附件17总图。</w:t>
      </w:r>
    </w:p>
    <w:p w14:paraId="7135C036">
      <w:pPr>
        <w:spacing w:line="360" w:lineRule="auto"/>
        <w:outlineLvl w:val="2"/>
        <w:rPr>
          <w:b/>
          <w:color w:val="auto"/>
          <w:sz w:val="24"/>
          <w:highlight w:val="none"/>
        </w:rPr>
      </w:pPr>
      <w:r>
        <w:rPr>
          <w:b/>
          <w:color w:val="auto"/>
          <w:sz w:val="24"/>
          <w:highlight w:val="none"/>
        </w:rPr>
        <w:t>1.2 脱硫系统设计条件</w:t>
      </w:r>
      <w:bookmarkEnd w:id="26"/>
    </w:p>
    <w:p w14:paraId="249EA41C">
      <w:pPr>
        <w:adjustRightInd w:val="0"/>
        <w:snapToGrid w:val="0"/>
        <w:spacing w:line="360" w:lineRule="auto"/>
        <w:rPr>
          <w:color w:val="auto"/>
          <w:sz w:val="24"/>
          <w:highlight w:val="none"/>
        </w:rPr>
      </w:pPr>
      <w:r>
        <w:rPr>
          <w:color w:val="auto"/>
          <w:sz w:val="24"/>
          <w:highlight w:val="none"/>
        </w:rPr>
        <w:t>1.2.1主要设备参数</w:t>
      </w:r>
    </w:p>
    <w:p w14:paraId="2DD810B7">
      <w:pPr>
        <w:adjustRightInd w:val="0"/>
        <w:snapToGrid w:val="0"/>
        <w:spacing w:line="360" w:lineRule="auto"/>
        <w:jc w:val="center"/>
        <w:rPr>
          <w:color w:val="auto"/>
          <w:highlight w:val="none"/>
        </w:rPr>
      </w:pPr>
      <w:r>
        <w:rPr>
          <w:color w:val="auto"/>
          <w:sz w:val="24"/>
          <w:highlight w:val="none"/>
        </w:rPr>
        <w:t>表1-1-1 与脱硫系统有关的主要</w:t>
      </w:r>
      <w:r>
        <w:rPr>
          <w:rFonts w:hint="eastAsia"/>
          <w:color w:val="auto"/>
          <w:sz w:val="24"/>
          <w:highlight w:val="none"/>
        </w:rPr>
        <w:t>锅炉</w:t>
      </w:r>
      <w:r>
        <w:rPr>
          <w:color w:val="auto"/>
          <w:sz w:val="24"/>
          <w:highlight w:val="none"/>
        </w:rPr>
        <w:t>参数表</w:t>
      </w:r>
      <w:r>
        <w:rPr>
          <w:rFonts w:hint="eastAsia"/>
          <w:color w:val="auto"/>
          <w:sz w:val="24"/>
          <w:highlight w:val="none"/>
        </w:rPr>
        <w:t>（暂定）</w:t>
      </w:r>
    </w:p>
    <w:tbl>
      <w:tblPr>
        <w:tblStyle w:val="52"/>
        <w:tblW w:w="0" w:type="auto"/>
        <w:tblInd w:w="-56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20"/>
        <w:gridCol w:w="2622"/>
        <w:gridCol w:w="1188"/>
        <w:gridCol w:w="1095"/>
        <w:gridCol w:w="1395"/>
        <w:gridCol w:w="1408"/>
      </w:tblGrid>
      <w:tr w14:paraId="6F7542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blHeader/>
        </w:trPr>
        <w:tc>
          <w:tcPr>
            <w:tcW w:w="1320" w:type="dxa"/>
            <w:noWrap w:val="0"/>
            <w:vAlign w:val="top"/>
          </w:tcPr>
          <w:p w14:paraId="51794FCD">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b/>
                <w:color w:val="auto"/>
                <w:highlight w:val="none"/>
              </w:rPr>
            </w:pPr>
            <w:r>
              <w:rPr>
                <w:rFonts w:hint="default" w:ascii="Times New Roman" w:hAnsi="Times New Roman" w:cs="Times New Roman"/>
                <w:b/>
                <w:color w:val="auto"/>
                <w:highlight w:val="none"/>
              </w:rPr>
              <w:t>设备名称</w:t>
            </w:r>
          </w:p>
        </w:tc>
        <w:tc>
          <w:tcPr>
            <w:tcW w:w="2622" w:type="dxa"/>
            <w:noWrap w:val="0"/>
            <w:vAlign w:val="top"/>
          </w:tcPr>
          <w:p w14:paraId="4E7B04B8">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b/>
                <w:color w:val="auto"/>
                <w:highlight w:val="none"/>
              </w:rPr>
            </w:pPr>
            <w:r>
              <w:rPr>
                <w:rFonts w:hint="default" w:ascii="Times New Roman" w:hAnsi="Times New Roman" w:cs="Times New Roman"/>
                <w:b/>
                <w:color w:val="auto"/>
                <w:highlight w:val="none"/>
              </w:rPr>
              <w:t>参数名称</w:t>
            </w:r>
          </w:p>
        </w:tc>
        <w:tc>
          <w:tcPr>
            <w:tcW w:w="1188" w:type="dxa"/>
            <w:noWrap w:val="0"/>
            <w:vAlign w:val="top"/>
          </w:tcPr>
          <w:p w14:paraId="7CA7BE28">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b/>
                <w:color w:val="auto"/>
                <w:highlight w:val="none"/>
              </w:rPr>
            </w:pPr>
            <w:r>
              <w:rPr>
                <w:rFonts w:hint="default" w:ascii="Times New Roman" w:hAnsi="Times New Roman" w:cs="Times New Roman"/>
                <w:b/>
                <w:color w:val="auto"/>
                <w:highlight w:val="none"/>
              </w:rPr>
              <w:t>单位</w:t>
            </w:r>
          </w:p>
        </w:tc>
        <w:tc>
          <w:tcPr>
            <w:tcW w:w="3898" w:type="dxa"/>
            <w:gridSpan w:val="3"/>
            <w:noWrap w:val="0"/>
            <w:vAlign w:val="top"/>
          </w:tcPr>
          <w:p w14:paraId="6908A42B">
            <w:pPr>
              <w:pStyle w:val="142"/>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参数</w:t>
            </w:r>
          </w:p>
        </w:tc>
      </w:tr>
      <w:tr w14:paraId="1AAC1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restart"/>
            <w:noWrap w:val="0"/>
            <w:vAlign w:val="top"/>
          </w:tcPr>
          <w:p w14:paraId="76D329B9">
            <w:pPr>
              <w:pStyle w:val="142"/>
              <w:keepNext w:val="0"/>
              <w:keepLines w:val="0"/>
              <w:suppressLineNumbers w:val="0"/>
              <w:spacing w:before="0" w:beforeAutospacing="0" w:after="0" w:afterAutospacing="0" w:line="360" w:lineRule="auto"/>
              <w:ind w:left="0" w:right="0" w:firstLine="240" w:firstLineChars="100"/>
              <w:rPr>
                <w:rFonts w:hint="default" w:ascii="Times New Roman" w:hAnsi="Times New Roman" w:cs="Times New Roman"/>
                <w:color w:val="auto"/>
                <w:highlight w:val="none"/>
              </w:rPr>
            </w:pPr>
            <w:r>
              <w:rPr>
                <w:rFonts w:hint="default" w:ascii="Times New Roman" w:hAnsi="Times New Roman" w:cs="Times New Roman"/>
                <w:color w:val="auto"/>
                <w:highlight w:val="none"/>
              </w:rPr>
              <w:t>锅炉</w:t>
            </w:r>
          </w:p>
        </w:tc>
        <w:tc>
          <w:tcPr>
            <w:tcW w:w="2622" w:type="dxa"/>
            <w:noWrap w:val="0"/>
            <w:vAlign w:val="top"/>
          </w:tcPr>
          <w:p w14:paraId="4DC0BFD6">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型式</w:t>
            </w:r>
          </w:p>
        </w:tc>
        <w:tc>
          <w:tcPr>
            <w:tcW w:w="1188" w:type="dxa"/>
            <w:noWrap w:val="0"/>
            <w:vAlign w:val="top"/>
          </w:tcPr>
          <w:p w14:paraId="72D8AAB8">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3898" w:type="dxa"/>
            <w:gridSpan w:val="3"/>
            <w:noWrap w:val="0"/>
            <w:vAlign w:val="top"/>
          </w:tcPr>
          <w:p w14:paraId="0E6EF3A0">
            <w:pPr>
              <w:keepNext w:val="0"/>
              <w:keepLines w:val="0"/>
              <w:widowControl/>
              <w:suppressLineNumbers w:val="0"/>
              <w:spacing w:before="0" w:beforeAutospacing="0" w:after="0" w:afterAutospacing="0" w:line="360" w:lineRule="auto"/>
              <w:ind w:left="0" w:right="0"/>
              <w:jc w:val="left"/>
              <w:rPr>
                <w:rFonts w:hint="eastAsia" w:ascii="Times New Roman" w:hAnsi="Times New Roman" w:cs="Times New Roman"/>
                <w:color w:val="auto"/>
                <w:szCs w:val="24"/>
                <w:highlight w:val="none"/>
              </w:rPr>
            </w:pPr>
            <w:r>
              <w:rPr>
                <w:rFonts w:hint="eastAsia" w:ascii="Times New Roman" w:hAnsi="Times New Roman" w:cs="Times New Roman"/>
                <w:color w:val="auto"/>
                <w:kern w:val="0"/>
                <w:sz w:val="24"/>
                <w:highlight w:val="none"/>
              </w:rPr>
              <w:t>锅炉为</w:t>
            </w:r>
            <w:r>
              <w:rPr>
                <w:rFonts w:hint="eastAsia" w:ascii="Times New Roman" w:hAnsi="Times New Roman" w:cs="Times New Roman"/>
                <w:color w:val="auto"/>
                <w:kern w:val="0"/>
                <w:sz w:val="24"/>
                <w:highlight w:val="none"/>
                <w:lang w:val="en-US" w:eastAsia="zh-CN"/>
              </w:rPr>
              <w:t>高温高压循环流化床锅炉，半露天布置，全方位通风。</w:t>
            </w:r>
          </w:p>
        </w:tc>
      </w:tr>
      <w:tr w14:paraId="1E4DD7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7" w:hRule="atLeast"/>
        </w:trPr>
        <w:tc>
          <w:tcPr>
            <w:tcW w:w="1320" w:type="dxa"/>
            <w:vMerge w:val="continue"/>
            <w:noWrap w:val="0"/>
            <w:vAlign w:val="top"/>
          </w:tcPr>
          <w:p w14:paraId="6FEE5517">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bookmarkStart w:id="27" w:name="OLE_LINK76" w:colFirst="2" w:colLast="2"/>
          </w:p>
        </w:tc>
        <w:tc>
          <w:tcPr>
            <w:tcW w:w="2622" w:type="dxa"/>
            <w:tcBorders>
              <w:bottom w:val="single" w:color="auto" w:sz="4" w:space="0"/>
            </w:tcBorders>
            <w:noWrap w:val="0"/>
            <w:vAlign w:val="top"/>
          </w:tcPr>
          <w:p w14:paraId="302B9AB4">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eastAsia" w:ascii="Times New Roman" w:hAnsi="Times New Roman" w:cs="Times New Roman"/>
                <w:color w:val="auto"/>
                <w:highlight w:val="none"/>
                <w:lang w:val="en-US" w:eastAsia="zh-CN"/>
              </w:rPr>
              <w:t>铭牌</w:t>
            </w:r>
            <w:r>
              <w:rPr>
                <w:rFonts w:hint="default" w:ascii="Times New Roman" w:hAnsi="Times New Roman" w:cs="Times New Roman"/>
                <w:color w:val="auto"/>
                <w:highlight w:val="none"/>
              </w:rPr>
              <w:t>蒸发量</w:t>
            </w:r>
          </w:p>
        </w:tc>
        <w:tc>
          <w:tcPr>
            <w:tcW w:w="1188" w:type="dxa"/>
            <w:tcBorders>
              <w:bottom w:val="single" w:color="auto" w:sz="4" w:space="0"/>
            </w:tcBorders>
            <w:noWrap w:val="0"/>
            <w:vAlign w:val="top"/>
          </w:tcPr>
          <w:p w14:paraId="18BE29BE">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t/h</w:t>
            </w:r>
          </w:p>
        </w:tc>
        <w:tc>
          <w:tcPr>
            <w:tcW w:w="3898" w:type="dxa"/>
            <w:gridSpan w:val="3"/>
            <w:tcBorders>
              <w:bottom w:val="single" w:color="auto" w:sz="4" w:space="0"/>
            </w:tcBorders>
            <w:noWrap w:val="0"/>
            <w:vAlign w:val="top"/>
          </w:tcPr>
          <w:p w14:paraId="67DB799F">
            <w:pPr>
              <w:pStyle w:val="142"/>
              <w:keepNext w:val="0"/>
              <w:keepLines w:val="0"/>
              <w:suppressLineNumbers w:val="0"/>
              <w:spacing w:before="0" w:beforeAutospacing="0" w:after="0" w:afterAutospacing="0" w:line="360" w:lineRule="auto"/>
              <w:ind w:left="0" w:right="0" w:firstLine="1440" w:firstLineChars="600"/>
              <w:rPr>
                <w:rFonts w:hint="eastAsia"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2</w:t>
            </w:r>
            <w:r>
              <w:rPr>
                <w:rFonts w:hint="eastAsia" w:ascii="Times New Roman" w:hAnsi="Times New Roman" w:cs="Times New Roman"/>
                <w:color w:val="auto"/>
                <w:highlight w:val="none"/>
                <w:lang w:val="en-US" w:eastAsia="zh-CN"/>
              </w:rPr>
              <w:t>40</w:t>
            </w:r>
          </w:p>
        </w:tc>
      </w:tr>
      <w:tr w14:paraId="59E92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3" w:hRule="atLeast"/>
        </w:trPr>
        <w:tc>
          <w:tcPr>
            <w:tcW w:w="1320" w:type="dxa"/>
            <w:vMerge w:val="continue"/>
            <w:noWrap w:val="0"/>
            <w:vAlign w:val="top"/>
          </w:tcPr>
          <w:p w14:paraId="6BB73B47">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tcBorders>
              <w:top w:val="single" w:color="auto" w:sz="4" w:space="0"/>
            </w:tcBorders>
            <w:noWrap w:val="0"/>
            <w:vAlign w:val="top"/>
          </w:tcPr>
          <w:p w14:paraId="4089D3DB">
            <w:pPr>
              <w:pStyle w:val="142"/>
              <w:keepNext w:val="0"/>
              <w:keepLines w:val="0"/>
              <w:suppressLineNumbers w:val="0"/>
              <w:spacing w:before="0" w:beforeAutospacing="0" w:after="0" w:afterAutospacing="0" w:line="360" w:lineRule="auto"/>
              <w:ind w:left="0" w:right="0"/>
              <w:rPr>
                <w:rFonts w:hint="eastAsia" w:ascii="Times New Roman" w:hAnsi="Times New Roman" w:cs="Times New Roman"/>
                <w:color w:val="auto"/>
                <w:highlight w:val="none"/>
                <w:lang w:val="en-US" w:eastAsia="zh-CN"/>
              </w:rPr>
            </w:pPr>
            <w:r>
              <w:rPr>
                <w:rFonts w:hint="eastAsia"/>
                <w:color w:val="auto"/>
                <w:sz w:val="24"/>
                <w:highlight w:val="none"/>
                <w:lang w:val="en-US" w:eastAsia="zh-CN"/>
              </w:rPr>
              <w:t>最大连续</w:t>
            </w:r>
            <w:r>
              <w:rPr>
                <w:rFonts w:hint="default"/>
                <w:color w:val="auto"/>
                <w:sz w:val="24"/>
                <w:highlight w:val="none"/>
                <w:lang w:val="en-US"/>
              </w:rPr>
              <w:t>蒸发量</w:t>
            </w:r>
          </w:p>
        </w:tc>
        <w:tc>
          <w:tcPr>
            <w:tcW w:w="1188" w:type="dxa"/>
            <w:tcBorders>
              <w:top w:val="single" w:color="auto" w:sz="4" w:space="0"/>
            </w:tcBorders>
            <w:noWrap w:val="0"/>
            <w:vAlign w:val="top"/>
          </w:tcPr>
          <w:p w14:paraId="4C18E065">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t/h</w:t>
            </w:r>
          </w:p>
        </w:tc>
        <w:tc>
          <w:tcPr>
            <w:tcW w:w="3898" w:type="dxa"/>
            <w:gridSpan w:val="3"/>
            <w:tcBorders>
              <w:top w:val="single" w:color="auto" w:sz="4" w:space="0"/>
            </w:tcBorders>
            <w:noWrap w:val="0"/>
            <w:vAlign w:val="top"/>
          </w:tcPr>
          <w:p w14:paraId="1EE144F0">
            <w:pPr>
              <w:pStyle w:val="142"/>
              <w:keepNext w:val="0"/>
              <w:keepLines w:val="0"/>
              <w:suppressLineNumbers w:val="0"/>
              <w:spacing w:before="0" w:beforeAutospacing="0" w:after="0" w:afterAutospacing="0" w:line="360" w:lineRule="auto"/>
              <w:ind w:left="0" w:right="0" w:firstLine="1440" w:firstLineChars="600"/>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280</w:t>
            </w:r>
          </w:p>
        </w:tc>
      </w:tr>
      <w:bookmarkEnd w:id="27"/>
      <w:tr w14:paraId="703E7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44EA4852">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44048F81">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过热器出口蒸汽压力</w:t>
            </w:r>
          </w:p>
        </w:tc>
        <w:tc>
          <w:tcPr>
            <w:tcW w:w="1188" w:type="dxa"/>
            <w:noWrap w:val="0"/>
            <w:vAlign w:val="top"/>
          </w:tcPr>
          <w:p w14:paraId="7F93B8B7">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MPa.g</w:t>
            </w:r>
          </w:p>
        </w:tc>
        <w:tc>
          <w:tcPr>
            <w:tcW w:w="3898" w:type="dxa"/>
            <w:gridSpan w:val="3"/>
            <w:noWrap w:val="0"/>
            <w:vAlign w:val="top"/>
          </w:tcPr>
          <w:p w14:paraId="66CCC064">
            <w:pPr>
              <w:pStyle w:val="142"/>
              <w:keepNext w:val="0"/>
              <w:keepLines w:val="0"/>
              <w:suppressLineNumbers w:val="0"/>
              <w:spacing w:before="0" w:beforeAutospacing="0" w:after="0" w:afterAutospacing="0" w:line="360" w:lineRule="auto"/>
              <w:ind w:left="0" w:right="0" w:firstLine="1440" w:firstLineChars="600"/>
              <w:rPr>
                <w:rFonts w:hint="default"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9.8</w:t>
            </w:r>
          </w:p>
        </w:tc>
      </w:tr>
      <w:tr w14:paraId="7D0E3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335F26B5">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36C71FE8">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过热器出口蒸汽温度</w:t>
            </w:r>
          </w:p>
        </w:tc>
        <w:tc>
          <w:tcPr>
            <w:tcW w:w="1188" w:type="dxa"/>
            <w:noWrap w:val="0"/>
            <w:vAlign w:val="top"/>
          </w:tcPr>
          <w:p w14:paraId="33C76909">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w:t>
            </w:r>
          </w:p>
        </w:tc>
        <w:tc>
          <w:tcPr>
            <w:tcW w:w="3898" w:type="dxa"/>
            <w:gridSpan w:val="3"/>
            <w:noWrap w:val="0"/>
            <w:vAlign w:val="top"/>
          </w:tcPr>
          <w:p w14:paraId="6F249543">
            <w:pPr>
              <w:pStyle w:val="142"/>
              <w:keepNext w:val="0"/>
              <w:keepLines w:val="0"/>
              <w:suppressLineNumbers w:val="0"/>
              <w:spacing w:before="0" w:beforeAutospacing="0" w:after="0" w:afterAutospacing="0" w:line="360" w:lineRule="auto"/>
              <w:ind w:left="0" w:right="0" w:firstLine="1440" w:firstLineChars="600"/>
              <w:rPr>
                <w:rFonts w:hint="default"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540</w:t>
            </w:r>
          </w:p>
        </w:tc>
      </w:tr>
      <w:tr w14:paraId="6888EC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65004620">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1A0360BA">
            <w:pPr>
              <w:pStyle w:val="142"/>
              <w:keepNext w:val="0"/>
              <w:keepLines w:val="0"/>
              <w:suppressLineNumbers w:val="0"/>
              <w:tabs>
                <w:tab w:val="left" w:pos="840"/>
              </w:tabs>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省煤器进口给水温度</w:t>
            </w:r>
          </w:p>
        </w:tc>
        <w:tc>
          <w:tcPr>
            <w:tcW w:w="1188" w:type="dxa"/>
            <w:noWrap w:val="0"/>
            <w:vAlign w:val="top"/>
          </w:tcPr>
          <w:p w14:paraId="264F54D7">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w:t>
            </w:r>
          </w:p>
        </w:tc>
        <w:tc>
          <w:tcPr>
            <w:tcW w:w="3898" w:type="dxa"/>
            <w:gridSpan w:val="3"/>
            <w:noWrap w:val="0"/>
            <w:vAlign w:val="top"/>
          </w:tcPr>
          <w:p w14:paraId="1CC47530">
            <w:pPr>
              <w:pStyle w:val="142"/>
              <w:keepNext w:val="0"/>
              <w:keepLines w:val="0"/>
              <w:suppressLineNumbers w:val="0"/>
              <w:spacing w:before="0" w:beforeAutospacing="0" w:after="0" w:afterAutospacing="0" w:line="360" w:lineRule="auto"/>
              <w:ind w:left="0" w:right="0" w:firstLine="1440" w:firstLineChars="600"/>
              <w:rPr>
                <w:rFonts w:hint="default"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215</w:t>
            </w:r>
          </w:p>
        </w:tc>
      </w:tr>
      <w:tr w14:paraId="42503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79B21566">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5A112CD1">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空气预热器进风温度</w:t>
            </w:r>
          </w:p>
        </w:tc>
        <w:tc>
          <w:tcPr>
            <w:tcW w:w="1188" w:type="dxa"/>
            <w:noWrap w:val="0"/>
            <w:vAlign w:val="top"/>
          </w:tcPr>
          <w:p w14:paraId="0D8AD3EA">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w:t>
            </w:r>
          </w:p>
        </w:tc>
        <w:tc>
          <w:tcPr>
            <w:tcW w:w="3898" w:type="dxa"/>
            <w:gridSpan w:val="3"/>
            <w:noWrap w:val="0"/>
            <w:vAlign w:val="top"/>
          </w:tcPr>
          <w:p w14:paraId="167005C9">
            <w:pPr>
              <w:pStyle w:val="142"/>
              <w:keepNext w:val="0"/>
              <w:keepLines w:val="0"/>
              <w:suppressLineNumbers w:val="0"/>
              <w:spacing w:before="0" w:beforeAutospacing="0" w:after="0" w:afterAutospacing="0" w:line="360" w:lineRule="auto"/>
              <w:ind w:left="0" w:right="0" w:firstLine="1440" w:firstLineChars="6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25</w:t>
            </w:r>
          </w:p>
        </w:tc>
      </w:tr>
      <w:tr w14:paraId="49C7CF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46CAFDDD">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3EC6D865">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锅炉排烟温度</w:t>
            </w:r>
          </w:p>
        </w:tc>
        <w:tc>
          <w:tcPr>
            <w:tcW w:w="1188" w:type="dxa"/>
            <w:noWrap w:val="0"/>
            <w:vAlign w:val="top"/>
          </w:tcPr>
          <w:p w14:paraId="32E62B65">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w:t>
            </w:r>
          </w:p>
        </w:tc>
        <w:tc>
          <w:tcPr>
            <w:tcW w:w="3898" w:type="dxa"/>
            <w:gridSpan w:val="3"/>
            <w:noWrap w:val="0"/>
            <w:vAlign w:val="top"/>
          </w:tcPr>
          <w:p w14:paraId="62938B3B">
            <w:pPr>
              <w:pStyle w:val="142"/>
              <w:keepNext w:val="0"/>
              <w:keepLines w:val="0"/>
              <w:suppressLineNumbers w:val="0"/>
              <w:spacing w:before="0" w:beforeAutospacing="0" w:after="0" w:afterAutospacing="0" w:line="360" w:lineRule="auto"/>
              <w:ind w:left="0" w:right="0" w:firstLine="1440" w:firstLineChars="600"/>
              <w:rPr>
                <w:rFonts w:hint="default" w:ascii="Times New Roman" w:hAnsi="Times New Roman" w:cs="Times New Roman"/>
                <w:color w:val="auto"/>
                <w:highlight w:val="none"/>
              </w:rPr>
            </w:pPr>
            <w:r>
              <w:rPr>
                <w:rFonts w:hint="eastAsia" w:ascii="Times New Roman" w:hAnsi="Times New Roman" w:cs="Times New Roman"/>
                <w:color w:val="auto"/>
                <w:highlight w:val="none"/>
              </w:rPr>
              <w:t>1</w:t>
            </w:r>
            <w:r>
              <w:rPr>
                <w:rFonts w:hint="eastAsia" w:ascii="Times New Roman" w:hAnsi="Times New Roman" w:cs="Times New Roman"/>
                <w:color w:val="auto"/>
                <w:highlight w:val="none"/>
                <w:lang w:val="en-US" w:eastAsia="zh-CN"/>
              </w:rPr>
              <w:t>35</w:t>
            </w:r>
          </w:p>
        </w:tc>
      </w:tr>
      <w:tr w14:paraId="5C063F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6D043A89">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03A5C1CA">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锅炉烟气量(设计煤种）</w:t>
            </w:r>
          </w:p>
        </w:tc>
        <w:tc>
          <w:tcPr>
            <w:tcW w:w="1188" w:type="dxa"/>
            <w:noWrap w:val="0"/>
            <w:vAlign w:val="top"/>
          </w:tcPr>
          <w:p w14:paraId="57F19F42">
            <w:pPr>
              <w:pStyle w:val="142"/>
              <w:keepNext w:val="0"/>
              <w:keepLines w:val="0"/>
              <w:suppressLineNumbers w:val="0"/>
              <w:spacing w:before="0" w:beforeAutospacing="0" w:after="0" w:afterAutospacing="0" w:line="360" w:lineRule="auto"/>
              <w:ind w:left="0" w:leftChars="0" w:right="0" w:rightChars="0"/>
              <w:rPr>
                <w:rFonts w:hint="default" w:ascii="Times New Roman" w:hAnsi="Times New Roman" w:eastAsia="宋体" w:cs="Times New Roman"/>
                <w:color w:val="auto"/>
                <w:kern w:val="0"/>
                <w:sz w:val="24"/>
                <w:szCs w:val="20"/>
                <w:highlight w:val="none"/>
                <w:lang w:val="en-US" w:eastAsia="zh-CN" w:bidi="ar-SA"/>
              </w:rPr>
            </w:pPr>
            <w:r>
              <w:rPr>
                <w:rFonts w:hint="eastAsia" w:cs="Times New Roman"/>
                <w:color w:val="auto"/>
                <w:highlight w:val="none"/>
                <w:lang w:val="en-US" w:eastAsia="zh-CN"/>
              </w:rPr>
              <w:t>N</w:t>
            </w:r>
            <w:r>
              <w:rPr>
                <w:rFonts w:hint="default" w:ascii="Times New Roman" w:hAnsi="Times New Roman" w:cs="Times New Roman"/>
                <w:color w:val="auto"/>
                <w:highlight w:val="none"/>
              </w:rPr>
              <w:t>m</w:t>
            </w:r>
            <w:r>
              <w:rPr>
                <w:rFonts w:hint="default" w:ascii="Times New Roman" w:hAnsi="Times New Roman" w:cs="Times New Roman"/>
                <w:color w:val="auto"/>
                <w:highlight w:val="none"/>
                <w:vertAlign w:val="superscript"/>
              </w:rPr>
              <w:t>3</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val="en-US" w:eastAsia="zh-CN"/>
              </w:rPr>
              <w:t>h</w:t>
            </w:r>
          </w:p>
        </w:tc>
        <w:tc>
          <w:tcPr>
            <w:tcW w:w="3898" w:type="dxa"/>
            <w:gridSpan w:val="3"/>
            <w:noWrap w:val="0"/>
            <w:vAlign w:val="top"/>
          </w:tcPr>
          <w:p w14:paraId="0277A33B">
            <w:pPr>
              <w:pStyle w:val="142"/>
              <w:keepNext w:val="0"/>
              <w:keepLines w:val="0"/>
              <w:suppressLineNumbers w:val="0"/>
              <w:spacing w:before="0" w:beforeAutospacing="0" w:after="0" w:afterAutospacing="0" w:line="360" w:lineRule="auto"/>
              <w:ind w:left="0" w:right="0" w:firstLine="1440" w:firstLineChars="600"/>
              <w:rPr>
                <w:rFonts w:hint="default" w:ascii="Times New Roman" w:hAnsi="Times New Roman" w:eastAsia="宋体" w:cs="Times New Roman"/>
                <w:color w:val="auto"/>
                <w:highlight w:val="none"/>
                <w:lang w:val="en-US" w:eastAsia="zh-CN"/>
              </w:rPr>
            </w:pPr>
            <w:r>
              <w:rPr>
                <w:rFonts w:hint="eastAsia" w:cs="Times New Roman"/>
                <w:color w:val="auto"/>
                <w:highlight w:val="none"/>
                <w:lang w:val="en-US" w:eastAsia="zh-CN"/>
              </w:rPr>
              <w:t>265644</w:t>
            </w:r>
          </w:p>
        </w:tc>
      </w:tr>
      <w:tr w14:paraId="33E9FD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50521F51">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18472519">
            <w:pPr>
              <w:pStyle w:val="142"/>
              <w:keepNext w:val="0"/>
              <w:keepLines w:val="0"/>
              <w:suppressLineNumbers w:val="0"/>
              <w:spacing w:before="0" w:beforeAutospacing="0" w:after="0" w:afterAutospacing="0" w:line="360" w:lineRule="auto"/>
              <w:ind w:left="0" w:leftChars="0" w:right="0" w:rightChars="0"/>
              <w:rPr>
                <w:rFonts w:hint="eastAsia" w:ascii="Times New Roman" w:hAnsi="Times New Roman" w:eastAsia="宋体" w:cs="Times New Roman"/>
                <w:color w:val="auto"/>
                <w:kern w:val="0"/>
                <w:sz w:val="24"/>
                <w:szCs w:val="20"/>
                <w:highlight w:val="none"/>
                <w:lang w:val="en-US" w:eastAsia="zh-CN" w:bidi="ar-SA"/>
              </w:rPr>
            </w:pPr>
            <w:r>
              <w:rPr>
                <w:rFonts w:hint="eastAsia" w:cs="Times New Roman"/>
                <w:color w:val="auto"/>
                <w:highlight w:val="none"/>
                <w:lang w:val="en-US" w:eastAsia="zh-CN"/>
              </w:rPr>
              <w:t>锅炉烟气量(校核煤种）</w:t>
            </w:r>
          </w:p>
        </w:tc>
        <w:tc>
          <w:tcPr>
            <w:tcW w:w="1188" w:type="dxa"/>
            <w:noWrap w:val="0"/>
            <w:vAlign w:val="top"/>
          </w:tcPr>
          <w:p w14:paraId="23C10142">
            <w:pPr>
              <w:pStyle w:val="142"/>
              <w:keepNext w:val="0"/>
              <w:keepLines w:val="0"/>
              <w:suppressLineNumbers w:val="0"/>
              <w:spacing w:before="0" w:beforeAutospacing="0" w:after="0" w:afterAutospacing="0" w:line="360" w:lineRule="auto"/>
              <w:ind w:left="0" w:leftChars="0" w:right="0" w:rightChars="0"/>
              <w:rPr>
                <w:rFonts w:hint="eastAsia" w:ascii="Times New Roman" w:hAnsi="Times New Roman" w:eastAsia="宋体" w:cs="Times New Roman"/>
                <w:color w:val="auto"/>
                <w:kern w:val="0"/>
                <w:sz w:val="24"/>
                <w:szCs w:val="20"/>
                <w:highlight w:val="none"/>
                <w:lang w:val="en-US" w:eastAsia="zh-CN" w:bidi="ar-SA"/>
              </w:rPr>
            </w:pPr>
            <w:r>
              <w:rPr>
                <w:rFonts w:hint="eastAsia" w:cs="Times New Roman"/>
                <w:color w:val="auto"/>
                <w:highlight w:val="none"/>
                <w:lang w:val="en-US" w:eastAsia="zh-CN"/>
              </w:rPr>
              <w:t>N</w:t>
            </w:r>
            <w:r>
              <w:rPr>
                <w:rFonts w:hint="default" w:ascii="Times New Roman" w:hAnsi="Times New Roman" w:cs="Times New Roman"/>
                <w:color w:val="auto"/>
                <w:highlight w:val="none"/>
              </w:rPr>
              <w:t>m</w:t>
            </w:r>
            <w:r>
              <w:rPr>
                <w:rFonts w:hint="default" w:ascii="Times New Roman" w:hAnsi="Times New Roman" w:cs="Times New Roman"/>
                <w:color w:val="auto"/>
                <w:highlight w:val="none"/>
                <w:vertAlign w:val="superscript"/>
              </w:rPr>
              <w:t>3</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val="en-US" w:eastAsia="zh-CN"/>
              </w:rPr>
              <w:t>h</w:t>
            </w:r>
          </w:p>
        </w:tc>
        <w:tc>
          <w:tcPr>
            <w:tcW w:w="3898" w:type="dxa"/>
            <w:gridSpan w:val="3"/>
            <w:noWrap w:val="0"/>
            <w:vAlign w:val="top"/>
          </w:tcPr>
          <w:p w14:paraId="5A8FD32E">
            <w:pPr>
              <w:pStyle w:val="142"/>
              <w:keepNext w:val="0"/>
              <w:keepLines w:val="0"/>
              <w:suppressLineNumbers w:val="0"/>
              <w:spacing w:before="0" w:beforeAutospacing="0" w:after="0" w:afterAutospacing="0" w:line="360" w:lineRule="auto"/>
              <w:ind w:left="0" w:right="0" w:firstLine="1440" w:firstLineChars="600"/>
              <w:rPr>
                <w:rFonts w:hint="default" w:cs="Times New Roman"/>
                <w:color w:val="auto"/>
                <w:highlight w:val="none"/>
                <w:lang w:val="en-US" w:eastAsia="zh-CN"/>
              </w:rPr>
            </w:pPr>
            <w:r>
              <w:rPr>
                <w:rFonts w:hint="eastAsia" w:cs="Times New Roman"/>
                <w:color w:val="auto"/>
                <w:highlight w:val="none"/>
                <w:lang w:val="en-US" w:eastAsia="zh-CN"/>
              </w:rPr>
              <w:t>270933</w:t>
            </w:r>
          </w:p>
        </w:tc>
      </w:tr>
      <w:tr w14:paraId="48A56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00A448F8">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5ECE90A8">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煤种</w:t>
            </w:r>
          </w:p>
        </w:tc>
        <w:tc>
          <w:tcPr>
            <w:tcW w:w="1188" w:type="dxa"/>
            <w:noWrap w:val="0"/>
            <w:vAlign w:val="top"/>
          </w:tcPr>
          <w:p w14:paraId="74E6C556">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1095" w:type="dxa"/>
            <w:noWrap w:val="0"/>
            <w:vAlign w:val="top"/>
          </w:tcPr>
          <w:p w14:paraId="0CE922A0">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设计煤种</w:t>
            </w:r>
          </w:p>
        </w:tc>
        <w:tc>
          <w:tcPr>
            <w:tcW w:w="1395" w:type="dxa"/>
            <w:noWrap w:val="0"/>
            <w:vAlign w:val="top"/>
          </w:tcPr>
          <w:p w14:paraId="6A77D623">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bookmarkStart w:id="28" w:name="OLE_LINK77"/>
            <w:r>
              <w:rPr>
                <w:rFonts w:hint="default" w:ascii="Times New Roman" w:hAnsi="Times New Roman" w:cs="Times New Roman"/>
                <w:color w:val="auto"/>
                <w:highlight w:val="none"/>
              </w:rPr>
              <w:t>校核煤种1</w:t>
            </w:r>
            <w:bookmarkEnd w:id="28"/>
          </w:p>
        </w:tc>
        <w:tc>
          <w:tcPr>
            <w:tcW w:w="1408" w:type="dxa"/>
            <w:noWrap w:val="0"/>
            <w:vAlign w:val="top"/>
          </w:tcPr>
          <w:p w14:paraId="3561C450">
            <w:pPr>
              <w:pStyle w:val="142"/>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校核煤种</w:t>
            </w:r>
            <w:r>
              <w:rPr>
                <w:rFonts w:hint="eastAsia" w:ascii="Times New Roman" w:hAnsi="Times New Roman" w:cs="Times New Roman"/>
                <w:color w:val="auto"/>
                <w:highlight w:val="none"/>
                <w:lang w:val="en-US" w:eastAsia="zh-CN"/>
              </w:rPr>
              <w:t>2</w:t>
            </w:r>
          </w:p>
        </w:tc>
      </w:tr>
      <w:tr w14:paraId="0036E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23A1E687">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768CDB4D">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锅炉实际耗煤量</w:t>
            </w:r>
          </w:p>
        </w:tc>
        <w:tc>
          <w:tcPr>
            <w:tcW w:w="1188" w:type="dxa"/>
            <w:noWrap w:val="0"/>
            <w:vAlign w:val="top"/>
          </w:tcPr>
          <w:p w14:paraId="3B4B0616">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t/h</w:t>
            </w:r>
          </w:p>
        </w:tc>
        <w:tc>
          <w:tcPr>
            <w:tcW w:w="1095" w:type="dxa"/>
            <w:noWrap w:val="0"/>
            <w:vAlign w:val="top"/>
          </w:tcPr>
          <w:p w14:paraId="09CDBD83">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35.663</w:t>
            </w:r>
          </w:p>
        </w:tc>
        <w:tc>
          <w:tcPr>
            <w:tcW w:w="1395" w:type="dxa"/>
            <w:noWrap w:val="0"/>
            <w:vAlign w:val="top"/>
          </w:tcPr>
          <w:p w14:paraId="33FBE64B">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38.605</w:t>
            </w:r>
          </w:p>
        </w:tc>
        <w:tc>
          <w:tcPr>
            <w:tcW w:w="1408" w:type="dxa"/>
            <w:noWrap w:val="0"/>
            <w:vAlign w:val="top"/>
          </w:tcPr>
          <w:p w14:paraId="77BEF0B9">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33.491</w:t>
            </w:r>
          </w:p>
        </w:tc>
      </w:tr>
      <w:tr w14:paraId="67A67A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restart"/>
            <w:noWrap w:val="0"/>
            <w:vAlign w:val="top"/>
          </w:tcPr>
          <w:p w14:paraId="2495A38D">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除尘器</w:t>
            </w:r>
          </w:p>
          <w:p w14:paraId="5C98BC65">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(计算值)</w:t>
            </w:r>
          </w:p>
        </w:tc>
        <w:tc>
          <w:tcPr>
            <w:tcW w:w="2622" w:type="dxa"/>
            <w:noWrap w:val="0"/>
            <w:vAlign w:val="top"/>
          </w:tcPr>
          <w:p w14:paraId="23015708">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数量</w:t>
            </w:r>
          </w:p>
        </w:tc>
        <w:tc>
          <w:tcPr>
            <w:tcW w:w="1188" w:type="dxa"/>
            <w:noWrap w:val="0"/>
            <w:vAlign w:val="top"/>
          </w:tcPr>
          <w:p w14:paraId="549CDCA4">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3898" w:type="dxa"/>
            <w:gridSpan w:val="3"/>
            <w:noWrap w:val="0"/>
            <w:vAlign w:val="top"/>
          </w:tcPr>
          <w:p w14:paraId="292EC5E8">
            <w:pPr>
              <w:pStyle w:val="142"/>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1</w:t>
            </w:r>
          </w:p>
        </w:tc>
      </w:tr>
      <w:tr w14:paraId="106584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682C8E4A">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03821E22">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型式</w:t>
            </w:r>
          </w:p>
        </w:tc>
        <w:tc>
          <w:tcPr>
            <w:tcW w:w="1188" w:type="dxa"/>
            <w:noWrap w:val="0"/>
            <w:vAlign w:val="top"/>
          </w:tcPr>
          <w:p w14:paraId="07525CA1">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3898" w:type="dxa"/>
            <w:gridSpan w:val="3"/>
            <w:noWrap w:val="0"/>
            <w:vAlign w:val="top"/>
          </w:tcPr>
          <w:p w14:paraId="4B013EA6">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eastAsia" w:ascii="Times New Roman" w:hAnsi="Times New Roman" w:cs="Times New Roman"/>
                <w:color w:val="auto"/>
                <w:highlight w:val="none"/>
                <w:lang w:val="en-US" w:eastAsia="zh-CN"/>
              </w:rPr>
              <w:t>布袋</w:t>
            </w:r>
            <w:r>
              <w:rPr>
                <w:rFonts w:hint="default" w:ascii="Times New Roman" w:hAnsi="Times New Roman" w:cs="Times New Roman"/>
                <w:color w:val="auto"/>
                <w:highlight w:val="none"/>
              </w:rPr>
              <w:t>除尘器</w:t>
            </w:r>
          </w:p>
        </w:tc>
      </w:tr>
      <w:tr w14:paraId="1E7AF2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552CA56D">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61634CB0">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除尘效率</w:t>
            </w:r>
          </w:p>
        </w:tc>
        <w:tc>
          <w:tcPr>
            <w:tcW w:w="1188" w:type="dxa"/>
            <w:noWrap w:val="0"/>
            <w:vAlign w:val="top"/>
          </w:tcPr>
          <w:p w14:paraId="5034CAC3">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w:t>
            </w:r>
          </w:p>
        </w:tc>
        <w:tc>
          <w:tcPr>
            <w:tcW w:w="3898" w:type="dxa"/>
            <w:gridSpan w:val="3"/>
            <w:noWrap w:val="0"/>
            <w:vAlign w:val="top"/>
          </w:tcPr>
          <w:p w14:paraId="201BAC85">
            <w:pPr>
              <w:pStyle w:val="142"/>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rPr>
              <w:t>≥</w:t>
            </w:r>
            <w:r>
              <w:rPr>
                <w:rFonts w:hint="default" w:ascii="Times New Roman" w:hAnsi="Times New Roman" w:cs="Times New Roman"/>
                <w:color w:val="auto"/>
                <w:highlight w:val="none"/>
              </w:rPr>
              <w:t>99.9</w:t>
            </w:r>
            <w:r>
              <w:rPr>
                <w:rFonts w:hint="eastAsia" w:ascii="Times New Roman" w:hAnsi="Times New Roman" w:cs="Times New Roman"/>
                <w:color w:val="auto"/>
                <w:highlight w:val="none"/>
                <w:lang w:val="en-US" w:eastAsia="zh-CN"/>
              </w:rPr>
              <w:t>5</w:t>
            </w:r>
          </w:p>
        </w:tc>
      </w:tr>
      <w:tr w14:paraId="3B6066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3CD431B9">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07AFE5D8">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引风机出口灰尘浓度</w:t>
            </w:r>
          </w:p>
        </w:tc>
        <w:tc>
          <w:tcPr>
            <w:tcW w:w="1188" w:type="dxa"/>
            <w:noWrap w:val="0"/>
            <w:vAlign w:val="top"/>
          </w:tcPr>
          <w:p w14:paraId="0F4233BC">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mg/Nm</w:t>
            </w:r>
            <w:r>
              <w:rPr>
                <w:rFonts w:hint="default" w:ascii="Times New Roman" w:hAnsi="Times New Roman" w:cs="Times New Roman"/>
                <w:color w:val="auto"/>
                <w:highlight w:val="none"/>
                <w:vertAlign w:val="superscript"/>
              </w:rPr>
              <w:t>3</w:t>
            </w:r>
          </w:p>
        </w:tc>
        <w:tc>
          <w:tcPr>
            <w:tcW w:w="3898" w:type="dxa"/>
            <w:gridSpan w:val="3"/>
            <w:noWrap w:val="0"/>
            <w:vAlign w:val="top"/>
          </w:tcPr>
          <w:p w14:paraId="2D7BE2DE">
            <w:pPr>
              <w:keepNext w:val="0"/>
              <w:keepLines w:val="0"/>
              <w:widowControl/>
              <w:suppressLineNumbers w:val="0"/>
              <w:spacing w:before="0" w:beforeAutospacing="0" w:after="0" w:afterAutospacing="0"/>
              <w:ind w:left="0" w:right="0"/>
              <w:jc w:val="left"/>
              <w:rPr>
                <w:rFonts w:hint="default" w:ascii="Times New Roman" w:hAnsi="Times New Roman" w:cs="Times New Roman"/>
                <w:color w:val="auto"/>
                <w:highlight w:val="none"/>
                <w:lang w:val="en-US"/>
              </w:rPr>
            </w:pPr>
            <w:r>
              <w:rPr>
                <w:rFonts w:hint="eastAsia" w:ascii="宋体" w:hAnsi="宋体" w:eastAsia="宋体" w:cs="宋体"/>
                <w:color w:val="auto"/>
                <w:kern w:val="0"/>
                <w:sz w:val="25"/>
                <w:szCs w:val="25"/>
                <w:highlight w:val="none"/>
                <w:lang w:val="en-US" w:eastAsia="zh-CN" w:bidi="ar"/>
              </w:rPr>
              <w:t>＜20</w:t>
            </w:r>
          </w:p>
        </w:tc>
      </w:tr>
      <w:tr w14:paraId="57C0E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restart"/>
            <w:noWrap w:val="0"/>
            <w:vAlign w:val="top"/>
          </w:tcPr>
          <w:p w14:paraId="6BE35A14">
            <w:pPr>
              <w:pStyle w:val="142"/>
              <w:keepNext w:val="0"/>
              <w:keepLines w:val="0"/>
              <w:suppressLineNumbers w:val="0"/>
              <w:spacing w:before="0" w:beforeAutospacing="0" w:after="0" w:afterAutospacing="0" w:line="360" w:lineRule="auto"/>
              <w:ind w:left="0" w:right="0"/>
              <w:rPr>
                <w:rFonts w:hint="eastAsia" w:ascii="Times New Roman" w:hAnsi="Times New Roman" w:cs="Times New Roman"/>
                <w:color w:val="auto"/>
                <w:highlight w:val="none"/>
                <w:lang w:val="en-US" w:eastAsia="zh-CN"/>
              </w:rPr>
            </w:pPr>
          </w:p>
          <w:p w14:paraId="3BDD2161">
            <w:pPr>
              <w:pStyle w:val="142"/>
              <w:keepNext w:val="0"/>
              <w:keepLines w:val="0"/>
              <w:suppressLineNumbers w:val="0"/>
              <w:spacing w:before="0" w:beforeAutospacing="0" w:after="0" w:afterAutospacing="0" w:line="360" w:lineRule="auto"/>
              <w:ind w:left="0" w:right="0"/>
              <w:rPr>
                <w:rFonts w:hint="eastAsia" w:ascii="Times New Roman" w:hAnsi="Times New Roman" w:cs="Times New Roman"/>
                <w:color w:val="auto"/>
                <w:highlight w:val="none"/>
                <w:lang w:val="en-US" w:eastAsia="zh-CN"/>
              </w:rPr>
            </w:pPr>
          </w:p>
          <w:p w14:paraId="5BCB61B7">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一次风机</w:t>
            </w:r>
          </w:p>
        </w:tc>
        <w:tc>
          <w:tcPr>
            <w:tcW w:w="2622" w:type="dxa"/>
            <w:noWrap w:val="0"/>
            <w:vAlign w:val="top"/>
          </w:tcPr>
          <w:p w14:paraId="61BAA519">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default" w:ascii="Times New Roman" w:hAnsi="Times New Roman" w:cs="Times New Roman"/>
                <w:color w:val="auto"/>
                <w:szCs w:val="24"/>
                <w:highlight w:val="none"/>
              </w:rPr>
              <w:t>台数</w:t>
            </w:r>
          </w:p>
        </w:tc>
        <w:tc>
          <w:tcPr>
            <w:tcW w:w="1188" w:type="dxa"/>
            <w:noWrap w:val="0"/>
            <w:vAlign w:val="top"/>
          </w:tcPr>
          <w:p w14:paraId="526ADEF4">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p>
        </w:tc>
        <w:tc>
          <w:tcPr>
            <w:tcW w:w="3898" w:type="dxa"/>
            <w:gridSpan w:val="3"/>
            <w:noWrap w:val="0"/>
            <w:vAlign w:val="top"/>
          </w:tcPr>
          <w:p w14:paraId="4067244A">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eastAsia" w:ascii="Times New Roman" w:hAnsi="Times New Roman" w:cs="Times New Roman"/>
                <w:color w:val="auto"/>
                <w:kern w:val="0"/>
                <w:sz w:val="24"/>
                <w:szCs w:val="20"/>
                <w:highlight w:val="none"/>
                <w:lang w:val="en-US" w:eastAsia="zh-CN" w:bidi="ar-SA"/>
              </w:rPr>
              <w:t>1</w:t>
            </w:r>
          </w:p>
        </w:tc>
      </w:tr>
      <w:tr w14:paraId="4E080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7B8B6042">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1E2277CA">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default" w:ascii="Times New Roman" w:hAnsi="Times New Roman" w:cs="Times New Roman"/>
                <w:color w:val="auto"/>
                <w:highlight w:val="none"/>
              </w:rPr>
              <w:t>型式及配置</w:t>
            </w:r>
          </w:p>
        </w:tc>
        <w:tc>
          <w:tcPr>
            <w:tcW w:w="1188" w:type="dxa"/>
            <w:noWrap w:val="0"/>
            <w:vAlign w:val="top"/>
          </w:tcPr>
          <w:p w14:paraId="4F717181">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p>
        </w:tc>
        <w:tc>
          <w:tcPr>
            <w:tcW w:w="3898" w:type="dxa"/>
            <w:gridSpan w:val="3"/>
            <w:noWrap w:val="0"/>
            <w:vAlign w:val="top"/>
          </w:tcPr>
          <w:p w14:paraId="564FD701">
            <w:pPr>
              <w:pStyle w:val="142"/>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kern w:val="0"/>
                <w:sz w:val="24"/>
                <w:szCs w:val="20"/>
                <w:highlight w:val="none"/>
                <w:lang w:val="en-US" w:eastAsia="zh-CN" w:bidi="ar-SA"/>
              </w:rPr>
            </w:pPr>
            <w:r>
              <w:rPr>
                <w:rFonts w:hint="eastAsia" w:ascii="Times New Roman" w:hAnsi="Times New Roman" w:cs="Times New Roman"/>
                <w:color w:val="auto"/>
                <w:highlight w:val="none"/>
                <w:lang w:val="en-US" w:eastAsia="zh-CN"/>
              </w:rPr>
              <w:t>离心式风机</w:t>
            </w:r>
          </w:p>
        </w:tc>
      </w:tr>
      <w:tr w14:paraId="4B35D8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780B2DAA">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23742A6E">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eastAsia" w:ascii="Times New Roman" w:hAnsi="Times New Roman" w:cs="Times New Roman"/>
                <w:color w:val="auto"/>
                <w:kern w:val="0"/>
                <w:sz w:val="24"/>
                <w:szCs w:val="20"/>
                <w:highlight w:val="none"/>
                <w:lang w:val="en-US" w:eastAsia="zh-CN" w:bidi="ar-SA"/>
              </w:rPr>
              <w:t>一次风量</w:t>
            </w:r>
          </w:p>
        </w:tc>
        <w:tc>
          <w:tcPr>
            <w:tcW w:w="1188" w:type="dxa"/>
            <w:noWrap w:val="0"/>
            <w:vAlign w:val="top"/>
          </w:tcPr>
          <w:p w14:paraId="36D4441B">
            <w:pPr>
              <w:pStyle w:val="142"/>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kern w:val="0"/>
                <w:sz w:val="24"/>
                <w:szCs w:val="20"/>
                <w:highlight w:val="none"/>
                <w:lang w:val="en-US" w:eastAsia="zh-CN" w:bidi="ar-SA"/>
              </w:rPr>
            </w:pPr>
            <w:r>
              <w:rPr>
                <w:rFonts w:hint="default" w:ascii="Times New Roman" w:hAnsi="Times New Roman" w:cs="Times New Roman"/>
                <w:color w:val="auto"/>
                <w:highlight w:val="none"/>
              </w:rPr>
              <w:t>m</w:t>
            </w:r>
            <w:r>
              <w:rPr>
                <w:rFonts w:hint="default" w:ascii="Times New Roman" w:hAnsi="Times New Roman" w:cs="Times New Roman"/>
                <w:color w:val="auto"/>
                <w:highlight w:val="none"/>
                <w:vertAlign w:val="superscript"/>
              </w:rPr>
              <w:t>3</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val="en-US" w:eastAsia="zh-CN"/>
              </w:rPr>
              <w:t>h</w:t>
            </w:r>
          </w:p>
        </w:tc>
        <w:tc>
          <w:tcPr>
            <w:tcW w:w="3898" w:type="dxa"/>
            <w:gridSpan w:val="3"/>
            <w:noWrap w:val="0"/>
            <w:vAlign w:val="top"/>
          </w:tcPr>
          <w:p w14:paraId="6974B0D1">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kern w:val="0"/>
                <w:sz w:val="24"/>
                <w:szCs w:val="20"/>
                <w:highlight w:val="none"/>
                <w:lang w:val="en-US" w:eastAsia="zh-CN" w:bidi="ar-SA"/>
              </w:rPr>
            </w:pPr>
            <w:r>
              <w:rPr>
                <w:rFonts w:hint="eastAsia" w:ascii="Times New Roman" w:hAnsi="Times New Roman" w:eastAsia="宋体" w:cs="Times New Roman"/>
                <w:color w:val="auto"/>
                <w:kern w:val="0"/>
                <w:sz w:val="24"/>
                <w:szCs w:val="20"/>
                <w:highlight w:val="none"/>
                <w:lang w:val="en-US" w:eastAsia="zh-CN" w:bidi="ar-SA"/>
              </w:rPr>
              <w:t>159509</w:t>
            </w:r>
          </w:p>
        </w:tc>
      </w:tr>
      <w:tr w14:paraId="01C08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24AB2756">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49C5EE88">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default" w:ascii="Times New Roman" w:hAnsi="Times New Roman" w:cs="Times New Roman"/>
                <w:color w:val="auto"/>
                <w:highlight w:val="none"/>
              </w:rPr>
              <w:t>入口风温</w:t>
            </w:r>
          </w:p>
        </w:tc>
        <w:tc>
          <w:tcPr>
            <w:tcW w:w="1188" w:type="dxa"/>
            <w:noWrap w:val="0"/>
            <w:vAlign w:val="top"/>
          </w:tcPr>
          <w:p w14:paraId="48B1B78E">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default" w:ascii="Times New Roman" w:hAnsi="Times New Roman" w:cs="Times New Roman"/>
                <w:color w:val="auto"/>
                <w:highlight w:val="none"/>
              </w:rPr>
              <w:t>℃</w:t>
            </w:r>
          </w:p>
        </w:tc>
        <w:tc>
          <w:tcPr>
            <w:tcW w:w="3898" w:type="dxa"/>
            <w:gridSpan w:val="3"/>
            <w:noWrap w:val="0"/>
            <w:vAlign w:val="top"/>
          </w:tcPr>
          <w:p w14:paraId="39DE70B0">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kern w:val="0"/>
                <w:sz w:val="24"/>
                <w:szCs w:val="20"/>
                <w:highlight w:val="none"/>
                <w:lang w:val="en-US" w:eastAsia="zh-CN" w:bidi="ar-SA"/>
              </w:rPr>
            </w:pPr>
            <w:r>
              <w:rPr>
                <w:rFonts w:hint="eastAsia" w:ascii="Times New Roman" w:hAnsi="Times New Roman" w:eastAsia="宋体" w:cs="Times New Roman"/>
                <w:color w:val="auto"/>
                <w:kern w:val="0"/>
                <w:sz w:val="24"/>
                <w:szCs w:val="20"/>
                <w:highlight w:val="none"/>
                <w:lang w:val="en-US" w:eastAsia="zh-CN" w:bidi="ar-SA"/>
              </w:rPr>
              <w:t>33</w:t>
            </w:r>
          </w:p>
        </w:tc>
      </w:tr>
      <w:tr w14:paraId="199792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restart"/>
            <w:noWrap w:val="0"/>
            <w:vAlign w:val="top"/>
          </w:tcPr>
          <w:p w14:paraId="37B490E5">
            <w:pPr>
              <w:pStyle w:val="142"/>
              <w:keepNext w:val="0"/>
              <w:keepLines w:val="0"/>
              <w:suppressLineNumbers w:val="0"/>
              <w:spacing w:before="0" w:beforeAutospacing="0" w:after="0" w:afterAutospacing="0" w:line="360" w:lineRule="auto"/>
              <w:ind w:left="0" w:right="0"/>
              <w:rPr>
                <w:rFonts w:hint="eastAsia" w:ascii="Times New Roman" w:hAnsi="Times New Roman" w:cs="Times New Roman"/>
                <w:color w:val="auto"/>
                <w:highlight w:val="none"/>
                <w:lang w:val="en-US" w:eastAsia="zh-CN"/>
              </w:rPr>
            </w:pPr>
          </w:p>
          <w:p w14:paraId="2A6BF26F">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eastAsia" w:ascii="Times New Roman" w:hAnsi="Times New Roman" w:cs="Times New Roman"/>
                <w:color w:val="auto"/>
                <w:highlight w:val="none"/>
                <w:lang w:val="en-US" w:eastAsia="zh-CN"/>
              </w:rPr>
              <w:t>二次风机</w:t>
            </w:r>
          </w:p>
        </w:tc>
        <w:tc>
          <w:tcPr>
            <w:tcW w:w="2622" w:type="dxa"/>
            <w:noWrap w:val="0"/>
            <w:vAlign w:val="top"/>
          </w:tcPr>
          <w:p w14:paraId="720F6830">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default" w:ascii="Times New Roman" w:hAnsi="Times New Roman" w:cs="Times New Roman"/>
                <w:color w:val="auto"/>
                <w:szCs w:val="24"/>
                <w:highlight w:val="none"/>
              </w:rPr>
              <w:t>台数</w:t>
            </w:r>
          </w:p>
        </w:tc>
        <w:tc>
          <w:tcPr>
            <w:tcW w:w="1188" w:type="dxa"/>
            <w:noWrap w:val="0"/>
            <w:vAlign w:val="top"/>
          </w:tcPr>
          <w:p w14:paraId="150D45E4">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p>
        </w:tc>
        <w:tc>
          <w:tcPr>
            <w:tcW w:w="3898" w:type="dxa"/>
            <w:gridSpan w:val="3"/>
            <w:noWrap w:val="0"/>
            <w:vAlign w:val="top"/>
          </w:tcPr>
          <w:p w14:paraId="6A2CD36D">
            <w:pPr>
              <w:pStyle w:val="142"/>
              <w:keepNext w:val="0"/>
              <w:keepLines w:val="0"/>
              <w:suppressLineNumbers w:val="0"/>
              <w:spacing w:before="0" w:beforeAutospacing="0" w:after="0" w:afterAutospacing="0" w:line="360" w:lineRule="auto"/>
              <w:ind w:left="0" w:right="0"/>
              <w:rPr>
                <w:rFonts w:hint="eastAsia" w:ascii="Times New Roman" w:hAnsi="Times New Roman" w:cs="Times New Roman"/>
                <w:color w:val="auto"/>
                <w:kern w:val="0"/>
                <w:sz w:val="24"/>
                <w:szCs w:val="20"/>
                <w:highlight w:val="none"/>
                <w:lang w:val="en-US" w:eastAsia="zh-CN" w:bidi="ar-SA"/>
              </w:rPr>
            </w:pPr>
            <w:r>
              <w:rPr>
                <w:rFonts w:hint="eastAsia" w:ascii="Times New Roman" w:hAnsi="Times New Roman" w:cs="Times New Roman"/>
                <w:color w:val="auto"/>
                <w:kern w:val="0"/>
                <w:sz w:val="24"/>
                <w:szCs w:val="20"/>
                <w:highlight w:val="none"/>
                <w:lang w:val="en-US" w:eastAsia="zh-CN" w:bidi="ar-SA"/>
              </w:rPr>
              <w:t>1</w:t>
            </w:r>
          </w:p>
        </w:tc>
      </w:tr>
      <w:tr w14:paraId="51314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16236DFA">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314A90DB">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default" w:ascii="Times New Roman" w:hAnsi="Times New Roman" w:cs="Times New Roman"/>
                <w:color w:val="auto"/>
                <w:highlight w:val="none"/>
              </w:rPr>
              <w:t>型式及配置</w:t>
            </w:r>
          </w:p>
        </w:tc>
        <w:tc>
          <w:tcPr>
            <w:tcW w:w="1188" w:type="dxa"/>
            <w:noWrap w:val="0"/>
            <w:vAlign w:val="top"/>
          </w:tcPr>
          <w:p w14:paraId="52679A37">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p>
        </w:tc>
        <w:tc>
          <w:tcPr>
            <w:tcW w:w="3898" w:type="dxa"/>
            <w:gridSpan w:val="3"/>
            <w:noWrap w:val="0"/>
            <w:vAlign w:val="top"/>
          </w:tcPr>
          <w:p w14:paraId="4F941DE8">
            <w:pPr>
              <w:pStyle w:val="142"/>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kern w:val="0"/>
                <w:sz w:val="24"/>
                <w:szCs w:val="20"/>
                <w:highlight w:val="none"/>
                <w:lang w:val="en-US" w:eastAsia="zh-CN" w:bidi="ar-SA"/>
              </w:rPr>
            </w:pPr>
            <w:r>
              <w:rPr>
                <w:rFonts w:hint="eastAsia" w:ascii="Times New Roman" w:hAnsi="Times New Roman" w:cs="Times New Roman"/>
                <w:color w:val="auto"/>
                <w:highlight w:val="none"/>
                <w:lang w:val="en-US" w:eastAsia="zh-CN"/>
              </w:rPr>
              <w:t>离心式风机</w:t>
            </w:r>
          </w:p>
        </w:tc>
      </w:tr>
      <w:tr w14:paraId="72F733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7835304B">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4EB0C2C6">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eastAsia" w:ascii="Times New Roman" w:hAnsi="Times New Roman" w:cs="Times New Roman"/>
                <w:color w:val="auto"/>
                <w:kern w:val="0"/>
                <w:sz w:val="24"/>
                <w:szCs w:val="20"/>
                <w:highlight w:val="none"/>
                <w:lang w:val="en-US" w:eastAsia="zh-CN" w:bidi="ar-SA"/>
              </w:rPr>
              <w:t>二次风量</w:t>
            </w:r>
          </w:p>
        </w:tc>
        <w:tc>
          <w:tcPr>
            <w:tcW w:w="1188" w:type="dxa"/>
            <w:noWrap w:val="0"/>
            <w:vAlign w:val="top"/>
          </w:tcPr>
          <w:p w14:paraId="0087736E">
            <w:pPr>
              <w:pStyle w:val="142"/>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kern w:val="0"/>
                <w:sz w:val="24"/>
                <w:szCs w:val="20"/>
                <w:highlight w:val="none"/>
                <w:lang w:val="en-US" w:eastAsia="zh-CN" w:bidi="ar-SA"/>
              </w:rPr>
            </w:pPr>
            <w:bookmarkStart w:id="29" w:name="OLE_LINK78"/>
            <w:r>
              <w:rPr>
                <w:rFonts w:hint="default" w:ascii="Times New Roman" w:hAnsi="Times New Roman" w:cs="Times New Roman"/>
                <w:color w:val="auto"/>
                <w:highlight w:val="none"/>
              </w:rPr>
              <w:t>m</w:t>
            </w:r>
            <w:bookmarkEnd w:id="29"/>
            <w:r>
              <w:rPr>
                <w:rFonts w:hint="default" w:ascii="Times New Roman" w:hAnsi="Times New Roman" w:cs="Times New Roman"/>
                <w:color w:val="auto"/>
                <w:highlight w:val="none"/>
                <w:vertAlign w:val="superscript"/>
              </w:rPr>
              <w:t>3</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val="en-US" w:eastAsia="zh-CN"/>
              </w:rPr>
              <w:t>h</w:t>
            </w:r>
          </w:p>
        </w:tc>
        <w:tc>
          <w:tcPr>
            <w:tcW w:w="3898" w:type="dxa"/>
            <w:gridSpan w:val="3"/>
            <w:noWrap w:val="0"/>
            <w:vAlign w:val="top"/>
          </w:tcPr>
          <w:p w14:paraId="1F203A01">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kern w:val="0"/>
                <w:sz w:val="24"/>
                <w:szCs w:val="20"/>
                <w:highlight w:val="none"/>
                <w:lang w:val="en-US" w:eastAsia="zh-CN" w:bidi="ar-SA"/>
              </w:rPr>
            </w:pPr>
            <w:r>
              <w:rPr>
                <w:rFonts w:hint="eastAsia" w:ascii="Times New Roman" w:hAnsi="Times New Roman" w:eastAsia="宋体" w:cs="Times New Roman"/>
                <w:color w:val="auto"/>
                <w:kern w:val="0"/>
                <w:sz w:val="24"/>
                <w:szCs w:val="20"/>
                <w:highlight w:val="none"/>
                <w:lang w:val="en-US" w:eastAsia="zh-CN" w:bidi="ar-SA"/>
              </w:rPr>
              <w:t>159509</w:t>
            </w:r>
          </w:p>
        </w:tc>
      </w:tr>
      <w:tr w14:paraId="79B3ED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7D19C497">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1202D3AC">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default" w:ascii="Times New Roman" w:hAnsi="Times New Roman" w:cs="Times New Roman"/>
                <w:color w:val="auto"/>
                <w:highlight w:val="none"/>
              </w:rPr>
              <w:t>入口风温</w:t>
            </w:r>
          </w:p>
        </w:tc>
        <w:tc>
          <w:tcPr>
            <w:tcW w:w="1188" w:type="dxa"/>
            <w:noWrap w:val="0"/>
            <w:vAlign w:val="top"/>
          </w:tcPr>
          <w:p w14:paraId="58986A3E">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szCs w:val="20"/>
                <w:highlight w:val="none"/>
                <w:lang w:val="en-US" w:eastAsia="zh-CN" w:bidi="ar-SA"/>
              </w:rPr>
            </w:pPr>
            <w:r>
              <w:rPr>
                <w:rFonts w:hint="default" w:ascii="Times New Roman" w:hAnsi="Times New Roman" w:cs="Times New Roman"/>
                <w:color w:val="auto"/>
                <w:highlight w:val="none"/>
              </w:rPr>
              <w:t>℃</w:t>
            </w:r>
          </w:p>
        </w:tc>
        <w:tc>
          <w:tcPr>
            <w:tcW w:w="3898" w:type="dxa"/>
            <w:gridSpan w:val="3"/>
            <w:noWrap w:val="0"/>
            <w:vAlign w:val="top"/>
          </w:tcPr>
          <w:p w14:paraId="79ACBAFA">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kern w:val="0"/>
                <w:sz w:val="24"/>
                <w:szCs w:val="20"/>
                <w:highlight w:val="none"/>
                <w:lang w:val="en-US" w:eastAsia="zh-CN" w:bidi="ar-SA"/>
              </w:rPr>
            </w:pPr>
            <w:r>
              <w:rPr>
                <w:rFonts w:hint="eastAsia" w:ascii="Times New Roman" w:hAnsi="Times New Roman" w:eastAsia="宋体" w:cs="Times New Roman"/>
                <w:color w:val="auto"/>
                <w:kern w:val="0"/>
                <w:sz w:val="24"/>
                <w:szCs w:val="20"/>
                <w:highlight w:val="none"/>
                <w:lang w:val="en-US" w:eastAsia="zh-CN" w:bidi="ar-SA"/>
              </w:rPr>
              <w:t>33</w:t>
            </w:r>
          </w:p>
        </w:tc>
      </w:tr>
      <w:tr w14:paraId="51911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restart"/>
            <w:noWrap w:val="0"/>
            <w:vAlign w:val="top"/>
          </w:tcPr>
          <w:p w14:paraId="71906F41">
            <w:pPr>
              <w:pStyle w:val="142"/>
              <w:keepNext w:val="0"/>
              <w:keepLines w:val="0"/>
              <w:suppressLineNumbers w:val="0"/>
              <w:spacing w:before="0" w:beforeAutospacing="0" w:after="0" w:afterAutospacing="0" w:line="360" w:lineRule="auto"/>
              <w:ind w:left="0" w:right="0" w:firstLine="240" w:firstLineChars="100"/>
              <w:rPr>
                <w:rFonts w:hint="default" w:ascii="Times New Roman" w:hAnsi="Times New Roman" w:cs="Times New Roman"/>
                <w:color w:val="auto"/>
                <w:highlight w:val="none"/>
              </w:rPr>
            </w:pPr>
            <w:r>
              <w:rPr>
                <w:rFonts w:hint="default" w:ascii="Times New Roman" w:hAnsi="Times New Roman" w:cs="Times New Roman"/>
                <w:color w:val="auto"/>
                <w:highlight w:val="none"/>
              </w:rPr>
              <w:t>引风机</w:t>
            </w:r>
          </w:p>
          <w:p w14:paraId="670D14A6">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3FD43963">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szCs w:val="24"/>
                <w:highlight w:val="none"/>
              </w:rPr>
              <w:t>台数</w:t>
            </w:r>
          </w:p>
        </w:tc>
        <w:tc>
          <w:tcPr>
            <w:tcW w:w="1188" w:type="dxa"/>
            <w:noWrap w:val="0"/>
            <w:vAlign w:val="top"/>
          </w:tcPr>
          <w:p w14:paraId="3E298D71">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3898" w:type="dxa"/>
            <w:gridSpan w:val="3"/>
            <w:noWrap w:val="0"/>
            <w:vAlign w:val="top"/>
          </w:tcPr>
          <w:p w14:paraId="3038E625">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2</w:t>
            </w:r>
          </w:p>
        </w:tc>
      </w:tr>
      <w:tr w14:paraId="51FBB1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5218389E">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73739F99">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型式及配置</w:t>
            </w:r>
          </w:p>
        </w:tc>
        <w:tc>
          <w:tcPr>
            <w:tcW w:w="1188" w:type="dxa"/>
            <w:noWrap w:val="0"/>
            <w:vAlign w:val="top"/>
          </w:tcPr>
          <w:p w14:paraId="05D3FD05">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3898" w:type="dxa"/>
            <w:gridSpan w:val="3"/>
            <w:noWrap w:val="0"/>
            <w:vAlign w:val="top"/>
          </w:tcPr>
          <w:p w14:paraId="3FF75CB1">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离心式风机</w:t>
            </w:r>
          </w:p>
        </w:tc>
      </w:tr>
      <w:tr w14:paraId="4B6B89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229664B1">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016D881A">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入口风量（）</w:t>
            </w:r>
          </w:p>
        </w:tc>
        <w:tc>
          <w:tcPr>
            <w:tcW w:w="1188" w:type="dxa"/>
            <w:noWrap w:val="0"/>
            <w:vAlign w:val="top"/>
          </w:tcPr>
          <w:p w14:paraId="0B0B31A9">
            <w:pPr>
              <w:pStyle w:val="142"/>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m</w:t>
            </w:r>
            <w:r>
              <w:rPr>
                <w:rFonts w:hint="default" w:ascii="Times New Roman" w:hAnsi="Times New Roman" w:cs="Times New Roman"/>
                <w:color w:val="auto"/>
                <w:highlight w:val="none"/>
                <w:vertAlign w:val="superscript"/>
              </w:rPr>
              <w:t>3</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val="en-US" w:eastAsia="zh-CN"/>
              </w:rPr>
              <w:t>h</w:t>
            </w:r>
          </w:p>
        </w:tc>
        <w:tc>
          <w:tcPr>
            <w:tcW w:w="3898" w:type="dxa"/>
            <w:gridSpan w:val="3"/>
            <w:noWrap w:val="0"/>
            <w:vAlign w:val="top"/>
          </w:tcPr>
          <w:p w14:paraId="4DAC3EBF">
            <w:pPr>
              <w:pStyle w:val="142"/>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251910</w:t>
            </w:r>
          </w:p>
        </w:tc>
      </w:tr>
      <w:tr w14:paraId="39A9C4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Pr>
        <w:tc>
          <w:tcPr>
            <w:tcW w:w="1320" w:type="dxa"/>
            <w:vMerge w:val="continue"/>
            <w:noWrap w:val="0"/>
            <w:vAlign w:val="top"/>
          </w:tcPr>
          <w:p w14:paraId="51C50ECB">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p>
        </w:tc>
        <w:tc>
          <w:tcPr>
            <w:tcW w:w="2622" w:type="dxa"/>
            <w:noWrap w:val="0"/>
            <w:vAlign w:val="top"/>
          </w:tcPr>
          <w:p w14:paraId="058E04BE">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入口风温</w:t>
            </w:r>
          </w:p>
        </w:tc>
        <w:tc>
          <w:tcPr>
            <w:tcW w:w="1188" w:type="dxa"/>
            <w:noWrap w:val="0"/>
            <w:vAlign w:val="top"/>
          </w:tcPr>
          <w:p w14:paraId="0223A83C">
            <w:pPr>
              <w:pStyle w:val="142"/>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highlight w:val="none"/>
              </w:rPr>
              <w:t>℃</w:t>
            </w:r>
          </w:p>
        </w:tc>
        <w:tc>
          <w:tcPr>
            <w:tcW w:w="3898" w:type="dxa"/>
            <w:gridSpan w:val="3"/>
            <w:noWrap w:val="0"/>
            <w:vAlign w:val="top"/>
          </w:tcPr>
          <w:p w14:paraId="23709872">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highlight w:val="none"/>
                <w:lang w:val="en-US" w:eastAsia="zh-CN"/>
              </w:rPr>
            </w:pPr>
            <w:r>
              <w:rPr>
                <w:rFonts w:hint="eastAsia" w:ascii="宋体" w:hAnsi="宋体" w:eastAsia="宋体" w:cs="宋体"/>
                <w:color w:val="auto"/>
                <w:kern w:val="0"/>
                <w:sz w:val="25"/>
                <w:szCs w:val="25"/>
                <w:highlight w:val="none"/>
                <w:lang w:val="en-US" w:eastAsia="zh-CN" w:bidi="ar"/>
              </w:rPr>
              <w:t>～150℃</w:t>
            </w:r>
          </w:p>
        </w:tc>
      </w:tr>
    </w:tbl>
    <w:p w14:paraId="71DA43E3">
      <w:pPr>
        <w:adjustRightInd w:val="0"/>
        <w:snapToGrid w:val="0"/>
        <w:spacing w:line="360" w:lineRule="auto"/>
        <w:rPr>
          <w:color w:val="auto"/>
          <w:sz w:val="24"/>
          <w:highlight w:val="none"/>
        </w:rPr>
      </w:pPr>
    </w:p>
    <w:p w14:paraId="7906BF6E">
      <w:pPr>
        <w:adjustRightInd w:val="0"/>
        <w:snapToGrid w:val="0"/>
        <w:spacing w:line="360" w:lineRule="auto"/>
        <w:rPr>
          <w:color w:val="auto"/>
          <w:sz w:val="24"/>
          <w:highlight w:val="none"/>
        </w:rPr>
      </w:pPr>
      <w:r>
        <w:rPr>
          <w:color w:val="auto"/>
          <w:sz w:val="24"/>
          <w:highlight w:val="none"/>
        </w:rPr>
        <w:t>1.2.2煤质资料</w:t>
      </w:r>
    </w:p>
    <w:p w14:paraId="3C499496">
      <w:pPr>
        <w:tabs>
          <w:tab w:val="left" w:pos="6663"/>
          <w:tab w:val="left" w:pos="8222"/>
          <w:tab w:val="left" w:pos="8364"/>
          <w:tab w:val="left" w:pos="9781"/>
        </w:tabs>
        <w:autoSpaceDE w:val="0"/>
        <w:autoSpaceDN w:val="0"/>
        <w:snapToGrid w:val="0"/>
        <w:spacing w:line="360" w:lineRule="auto"/>
        <w:ind w:firstLine="480" w:firstLineChars="200"/>
        <w:textAlignment w:val="bottom"/>
        <w:rPr>
          <w:color w:val="auto"/>
          <w:sz w:val="24"/>
          <w:highlight w:val="none"/>
        </w:rPr>
      </w:pPr>
      <w:r>
        <w:rPr>
          <w:color w:val="auto"/>
          <w:sz w:val="24"/>
          <w:highlight w:val="none"/>
        </w:rPr>
        <w:t>本工程设计煤种为</w:t>
      </w:r>
      <w:r>
        <w:rPr>
          <w:rFonts w:hint="eastAsia"/>
          <w:color w:val="auto"/>
          <w:sz w:val="24"/>
          <w:highlight w:val="none"/>
          <w:lang w:val="en-US" w:eastAsia="zh-CN"/>
        </w:rPr>
        <w:t>混合</w:t>
      </w:r>
      <w:r>
        <w:rPr>
          <w:rFonts w:hint="eastAsia"/>
          <w:color w:val="auto"/>
          <w:sz w:val="24"/>
          <w:highlight w:val="none"/>
        </w:rPr>
        <w:t>烟</w:t>
      </w:r>
      <w:r>
        <w:rPr>
          <w:color w:val="auto"/>
          <w:sz w:val="24"/>
          <w:highlight w:val="none"/>
        </w:rPr>
        <w:t>煤。最新的煤质资料如下：</w:t>
      </w:r>
    </w:p>
    <w:p w14:paraId="382ACADB">
      <w:pPr>
        <w:spacing w:line="360" w:lineRule="auto"/>
        <w:jc w:val="center"/>
        <w:rPr>
          <w:color w:val="auto"/>
          <w:sz w:val="24"/>
          <w:highlight w:val="none"/>
        </w:rPr>
      </w:pPr>
      <w:r>
        <w:rPr>
          <w:color w:val="auto"/>
          <w:sz w:val="24"/>
          <w:highlight w:val="none"/>
        </w:rPr>
        <w:t>表1-1-2 煤质资料</w:t>
      </w:r>
    </w:p>
    <w:tbl>
      <w:tblPr>
        <w:tblStyle w:val="52"/>
        <w:tblW w:w="474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14"/>
        <w:gridCol w:w="1095"/>
        <w:gridCol w:w="964"/>
        <w:gridCol w:w="1499"/>
        <w:gridCol w:w="1398"/>
        <w:gridCol w:w="1264"/>
      </w:tblGrid>
      <w:tr w14:paraId="45ECB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9" w:hRule="atLeast"/>
          <w:tblHeader/>
          <w:jc w:val="center"/>
        </w:trPr>
        <w:tc>
          <w:tcPr>
            <w:tcW w:w="1127" w:type="pct"/>
            <w:tcBorders>
              <w:tl2br w:val="single" w:color="auto" w:sz="6" w:space="0"/>
            </w:tcBorders>
            <w:noWrap w:val="0"/>
            <w:vAlign w:val="center"/>
          </w:tcPr>
          <w:p w14:paraId="16C5205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aps/>
                <w:color w:val="auto"/>
                <w:szCs w:val="21"/>
                <w:highlight w:val="none"/>
              </w:rPr>
            </w:pPr>
            <w:r>
              <w:rPr>
                <w:rFonts w:hint="eastAsia" w:ascii="宋体" w:hAnsi="宋体" w:eastAsia="宋体" w:cs="宋体"/>
                <w:b w:val="0"/>
                <w:bCs w:val="0"/>
                <w:caps/>
                <w:color w:val="auto"/>
                <w:szCs w:val="21"/>
                <w:highlight w:val="none"/>
              </w:rPr>
              <w:t xml:space="preserve">          项 目</w:t>
            </w:r>
          </w:p>
          <w:p w14:paraId="10C87AEC">
            <w:pPr>
              <w:keepNext w:val="0"/>
              <w:keepLines w:val="0"/>
              <w:suppressLineNumbers w:val="0"/>
              <w:adjustRightInd w:val="0"/>
              <w:snapToGrid w:val="0"/>
              <w:spacing w:before="0" w:beforeAutospacing="0" w:after="0" w:afterAutospacing="0"/>
              <w:ind w:left="0" w:right="0"/>
              <w:rPr>
                <w:rFonts w:hint="eastAsia" w:ascii="宋体" w:hAnsi="宋体" w:eastAsia="宋体" w:cs="宋体"/>
                <w:b w:val="0"/>
                <w:bCs w:val="0"/>
                <w:caps/>
                <w:color w:val="auto"/>
                <w:szCs w:val="21"/>
                <w:highlight w:val="none"/>
              </w:rPr>
            </w:pPr>
            <w:r>
              <w:rPr>
                <w:rFonts w:hint="eastAsia" w:ascii="宋体" w:hAnsi="宋体" w:eastAsia="宋体" w:cs="宋体"/>
                <w:b w:val="0"/>
                <w:bCs w:val="0"/>
                <w:caps/>
                <w:color w:val="auto"/>
                <w:szCs w:val="21"/>
                <w:highlight w:val="none"/>
              </w:rPr>
              <w:t>名 称</w:t>
            </w:r>
          </w:p>
        </w:tc>
        <w:tc>
          <w:tcPr>
            <w:tcW w:w="682" w:type="pct"/>
            <w:noWrap w:val="0"/>
            <w:vAlign w:val="center"/>
          </w:tcPr>
          <w:p w14:paraId="731F2A06">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aps/>
                <w:color w:val="auto"/>
                <w:szCs w:val="21"/>
                <w:highlight w:val="none"/>
              </w:rPr>
            </w:pPr>
            <w:r>
              <w:rPr>
                <w:rFonts w:hint="eastAsia" w:ascii="宋体" w:hAnsi="宋体" w:eastAsia="宋体" w:cs="宋体"/>
                <w:b w:val="0"/>
                <w:bCs w:val="0"/>
                <w:caps/>
                <w:color w:val="auto"/>
                <w:szCs w:val="21"/>
                <w:highlight w:val="none"/>
              </w:rPr>
              <w:t>符 号</w:t>
            </w:r>
          </w:p>
        </w:tc>
        <w:tc>
          <w:tcPr>
            <w:tcW w:w="600" w:type="pct"/>
            <w:noWrap w:val="0"/>
            <w:vAlign w:val="center"/>
          </w:tcPr>
          <w:p w14:paraId="32E0CD2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aps/>
                <w:color w:val="auto"/>
                <w:szCs w:val="21"/>
                <w:highlight w:val="none"/>
              </w:rPr>
            </w:pPr>
            <w:r>
              <w:rPr>
                <w:rFonts w:hint="eastAsia" w:ascii="宋体" w:hAnsi="宋体" w:eastAsia="宋体" w:cs="宋体"/>
                <w:b w:val="0"/>
                <w:bCs w:val="0"/>
                <w:caps/>
                <w:color w:val="auto"/>
                <w:szCs w:val="21"/>
                <w:highlight w:val="none"/>
              </w:rPr>
              <w:t>单 位</w:t>
            </w:r>
          </w:p>
        </w:tc>
        <w:tc>
          <w:tcPr>
            <w:tcW w:w="932" w:type="pct"/>
            <w:noWrap w:val="0"/>
            <w:vAlign w:val="center"/>
          </w:tcPr>
          <w:p w14:paraId="0E193BC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aps/>
                <w:color w:val="auto"/>
                <w:szCs w:val="21"/>
                <w:highlight w:val="none"/>
              </w:rPr>
            </w:pPr>
          </w:p>
          <w:p w14:paraId="20D6BB4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aps/>
                <w:color w:val="auto"/>
                <w:szCs w:val="21"/>
                <w:highlight w:val="none"/>
              </w:rPr>
            </w:pPr>
            <w:r>
              <w:rPr>
                <w:rFonts w:hint="eastAsia" w:ascii="宋体" w:hAnsi="宋体" w:eastAsia="宋体" w:cs="宋体"/>
                <w:b w:val="0"/>
                <w:bCs w:val="0"/>
                <w:caps/>
                <w:color w:val="auto"/>
                <w:szCs w:val="21"/>
                <w:highlight w:val="none"/>
              </w:rPr>
              <w:t>设计煤种</w:t>
            </w:r>
          </w:p>
          <w:p w14:paraId="2AF4462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aps/>
                <w:color w:val="auto"/>
                <w:szCs w:val="21"/>
                <w:highlight w:val="none"/>
              </w:rPr>
            </w:pPr>
          </w:p>
        </w:tc>
        <w:tc>
          <w:tcPr>
            <w:tcW w:w="869" w:type="pct"/>
            <w:noWrap w:val="0"/>
            <w:vAlign w:val="center"/>
          </w:tcPr>
          <w:p w14:paraId="66A6A57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aps/>
                <w:color w:val="auto"/>
                <w:szCs w:val="21"/>
                <w:highlight w:val="none"/>
              </w:rPr>
            </w:pPr>
          </w:p>
          <w:p w14:paraId="093FFEB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aps/>
                <w:color w:val="auto"/>
                <w:szCs w:val="21"/>
                <w:highlight w:val="none"/>
              </w:rPr>
            </w:pPr>
            <w:r>
              <w:rPr>
                <w:rFonts w:hint="eastAsia" w:ascii="宋体" w:hAnsi="宋体" w:eastAsia="宋体" w:cs="宋体"/>
                <w:b w:val="0"/>
                <w:bCs w:val="0"/>
                <w:caps/>
                <w:color w:val="auto"/>
                <w:szCs w:val="21"/>
                <w:highlight w:val="none"/>
              </w:rPr>
              <w:t>校核煤种1</w:t>
            </w:r>
          </w:p>
          <w:p w14:paraId="48C51BE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aps/>
                <w:color w:val="auto"/>
                <w:szCs w:val="21"/>
                <w:highlight w:val="none"/>
              </w:rPr>
            </w:pPr>
          </w:p>
        </w:tc>
        <w:tc>
          <w:tcPr>
            <w:tcW w:w="787" w:type="pct"/>
            <w:noWrap w:val="0"/>
            <w:vAlign w:val="center"/>
          </w:tcPr>
          <w:p w14:paraId="4EE6FE8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aps/>
                <w:color w:val="auto"/>
                <w:szCs w:val="21"/>
                <w:highlight w:val="none"/>
              </w:rPr>
            </w:pPr>
            <w:r>
              <w:rPr>
                <w:rFonts w:hint="eastAsia" w:ascii="宋体" w:hAnsi="宋体" w:eastAsia="宋体" w:cs="宋体"/>
                <w:b w:val="0"/>
                <w:bCs w:val="0"/>
                <w:caps/>
                <w:color w:val="auto"/>
                <w:szCs w:val="21"/>
                <w:highlight w:val="none"/>
              </w:rPr>
              <w:t>校核煤种2</w:t>
            </w:r>
          </w:p>
        </w:tc>
      </w:tr>
      <w:tr w14:paraId="50BED0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48CB72C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全水分</w:t>
            </w:r>
          </w:p>
        </w:tc>
        <w:tc>
          <w:tcPr>
            <w:tcW w:w="682" w:type="pct"/>
            <w:noWrap w:val="0"/>
            <w:vAlign w:val="center"/>
          </w:tcPr>
          <w:p w14:paraId="5AB1B5E5">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Mt,ar</w:t>
            </w:r>
          </w:p>
        </w:tc>
        <w:tc>
          <w:tcPr>
            <w:tcW w:w="600" w:type="pct"/>
            <w:noWrap w:val="0"/>
            <w:vAlign w:val="center"/>
          </w:tcPr>
          <w:p w14:paraId="3F10CC93">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428971AF">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w:t>
            </w:r>
          </w:p>
        </w:tc>
        <w:tc>
          <w:tcPr>
            <w:tcW w:w="869" w:type="pct"/>
            <w:noWrap w:val="0"/>
            <w:vAlign w:val="center"/>
          </w:tcPr>
          <w:p w14:paraId="233605B5">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18.6</w:t>
            </w:r>
          </w:p>
        </w:tc>
        <w:tc>
          <w:tcPr>
            <w:tcW w:w="787" w:type="pct"/>
            <w:noWrap w:val="0"/>
            <w:vAlign w:val="center"/>
          </w:tcPr>
          <w:p w14:paraId="6F60E402">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15.7</w:t>
            </w:r>
          </w:p>
        </w:tc>
      </w:tr>
      <w:tr w14:paraId="1C8FDC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7AC7A9F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收到基灰份</w:t>
            </w:r>
          </w:p>
        </w:tc>
        <w:tc>
          <w:tcPr>
            <w:tcW w:w="682" w:type="pct"/>
            <w:noWrap w:val="0"/>
            <w:vAlign w:val="center"/>
          </w:tcPr>
          <w:p w14:paraId="4E4A53CE">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Aar</w:t>
            </w:r>
          </w:p>
        </w:tc>
        <w:tc>
          <w:tcPr>
            <w:tcW w:w="600" w:type="pct"/>
            <w:noWrap w:val="0"/>
            <w:vAlign w:val="center"/>
          </w:tcPr>
          <w:p w14:paraId="27E651E7">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381E5115">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18.44</w:t>
            </w:r>
          </w:p>
        </w:tc>
        <w:tc>
          <w:tcPr>
            <w:tcW w:w="869" w:type="pct"/>
            <w:noWrap w:val="0"/>
            <w:vAlign w:val="center"/>
          </w:tcPr>
          <w:p w14:paraId="4831A211">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14.60</w:t>
            </w:r>
          </w:p>
        </w:tc>
        <w:tc>
          <w:tcPr>
            <w:tcW w:w="787" w:type="pct"/>
            <w:noWrap w:val="0"/>
            <w:vAlign w:val="center"/>
          </w:tcPr>
          <w:p w14:paraId="2036DC58">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11.91</w:t>
            </w:r>
          </w:p>
        </w:tc>
      </w:tr>
      <w:tr w14:paraId="2AA08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308B6BE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干燥无灰基挥发分</w:t>
            </w:r>
          </w:p>
        </w:tc>
        <w:tc>
          <w:tcPr>
            <w:tcW w:w="682" w:type="pct"/>
            <w:noWrap w:val="0"/>
            <w:vAlign w:val="center"/>
          </w:tcPr>
          <w:p w14:paraId="45D0AA39">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Vdaf</w:t>
            </w:r>
          </w:p>
        </w:tc>
        <w:tc>
          <w:tcPr>
            <w:tcW w:w="600" w:type="pct"/>
            <w:noWrap w:val="0"/>
            <w:vAlign w:val="center"/>
          </w:tcPr>
          <w:p w14:paraId="527DE018">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4430721B">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37.15</w:t>
            </w:r>
          </w:p>
        </w:tc>
        <w:tc>
          <w:tcPr>
            <w:tcW w:w="869" w:type="pct"/>
            <w:noWrap w:val="0"/>
            <w:vAlign w:val="center"/>
          </w:tcPr>
          <w:p w14:paraId="52E6D30A">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37.21</w:t>
            </w:r>
          </w:p>
        </w:tc>
        <w:tc>
          <w:tcPr>
            <w:tcW w:w="787" w:type="pct"/>
            <w:noWrap w:val="0"/>
            <w:vAlign w:val="center"/>
          </w:tcPr>
          <w:p w14:paraId="5605447E">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32.39</w:t>
            </w:r>
          </w:p>
        </w:tc>
      </w:tr>
      <w:tr w14:paraId="4638A3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565F113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收到基碳</w:t>
            </w:r>
          </w:p>
        </w:tc>
        <w:tc>
          <w:tcPr>
            <w:tcW w:w="682" w:type="pct"/>
            <w:noWrap w:val="0"/>
            <w:vAlign w:val="center"/>
          </w:tcPr>
          <w:p w14:paraId="148A99F2">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Car</w:t>
            </w:r>
          </w:p>
        </w:tc>
        <w:tc>
          <w:tcPr>
            <w:tcW w:w="600" w:type="pct"/>
            <w:noWrap w:val="0"/>
            <w:vAlign w:val="center"/>
          </w:tcPr>
          <w:p w14:paraId="6F137BB9">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29C22F5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55.49</w:t>
            </w:r>
          </w:p>
        </w:tc>
        <w:tc>
          <w:tcPr>
            <w:tcW w:w="869" w:type="pct"/>
            <w:noWrap w:val="0"/>
            <w:vAlign w:val="center"/>
          </w:tcPr>
          <w:p w14:paraId="759D4A44">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52.50</w:t>
            </w:r>
          </w:p>
        </w:tc>
        <w:tc>
          <w:tcPr>
            <w:tcW w:w="787" w:type="pct"/>
            <w:noWrap w:val="0"/>
            <w:vAlign w:val="center"/>
          </w:tcPr>
          <w:p w14:paraId="407E18D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59.64</w:t>
            </w:r>
          </w:p>
        </w:tc>
      </w:tr>
      <w:tr w14:paraId="485CD0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1508377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收到基氢</w:t>
            </w:r>
          </w:p>
        </w:tc>
        <w:tc>
          <w:tcPr>
            <w:tcW w:w="682" w:type="pct"/>
            <w:noWrap w:val="0"/>
            <w:vAlign w:val="center"/>
          </w:tcPr>
          <w:p w14:paraId="5480C074">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Har</w:t>
            </w:r>
          </w:p>
        </w:tc>
        <w:tc>
          <w:tcPr>
            <w:tcW w:w="600" w:type="pct"/>
            <w:noWrap w:val="0"/>
            <w:vAlign w:val="center"/>
          </w:tcPr>
          <w:p w14:paraId="728CB46C">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58850DC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3.52</w:t>
            </w:r>
          </w:p>
        </w:tc>
        <w:tc>
          <w:tcPr>
            <w:tcW w:w="869" w:type="pct"/>
            <w:noWrap w:val="0"/>
            <w:vAlign w:val="center"/>
          </w:tcPr>
          <w:p w14:paraId="6345AC20">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3.19</w:t>
            </w:r>
          </w:p>
        </w:tc>
        <w:tc>
          <w:tcPr>
            <w:tcW w:w="787" w:type="pct"/>
            <w:noWrap w:val="0"/>
            <w:vAlign w:val="center"/>
          </w:tcPr>
          <w:p w14:paraId="0D9A0BE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3.52</w:t>
            </w:r>
          </w:p>
        </w:tc>
      </w:tr>
      <w:tr w14:paraId="239F57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08D7CE5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收到基氮</w:t>
            </w:r>
          </w:p>
        </w:tc>
        <w:tc>
          <w:tcPr>
            <w:tcW w:w="682" w:type="pct"/>
            <w:noWrap w:val="0"/>
            <w:vAlign w:val="center"/>
          </w:tcPr>
          <w:p w14:paraId="264F4D74">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Nar</w:t>
            </w:r>
          </w:p>
        </w:tc>
        <w:tc>
          <w:tcPr>
            <w:tcW w:w="600" w:type="pct"/>
            <w:noWrap w:val="0"/>
            <w:vAlign w:val="center"/>
          </w:tcPr>
          <w:p w14:paraId="11A35A13">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7E93669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0.79</w:t>
            </w:r>
          </w:p>
        </w:tc>
        <w:tc>
          <w:tcPr>
            <w:tcW w:w="869" w:type="pct"/>
            <w:noWrap w:val="0"/>
            <w:vAlign w:val="center"/>
          </w:tcPr>
          <w:p w14:paraId="7F785B54">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0.69</w:t>
            </w:r>
          </w:p>
        </w:tc>
        <w:tc>
          <w:tcPr>
            <w:tcW w:w="787" w:type="pct"/>
            <w:noWrap w:val="0"/>
            <w:vAlign w:val="center"/>
          </w:tcPr>
          <w:p w14:paraId="08997C0A">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1.36</w:t>
            </w:r>
          </w:p>
        </w:tc>
      </w:tr>
      <w:tr w14:paraId="6D8689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48421F0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收到基硫</w:t>
            </w:r>
          </w:p>
        </w:tc>
        <w:tc>
          <w:tcPr>
            <w:tcW w:w="682" w:type="pct"/>
            <w:noWrap w:val="0"/>
            <w:vAlign w:val="center"/>
          </w:tcPr>
          <w:p w14:paraId="200F9076">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Sar</w:t>
            </w:r>
          </w:p>
        </w:tc>
        <w:tc>
          <w:tcPr>
            <w:tcW w:w="600" w:type="pct"/>
            <w:noWrap w:val="0"/>
            <w:vAlign w:val="center"/>
          </w:tcPr>
          <w:p w14:paraId="1FE4BB82">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6DA17F1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0.74</w:t>
            </w:r>
          </w:p>
        </w:tc>
        <w:tc>
          <w:tcPr>
            <w:tcW w:w="869" w:type="pct"/>
            <w:noWrap w:val="0"/>
            <w:vAlign w:val="center"/>
          </w:tcPr>
          <w:p w14:paraId="133733B1">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0.40</w:t>
            </w:r>
          </w:p>
        </w:tc>
        <w:tc>
          <w:tcPr>
            <w:tcW w:w="787" w:type="pct"/>
            <w:noWrap w:val="0"/>
            <w:vAlign w:val="center"/>
          </w:tcPr>
          <w:p w14:paraId="44B811A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0.3</w:t>
            </w:r>
          </w:p>
        </w:tc>
      </w:tr>
      <w:tr w14:paraId="45F8E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4A24AF8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收到基低位发热量</w:t>
            </w:r>
          </w:p>
        </w:tc>
        <w:tc>
          <w:tcPr>
            <w:tcW w:w="682" w:type="pct"/>
            <w:noWrap w:val="0"/>
            <w:vAlign w:val="center"/>
          </w:tcPr>
          <w:p w14:paraId="2A18AD3B">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Qnet,ar</w:t>
            </w:r>
          </w:p>
        </w:tc>
        <w:tc>
          <w:tcPr>
            <w:tcW w:w="600" w:type="pct"/>
            <w:noWrap w:val="0"/>
            <w:vAlign w:val="center"/>
          </w:tcPr>
          <w:p w14:paraId="47FB27EF">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MJ/kg</w:t>
            </w:r>
          </w:p>
        </w:tc>
        <w:tc>
          <w:tcPr>
            <w:tcW w:w="932" w:type="pct"/>
            <w:noWrap w:val="0"/>
            <w:vAlign w:val="center"/>
          </w:tcPr>
          <w:p w14:paraId="618B240E">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21.58</w:t>
            </w:r>
          </w:p>
        </w:tc>
        <w:tc>
          <w:tcPr>
            <w:tcW w:w="869" w:type="pct"/>
            <w:noWrap w:val="0"/>
            <w:vAlign w:val="center"/>
          </w:tcPr>
          <w:p w14:paraId="4760059E">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20.00</w:t>
            </w:r>
          </w:p>
        </w:tc>
        <w:tc>
          <w:tcPr>
            <w:tcW w:w="787" w:type="pct"/>
            <w:noWrap w:val="0"/>
            <w:vAlign w:val="center"/>
          </w:tcPr>
          <w:p w14:paraId="1FDCCC5D">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22.93</w:t>
            </w:r>
          </w:p>
        </w:tc>
      </w:tr>
      <w:tr w14:paraId="73C0A7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2061A4B6">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变形温度</w:t>
            </w:r>
          </w:p>
        </w:tc>
        <w:tc>
          <w:tcPr>
            <w:tcW w:w="682" w:type="pct"/>
            <w:noWrap w:val="0"/>
            <w:vAlign w:val="center"/>
          </w:tcPr>
          <w:p w14:paraId="5DAF1BD6">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DT</w:t>
            </w:r>
          </w:p>
        </w:tc>
        <w:tc>
          <w:tcPr>
            <w:tcW w:w="600" w:type="pct"/>
            <w:noWrap w:val="0"/>
            <w:vAlign w:val="center"/>
          </w:tcPr>
          <w:p w14:paraId="17966AB2">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073C45A6">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1370</w:t>
            </w:r>
          </w:p>
        </w:tc>
        <w:tc>
          <w:tcPr>
            <w:tcW w:w="869" w:type="pct"/>
            <w:noWrap w:val="0"/>
            <w:vAlign w:val="center"/>
          </w:tcPr>
          <w:p w14:paraId="77E8674C">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1250</w:t>
            </w:r>
          </w:p>
        </w:tc>
        <w:tc>
          <w:tcPr>
            <w:tcW w:w="787" w:type="pct"/>
            <w:noWrap w:val="0"/>
            <w:vAlign w:val="center"/>
          </w:tcPr>
          <w:p w14:paraId="1587D4C7">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1500</w:t>
            </w:r>
          </w:p>
        </w:tc>
      </w:tr>
      <w:tr w14:paraId="2597E2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530C9A8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软化温度</w:t>
            </w:r>
          </w:p>
        </w:tc>
        <w:tc>
          <w:tcPr>
            <w:tcW w:w="682" w:type="pct"/>
            <w:noWrap w:val="0"/>
            <w:vAlign w:val="center"/>
          </w:tcPr>
          <w:p w14:paraId="7A4173E8">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ST</w:t>
            </w:r>
          </w:p>
        </w:tc>
        <w:tc>
          <w:tcPr>
            <w:tcW w:w="600" w:type="pct"/>
            <w:noWrap w:val="0"/>
            <w:vAlign w:val="center"/>
          </w:tcPr>
          <w:p w14:paraId="62EC743E">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4580CAFE">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1400</w:t>
            </w:r>
          </w:p>
        </w:tc>
        <w:tc>
          <w:tcPr>
            <w:tcW w:w="869" w:type="pct"/>
            <w:noWrap w:val="0"/>
            <w:vAlign w:val="center"/>
          </w:tcPr>
          <w:p w14:paraId="1B88D65C">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1270</w:t>
            </w:r>
          </w:p>
        </w:tc>
        <w:tc>
          <w:tcPr>
            <w:tcW w:w="787" w:type="pct"/>
            <w:noWrap w:val="0"/>
            <w:vAlign w:val="center"/>
          </w:tcPr>
          <w:p w14:paraId="0E87EA03">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1500</w:t>
            </w:r>
          </w:p>
        </w:tc>
      </w:tr>
      <w:tr w14:paraId="066296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6AAA1FA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半球温度</w:t>
            </w:r>
          </w:p>
        </w:tc>
        <w:tc>
          <w:tcPr>
            <w:tcW w:w="682" w:type="pct"/>
            <w:noWrap w:val="0"/>
            <w:vAlign w:val="center"/>
          </w:tcPr>
          <w:p w14:paraId="378FAC7A">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HT </w:t>
            </w:r>
          </w:p>
        </w:tc>
        <w:tc>
          <w:tcPr>
            <w:tcW w:w="600" w:type="pct"/>
            <w:noWrap w:val="0"/>
            <w:vAlign w:val="center"/>
          </w:tcPr>
          <w:p w14:paraId="1A4171B1">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52BAF96F">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1410</w:t>
            </w:r>
          </w:p>
        </w:tc>
        <w:tc>
          <w:tcPr>
            <w:tcW w:w="869" w:type="pct"/>
            <w:noWrap w:val="0"/>
            <w:vAlign w:val="center"/>
          </w:tcPr>
          <w:p w14:paraId="60992A4C">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1280</w:t>
            </w:r>
          </w:p>
        </w:tc>
        <w:tc>
          <w:tcPr>
            <w:tcW w:w="787" w:type="pct"/>
            <w:noWrap w:val="0"/>
            <w:vAlign w:val="center"/>
          </w:tcPr>
          <w:p w14:paraId="0ECE38AB">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1500</w:t>
            </w:r>
          </w:p>
        </w:tc>
      </w:tr>
      <w:tr w14:paraId="2136F0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1127" w:type="pct"/>
            <w:noWrap w:val="0"/>
            <w:vAlign w:val="center"/>
          </w:tcPr>
          <w:p w14:paraId="50FB6EF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熔化温度</w:t>
            </w:r>
          </w:p>
        </w:tc>
        <w:tc>
          <w:tcPr>
            <w:tcW w:w="682" w:type="pct"/>
            <w:noWrap w:val="0"/>
            <w:vAlign w:val="center"/>
          </w:tcPr>
          <w:p w14:paraId="5CD0307B">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FT</w:t>
            </w:r>
          </w:p>
        </w:tc>
        <w:tc>
          <w:tcPr>
            <w:tcW w:w="600" w:type="pct"/>
            <w:noWrap w:val="0"/>
            <w:vAlign w:val="center"/>
          </w:tcPr>
          <w:p w14:paraId="5C91C0A3">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932" w:type="pct"/>
            <w:noWrap w:val="0"/>
            <w:vAlign w:val="center"/>
          </w:tcPr>
          <w:p w14:paraId="2C27600A">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1460</w:t>
            </w:r>
          </w:p>
        </w:tc>
        <w:tc>
          <w:tcPr>
            <w:tcW w:w="869" w:type="pct"/>
            <w:noWrap w:val="0"/>
            <w:vAlign w:val="center"/>
          </w:tcPr>
          <w:p w14:paraId="6F1AF4E1">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1320</w:t>
            </w:r>
          </w:p>
        </w:tc>
        <w:tc>
          <w:tcPr>
            <w:tcW w:w="787" w:type="pct"/>
            <w:noWrap w:val="0"/>
            <w:vAlign w:val="center"/>
          </w:tcPr>
          <w:p w14:paraId="4C5F0764">
            <w:pPr>
              <w:keepNext w:val="0"/>
              <w:keepLines w:val="0"/>
              <w:suppressLineNumbers w:val="0"/>
              <w:adjustRightInd w:val="0"/>
              <w:snapToGrid w:val="0"/>
              <w:spacing w:before="0" w:beforeAutospacing="0" w:after="0" w:afterAutospacing="0"/>
              <w:ind w:left="-4" w:leftChars="-2"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1500</w:t>
            </w:r>
          </w:p>
        </w:tc>
      </w:tr>
    </w:tbl>
    <w:p w14:paraId="47C06A30">
      <w:pPr>
        <w:spacing w:line="360" w:lineRule="auto"/>
        <w:jc w:val="both"/>
        <w:rPr>
          <w:color w:val="auto"/>
          <w:sz w:val="24"/>
          <w:highlight w:val="none"/>
        </w:rPr>
      </w:pPr>
    </w:p>
    <w:p w14:paraId="334F30D0">
      <w:pPr>
        <w:spacing w:line="360" w:lineRule="auto"/>
        <w:jc w:val="both"/>
        <w:rPr>
          <w:color w:val="auto"/>
          <w:highlight w:val="none"/>
        </w:rPr>
      </w:pPr>
    </w:p>
    <w:p w14:paraId="4C2725BE">
      <w:pPr>
        <w:adjustRightInd w:val="0"/>
        <w:snapToGrid w:val="0"/>
        <w:spacing w:line="360" w:lineRule="auto"/>
        <w:rPr>
          <w:color w:val="auto"/>
          <w:sz w:val="24"/>
          <w:highlight w:val="none"/>
        </w:rPr>
      </w:pPr>
      <w:r>
        <w:rPr>
          <w:color w:val="auto"/>
          <w:sz w:val="24"/>
          <w:highlight w:val="none"/>
        </w:rPr>
        <w:t>1.2.3 烟气参数</w:t>
      </w:r>
    </w:p>
    <w:p w14:paraId="14C4F791">
      <w:pPr>
        <w:snapToGrid w:val="0"/>
        <w:spacing w:line="360" w:lineRule="auto"/>
        <w:jc w:val="center"/>
        <w:rPr>
          <w:snapToGrid w:val="0"/>
          <w:color w:val="auto"/>
          <w:sz w:val="24"/>
          <w:highlight w:val="none"/>
        </w:rPr>
      </w:pPr>
      <w:r>
        <w:rPr>
          <w:color w:val="auto"/>
          <w:sz w:val="24"/>
          <w:highlight w:val="none"/>
        </w:rPr>
        <w:t xml:space="preserve">表1-1-3  </w:t>
      </w:r>
      <w:r>
        <w:rPr>
          <w:snapToGrid w:val="0"/>
          <w:color w:val="auto"/>
          <w:sz w:val="24"/>
          <w:highlight w:val="none"/>
        </w:rPr>
        <w:t>FGD烟气参数</w:t>
      </w:r>
    </w:p>
    <w:tbl>
      <w:tblPr>
        <w:tblStyle w:val="52"/>
        <w:tblW w:w="0" w:type="auto"/>
        <w:jc w:val="center"/>
        <w:tblLayout w:type="fixed"/>
        <w:tblCellMar>
          <w:top w:w="0" w:type="dxa"/>
          <w:left w:w="108" w:type="dxa"/>
          <w:bottom w:w="0" w:type="dxa"/>
          <w:right w:w="108" w:type="dxa"/>
        </w:tblCellMar>
      </w:tblPr>
      <w:tblGrid>
        <w:gridCol w:w="707"/>
        <w:gridCol w:w="3494"/>
        <w:gridCol w:w="928"/>
        <w:gridCol w:w="1209"/>
        <w:gridCol w:w="1135"/>
        <w:gridCol w:w="993"/>
      </w:tblGrid>
      <w:tr w14:paraId="19DE6D95">
        <w:tblPrEx>
          <w:tblCellMar>
            <w:top w:w="0" w:type="dxa"/>
            <w:left w:w="108" w:type="dxa"/>
            <w:bottom w:w="0" w:type="dxa"/>
            <w:right w:w="108" w:type="dxa"/>
          </w:tblCellMar>
        </w:tblPrEx>
        <w:trPr>
          <w:trHeight w:val="90" w:hRule="atLeast"/>
          <w:jc w:val="center"/>
        </w:trPr>
        <w:tc>
          <w:tcPr>
            <w:tcW w:w="707" w:type="dxa"/>
            <w:tcBorders>
              <w:top w:val="single" w:color="auto" w:sz="12" w:space="0"/>
              <w:left w:val="single" w:color="auto" w:sz="12" w:space="0"/>
              <w:bottom w:val="single" w:color="auto" w:sz="8" w:space="0"/>
              <w:right w:val="single" w:color="auto" w:sz="8" w:space="0"/>
            </w:tcBorders>
            <w:noWrap w:val="0"/>
            <w:vAlign w:val="center"/>
          </w:tcPr>
          <w:p w14:paraId="152B253D">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bookmarkStart w:id="30" w:name="_Toc4243610"/>
            <w:r>
              <w:rPr>
                <w:rFonts w:hint="default" w:ascii="Times New Roman" w:hAnsi="Times New Roman" w:cs="Times New Roman"/>
                <w:color w:val="auto"/>
                <w:kern w:val="0"/>
                <w:szCs w:val="21"/>
                <w:highlight w:val="none"/>
              </w:rPr>
              <w:t>序号</w:t>
            </w:r>
          </w:p>
        </w:tc>
        <w:tc>
          <w:tcPr>
            <w:tcW w:w="3494" w:type="dxa"/>
            <w:tcBorders>
              <w:top w:val="single" w:color="auto" w:sz="12" w:space="0"/>
              <w:left w:val="nil"/>
              <w:bottom w:val="single" w:color="auto" w:sz="8" w:space="0"/>
              <w:right w:val="single" w:color="auto" w:sz="8" w:space="0"/>
            </w:tcBorders>
            <w:noWrap w:val="0"/>
            <w:vAlign w:val="center"/>
          </w:tcPr>
          <w:p w14:paraId="5CD10F63">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项目</w:t>
            </w:r>
          </w:p>
        </w:tc>
        <w:tc>
          <w:tcPr>
            <w:tcW w:w="928" w:type="dxa"/>
            <w:tcBorders>
              <w:top w:val="single" w:color="auto" w:sz="12" w:space="0"/>
              <w:left w:val="nil"/>
              <w:bottom w:val="single" w:color="auto" w:sz="8" w:space="0"/>
              <w:right w:val="single" w:color="auto" w:sz="8" w:space="0"/>
            </w:tcBorders>
            <w:noWrap w:val="0"/>
            <w:vAlign w:val="center"/>
          </w:tcPr>
          <w:p w14:paraId="1F1B17DD">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单位</w:t>
            </w:r>
          </w:p>
        </w:tc>
        <w:tc>
          <w:tcPr>
            <w:tcW w:w="1209" w:type="dxa"/>
            <w:tcBorders>
              <w:top w:val="single" w:color="auto" w:sz="12" w:space="0"/>
              <w:left w:val="nil"/>
              <w:bottom w:val="single" w:color="auto" w:sz="8" w:space="0"/>
              <w:right w:val="single" w:color="auto" w:sz="8" w:space="0"/>
            </w:tcBorders>
            <w:noWrap w:val="0"/>
            <w:vAlign w:val="center"/>
          </w:tcPr>
          <w:p w14:paraId="6CC79A73">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设计煤种</w:t>
            </w:r>
          </w:p>
        </w:tc>
        <w:tc>
          <w:tcPr>
            <w:tcW w:w="1135" w:type="dxa"/>
            <w:tcBorders>
              <w:top w:val="single" w:color="auto" w:sz="12" w:space="0"/>
              <w:left w:val="nil"/>
              <w:bottom w:val="single" w:color="auto" w:sz="8" w:space="0"/>
              <w:right w:val="single" w:color="auto" w:sz="8" w:space="0"/>
            </w:tcBorders>
            <w:noWrap w:val="0"/>
            <w:vAlign w:val="center"/>
          </w:tcPr>
          <w:p w14:paraId="599793EA">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校核煤种</w:t>
            </w:r>
          </w:p>
        </w:tc>
        <w:tc>
          <w:tcPr>
            <w:tcW w:w="993" w:type="dxa"/>
            <w:tcBorders>
              <w:top w:val="single" w:color="auto" w:sz="12" w:space="0"/>
              <w:left w:val="nil"/>
              <w:bottom w:val="single" w:color="auto" w:sz="8" w:space="0"/>
              <w:right w:val="single" w:color="auto" w:sz="12" w:space="0"/>
            </w:tcBorders>
            <w:noWrap w:val="0"/>
            <w:vAlign w:val="center"/>
          </w:tcPr>
          <w:p w14:paraId="709DC0A5">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备注</w:t>
            </w:r>
          </w:p>
        </w:tc>
      </w:tr>
      <w:tr w14:paraId="1997B7F9">
        <w:tblPrEx>
          <w:tblCellMar>
            <w:top w:w="0" w:type="dxa"/>
            <w:left w:w="108" w:type="dxa"/>
            <w:bottom w:w="0" w:type="dxa"/>
            <w:right w:w="108" w:type="dxa"/>
          </w:tblCellMar>
        </w:tblPrEx>
        <w:trPr>
          <w:jc w:val="center"/>
        </w:trPr>
        <w:tc>
          <w:tcPr>
            <w:tcW w:w="707" w:type="dxa"/>
            <w:tcBorders>
              <w:top w:val="nil"/>
              <w:left w:val="single" w:color="auto" w:sz="12" w:space="0"/>
              <w:bottom w:val="single" w:color="auto" w:sz="8" w:space="0"/>
              <w:right w:val="single" w:color="auto" w:sz="8" w:space="0"/>
            </w:tcBorders>
            <w:noWrap w:val="0"/>
            <w:vAlign w:val="center"/>
          </w:tcPr>
          <w:p w14:paraId="42F9C432">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bookmarkStart w:id="31" w:name="OLE_LINK62" w:colFirst="3" w:colLast="4"/>
            <w:r>
              <w:rPr>
                <w:rFonts w:hint="default" w:ascii="Times New Roman" w:hAnsi="Times New Roman" w:cs="Times New Roman"/>
                <w:color w:val="auto"/>
                <w:kern w:val="0"/>
                <w:szCs w:val="21"/>
                <w:highlight w:val="none"/>
              </w:rPr>
              <w:t>1</w:t>
            </w:r>
          </w:p>
        </w:tc>
        <w:tc>
          <w:tcPr>
            <w:tcW w:w="3494" w:type="dxa"/>
            <w:tcBorders>
              <w:top w:val="nil"/>
              <w:left w:val="nil"/>
              <w:bottom w:val="single" w:color="auto" w:sz="8" w:space="0"/>
              <w:right w:val="single" w:color="auto" w:sz="8" w:space="0"/>
            </w:tcBorders>
            <w:noWrap w:val="0"/>
            <w:vAlign w:val="center"/>
          </w:tcPr>
          <w:p w14:paraId="70E4F812">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脱硫塔入口烟气量（湿</w:t>
            </w:r>
            <w:r>
              <w:rPr>
                <w:rFonts w:hint="eastAsia" w:ascii="Times New Roman" w:hAnsi="Times New Roman" w:cs="Times New Roman"/>
                <w:color w:val="auto"/>
                <w:kern w:val="0"/>
                <w:szCs w:val="21"/>
                <w:highlight w:val="none"/>
              </w:rPr>
              <w:t>，</w:t>
            </w:r>
            <w:r>
              <w:rPr>
                <w:rFonts w:hint="default" w:ascii="Times New Roman" w:hAnsi="Times New Roman" w:cs="Times New Roman"/>
                <w:color w:val="auto"/>
                <w:kern w:val="0"/>
                <w:szCs w:val="21"/>
                <w:highlight w:val="none"/>
              </w:rPr>
              <w:t>实际氧）</w:t>
            </w:r>
          </w:p>
        </w:tc>
        <w:tc>
          <w:tcPr>
            <w:tcW w:w="928" w:type="dxa"/>
            <w:tcBorders>
              <w:top w:val="nil"/>
              <w:left w:val="nil"/>
              <w:bottom w:val="single" w:color="auto" w:sz="8" w:space="0"/>
              <w:right w:val="single" w:color="auto" w:sz="8" w:space="0"/>
            </w:tcBorders>
            <w:noWrap w:val="0"/>
            <w:vAlign w:val="center"/>
          </w:tcPr>
          <w:p w14:paraId="1966DF1E">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Nm</w:t>
            </w:r>
            <w:r>
              <w:rPr>
                <w:rFonts w:hint="default" w:ascii="Times New Roman" w:hAnsi="Times New Roman" w:cs="Times New Roman"/>
                <w:color w:val="auto"/>
                <w:kern w:val="0"/>
                <w:szCs w:val="21"/>
                <w:highlight w:val="none"/>
                <w:vertAlign w:val="superscript"/>
              </w:rPr>
              <w:t>3</w:t>
            </w:r>
            <w:r>
              <w:rPr>
                <w:rFonts w:hint="default" w:ascii="Times New Roman" w:hAnsi="Times New Roman" w:cs="Times New Roman"/>
                <w:color w:val="auto"/>
                <w:kern w:val="0"/>
                <w:szCs w:val="21"/>
                <w:highlight w:val="none"/>
              </w:rPr>
              <w:t>/h</w:t>
            </w:r>
          </w:p>
        </w:tc>
        <w:tc>
          <w:tcPr>
            <w:tcW w:w="1209" w:type="dxa"/>
            <w:tcBorders>
              <w:top w:val="nil"/>
              <w:left w:val="nil"/>
              <w:bottom w:val="single" w:color="auto" w:sz="8" w:space="0"/>
              <w:right w:val="single" w:color="auto" w:sz="8" w:space="0"/>
            </w:tcBorders>
            <w:noWrap w:val="0"/>
            <w:vAlign w:val="center"/>
          </w:tcPr>
          <w:p w14:paraId="2521E530">
            <w:pPr>
              <w:keepNext w:val="0"/>
              <w:keepLines w:val="0"/>
              <w:widowControl/>
              <w:suppressLineNumbers w:val="0"/>
              <w:spacing w:before="0" w:beforeAutospacing="0" w:after="0" w:afterAutospacing="0" w:line="360" w:lineRule="auto"/>
              <w:ind w:left="0" w:right="0" w:firstLine="210" w:firstLineChars="100"/>
              <w:jc w:val="both"/>
              <w:rPr>
                <w:rFonts w:hint="default" w:ascii="Times New Roman" w:hAnsi="Times New Roman" w:eastAsia="宋体" w:cs="Times New Roman"/>
                <w:color w:val="auto"/>
                <w:szCs w:val="21"/>
                <w:highlight w:val="none"/>
                <w:lang w:val="en-US" w:eastAsia="zh-CN"/>
              </w:rPr>
            </w:pPr>
            <w:r>
              <w:rPr>
                <w:rFonts w:hint="eastAsia" w:ascii="Times New Roman" w:hAnsi="Times New Roman" w:cs="Times New Roman"/>
                <w:color w:val="auto"/>
                <w:szCs w:val="21"/>
                <w:highlight w:val="none"/>
                <w:lang w:val="en-US" w:eastAsia="zh-CN"/>
              </w:rPr>
              <w:t>290389</w:t>
            </w:r>
          </w:p>
        </w:tc>
        <w:tc>
          <w:tcPr>
            <w:tcW w:w="1135" w:type="dxa"/>
            <w:tcBorders>
              <w:top w:val="nil"/>
              <w:left w:val="nil"/>
              <w:bottom w:val="single" w:color="auto" w:sz="8" w:space="0"/>
              <w:right w:val="single" w:color="auto" w:sz="8" w:space="0"/>
            </w:tcBorders>
            <w:noWrap w:val="0"/>
            <w:vAlign w:val="center"/>
          </w:tcPr>
          <w:p w14:paraId="022CA8A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296090</w:t>
            </w:r>
          </w:p>
        </w:tc>
        <w:tc>
          <w:tcPr>
            <w:tcW w:w="993" w:type="dxa"/>
            <w:tcBorders>
              <w:top w:val="nil"/>
              <w:left w:val="nil"/>
              <w:bottom w:val="single" w:color="auto" w:sz="8" w:space="0"/>
              <w:right w:val="single" w:color="auto" w:sz="12" w:space="0"/>
            </w:tcBorders>
            <w:noWrap w:val="0"/>
            <w:vAlign w:val="center"/>
          </w:tcPr>
          <w:p w14:paraId="427171DA">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34E512CA">
        <w:tblPrEx>
          <w:tblCellMar>
            <w:top w:w="0" w:type="dxa"/>
            <w:left w:w="108" w:type="dxa"/>
            <w:bottom w:w="0" w:type="dxa"/>
            <w:right w:w="108" w:type="dxa"/>
          </w:tblCellMar>
        </w:tblPrEx>
        <w:trPr>
          <w:jc w:val="center"/>
        </w:trPr>
        <w:tc>
          <w:tcPr>
            <w:tcW w:w="707" w:type="dxa"/>
            <w:tcBorders>
              <w:top w:val="nil"/>
              <w:left w:val="single" w:color="auto" w:sz="12" w:space="0"/>
              <w:bottom w:val="single" w:color="auto" w:sz="8" w:space="0"/>
              <w:right w:val="single" w:color="auto" w:sz="8" w:space="0"/>
            </w:tcBorders>
            <w:noWrap w:val="0"/>
            <w:vAlign w:val="center"/>
          </w:tcPr>
          <w:p w14:paraId="52B33C72">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c>
          <w:tcPr>
            <w:tcW w:w="3494" w:type="dxa"/>
            <w:tcBorders>
              <w:top w:val="nil"/>
              <w:left w:val="nil"/>
              <w:bottom w:val="single" w:color="auto" w:sz="8" w:space="0"/>
              <w:right w:val="single" w:color="auto" w:sz="8" w:space="0"/>
            </w:tcBorders>
            <w:noWrap w:val="0"/>
            <w:vAlign w:val="center"/>
          </w:tcPr>
          <w:p w14:paraId="675E2C70">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脱硫塔入口烟气量（干</w:t>
            </w:r>
            <w:r>
              <w:rPr>
                <w:rFonts w:hint="eastAsia" w:ascii="Times New Roman" w:hAnsi="Times New Roman" w:cs="Times New Roman"/>
                <w:color w:val="auto"/>
                <w:kern w:val="0"/>
                <w:szCs w:val="21"/>
                <w:highlight w:val="none"/>
              </w:rPr>
              <w:t>，</w:t>
            </w:r>
            <w:r>
              <w:rPr>
                <w:rFonts w:hint="default" w:ascii="Times New Roman" w:hAnsi="Times New Roman" w:cs="Times New Roman"/>
                <w:color w:val="auto"/>
                <w:kern w:val="0"/>
                <w:szCs w:val="21"/>
                <w:highlight w:val="none"/>
              </w:rPr>
              <w:t>实际氧）</w:t>
            </w:r>
          </w:p>
        </w:tc>
        <w:tc>
          <w:tcPr>
            <w:tcW w:w="928" w:type="dxa"/>
            <w:tcBorders>
              <w:top w:val="nil"/>
              <w:left w:val="nil"/>
              <w:bottom w:val="single" w:color="auto" w:sz="8" w:space="0"/>
              <w:right w:val="single" w:color="auto" w:sz="8" w:space="0"/>
            </w:tcBorders>
            <w:noWrap w:val="0"/>
            <w:vAlign w:val="center"/>
          </w:tcPr>
          <w:p w14:paraId="00FF8F31">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Nm</w:t>
            </w:r>
            <w:r>
              <w:rPr>
                <w:rFonts w:hint="default" w:ascii="Times New Roman" w:hAnsi="Times New Roman" w:cs="Times New Roman"/>
                <w:color w:val="auto"/>
                <w:kern w:val="0"/>
                <w:szCs w:val="21"/>
                <w:highlight w:val="none"/>
                <w:vertAlign w:val="superscript"/>
              </w:rPr>
              <w:t>3</w:t>
            </w:r>
            <w:r>
              <w:rPr>
                <w:rFonts w:hint="default" w:ascii="Times New Roman" w:hAnsi="Times New Roman" w:cs="Times New Roman"/>
                <w:color w:val="auto"/>
                <w:kern w:val="0"/>
                <w:szCs w:val="21"/>
                <w:highlight w:val="none"/>
              </w:rPr>
              <w:t>/h</w:t>
            </w:r>
          </w:p>
        </w:tc>
        <w:tc>
          <w:tcPr>
            <w:tcW w:w="1209" w:type="dxa"/>
            <w:tcBorders>
              <w:top w:val="nil"/>
              <w:left w:val="nil"/>
              <w:bottom w:val="single" w:color="auto" w:sz="8" w:space="0"/>
              <w:right w:val="single" w:color="auto" w:sz="8" w:space="0"/>
            </w:tcBorders>
            <w:noWrap w:val="0"/>
            <w:vAlign w:val="center"/>
          </w:tcPr>
          <w:p w14:paraId="1FFAF67E">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277492</w:t>
            </w:r>
          </w:p>
        </w:tc>
        <w:tc>
          <w:tcPr>
            <w:tcW w:w="1135" w:type="dxa"/>
            <w:tcBorders>
              <w:top w:val="nil"/>
              <w:left w:val="nil"/>
              <w:bottom w:val="single" w:color="auto" w:sz="8" w:space="0"/>
              <w:right w:val="single" w:color="auto" w:sz="8" w:space="0"/>
            </w:tcBorders>
            <w:noWrap w:val="0"/>
            <w:vAlign w:val="center"/>
          </w:tcPr>
          <w:p w14:paraId="5BAB7EA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283184</w:t>
            </w:r>
          </w:p>
        </w:tc>
        <w:tc>
          <w:tcPr>
            <w:tcW w:w="993" w:type="dxa"/>
            <w:tcBorders>
              <w:top w:val="nil"/>
              <w:left w:val="nil"/>
              <w:bottom w:val="single" w:color="auto" w:sz="8" w:space="0"/>
              <w:right w:val="single" w:color="auto" w:sz="12" w:space="0"/>
            </w:tcBorders>
            <w:noWrap w:val="0"/>
            <w:vAlign w:val="center"/>
          </w:tcPr>
          <w:p w14:paraId="51EDD6DF">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bookmarkEnd w:id="31"/>
      <w:tr w14:paraId="7CDF9BB5">
        <w:tblPrEx>
          <w:tblCellMar>
            <w:top w:w="0" w:type="dxa"/>
            <w:left w:w="108" w:type="dxa"/>
            <w:bottom w:w="0" w:type="dxa"/>
            <w:right w:w="108" w:type="dxa"/>
          </w:tblCellMar>
        </w:tblPrEx>
        <w:trPr>
          <w:jc w:val="center"/>
        </w:trPr>
        <w:tc>
          <w:tcPr>
            <w:tcW w:w="707" w:type="dxa"/>
            <w:tcBorders>
              <w:top w:val="nil"/>
              <w:left w:val="single" w:color="auto" w:sz="12" w:space="0"/>
              <w:bottom w:val="single" w:color="auto" w:sz="8" w:space="0"/>
              <w:right w:val="single" w:color="auto" w:sz="8" w:space="0"/>
            </w:tcBorders>
            <w:noWrap w:val="0"/>
            <w:vAlign w:val="center"/>
          </w:tcPr>
          <w:p w14:paraId="7E03093A">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c>
          <w:tcPr>
            <w:tcW w:w="3494" w:type="dxa"/>
            <w:tcBorders>
              <w:top w:val="nil"/>
              <w:left w:val="nil"/>
              <w:bottom w:val="single" w:color="auto" w:sz="8" w:space="0"/>
              <w:right w:val="single" w:color="auto" w:sz="8" w:space="0"/>
            </w:tcBorders>
            <w:noWrap w:val="0"/>
            <w:vAlign w:val="center"/>
          </w:tcPr>
          <w:p w14:paraId="5D03FAC1">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脱硫</w:t>
            </w:r>
            <w:r>
              <w:rPr>
                <w:rFonts w:hint="default" w:ascii="Times New Roman" w:hAnsi="Times New Roman" w:cs="Times New Roman"/>
                <w:color w:val="auto"/>
                <w:kern w:val="0"/>
                <w:szCs w:val="21"/>
                <w:highlight w:val="none"/>
              </w:rPr>
              <w:t>入口</w:t>
            </w:r>
            <w:r>
              <w:rPr>
                <w:rFonts w:hint="eastAsia" w:ascii="Times New Roman" w:hAnsi="Times New Roman" w:cs="Times New Roman"/>
                <w:color w:val="auto"/>
                <w:kern w:val="0"/>
                <w:szCs w:val="21"/>
                <w:highlight w:val="none"/>
              </w:rPr>
              <w:t>烟气</w:t>
            </w:r>
            <w:r>
              <w:rPr>
                <w:rFonts w:hint="default" w:ascii="Times New Roman" w:hAnsi="Times New Roman" w:cs="Times New Roman"/>
                <w:color w:val="auto"/>
                <w:kern w:val="0"/>
                <w:szCs w:val="21"/>
                <w:highlight w:val="none"/>
              </w:rPr>
              <w:t>压力</w:t>
            </w:r>
          </w:p>
        </w:tc>
        <w:tc>
          <w:tcPr>
            <w:tcW w:w="928" w:type="dxa"/>
            <w:tcBorders>
              <w:top w:val="nil"/>
              <w:left w:val="nil"/>
              <w:bottom w:val="single" w:color="auto" w:sz="8" w:space="0"/>
              <w:right w:val="single" w:color="auto" w:sz="8" w:space="0"/>
            </w:tcBorders>
            <w:noWrap w:val="0"/>
            <w:vAlign w:val="center"/>
          </w:tcPr>
          <w:p w14:paraId="5EB48307">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0"/>
                <w:szCs w:val="21"/>
                <w:highlight w:val="none"/>
                <w:lang w:val="en-US" w:eastAsia="zh-CN"/>
              </w:rPr>
            </w:pPr>
            <w:r>
              <w:rPr>
                <w:rFonts w:hint="eastAsia" w:ascii="Times New Roman" w:hAnsi="Times New Roman" w:cs="Times New Roman"/>
                <w:color w:val="auto"/>
                <w:kern w:val="0"/>
                <w:szCs w:val="21"/>
                <w:highlight w:val="none"/>
              </w:rPr>
              <w:t>KPa</w:t>
            </w:r>
            <w:r>
              <w:rPr>
                <w:rFonts w:hint="eastAsia" w:ascii="Times New Roman" w:hAnsi="Times New Roman" w:cs="Times New Roman"/>
                <w:color w:val="auto"/>
                <w:kern w:val="0"/>
                <w:szCs w:val="21"/>
                <w:highlight w:val="none"/>
                <w:lang w:val="en-US" w:eastAsia="zh-CN"/>
              </w:rPr>
              <w:t>.g</w:t>
            </w:r>
          </w:p>
        </w:tc>
        <w:tc>
          <w:tcPr>
            <w:tcW w:w="2344" w:type="dxa"/>
            <w:gridSpan w:val="2"/>
            <w:tcBorders>
              <w:top w:val="nil"/>
              <w:left w:val="nil"/>
              <w:bottom w:val="single" w:color="auto" w:sz="8" w:space="0"/>
              <w:right w:val="single" w:color="auto" w:sz="8" w:space="0"/>
            </w:tcBorders>
            <w:noWrap w:val="0"/>
            <w:vAlign w:val="center"/>
          </w:tcPr>
          <w:p w14:paraId="779BCA21">
            <w:pPr>
              <w:keepNext w:val="0"/>
              <w:keepLines w:val="0"/>
              <w:suppressLineNumbers w:val="0"/>
              <w:spacing w:before="0" w:beforeAutospacing="0" w:after="0" w:afterAutospacing="0" w:line="360" w:lineRule="auto"/>
              <w:ind w:left="0" w:right="0" w:firstLine="630" w:firstLineChars="300"/>
              <w:jc w:val="both"/>
              <w:rPr>
                <w:rFonts w:hint="default" w:ascii="Times New Roman" w:hAnsi="Times New Roman" w:eastAsia="宋体" w:cs="Times New Roman"/>
                <w:color w:val="auto"/>
                <w:szCs w:val="21"/>
                <w:highlight w:val="none"/>
                <w:lang w:val="en-US" w:eastAsia="zh-CN"/>
              </w:rPr>
            </w:pPr>
            <w:r>
              <w:rPr>
                <w:rFonts w:hint="eastAsia" w:ascii="Times New Roman" w:hAnsi="Times New Roman" w:cs="Times New Roman"/>
                <w:color w:val="auto"/>
                <w:szCs w:val="21"/>
                <w:highlight w:val="none"/>
                <w:lang w:val="en-US" w:eastAsia="zh-CN"/>
              </w:rPr>
              <w:t>3</w:t>
            </w:r>
          </w:p>
        </w:tc>
        <w:tc>
          <w:tcPr>
            <w:tcW w:w="993" w:type="dxa"/>
            <w:tcBorders>
              <w:top w:val="nil"/>
              <w:left w:val="nil"/>
              <w:bottom w:val="single" w:color="auto" w:sz="8" w:space="0"/>
              <w:right w:val="single" w:color="auto" w:sz="12" w:space="0"/>
            </w:tcBorders>
            <w:noWrap w:val="0"/>
            <w:vAlign w:val="center"/>
          </w:tcPr>
          <w:p w14:paraId="271B2498">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7B77AD10">
        <w:tblPrEx>
          <w:tblCellMar>
            <w:top w:w="0" w:type="dxa"/>
            <w:left w:w="108" w:type="dxa"/>
            <w:bottom w:w="0" w:type="dxa"/>
            <w:right w:w="108" w:type="dxa"/>
          </w:tblCellMar>
        </w:tblPrEx>
        <w:trPr>
          <w:jc w:val="center"/>
        </w:trPr>
        <w:tc>
          <w:tcPr>
            <w:tcW w:w="707" w:type="dxa"/>
            <w:tcBorders>
              <w:top w:val="nil"/>
              <w:left w:val="single" w:color="auto" w:sz="12" w:space="0"/>
              <w:bottom w:val="single" w:color="auto" w:sz="8" w:space="0"/>
              <w:right w:val="single" w:color="auto" w:sz="8" w:space="0"/>
            </w:tcBorders>
            <w:noWrap w:val="0"/>
            <w:vAlign w:val="center"/>
          </w:tcPr>
          <w:p w14:paraId="016D0AB1">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c>
          <w:tcPr>
            <w:tcW w:w="3494" w:type="dxa"/>
            <w:tcBorders>
              <w:top w:val="nil"/>
              <w:left w:val="nil"/>
              <w:bottom w:val="single" w:color="auto" w:sz="8" w:space="0"/>
              <w:right w:val="single" w:color="auto" w:sz="8" w:space="0"/>
            </w:tcBorders>
            <w:noWrap w:val="0"/>
            <w:vAlign w:val="center"/>
          </w:tcPr>
          <w:p w14:paraId="62E03E89">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脱硫塔入口烟温</w:t>
            </w:r>
          </w:p>
        </w:tc>
        <w:tc>
          <w:tcPr>
            <w:tcW w:w="928" w:type="dxa"/>
            <w:tcBorders>
              <w:top w:val="nil"/>
              <w:left w:val="nil"/>
              <w:bottom w:val="single" w:color="auto" w:sz="8" w:space="0"/>
              <w:right w:val="single" w:color="auto" w:sz="8" w:space="0"/>
            </w:tcBorders>
            <w:noWrap w:val="0"/>
            <w:vAlign w:val="center"/>
          </w:tcPr>
          <w:p w14:paraId="39E9983B">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eastAsia" w:ascii="宋体" w:hAnsi="宋体" w:cs="宋体"/>
                <w:color w:val="auto"/>
                <w:kern w:val="0"/>
                <w:szCs w:val="21"/>
                <w:highlight w:val="none"/>
              </w:rPr>
              <w:t>℃</w:t>
            </w:r>
          </w:p>
        </w:tc>
        <w:tc>
          <w:tcPr>
            <w:tcW w:w="1209" w:type="dxa"/>
            <w:tcBorders>
              <w:top w:val="nil"/>
              <w:left w:val="nil"/>
              <w:bottom w:val="single" w:color="auto" w:sz="8" w:space="0"/>
              <w:right w:val="single" w:color="auto" w:sz="8" w:space="0"/>
            </w:tcBorders>
            <w:noWrap w:val="0"/>
            <w:vAlign w:val="center"/>
          </w:tcPr>
          <w:p w14:paraId="5251036E">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cs="Times New Roman"/>
                <w:color w:val="auto"/>
                <w:kern w:val="0"/>
                <w:szCs w:val="21"/>
                <w:highlight w:val="none"/>
              </w:rPr>
              <w:t>~</w:t>
            </w:r>
            <w:r>
              <w:rPr>
                <w:rFonts w:hint="eastAsia" w:ascii="Times New Roman" w:hAnsi="Times New Roman" w:cs="Times New Roman"/>
                <w:color w:val="auto"/>
                <w:kern w:val="0"/>
                <w:szCs w:val="21"/>
                <w:highlight w:val="none"/>
                <w:lang w:val="en-US" w:eastAsia="zh-CN"/>
              </w:rPr>
              <w:t>135</w:t>
            </w:r>
          </w:p>
        </w:tc>
        <w:tc>
          <w:tcPr>
            <w:tcW w:w="1135" w:type="dxa"/>
            <w:tcBorders>
              <w:top w:val="nil"/>
              <w:left w:val="nil"/>
              <w:bottom w:val="single" w:color="auto" w:sz="8" w:space="0"/>
              <w:right w:val="single" w:color="auto" w:sz="8" w:space="0"/>
            </w:tcBorders>
            <w:noWrap w:val="0"/>
            <w:vAlign w:val="center"/>
          </w:tcPr>
          <w:p w14:paraId="76B78C69">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cs="Times New Roman"/>
                <w:color w:val="auto"/>
                <w:kern w:val="0"/>
                <w:szCs w:val="21"/>
                <w:highlight w:val="none"/>
              </w:rPr>
              <w:t>~</w:t>
            </w:r>
            <w:r>
              <w:rPr>
                <w:rFonts w:hint="eastAsia" w:ascii="Times New Roman" w:hAnsi="Times New Roman" w:cs="Times New Roman"/>
                <w:color w:val="auto"/>
                <w:kern w:val="0"/>
                <w:szCs w:val="21"/>
                <w:highlight w:val="none"/>
                <w:lang w:val="en-US" w:eastAsia="zh-CN"/>
              </w:rPr>
              <w:t>135</w:t>
            </w:r>
          </w:p>
        </w:tc>
        <w:tc>
          <w:tcPr>
            <w:tcW w:w="993" w:type="dxa"/>
            <w:tcBorders>
              <w:top w:val="nil"/>
              <w:left w:val="nil"/>
              <w:bottom w:val="single" w:color="auto" w:sz="8" w:space="0"/>
              <w:right w:val="single" w:color="auto" w:sz="12" w:space="0"/>
            </w:tcBorders>
            <w:noWrap w:val="0"/>
            <w:vAlign w:val="center"/>
          </w:tcPr>
          <w:p w14:paraId="6887C7B8">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35EFE4BF">
        <w:tblPrEx>
          <w:tblCellMar>
            <w:top w:w="0" w:type="dxa"/>
            <w:left w:w="108" w:type="dxa"/>
            <w:bottom w:w="0" w:type="dxa"/>
            <w:right w:w="108" w:type="dxa"/>
          </w:tblCellMar>
        </w:tblPrEx>
        <w:trPr>
          <w:jc w:val="center"/>
        </w:trPr>
        <w:tc>
          <w:tcPr>
            <w:tcW w:w="707" w:type="dxa"/>
            <w:tcBorders>
              <w:top w:val="nil"/>
              <w:left w:val="single" w:color="auto" w:sz="12" w:space="0"/>
              <w:bottom w:val="single" w:color="auto" w:sz="8" w:space="0"/>
              <w:right w:val="single" w:color="auto" w:sz="8" w:space="0"/>
            </w:tcBorders>
            <w:noWrap w:val="0"/>
            <w:vAlign w:val="center"/>
          </w:tcPr>
          <w:p w14:paraId="284B4B2F">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2</w:t>
            </w:r>
          </w:p>
        </w:tc>
        <w:tc>
          <w:tcPr>
            <w:tcW w:w="3494" w:type="dxa"/>
            <w:tcBorders>
              <w:top w:val="nil"/>
              <w:left w:val="nil"/>
              <w:bottom w:val="single" w:color="auto" w:sz="8" w:space="0"/>
              <w:right w:val="single" w:color="auto" w:sz="8" w:space="0"/>
            </w:tcBorders>
            <w:noWrap w:val="0"/>
            <w:vAlign w:val="center"/>
          </w:tcPr>
          <w:p w14:paraId="61B16492">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烟尘排放浓度（干基，6%O2）</w:t>
            </w:r>
          </w:p>
        </w:tc>
        <w:tc>
          <w:tcPr>
            <w:tcW w:w="928" w:type="dxa"/>
            <w:tcBorders>
              <w:top w:val="nil"/>
              <w:left w:val="nil"/>
              <w:bottom w:val="single" w:color="auto" w:sz="8" w:space="0"/>
              <w:right w:val="single" w:color="auto" w:sz="8" w:space="0"/>
            </w:tcBorders>
            <w:noWrap w:val="0"/>
            <w:vAlign w:val="center"/>
          </w:tcPr>
          <w:p w14:paraId="1AD10C72">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mg/Nm</w:t>
            </w:r>
            <w:r>
              <w:rPr>
                <w:rFonts w:hint="default" w:ascii="Times New Roman" w:hAnsi="Times New Roman" w:cs="Times New Roman"/>
                <w:color w:val="auto"/>
                <w:kern w:val="0"/>
                <w:szCs w:val="21"/>
                <w:highlight w:val="none"/>
                <w:vertAlign w:val="superscript"/>
              </w:rPr>
              <w:t>3</w:t>
            </w:r>
          </w:p>
        </w:tc>
        <w:tc>
          <w:tcPr>
            <w:tcW w:w="2344" w:type="dxa"/>
            <w:gridSpan w:val="2"/>
            <w:tcBorders>
              <w:top w:val="nil"/>
              <w:left w:val="nil"/>
              <w:bottom w:val="single" w:color="auto" w:sz="8" w:space="0"/>
              <w:right w:val="single" w:color="auto" w:sz="8" w:space="0"/>
            </w:tcBorders>
            <w:noWrap w:val="0"/>
            <w:vAlign w:val="center"/>
          </w:tcPr>
          <w:p w14:paraId="09D5BF28">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cs="Times New Roman"/>
                <w:color w:val="auto"/>
                <w:kern w:val="0"/>
                <w:szCs w:val="21"/>
                <w:highlight w:val="none"/>
              </w:rPr>
              <w:t>≤</w:t>
            </w:r>
            <w:r>
              <w:rPr>
                <w:rFonts w:hint="eastAsia" w:cs="Times New Roman"/>
                <w:color w:val="auto"/>
                <w:kern w:val="0"/>
                <w:szCs w:val="21"/>
                <w:highlight w:val="none"/>
                <w:lang w:val="en-US" w:eastAsia="zh-CN"/>
              </w:rPr>
              <w:t>3.5</w:t>
            </w:r>
          </w:p>
        </w:tc>
        <w:tc>
          <w:tcPr>
            <w:tcW w:w="993" w:type="dxa"/>
            <w:tcBorders>
              <w:top w:val="nil"/>
              <w:left w:val="nil"/>
              <w:bottom w:val="single" w:color="auto" w:sz="8" w:space="0"/>
              <w:right w:val="single" w:color="auto" w:sz="12" w:space="0"/>
            </w:tcBorders>
            <w:noWrap w:val="0"/>
            <w:vAlign w:val="center"/>
          </w:tcPr>
          <w:p w14:paraId="17170A7D">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4FFA30BA">
        <w:tblPrEx>
          <w:tblCellMar>
            <w:top w:w="0" w:type="dxa"/>
            <w:left w:w="108" w:type="dxa"/>
            <w:bottom w:w="0" w:type="dxa"/>
            <w:right w:w="108" w:type="dxa"/>
          </w:tblCellMar>
        </w:tblPrEx>
        <w:trPr>
          <w:jc w:val="center"/>
        </w:trPr>
        <w:tc>
          <w:tcPr>
            <w:tcW w:w="707" w:type="dxa"/>
            <w:tcBorders>
              <w:top w:val="nil"/>
              <w:left w:val="single" w:color="auto" w:sz="12" w:space="0"/>
              <w:bottom w:val="single" w:color="auto" w:sz="8" w:space="0"/>
              <w:right w:val="single" w:color="auto" w:sz="8" w:space="0"/>
            </w:tcBorders>
            <w:noWrap w:val="0"/>
            <w:vAlign w:val="center"/>
          </w:tcPr>
          <w:p w14:paraId="1E747C74">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3</w:t>
            </w:r>
          </w:p>
        </w:tc>
        <w:tc>
          <w:tcPr>
            <w:tcW w:w="3494" w:type="dxa"/>
            <w:tcBorders>
              <w:top w:val="nil"/>
              <w:left w:val="nil"/>
              <w:bottom w:val="single" w:color="auto" w:sz="8" w:space="0"/>
              <w:right w:val="single" w:color="auto" w:sz="8" w:space="0"/>
            </w:tcBorders>
            <w:noWrap w:val="0"/>
            <w:vAlign w:val="center"/>
          </w:tcPr>
          <w:p w14:paraId="0AFEA92F">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bookmarkStart w:id="32" w:name="OLE_LINK65"/>
            <w:r>
              <w:rPr>
                <w:rFonts w:hint="default" w:ascii="Times New Roman" w:hAnsi="Times New Roman" w:cs="Times New Roman"/>
                <w:color w:val="auto"/>
                <w:kern w:val="0"/>
                <w:szCs w:val="21"/>
                <w:highlight w:val="none"/>
              </w:rPr>
              <w:t>SO2</w:t>
            </w:r>
            <w:bookmarkEnd w:id="32"/>
            <w:r>
              <w:rPr>
                <w:rFonts w:hint="default" w:ascii="Times New Roman" w:hAnsi="Times New Roman" w:cs="Times New Roman"/>
                <w:color w:val="auto"/>
                <w:kern w:val="0"/>
                <w:szCs w:val="21"/>
                <w:highlight w:val="none"/>
              </w:rPr>
              <w:t>排放浓度（干基，6%O2）</w:t>
            </w:r>
          </w:p>
        </w:tc>
        <w:tc>
          <w:tcPr>
            <w:tcW w:w="928" w:type="dxa"/>
            <w:tcBorders>
              <w:top w:val="nil"/>
              <w:left w:val="nil"/>
              <w:bottom w:val="single" w:color="auto" w:sz="8" w:space="0"/>
              <w:right w:val="single" w:color="auto" w:sz="8" w:space="0"/>
            </w:tcBorders>
            <w:noWrap w:val="0"/>
            <w:vAlign w:val="center"/>
          </w:tcPr>
          <w:p w14:paraId="1B1F2958">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mg/Nm</w:t>
            </w:r>
            <w:r>
              <w:rPr>
                <w:rFonts w:hint="default" w:ascii="Times New Roman" w:hAnsi="Times New Roman" w:cs="Times New Roman"/>
                <w:color w:val="auto"/>
                <w:kern w:val="0"/>
                <w:szCs w:val="21"/>
                <w:highlight w:val="none"/>
                <w:vertAlign w:val="superscript"/>
              </w:rPr>
              <w:t>3</w:t>
            </w:r>
          </w:p>
        </w:tc>
        <w:tc>
          <w:tcPr>
            <w:tcW w:w="2344" w:type="dxa"/>
            <w:gridSpan w:val="2"/>
            <w:tcBorders>
              <w:top w:val="nil"/>
              <w:left w:val="nil"/>
              <w:bottom w:val="single" w:color="auto" w:sz="8" w:space="0"/>
              <w:right w:val="single" w:color="auto" w:sz="8" w:space="0"/>
            </w:tcBorders>
            <w:noWrap w:val="0"/>
            <w:vAlign w:val="center"/>
          </w:tcPr>
          <w:p w14:paraId="6762D9F8">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cs="Times New Roman"/>
                <w:color w:val="auto"/>
                <w:kern w:val="0"/>
                <w:szCs w:val="21"/>
                <w:highlight w:val="none"/>
              </w:rPr>
              <w:t>≤</w:t>
            </w:r>
            <w:r>
              <w:rPr>
                <w:rFonts w:hint="eastAsia" w:ascii="Times New Roman" w:hAnsi="Times New Roman" w:cs="Times New Roman"/>
                <w:color w:val="auto"/>
                <w:kern w:val="0"/>
                <w:szCs w:val="21"/>
                <w:highlight w:val="none"/>
                <w:lang w:val="en-US" w:eastAsia="zh-CN"/>
              </w:rPr>
              <w:t xml:space="preserve"> </w:t>
            </w:r>
            <w:r>
              <w:rPr>
                <w:rFonts w:hint="eastAsia" w:cs="Times New Roman"/>
                <w:color w:val="auto"/>
                <w:kern w:val="0"/>
                <w:szCs w:val="21"/>
                <w:highlight w:val="none"/>
                <w:lang w:val="en-US" w:eastAsia="zh-CN"/>
              </w:rPr>
              <w:t>24.5</w:t>
            </w:r>
          </w:p>
        </w:tc>
        <w:tc>
          <w:tcPr>
            <w:tcW w:w="993" w:type="dxa"/>
            <w:tcBorders>
              <w:top w:val="nil"/>
              <w:left w:val="nil"/>
              <w:bottom w:val="single" w:color="auto" w:sz="8" w:space="0"/>
              <w:right w:val="single" w:color="auto" w:sz="12" w:space="0"/>
            </w:tcBorders>
            <w:noWrap w:val="0"/>
            <w:vAlign w:val="center"/>
          </w:tcPr>
          <w:p w14:paraId="4BD0A0E6">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5771D4DA">
        <w:tblPrEx>
          <w:tblCellMar>
            <w:top w:w="0" w:type="dxa"/>
            <w:left w:w="108" w:type="dxa"/>
            <w:bottom w:w="0" w:type="dxa"/>
            <w:right w:w="108" w:type="dxa"/>
          </w:tblCellMar>
        </w:tblPrEx>
        <w:trPr>
          <w:jc w:val="center"/>
        </w:trPr>
        <w:tc>
          <w:tcPr>
            <w:tcW w:w="707" w:type="dxa"/>
            <w:tcBorders>
              <w:top w:val="single" w:color="auto" w:sz="8" w:space="0"/>
              <w:left w:val="single" w:color="auto" w:sz="12" w:space="0"/>
              <w:bottom w:val="single" w:color="auto" w:sz="8" w:space="0"/>
              <w:right w:val="single" w:color="auto" w:sz="8" w:space="0"/>
            </w:tcBorders>
            <w:noWrap w:val="0"/>
            <w:vAlign w:val="center"/>
          </w:tcPr>
          <w:p w14:paraId="79E3C443">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4</w:t>
            </w:r>
          </w:p>
        </w:tc>
        <w:tc>
          <w:tcPr>
            <w:tcW w:w="3494" w:type="dxa"/>
            <w:tcBorders>
              <w:top w:val="single" w:color="auto" w:sz="8" w:space="0"/>
              <w:left w:val="nil"/>
              <w:bottom w:val="single" w:color="auto" w:sz="8" w:space="0"/>
              <w:right w:val="single" w:color="auto" w:sz="8" w:space="0"/>
            </w:tcBorders>
            <w:noWrap w:val="0"/>
            <w:vAlign w:val="center"/>
          </w:tcPr>
          <w:p w14:paraId="11CCDF32">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烟气</w:t>
            </w:r>
            <w:r>
              <w:rPr>
                <w:rFonts w:hint="default" w:ascii="Times New Roman" w:hAnsi="Times New Roman" w:cs="Times New Roman"/>
                <w:color w:val="auto"/>
                <w:kern w:val="0"/>
                <w:szCs w:val="21"/>
                <w:highlight w:val="none"/>
              </w:rPr>
              <w:t>成分</w:t>
            </w:r>
          </w:p>
        </w:tc>
        <w:tc>
          <w:tcPr>
            <w:tcW w:w="928" w:type="dxa"/>
            <w:tcBorders>
              <w:top w:val="single" w:color="auto" w:sz="8" w:space="0"/>
              <w:left w:val="nil"/>
              <w:bottom w:val="single" w:color="auto" w:sz="8" w:space="0"/>
              <w:right w:val="single" w:color="auto" w:sz="8" w:space="0"/>
            </w:tcBorders>
            <w:noWrap w:val="0"/>
            <w:vAlign w:val="center"/>
          </w:tcPr>
          <w:p w14:paraId="6AA024BA">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c>
          <w:tcPr>
            <w:tcW w:w="2344" w:type="dxa"/>
            <w:gridSpan w:val="2"/>
            <w:tcBorders>
              <w:top w:val="single" w:color="auto" w:sz="8" w:space="0"/>
              <w:left w:val="nil"/>
              <w:bottom w:val="single" w:color="auto" w:sz="8" w:space="0"/>
              <w:right w:val="single" w:color="auto" w:sz="8" w:space="0"/>
            </w:tcBorders>
            <w:noWrap w:val="0"/>
            <w:vAlign w:val="center"/>
          </w:tcPr>
          <w:p w14:paraId="37412B76">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c>
          <w:tcPr>
            <w:tcW w:w="993" w:type="dxa"/>
            <w:tcBorders>
              <w:top w:val="single" w:color="auto" w:sz="8" w:space="0"/>
              <w:left w:val="nil"/>
              <w:bottom w:val="single" w:color="auto" w:sz="8" w:space="0"/>
              <w:right w:val="single" w:color="auto" w:sz="12" w:space="0"/>
            </w:tcBorders>
            <w:noWrap w:val="0"/>
            <w:vAlign w:val="center"/>
          </w:tcPr>
          <w:p w14:paraId="253A87A9">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1B45CF7F">
        <w:tblPrEx>
          <w:tblCellMar>
            <w:top w:w="0" w:type="dxa"/>
            <w:left w:w="108" w:type="dxa"/>
            <w:bottom w:w="0" w:type="dxa"/>
            <w:right w:w="108" w:type="dxa"/>
          </w:tblCellMar>
        </w:tblPrEx>
        <w:trPr>
          <w:jc w:val="center"/>
        </w:trPr>
        <w:tc>
          <w:tcPr>
            <w:tcW w:w="707" w:type="dxa"/>
            <w:tcBorders>
              <w:top w:val="single" w:color="auto" w:sz="8" w:space="0"/>
              <w:left w:val="single" w:color="auto" w:sz="12" w:space="0"/>
              <w:bottom w:val="single" w:color="auto" w:sz="8" w:space="0"/>
              <w:right w:val="single" w:color="auto" w:sz="8" w:space="0"/>
            </w:tcBorders>
            <w:noWrap w:val="0"/>
            <w:vAlign w:val="center"/>
          </w:tcPr>
          <w:p w14:paraId="54101303">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c>
          <w:tcPr>
            <w:tcW w:w="3494" w:type="dxa"/>
            <w:tcBorders>
              <w:top w:val="single" w:color="auto" w:sz="8" w:space="0"/>
              <w:left w:val="nil"/>
              <w:bottom w:val="single" w:color="auto" w:sz="8" w:space="0"/>
              <w:right w:val="single" w:color="auto" w:sz="8" w:space="0"/>
            </w:tcBorders>
            <w:noWrap w:val="0"/>
            <w:vAlign w:val="center"/>
          </w:tcPr>
          <w:p w14:paraId="74F92632">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default" w:ascii="Times New Roman" w:hAnsi="Times New Roman" w:cs="Times New Roman"/>
                <w:color w:val="auto"/>
                <w:szCs w:val="21"/>
                <w:highlight w:val="none"/>
              </w:rPr>
              <w:t>N</w:t>
            </w:r>
            <w:r>
              <w:rPr>
                <w:rFonts w:hint="default" w:ascii="Times New Roman" w:hAnsi="Times New Roman" w:cs="Times New Roman"/>
                <w:color w:val="auto"/>
                <w:szCs w:val="21"/>
                <w:highlight w:val="none"/>
                <w:vertAlign w:val="subscript"/>
              </w:rPr>
              <w:t>2</w:t>
            </w:r>
          </w:p>
        </w:tc>
        <w:tc>
          <w:tcPr>
            <w:tcW w:w="928" w:type="dxa"/>
            <w:tcBorders>
              <w:top w:val="single" w:color="auto" w:sz="8" w:space="0"/>
              <w:left w:val="nil"/>
              <w:bottom w:val="single" w:color="auto" w:sz="8" w:space="0"/>
              <w:right w:val="single" w:color="auto" w:sz="8" w:space="0"/>
            </w:tcBorders>
            <w:noWrap w:val="0"/>
            <w:vAlign w:val="center"/>
          </w:tcPr>
          <w:p w14:paraId="3DA6597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w:t>
            </w:r>
          </w:p>
        </w:tc>
        <w:tc>
          <w:tcPr>
            <w:tcW w:w="1209" w:type="dxa"/>
            <w:tcBorders>
              <w:top w:val="single" w:color="auto" w:sz="8" w:space="0"/>
              <w:left w:val="nil"/>
              <w:bottom w:val="single" w:color="auto" w:sz="8" w:space="0"/>
              <w:right w:val="single" w:color="auto" w:sz="8" w:space="0"/>
            </w:tcBorders>
            <w:noWrap w:val="0"/>
            <w:vAlign w:val="center"/>
          </w:tcPr>
          <w:p w14:paraId="7C02B6E3">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cs="Times New Roman"/>
                <w:color w:val="auto"/>
                <w:szCs w:val="21"/>
                <w:highlight w:val="none"/>
                <w:lang w:val="en-US" w:eastAsia="zh-CN"/>
              </w:rPr>
              <w:t>73.2</w:t>
            </w:r>
          </w:p>
        </w:tc>
        <w:tc>
          <w:tcPr>
            <w:tcW w:w="1135" w:type="dxa"/>
            <w:tcBorders>
              <w:top w:val="single" w:color="auto" w:sz="8" w:space="0"/>
              <w:left w:val="nil"/>
              <w:bottom w:val="single" w:color="auto" w:sz="8" w:space="0"/>
              <w:right w:val="single" w:color="auto" w:sz="8" w:space="0"/>
            </w:tcBorders>
            <w:noWrap w:val="0"/>
            <w:vAlign w:val="center"/>
          </w:tcPr>
          <w:p w14:paraId="43DF810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cs="Times New Roman"/>
                <w:color w:val="auto"/>
                <w:szCs w:val="21"/>
                <w:highlight w:val="none"/>
                <w:lang w:val="en-US" w:eastAsia="zh-CN"/>
              </w:rPr>
              <w:t>72.18</w:t>
            </w:r>
          </w:p>
        </w:tc>
        <w:tc>
          <w:tcPr>
            <w:tcW w:w="993" w:type="dxa"/>
            <w:tcBorders>
              <w:top w:val="single" w:color="auto" w:sz="8" w:space="0"/>
              <w:left w:val="nil"/>
              <w:bottom w:val="single" w:color="auto" w:sz="8" w:space="0"/>
              <w:right w:val="single" w:color="auto" w:sz="12" w:space="0"/>
            </w:tcBorders>
            <w:noWrap w:val="0"/>
            <w:vAlign w:val="center"/>
          </w:tcPr>
          <w:p w14:paraId="1862FA6B">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38439287">
        <w:tblPrEx>
          <w:tblCellMar>
            <w:top w:w="0" w:type="dxa"/>
            <w:left w:w="108" w:type="dxa"/>
            <w:bottom w:w="0" w:type="dxa"/>
            <w:right w:w="108" w:type="dxa"/>
          </w:tblCellMar>
        </w:tblPrEx>
        <w:trPr>
          <w:jc w:val="center"/>
        </w:trPr>
        <w:tc>
          <w:tcPr>
            <w:tcW w:w="707" w:type="dxa"/>
            <w:tcBorders>
              <w:top w:val="single" w:color="auto" w:sz="8" w:space="0"/>
              <w:left w:val="single" w:color="auto" w:sz="12" w:space="0"/>
              <w:bottom w:val="single" w:color="auto" w:sz="8" w:space="0"/>
              <w:right w:val="single" w:color="auto" w:sz="8" w:space="0"/>
            </w:tcBorders>
            <w:noWrap w:val="0"/>
            <w:vAlign w:val="center"/>
          </w:tcPr>
          <w:p w14:paraId="0DD67AF2">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c>
          <w:tcPr>
            <w:tcW w:w="3494" w:type="dxa"/>
            <w:tcBorders>
              <w:top w:val="single" w:color="auto" w:sz="8" w:space="0"/>
              <w:left w:val="nil"/>
              <w:bottom w:val="single" w:color="auto" w:sz="8" w:space="0"/>
              <w:right w:val="single" w:color="auto" w:sz="8" w:space="0"/>
            </w:tcBorders>
            <w:noWrap w:val="0"/>
            <w:vAlign w:val="center"/>
          </w:tcPr>
          <w:p w14:paraId="77359D9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CO</w:t>
            </w:r>
            <w:r>
              <w:rPr>
                <w:rFonts w:hint="default" w:ascii="Times New Roman" w:hAnsi="Times New Roman" w:cs="Times New Roman"/>
                <w:color w:val="auto"/>
                <w:szCs w:val="21"/>
                <w:highlight w:val="none"/>
                <w:vertAlign w:val="subscript"/>
              </w:rPr>
              <w:t>2</w:t>
            </w:r>
          </w:p>
        </w:tc>
        <w:tc>
          <w:tcPr>
            <w:tcW w:w="928" w:type="dxa"/>
            <w:tcBorders>
              <w:top w:val="single" w:color="auto" w:sz="8" w:space="0"/>
              <w:left w:val="nil"/>
              <w:bottom w:val="single" w:color="auto" w:sz="8" w:space="0"/>
              <w:right w:val="single" w:color="auto" w:sz="8" w:space="0"/>
            </w:tcBorders>
            <w:noWrap w:val="0"/>
            <w:vAlign w:val="center"/>
          </w:tcPr>
          <w:p w14:paraId="4973AB34">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w:t>
            </w:r>
          </w:p>
        </w:tc>
        <w:tc>
          <w:tcPr>
            <w:tcW w:w="1209" w:type="dxa"/>
            <w:tcBorders>
              <w:top w:val="single" w:color="auto" w:sz="8" w:space="0"/>
              <w:left w:val="nil"/>
              <w:bottom w:val="single" w:color="auto" w:sz="8" w:space="0"/>
              <w:right w:val="single" w:color="auto" w:sz="8" w:space="0"/>
            </w:tcBorders>
            <w:noWrap w:val="0"/>
            <w:vAlign w:val="center"/>
          </w:tcPr>
          <w:p w14:paraId="70A96C0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13.83</w:t>
            </w:r>
          </w:p>
        </w:tc>
        <w:tc>
          <w:tcPr>
            <w:tcW w:w="1135" w:type="dxa"/>
            <w:tcBorders>
              <w:top w:val="single" w:color="auto" w:sz="8" w:space="0"/>
              <w:left w:val="nil"/>
              <w:bottom w:val="single" w:color="auto" w:sz="8" w:space="0"/>
              <w:right w:val="single" w:color="auto" w:sz="8" w:space="0"/>
            </w:tcBorders>
            <w:noWrap w:val="0"/>
            <w:vAlign w:val="center"/>
          </w:tcPr>
          <w:p w14:paraId="27A81310">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13.84</w:t>
            </w:r>
          </w:p>
        </w:tc>
        <w:tc>
          <w:tcPr>
            <w:tcW w:w="993" w:type="dxa"/>
            <w:tcBorders>
              <w:top w:val="single" w:color="auto" w:sz="8" w:space="0"/>
              <w:left w:val="nil"/>
              <w:bottom w:val="single" w:color="auto" w:sz="8" w:space="0"/>
              <w:right w:val="single" w:color="auto" w:sz="12" w:space="0"/>
            </w:tcBorders>
            <w:noWrap w:val="0"/>
            <w:vAlign w:val="center"/>
          </w:tcPr>
          <w:p w14:paraId="3075130F">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3B52F256">
        <w:tblPrEx>
          <w:tblCellMar>
            <w:top w:w="0" w:type="dxa"/>
            <w:left w:w="108" w:type="dxa"/>
            <w:bottom w:w="0" w:type="dxa"/>
            <w:right w:w="108" w:type="dxa"/>
          </w:tblCellMar>
        </w:tblPrEx>
        <w:trPr>
          <w:jc w:val="center"/>
        </w:trPr>
        <w:tc>
          <w:tcPr>
            <w:tcW w:w="707" w:type="dxa"/>
            <w:tcBorders>
              <w:top w:val="single" w:color="auto" w:sz="8" w:space="0"/>
              <w:left w:val="single" w:color="auto" w:sz="12" w:space="0"/>
              <w:bottom w:val="single" w:color="auto" w:sz="8" w:space="0"/>
              <w:right w:val="single" w:color="auto" w:sz="8" w:space="0"/>
            </w:tcBorders>
            <w:noWrap w:val="0"/>
            <w:vAlign w:val="center"/>
          </w:tcPr>
          <w:p w14:paraId="57E2C545">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c>
          <w:tcPr>
            <w:tcW w:w="3494" w:type="dxa"/>
            <w:tcBorders>
              <w:top w:val="single" w:color="auto" w:sz="8" w:space="0"/>
              <w:left w:val="nil"/>
              <w:bottom w:val="single" w:color="auto" w:sz="8" w:space="0"/>
              <w:right w:val="single" w:color="auto" w:sz="8" w:space="0"/>
            </w:tcBorders>
            <w:noWrap w:val="0"/>
            <w:vAlign w:val="center"/>
          </w:tcPr>
          <w:p w14:paraId="015D247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SO</w:t>
            </w:r>
            <w:r>
              <w:rPr>
                <w:rFonts w:hint="default" w:ascii="Times New Roman" w:hAnsi="Times New Roman" w:cs="Times New Roman"/>
                <w:color w:val="auto"/>
                <w:szCs w:val="21"/>
                <w:highlight w:val="none"/>
                <w:vertAlign w:val="subscript"/>
              </w:rPr>
              <w:t>2</w:t>
            </w:r>
          </w:p>
        </w:tc>
        <w:tc>
          <w:tcPr>
            <w:tcW w:w="928" w:type="dxa"/>
            <w:tcBorders>
              <w:top w:val="single" w:color="auto" w:sz="8" w:space="0"/>
              <w:left w:val="nil"/>
              <w:bottom w:val="single" w:color="auto" w:sz="8" w:space="0"/>
              <w:right w:val="single" w:color="auto" w:sz="8" w:space="0"/>
            </w:tcBorders>
            <w:noWrap w:val="0"/>
            <w:vAlign w:val="center"/>
          </w:tcPr>
          <w:p w14:paraId="511523E5">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w:t>
            </w:r>
          </w:p>
        </w:tc>
        <w:tc>
          <w:tcPr>
            <w:tcW w:w="1209" w:type="dxa"/>
            <w:tcBorders>
              <w:top w:val="single" w:color="auto" w:sz="8" w:space="0"/>
              <w:left w:val="nil"/>
              <w:bottom w:val="single" w:color="auto" w:sz="8" w:space="0"/>
              <w:right w:val="single" w:color="auto" w:sz="8" w:space="0"/>
            </w:tcBorders>
            <w:noWrap w:val="0"/>
            <w:vAlign w:val="center"/>
          </w:tcPr>
          <w:p w14:paraId="75B4178A">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0.07</w:t>
            </w:r>
          </w:p>
        </w:tc>
        <w:tc>
          <w:tcPr>
            <w:tcW w:w="1135" w:type="dxa"/>
            <w:tcBorders>
              <w:top w:val="single" w:color="auto" w:sz="8" w:space="0"/>
              <w:left w:val="nil"/>
              <w:bottom w:val="single" w:color="auto" w:sz="8" w:space="0"/>
              <w:right w:val="single" w:color="auto" w:sz="8" w:space="0"/>
            </w:tcBorders>
            <w:noWrap w:val="0"/>
            <w:vAlign w:val="center"/>
          </w:tcPr>
          <w:p w14:paraId="33F76A1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0.04</w:t>
            </w:r>
          </w:p>
        </w:tc>
        <w:tc>
          <w:tcPr>
            <w:tcW w:w="993" w:type="dxa"/>
            <w:tcBorders>
              <w:top w:val="single" w:color="auto" w:sz="8" w:space="0"/>
              <w:left w:val="nil"/>
              <w:bottom w:val="single" w:color="auto" w:sz="8" w:space="0"/>
              <w:right w:val="single" w:color="auto" w:sz="12" w:space="0"/>
            </w:tcBorders>
            <w:noWrap w:val="0"/>
            <w:vAlign w:val="center"/>
          </w:tcPr>
          <w:p w14:paraId="1D2E343C">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3FBCE276">
        <w:tblPrEx>
          <w:tblCellMar>
            <w:top w:w="0" w:type="dxa"/>
            <w:left w:w="108" w:type="dxa"/>
            <w:bottom w:w="0" w:type="dxa"/>
            <w:right w:w="108" w:type="dxa"/>
          </w:tblCellMar>
        </w:tblPrEx>
        <w:trPr>
          <w:jc w:val="center"/>
        </w:trPr>
        <w:tc>
          <w:tcPr>
            <w:tcW w:w="707" w:type="dxa"/>
            <w:tcBorders>
              <w:top w:val="single" w:color="auto" w:sz="8" w:space="0"/>
              <w:left w:val="single" w:color="auto" w:sz="12" w:space="0"/>
              <w:bottom w:val="single" w:color="auto" w:sz="8" w:space="0"/>
              <w:right w:val="single" w:color="auto" w:sz="8" w:space="0"/>
            </w:tcBorders>
            <w:noWrap w:val="0"/>
            <w:vAlign w:val="center"/>
          </w:tcPr>
          <w:p w14:paraId="3E8F57F1">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c>
          <w:tcPr>
            <w:tcW w:w="3494" w:type="dxa"/>
            <w:tcBorders>
              <w:top w:val="single" w:color="auto" w:sz="8" w:space="0"/>
              <w:left w:val="nil"/>
              <w:bottom w:val="single" w:color="auto" w:sz="8" w:space="0"/>
              <w:right w:val="single" w:color="auto" w:sz="8" w:space="0"/>
            </w:tcBorders>
            <w:noWrap w:val="0"/>
            <w:vAlign w:val="center"/>
          </w:tcPr>
          <w:p w14:paraId="269AA95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H</w:t>
            </w:r>
            <w:r>
              <w:rPr>
                <w:rFonts w:hint="default" w:ascii="Times New Roman" w:hAnsi="Times New Roman" w:cs="Times New Roman"/>
                <w:color w:val="auto"/>
                <w:szCs w:val="21"/>
                <w:highlight w:val="none"/>
                <w:vertAlign w:val="subscript"/>
              </w:rPr>
              <w:t>2</w:t>
            </w:r>
            <w:r>
              <w:rPr>
                <w:rFonts w:hint="default" w:ascii="Times New Roman" w:hAnsi="Times New Roman" w:cs="Times New Roman"/>
                <w:color w:val="auto"/>
                <w:szCs w:val="21"/>
                <w:highlight w:val="none"/>
              </w:rPr>
              <w:t>O</w:t>
            </w:r>
          </w:p>
        </w:tc>
        <w:tc>
          <w:tcPr>
            <w:tcW w:w="928" w:type="dxa"/>
            <w:tcBorders>
              <w:top w:val="single" w:color="auto" w:sz="8" w:space="0"/>
              <w:left w:val="nil"/>
              <w:bottom w:val="single" w:color="auto" w:sz="8" w:space="0"/>
              <w:right w:val="single" w:color="auto" w:sz="8" w:space="0"/>
            </w:tcBorders>
            <w:noWrap w:val="0"/>
            <w:vAlign w:val="center"/>
          </w:tcPr>
          <w:p w14:paraId="54BCA65B">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w:t>
            </w:r>
          </w:p>
        </w:tc>
        <w:tc>
          <w:tcPr>
            <w:tcW w:w="1209" w:type="dxa"/>
            <w:tcBorders>
              <w:top w:val="single" w:color="auto" w:sz="8" w:space="0"/>
              <w:left w:val="nil"/>
              <w:bottom w:val="single" w:color="auto" w:sz="8" w:space="0"/>
              <w:right w:val="single" w:color="auto" w:sz="8" w:space="0"/>
            </w:tcBorders>
            <w:noWrap w:val="0"/>
            <w:vAlign w:val="center"/>
          </w:tcPr>
          <w:p w14:paraId="137FDA03">
            <w:pPr>
              <w:keepNext w:val="0"/>
              <w:keepLines w:val="0"/>
              <w:suppressLineNumbers w:val="0"/>
              <w:spacing w:before="0" w:beforeAutospacing="0" w:after="0" w:afterAutospacing="0" w:line="360" w:lineRule="auto"/>
              <w:ind w:left="0" w:right="0" w:firstLine="210" w:firstLineChars="100"/>
              <w:jc w:val="both"/>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8.7</w:t>
            </w:r>
          </w:p>
        </w:tc>
        <w:tc>
          <w:tcPr>
            <w:tcW w:w="1135" w:type="dxa"/>
            <w:tcBorders>
              <w:top w:val="single" w:color="auto" w:sz="8" w:space="0"/>
              <w:left w:val="nil"/>
              <w:bottom w:val="single" w:color="auto" w:sz="8" w:space="0"/>
              <w:right w:val="single" w:color="auto" w:sz="8" w:space="0"/>
            </w:tcBorders>
            <w:noWrap w:val="0"/>
            <w:vAlign w:val="center"/>
          </w:tcPr>
          <w:p w14:paraId="3F2EB7C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9.74</w:t>
            </w:r>
          </w:p>
        </w:tc>
        <w:tc>
          <w:tcPr>
            <w:tcW w:w="993" w:type="dxa"/>
            <w:tcBorders>
              <w:top w:val="single" w:color="auto" w:sz="8" w:space="0"/>
              <w:left w:val="nil"/>
              <w:bottom w:val="single" w:color="auto" w:sz="8" w:space="0"/>
              <w:right w:val="single" w:color="auto" w:sz="12" w:space="0"/>
            </w:tcBorders>
            <w:noWrap w:val="0"/>
            <w:vAlign w:val="center"/>
          </w:tcPr>
          <w:p w14:paraId="0EB68F3A">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6E598A34">
        <w:tblPrEx>
          <w:tblCellMar>
            <w:top w:w="0" w:type="dxa"/>
            <w:left w:w="108" w:type="dxa"/>
            <w:bottom w:w="0" w:type="dxa"/>
            <w:right w:w="108" w:type="dxa"/>
          </w:tblCellMar>
        </w:tblPrEx>
        <w:trPr>
          <w:trHeight w:val="90" w:hRule="atLeast"/>
          <w:jc w:val="center"/>
        </w:trPr>
        <w:tc>
          <w:tcPr>
            <w:tcW w:w="707" w:type="dxa"/>
            <w:tcBorders>
              <w:top w:val="single" w:color="auto" w:sz="8" w:space="0"/>
              <w:left w:val="single" w:color="auto" w:sz="12" w:space="0"/>
              <w:bottom w:val="single" w:color="auto" w:sz="8" w:space="0"/>
              <w:right w:val="single" w:color="auto" w:sz="8" w:space="0"/>
            </w:tcBorders>
            <w:noWrap w:val="0"/>
            <w:vAlign w:val="center"/>
          </w:tcPr>
          <w:p w14:paraId="37BA565E">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c>
          <w:tcPr>
            <w:tcW w:w="3494" w:type="dxa"/>
            <w:tcBorders>
              <w:top w:val="single" w:color="auto" w:sz="8" w:space="0"/>
              <w:left w:val="nil"/>
              <w:bottom w:val="single" w:color="auto" w:sz="8" w:space="0"/>
              <w:right w:val="single" w:color="auto" w:sz="8" w:space="0"/>
            </w:tcBorders>
            <w:noWrap w:val="0"/>
            <w:vAlign w:val="center"/>
          </w:tcPr>
          <w:p w14:paraId="033492F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O</w:t>
            </w:r>
            <w:r>
              <w:rPr>
                <w:rFonts w:hint="default" w:ascii="Times New Roman" w:hAnsi="Times New Roman" w:cs="Times New Roman"/>
                <w:color w:val="auto"/>
                <w:szCs w:val="21"/>
                <w:highlight w:val="none"/>
                <w:vertAlign w:val="subscript"/>
              </w:rPr>
              <w:t>2</w:t>
            </w:r>
          </w:p>
        </w:tc>
        <w:tc>
          <w:tcPr>
            <w:tcW w:w="928" w:type="dxa"/>
            <w:tcBorders>
              <w:top w:val="single" w:color="auto" w:sz="8" w:space="0"/>
              <w:left w:val="nil"/>
              <w:bottom w:val="single" w:color="auto" w:sz="8" w:space="0"/>
              <w:right w:val="single" w:color="auto" w:sz="8" w:space="0"/>
            </w:tcBorders>
            <w:noWrap w:val="0"/>
            <w:vAlign w:val="center"/>
          </w:tcPr>
          <w:p w14:paraId="2EA8789A">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rPr>
              <w:t>%</w:t>
            </w:r>
          </w:p>
        </w:tc>
        <w:tc>
          <w:tcPr>
            <w:tcW w:w="1209" w:type="dxa"/>
            <w:tcBorders>
              <w:top w:val="single" w:color="auto" w:sz="8" w:space="0"/>
              <w:left w:val="nil"/>
              <w:bottom w:val="single" w:color="auto" w:sz="8" w:space="0"/>
              <w:right w:val="single" w:color="auto" w:sz="8" w:space="0"/>
            </w:tcBorders>
            <w:noWrap w:val="0"/>
            <w:vAlign w:val="center"/>
          </w:tcPr>
          <w:p w14:paraId="7018CAF8">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4.2</w:t>
            </w:r>
          </w:p>
        </w:tc>
        <w:tc>
          <w:tcPr>
            <w:tcW w:w="1135" w:type="dxa"/>
            <w:tcBorders>
              <w:top w:val="single" w:color="auto" w:sz="8" w:space="0"/>
              <w:left w:val="nil"/>
              <w:bottom w:val="single" w:color="auto" w:sz="8" w:space="0"/>
              <w:right w:val="single" w:color="auto" w:sz="8" w:space="0"/>
            </w:tcBorders>
            <w:noWrap w:val="0"/>
            <w:vAlign w:val="center"/>
          </w:tcPr>
          <w:p w14:paraId="76779777">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4.2</w:t>
            </w:r>
          </w:p>
        </w:tc>
        <w:tc>
          <w:tcPr>
            <w:tcW w:w="993" w:type="dxa"/>
            <w:tcBorders>
              <w:top w:val="single" w:color="auto" w:sz="8" w:space="0"/>
              <w:left w:val="nil"/>
              <w:bottom w:val="single" w:color="auto" w:sz="8" w:space="0"/>
              <w:right w:val="single" w:color="auto" w:sz="12" w:space="0"/>
            </w:tcBorders>
            <w:noWrap w:val="0"/>
            <w:vAlign w:val="center"/>
          </w:tcPr>
          <w:p w14:paraId="3798A00D">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429EBC20">
        <w:tblPrEx>
          <w:tblCellMar>
            <w:top w:w="0" w:type="dxa"/>
            <w:left w:w="108" w:type="dxa"/>
            <w:bottom w:w="0" w:type="dxa"/>
            <w:right w:w="108" w:type="dxa"/>
          </w:tblCellMar>
        </w:tblPrEx>
        <w:trPr>
          <w:trHeight w:val="513" w:hRule="atLeast"/>
          <w:jc w:val="center"/>
        </w:trPr>
        <w:tc>
          <w:tcPr>
            <w:tcW w:w="707" w:type="dxa"/>
            <w:tcBorders>
              <w:top w:val="single" w:color="auto" w:sz="8" w:space="0"/>
              <w:left w:val="single" w:color="auto" w:sz="12" w:space="0"/>
              <w:bottom w:val="single" w:color="auto" w:sz="8" w:space="0"/>
              <w:right w:val="single" w:color="auto" w:sz="8" w:space="0"/>
            </w:tcBorders>
            <w:noWrap w:val="0"/>
            <w:vAlign w:val="center"/>
          </w:tcPr>
          <w:p w14:paraId="2DA8D326">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5</w:t>
            </w:r>
          </w:p>
        </w:tc>
        <w:tc>
          <w:tcPr>
            <w:tcW w:w="3494" w:type="dxa"/>
            <w:tcBorders>
              <w:top w:val="single" w:color="auto" w:sz="8" w:space="0"/>
              <w:left w:val="nil"/>
              <w:bottom w:val="single" w:color="auto" w:sz="8" w:space="0"/>
              <w:right w:val="single" w:color="auto" w:sz="8" w:space="0"/>
            </w:tcBorders>
            <w:noWrap w:val="0"/>
            <w:vAlign w:val="center"/>
          </w:tcPr>
          <w:p w14:paraId="6D77C45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eastAsia" w:ascii="Times New Roman" w:hAnsi="Times New Roman" w:cs="Times New Roman"/>
                <w:color w:val="auto"/>
                <w:szCs w:val="21"/>
                <w:highlight w:val="none"/>
              </w:rPr>
              <w:t>二氧化硫浓度（</w:t>
            </w:r>
            <w:r>
              <w:rPr>
                <w:rFonts w:hint="eastAsia" w:ascii="Times New Roman" w:hAnsi="Times New Roman" w:cs="Times New Roman"/>
                <w:color w:val="auto"/>
                <w:szCs w:val="21"/>
                <w:highlight w:val="none"/>
                <w:lang w:val="en-US" w:eastAsia="zh-CN"/>
              </w:rPr>
              <w:t>湿</w:t>
            </w:r>
            <w:r>
              <w:rPr>
                <w:rFonts w:hint="eastAsia" w:ascii="Times New Roman" w:hAnsi="Times New Roman" w:cs="Times New Roman"/>
                <w:color w:val="auto"/>
                <w:szCs w:val="21"/>
                <w:highlight w:val="none"/>
              </w:rPr>
              <w:t>基，6%O</w:t>
            </w:r>
            <w:r>
              <w:rPr>
                <w:rFonts w:hint="eastAsia" w:ascii="Times New Roman" w:hAnsi="Times New Roman" w:cs="Times New Roman"/>
                <w:color w:val="auto"/>
                <w:szCs w:val="21"/>
                <w:highlight w:val="none"/>
                <w:vertAlign w:val="subscript"/>
              </w:rPr>
              <w:t>2</w:t>
            </w:r>
            <w:r>
              <w:rPr>
                <w:rFonts w:hint="eastAsia" w:ascii="Times New Roman" w:hAnsi="Times New Roman" w:cs="Times New Roman"/>
                <w:color w:val="auto"/>
                <w:szCs w:val="21"/>
                <w:highlight w:val="none"/>
              </w:rPr>
              <w:t>）</w:t>
            </w:r>
          </w:p>
        </w:tc>
        <w:tc>
          <w:tcPr>
            <w:tcW w:w="928" w:type="dxa"/>
            <w:tcBorders>
              <w:top w:val="single" w:color="auto" w:sz="8" w:space="0"/>
              <w:left w:val="nil"/>
              <w:bottom w:val="single" w:color="auto" w:sz="8" w:space="0"/>
              <w:right w:val="single" w:color="auto" w:sz="8" w:space="0"/>
            </w:tcBorders>
            <w:noWrap w:val="0"/>
            <w:vAlign w:val="center"/>
          </w:tcPr>
          <w:p w14:paraId="38EBEDD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mg/Nm</w:t>
            </w:r>
            <w:r>
              <w:rPr>
                <w:rFonts w:hint="default" w:ascii="Times New Roman" w:hAnsi="Times New Roman" w:cs="Times New Roman"/>
                <w:color w:val="auto"/>
                <w:szCs w:val="21"/>
                <w:highlight w:val="none"/>
                <w:vertAlign w:val="superscript"/>
              </w:rPr>
              <w:t>3</w:t>
            </w:r>
          </w:p>
        </w:tc>
        <w:tc>
          <w:tcPr>
            <w:tcW w:w="1209" w:type="dxa"/>
            <w:tcBorders>
              <w:top w:val="single" w:color="auto" w:sz="8" w:space="0"/>
              <w:left w:val="nil"/>
              <w:bottom w:val="single" w:color="auto" w:sz="8" w:space="0"/>
              <w:right w:val="single" w:color="auto" w:sz="8" w:space="0"/>
            </w:tcBorders>
            <w:noWrap w:val="0"/>
            <w:vAlign w:val="center"/>
          </w:tcPr>
          <w:p w14:paraId="6AA20F9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1987</w:t>
            </w:r>
          </w:p>
        </w:tc>
        <w:tc>
          <w:tcPr>
            <w:tcW w:w="1135" w:type="dxa"/>
            <w:tcBorders>
              <w:top w:val="single" w:color="auto" w:sz="8" w:space="0"/>
              <w:left w:val="nil"/>
              <w:bottom w:val="single" w:color="auto" w:sz="8" w:space="0"/>
              <w:right w:val="single" w:color="auto" w:sz="8" w:space="0"/>
            </w:tcBorders>
            <w:noWrap w:val="0"/>
            <w:vAlign w:val="center"/>
          </w:tcPr>
          <w:p w14:paraId="3DD3EC1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1140</w:t>
            </w:r>
          </w:p>
        </w:tc>
        <w:tc>
          <w:tcPr>
            <w:tcW w:w="993" w:type="dxa"/>
            <w:tcBorders>
              <w:top w:val="single" w:color="auto" w:sz="8" w:space="0"/>
              <w:left w:val="nil"/>
              <w:bottom w:val="single" w:color="auto" w:sz="8" w:space="0"/>
              <w:right w:val="single" w:color="auto" w:sz="12" w:space="0"/>
            </w:tcBorders>
            <w:noWrap w:val="0"/>
            <w:vAlign w:val="center"/>
          </w:tcPr>
          <w:p w14:paraId="48F51AAC">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4EACB281">
        <w:trPr>
          <w:jc w:val="center"/>
        </w:trPr>
        <w:tc>
          <w:tcPr>
            <w:tcW w:w="707" w:type="dxa"/>
            <w:tcBorders>
              <w:top w:val="single" w:color="auto" w:sz="8" w:space="0"/>
              <w:left w:val="single" w:color="auto" w:sz="12" w:space="0"/>
              <w:bottom w:val="single" w:color="auto" w:sz="8" w:space="0"/>
              <w:right w:val="single" w:color="auto" w:sz="8" w:space="0"/>
            </w:tcBorders>
            <w:noWrap w:val="0"/>
            <w:vAlign w:val="center"/>
          </w:tcPr>
          <w:p w14:paraId="7F822FA8">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6</w:t>
            </w:r>
          </w:p>
        </w:tc>
        <w:tc>
          <w:tcPr>
            <w:tcW w:w="3494" w:type="dxa"/>
            <w:tcBorders>
              <w:top w:val="single" w:color="auto" w:sz="8" w:space="0"/>
              <w:left w:val="nil"/>
              <w:bottom w:val="single" w:color="auto" w:sz="8" w:space="0"/>
              <w:right w:val="single" w:color="auto" w:sz="8" w:space="0"/>
            </w:tcBorders>
            <w:noWrap w:val="0"/>
            <w:vAlign w:val="center"/>
          </w:tcPr>
          <w:p w14:paraId="4715B6C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eastAsia" w:ascii="Times New Roman" w:hAnsi="Times New Roman" w:cs="Times New Roman"/>
                <w:color w:val="auto"/>
                <w:szCs w:val="21"/>
                <w:highlight w:val="none"/>
              </w:rPr>
              <w:t>脱硫</w:t>
            </w:r>
            <w:r>
              <w:rPr>
                <w:rFonts w:hint="default" w:ascii="Times New Roman" w:hAnsi="Times New Roman" w:cs="Times New Roman"/>
                <w:color w:val="auto"/>
                <w:szCs w:val="21"/>
                <w:highlight w:val="none"/>
              </w:rPr>
              <w:t>效率</w:t>
            </w:r>
          </w:p>
        </w:tc>
        <w:tc>
          <w:tcPr>
            <w:tcW w:w="928" w:type="dxa"/>
            <w:tcBorders>
              <w:top w:val="single" w:color="auto" w:sz="8" w:space="0"/>
              <w:left w:val="nil"/>
              <w:bottom w:val="single" w:color="auto" w:sz="8" w:space="0"/>
              <w:right w:val="single" w:color="auto" w:sz="8" w:space="0"/>
            </w:tcBorders>
            <w:noWrap w:val="0"/>
            <w:vAlign w:val="center"/>
          </w:tcPr>
          <w:p w14:paraId="0DFB298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eastAsia" w:ascii="Times New Roman" w:hAnsi="Times New Roman" w:cs="Times New Roman"/>
                <w:color w:val="auto"/>
                <w:szCs w:val="21"/>
                <w:highlight w:val="none"/>
              </w:rPr>
              <w:t>%</w:t>
            </w:r>
          </w:p>
        </w:tc>
        <w:tc>
          <w:tcPr>
            <w:tcW w:w="2344" w:type="dxa"/>
            <w:gridSpan w:val="2"/>
            <w:tcBorders>
              <w:top w:val="single" w:color="auto" w:sz="8" w:space="0"/>
              <w:left w:val="nil"/>
              <w:bottom w:val="single" w:color="auto" w:sz="8" w:space="0"/>
              <w:right w:val="single" w:color="auto" w:sz="8" w:space="0"/>
            </w:tcBorders>
            <w:noWrap w:val="0"/>
            <w:vAlign w:val="center"/>
          </w:tcPr>
          <w:p w14:paraId="61551D2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eastAsia" w:ascii="Times New Roman" w:hAnsi="Times New Roman" w:cs="Times New Roman"/>
                <w:color w:val="auto"/>
                <w:szCs w:val="21"/>
                <w:highlight w:val="none"/>
              </w:rPr>
              <w:t>≥98.</w:t>
            </w:r>
            <w:r>
              <w:rPr>
                <w:rFonts w:hint="eastAsia" w:ascii="Times New Roman" w:hAnsi="Times New Roman" w:cs="Times New Roman"/>
                <w:color w:val="auto"/>
                <w:szCs w:val="21"/>
                <w:highlight w:val="none"/>
                <w:lang w:val="en-US" w:eastAsia="zh-CN"/>
              </w:rPr>
              <w:t>5</w:t>
            </w:r>
            <w:r>
              <w:rPr>
                <w:rFonts w:hint="default" w:ascii="Times New Roman" w:hAnsi="Times New Roman" w:cs="Times New Roman"/>
                <w:color w:val="auto"/>
                <w:szCs w:val="21"/>
                <w:highlight w:val="none"/>
              </w:rPr>
              <w:t>%</w:t>
            </w:r>
          </w:p>
        </w:tc>
        <w:tc>
          <w:tcPr>
            <w:tcW w:w="993" w:type="dxa"/>
            <w:tcBorders>
              <w:top w:val="single" w:color="auto" w:sz="8" w:space="0"/>
              <w:left w:val="nil"/>
              <w:bottom w:val="single" w:color="auto" w:sz="8" w:space="0"/>
              <w:right w:val="single" w:color="auto" w:sz="12" w:space="0"/>
            </w:tcBorders>
            <w:noWrap w:val="0"/>
            <w:vAlign w:val="center"/>
          </w:tcPr>
          <w:p w14:paraId="7B2CB94F">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r w14:paraId="6BF1DD2F">
        <w:tblPrEx>
          <w:tblCellMar>
            <w:top w:w="0" w:type="dxa"/>
            <w:left w:w="108" w:type="dxa"/>
            <w:bottom w:w="0" w:type="dxa"/>
            <w:right w:w="108" w:type="dxa"/>
          </w:tblCellMar>
        </w:tblPrEx>
        <w:trPr>
          <w:jc w:val="center"/>
        </w:trPr>
        <w:tc>
          <w:tcPr>
            <w:tcW w:w="707" w:type="dxa"/>
            <w:tcBorders>
              <w:top w:val="single" w:color="auto" w:sz="8" w:space="0"/>
              <w:left w:val="single" w:color="auto" w:sz="12" w:space="0"/>
              <w:bottom w:val="single" w:color="auto" w:sz="12" w:space="0"/>
              <w:right w:val="single" w:color="auto" w:sz="8" w:space="0"/>
            </w:tcBorders>
            <w:noWrap w:val="0"/>
            <w:vAlign w:val="center"/>
          </w:tcPr>
          <w:p w14:paraId="13D288EF">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7</w:t>
            </w:r>
          </w:p>
        </w:tc>
        <w:tc>
          <w:tcPr>
            <w:tcW w:w="3494" w:type="dxa"/>
            <w:tcBorders>
              <w:top w:val="single" w:color="auto" w:sz="8" w:space="0"/>
              <w:left w:val="nil"/>
              <w:bottom w:val="single" w:color="auto" w:sz="12" w:space="0"/>
              <w:right w:val="single" w:color="auto" w:sz="8" w:space="0"/>
            </w:tcBorders>
            <w:noWrap w:val="0"/>
            <w:vAlign w:val="center"/>
          </w:tcPr>
          <w:p w14:paraId="20C63CE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eastAsia" w:ascii="Times New Roman" w:hAnsi="Times New Roman" w:cs="Times New Roman"/>
                <w:color w:val="auto"/>
                <w:szCs w:val="21"/>
                <w:highlight w:val="none"/>
              </w:rPr>
              <w:t>烟囱</w:t>
            </w:r>
            <w:r>
              <w:rPr>
                <w:rFonts w:hint="default" w:ascii="Times New Roman" w:hAnsi="Times New Roman" w:cs="Times New Roman"/>
                <w:color w:val="auto"/>
                <w:szCs w:val="21"/>
                <w:highlight w:val="none"/>
              </w:rPr>
              <w:t>入口烟温</w:t>
            </w:r>
          </w:p>
        </w:tc>
        <w:tc>
          <w:tcPr>
            <w:tcW w:w="928" w:type="dxa"/>
            <w:tcBorders>
              <w:top w:val="single" w:color="auto" w:sz="8" w:space="0"/>
              <w:left w:val="nil"/>
              <w:bottom w:val="single" w:color="auto" w:sz="12" w:space="0"/>
              <w:right w:val="single" w:color="auto" w:sz="8" w:space="0"/>
            </w:tcBorders>
            <w:noWrap w:val="0"/>
            <w:vAlign w:val="center"/>
          </w:tcPr>
          <w:p w14:paraId="656446A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eastAsia" w:ascii="宋体" w:hAnsi="宋体" w:cs="宋体"/>
                <w:color w:val="auto"/>
                <w:szCs w:val="21"/>
                <w:highlight w:val="none"/>
              </w:rPr>
              <w:t>℃</w:t>
            </w:r>
          </w:p>
        </w:tc>
        <w:tc>
          <w:tcPr>
            <w:tcW w:w="2344" w:type="dxa"/>
            <w:gridSpan w:val="2"/>
            <w:tcBorders>
              <w:top w:val="single" w:color="auto" w:sz="8" w:space="0"/>
              <w:left w:val="nil"/>
              <w:bottom w:val="single" w:color="auto" w:sz="12" w:space="0"/>
              <w:right w:val="single" w:color="auto" w:sz="8" w:space="0"/>
            </w:tcBorders>
            <w:noWrap w:val="0"/>
            <w:vAlign w:val="center"/>
          </w:tcPr>
          <w:p w14:paraId="26E90AD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~50</w:t>
            </w:r>
          </w:p>
        </w:tc>
        <w:tc>
          <w:tcPr>
            <w:tcW w:w="993" w:type="dxa"/>
            <w:tcBorders>
              <w:top w:val="single" w:color="auto" w:sz="8" w:space="0"/>
              <w:left w:val="nil"/>
              <w:bottom w:val="single" w:color="auto" w:sz="12" w:space="0"/>
              <w:right w:val="single" w:color="auto" w:sz="12" w:space="0"/>
            </w:tcBorders>
            <w:noWrap w:val="0"/>
            <w:vAlign w:val="center"/>
          </w:tcPr>
          <w:p w14:paraId="69ABF84B">
            <w:pPr>
              <w:keepNext w:val="0"/>
              <w:keepLines w:val="0"/>
              <w:widowControl/>
              <w:suppressLineNumbers w:val="0"/>
              <w:spacing w:before="0" w:beforeAutospacing="0" w:after="0" w:afterAutospacing="0" w:line="360" w:lineRule="auto"/>
              <w:ind w:left="0" w:right="0"/>
              <w:jc w:val="center"/>
              <w:rPr>
                <w:rFonts w:hint="default" w:ascii="Times New Roman" w:hAnsi="Times New Roman" w:cs="Times New Roman"/>
                <w:color w:val="auto"/>
                <w:kern w:val="0"/>
                <w:szCs w:val="21"/>
                <w:highlight w:val="none"/>
              </w:rPr>
            </w:pPr>
          </w:p>
        </w:tc>
      </w:tr>
    </w:tbl>
    <w:p w14:paraId="4D365631">
      <w:pPr>
        <w:widowControl/>
        <w:snapToGrid w:val="0"/>
        <w:spacing w:line="360" w:lineRule="auto"/>
        <w:jc w:val="center"/>
        <w:rPr>
          <w:snapToGrid w:val="0"/>
          <w:color w:val="auto"/>
          <w:sz w:val="24"/>
          <w:highlight w:val="none"/>
        </w:rPr>
      </w:pPr>
      <w:r>
        <w:rPr>
          <w:snapToGrid w:val="0"/>
          <w:color w:val="auto"/>
          <w:sz w:val="24"/>
          <w:highlight w:val="none"/>
          <w:lang w:bidi="ar"/>
        </w:rPr>
        <w:t xml:space="preserve">  </w:t>
      </w:r>
    </w:p>
    <w:p w14:paraId="66E8D515">
      <w:pPr>
        <w:adjustRightInd w:val="0"/>
        <w:snapToGrid w:val="0"/>
        <w:spacing w:line="360" w:lineRule="auto"/>
        <w:rPr>
          <w:color w:val="auto"/>
          <w:sz w:val="24"/>
          <w:highlight w:val="none"/>
        </w:rPr>
      </w:pPr>
    </w:p>
    <w:p w14:paraId="0905FDA9">
      <w:pPr>
        <w:adjustRightInd w:val="0"/>
        <w:snapToGrid w:val="0"/>
        <w:spacing w:line="360" w:lineRule="auto"/>
        <w:rPr>
          <w:color w:val="auto"/>
          <w:sz w:val="24"/>
          <w:highlight w:val="none"/>
        </w:rPr>
      </w:pPr>
      <w:r>
        <w:rPr>
          <w:color w:val="auto"/>
          <w:sz w:val="24"/>
          <w:highlight w:val="none"/>
        </w:rPr>
        <w:t>1.2.4 石灰石分析资料</w:t>
      </w:r>
      <w:bookmarkEnd w:id="30"/>
    </w:p>
    <w:p w14:paraId="78633414">
      <w:pPr>
        <w:adjustRightInd w:val="0"/>
        <w:snapToGrid w:val="0"/>
        <w:spacing w:line="360" w:lineRule="auto"/>
        <w:ind w:firstLine="480" w:firstLineChars="200"/>
        <w:rPr>
          <w:color w:val="auto"/>
          <w:sz w:val="24"/>
          <w:highlight w:val="none"/>
        </w:rPr>
      </w:pPr>
      <w:r>
        <w:rPr>
          <w:color w:val="auto"/>
          <w:sz w:val="24"/>
          <w:highlight w:val="none"/>
        </w:rPr>
        <w:t>本工程</w:t>
      </w:r>
      <w:r>
        <w:rPr>
          <w:rFonts w:hint="eastAsia"/>
          <w:color w:val="auto"/>
          <w:sz w:val="24"/>
          <w:highlight w:val="none"/>
        </w:rPr>
        <w:t>脱硫</w:t>
      </w:r>
      <w:r>
        <w:rPr>
          <w:color w:val="auto"/>
          <w:sz w:val="24"/>
          <w:highlight w:val="none"/>
        </w:rPr>
        <w:t>浆液的供应形式为外购石灰石粉制备石灰石浆液，本工程石灰石的分析资料见下表：</w:t>
      </w:r>
    </w:p>
    <w:p w14:paraId="20E6FD1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default" w:ascii="Times New Roman" w:hAnsi="Times New Roman" w:eastAsia="宋体" w:cs="Times New Roman"/>
          <w:color w:val="auto"/>
          <w:kern w:val="0"/>
          <w:sz w:val="24"/>
          <w:szCs w:val="24"/>
          <w:highlight w:val="none"/>
          <w:lang w:val="en-US" w:eastAsia="zh-CN" w:bidi="ar"/>
        </w:rPr>
        <w:t>CaCO3</w:t>
      </w:r>
      <w:r>
        <w:rPr>
          <w:rFonts w:hint="eastAsia" w:ascii="宋体" w:hAnsi="宋体" w:eastAsia="宋体" w:cs="宋体"/>
          <w:color w:val="auto"/>
          <w:kern w:val="0"/>
          <w:sz w:val="24"/>
          <w:szCs w:val="24"/>
          <w:highlight w:val="none"/>
          <w:lang w:val="en-US" w:eastAsia="zh-CN" w:bidi="ar"/>
        </w:rPr>
        <w:t>纯度：≥</w:t>
      </w:r>
      <w:r>
        <w:rPr>
          <w:rFonts w:hint="default" w:ascii="Times New Roman" w:hAnsi="Times New Roman" w:eastAsia="宋体" w:cs="Times New Roman"/>
          <w:color w:val="auto"/>
          <w:kern w:val="0"/>
          <w:sz w:val="24"/>
          <w:szCs w:val="24"/>
          <w:highlight w:val="none"/>
          <w:lang w:val="en-US" w:eastAsia="zh-CN" w:bidi="ar"/>
        </w:rPr>
        <w:t>90%</w:t>
      </w:r>
    </w:p>
    <w:p w14:paraId="0401B25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ascii="宋体" w:hAnsi="宋体" w:eastAsia="宋体" w:cs="宋体"/>
          <w:color w:val="auto"/>
          <w:kern w:val="0"/>
          <w:sz w:val="24"/>
          <w:szCs w:val="24"/>
          <w:highlight w:val="none"/>
          <w:lang w:val="en-US" w:eastAsia="zh-CN" w:bidi="ar"/>
        </w:rPr>
        <w:t>粒径：</w:t>
      </w:r>
      <w:r>
        <w:rPr>
          <w:rFonts w:hint="default" w:ascii="Times New Roman" w:hAnsi="Times New Roman" w:eastAsia="宋体" w:cs="Times New Roman"/>
          <w:color w:val="auto"/>
          <w:kern w:val="0"/>
          <w:sz w:val="24"/>
          <w:szCs w:val="24"/>
          <w:highlight w:val="none"/>
          <w:lang w:val="en-US" w:eastAsia="zh-CN" w:bidi="ar"/>
        </w:rPr>
        <w:t>≤250</w:t>
      </w:r>
      <w:r>
        <w:rPr>
          <w:rFonts w:hint="eastAsia" w:ascii="宋体" w:hAnsi="宋体" w:eastAsia="宋体" w:cs="宋体"/>
          <w:color w:val="auto"/>
          <w:kern w:val="0"/>
          <w:sz w:val="24"/>
          <w:szCs w:val="24"/>
          <w:highlight w:val="none"/>
          <w:lang w:val="en-US" w:eastAsia="zh-CN" w:bidi="ar"/>
        </w:rPr>
        <w:t>目</w:t>
      </w:r>
    </w:p>
    <w:p w14:paraId="74D0926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ascii="宋体" w:hAnsi="宋体" w:eastAsia="宋体" w:cs="宋体"/>
          <w:color w:val="auto"/>
          <w:kern w:val="0"/>
          <w:sz w:val="24"/>
          <w:szCs w:val="24"/>
          <w:highlight w:val="none"/>
          <w:lang w:val="en-US" w:eastAsia="zh-CN" w:bidi="ar"/>
        </w:rPr>
        <w:t>比表面积：≥</w:t>
      </w:r>
      <w:r>
        <w:rPr>
          <w:rFonts w:hint="default" w:ascii="Times New Roman" w:hAnsi="Times New Roman" w:eastAsia="宋体" w:cs="Times New Roman"/>
          <w:color w:val="auto"/>
          <w:kern w:val="0"/>
          <w:sz w:val="24"/>
          <w:szCs w:val="24"/>
          <w:highlight w:val="none"/>
          <w:lang w:val="en-US" w:eastAsia="zh-CN" w:bidi="ar"/>
        </w:rPr>
        <w:t>15m</w:t>
      </w:r>
      <w:r>
        <w:rPr>
          <w:rFonts w:hint="default" w:ascii="Times New Roman" w:hAnsi="Times New Roman" w:eastAsia="宋体" w:cs="Times New Roman"/>
          <w:color w:val="auto"/>
          <w:kern w:val="0"/>
          <w:sz w:val="24"/>
          <w:szCs w:val="24"/>
          <w:highlight w:val="none"/>
          <w:vertAlign w:val="superscript"/>
          <w:lang w:val="en-US" w:eastAsia="zh-CN" w:bidi="ar"/>
        </w:rPr>
        <w:t>2</w:t>
      </w:r>
      <w:r>
        <w:rPr>
          <w:rFonts w:hint="default" w:ascii="Times New Roman" w:hAnsi="Times New Roman" w:eastAsia="宋体" w:cs="Times New Roman"/>
          <w:color w:val="auto"/>
          <w:kern w:val="0"/>
          <w:sz w:val="24"/>
          <w:szCs w:val="24"/>
          <w:highlight w:val="none"/>
          <w:lang w:val="en-US" w:eastAsia="zh-CN" w:bidi="ar"/>
        </w:rPr>
        <w:t>/g</w:t>
      </w:r>
    </w:p>
    <w:p w14:paraId="3787844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auto"/>
          <w:sz w:val="24"/>
          <w:highlight w:val="none"/>
        </w:rPr>
      </w:pPr>
      <w:r>
        <w:rPr>
          <w:rFonts w:hint="eastAsia" w:ascii="宋体" w:hAnsi="宋体" w:eastAsia="宋体" w:cs="宋体"/>
          <w:color w:val="auto"/>
          <w:kern w:val="0"/>
          <w:sz w:val="24"/>
          <w:szCs w:val="24"/>
          <w:highlight w:val="none"/>
          <w:lang w:val="en-US" w:eastAsia="zh-CN" w:bidi="ar"/>
        </w:rPr>
        <w:t>含水率：</w:t>
      </w:r>
      <w:r>
        <w:rPr>
          <w:rFonts w:hint="default" w:ascii="Times New Roman" w:hAnsi="Times New Roman" w:eastAsia="宋体" w:cs="Times New Roman"/>
          <w:color w:val="auto"/>
          <w:kern w:val="0"/>
          <w:sz w:val="24"/>
          <w:szCs w:val="24"/>
          <w:highlight w:val="none"/>
          <w:lang w:val="en-US" w:eastAsia="zh-CN" w:bidi="ar"/>
        </w:rPr>
        <w:t>≤1%</w:t>
      </w:r>
    </w:p>
    <w:p w14:paraId="0007D03C">
      <w:pPr>
        <w:adjustRightInd w:val="0"/>
        <w:snapToGrid w:val="0"/>
        <w:spacing w:line="360" w:lineRule="auto"/>
        <w:rPr>
          <w:color w:val="auto"/>
          <w:sz w:val="24"/>
          <w:highlight w:val="none"/>
        </w:rPr>
      </w:pPr>
      <w:bookmarkStart w:id="33" w:name="_Toc4243611"/>
      <w:r>
        <w:rPr>
          <w:color w:val="auto"/>
          <w:sz w:val="24"/>
          <w:highlight w:val="none"/>
        </w:rPr>
        <w:t>1.2.5水质资料</w:t>
      </w:r>
      <w:bookmarkEnd w:id="33"/>
    </w:p>
    <w:p w14:paraId="6222FE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color w:val="auto"/>
          <w:highlight w:val="none"/>
          <w:lang w:val="en-US"/>
        </w:rPr>
      </w:pPr>
      <w:r>
        <w:rPr>
          <w:rFonts w:hint="eastAsia" w:ascii="宋体" w:hAnsi="宋体" w:eastAsia="宋体" w:cs="宋体"/>
          <w:color w:val="auto"/>
          <w:sz w:val="24"/>
          <w:szCs w:val="24"/>
          <w:highlight w:val="none"/>
        </w:rPr>
        <w:t>本项目脱硫系统工艺水采用反渗透</w:t>
      </w:r>
      <w:r>
        <w:rPr>
          <w:rFonts w:hint="eastAsia" w:ascii="宋体" w:hAnsi="宋体" w:eastAsia="宋体" w:cs="宋体"/>
          <w:color w:val="auto"/>
          <w:sz w:val="24"/>
          <w:szCs w:val="24"/>
          <w:highlight w:val="none"/>
          <w:lang w:val="en-US" w:eastAsia="zh-CN"/>
        </w:rPr>
        <w:t>浓水</w:t>
      </w:r>
      <w:r>
        <w:rPr>
          <w:rFonts w:hint="eastAsia" w:ascii="宋体" w:hAnsi="宋体" w:eastAsia="宋体" w:cs="宋体"/>
          <w:color w:val="auto"/>
          <w:sz w:val="24"/>
          <w:szCs w:val="24"/>
          <w:highlight w:val="none"/>
        </w:rPr>
        <w:t>。工艺水主要包含脱硫塔系统工艺补水、除尘除雾器冲洗水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泵机械密封冷却水、泵反冲洗水、真空泵密封水、真空皮带机冲洗水</w:t>
      </w:r>
      <w:r>
        <w:rPr>
          <w:rFonts w:hint="eastAsia" w:ascii="宋体" w:hAnsi="宋体" w:eastAsia="宋体" w:cs="宋体"/>
          <w:color w:val="auto"/>
          <w:sz w:val="24"/>
          <w:szCs w:val="24"/>
          <w:highlight w:val="none"/>
        </w:rPr>
        <w:t>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lang w:val="en-US" w:eastAsia="zh-CN" w:bidi="ar"/>
        </w:rPr>
        <w:t>根据检测结果水质指标：浊度1.2mg/L，总余氯&lt;0.03mg/L，氯化物45mg/L,总硬度19.3mg/L,PH值7.2，化学需氧量24mg/L，五日生化需氧量7mg/L，氨氮0.198mg/L，总铁0.03mg/L，总氮6.94mg/L，总磷0.16mg/L，总锰0.13mg/L，石油类0.37mg/L，总碱度18mmol/L,溶解性固体总量205mg/L，氟化物&lt;0.05，硫化物&lt;0.01，阴离子表面活性0.078mg/L，二氧化硅14.7mg/l。无色、清、无味、无油膜。</w:t>
      </w:r>
    </w:p>
    <w:p w14:paraId="43D42A73">
      <w:pPr>
        <w:adjustRightInd w:val="0"/>
        <w:spacing w:line="360" w:lineRule="auto"/>
        <w:textAlignment w:val="baseline"/>
        <w:rPr>
          <w:color w:val="auto"/>
          <w:sz w:val="24"/>
          <w:highlight w:val="none"/>
        </w:rPr>
      </w:pPr>
      <w:r>
        <w:rPr>
          <w:color w:val="auto"/>
          <w:sz w:val="24"/>
          <w:highlight w:val="none"/>
        </w:rPr>
        <w:t>1.2.6</w:t>
      </w:r>
      <w:bookmarkStart w:id="34" w:name="_Toc211304666"/>
      <w:r>
        <w:rPr>
          <w:color w:val="auto"/>
          <w:sz w:val="24"/>
          <w:highlight w:val="none"/>
        </w:rPr>
        <w:t>供脱硫的水源、电源参数</w:t>
      </w:r>
      <w:bookmarkEnd w:id="34"/>
    </w:p>
    <w:p w14:paraId="2A57AF38">
      <w:pPr>
        <w:adjustRightInd w:val="0"/>
        <w:spacing w:line="360" w:lineRule="auto"/>
        <w:jc w:val="center"/>
        <w:textAlignment w:val="baseline"/>
        <w:rPr>
          <w:color w:val="auto"/>
          <w:sz w:val="24"/>
          <w:highlight w:val="none"/>
        </w:rPr>
      </w:pPr>
      <w:r>
        <w:rPr>
          <w:color w:val="auto"/>
          <w:sz w:val="24"/>
          <w:highlight w:val="none"/>
        </w:rPr>
        <w:t>供脱硫岛的水源、电源参数</w:t>
      </w:r>
    </w:p>
    <w:tbl>
      <w:tblPr>
        <w:tblStyle w:val="5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49"/>
        <w:gridCol w:w="5815"/>
      </w:tblGrid>
      <w:tr w14:paraId="4DCEA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49" w:type="dxa"/>
            <w:tcBorders>
              <w:top w:val="single" w:color="auto" w:sz="12" w:space="0"/>
              <w:left w:val="single" w:color="auto" w:sz="12" w:space="0"/>
              <w:bottom w:val="single" w:color="auto" w:sz="6" w:space="0"/>
              <w:right w:val="single" w:color="auto" w:sz="6" w:space="0"/>
            </w:tcBorders>
            <w:noWrap w:val="0"/>
            <w:vAlign w:val="center"/>
          </w:tcPr>
          <w:p w14:paraId="120B4DA1">
            <w:pPr>
              <w:keepNext w:val="0"/>
              <w:keepLines w:val="0"/>
              <w:suppressLineNumbers w:val="0"/>
              <w:spacing w:before="0" w:beforeAutospacing="0" w:after="0" w:afterAutospacing="0"/>
              <w:ind w:left="0" w:right="0"/>
              <w:jc w:val="center"/>
              <w:rPr>
                <w:rFonts w:hint="default" w:ascii="Times New Roman" w:hAnsi="Times New Roman" w:cs="Times New Roman"/>
                <w:b/>
                <w:color w:val="auto"/>
                <w:sz w:val="24"/>
                <w:highlight w:val="none"/>
              </w:rPr>
            </w:pPr>
            <w:r>
              <w:rPr>
                <w:rFonts w:hint="eastAsia" w:ascii="宋体" w:hAnsi="宋体" w:cs="宋体"/>
                <w:b/>
                <w:color w:val="auto"/>
                <w:sz w:val="24"/>
                <w:highlight w:val="none"/>
                <w:lang w:bidi="ar"/>
              </w:rPr>
              <w:t>项目</w:t>
            </w:r>
          </w:p>
        </w:tc>
        <w:tc>
          <w:tcPr>
            <w:tcW w:w="5815" w:type="dxa"/>
            <w:tcBorders>
              <w:top w:val="single" w:color="auto" w:sz="12" w:space="0"/>
              <w:left w:val="single" w:color="auto" w:sz="6" w:space="0"/>
              <w:bottom w:val="single" w:color="auto" w:sz="6" w:space="0"/>
              <w:right w:val="single" w:color="auto" w:sz="12" w:space="0"/>
            </w:tcBorders>
            <w:noWrap w:val="0"/>
            <w:vAlign w:val="center"/>
          </w:tcPr>
          <w:p w14:paraId="591A7B20">
            <w:pPr>
              <w:keepNext w:val="0"/>
              <w:keepLines w:val="0"/>
              <w:suppressLineNumbers w:val="0"/>
              <w:spacing w:before="0" w:beforeAutospacing="0" w:after="0" w:afterAutospacing="0"/>
              <w:ind w:left="0" w:right="0"/>
              <w:jc w:val="center"/>
              <w:rPr>
                <w:rFonts w:hint="default" w:ascii="Times New Roman" w:hAnsi="Times New Roman" w:cs="Times New Roman"/>
                <w:b/>
                <w:color w:val="auto"/>
                <w:sz w:val="24"/>
                <w:highlight w:val="none"/>
              </w:rPr>
            </w:pPr>
            <w:r>
              <w:rPr>
                <w:rFonts w:hint="eastAsia" w:ascii="宋体" w:hAnsi="宋体" w:cs="宋体"/>
                <w:b/>
                <w:color w:val="auto"/>
                <w:sz w:val="24"/>
                <w:highlight w:val="none"/>
                <w:lang w:bidi="ar"/>
              </w:rPr>
              <w:t>参数</w:t>
            </w:r>
          </w:p>
        </w:tc>
      </w:tr>
      <w:tr w14:paraId="3DA0A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49" w:type="dxa"/>
            <w:tcBorders>
              <w:top w:val="single" w:color="auto" w:sz="6" w:space="0"/>
              <w:left w:val="single" w:color="auto" w:sz="12" w:space="0"/>
              <w:bottom w:val="single" w:color="auto" w:sz="6" w:space="0"/>
              <w:right w:val="single" w:color="auto" w:sz="6" w:space="0"/>
            </w:tcBorders>
            <w:noWrap w:val="0"/>
            <w:vAlign w:val="center"/>
          </w:tcPr>
          <w:p w14:paraId="5219EBE7">
            <w:pPr>
              <w:keepNext w:val="0"/>
              <w:keepLines w:val="0"/>
              <w:suppressLineNumbers w:val="0"/>
              <w:adjustRightInd w:val="0"/>
              <w:spacing w:before="0" w:beforeAutospacing="0" w:after="0" w:afterAutospacing="0"/>
              <w:ind w:left="0" w:right="0"/>
              <w:jc w:val="center"/>
              <w:textAlignment w:val="baseline"/>
              <w:rPr>
                <w:rFonts w:hint="default" w:ascii="Times New Roman" w:hAnsi="Times New Roman" w:cs="Times New Roman"/>
                <w:color w:val="auto"/>
                <w:kern w:val="0"/>
                <w:sz w:val="24"/>
                <w:highlight w:val="none"/>
              </w:rPr>
            </w:pPr>
            <w:r>
              <w:rPr>
                <w:rFonts w:hint="eastAsia" w:ascii="宋体" w:hAnsi="宋体" w:cs="宋体"/>
                <w:color w:val="auto"/>
                <w:kern w:val="0"/>
                <w:sz w:val="24"/>
                <w:highlight w:val="none"/>
                <w:lang w:val="en-US" w:eastAsia="zh-CN" w:bidi="ar"/>
              </w:rPr>
              <w:t>超滤及反渗透浓</w:t>
            </w:r>
            <w:r>
              <w:rPr>
                <w:rFonts w:hint="eastAsia" w:ascii="宋体" w:hAnsi="宋体" w:cs="宋体"/>
                <w:color w:val="auto"/>
                <w:kern w:val="0"/>
                <w:sz w:val="24"/>
                <w:highlight w:val="none"/>
                <w:lang w:bidi="ar"/>
              </w:rPr>
              <w:t>压力</w:t>
            </w:r>
          </w:p>
        </w:tc>
        <w:tc>
          <w:tcPr>
            <w:tcW w:w="5815" w:type="dxa"/>
            <w:tcBorders>
              <w:top w:val="single" w:color="auto" w:sz="6" w:space="0"/>
              <w:left w:val="single" w:color="auto" w:sz="6" w:space="0"/>
              <w:bottom w:val="single" w:color="auto" w:sz="6" w:space="0"/>
              <w:right w:val="single" w:color="auto" w:sz="12" w:space="0"/>
            </w:tcBorders>
            <w:noWrap w:val="0"/>
            <w:vAlign w:val="center"/>
          </w:tcPr>
          <w:p w14:paraId="7F3151CA">
            <w:pPr>
              <w:keepNext w:val="0"/>
              <w:keepLines w:val="0"/>
              <w:suppressLineNumbers w:val="0"/>
              <w:adjustRightInd w:val="0"/>
              <w:spacing w:before="0" w:beforeAutospacing="0" w:after="0" w:afterAutospacing="0"/>
              <w:ind w:left="0" w:right="0"/>
              <w:jc w:val="center"/>
              <w:textAlignment w:val="baseline"/>
              <w:rPr>
                <w:rFonts w:hint="eastAsia" w:ascii="Times New Roman" w:hAnsi="Times New Roman" w:eastAsia="宋体" w:cs="Times New Roman"/>
                <w:color w:val="auto"/>
                <w:kern w:val="0"/>
                <w:sz w:val="24"/>
                <w:highlight w:val="none"/>
                <w:lang w:eastAsia="zh-CN"/>
              </w:rPr>
            </w:pPr>
            <w:r>
              <w:rPr>
                <w:rFonts w:hint="eastAsia" w:ascii="Times New Roman" w:hAnsi="Times New Roman" w:cs="Times New Roman"/>
                <w:color w:val="auto"/>
                <w:kern w:val="0"/>
                <w:sz w:val="24"/>
                <w:highlight w:val="none"/>
                <w:lang w:val="en-US" w:eastAsia="zh-CN" w:bidi="ar"/>
              </w:rPr>
              <w:t>0.3-</w:t>
            </w:r>
            <w:r>
              <w:rPr>
                <w:rFonts w:hint="default" w:ascii="Times New Roman" w:hAnsi="Times New Roman" w:cs="Times New Roman"/>
                <w:color w:val="auto"/>
                <w:kern w:val="0"/>
                <w:sz w:val="24"/>
                <w:highlight w:val="none"/>
                <w:lang w:bidi="ar"/>
              </w:rPr>
              <w:t>0.</w:t>
            </w:r>
            <w:r>
              <w:rPr>
                <w:rFonts w:hint="eastAsia" w:ascii="Times New Roman" w:hAnsi="Times New Roman" w:cs="Times New Roman"/>
                <w:color w:val="auto"/>
                <w:kern w:val="0"/>
                <w:sz w:val="24"/>
                <w:highlight w:val="none"/>
                <w:lang w:bidi="ar"/>
              </w:rPr>
              <w:t>5</w:t>
            </w:r>
            <w:r>
              <w:rPr>
                <w:rFonts w:hint="eastAsia" w:ascii="宋体" w:hAnsi="宋体" w:eastAsia="宋体" w:cs="宋体"/>
                <w:color w:val="auto"/>
                <w:kern w:val="0"/>
                <w:sz w:val="24"/>
                <w:highlight w:val="none"/>
                <w:lang w:bidi="ar"/>
              </w:rPr>
              <w:t>MPa</w:t>
            </w:r>
            <w:r>
              <w:rPr>
                <w:rFonts w:hint="eastAsia" w:ascii="Times New Roman" w:hAnsi="Times New Roman" w:cs="Times New Roman"/>
                <w:color w:val="auto"/>
                <w:kern w:val="0"/>
                <w:sz w:val="24"/>
                <w:highlight w:val="none"/>
                <w:lang w:eastAsia="zh-CN" w:bidi="ar"/>
              </w:rPr>
              <w:t>（</w:t>
            </w:r>
            <w:r>
              <w:rPr>
                <w:rFonts w:hint="eastAsia" w:ascii="Times New Roman" w:hAnsi="Times New Roman" w:cs="Times New Roman"/>
                <w:color w:val="auto"/>
                <w:kern w:val="0"/>
                <w:sz w:val="24"/>
                <w:highlight w:val="none"/>
                <w:lang w:val="en-US" w:eastAsia="zh-CN" w:bidi="ar"/>
              </w:rPr>
              <w:t>待设计确定</w:t>
            </w:r>
            <w:r>
              <w:rPr>
                <w:rFonts w:hint="eastAsia" w:ascii="Times New Roman" w:hAnsi="Times New Roman" w:cs="Times New Roman"/>
                <w:color w:val="auto"/>
                <w:kern w:val="0"/>
                <w:sz w:val="24"/>
                <w:highlight w:val="none"/>
                <w:lang w:eastAsia="zh-CN" w:bidi="ar"/>
              </w:rPr>
              <w:t>）</w:t>
            </w:r>
          </w:p>
        </w:tc>
      </w:tr>
      <w:tr w14:paraId="10EFD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49" w:type="dxa"/>
            <w:tcBorders>
              <w:top w:val="single" w:color="auto" w:sz="6" w:space="0"/>
              <w:left w:val="single" w:color="auto" w:sz="12" w:space="0"/>
              <w:bottom w:val="single" w:color="auto" w:sz="6" w:space="0"/>
              <w:right w:val="single" w:color="auto" w:sz="6" w:space="0"/>
            </w:tcBorders>
            <w:shd w:val="clear" w:color="auto" w:fill="FFFFFF"/>
            <w:noWrap w:val="0"/>
            <w:vAlign w:val="center"/>
          </w:tcPr>
          <w:p w14:paraId="2F5AA439">
            <w:pPr>
              <w:keepNext w:val="0"/>
              <w:keepLines w:val="0"/>
              <w:suppressLineNumbers w:val="0"/>
              <w:adjustRightInd w:val="0"/>
              <w:spacing w:before="0" w:beforeAutospacing="0" w:after="0" w:afterAutospacing="0"/>
              <w:ind w:left="0" w:right="0"/>
              <w:jc w:val="center"/>
              <w:textAlignment w:val="baseline"/>
              <w:rPr>
                <w:rFonts w:hint="eastAsia" w:ascii="宋体" w:hAnsi="宋体" w:eastAsia="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除盐水压力</w:t>
            </w:r>
          </w:p>
        </w:tc>
        <w:tc>
          <w:tcPr>
            <w:tcW w:w="5815" w:type="dxa"/>
            <w:tcBorders>
              <w:top w:val="single" w:color="auto" w:sz="6" w:space="0"/>
              <w:left w:val="single" w:color="auto" w:sz="6" w:space="0"/>
              <w:bottom w:val="single" w:color="auto" w:sz="6" w:space="0"/>
              <w:right w:val="single" w:color="auto" w:sz="12" w:space="0"/>
            </w:tcBorders>
            <w:shd w:val="clear" w:color="auto" w:fill="FFFFFF"/>
            <w:noWrap w:val="0"/>
            <w:vAlign w:val="center"/>
          </w:tcPr>
          <w:p w14:paraId="4693FD83">
            <w:pPr>
              <w:keepNext w:val="0"/>
              <w:keepLines w:val="0"/>
              <w:suppressLineNumbers w:val="0"/>
              <w:adjustRightInd w:val="0"/>
              <w:spacing w:before="0" w:beforeAutospacing="0" w:after="0" w:afterAutospacing="0"/>
              <w:ind w:left="0" w:right="0" w:firstLine="0" w:firstLineChars="0"/>
              <w:jc w:val="center"/>
              <w:textAlignment w:val="baseline"/>
              <w:rPr>
                <w:rFonts w:hint="eastAsia" w:ascii="宋体" w:hAnsi="宋体" w:eastAsia="宋体" w:cs="宋体"/>
                <w:color w:val="auto"/>
                <w:kern w:val="0"/>
                <w:sz w:val="24"/>
                <w:highlight w:val="none"/>
                <w:lang w:val="en-US" w:eastAsia="zh-CN" w:bidi="ar"/>
              </w:rPr>
            </w:pPr>
            <w:r>
              <w:rPr>
                <w:rFonts w:hint="eastAsia" w:ascii="宋体" w:hAnsi="宋体" w:cs="宋体"/>
                <w:color w:val="auto"/>
                <w:kern w:val="0"/>
                <w:sz w:val="24"/>
                <w:highlight w:val="none"/>
                <w:lang w:val="en-US" w:eastAsia="zh-CN" w:bidi="ar"/>
              </w:rPr>
              <w:t>0.5</w:t>
            </w:r>
            <w:r>
              <w:rPr>
                <w:rFonts w:hint="eastAsia" w:ascii="宋体" w:hAnsi="宋体" w:cs="宋体"/>
                <w:color w:val="auto"/>
                <w:kern w:val="0"/>
                <w:sz w:val="24"/>
                <w:highlight w:val="none"/>
                <w:lang w:bidi="ar"/>
              </w:rPr>
              <w:t>MPa</w:t>
            </w:r>
          </w:p>
        </w:tc>
      </w:tr>
      <w:tr w14:paraId="0EEC40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49" w:type="dxa"/>
            <w:tcBorders>
              <w:top w:val="single" w:color="auto" w:sz="6" w:space="0"/>
              <w:left w:val="single" w:color="auto" w:sz="12" w:space="0"/>
              <w:bottom w:val="single" w:color="auto" w:sz="6" w:space="0"/>
              <w:right w:val="single" w:color="auto" w:sz="6" w:space="0"/>
            </w:tcBorders>
            <w:shd w:val="clear" w:color="auto" w:fill="FFFFFF"/>
            <w:noWrap w:val="0"/>
            <w:vAlign w:val="center"/>
          </w:tcPr>
          <w:p w14:paraId="4C1B1498">
            <w:pPr>
              <w:keepNext w:val="0"/>
              <w:keepLines w:val="0"/>
              <w:suppressLineNumbers w:val="0"/>
              <w:adjustRightInd w:val="0"/>
              <w:spacing w:before="0" w:beforeAutospacing="0" w:after="0" w:afterAutospacing="0"/>
              <w:ind w:left="0" w:right="0"/>
              <w:jc w:val="center"/>
              <w:textAlignment w:val="baseline"/>
              <w:rPr>
                <w:rFonts w:hint="default" w:ascii="宋体" w:hAnsi="宋体" w:cs="宋体"/>
                <w:color w:val="auto"/>
                <w:kern w:val="0"/>
                <w:sz w:val="24"/>
                <w:szCs w:val="24"/>
                <w:highlight w:val="none"/>
                <w:lang w:val="en-US" w:eastAsia="zh-CN" w:bidi="ar"/>
              </w:rPr>
            </w:pPr>
            <w:r>
              <w:rPr>
                <w:rFonts w:hint="eastAsia" w:ascii="宋体" w:hAnsi="宋体" w:cs="宋体"/>
                <w:color w:val="auto"/>
                <w:kern w:val="0"/>
                <w:sz w:val="24"/>
                <w:highlight w:val="none"/>
                <w:lang w:bidi="ar"/>
              </w:rPr>
              <w:t>低压交流</w:t>
            </w:r>
          </w:p>
        </w:tc>
        <w:tc>
          <w:tcPr>
            <w:tcW w:w="5815" w:type="dxa"/>
            <w:tcBorders>
              <w:top w:val="single" w:color="auto" w:sz="6" w:space="0"/>
              <w:left w:val="single" w:color="auto" w:sz="6" w:space="0"/>
              <w:bottom w:val="single" w:color="auto" w:sz="6" w:space="0"/>
              <w:right w:val="single" w:color="auto" w:sz="12" w:space="0"/>
            </w:tcBorders>
            <w:shd w:val="clear" w:color="auto" w:fill="FFFFFF"/>
            <w:noWrap w:val="0"/>
            <w:vAlign w:val="center"/>
          </w:tcPr>
          <w:p w14:paraId="57624B77">
            <w:pPr>
              <w:keepNext w:val="0"/>
              <w:keepLines w:val="0"/>
              <w:suppressLineNumbers w:val="0"/>
              <w:adjustRightInd w:val="0"/>
              <w:spacing w:before="0" w:beforeAutospacing="0" w:after="0" w:afterAutospacing="0"/>
              <w:ind w:left="0" w:right="0" w:firstLine="0" w:firstLineChars="0"/>
              <w:jc w:val="center"/>
              <w:textAlignment w:val="baseline"/>
              <w:rPr>
                <w:rFonts w:hint="default" w:ascii="宋体" w:hAnsi="宋体" w:cs="宋体"/>
                <w:color w:val="auto"/>
                <w:kern w:val="0"/>
                <w:sz w:val="24"/>
                <w:szCs w:val="24"/>
                <w:highlight w:val="none"/>
                <w:lang w:val="en-US" w:eastAsia="zh-CN" w:bidi="ar"/>
              </w:rPr>
            </w:pPr>
            <w:r>
              <w:rPr>
                <w:rFonts w:hint="eastAsia" w:ascii="宋体" w:hAnsi="宋体" w:cs="宋体"/>
                <w:color w:val="auto"/>
                <w:kern w:val="0"/>
                <w:sz w:val="24"/>
                <w:highlight w:val="none"/>
                <w:lang w:bidi="ar"/>
              </w:rPr>
              <w:t>220/380V</w:t>
            </w:r>
          </w:p>
        </w:tc>
      </w:tr>
      <w:tr w14:paraId="51178D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49" w:type="dxa"/>
            <w:tcBorders>
              <w:top w:val="single" w:color="auto" w:sz="6" w:space="0"/>
              <w:left w:val="single" w:color="auto" w:sz="12" w:space="0"/>
              <w:bottom w:val="single" w:color="auto" w:sz="12" w:space="0"/>
              <w:right w:val="single" w:color="auto" w:sz="6" w:space="0"/>
            </w:tcBorders>
            <w:shd w:val="clear" w:color="auto" w:fill="FFFFFF"/>
            <w:noWrap w:val="0"/>
            <w:vAlign w:val="center"/>
          </w:tcPr>
          <w:p w14:paraId="4F597BDF">
            <w:pPr>
              <w:keepNext w:val="0"/>
              <w:keepLines w:val="0"/>
              <w:suppressLineNumbers w:val="0"/>
              <w:adjustRightInd w:val="0"/>
              <w:spacing w:before="0" w:beforeAutospacing="0" w:after="0" w:afterAutospacing="0"/>
              <w:ind w:left="0" w:right="0"/>
              <w:jc w:val="center"/>
              <w:textAlignment w:val="baseline"/>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highlight w:val="none"/>
                <w:lang w:val="en-US" w:eastAsia="zh-CN" w:bidi="ar"/>
              </w:rPr>
              <w:t>高压交流</w:t>
            </w:r>
          </w:p>
        </w:tc>
        <w:tc>
          <w:tcPr>
            <w:tcW w:w="5815" w:type="dxa"/>
            <w:tcBorders>
              <w:top w:val="single" w:color="auto" w:sz="6" w:space="0"/>
              <w:left w:val="single" w:color="auto" w:sz="6" w:space="0"/>
              <w:bottom w:val="single" w:color="auto" w:sz="12" w:space="0"/>
              <w:right w:val="single" w:color="auto" w:sz="12" w:space="0"/>
            </w:tcBorders>
            <w:shd w:val="clear" w:color="auto" w:fill="FFFFFF"/>
            <w:noWrap w:val="0"/>
            <w:vAlign w:val="center"/>
          </w:tcPr>
          <w:p w14:paraId="385627DF">
            <w:pPr>
              <w:keepNext w:val="0"/>
              <w:keepLines w:val="0"/>
              <w:suppressLineNumbers w:val="0"/>
              <w:adjustRightInd w:val="0"/>
              <w:spacing w:before="0" w:beforeAutospacing="0" w:after="0" w:afterAutospacing="0"/>
              <w:ind w:left="0" w:right="0" w:firstLine="0" w:firstLineChars="0"/>
              <w:jc w:val="center"/>
              <w:textAlignment w:val="baseline"/>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highlight w:val="none"/>
                <w:lang w:val="en-US" w:eastAsia="zh-CN" w:bidi="ar"/>
              </w:rPr>
              <w:t>10kV</w:t>
            </w:r>
          </w:p>
        </w:tc>
      </w:tr>
    </w:tbl>
    <w:p w14:paraId="53CB8537">
      <w:pPr>
        <w:spacing w:line="360" w:lineRule="auto"/>
        <w:outlineLvl w:val="2"/>
        <w:rPr>
          <w:b/>
          <w:color w:val="auto"/>
          <w:sz w:val="24"/>
          <w:highlight w:val="none"/>
        </w:rPr>
      </w:pPr>
      <w:bookmarkStart w:id="35" w:name="_Toc4243612"/>
      <w:bookmarkStart w:id="36" w:name="_Toc482189916"/>
    </w:p>
    <w:p w14:paraId="21C16364">
      <w:pPr>
        <w:spacing w:line="360" w:lineRule="auto"/>
        <w:outlineLvl w:val="2"/>
        <w:rPr>
          <w:b/>
          <w:color w:val="auto"/>
          <w:sz w:val="24"/>
          <w:highlight w:val="none"/>
        </w:rPr>
      </w:pPr>
      <w:r>
        <w:rPr>
          <w:b/>
          <w:color w:val="auto"/>
          <w:sz w:val="24"/>
          <w:highlight w:val="none"/>
        </w:rPr>
        <w:t>1.3 标准和规范</w:t>
      </w:r>
      <w:bookmarkEnd w:id="35"/>
      <w:bookmarkEnd w:id="36"/>
    </w:p>
    <w:p w14:paraId="3477EC49">
      <w:pPr>
        <w:adjustRightInd w:val="0"/>
        <w:snapToGrid w:val="0"/>
        <w:spacing w:line="360" w:lineRule="auto"/>
        <w:ind w:firstLine="480" w:firstLineChars="200"/>
        <w:rPr>
          <w:color w:val="auto"/>
          <w:sz w:val="24"/>
          <w:highlight w:val="none"/>
        </w:rPr>
      </w:pPr>
      <w:r>
        <w:rPr>
          <w:color w:val="auto"/>
          <w:sz w:val="24"/>
          <w:highlight w:val="none"/>
        </w:rPr>
        <w:t>脱硫的设计、采购、性能考核验收、设备消缺、培训等应符合相关的中国法律及规范、以及最新版的ISO和IEC标准。对于标准的采用应符合下述原则：</w:t>
      </w:r>
    </w:p>
    <w:p w14:paraId="7FDEA9A5">
      <w:pPr>
        <w:adjustRightInd w:val="0"/>
        <w:snapToGrid w:val="0"/>
        <w:spacing w:line="360" w:lineRule="auto"/>
        <w:ind w:firstLine="480" w:firstLineChars="200"/>
        <w:rPr>
          <w:color w:val="auto"/>
          <w:sz w:val="24"/>
          <w:highlight w:val="none"/>
        </w:rPr>
      </w:pPr>
      <w:r>
        <w:rPr>
          <w:color w:val="auto"/>
          <w:sz w:val="24"/>
          <w:highlight w:val="none"/>
        </w:rPr>
        <w:t>首先应符合中国国家标准及部颁标准、规程规定；</w:t>
      </w:r>
    </w:p>
    <w:p w14:paraId="5E7B4AFB">
      <w:pPr>
        <w:adjustRightInd w:val="0"/>
        <w:snapToGrid w:val="0"/>
        <w:spacing w:line="360" w:lineRule="auto"/>
        <w:ind w:firstLine="480" w:firstLineChars="200"/>
        <w:rPr>
          <w:color w:val="auto"/>
          <w:sz w:val="24"/>
          <w:highlight w:val="none"/>
        </w:rPr>
      </w:pPr>
      <w:r>
        <w:rPr>
          <w:color w:val="auto"/>
          <w:sz w:val="24"/>
          <w:highlight w:val="none"/>
        </w:rPr>
        <w:t>上述标准中未包含的部分采用技术来源国标准或国际通用标准；</w:t>
      </w:r>
    </w:p>
    <w:p w14:paraId="4008F8F3">
      <w:pPr>
        <w:adjustRightInd w:val="0"/>
        <w:snapToGrid w:val="0"/>
        <w:spacing w:line="360" w:lineRule="auto"/>
        <w:ind w:firstLine="480" w:firstLineChars="200"/>
        <w:rPr>
          <w:color w:val="auto"/>
          <w:sz w:val="24"/>
          <w:highlight w:val="none"/>
        </w:rPr>
      </w:pPr>
      <w:r>
        <w:rPr>
          <w:color w:val="auto"/>
          <w:sz w:val="24"/>
          <w:highlight w:val="none"/>
        </w:rPr>
        <w:t>如上述标准均不适用，由</w:t>
      </w:r>
      <w:r>
        <w:rPr>
          <w:rFonts w:hint="eastAsia"/>
          <w:color w:val="auto"/>
          <w:sz w:val="24"/>
          <w:highlight w:val="none"/>
          <w:lang w:eastAsia="zh-CN"/>
        </w:rPr>
        <w:t>招标方</w:t>
      </w:r>
      <w:r>
        <w:rPr>
          <w:color w:val="auto"/>
          <w:sz w:val="24"/>
          <w:highlight w:val="none"/>
        </w:rPr>
        <w:t>和</w:t>
      </w:r>
      <w:r>
        <w:rPr>
          <w:rFonts w:hint="eastAsia"/>
          <w:color w:val="auto"/>
          <w:sz w:val="24"/>
          <w:highlight w:val="none"/>
          <w:lang w:eastAsia="zh-CN"/>
        </w:rPr>
        <w:t>投标方</w:t>
      </w:r>
      <w:r>
        <w:rPr>
          <w:color w:val="auto"/>
          <w:sz w:val="24"/>
          <w:highlight w:val="none"/>
        </w:rPr>
        <w:t>讨论并确定；</w:t>
      </w:r>
    </w:p>
    <w:p w14:paraId="3F0BC207">
      <w:pPr>
        <w:adjustRightInd w:val="0"/>
        <w:snapToGrid w:val="0"/>
        <w:spacing w:line="360" w:lineRule="auto"/>
        <w:ind w:firstLine="480" w:firstLineChars="200"/>
        <w:rPr>
          <w:color w:val="auto"/>
          <w:sz w:val="24"/>
          <w:highlight w:val="none"/>
        </w:rPr>
      </w:pPr>
      <w:r>
        <w:rPr>
          <w:color w:val="auto"/>
          <w:sz w:val="24"/>
          <w:highlight w:val="none"/>
        </w:rPr>
        <w:t>工程联系文件、技术资料、图纸、计算、仪表刻度和文件中的计量单位应为国际计量单位(SI)制。</w:t>
      </w:r>
    </w:p>
    <w:p w14:paraId="6AC4D164">
      <w:pPr>
        <w:pStyle w:val="121"/>
        <w:spacing w:line="360" w:lineRule="auto"/>
        <w:ind w:firstLine="480" w:firstLineChars="200"/>
        <w:rPr>
          <w:rFonts w:ascii="Times New Roman"/>
          <w:color w:val="auto"/>
          <w:kern w:val="2"/>
          <w:sz w:val="24"/>
          <w:highlight w:val="none"/>
        </w:rPr>
      </w:pPr>
      <w:r>
        <w:rPr>
          <w:rFonts w:ascii="Times New Roman"/>
          <w:color w:val="auto"/>
          <w:sz w:val="24"/>
          <w:highlight w:val="none"/>
        </w:rPr>
        <w:t>编码深度应使标识的“电厂元素”具有唯一性，并在图纸、工程文件或设备清册上清楚标识。</w:t>
      </w:r>
      <w:r>
        <w:rPr>
          <w:rFonts w:ascii="Times New Roman"/>
          <w:color w:val="auto"/>
          <w:kern w:val="2"/>
          <w:sz w:val="24"/>
          <w:highlight w:val="none"/>
        </w:rPr>
        <w:t>深度至少达到以下要求：</w:t>
      </w:r>
    </w:p>
    <w:p w14:paraId="67C4A22E">
      <w:pPr>
        <w:pStyle w:val="121"/>
        <w:spacing w:line="360" w:lineRule="auto"/>
        <w:ind w:firstLine="480"/>
        <w:rPr>
          <w:rFonts w:ascii="Times New Roman"/>
          <w:color w:val="auto"/>
          <w:kern w:val="2"/>
          <w:sz w:val="24"/>
          <w:highlight w:val="none"/>
        </w:rPr>
      </w:pPr>
      <w:r>
        <w:rPr>
          <w:rFonts w:ascii="Times New Roman"/>
          <w:color w:val="auto"/>
          <w:kern w:val="2"/>
          <w:sz w:val="24"/>
          <w:highlight w:val="none"/>
        </w:rPr>
        <w:t>工艺：工艺系统流程图上应标识设备、管道、阀门、滤网、流量测量装置等设备的编码，在流程图上。设备安装图上应标识到设备单元级或部件级。</w:t>
      </w:r>
    </w:p>
    <w:p w14:paraId="31978BE5">
      <w:pPr>
        <w:pStyle w:val="121"/>
        <w:spacing w:line="360" w:lineRule="auto"/>
        <w:ind w:firstLine="480"/>
        <w:rPr>
          <w:rFonts w:ascii="Times New Roman"/>
          <w:color w:val="auto"/>
          <w:kern w:val="2"/>
          <w:sz w:val="24"/>
          <w:highlight w:val="none"/>
        </w:rPr>
      </w:pPr>
      <w:r>
        <w:rPr>
          <w:rFonts w:ascii="Times New Roman"/>
          <w:color w:val="auto"/>
          <w:kern w:val="2"/>
          <w:sz w:val="24"/>
          <w:highlight w:val="none"/>
        </w:rPr>
        <w:t>电气专业：电气一次专业标识所有电气设备和开关柜（箱）及抽屉；电气二次专业应标识所有盘柜及端子箱。</w:t>
      </w:r>
    </w:p>
    <w:p w14:paraId="1E36515D">
      <w:pPr>
        <w:pStyle w:val="121"/>
        <w:spacing w:line="360" w:lineRule="auto"/>
        <w:ind w:firstLine="480"/>
        <w:rPr>
          <w:rFonts w:ascii="Times New Roman"/>
          <w:color w:val="auto"/>
          <w:sz w:val="24"/>
          <w:szCs w:val="24"/>
          <w:highlight w:val="none"/>
        </w:rPr>
      </w:pPr>
      <w:r>
        <w:rPr>
          <w:rFonts w:ascii="Times New Roman"/>
          <w:color w:val="auto"/>
          <w:sz w:val="24"/>
          <w:szCs w:val="24"/>
          <w:highlight w:val="none"/>
        </w:rPr>
        <w:t>仪控：编制深度原则上为作为“黑匣子”部分以外的信号及功能应编码。P&amp;ID图标识所有设备，仪表、阀门均有编码，布置图上应标识所有控制盘、控制台、就地控制柜、接线盒箱的编码。电缆接线图上应标识电缆起终点设备编码、机柜、端子、接线盒、保温箱及电缆的编码；接线图上应标识卡件及出线电缆的编码。</w:t>
      </w:r>
    </w:p>
    <w:p w14:paraId="64642AAD">
      <w:pPr>
        <w:pStyle w:val="121"/>
        <w:spacing w:line="360" w:lineRule="auto"/>
        <w:ind w:firstLine="480"/>
        <w:rPr>
          <w:rFonts w:ascii="Times New Roman"/>
          <w:color w:val="auto"/>
          <w:highlight w:val="none"/>
        </w:rPr>
      </w:pPr>
      <w:r>
        <w:rPr>
          <w:rFonts w:ascii="Times New Roman"/>
          <w:color w:val="auto"/>
          <w:kern w:val="44"/>
          <w:sz w:val="24"/>
          <w:highlight w:val="none"/>
        </w:rPr>
        <w:t>土建：总图上应标识建（构）筑物的编码</w:t>
      </w:r>
      <w:r>
        <w:rPr>
          <w:rFonts w:hint="eastAsia" w:ascii="Times New Roman"/>
          <w:color w:val="auto"/>
          <w:kern w:val="44"/>
          <w:sz w:val="24"/>
          <w:highlight w:val="none"/>
          <w:lang w:eastAsia="zh-CN"/>
        </w:rPr>
        <w:t>，</w:t>
      </w:r>
      <w:r>
        <w:rPr>
          <w:rFonts w:ascii="Times New Roman"/>
          <w:color w:val="auto"/>
          <w:kern w:val="44"/>
          <w:sz w:val="24"/>
          <w:highlight w:val="none"/>
        </w:rPr>
        <w:t>建（构）筑物应编码到房间。</w:t>
      </w:r>
    </w:p>
    <w:p w14:paraId="3EB86EE9">
      <w:pPr>
        <w:pStyle w:val="121"/>
        <w:spacing w:line="360" w:lineRule="auto"/>
        <w:ind w:firstLine="480"/>
        <w:rPr>
          <w:rFonts w:ascii="Times New Roman"/>
          <w:color w:val="auto"/>
          <w:sz w:val="24"/>
          <w:szCs w:val="24"/>
          <w:highlight w:val="none"/>
        </w:rPr>
      </w:pPr>
      <w:r>
        <w:rPr>
          <w:rFonts w:ascii="Times New Roman"/>
          <w:color w:val="auto"/>
          <w:sz w:val="24"/>
          <w:szCs w:val="24"/>
          <w:highlight w:val="none"/>
        </w:rPr>
        <w:t>编码原则由</w:t>
      </w:r>
      <w:r>
        <w:rPr>
          <w:rFonts w:hint="eastAsia" w:ascii="Times New Roman"/>
          <w:color w:val="auto"/>
          <w:sz w:val="24"/>
          <w:szCs w:val="24"/>
          <w:highlight w:val="none"/>
          <w:lang w:eastAsia="zh-CN"/>
        </w:rPr>
        <w:t>招标方</w:t>
      </w:r>
      <w:r>
        <w:rPr>
          <w:rFonts w:ascii="Times New Roman"/>
          <w:color w:val="auto"/>
          <w:sz w:val="24"/>
          <w:szCs w:val="24"/>
          <w:highlight w:val="none"/>
        </w:rPr>
        <w:t>提出，具体标识由</w:t>
      </w:r>
      <w:r>
        <w:rPr>
          <w:rFonts w:hint="eastAsia" w:ascii="Times New Roman"/>
          <w:color w:val="auto"/>
          <w:sz w:val="24"/>
          <w:szCs w:val="24"/>
          <w:highlight w:val="none"/>
          <w:lang w:eastAsia="zh-CN"/>
        </w:rPr>
        <w:t>投标方</w:t>
      </w:r>
      <w:r>
        <w:rPr>
          <w:rFonts w:ascii="Times New Roman"/>
          <w:color w:val="auto"/>
          <w:sz w:val="24"/>
          <w:szCs w:val="24"/>
          <w:highlight w:val="none"/>
        </w:rPr>
        <w:t>编制。编码使用规范及含编码的设备信息样表由</w:t>
      </w:r>
      <w:r>
        <w:rPr>
          <w:rFonts w:hint="eastAsia" w:ascii="Times New Roman"/>
          <w:color w:val="auto"/>
          <w:sz w:val="24"/>
          <w:szCs w:val="24"/>
          <w:highlight w:val="none"/>
          <w:lang w:eastAsia="zh-CN"/>
        </w:rPr>
        <w:t>招标方</w:t>
      </w:r>
      <w:r>
        <w:rPr>
          <w:rFonts w:ascii="Times New Roman"/>
          <w:color w:val="auto"/>
          <w:sz w:val="24"/>
          <w:szCs w:val="24"/>
          <w:highlight w:val="none"/>
        </w:rPr>
        <w:t>提供。</w:t>
      </w:r>
    </w:p>
    <w:p w14:paraId="4776A702">
      <w:pPr>
        <w:adjustRightInd w:val="0"/>
        <w:snapToGrid w:val="0"/>
        <w:spacing w:line="360" w:lineRule="auto"/>
        <w:ind w:firstLine="480" w:firstLineChars="200"/>
        <w:rPr>
          <w:color w:val="auto"/>
          <w:sz w:val="24"/>
          <w:highlight w:val="none"/>
        </w:rPr>
      </w:pPr>
      <w:r>
        <w:rPr>
          <w:color w:val="auto"/>
          <w:sz w:val="24"/>
          <w:highlight w:val="none"/>
        </w:rPr>
        <w:t>工程中的工作语言为中文，所有的文件、图纸均应用中文进行编写。</w:t>
      </w:r>
    </w:p>
    <w:p w14:paraId="7B953A5F">
      <w:pPr>
        <w:tabs>
          <w:tab w:val="left" w:pos="580"/>
        </w:tabs>
        <w:snapToGrid w:val="0"/>
        <w:spacing w:line="360" w:lineRule="auto"/>
        <w:rPr>
          <w:snapToGrid w:val="0"/>
          <w:color w:val="auto"/>
          <w:sz w:val="24"/>
          <w:highlight w:val="none"/>
        </w:rPr>
      </w:pPr>
      <w:r>
        <w:rPr>
          <w:snapToGrid w:val="0"/>
          <w:color w:val="auto"/>
          <w:sz w:val="24"/>
          <w:highlight w:val="none"/>
        </w:rPr>
        <w:t>1.3.1本工程脱硫执行的规范和标准如下，但不限于此：</w:t>
      </w:r>
    </w:p>
    <w:p w14:paraId="31C73A7A">
      <w:pPr>
        <w:adjustRightInd w:val="0"/>
        <w:snapToGrid w:val="0"/>
        <w:spacing w:line="360" w:lineRule="auto"/>
        <w:rPr>
          <w:snapToGrid w:val="0"/>
          <w:color w:val="auto"/>
          <w:sz w:val="24"/>
          <w:highlight w:val="none"/>
        </w:rPr>
      </w:pPr>
      <w:r>
        <w:rPr>
          <w:snapToGrid w:val="0"/>
          <w:color w:val="auto"/>
          <w:sz w:val="24"/>
          <w:highlight w:val="none"/>
        </w:rPr>
        <w:t>（以下所列标准与分项标准有矛盾时按较高标准执行）</w:t>
      </w:r>
    </w:p>
    <w:p w14:paraId="3549D7A9">
      <w:pPr>
        <w:spacing w:line="360" w:lineRule="auto"/>
        <w:ind w:firstLine="480" w:firstLineChars="200"/>
        <w:rPr>
          <w:snapToGrid w:val="0"/>
          <w:color w:val="auto"/>
          <w:sz w:val="24"/>
          <w:highlight w:val="none"/>
        </w:rPr>
      </w:pPr>
      <w:r>
        <w:rPr>
          <w:color w:val="auto"/>
          <w:sz w:val="24"/>
          <w:highlight w:val="none"/>
        </w:rPr>
        <w:t>DL/T5196       《火力发电厂石灰石-石膏湿法烟气脱硫系统设计规程》</w:t>
      </w:r>
    </w:p>
    <w:p w14:paraId="2B370ABD">
      <w:pPr>
        <w:spacing w:line="360" w:lineRule="auto"/>
        <w:ind w:firstLine="480" w:firstLineChars="200"/>
        <w:rPr>
          <w:color w:val="auto"/>
          <w:sz w:val="24"/>
          <w:highlight w:val="none"/>
        </w:rPr>
      </w:pPr>
      <w:r>
        <w:rPr>
          <w:color w:val="auto"/>
          <w:sz w:val="24"/>
          <w:highlight w:val="none"/>
        </w:rPr>
        <w:t>HJ/T 179        《火电厂烟气脱硫工程技术规范（石灰石/石灰－石膏法）》</w:t>
      </w:r>
    </w:p>
    <w:p w14:paraId="6C6DFA20">
      <w:pPr>
        <w:spacing w:line="360" w:lineRule="auto"/>
        <w:ind w:firstLine="480" w:firstLineChars="200"/>
        <w:rPr>
          <w:color w:val="auto"/>
          <w:sz w:val="24"/>
          <w:highlight w:val="none"/>
        </w:rPr>
      </w:pPr>
      <w:r>
        <w:rPr>
          <w:color w:val="auto"/>
          <w:sz w:val="24"/>
          <w:highlight w:val="none"/>
        </w:rPr>
        <w:t xml:space="preserve">DL/T586       </w:t>
      </w:r>
      <w:r>
        <w:rPr>
          <w:color w:val="auto"/>
          <w:highlight w:val="none"/>
        </w:rPr>
        <w:fldChar w:fldCharType="begin"/>
      </w:r>
      <w:r>
        <w:rPr>
          <w:color w:val="auto"/>
          <w:highlight w:val="none"/>
        </w:rPr>
        <w:instrText xml:space="preserve">HYPERLINK "http://book.360buy.com/10492114.html" \t "_blank"</w:instrText>
      </w:r>
      <w:r>
        <w:rPr>
          <w:color w:val="auto"/>
          <w:highlight w:val="none"/>
        </w:rPr>
        <w:fldChar w:fldCharType="separate"/>
      </w:r>
      <w:r>
        <w:rPr>
          <w:color w:val="auto"/>
          <w:sz w:val="24"/>
          <w:highlight w:val="none"/>
        </w:rPr>
        <w:t>《电力设备监造技术导则》</w:t>
      </w:r>
      <w:r>
        <w:rPr>
          <w:color w:val="auto"/>
          <w:highlight w:val="none"/>
        </w:rPr>
        <w:fldChar w:fldCharType="end"/>
      </w:r>
    </w:p>
    <w:p w14:paraId="3D39E784">
      <w:pPr>
        <w:spacing w:line="360" w:lineRule="auto"/>
        <w:ind w:firstLine="480" w:firstLineChars="200"/>
        <w:rPr>
          <w:color w:val="auto"/>
          <w:sz w:val="24"/>
          <w:highlight w:val="none"/>
        </w:rPr>
      </w:pPr>
      <w:r>
        <w:rPr>
          <w:color w:val="auto"/>
          <w:sz w:val="24"/>
          <w:highlight w:val="none"/>
        </w:rPr>
        <w:t>DL5028        《电力工程制图标准》</w:t>
      </w:r>
    </w:p>
    <w:p w14:paraId="33B7D74F">
      <w:pPr>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 xml:space="preserve">GB50049       </w:t>
      </w:r>
      <w:r>
        <w:rPr>
          <w:color w:val="auto"/>
          <w:sz w:val="24"/>
          <w:highlight w:val="none"/>
        </w:rPr>
        <w:t>《</w:t>
      </w:r>
      <w:r>
        <w:rPr>
          <w:rFonts w:hint="eastAsia"/>
          <w:color w:val="auto"/>
          <w:sz w:val="24"/>
          <w:highlight w:val="none"/>
          <w:lang w:val="en-US" w:eastAsia="zh-CN"/>
        </w:rPr>
        <w:t>小型火力发电厂设计规范</w:t>
      </w:r>
      <w:r>
        <w:rPr>
          <w:color w:val="auto"/>
          <w:sz w:val="24"/>
          <w:highlight w:val="none"/>
        </w:rPr>
        <w:t>》</w:t>
      </w:r>
    </w:p>
    <w:p w14:paraId="45F0CBF3">
      <w:pPr>
        <w:spacing w:line="360" w:lineRule="auto"/>
        <w:ind w:firstLine="480" w:firstLineChars="200"/>
        <w:rPr>
          <w:color w:val="auto"/>
          <w:sz w:val="24"/>
          <w:highlight w:val="none"/>
        </w:rPr>
      </w:pPr>
      <w:r>
        <w:rPr>
          <w:color w:val="auto"/>
          <w:sz w:val="24"/>
          <w:highlight w:val="none"/>
        </w:rPr>
        <w:t>DL/T5121      《火力发电厂烟风煤粉管道设计技术规程》</w:t>
      </w:r>
    </w:p>
    <w:p w14:paraId="33338FFE">
      <w:pPr>
        <w:spacing w:line="360" w:lineRule="auto"/>
        <w:ind w:firstLine="480" w:firstLineChars="200"/>
        <w:rPr>
          <w:color w:val="auto"/>
          <w:sz w:val="24"/>
          <w:highlight w:val="none"/>
        </w:rPr>
      </w:pPr>
      <w:r>
        <w:rPr>
          <w:color w:val="auto"/>
          <w:sz w:val="24"/>
          <w:highlight w:val="none"/>
        </w:rPr>
        <w:t>DL/T5072      《火力发电厂保温油漆设计规程》</w:t>
      </w:r>
    </w:p>
    <w:p w14:paraId="0245FF71">
      <w:pPr>
        <w:spacing w:line="360" w:lineRule="auto"/>
        <w:ind w:firstLine="480" w:firstLineChars="200"/>
        <w:rPr>
          <w:color w:val="auto"/>
          <w:sz w:val="24"/>
          <w:highlight w:val="none"/>
        </w:rPr>
      </w:pPr>
      <w:r>
        <w:rPr>
          <w:color w:val="auto"/>
          <w:sz w:val="24"/>
          <w:highlight w:val="none"/>
        </w:rPr>
        <w:t>GB50229      《火力发电厂与变电站设计防火规范》</w:t>
      </w:r>
    </w:p>
    <w:p w14:paraId="202C4874">
      <w:pPr>
        <w:spacing w:line="360" w:lineRule="auto"/>
        <w:ind w:firstLine="480" w:firstLineChars="200"/>
        <w:rPr>
          <w:color w:val="auto"/>
          <w:sz w:val="24"/>
          <w:highlight w:val="none"/>
        </w:rPr>
      </w:pPr>
      <w:r>
        <w:rPr>
          <w:color w:val="auto"/>
          <w:sz w:val="24"/>
          <w:highlight w:val="none"/>
        </w:rPr>
        <w:t>DLGJ158      《火力发电厂钢制平台扶梯设计技术规定》</w:t>
      </w:r>
    </w:p>
    <w:p w14:paraId="5D540C6C">
      <w:pPr>
        <w:spacing w:line="360" w:lineRule="auto"/>
        <w:ind w:firstLine="480" w:firstLineChars="200"/>
        <w:rPr>
          <w:color w:val="auto"/>
          <w:sz w:val="24"/>
          <w:highlight w:val="none"/>
        </w:rPr>
      </w:pPr>
      <w:r>
        <w:rPr>
          <w:color w:val="auto"/>
          <w:sz w:val="24"/>
          <w:highlight w:val="none"/>
        </w:rPr>
        <w:t>GB4053       《固定式钢梯及平台安全要求》</w:t>
      </w:r>
    </w:p>
    <w:p w14:paraId="777E2DFE">
      <w:pPr>
        <w:spacing w:line="360" w:lineRule="auto"/>
        <w:ind w:firstLine="480" w:firstLineChars="200"/>
        <w:rPr>
          <w:color w:val="auto"/>
          <w:sz w:val="24"/>
          <w:highlight w:val="none"/>
        </w:rPr>
      </w:pPr>
      <w:r>
        <w:rPr>
          <w:color w:val="auto"/>
          <w:sz w:val="24"/>
          <w:highlight w:val="none"/>
        </w:rPr>
        <w:t>GB4053.2     《固定式钢梯及平台安全要求第二部分：钢斜梯》</w:t>
      </w:r>
    </w:p>
    <w:p w14:paraId="1F2C35DB">
      <w:pPr>
        <w:spacing w:line="360" w:lineRule="auto"/>
        <w:ind w:firstLine="480" w:firstLineChars="200"/>
        <w:rPr>
          <w:color w:val="auto"/>
          <w:sz w:val="24"/>
          <w:highlight w:val="none"/>
        </w:rPr>
      </w:pPr>
      <w:r>
        <w:rPr>
          <w:color w:val="auto"/>
          <w:sz w:val="24"/>
          <w:highlight w:val="none"/>
        </w:rPr>
        <w:t>GB4053.3 《固定式钢梯及平台安全要求第三部分：工业防护栏杆及钢平台》</w:t>
      </w:r>
    </w:p>
    <w:p w14:paraId="74F85FB2">
      <w:pPr>
        <w:spacing w:line="360" w:lineRule="auto"/>
        <w:ind w:firstLine="480" w:firstLineChars="200"/>
        <w:rPr>
          <w:color w:val="auto"/>
          <w:sz w:val="24"/>
          <w:highlight w:val="none"/>
        </w:rPr>
      </w:pPr>
      <w:r>
        <w:rPr>
          <w:color w:val="auto"/>
          <w:sz w:val="24"/>
          <w:highlight w:val="none"/>
        </w:rPr>
        <w:t xml:space="preserve">DL5027   </w:t>
      </w:r>
      <w:r>
        <w:rPr>
          <w:rFonts w:hint="eastAsia"/>
          <w:color w:val="auto"/>
          <w:sz w:val="24"/>
          <w:highlight w:val="none"/>
          <w:lang w:val="en-US" w:eastAsia="zh-CN"/>
        </w:rPr>
        <w:t xml:space="preserve">    </w:t>
      </w:r>
      <w:r>
        <w:rPr>
          <w:color w:val="auto"/>
          <w:sz w:val="24"/>
          <w:highlight w:val="none"/>
        </w:rPr>
        <w:t>《电力设备典型消防规程》</w:t>
      </w:r>
    </w:p>
    <w:p w14:paraId="7987EC73">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qicvkDqVVRkvbDKfx6HeWGS2K251jc7UP%2Dk%2Dqfl%2Dd7iMhhdoPUW5GddxHvlJ7IpyIMTL%2DQh0macVq8tVn9ia2KgPhjPAUG6QUanTXsz12aegjo9BFzbpE%2FyH%2DOO%2FOSnyaA8LnOUwokkWn3UrgboZFa6MSMSLFAkT2zyJ884%2DyxCOONnJsR0eyA" \t "_blank"</w:instrText>
      </w:r>
      <w:r>
        <w:rPr>
          <w:color w:val="auto"/>
          <w:highlight w:val="none"/>
        </w:rPr>
        <w:fldChar w:fldCharType="separate"/>
      </w:r>
      <w:r>
        <w:rPr>
          <w:color w:val="auto"/>
          <w:sz w:val="24"/>
          <w:highlight w:val="none"/>
        </w:rPr>
        <w:t xml:space="preserve">YB 9073  </w:t>
      </w:r>
      <w:r>
        <w:rPr>
          <w:color w:val="auto"/>
          <w:highlight w:val="none"/>
        </w:rPr>
        <w:fldChar w:fldCharType="end"/>
      </w:r>
      <w:r>
        <w:rPr>
          <w:color w:val="auto"/>
          <w:sz w:val="24"/>
          <w:highlight w:val="none"/>
        </w:rPr>
        <w:t xml:space="preserve">   </w:t>
      </w:r>
      <w:r>
        <w:rPr>
          <w:rFonts w:hint="eastAsia"/>
          <w:color w:val="auto"/>
          <w:sz w:val="24"/>
          <w:highlight w:val="none"/>
          <w:lang w:val="en-US" w:eastAsia="zh-CN"/>
        </w:rPr>
        <w:t xml:space="preserve">  </w:t>
      </w:r>
      <w:r>
        <w:rPr>
          <w:color w:val="auto"/>
          <w:sz w:val="24"/>
          <w:highlight w:val="none"/>
        </w:rPr>
        <w:t>《</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qicvkDqVVRkvbDKfx6HeWGS2K251jc7UP%2Dk%2Dqfl%2Dd7iMhhdoPUW5GddxHvlJ7IpyIMTL%2DQh0macVq8tVn9ia2KgPhjPAUG6QUanTXsz12aegjo9BFzbpE%2FyH%2DOO%2FOSnyaA8LnOUwokkWn3UrgboZFa6MSMSLFAkT2zyJ884%2DyxCOONnJsR0eyA" \t "_blank"</w:instrText>
      </w:r>
      <w:r>
        <w:rPr>
          <w:color w:val="auto"/>
          <w:highlight w:val="none"/>
        </w:rPr>
        <w:fldChar w:fldCharType="separate"/>
      </w:r>
      <w:r>
        <w:rPr>
          <w:color w:val="auto"/>
          <w:sz w:val="24"/>
          <w:highlight w:val="none"/>
        </w:rPr>
        <w:t>钢制压力容器设计技术规定</w:t>
      </w:r>
      <w:r>
        <w:rPr>
          <w:color w:val="auto"/>
          <w:highlight w:val="none"/>
        </w:rPr>
        <w:fldChar w:fldCharType="end"/>
      </w:r>
      <w:r>
        <w:rPr>
          <w:color w:val="auto"/>
          <w:sz w:val="24"/>
          <w:highlight w:val="none"/>
        </w:rPr>
        <w:t>》</w:t>
      </w:r>
    </w:p>
    <w:p w14:paraId="5315DA4A">
      <w:pPr>
        <w:spacing w:line="360" w:lineRule="auto"/>
        <w:ind w:firstLine="480" w:firstLineChars="200"/>
        <w:rPr>
          <w:color w:val="auto"/>
          <w:sz w:val="24"/>
          <w:highlight w:val="none"/>
        </w:rPr>
      </w:pPr>
      <w:r>
        <w:rPr>
          <w:color w:val="auto"/>
          <w:sz w:val="24"/>
          <w:highlight w:val="none"/>
        </w:rPr>
        <w:t xml:space="preserve">GB150      </w:t>
      </w:r>
      <w:r>
        <w:rPr>
          <w:rFonts w:hint="eastAsia"/>
          <w:color w:val="auto"/>
          <w:sz w:val="24"/>
          <w:highlight w:val="none"/>
          <w:lang w:val="en-US" w:eastAsia="zh-CN"/>
        </w:rPr>
        <w:t xml:space="preserve">  </w:t>
      </w:r>
      <w:r>
        <w:rPr>
          <w:color w:val="auto"/>
          <w:sz w:val="24"/>
          <w:highlight w:val="none"/>
        </w:rPr>
        <w:t>《压力容器》</w:t>
      </w:r>
    </w:p>
    <w:p w14:paraId="07B579A4">
      <w:pPr>
        <w:spacing w:line="360" w:lineRule="auto"/>
        <w:ind w:firstLine="480" w:firstLineChars="200"/>
        <w:rPr>
          <w:color w:val="auto"/>
          <w:sz w:val="24"/>
          <w:highlight w:val="none"/>
        </w:rPr>
      </w:pPr>
      <w:r>
        <w:rPr>
          <w:color w:val="auto"/>
          <w:sz w:val="24"/>
          <w:highlight w:val="none"/>
        </w:rPr>
        <w:t xml:space="preserve">GB699      </w:t>
      </w:r>
      <w:r>
        <w:rPr>
          <w:rFonts w:hint="eastAsia"/>
          <w:color w:val="auto"/>
          <w:sz w:val="24"/>
          <w:highlight w:val="none"/>
          <w:lang w:val="en-US" w:eastAsia="zh-CN"/>
        </w:rPr>
        <w:t xml:space="preserve">  </w:t>
      </w:r>
      <w:r>
        <w:rPr>
          <w:color w:val="auto"/>
          <w:sz w:val="24"/>
          <w:highlight w:val="none"/>
        </w:rPr>
        <w:t>《优质碳素结构钢》</w:t>
      </w:r>
    </w:p>
    <w:p w14:paraId="22ACEFA4">
      <w:pPr>
        <w:spacing w:line="360" w:lineRule="auto"/>
        <w:ind w:firstLine="480" w:firstLineChars="200"/>
        <w:rPr>
          <w:color w:val="auto"/>
          <w:sz w:val="24"/>
          <w:highlight w:val="none"/>
        </w:rPr>
      </w:pPr>
      <w:r>
        <w:rPr>
          <w:color w:val="auto"/>
          <w:sz w:val="24"/>
          <w:highlight w:val="none"/>
        </w:rPr>
        <w:t xml:space="preserve">GB/T700     </w:t>
      </w:r>
      <w:r>
        <w:rPr>
          <w:rFonts w:hint="eastAsia"/>
          <w:color w:val="auto"/>
          <w:sz w:val="24"/>
          <w:highlight w:val="none"/>
          <w:lang w:val="en-US" w:eastAsia="zh-CN"/>
        </w:rPr>
        <w:t xml:space="preserve"> </w:t>
      </w:r>
      <w:r>
        <w:rPr>
          <w:color w:val="auto"/>
          <w:sz w:val="24"/>
          <w:highlight w:val="none"/>
        </w:rPr>
        <w:t>《碳素结构钢》</w:t>
      </w:r>
    </w:p>
    <w:p w14:paraId="0D5E7CFE">
      <w:pPr>
        <w:spacing w:line="360" w:lineRule="auto"/>
        <w:ind w:firstLine="480" w:firstLineChars="200"/>
        <w:rPr>
          <w:color w:val="auto"/>
          <w:sz w:val="24"/>
          <w:highlight w:val="none"/>
        </w:rPr>
      </w:pPr>
      <w:r>
        <w:rPr>
          <w:color w:val="auto"/>
          <w:sz w:val="24"/>
          <w:highlight w:val="none"/>
        </w:rPr>
        <w:t xml:space="preserve">GB711       </w:t>
      </w:r>
      <w:r>
        <w:rPr>
          <w:rFonts w:hint="eastAsia"/>
          <w:color w:val="auto"/>
          <w:sz w:val="24"/>
          <w:highlight w:val="none"/>
          <w:lang w:val="en-US" w:eastAsia="zh-CN"/>
        </w:rPr>
        <w:t xml:space="preserve"> </w:t>
      </w:r>
      <w:r>
        <w:rPr>
          <w:color w:val="auto"/>
          <w:sz w:val="24"/>
          <w:highlight w:val="none"/>
        </w:rPr>
        <w:t>《</w:t>
      </w:r>
      <w:r>
        <w:rPr>
          <w:color w:val="auto"/>
          <w:highlight w:val="none"/>
        </w:rPr>
        <w:fldChar w:fldCharType="begin"/>
      </w:r>
      <w:r>
        <w:rPr>
          <w:color w:val="auto"/>
          <w:highlight w:val="none"/>
        </w:rPr>
        <w:instrText xml:space="preserve">HYPERLINK "http://10.150.168.19:830/page/tbsbrowser.cbs?urlname=tbss%3A%2F%2F2Ui9i38FjdRwKFnMrSY6UD0exgNwiO8mkaromboRDsmypUd1Jq5OkCRBERq%2DiBB0QBI202TfN8ptPpPRezHxfiVMfITi%2FijsKWziVvimfX2K%2F0eENytSHZeZZMaxMmBF9EYOX%2DhCHA912GBWSX43BCt7L1vs%2FRNSSsP559UEwxwgxMv5CHSZp4k6XzP%2DPf6qQ4qVwKLDxPDlLSt11zbvYOeK9%2DK4hZDLY0%2DAFz206E%2F74DuQqEuKNxafdSuBuhkVvGPzkbvxJ3%2DN%2DqAUs0Mc2PpIECU%2Dqw5rjjjZybEdHsg" \t "_blank"</w:instrText>
      </w:r>
      <w:r>
        <w:rPr>
          <w:color w:val="auto"/>
          <w:highlight w:val="none"/>
        </w:rPr>
        <w:fldChar w:fldCharType="separate"/>
      </w:r>
      <w:r>
        <w:rPr>
          <w:color w:val="auto"/>
          <w:sz w:val="24"/>
          <w:highlight w:val="none"/>
        </w:rPr>
        <w:t>优质碳素结构钢热轧厚钢板和钢带</w:t>
      </w:r>
      <w:r>
        <w:rPr>
          <w:color w:val="auto"/>
          <w:highlight w:val="none"/>
        </w:rPr>
        <w:fldChar w:fldCharType="end"/>
      </w:r>
      <w:r>
        <w:rPr>
          <w:color w:val="auto"/>
          <w:sz w:val="24"/>
          <w:highlight w:val="none"/>
        </w:rPr>
        <w:t>》</w:t>
      </w:r>
    </w:p>
    <w:p w14:paraId="6F9BAB70">
      <w:pPr>
        <w:spacing w:line="360" w:lineRule="auto"/>
        <w:ind w:firstLine="480" w:firstLineChars="200"/>
        <w:rPr>
          <w:color w:val="auto"/>
          <w:sz w:val="24"/>
          <w:highlight w:val="none"/>
        </w:rPr>
      </w:pPr>
      <w:r>
        <w:rPr>
          <w:color w:val="auto"/>
          <w:sz w:val="24"/>
          <w:highlight w:val="none"/>
        </w:rPr>
        <w:t>NB/T 47003.1  《钢制焊接常压容器》</w:t>
      </w:r>
    </w:p>
    <w:p w14:paraId="4A35FE7B">
      <w:pPr>
        <w:spacing w:line="360" w:lineRule="auto"/>
        <w:ind w:firstLine="480" w:firstLineChars="200"/>
        <w:rPr>
          <w:color w:val="auto"/>
          <w:sz w:val="24"/>
          <w:highlight w:val="none"/>
        </w:rPr>
      </w:pPr>
      <w:r>
        <w:rPr>
          <w:color w:val="auto"/>
          <w:sz w:val="24"/>
          <w:highlight w:val="none"/>
        </w:rPr>
        <w:t>DIN 28055     《金属构件有机衬里的要求》</w:t>
      </w:r>
    </w:p>
    <w:p w14:paraId="17318BE5">
      <w:pPr>
        <w:spacing w:line="360" w:lineRule="auto"/>
        <w:ind w:firstLine="480" w:firstLineChars="200"/>
        <w:rPr>
          <w:color w:val="auto"/>
          <w:sz w:val="24"/>
          <w:highlight w:val="none"/>
        </w:rPr>
      </w:pPr>
      <w:r>
        <w:rPr>
          <w:color w:val="auto"/>
          <w:sz w:val="24"/>
          <w:highlight w:val="none"/>
        </w:rPr>
        <w:t>DIN 28051     《金属材料构件的有机涂层和衬里－金属构件的结构造型》</w:t>
      </w:r>
    </w:p>
    <w:p w14:paraId="5A90D9D1">
      <w:pPr>
        <w:spacing w:line="360" w:lineRule="auto"/>
        <w:ind w:firstLine="480" w:firstLineChars="200"/>
        <w:rPr>
          <w:color w:val="auto"/>
          <w:sz w:val="24"/>
          <w:highlight w:val="none"/>
        </w:rPr>
      </w:pPr>
      <w:r>
        <w:rPr>
          <w:color w:val="auto"/>
          <w:sz w:val="24"/>
          <w:highlight w:val="none"/>
        </w:rPr>
        <w:t xml:space="preserve">GB/T 3091     </w:t>
      </w:r>
      <w:r>
        <w:rPr>
          <w:bCs/>
          <w:color w:val="auto"/>
          <w:sz w:val="24"/>
          <w:highlight w:val="none"/>
        </w:rPr>
        <w:t>《</w:t>
      </w:r>
      <w:r>
        <w:rPr>
          <w:color w:val="auto"/>
          <w:sz w:val="24"/>
          <w:highlight w:val="none"/>
        </w:rPr>
        <w:t>低压流体输送用焊接钢管》</w:t>
      </w:r>
    </w:p>
    <w:p w14:paraId="320B71E1">
      <w:pPr>
        <w:spacing w:line="360" w:lineRule="auto"/>
        <w:ind w:firstLine="480" w:firstLineChars="200"/>
        <w:rPr>
          <w:color w:val="auto"/>
          <w:sz w:val="24"/>
          <w:highlight w:val="none"/>
        </w:rPr>
      </w:pPr>
      <w:r>
        <w:rPr>
          <w:color w:val="auto"/>
          <w:sz w:val="24"/>
          <w:highlight w:val="none"/>
        </w:rPr>
        <w:t>GB/T 9119     《平面、突面板式平焊钢制管法兰》</w:t>
      </w:r>
    </w:p>
    <w:p w14:paraId="6887A6E1">
      <w:pPr>
        <w:spacing w:line="360" w:lineRule="auto"/>
        <w:ind w:firstLine="480" w:firstLineChars="200"/>
        <w:rPr>
          <w:color w:val="auto"/>
          <w:sz w:val="24"/>
          <w:highlight w:val="none"/>
        </w:rPr>
      </w:pPr>
      <w:r>
        <w:rPr>
          <w:color w:val="auto"/>
          <w:sz w:val="24"/>
          <w:highlight w:val="none"/>
        </w:rPr>
        <w:t>HG21501      《衬胶钢管和管件》</w:t>
      </w:r>
    </w:p>
    <w:p w14:paraId="4C26F645">
      <w:pPr>
        <w:spacing w:line="360" w:lineRule="auto"/>
        <w:ind w:firstLine="480" w:firstLineChars="200"/>
        <w:rPr>
          <w:color w:val="auto"/>
          <w:sz w:val="24"/>
          <w:highlight w:val="none"/>
        </w:rPr>
      </w:pPr>
      <w:r>
        <w:rPr>
          <w:color w:val="auto"/>
          <w:sz w:val="24"/>
          <w:highlight w:val="none"/>
        </w:rPr>
        <w:t>GB/T 8163     《输送流体用无缝钢管》</w:t>
      </w:r>
    </w:p>
    <w:p w14:paraId="56377E5D">
      <w:pPr>
        <w:spacing w:line="360" w:lineRule="auto"/>
        <w:ind w:firstLine="480" w:firstLineChars="200"/>
        <w:rPr>
          <w:color w:val="auto"/>
          <w:sz w:val="24"/>
          <w:highlight w:val="none"/>
        </w:rPr>
      </w:pPr>
      <w:r>
        <w:rPr>
          <w:color w:val="auto"/>
          <w:sz w:val="24"/>
          <w:highlight w:val="none"/>
        </w:rPr>
        <w:t>GB50235       《工业金属管道工程施工规范》</w:t>
      </w:r>
    </w:p>
    <w:p w14:paraId="67DC3FB7">
      <w:pPr>
        <w:spacing w:line="360" w:lineRule="auto"/>
        <w:ind w:firstLine="480" w:firstLineChars="200"/>
        <w:rPr>
          <w:color w:val="auto"/>
          <w:sz w:val="24"/>
          <w:highlight w:val="none"/>
        </w:rPr>
      </w:pPr>
      <w:r>
        <w:rPr>
          <w:color w:val="auto"/>
          <w:sz w:val="24"/>
          <w:highlight w:val="none"/>
        </w:rPr>
        <w:t>HGJ229        《工业设备、管道防腐蚀工程施工及验收规范》</w:t>
      </w:r>
    </w:p>
    <w:p w14:paraId="706F0D18">
      <w:pPr>
        <w:spacing w:line="360" w:lineRule="auto"/>
        <w:ind w:firstLine="480" w:firstLineChars="200"/>
        <w:rPr>
          <w:color w:val="auto"/>
          <w:sz w:val="24"/>
          <w:highlight w:val="none"/>
        </w:rPr>
      </w:pPr>
      <w:r>
        <w:rPr>
          <w:color w:val="auto"/>
          <w:sz w:val="24"/>
          <w:highlight w:val="none"/>
        </w:rPr>
        <w:t>GB912         《</w:t>
      </w:r>
      <w:r>
        <w:rPr>
          <w:color w:val="auto"/>
          <w:highlight w:val="none"/>
        </w:rPr>
        <w:fldChar w:fldCharType="begin"/>
      </w:r>
      <w:r>
        <w:rPr>
          <w:color w:val="auto"/>
          <w:highlight w:val="none"/>
        </w:rPr>
        <w:instrText xml:space="preserve">HYPERLINK "http://10.150.168.19:830/page/tbsbrowser.cbs?urlname=tbss%3A%2F%2F2Ui9i38FjdRwKFnMrSY6UD0exgNwiO8mkaromboRDsmypUd1Jq5OkCRBERq%2DiBB0QBI202TfN8ptPpPRezHxfiVMfITi%2FijsKWziVvimfX2K%2F0eENytSHZeZZMaxMmBF9EYOX%2DhCHA912GBWSX43BCt7L1vs%2FRNSSsP559UEwxwgxMv5CHSZp0DNWMl2qaTvQ4qVwKLDxPDlLSt11zbvYOeK9%2DK4hZDLY0%2DAFz206E%2F74DuQqEuKNxafdSuBuhkVvGPzkbvxJ3%2DN%2DqAUs0Mc2PpIECU%2Dqw5rjjjZybEdHsg" \t "_blank"</w:instrText>
      </w:r>
      <w:r>
        <w:rPr>
          <w:color w:val="auto"/>
          <w:highlight w:val="none"/>
        </w:rPr>
        <w:fldChar w:fldCharType="separate"/>
      </w:r>
      <w:r>
        <w:rPr>
          <w:color w:val="auto"/>
          <w:sz w:val="24"/>
          <w:highlight w:val="none"/>
        </w:rPr>
        <w:t>碳素结构钢和低合金结构钢热轧薄钢板和钢带</w:t>
      </w:r>
      <w:r>
        <w:rPr>
          <w:color w:val="auto"/>
          <w:highlight w:val="none"/>
        </w:rPr>
        <w:fldChar w:fldCharType="end"/>
      </w:r>
      <w:r>
        <w:rPr>
          <w:color w:val="auto"/>
          <w:sz w:val="24"/>
          <w:highlight w:val="none"/>
        </w:rPr>
        <w:t>》</w:t>
      </w:r>
    </w:p>
    <w:p w14:paraId="091999FE">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"http://www.baidu.com/link?url=dK17TP9HBal107wzEIaaRJ4IUVvGu5Pa6iCtofVIUpCGhKEMnUsOoMWjux8-xtvxYUg-4CbANMESumkPu5TQR_" \t "_blank"</w:instrText>
      </w:r>
      <w:r>
        <w:rPr>
          <w:color w:val="auto"/>
          <w:highlight w:val="none"/>
        </w:rPr>
        <w:fldChar w:fldCharType="separate"/>
      </w:r>
      <w:r>
        <w:rPr>
          <w:rStyle w:val="59"/>
          <w:color w:val="auto"/>
          <w:sz w:val="24"/>
          <w:highlight w:val="none"/>
          <w:u w:val="none"/>
        </w:rPr>
        <w:t>GB/T14405      《通用桥式起重机</w:t>
      </w:r>
      <w:r>
        <w:rPr>
          <w:color w:val="auto"/>
          <w:highlight w:val="none"/>
        </w:rPr>
        <w:fldChar w:fldCharType="end"/>
      </w:r>
      <w:r>
        <w:rPr>
          <w:color w:val="auto"/>
          <w:sz w:val="24"/>
          <w:highlight w:val="none"/>
        </w:rPr>
        <w:t>》</w:t>
      </w:r>
    </w:p>
    <w:p w14:paraId="5B800B2A">
      <w:pPr>
        <w:spacing w:line="360" w:lineRule="auto"/>
        <w:ind w:firstLine="480" w:firstLineChars="200"/>
        <w:rPr>
          <w:color w:val="auto"/>
          <w:sz w:val="24"/>
          <w:highlight w:val="none"/>
        </w:rPr>
      </w:pPr>
      <w:r>
        <w:rPr>
          <w:color w:val="auto"/>
          <w:sz w:val="24"/>
          <w:highlight w:val="none"/>
        </w:rPr>
        <w:t>GB6067         《起重机械安全规程第1部分：总则》</w:t>
      </w:r>
    </w:p>
    <w:p w14:paraId="2B1D6FEF">
      <w:pPr>
        <w:spacing w:line="360" w:lineRule="auto"/>
        <w:ind w:firstLine="480" w:firstLineChars="200"/>
        <w:rPr>
          <w:color w:val="auto"/>
          <w:sz w:val="24"/>
          <w:highlight w:val="none"/>
        </w:rPr>
      </w:pPr>
      <w:r>
        <w:rPr>
          <w:color w:val="auto"/>
          <w:sz w:val="24"/>
          <w:highlight w:val="none"/>
        </w:rPr>
        <w:t>DL5007         《电力建设施工及验收技术规范(火力发电厂焊接篇)》</w:t>
      </w:r>
    </w:p>
    <w:p w14:paraId="11E02D0D">
      <w:pPr>
        <w:spacing w:line="360" w:lineRule="auto"/>
        <w:ind w:firstLine="480" w:firstLineChars="200"/>
        <w:rPr>
          <w:color w:val="auto"/>
          <w:sz w:val="24"/>
          <w:highlight w:val="none"/>
        </w:rPr>
      </w:pPr>
      <w:r>
        <w:rPr>
          <w:color w:val="auto"/>
          <w:sz w:val="24"/>
          <w:highlight w:val="none"/>
        </w:rPr>
        <w:t>DL/T5048      《电力建设施工及验收技术规范(管道焊缝超声波检验篇)》</w:t>
      </w:r>
    </w:p>
    <w:p w14:paraId="20B7916B">
      <w:pPr>
        <w:spacing w:line="360" w:lineRule="auto"/>
        <w:ind w:firstLine="480" w:firstLineChars="200"/>
        <w:rPr>
          <w:color w:val="auto"/>
          <w:sz w:val="24"/>
          <w:highlight w:val="none"/>
        </w:rPr>
      </w:pPr>
      <w:r>
        <w:rPr>
          <w:color w:val="auto"/>
          <w:sz w:val="24"/>
          <w:highlight w:val="none"/>
        </w:rPr>
        <w:t>GB50009        《建筑结构荷载规范》</w:t>
      </w:r>
    </w:p>
    <w:p w14:paraId="28548DF2">
      <w:pPr>
        <w:spacing w:line="360" w:lineRule="auto"/>
        <w:ind w:firstLine="480" w:firstLineChars="200"/>
        <w:rPr>
          <w:color w:val="auto"/>
          <w:sz w:val="24"/>
          <w:highlight w:val="none"/>
        </w:rPr>
      </w:pPr>
      <w:r>
        <w:rPr>
          <w:color w:val="auto"/>
          <w:sz w:val="24"/>
          <w:highlight w:val="none"/>
        </w:rPr>
        <w:t>GB50010        《混凝土结构设计规范》</w:t>
      </w:r>
    </w:p>
    <w:p w14:paraId="7F577B82">
      <w:pPr>
        <w:spacing w:line="360" w:lineRule="auto"/>
        <w:ind w:firstLine="480" w:firstLineChars="200"/>
        <w:rPr>
          <w:color w:val="auto"/>
          <w:sz w:val="24"/>
          <w:highlight w:val="none"/>
        </w:rPr>
      </w:pPr>
      <w:r>
        <w:rPr>
          <w:color w:val="auto"/>
          <w:sz w:val="24"/>
          <w:highlight w:val="none"/>
        </w:rPr>
        <w:t>GB50017        《钢结构设计规范》</w:t>
      </w:r>
    </w:p>
    <w:p w14:paraId="1A24CE08">
      <w:pPr>
        <w:spacing w:line="360" w:lineRule="auto"/>
        <w:ind w:firstLine="480" w:firstLineChars="200"/>
        <w:rPr>
          <w:color w:val="auto"/>
          <w:sz w:val="24"/>
          <w:highlight w:val="none"/>
        </w:rPr>
      </w:pPr>
      <w:r>
        <w:rPr>
          <w:color w:val="auto"/>
          <w:sz w:val="24"/>
          <w:highlight w:val="none"/>
        </w:rPr>
        <w:t>GB50003        《砌体结构设计规范》</w:t>
      </w:r>
    </w:p>
    <w:p w14:paraId="67E2EBA6">
      <w:pPr>
        <w:spacing w:line="360" w:lineRule="auto"/>
        <w:ind w:firstLine="480" w:firstLineChars="200"/>
        <w:rPr>
          <w:color w:val="auto"/>
          <w:sz w:val="24"/>
          <w:highlight w:val="none"/>
        </w:rPr>
      </w:pPr>
      <w:r>
        <w:rPr>
          <w:color w:val="auto"/>
          <w:sz w:val="24"/>
          <w:highlight w:val="none"/>
        </w:rPr>
        <w:t>GB50011        《建筑抗震设计规范》</w:t>
      </w:r>
    </w:p>
    <w:p w14:paraId="468381C5">
      <w:pPr>
        <w:spacing w:line="360" w:lineRule="auto"/>
        <w:ind w:firstLine="480" w:firstLineChars="200"/>
        <w:rPr>
          <w:color w:val="auto"/>
          <w:sz w:val="24"/>
          <w:highlight w:val="none"/>
        </w:rPr>
      </w:pPr>
      <w:r>
        <w:rPr>
          <w:color w:val="auto"/>
          <w:sz w:val="24"/>
          <w:highlight w:val="none"/>
        </w:rPr>
        <w:t>GB50191          《构筑物抗震设计规范》</w:t>
      </w:r>
    </w:p>
    <w:p w14:paraId="303AC6E9">
      <w:pPr>
        <w:spacing w:line="360" w:lineRule="auto"/>
        <w:ind w:firstLine="480" w:firstLineChars="200"/>
        <w:rPr>
          <w:color w:val="auto"/>
          <w:sz w:val="24"/>
          <w:highlight w:val="none"/>
        </w:rPr>
      </w:pPr>
      <w:r>
        <w:rPr>
          <w:color w:val="auto"/>
          <w:sz w:val="24"/>
          <w:highlight w:val="none"/>
        </w:rPr>
        <w:t>GB50007          《建筑地基基础设计规范》</w:t>
      </w:r>
    </w:p>
    <w:p w14:paraId="293BB904">
      <w:pPr>
        <w:spacing w:line="360" w:lineRule="auto"/>
        <w:ind w:firstLine="480" w:firstLineChars="200"/>
        <w:rPr>
          <w:color w:val="auto"/>
          <w:sz w:val="24"/>
          <w:highlight w:val="none"/>
        </w:rPr>
      </w:pPr>
      <w:r>
        <w:rPr>
          <w:color w:val="auto"/>
          <w:sz w:val="24"/>
          <w:highlight w:val="none"/>
        </w:rPr>
        <w:t>JGJ79             《建筑地基处理技术规范》</w:t>
      </w:r>
    </w:p>
    <w:p w14:paraId="6736636B">
      <w:pPr>
        <w:spacing w:line="360" w:lineRule="auto"/>
        <w:ind w:firstLine="480" w:firstLineChars="200"/>
        <w:rPr>
          <w:color w:val="auto"/>
          <w:sz w:val="24"/>
          <w:highlight w:val="none"/>
        </w:rPr>
      </w:pPr>
      <w:r>
        <w:rPr>
          <w:color w:val="auto"/>
          <w:sz w:val="24"/>
          <w:highlight w:val="none"/>
        </w:rPr>
        <w:t>GB50040          《动力机器基础设计规范》</w:t>
      </w:r>
    </w:p>
    <w:p w14:paraId="0B70B9D9">
      <w:pPr>
        <w:spacing w:line="360" w:lineRule="auto"/>
        <w:ind w:firstLine="480" w:firstLineChars="200"/>
        <w:rPr>
          <w:color w:val="auto"/>
          <w:sz w:val="24"/>
          <w:highlight w:val="none"/>
        </w:rPr>
      </w:pPr>
      <w:r>
        <w:rPr>
          <w:color w:val="auto"/>
          <w:sz w:val="24"/>
          <w:highlight w:val="none"/>
        </w:rPr>
        <w:t>GB50345          《屋面工程技术规范》</w:t>
      </w:r>
    </w:p>
    <w:p w14:paraId="44F0B0C5">
      <w:pPr>
        <w:spacing w:line="360" w:lineRule="auto"/>
        <w:ind w:firstLine="480" w:firstLineChars="200"/>
        <w:rPr>
          <w:color w:val="auto"/>
          <w:sz w:val="24"/>
          <w:highlight w:val="none"/>
        </w:rPr>
      </w:pPr>
      <w:r>
        <w:rPr>
          <w:color w:val="auto"/>
          <w:sz w:val="24"/>
          <w:highlight w:val="none"/>
        </w:rPr>
        <w:t>JGJ107            《钢筋机械连接技术规程》</w:t>
      </w:r>
    </w:p>
    <w:p w14:paraId="4977D4E8">
      <w:pPr>
        <w:spacing w:line="360" w:lineRule="auto"/>
        <w:ind w:firstLine="480" w:firstLineChars="200"/>
        <w:rPr>
          <w:color w:val="auto"/>
          <w:sz w:val="24"/>
          <w:highlight w:val="none"/>
        </w:rPr>
      </w:pPr>
      <w:r>
        <w:rPr>
          <w:color w:val="auto"/>
          <w:sz w:val="24"/>
          <w:highlight w:val="none"/>
        </w:rPr>
        <w:t>GB/T11263        《热轧H型钢和剖分T型钢》</w:t>
      </w:r>
    </w:p>
    <w:p w14:paraId="267FC179">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lm8hjVfZOdv7yipOVD6N8hlLvTEaZVsf2t%2DcY%2FRiJ0DCDiz3X%2FcSoz2jBuBgYqhxqJvsbLfKlbLw7SABu9aFcV6%2DcLFxJZAyR9kOQOZLaXQ8%2FN6F7yQ56KRvKXmGS4q78fNrtZswSxD2LQzwzrE7zY442cmxHR7I" \t "_blank"</w:instrText>
      </w:r>
      <w:r>
        <w:rPr>
          <w:color w:val="auto"/>
          <w:highlight w:val="none"/>
        </w:rPr>
        <w:fldChar w:fldCharType="separate"/>
      </w:r>
      <w:r>
        <w:rPr>
          <w:color w:val="auto"/>
          <w:sz w:val="24"/>
          <w:highlight w:val="none"/>
        </w:rPr>
        <w:t>YB 3301</w:t>
      </w:r>
      <w:r>
        <w:rPr>
          <w:color w:val="auto"/>
          <w:highlight w:val="none"/>
        </w:rPr>
        <w:fldChar w:fldCharType="end"/>
      </w:r>
      <w:r>
        <w:rPr>
          <w:color w:val="auto"/>
          <w:sz w:val="24"/>
          <w:highlight w:val="none"/>
        </w:rPr>
        <w:t xml:space="preserve">          </w:t>
      </w:r>
      <w:r>
        <w:rPr>
          <w:rFonts w:hint="eastAsia"/>
          <w:color w:val="auto"/>
          <w:sz w:val="24"/>
          <w:highlight w:val="none"/>
          <w:lang w:val="en-US" w:eastAsia="zh-CN"/>
        </w:rPr>
        <w:t xml:space="preserve"> </w:t>
      </w:r>
      <w:r>
        <w:rPr>
          <w:color w:val="auto"/>
          <w:sz w:val="24"/>
          <w:highlight w:val="none"/>
        </w:rPr>
        <w:t>《焊接H型钢》</w:t>
      </w:r>
    </w:p>
    <w:p w14:paraId="496B1B02">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Ej%2DkyH0W494VkqxbU01dWlijTJ7mmSx19M6iNzcH6Z9s9nUrJmiSr134Bc6MveVCjiPmP%2D%2FiRzIndDc44QWaYyeqiE3RnR5HIqZK6jkTy5rVdlXQsL4fqDzIVvvqcOKIOYzxQqFl2lZfxflMo0HosY442cmxHR7I" \t "_blank"</w:instrText>
      </w:r>
      <w:r>
        <w:rPr>
          <w:color w:val="auto"/>
          <w:highlight w:val="none"/>
        </w:rPr>
        <w:fldChar w:fldCharType="separate"/>
      </w:r>
      <w:r>
        <w:rPr>
          <w:color w:val="auto"/>
          <w:sz w:val="24"/>
          <w:highlight w:val="none"/>
        </w:rPr>
        <w:t xml:space="preserve">YB 4001.1  </w:t>
      </w:r>
      <w:r>
        <w:rPr>
          <w:color w:val="auto"/>
          <w:highlight w:val="none"/>
        </w:rPr>
        <w:fldChar w:fldCharType="end"/>
      </w:r>
      <w:r>
        <w:rPr>
          <w:color w:val="auto"/>
          <w:sz w:val="24"/>
          <w:highlight w:val="none"/>
        </w:rPr>
        <w:t xml:space="preserve">       </w:t>
      </w:r>
      <w:r>
        <w:rPr>
          <w:rFonts w:hint="eastAsia"/>
          <w:color w:val="auto"/>
          <w:sz w:val="24"/>
          <w:highlight w:val="none"/>
          <w:lang w:val="en-US" w:eastAsia="zh-CN"/>
        </w:rPr>
        <w:t xml:space="preserve"> </w:t>
      </w:r>
      <w:r>
        <w:rPr>
          <w:color w:val="auto"/>
          <w:sz w:val="24"/>
          <w:highlight w:val="none"/>
        </w:rPr>
        <w:t>《</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Ej%2DkyH0W494VkqxbU01dWlijTJ7mmSx19M6iNzcH6Z9s9nUrJmiSr134Bc6MveVCjiPmP%2D%2FiRzIndDc44QWaYyeqiE3RnR5HIqZK6jkTy5rVdlXQsL4fqDzIVvvqcOKIOYzxQqFl2lZfxflMo0HosY442cmxHR7I" \t "_blank"</w:instrText>
      </w:r>
      <w:r>
        <w:rPr>
          <w:color w:val="auto"/>
          <w:highlight w:val="none"/>
        </w:rPr>
        <w:fldChar w:fldCharType="separate"/>
      </w:r>
      <w:r>
        <w:rPr>
          <w:color w:val="auto"/>
          <w:sz w:val="24"/>
          <w:highlight w:val="none"/>
        </w:rPr>
        <w:t>钢格栅板及配套件第1部分:钢格栅板</w:t>
      </w:r>
      <w:r>
        <w:rPr>
          <w:color w:val="auto"/>
          <w:highlight w:val="none"/>
        </w:rPr>
        <w:fldChar w:fldCharType="end"/>
      </w:r>
      <w:r>
        <w:rPr>
          <w:color w:val="auto"/>
          <w:sz w:val="24"/>
          <w:highlight w:val="none"/>
        </w:rPr>
        <w:t>》</w:t>
      </w:r>
    </w:p>
    <w:p w14:paraId="442FE798">
      <w:pPr>
        <w:spacing w:line="360" w:lineRule="auto"/>
        <w:ind w:firstLine="480" w:firstLineChars="200"/>
        <w:rPr>
          <w:color w:val="auto"/>
          <w:sz w:val="24"/>
          <w:highlight w:val="none"/>
        </w:rPr>
      </w:pPr>
      <w:r>
        <w:rPr>
          <w:color w:val="auto"/>
          <w:sz w:val="24"/>
          <w:highlight w:val="none"/>
        </w:rPr>
        <w:t>DL/T5024         《电力工程地基处理技术规程》</w:t>
      </w:r>
    </w:p>
    <w:p w14:paraId="13D1D4F6">
      <w:pPr>
        <w:spacing w:line="360" w:lineRule="auto"/>
        <w:ind w:firstLine="480" w:firstLineChars="200"/>
        <w:rPr>
          <w:color w:val="auto"/>
          <w:sz w:val="24"/>
          <w:highlight w:val="none"/>
        </w:rPr>
      </w:pPr>
      <w:r>
        <w:rPr>
          <w:color w:val="auto"/>
          <w:sz w:val="24"/>
          <w:highlight w:val="none"/>
        </w:rPr>
        <w:t>DL/T5029         《火力发电厂建筑装修技术规程》</w:t>
      </w:r>
    </w:p>
    <w:p w14:paraId="21454A1D">
      <w:pPr>
        <w:spacing w:line="360" w:lineRule="auto"/>
        <w:ind w:firstLine="480" w:firstLineChars="200"/>
        <w:rPr>
          <w:color w:val="auto"/>
          <w:sz w:val="24"/>
          <w:highlight w:val="none"/>
        </w:rPr>
      </w:pPr>
      <w:r>
        <w:rPr>
          <w:color w:val="auto"/>
          <w:sz w:val="24"/>
          <w:highlight w:val="none"/>
        </w:rPr>
        <w:t>DL/T5094         《火力发电厂建筑设计规程》</w:t>
      </w:r>
    </w:p>
    <w:p w14:paraId="25D1EDCC">
      <w:pPr>
        <w:spacing w:line="360" w:lineRule="auto"/>
        <w:ind w:firstLine="480" w:firstLineChars="200"/>
        <w:rPr>
          <w:color w:val="auto"/>
          <w:sz w:val="24"/>
          <w:highlight w:val="none"/>
        </w:rPr>
      </w:pPr>
      <w:r>
        <w:rPr>
          <w:color w:val="auto"/>
          <w:sz w:val="24"/>
          <w:highlight w:val="none"/>
        </w:rPr>
        <w:t>GB50016          《建筑设计防火规范》</w:t>
      </w:r>
    </w:p>
    <w:p w14:paraId="0ABADEFD">
      <w:pPr>
        <w:spacing w:line="360" w:lineRule="auto"/>
        <w:ind w:firstLine="480" w:firstLineChars="200"/>
        <w:rPr>
          <w:color w:val="auto"/>
          <w:sz w:val="24"/>
          <w:highlight w:val="none"/>
        </w:rPr>
      </w:pPr>
      <w:r>
        <w:rPr>
          <w:color w:val="auto"/>
          <w:sz w:val="24"/>
          <w:highlight w:val="none"/>
        </w:rPr>
        <w:t>GB50112          《膨胀土地区建筑技术规范》</w:t>
      </w:r>
    </w:p>
    <w:p w14:paraId="65AEDBAF">
      <w:pPr>
        <w:spacing w:line="360" w:lineRule="auto"/>
        <w:ind w:firstLine="480" w:firstLineChars="200"/>
        <w:rPr>
          <w:color w:val="auto"/>
          <w:sz w:val="24"/>
          <w:highlight w:val="none"/>
        </w:rPr>
      </w:pPr>
      <w:r>
        <w:rPr>
          <w:color w:val="auto"/>
          <w:sz w:val="24"/>
          <w:highlight w:val="none"/>
        </w:rPr>
        <w:t>《中华人民共和国工程建设标准强制性条文-房屋建筑部分》</w:t>
      </w:r>
    </w:p>
    <w:p w14:paraId="56033D79">
      <w:pPr>
        <w:spacing w:line="360" w:lineRule="auto"/>
        <w:ind w:firstLine="480" w:firstLineChars="200"/>
        <w:rPr>
          <w:color w:val="auto"/>
          <w:sz w:val="24"/>
          <w:highlight w:val="none"/>
        </w:rPr>
      </w:pPr>
      <w:r>
        <w:rPr>
          <w:color w:val="auto"/>
          <w:sz w:val="24"/>
          <w:highlight w:val="none"/>
        </w:rPr>
        <w:t>GB/T50105       《建筑结构制图标准》</w:t>
      </w:r>
    </w:p>
    <w:p w14:paraId="477BBE2A">
      <w:pPr>
        <w:spacing w:line="360" w:lineRule="auto"/>
        <w:ind w:firstLine="480" w:firstLineChars="200"/>
        <w:rPr>
          <w:color w:val="auto"/>
          <w:sz w:val="24"/>
          <w:highlight w:val="none"/>
        </w:rPr>
      </w:pPr>
      <w:r>
        <w:rPr>
          <w:color w:val="auto"/>
          <w:sz w:val="24"/>
          <w:highlight w:val="none"/>
        </w:rPr>
        <w:t>GB50019         《采暖通风与空气调节设计规范》</w:t>
      </w:r>
    </w:p>
    <w:p w14:paraId="52CB931B">
      <w:pPr>
        <w:spacing w:line="360" w:lineRule="auto"/>
        <w:ind w:firstLine="480" w:firstLineChars="200"/>
        <w:rPr>
          <w:color w:val="auto"/>
          <w:sz w:val="24"/>
          <w:highlight w:val="none"/>
        </w:rPr>
      </w:pPr>
      <w:r>
        <w:rPr>
          <w:color w:val="auto"/>
          <w:sz w:val="24"/>
          <w:highlight w:val="none"/>
        </w:rPr>
        <w:t>DL/T5035        《火力发电厂采暖通风与空气调节设计技术规定》</w:t>
      </w:r>
    </w:p>
    <w:p w14:paraId="76A701C3">
      <w:pPr>
        <w:spacing w:line="360" w:lineRule="auto"/>
        <w:ind w:firstLine="480" w:firstLineChars="200"/>
        <w:rPr>
          <w:color w:val="auto"/>
          <w:sz w:val="24"/>
          <w:highlight w:val="none"/>
        </w:rPr>
      </w:pPr>
      <w:r>
        <w:rPr>
          <w:color w:val="auto"/>
          <w:sz w:val="24"/>
          <w:highlight w:val="none"/>
        </w:rPr>
        <w:t>GB50243         《通风与空调工程施工质量验收规范》</w:t>
      </w:r>
    </w:p>
    <w:p w14:paraId="709C3418">
      <w:pPr>
        <w:spacing w:line="360" w:lineRule="auto"/>
        <w:ind w:firstLine="480" w:firstLineChars="200"/>
        <w:rPr>
          <w:color w:val="auto"/>
          <w:sz w:val="24"/>
          <w:highlight w:val="none"/>
        </w:rPr>
      </w:pPr>
      <w:r>
        <w:rPr>
          <w:color w:val="auto"/>
          <w:sz w:val="24"/>
          <w:highlight w:val="none"/>
        </w:rPr>
        <w:t>GB50242         《建筑给水排水及采暖工程施工质量验收规范》</w:t>
      </w:r>
    </w:p>
    <w:p w14:paraId="24FA63EA">
      <w:pPr>
        <w:spacing w:line="360" w:lineRule="auto"/>
        <w:ind w:firstLine="480" w:firstLineChars="200"/>
        <w:rPr>
          <w:color w:val="auto"/>
          <w:sz w:val="24"/>
          <w:highlight w:val="none"/>
        </w:rPr>
      </w:pPr>
      <w:r>
        <w:rPr>
          <w:color w:val="auto"/>
          <w:sz w:val="24"/>
          <w:highlight w:val="none"/>
        </w:rPr>
        <w:t>DL5053          《火力发电厂劳动安全和工业卫生设计规程》</w:t>
      </w:r>
    </w:p>
    <w:p w14:paraId="5A182A62">
      <w:pPr>
        <w:spacing w:line="360" w:lineRule="auto"/>
        <w:ind w:firstLine="480" w:firstLineChars="200"/>
        <w:rPr>
          <w:color w:val="auto"/>
          <w:sz w:val="24"/>
          <w:highlight w:val="none"/>
        </w:rPr>
      </w:pPr>
      <w:r>
        <w:rPr>
          <w:color w:val="auto"/>
          <w:sz w:val="24"/>
          <w:highlight w:val="none"/>
        </w:rPr>
        <w:t>DL/T 5153       《火力发电厂厂用电设计技术规定》</w:t>
      </w:r>
    </w:p>
    <w:p w14:paraId="036663E8">
      <w:pPr>
        <w:spacing w:line="360" w:lineRule="auto"/>
        <w:ind w:firstLine="480" w:firstLineChars="200"/>
        <w:rPr>
          <w:color w:val="auto"/>
          <w:sz w:val="24"/>
          <w:highlight w:val="none"/>
        </w:rPr>
      </w:pPr>
      <w:r>
        <w:rPr>
          <w:color w:val="auto"/>
          <w:sz w:val="24"/>
          <w:highlight w:val="none"/>
        </w:rPr>
        <w:t>DL/T5136        《火力发电厂、变电站二次接线设计技术规程》</w:t>
      </w:r>
    </w:p>
    <w:p w14:paraId="4606EA3D">
      <w:pPr>
        <w:spacing w:line="360" w:lineRule="auto"/>
        <w:ind w:firstLine="480" w:firstLineChars="200"/>
        <w:rPr>
          <w:color w:val="auto"/>
          <w:sz w:val="24"/>
          <w:highlight w:val="none"/>
        </w:rPr>
      </w:pPr>
      <w:r>
        <w:rPr>
          <w:color w:val="auto"/>
          <w:sz w:val="24"/>
          <w:highlight w:val="none"/>
        </w:rPr>
        <w:t>DL/T5390        《火力发电厂和变电站照明设计技术规定》</w:t>
      </w:r>
    </w:p>
    <w:p w14:paraId="4A3CFFAB">
      <w:pPr>
        <w:spacing w:line="360" w:lineRule="auto"/>
        <w:ind w:firstLine="480" w:firstLineChars="200"/>
        <w:rPr>
          <w:color w:val="auto"/>
          <w:sz w:val="24"/>
          <w:highlight w:val="none"/>
        </w:rPr>
      </w:pPr>
      <w:r>
        <w:rPr>
          <w:color w:val="auto"/>
          <w:sz w:val="24"/>
          <w:highlight w:val="none"/>
        </w:rPr>
        <w:t>GB50060         《3~110kV高压配电装置设计规范》</w:t>
      </w:r>
    </w:p>
    <w:p w14:paraId="7D2D4B76">
      <w:pPr>
        <w:spacing w:line="360" w:lineRule="auto"/>
        <w:ind w:firstLine="480" w:firstLineChars="200"/>
        <w:rPr>
          <w:color w:val="auto"/>
          <w:sz w:val="24"/>
          <w:highlight w:val="none"/>
        </w:rPr>
      </w:pPr>
      <w:r>
        <w:rPr>
          <w:color w:val="auto"/>
          <w:sz w:val="24"/>
          <w:highlight w:val="none"/>
        </w:rPr>
        <w:t>DL/T620         《交流电气装置的过电压保护和绝缘配合》</w:t>
      </w:r>
    </w:p>
    <w:p w14:paraId="3FC34529">
      <w:pPr>
        <w:spacing w:line="360" w:lineRule="auto"/>
        <w:ind w:firstLine="480" w:firstLineChars="200"/>
        <w:rPr>
          <w:color w:val="auto"/>
          <w:sz w:val="24"/>
          <w:highlight w:val="none"/>
        </w:rPr>
      </w:pPr>
      <w:r>
        <w:rPr>
          <w:color w:val="auto"/>
          <w:sz w:val="24"/>
          <w:highlight w:val="none"/>
        </w:rPr>
        <w:t>DL/T5137        《电测量及电能计量装置设计技术规程》</w:t>
      </w:r>
    </w:p>
    <w:p w14:paraId="0039076C">
      <w:pPr>
        <w:spacing w:line="360" w:lineRule="auto"/>
        <w:ind w:firstLine="480" w:firstLineChars="200"/>
        <w:rPr>
          <w:color w:val="auto"/>
          <w:sz w:val="24"/>
          <w:highlight w:val="none"/>
        </w:rPr>
      </w:pPr>
      <w:r>
        <w:rPr>
          <w:color w:val="auto"/>
          <w:sz w:val="24"/>
          <w:highlight w:val="none"/>
        </w:rPr>
        <w:t>GB50217         《电力工程电缆设计规范》</w:t>
      </w:r>
    </w:p>
    <w:p w14:paraId="5D1B7FFD">
      <w:pPr>
        <w:spacing w:line="360" w:lineRule="auto"/>
        <w:ind w:firstLine="480" w:firstLineChars="200"/>
        <w:rPr>
          <w:color w:val="auto"/>
          <w:sz w:val="24"/>
          <w:highlight w:val="none"/>
        </w:rPr>
      </w:pPr>
      <w:r>
        <w:rPr>
          <w:color w:val="auto"/>
          <w:sz w:val="24"/>
          <w:highlight w:val="none"/>
        </w:rPr>
        <w:t>DL/T5041        《火力发电厂厂内通信设计技术规定》</w:t>
      </w:r>
    </w:p>
    <w:p w14:paraId="607ADC7B">
      <w:pPr>
        <w:spacing w:line="360" w:lineRule="auto"/>
        <w:ind w:firstLine="480" w:firstLineChars="200"/>
        <w:rPr>
          <w:color w:val="auto"/>
          <w:sz w:val="24"/>
          <w:highlight w:val="none"/>
        </w:rPr>
      </w:pPr>
      <w:r>
        <w:rPr>
          <w:color w:val="auto"/>
          <w:sz w:val="24"/>
          <w:highlight w:val="none"/>
        </w:rPr>
        <w:t>GB50057         《建筑物防雷设计规范》</w:t>
      </w:r>
    </w:p>
    <w:p w14:paraId="107462D9">
      <w:pPr>
        <w:spacing w:line="360" w:lineRule="auto"/>
        <w:ind w:firstLine="480" w:firstLineChars="200"/>
        <w:rPr>
          <w:color w:val="auto"/>
          <w:sz w:val="24"/>
          <w:highlight w:val="none"/>
        </w:rPr>
      </w:pPr>
      <w:r>
        <w:rPr>
          <w:color w:val="auto"/>
          <w:sz w:val="24"/>
          <w:highlight w:val="none"/>
        </w:rPr>
        <w:t>GB50054         《低压配电设计规范》</w:t>
      </w:r>
    </w:p>
    <w:p w14:paraId="19056DBD">
      <w:pPr>
        <w:spacing w:line="360" w:lineRule="auto"/>
        <w:ind w:firstLine="480" w:firstLineChars="200"/>
        <w:rPr>
          <w:color w:val="auto"/>
          <w:sz w:val="24"/>
          <w:highlight w:val="none"/>
        </w:rPr>
      </w:pPr>
      <w:r>
        <w:rPr>
          <w:color w:val="auto"/>
          <w:sz w:val="24"/>
          <w:highlight w:val="none"/>
        </w:rPr>
        <w:t>GB50058         《爆炸和火灾危险环境电力装置设计规范》</w:t>
      </w:r>
    </w:p>
    <w:p w14:paraId="38A52438">
      <w:pPr>
        <w:spacing w:line="360" w:lineRule="auto"/>
        <w:ind w:firstLine="480" w:firstLineChars="200"/>
        <w:rPr>
          <w:color w:val="auto"/>
          <w:sz w:val="24"/>
          <w:highlight w:val="none"/>
        </w:rPr>
      </w:pPr>
      <w:r>
        <w:rPr>
          <w:color w:val="auto"/>
          <w:sz w:val="24"/>
          <w:highlight w:val="none"/>
        </w:rPr>
        <w:t>GB1094          《电力变压器》</w:t>
      </w:r>
    </w:p>
    <w:p w14:paraId="234684C5">
      <w:pPr>
        <w:spacing w:line="360" w:lineRule="auto"/>
        <w:ind w:firstLine="480" w:firstLineChars="200"/>
        <w:rPr>
          <w:color w:val="auto"/>
          <w:sz w:val="24"/>
          <w:highlight w:val="none"/>
        </w:rPr>
      </w:pPr>
      <w:r>
        <w:rPr>
          <w:color w:val="auto"/>
          <w:sz w:val="24"/>
          <w:highlight w:val="none"/>
        </w:rPr>
        <w:t>GB/T 10228        《干式电力变压器技术参数和要求》</w:t>
      </w:r>
    </w:p>
    <w:p w14:paraId="358A119D">
      <w:pPr>
        <w:spacing w:line="360" w:lineRule="auto"/>
        <w:ind w:firstLine="480" w:firstLineChars="200"/>
        <w:rPr>
          <w:color w:val="auto"/>
          <w:sz w:val="24"/>
          <w:highlight w:val="none"/>
        </w:rPr>
      </w:pPr>
      <w:r>
        <w:rPr>
          <w:color w:val="auto"/>
          <w:sz w:val="24"/>
          <w:highlight w:val="none"/>
        </w:rPr>
        <w:t>GB 3906           《3.6kV～40.5kV交流金属封闭开关设备和控制设备》</w:t>
      </w:r>
    </w:p>
    <w:p w14:paraId="6EAD809B">
      <w:pPr>
        <w:spacing w:line="360" w:lineRule="auto"/>
        <w:ind w:firstLine="480" w:firstLineChars="200"/>
        <w:rPr>
          <w:color w:val="auto"/>
          <w:sz w:val="24"/>
          <w:highlight w:val="none"/>
        </w:rPr>
      </w:pPr>
      <w:r>
        <w:rPr>
          <w:color w:val="auto"/>
          <w:sz w:val="24"/>
          <w:highlight w:val="none"/>
        </w:rPr>
        <w:t>DL/T 402          《高压交流断路器》</w:t>
      </w:r>
    </w:p>
    <w:p w14:paraId="3ADBD7BF">
      <w:pPr>
        <w:spacing w:line="360" w:lineRule="auto"/>
        <w:ind w:firstLine="480" w:firstLineChars="200"/>
        <w:rPr>
          <w:color w:val="auto"/>
          <w:sz w:val="24"/>
          <w:highlight w:val="none"/>
        </w:rPr>
      </w:pPr>
      <w:r>
        <w:rPr>
          <w:color w:val="auto"/>
          <w:sz w:val="24"/>
          <w:highlight w:val="none"/>
        </w:rPr>
        <w:t>GB 1985           《高压交流隔离开关和接地开关》</w:t>
      </w:r>
    </w:p>
    <w:p w14:paraId="43A6F37D">
      <w:pPr>
        <w:spacing w:line="360" w:lineRule="auto"/>
        <w:ind w:firstLine="480" w:firstLineChars="200"/>
        <w:rPr>
          <w:color w:val="auto"/>
          <w:sz w:val="24"/>
          <w:highlight w:val="none"/>
        </w:rPr>
      </w:pPr>
      <w:r>
        <w:rPr>
          <w:color w:val="auto"/>
          <w:sz w:val="24"/>
          <w:highlight w:val="none"/>
        </w:rPr>
        <w:t>GB/T 15166        《交流高压熔断器》</w:t>
      </w:r>
    </w:p>
    <w:p w14:paraId="4D664E72">
      <w:pPr>
        <w:spacing w:line="360" w:lineRule="auto"/>
        <w:ind w:firstLine="480" w:firstLineChars="200"/>
        <w:rPr>
          <w:color w:val="auto"/>
          <w:sz w:val="24"/>
          <w:highlight w:val="none"/>
        </w:rPr>
      </w:pPr>
      <w:r>
        <w:rPr>
          <w:color w:val="auto"/>
          <w:sz w:val="24"/>
          <w:highlight w:val="none"/>
        </w:rPr>
        <w:t>GB/T11022        《高压开关设备和控制设备标准的公用技术要求》</w:t>
      </w:r>
    </w:p>
    <w:p w14:paraId="01D17FB6">
      <w:pPr>
        <w:spacing w:line="360" w:lineRule="auto"/>
        <w:ind w:firstLine="480" w:firstLineChars="200"/>
        <w:rPr>
          <w:color w:val="auto"/>
          <w:sz w:val="24"/>
          <w:highlight w:val="none"/>
        </w:rPr>
      </w:pPr>
      <w:r>
        <w:rPr>
          <w:color w:val="auto"/>
          <w:sz w:val="24"/>
          <w:highlight w:val="none"/>
        </w:rPr>
        <w:t>GB 4208          《外壳防护等级(IP代码) 》</w:t>
      </w:r>
    </w:p>
    <w:p w14:paraId="6CBEF8C8">
      <w:pPr>
        <w:spacing w:line="360" w:lineRule="auto"/>
        <w:ind w:firstLine="480" w:firstLineChars="200"/>
        <w:rPr>
          <w:color w:val="auto"/>
          <w:sz w:val="24"/>
          <w:highlight w:val="none"/>
        </w:rPr>
      </w:pPr>
      <w:r>
        <w:rPr>
          <w:color w:val="auto"/>
          <w:sz w:val="24"/>
          <w:highlight w:val="none"/>
        </w:rPr>
        <w:t>DL 404           《3.6kV～40.5kV交流金属封闭开关设备和控制设备》</w:t>
      </w:r>
    </w:p>
    <w:p w14:paraId="3AC539F3">
      <w:pPr>
        <w:spacing w:line="360" w:lineRule="auto"/>
        <w:ind w:firstLine="480" w:firstLineChars="200"/>
        <w:rPr>
          <w:color w:val="auto"/>
          <w:sz w:val="24"/>
          <w:highlight w:val="none"/>
        </w:rPr>
      </w:pPr>
      <w:r>
        <w:rPr>
          <w:color w:val="auto"/>
          <w:sz w:val="24"/>
          <w:highlight w:val="none"/>
        </w:rPr>
        <w:t>DL 486           《高压交流隔离开关和接地开关》</w:t>
      </w:r>
    </w:p>
    <w:p w14:paraId="06EA4B08">
      <w:pPr>
        <w:spacing w:line="360" w:lineRule="auto"/>
        <w:ind w:firstLine="480" w:firstLineChars="200"/>
        <w:rPr>
          <w:color w:val="auto"/>
          <w:sz w:val="24"/>
          <w:highlight w:val="none"/>
        </w:rPr>
      </w:pPr>
      <w:r>
        <w:rPr>
          <w:color w:val="auto"/>
          <w:sz w:val="24"/>
          <w:highlight w:val="none"/>
        </w:rPr>
        <w:t>GB7251.1         《低压成套开关设备和控制设备》</w:t>
      </w:r>
    </w:p>
    <w:p w14:paraId="10223CDC">
      <w:pPr>
        <w:spacing w:line="360" w:lineRule="auto"/>
        <w:ind w:firstLine="480" w:firstLineChars="200"/>
        <w:rPr>
          <w:color w:val="auto"/>
          <w:sz w:val="24"/>
          <w:highlight w:val="none"/>
        </w:rPr>
      </w:pPr>
      <w:r>
        <w:rPr>
          <w:color w:val="auto"/>
          <w:sz w:val="24"/>
          <w:highlight w:val="none"/>
        </w:rPr>
        <w:t>GB/T 10233        《低压成套开关设备和电控设备基本试验方法》</w:t>
      </w:r>
    </w:p>
    <w:p w14:paraId="3E895846">
      <w:pPr>
        <w:spacing w:line="360" w:lineRule="auto"/>
        <w:ind w:firstLine="480" w:firstLineChars="200"/>
        <w:rPr>
          <w:color w:val="auto"/>
          <w:sz w:val="24"/>
          <w:highlight w:val="none"/>
        </w:rPr>
      </w:pPr>
      <w:r>
        <w:rPr>
          <w:color w:val="auto"/>
          <w:sz w:val="24"/>
          <w:highlight w:val="none"/>
        </w:rPr>
        <w:t>GB14048          《低压开关设备和控制设备》</w:t>
      </w:r>
    </w:p>
    <w:p w14:paraId="2C593A7E">
      <w:pPr>
        <w:spacing w:line="360" w:lineRule="auto"/>
        <w:ind w:firstLine="480" w:firstLineChars="200"/>
        <w:rPr>
          <w:color w:val="auto"/>
          <w:sz w:val="24"/>
          <w:highlight w:val="none"/>
        </w:rPr>
      </w:pPr>
      <w:r>
        <w:rPr>
          <w:color w:val="auto"/>
          <w:sz w:val="24"/>
          <w:highlight w:val="none"/>
        </w:rPr>
        <w:t>GB/T 24274       《低压抽出式成套开关设备和控制设备》</w:t>
      </w:r>
    </w:p>
    <w:p w14:paraId="3C6793C5">
      <w:pPr>
        <w:spacing w:line="360" w:lineRule="auto"/>
        <w:ind w:firstLine="480" w:firstLineChars="200"/>
        <w:rPr>
          <w:color w:val="auto"/>
          <w:sz w:val="24"/>
          <w:highlight w:val="none"/>
        </w:rPr>
      </w:pPr>
      <w:r>
        <w:rPr>
          <w:color w:val="auto"/>
          <w:sz w:val="24"/>
          <w:highlight w:val="none"/>
        </w:rPr>
        <w:t>JB/T 9661         《低压抽出式成套开关设备》</w:t>
      </w:r>
    </w:p>
    <w:p w14:paraId="7F61401A">
      <w:pPr>
        <w:spacing w:line="360" w:lineRule="auto"/>
        <w:ind w:firstLine="480" w:firstLineChars="200"/>
        <w:rPr>
          <w:color w:val="auto"/>
          <w:sz w:val="24"/>
          <w:highlight w:val="none"/>
        </w:rPr>
      </w:pPr>
      <w:r>
        <w:rPr>
          <w:color w:val="auto"/>
          <w:sz w:val="24"/>
          <w:highlight w:val="none"/>
        </w:rPr>
        <w:t>IEC-439-1        《低压成套开关设备和控制设备》</w:t>
      </w:r>
    </w:p>
    <w:p w14:paraId="26936003">
      <w:pPr>
        <w:spacing w:line="360" w:lineRule="auto"/>
        <w:ind w:firstLine="480" w:firstLineChars="200"/>
        <w:rPr>
          <w:color w:val="auto"/>
          <w:sz w:val="24"/>
          <w:highlight w:val="none"/>
        </w:rPr>
      </w:pPr>
      <w:r>
        <w:rPr>
          <w:color w:val="auto"/>
          <w:sz w:val="24"/>
          <w:highlight w:val="none"/>
        </w:rPr>
        <w:t>GB 12706        《额定电压1kV(Um=1.2kV)到35kV(Um=40.5kV)挤包绝缘电力电缆及附件》</w:t>
      </w:r>
    </w:p>
    <w:p w14:paraId="605B2650">
      <w:pPr>
        <w:spacing w:line="360" w:lineRule="auto"/>
        <w:ind w:firstLine="480" w:firstLineChars="200"/>
        <w:rPr>
          <w:color w:val="auto"/>
          <w:sz w:val="24"/>
          <w:highlight w:val="none"/>
        </w:rPr>
      </w:pPr>
      <w:r>
        <w:rPr>
          <w:color w:val="auto"/>
          <w:sz w:val="24"/>
          <w:highlight w:val="none"/>
        </w:rPr>
        <w:t>GB 2952         《电缆外护套》</w:t>
      </w:r>
    </w:p>
    <w:p w14:paraId="0293C1AA">
      <w:pPr>
        <w:spacing w:line="360" w:lineRule="auto"/>
        <w:ind w:firstLine="480" w:firstLineChars="200"/>
        <w:rPr>
          <w:color w:val="auto"/>
          <w:sz w:val="24"/>
          <w:highlight w:val="none"/>
        </w:rPr>
      </w:pPr>
      <w:r>
        <w:rPr>
          <w:color w:val="auto"/>
          <w:sz w:val="24"/>
          <w:highlight w:val="none"/>
        </w:rPr>
        <w:t>GB/T 3956       《电缆的导体》</w:t>
      </w:r>
    </w:p>
    <w:p w14:paraId="61B60AED">
      <w:pPr>
        <w:spacing w:line="360" w:lineRule="auto"/>
        <w:ind w:firstLine="480" w:firstLineChars="200"/>
        <w:rPr>
          <w:color w:val="auto"/>
          <w:sz w:val="24"/>
          <w:highlight w:val="none"/>
        </w:rPr>
      </w:pPr>
      <w:r>
        <w:rPr>
          <w:color w:val="auto"/>
          <w:sz w:val="24"/>
          <w:highlight w:val="none"/>
        </w:rPr>
        <w:t>GB 12666        《单根电线电缆燃烧试验方法》</w:t>
      </w:r>
    </w:p>
    <w:p w14:paraId="2040334B">
      <w:pPr>
        <w:spacing w:line="360" w:lineRule="auto"/>
        <w:ind w:firstLine="480" w:firstLineChars="200"/>
        <w:rPr>
          <w:color w:val="auto"/>
          <w:sz w:val="24"/>
          <w:highlight w:val="none"/>
        </w:rPr>
      </w:pPr>
      <w:r>
        <w:rPr>
          <w:color w:val="auto"/>
          <w:sz w:val="24"/>
          <w:highlight w:val="none"/>
        </w:rPr>
        <w:t>GB 2951         《电缆和光缆绝缘和护套材料通用试验方法》</w:t>
      </w:r>
    </w:p>
    <w:p w14:paraId="575DAC25">
      <w:pPr>
        <w:spacing w:line="360" w:lineRule="auto"/>
        <w:ind w:firstLine="480" w:firstLineChars="200"/>
        <w:rPr>
          <w:color w:val="auto"/>
          <w:sz w:val="24"/>
          <w:highlight w:val="none"/>
        </w:rPr>
      </w:pPr>
      <w:r>
        <w:rPr>
          <w:color w:val="auto"/>
          <w:sz w:val="24"/>
          <w:highlight w:val="none"/>
        </w:rPr>
        <w:t>JB/T 8137        《电线电缆交货盘》</w:t>
      </w:r>
    </w:p>
    <w:p w14:paraId="4B48178E">
      <w:pPr>
        <w:spacing w:line="360" w:lineRule="auto"/>
        <w:ind w:firstLine="480" w:firstLineChars="200"/>
        <w:rPr>
          <w:color w:val="auto"/>
          <w:sz w:val="24"/>
          <w:highlight w:val="none"/>
        </w:rPr>
      </w:pPr>
      <w:r>
        <w:rPr>
          <w:color w:val="auto"/>
          <w:sz w:val="24"/>
          <w:highlight w:val="none"/>
        </w:rPr>
        <w:t>GB 9330          《塑料绝缘控制电缆》</w:t>
      </w:r>
    </w:p>
    <w:p w14:paraId="26DB5CB5">
      <w:pPr>
        <w:spacing w:line="360" w:lineRule="auto"/>
        <w:ind w:firstLine="480" w:firstLineChars="200"/>
        <w:rPr>
          <w:color w:val="auto"/>
          <w:sz w:val="24"/>
          <w:highlight w:val="none"/>
        </w:rPr>
      </w:pPr>
      <w:r>
        <w:rPr>
          <w:color w:val="auto"/>
          <w:sz w:val="24"/>
          <w:highlight w:val="none"/>
        </w:rPr>
        <w:t>GB755           《旋转电机定额和性能》</w:t>
      </w:r>
    </w:p>
    <w:p w14:paraId="66171CC6">
      <w:pPr>
        <w:spacing w:line="360" w:lineRule="auto"/>
        <w:ind w:firstLine="480" w:firstLineChars="200"/>
        <w:rPr>
          <w:color w:val="auto"/>
          <w:sz w:val="24"/>
          <w:highlight w:val="none"/>
        </w:rPr>
      </w:pPr>
      <w:r>
        <w:rPr>
          <w:color w:val="auto"/>
          <w:sz w:val="24"/>
          <w:highlight w:val="none"/>
        </w:rPr>
        <w:t>GB/T997         《旋转电机结构型式、安装型式及接线盒位置的分类》</w:t>
      </w:r>
    </w:p>
    <w:p w14:paraId="079FB6C5">
      <w:pPr>
        <w:spacing w:line="360" w:lineRule="auto"/>
        <w:ind w:firstLine="480" w:firstLineChars="200"/>
        <w:rPr>
          <w:color w:val="auto"/>
          <w:sz w:val="24"/>
          <w:highlight w:val="none"/>
        </w:rPr>
      </w:pPr>
      <w:r>
        <w:rPr>
          <w:color w:val="auto"/>
          <w:sz w:val="24"/>
          <w:highlight w:val="none"/>
        </w:rPr>
        <w:t>GB1971          《旋转电机线端标志与旋转方向》</w:t>
      </w:r>
    </w:p>
    <w:p w14:paraId="056DF929">
      <w:pPr>
        <w:spacing w:line="360" w:lineRule="auto"/>
        <w:ind w:firstLine="480" w:firstLineChars="200"/>
        <w:rPr>
          <w:color w:val="auto"/>
          <w:sz w:val="24"/>
          <w:highlight w:val="none"/>
        </w:rPr>
      </w:pPr>
      <w:r>
        <w:rPr>
          <w:color w:val="auto"/>
          <w:sz w:val="24"/>
          <w:highlight w:val="none"/>
        </w:rPr>
        <w:t>GB/T1993        《旋转电机冷却方法》</w:t>
      </w:r>
    </w:p>
    <w:p w14:paraId="509447D7">
      <w:pPr>
        <w:spacing w:line="360" w:lineRule="auto"/>
        <w:ind w:firstLine="480" w:firstLineChars="200"/>
        <w:rPr>
          <w:color w:val="auto"/>
          <w:sz w:val="24"/>
          <w:highlight w:val="none"/>
        </w:rPr>
      </w:pPr>
      <w:r>
        <w:rPr>
          <w:color w:val="auto"/>
          <w:sz w:val="24"/>
          <w:highlight w:val="none"/>
        </w:rPr>
        <w:t>GB/T4942.1       《旋转电机整体结构的外壳防护分级（IP代码）》</w:t>
      </w:r>
    </w:p>
    <w:p w14:paraId="79F4DBC6">
      <w:pPr>
        <w:spacing w:line="360" w:lineRule="auto"/>
        <w:ind w:firstLine="480" w:firstLineChars="200"/>
        <w:rPr>
          <w:color w:val="auto"/>
          <w:sz w:val="24"/>
          <w:highlight w:val="none"/>
        </w:rPr>
      </w:pPr>
      <w:r>
        <w:rPr>
          <w:color w:val="auto"/>
          <w:sz w:val="24"/>
          <w:highlight w:val="none"/>
        </w:rPr>
        <w:t>GB10068       《轴心高56mm及以上电机的机械振动测量、评定及限制》</w:t>
      </w:r>
    </w:p>
    <w:p w14:paraId="5E85AB87">
      <w:pPr>
        <w:spacing w:line="360" w:lineRule="auto"/>
        <w:ind w:firstLine="480" w:firstLineChars="200"/>
        <w:rPr>
          <w:color w:val="auto"/>
          <w:sz w:val="24"/>
          <w:highlight w:val="none"/>
        </w:rPr>
      </w:pPr>
      <w:r>
        <w:rPr>
          <w:color w:val="auto"/>
          <w:sz w:val="24"/>
          <w:highlight w:val="none"/>
        </w:rPr>
        <w:t>GB/T10069.1-GB10069.3《旋转电机噪声测定方法及限值》</w:t>
      </w:r>
    </w:p>
    <w:p w14:paraId="244F8B6D">
      <w:pPr>
        <w:spacing w:line="360" w:lineRule="auto"/>
        <w:ind w:firstLine="480" w:firstLineChars="200"/>
        <w:rPr>
          <w:color w:val="auto"/>
          <w:sz w:val="24"/>
          <w:highlight w:val="none"/>
        </w:rPr>
      </w:pPr>
      <w:r>
        <w:rPr>
          <w:color w:val="auto"/>
          <w:sz w:val="24"/>
          <w:highlight w:val="none"/>
        </w:rPr>
        <w:t>GB1032          《三相异步电机试验方法》</w:t>
      </w:r>
    </w:p>
    <w:p w14:paraId="597C6CF5">
      <w:pPr>
        <w:spacing w:line="360" w:lineRule="auto"/>
        <w:ind w:firstLine="480" w:firstLineChars="200"/>
        <w:rPr>
          <w:color w:val="auto"/>
          <w:sz w:val="24"/>
          <w:highlight w:val="none"/>
        </w:rPr>
      </w:pPr>
      <w:r>
        <w:rPr>
          <w:color w:val="auto"/>
          <w:sz w:val="24"/>
          <w:highlight w:val="none"/>
        </w:rPr>
        <w:t>DL/T</w:t>
      </w:r>
      <w:r>
        <w:rPr>
          <w:color w:val="auto"/>
          <w:highlight w:val="none"/>
        </w:rPr>
        <w:fldChar w:fldCharType="begin"/>
      </w:r>
      <w:r>
        <w:rPr>
          <w:color w:val="auto"/>
          <w:highlight w:val="none"/>
        </w:rPr>
        <w:instrText xml:space="preserve">HYPERLINK "http://172.16.20.251:832/page/tbsbrowser.cbs?urlname=tbss%3A%2F%2F2Ui9i38FjdS%2FH7%2Fw8oZf%2DLSG%2DeVkh3%2FR%2DqT%2DcyrD8Z4YF0ti%2FwNsipp9btp83G3IgY7k3xpUG2NmgayEXBZc%2Ff7HyIJ7Q6LCf%2FVeeMd5ESQt7hMNx8u5XK8pRuNg%2F%2FCbldwMYZ5e4n72PREBSwcjbHj%2DwV%2FkrMGy3AiAFdwjR2xy3Rt3sn4sSbxj85G78Sd%2FE%2DDS%2DRJqIeqOONnJsR0eyA" \t "_blank"</w:instrText>
      </w:r>
      <w:r>
        <w:rPr>
          <w:color w:val="auto"/>
          <w:highlight w:val="none"/>
        </w:rPr>
        <w:fldChar w:fldCharType="separate"/>
      </w:r>
      <w:r>
        <w:rPr>
          <w:color w:val="auto"/>
          <w:sz w:val="24"/>
          <w:highlight w:val="none"/>
        </w:rPr>
        <w:t xml:space="preserve"> 5175</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832/page/tbsbrowser.cbs?urlname=tbss%3A%2F%2F2Ui9i38FjdS%2FH7%2Fw8oZf%2DLSG%2DeVkh3%2FR%2DqT%2DcyrD8Z4YF0ti%2FwNsipp9btp83G3IgY7k3xpUG2NmgayEXBZc%2Ff7HyIJ7Q6LCf%2FVeeMd5ESQt7hMNx8u5XK8pRuNg%2F%2FCbldwMYZ5e4n72PREBSwcjbHj%2DwV%2FkrMGy3AiAFdwjR2xy3Rt3sn4sSbxj85G78Sd%2FE%2DDS%2DRJqIeqOONnJsR0eyA" \t "_blank"</w:instrText>
      </w:r>
      <w:r>
        <w:rPr>
          <w:color w:val="auto"/>
          <w:highlight w:val="none"/>
        </w:rPr>
        <w:fldChar w:fldCharType="separate"/>
      </w:r>
      <w:r>
        <w:rPr>
          <w:color w:val="auto"/>
          <w:sz w:val="24"/>
          <w:highlight w:val="none"/>
        </w:rPr>
        <w:t>火力发电厂热工控制系统设计技术规定</w:t>
      </w:r>
      <w:r>
        <w:rPr>
          <w:color w:val="auto"/>
          <w:highlight w:val="none"/>
        </w:rPr>
        <w:fldChar w:fldCharType="end"/>
      </w:r>
      <w:r>
        <w:rPr>
          <w:color w:val="auto"/>
          <w:sz w:val="24"/>
          <w:highlight w:val="none"/>
        </w:rPr>
        <w:t>》</w:t>
      </w:r>
    </w:p>
    <w:p w14:paraId="6AFED5ED">
      <w:pPr>
        <w:spacing w:line="360" w:lineRule="auto"/>
        <w:ind w:firstLine="480" w:firstLineChars="200"/>
        <w:rPr>
          <w:color w:val="auto"/>
          <w:sz w:val="24"/>
          <w:highlight w:val="none"/>
        </w:rPr>
      </w:pPr>
      <w:r>
        <w:rPr>
          <w:color w:val="auto"/>
          <w:sz w:val="24"/>
          <w:highlight w:val="none"/>
        </w:rPr>
        <w:t>DL/T5182   《</w:t>
      </w:r>
      <w:r>
        <w:rPr>
          <w:color w:val="auto"/>
          <w:highlight w:val="none"/>
        </w:rPr>
        <w:fldChar w:fldCharType="begin"/>
      </w:r>
      <w:r>
        <w:rPr>
          <w:color w:val="auto"/>
          <w:highlight w:val="none"/>
        </w:rPr>
        <w:instrText xml:space="preserve">HYPERLINK "http://172.16.20.251:832/page/tbsbrowser.cbs?urlname=tbss%3A%2F%2F2Ui9i38FjdS%2FH7%2Fw8oZf%2DLSG%2DeVkh3%2FR%2DqT%2DcyrD8Z4YF0ti%2FwNsipp9btp83G3IgY7k3xpUG2NmgayEXBZc%2Ff7HyIJ7Q6LCdcal0FL%2Dvoafc9MEUOHeBhXI0whDi3qgVqftdRInqLVskW7rdh%2Dgl4133jiaV8T8083pfQH4ijDqwhQpsoFgFdNOaRRlEJkNQlYD%2DZatdP6OONnJsR0eyA" \t "_blank"</w:instrText>
      </w:r>
      <w:r>
        <w:rPr>
          <w:color w:val="auto"/>
          <w:highlight w:val="none"/>
        </w:rPr>
        <w:fldChar w:fldCharType="separate"/>
      </w:r>
      <w:r>
        <w:rPr>
          <w:color w:val="auto"/>
          <w:sz w:val="24"/>
          <w:highlight w:val="none"/>
        </w:rPr>
        <w:t>火力发电厂热工自动化就地设备安装、管路、电缆设计技术规定</w:t>
      </w:r>
      <w:r>
        <w:rPr>
          <w:color w:val="auto"/>
          <w:highlight w:val="none"/>
        </w:rPr>
        <w:fldChar w:fldCharType="end"/>
      </w:r>
      <w:r>
        <w:rPr>
          <w:color w:val="auto"/>
          <w:sz w:val="24"/>
          <w:highlight w:val="none"/>
        </w:rPr>
        <w:t>》</w:t>
      </w:r>
    </w:p>
    <w:p w14:paraId="1F0FC402">
      <w:pPr>
        <w:spacing w:line="360" w:lineRule="auto"/>
        <w:ind w:firstLine="480" w:firstLineChars="200"/>
        <w:rPr>
          <w:color w:val="auto"/>
          <w:sz w:val="24"/>
          <w:highlight w:val="none"/>
        </w:rPr>
      </w:pPr>
      <w:r>
        <w:rPr>
          <w:color w:val="auto"/>
          <w:sz w:val="24"/>
          <w:highlight w:val="none"/>
        </w:rPr>
        <w:t>DL/T5226         《</w:t>
      </w:r>
      <w:r>
        <w:rPr>
          <w:color w:val="auto"/>
          <w:highlight w:val="none"/>
        </w:rPr>
        <w:fldChar w:fldCharType="begin"/>
      </w:r>
      <w:r>
        <w:rPr>
          <w:color w:val="auto"/>
          <w:highlight w:val="none"/>
        </w:rPr>
        <w:instrText xml:space="preserve">HYPERLINK "http://172.16.20.251:832/page/tbsbrowser.cbs?urlname=tbss%3A%2F%2F2Ui9i38FjdS%2FH7%2Fw8oZf%2DLSG%2DeVkh3%2FR%2DqT%2DcyrD8Z4YF0ti%2FwNsipp9btp83G3IEo0iHOlYyARmgayEXBZc%2Ff7HyIJ7Q6LCVby2Keqos%2DbERNbcOdcH7VhzbWFAWarltEfDQIwVsJj%2FZc66F2xUleIVV1c%2F%2FDWfSBg08HO6qNyeIABEIUU7doLqrSRDCEsvzaNFUHqYyfuOONnJsR0eyA" \t "_blank"</w:instrText>
      </w:r>
      <w:r>
        <w:rPr>
          <w:color w:val="auto"/>
          <w:highlight w:val="none"/>
        </w:rPr>
        <w:fldChar w:fldCharType="separate"/>
      </w:r>
      <w:r>
        <w:rPr>
          <w:color w:val="auto"/>
          <w:sz w:val="24"/>
          <w:highlight w:val="none"/>
        </w:rPr>
        <w:t>火力发电厂电力网络计算机监控系统设计技术规定</w:t>
      </w:r>
      <w:r>
        <w:rPr>
          <w:color w:val="auto"/>
          <w:highlight w:val="none"/>
        </w:rPr>
        <w:fldChar w:fldCharType="end"/>
      </w:r>
      <w:r>
        <w:rPr>
          <w:color w:val="auto"/>
          <w:sz w:val="24"/>
          <w:highlight w:val="none"/>
        </w:rPr>
        <w:t>》</w:t>
      </w:r>
    </w:p>
    <w:p w14:paraId="35A4EE50">
      <w:pPr>
        <w:spacing w:line="360" w:lineRule="auto"/>
        <w:ind w:firstLine="480" w:firstLineChars="200"/>
        <w:rPr>
          <w:color w:val="auto"/>
          <w:sz w:val="24"/>
          <w:highlight w:val="none"/>
        </w:rPr>
      </w:pPr>
      <w:r>
        <w:rPr>
          <w:color w:val="auto"/>
          <w:sz w:val="24"/>
          <w:highlight w:val="none"/>
        </w:rPr>
        <w:t>DL/T659          《</w:t>
      </w:r>
      <w:r>
        <w:rPr>
          <w:color w:val="auto"/>
          <w:highlight w:val="none"/>
        </w:rPr>
        <w:fldChar w:fldCharType="begin"/>
      </w:r>
      <w:r>
        <w:rPr>
          <w:color w:val="auto"/>
          <w:highlight w:val="none"/>
        </w:rPr>
        <w:instrText xml:space="preserve">HYPERLINK "http://172.16.20.251:832/page/tbsbrowser.cbs?urlname=tbss%3A%2F%2F2Ui9i38FjdS%2FH7%2Fw8oZf%2DLSG%2DeVkh3%2FR%2DqT%2DcyrD8Z4YF0ti%2FwNsipp9btp83G3IgY7k3xpUG2NmgayEXBZc%2Ff7HyIJ7Q6LC7aCy6YdfUhCfc9MEUOHeBhXI0whDi3qgVqftdRInqLVskW7rdh%2Dgl4133jiaV8T8083pfQH4ijDqwhQpsoFgFdNOaRRlEJkNQlYD%2DZatdP6OONnJsR0eyA" \t "_blank"</w:instrText>
      </w:r>
      <w:r>
        <w:rPr>
          <w:color w:val="auto"/>
          <w:highlight w:val="none"/>
        </w:rPr>
        <w:fldChar w:fldCharType="separate"/>
      </w:r>
      <w:r>
        <w:rPr>
          <w:color w:val="auto"/>
          <w:sz w:val="24"/>
          <w:highlight w:val="none"/>
        </w:rPr>
        <w:t>火力发电厂分散控制系统验收测试规程</w:t>
      </w:r>
      <w:r>
        <w:rPr>
          <w:color w:val="auto"/>
          <w:highlight w:val="none"/>
        </w:rPr>
        <w:fldChar w:fldCharType="end"/>
      </w:r>
      <w:r>
        <w:rPr>
          <w:color w:val="auto"/>
          <w:sz w:val="24"/>
          <w:highlight w:val="none"/>
        </w:rPr>
        <w:t>》</w:t>
      </w:r>
    </w:p>
    <w:p w14:paraId="7A947FD2">
      <w:pPr>
        <w:spacing w:line="360" w:lineRule="auto"/>
        <w:ind w:firstLine="480" w:firstLineChars="200"/>
        <w:rPr>
          <w:color w:val="auto"/>
          <w:sz w:val="24"/>
          <w:highlight w:val="none"/>
        </w:rPr>
      </w:pPr>
      <w:r>
        <w:rPr>
          <w:color w:val="auto"/>
          <w:sz w:val="24"/>
          <w:highlight w:val="none"/>
        </w:rPr>
        <w:t>DL/T5403         《</w:t>
      </w:r>
      <w:r>
        <w:rPr>
          <w:color w:val="auto"/>
          <w:highlight w:val="none"/>
        </w:rPr>
        <w:fldChar w:fldCharType="begin"/>
      </w:r>
      <w:r>
        <w:rPr>
          <w:color w:val="auto"/>
          <w:highlight w:val="none"/>
        </w:rPr>
        <w:instrText xml:space="preserve">HYPERLINK "http://172.16.20.251:832/page/tbsbrowser.cbs?urlname=tbss%3A%2F%2F2Ui9i38FjdS%2FH7%2Fw8oZf%2DLSG%2DeVkh3%2FRkaromboRDsmypUd1Jq5OkCRBERq%2DiBB0QvQHBYCsmdttPpPRezHxftr7txFgvpAxQNk9wHIxmwYO3TPGIpygLvDtIAG71oVxXr5wsXElkDIV77glo0AVC7Yv3pPuPdaZweTGK3suDmi5bCdfnd%2FquMnQ9KiHOj6sjjjZybEdHsg" \t "_blank"</w:instrText>
      </w:r>
      <w:r>
        <w:rPr>
          <w:color w:val="auto"/>
          <w:highlight w:val="none"/>
        </w:rPr>
        <w:fldChar w:fldCharType="separate"/>
      </w:r>
      <w:r>
        <w:rPr>
          <w:color w:val="auto"/>
          <w:sz w:val="24"/>
          <w:highlight w:val="none"/>
        </w:rPr>
        <w:t>火电厂烟气脱硫工程调整试运及质量验收评定规程</w:t>
      </w:r>
      <w:r>
        <w:rPr>
          <w:color w:val="auto"/>
          <w:highlight w:val="none"/>
        </w:rPr>
        <w:fldChar w:fldCharType="end"/>
      </w:r>
      <w:r>
        <w:rPr>
          <w:color w:val="auto"/>
          <w:sz w:val="24"/>
          <w:highlight w:val="none"/>
        </w:rPr>
        <w:t>》</w:t>
      </w:r>
    </w:p>
    <w:p w14:paraId="05780B88">
      <w:pPr>
        <w:spacing w:line="360" w:lineRule="auto"/>
        <w:ind w:firstLine="480" w:firstLineChars="200"/>
        <w:rPr>
          <w:color w:val="auto"/>
          <w:sz w:val="24"/>
          <w:highlight w:val="none"/>
        </w:rPr>
      </w:pPr>
      <w:r>
        <w:rPr>
          <w:color w:val="auto"/>
          <w:sz w:val="24"/>
          <w:highlight w:val="none"/>
        </w:rPr>
        <w:t>DL/T1083         《</w:t>
      </w:r>
      <w:r>
        <w:rPr>
          <w:color w:val="auto"/>
          <w:highlight w:val="none"/>
        </w:rPr>
        <w:fldChar w:fldCharType="begin"/>
      </w:r>
      <w:r>
        <w:rPr>
          <w:color w:val="auto"/>
          <w:highlight w:val="none"/>
        </w:rPr>
        <w:instrText xml:space="preserve">HYPERLINK "http://172.16.20.251:832/page/tbsbrowser.cbs?urlname=tbss%3A%2F%2F2Ui9i38FjdS%2FH7%2Fw8oZf%2DLSG%2DeVkh3%2FR%2DqT%2DcyrD8Z4YF0ti%2FwNsipp9btp83G3IgY7k3xpUG2NmgayEXBZc%2Ff7HyIJ7Q6LC7aCy6YdfUhCfc9MEUOHeBhXI0whDi3qgVqftdRInqLVskW7rdh%2Dgl4133jiaV8T8083pfQH4ijDqwhQpsoFgFdNOaRRlEJkNQlYD%2DZatdP6OONnJsR0eyA" \t "_blank"</w:instrText>
      </w:r>
      <w:r>
        <w:rPr>
          <w:color w:val="auto"/>
          <w:highlight w:val="none"/>
        </w:rPr>
        <w:fldChar w:fldCharType="separate"/>
      </w:r>
      <w:r>
        <w:rPr>
          <w:color w:val="auto"/>
          <w:sz w:val="24"/>
          <w:highlight w:val="none"/>
        </w:rPr>
        <w:t>火力发电厂分散控制系统</w:t>
      </w:r>
      <w:r>
        <w:rPr>
          <w:color w:val="auto"/>
          <w:highlight w:val="none"/>
        </w:rPr>
        <w:fldChar w:fldCharType="end"/>
      </w:r>
      <w:r>
        <w:rPr>
          <w:color w:val="auto"/>
          <w:sz w:val="24"/>
          <w:highlight w:val="none"/>
        </w:rPr>
        <w:t>技术条件》</w:t>
      </w:r>
    </w:p>
    <w:p w14:paraId="2D23F52B">
      <w:pPr>
        <w:spacing w:line="360" w:lineRule="auto"/>
        <w:ind w:firstLine="480" w:firstLineChars="200"/>
        <w:rPr>
          <w:color w:val="auto"/>
          <w:sz w:val="24"/>
          <w:highlight w:val="none"/>
        </w:rPr>
      </w:pPr>
      <w:r>
        <w:rPr>
          <w:color w:val="auto"/>
          <w:sz w:val="24"/>
          <w:highlight w:val="none"/>
        </w:rPr>
        <w:t>HJ/T75            《固定污染源烟气（SO</w:t>
      </w:r>
      <w:r>
        <w:rPr>
          <w:color w:val="auto"/>
          <w:sz w:val="24"/>
          <w:highlight w:val="none"/>
          <w:vertAlign w:val="subscript"/>
        </w:rPr>
        <w:t>2</w:t>
      </w:r>
      <w:r>
        <w:rPr>
          <w:color w:val="auto"/>
          <w:sz w:val="24"/>
          <w:highlight w:val="none"/>
        </w:rPr>
        <w:t>、NO</w:t>
      </w:r>
      <w:r>
        <w:rPr>
          <w:color w:val="auto"/>
          <w:sz w:val="24"/>
          <w:highlight w:val="none"/>
          <w:vertAlign w:val="subscript"/>
        </w:rPr>
        <w:t>X</w:t>
      </w:r>
      <w:r>
        <w:rPr>
          <w:color w:val="auto"/>
          <w:sz w:val="24"/>
          <w:highlight w:val="none"/>
        </w:rPr>
        <w:t>、颗粒物）排放连续监测系统技术规范》</w:t>
      </w:r>
    </w:p>
    <w:p w14:paraId="440EDA8C">
      <w:pPr>
        <w:spacing w:line="360" w:lineRule="auto"/>
        <w:ind w:firstLine="480" w:firstLineChars="200"/>
        <w:rPr>
          <w:color w:val="auto"/>
          <w:sz w:val="24"/>
          <w:highlight w:val="none"/>
        </w:rPr>
      </w:pPr>
      <w:r>
        <w:rPr>
          <w:color w:val="auto"/>
          <w:sz w:val="24"/>
          <w:highlight w:val="none"/>
        </w:rPr>
        <w:t>GB50115          《工业电视系统工程设计技术规范》</w:t>
      </w:r>
    </w:p>
    <w:p w14:paraId="5764B078">
      <w:pPr>
        <w:spacing w:line="360" w:lineRule="auto"/>
        <w:ind w:firstLine="480" w:firstLineChars="200"/>
        <w:rPr>
          <w:color w:val="auto"/>
          <w:sz w:val="24"/>
          <w:highlight w:val="none"/>
        </w:rPr>
      </w:pPr>
      <w:r>
        <w:rPr>
          <w:color w:val="auto"/>
          <w:sz w:val="24"/>
          <w:highlight w:val="none"/>
        </w:rPr>
        <w:t>DL/T5227       《火力发电厂辅助系统（车间）热工自动化设计技术规定》</w:t>
      </w:r>
    </w:p>
    <w:p w14:paraId="4991E5CC">
      <w:pPr>
        <w:spacing w:line="360" w:lineRule="auto"/>
        <w:ind w:firstLine="480" w:firstLineChars="200"/>
        <w:rPr>
          <w:color w:val="auto"/>
          <w:sz w:val="24"/>
          <w:highlight w:val="none"/>
        </w:rPr>
      </w:pPr>
      <w:r>
        <w:rPr>
          <w:color w:val="auto"/>
          <w:sz w:val="24"/>
          <w:highlight w:val="none"/>
        </w:rPr>
        <w:t>GB50093          《自动化仪表工程施工及质量验收规范》</w:t>
      </w:r>
    </w:p>
    <w:p w14:paraId="59114801">
      <w:pPr>
        <w:spacing w:line="360" w:lineRule="auto"/>
        <w:ind w:firstLine="480" w:firstLineChars="200"/>
        <w:rPr>
          <w:color w:val="auto"/>
          <w:sz w:val="24"/>
          <w:highlight w:val="none"/>
        </w:rPr>
      </w:pPr>
      <w:r>
        <w:rPr>
          <w:color w:val="auto"/>
          <w:sz w:val="24"/>
          <w:highlight w:val="none"/>
        </w:rPr>
        <w:t>DL/T414          《火电厂环境监测技术规范》</w:t>
      </w:r>
    </w:p>
    <w:p w14:paraId="09ADE40C">
      <w:pPr>
        <w:spacing w:line="360" w:lineRule="auto"/>
        <w:ind w:firstLine="480" w:firstLineChars="200"/>
        <w:rPr>
          <w:color w:val="auto"/>
          <w:sz w:val="24"/>
          <w:highlight w:val="none"/>
        </w:rPr>
      </w:pPr>
      <w:r>
        <w:rPr>
          <w:color w:val="auto"/>
          <w:sz w:val="24"/>
          <w:highlight w:val="none"/>
        </w:rPr>
        <w:t>GB50116          《火灾自动报警系统设计规范》</w:t>
      </w:r>
    </w:p>
    <w:p w14:paraId="16E771AD">
      <w:pPr>
        <w:spacing w:line="360" w:lineRule="auto"/>
        <w:ind w:firstLine="480" w:firstLineChars="200"/>
        <w:rPr>
          <w:color w:val="auto"/>
          <w:sz w:val="24"/>
          <w:highlight w:val="none"/>
        </w:rPr>
      </w:pPr>
      <w:r>
        <w:rPr>
          <w:color w:val="auto"/>
          <w:sz w:val="24"/>
          <w:highlight w:val="none"/>
        </w:rPr>
        <w:t>《闭路电视系统相关的设计、安装、调试、验收规范》</w:t>
      </w:r>
    </w:p>
    <w:p w14:paraId="0DF99201">
      <w:pPr>
        <w:spacing w:line="360" w:lineRule="auto"/>
        <w:ind w:firstLine="480" w:firstLineChars="200"/>
        <w:rPr>
          <w:color w:val="auto"/>
          <w:sz w:val="24"/>
          <w:highlight w:val="none"/>
        </w:rPr>
      </w:pPr>
      <w:r>
        <w:rPr>
          <w:color w:val="auto"/>
          <w:sz w:val="24"/>
          <w:highlight w:val="none"/>
        </w:rPr>
        <w:t>国家经贸委第30号令《电网和电厂计算机监控系统及调度数据网络安全防护规定》</w:t>
      </w:r>
    </w:p>
    <w:p w14:paraId="56841753">
      <w:pPr>
        <w:spacing w:line="360" w:lineRule="auto"/>
        <w:ind w:firstLine="480" w:firstLineChars="200"/>
        <w:rPr>
          <w:color w:val="auto"/>
          <w:sz w:val="24"/>
          <w:highlight w:val="none"/>
        </w:rPr>
      </w:pPr>
      <w:r>
        <w:rPr>
          <w:color w:val="auto"/>
          <w:sz w:val="24"/>
          <w:highlight w:val="none"/>
        </w:rPr>
        <w:t>DL/T5190.4      《电力建设施工技术规范第4部分:热工仪表及控制装置》</w:t>
      </w:r>
    </w:p>
    <w:p w14:paraId="289BDBCB">
      <w:pPr>
        <w:spacing w:line="360" w:lineRule="auto"/>
        <w:ind w:firstLine="480" w:firstLineChars="200"/>
        <w:rPr>
          <w:color w:val="auto"/>
          <w:sz w:val="24"/>
          <w:highlight w:val="none"/>
        </w:rPr>
      </w:pPr>
      <w:r>
        <w:rPr>
          <w:color w:val="auto"/>
          <w:sz w:val="24"/>
          <w:highlight w:val="none"/>
        </w:rPr>
        <w:t>GB50395          《视频安防监控系统工程设计规范》</w:t>
      </w:r>
    </w:p>
    <w:p w14:paraId="69906CCA">
      <w:pPr>
        <w:spacing w:line="360" w:lineRule="auto"/>
        <w:ind w:firstLine="480" w:firstLineChars="200"/>
        <w:rPr>
          <w:color w:val="auto"/>
          <w:sz w:val="24"/>
          <w:highlight w:val="none"/>
        </w:rPr>
      </w:pPr>
      <w:r>
        <w:rPr>
          <w:color w:val="auto"/>
          <w:sz w:val="24"/>
          <w:highlight w:val="none"/>
        </w:rPr>
        <w:t>GB50174          《电子信息系统机房设计规范》</w:t>
      </w:r>
    </w:p>
    <w:p w14:paraId="1C63C9B5">
      <w:pPr>
        <w:spacing w:line="360" w:lineRule="auto"/>
        <w:ind w:firstLine="480" w:firstLineChars="200"/>
        <w:rPr>
          <w:color w:val="auto"/>
          <w:sz w:val="24"/>
          <w:highlight w:val="none"/>
        </w:rPr>
      </w:pPr>
      <w:r>
        <w:rPr>
          <w:color w:val="auto"/>
          <w:sz w:val="24"/>
          <w:highlight w:val="none"/>
        </w:rPr>
        <w:t>DL/T5182   《火力发电厂热工自动化就地设备安装、管路及电缆设计技术规定》</w:t>
      </w:r>
    </w:p>
    <w:p w14:paraId="1D465621">
      <w:pPr>
        <w:spacing w:line="360" w:lineRule="auto"/>
        <w:ind w:firstLine="480" w:firstLineChars="200"/>
        <w:rPr>
          <w:color w:val="auto"/>
          <w:sz w:val="24"/>
          <w:highlight w:val="none"/>
        </w:rPr>
      </w:pPr>
      <w:r>
        <w:rPr>
          <w:color w:val="auto"/>
          <w:sz w:val="24"/>
          <w:highlight w:val="none"/>
        </w:rPr>
        <w:t>HJ/T76     《固定污染源烟气（SO</w:t>
      </w:r>
      <w:r>
        <w:rPr>
          <w:color w:val="auto"/>
          <w:sz w:val="24"/>
          <w:highlight w:val="none"/>
          <w:vertAlign w:val="subscript"/>
        </w:rPr>
        <w:t>2</w:t>
      </w:r>
      <w:r>
        <w:rPr>
          <w:color w:val="auto"/>
          <w:sz w:val="24"/>
          <w:highlight w:val="none"/>
        </w:rPr>
        <w:t>、NO</w:t>
      </w:r>
      <w:r>
        <w:rPr>
          <w:color w:val="auto"/>
          <w:sz w:val="24"/>
          <w:highlight w:val="none"/>
          <w:vertAlign w:val="subscript"/>
        </w:rPr>
        <w:t>X</w:t>
      </w:r>
      <w:r>
        <w:rPr>
          <w:color w:val="auto"/>
          <w:sz w:val="24"/>
          <w:highlight w:val="none"/>
        </w:rPr>
        <w:t>、颗粒物）排放连续监测系统技术要求及检测方法》</w:t>
      </w:r>
    </w:p>
    <w:p w14:paraId="5CD2880C">
      <w:pPr>
        <w:spacing w:line="360" w:lineRule="auto"/>
        <w:ind w:firstLine="480" w:firstLineChars="200"/>
        <w:rPr>
          <w:color w:val="auto"/>
          <w:sz w:val="24"/>
          <w:highlight w:val="none"/>
        </w:rPr>
      </w:pPr>
      <w:r>
        <w:rPr>
          <w:color w:val="auto"/>
          <w:sz w:val="24"/>
          <w:highlight w:val="none"/>
        </w:rPr>
        <w:t>GB/T 16157       《固定污染源排气中颗粒物和气态污染物采样方法》</w:t>
      </w:r>
    </w:p>
    <w:p w14:paraId="70EAB085">
      <w:pPr>
        <w:spacing w:line="360" w:lineRule="auto"/>
        <w:ind w:firstLine="480" w:firstLineChars="200"/>
        <w:rPr>
          <w:color w:val="auto"/>
          <w:sz w:val="24"/>
          <w:highlight w:val="none"/>
        </w:rPr>
      </w:pPr>
      <w:r>
        <w:rPr>
          <w:color w:val="auto"/>
          <w:sz w:val="24"/>
          <w:highlight w:val="none"/>
        </w:rPr>
        <w:t>CECS31          《钢制电缆桥架工程设计规范》</w:t>
      </w:r>
    </w:p>
    <w:p w14:paraId="780F0008">
      <w:pPr>
        <w:spacing w:line="360" w:lineRule="auto"/>
        <w:ind w:firstLine="480" w:firstLineChars="200"/>
        <w:rPr>
          <w:color w:val="auto"/>
          <w:sz w:val="24"/>
          <w:highlight w:val="none"/>
        </w:rPr>
      </w:pPr>
      <w:r>
        <w:rPr>
          <w:color w:val="auto"/>
          <w:sz w:val="24"/>
          <w:highlight w:val="none"/>
        </w:rPr>
        <w:t>HJ/T179          《火电厂烟气脱硫工程技术规范石灰石/石灰-石膏法》</w:t>
      </w:r>
    </w:p>
    <w:p w14:paraId="4DC482B6">
      <w:pPr>
        <w:spacing w:line="360" w:lineRule="auto"/>
        <w:ind w:firstLine="480" w:firstLineChars="200"/>
        <w:rPr>
          <w:color w:val="auto"/>
          <w:sz w:val="24"/>
          <w:highlight w:val="none"/>
        </w:rPr>
      </w:pPr>
      <w:r>
        <w:rPr>
          <w:color w:val="auto"/>
          <w:sz w:val="24"/>
          <w:highlight w:val="none"/>
        </w:rPr>
        <w:t>DL/T641          《电站阀门电动执行机构》</w:t>
      </w:r>
    </w:p>
    <w:p w14:paraId="44D7EC70">
      <w:pPr>
        <w:spacing w:line="360" w:lineRule="auto"/>
        <w:ind w:firstLine="480" w:firstLineChars="200"/>
        <w:rPr>
          <w:color w:val="auto"/>
          <w:sz w:val="24"/>
          <w:highlight w:val="none"/>
        </w:rPr>
      </w:pPr>
      <w:r>
        <w:rPr>
          <w:color w:val="auto"/>
          <w:sz w:val="24"/>
          <w:highlight w:val="none"/>
        </w:rPr>
        <w:t>JGJ46            《施工现场临时用电安全技术规范》</w:t>
      </w:r>
    </w:p>
    <w:p w14:paraId="790EFCF8">
      <w:pPr>
        <w:spacing w:line="360" w:lineRule="auto"/>
        <w:ind w:firstLine="480" w:firstLineChars="200"/>
        <w:rPr>
          <w:color w:val="auto"/>
          <w:sz w:val="24"/>
          <w:highlight w:val="none"/>
        </w:rPr>
      </w:pPr>
      <w:r>
        <w:rPr>
          <w:color w:val="auto"/>
          <w:sz w:val="24"/>
          <w:highlight w:val="none"/>
        </w:rPr>
        <w:t>GB50194          《建设工程施工现场供用电安全规范》</w:t>
      </w:r>
    </w:p>
    <w:p w14:paraId="1B7BB552">
      <w:pPr>
        <w:spacing w:line="360" w:lineRule="auto"/>
        <w:ind w:firstLine="480" w:firstLineChars="200"/>
        <w:rPr>
          <w:color w:val="auto"/>
          <w:sz w:val="24"/>
          <w:highlight w:val="none"/>
        </w:rPr>
      </w:pPr>
      <w:r>
        <w:rPr>
          <w:color w:val="auto"/>
          <w:sz w:val="24"/>
          <w:highlight w:val="none"/>
        </w:rPr>
        <w:t>GB50303          《建筑电气工程施工质量验收规范》</w:t>
      </w:r>
    </w:p>
    <w:p w14:paraId="70FD2B2F">
      <w:pPr>
        <w:spacing w:line="360" w:lineRule="auto"/>
        <w:ind w:firstLine="480" w:firstLineChars="200"/>
        <w:rPr>
          <w:color w:val="auto"/>
          <w:sz w:val="24"/>
          <w:highlight w:val="none"/>
        </w:rPr>
      </w:pPr>
      <w:r>
        <w:rPr>
          <w:color w:val="auto"/>
          <w:sz w:val="24"/>
          <w:highlight w:val="none"/>
        </w:rPr>
        <w:t>GB50202         《建筑地基基础工程施工质量验收规范》</w:t>
      </w:r>
    </w:p>
    <w:p w14:paraId="164CA084">
      <w:pPr>
        <w:spacing w:line="360" w:lineRule="auto"/>
        <w:ind w:firstLine="480" w:firstLineChars="200"/>
        <w:rPr>
          <w:color w:val="auto"/>
          <w:sz w:val="24"/>
          <w:highlight w:val="none"/>
        </w:rPr>
      </w:pPr>
      <w:r>
        <w:rPr>
          <w:color w:val="auto"/>
          <w:sz w:val="24"/>
          <w:highlight w:val="none"/>
        </w:rPr>
        <w:t>GB50203          《砌体结构工程施工质量验收规范》</w:t>
      </w:r>
    </w:p>
    <w:p w14:paraId="0D4AB9DB">
      <w:pPr>
        <w:spacing w:line="360" w:lineRule="auto"/>
        <w:ind w:firstLine="480" w:firstLineChars="200"/>
        <w:rPr>
          <w:color w:val="auto"/>
          <w:sz w:val="24"/>
          <w:highlight w:val="none"/>
        </w:rPr>
      </w:pPr>
      <w:r>
        <w:rPr>
          <w:color w:val="auto"/>
          <w:sz w:val="24"/>
          <w:highlight w:val="none"/>
        </w:rPr>
        <w:t>GB50205          《钢结构工程施工质量验收规范》</w:t>
      </w:r>
    </w:p>
    <w:p w14:paraId="1ADAA2D0">
      <w:pPr>
        <w:spacing w:line="360" w:lineRule="auto"/>
        <w:ind w:firstLine="480" w:firstLineChars="200"/>
        <w:rPr>
          <w:color w:val="auto"/>
          <w:sz w:val="24"/>
          <w:highlight w:val="none"/>
        </w:rPr>
      </w:pPr>
      <w:r>
        <w:rPr>
          <w:color w:val="auto"/>
          <w:sz w:val="24"/>
          <w:highlight w:val="none"/>
        </w:rPr>
        <w:t>GB50268          《给水排水管道工程施工及验收规范》</w:t>
      </w:r>
    </w:p>
    <w:p w14:paraId="7F25C3FC">
      <w:pPr>
        <w:spacing w:line="360" w:lineRule="auto"/>
        <w:ind w:firstLine="480" w:firstLineChars="200"/>
        <w:rPr>
          <w:color w:val="auto"/>
          <w:sz w:val="24"/>
          <w:highlight w:val="none"/>
        </w:rPr>
      </w:pPr>
      <w:r>
        <w:rPr>
          <w:color w:val="auto"/>
          <w:sz w:val="24"/>
          <w:highlight w:val="none"/>
        </w:rPr>
        <w:t>JGJ82             《钢结构高强度螺栓连接技术规程》</w:t>
      </w:r>
    </w:p>
    <w:p w14:paraId="21C9426E">
      <w:pPr>
        <w:spacing w:line="360" w:lineRule="auto"/>
        <w:ind w:firstLine="480" w:firstLineChars="200"/>
        <w:rPr>
          <w:color w:val="auto"/>
          <w:sz w:val="24"/>
          <w:highlight w:val="none"/>
        </w:rPr>
      </w:pPr>
      <w:r>
        <w:rPr>
          <w:color w:val="auto"/>
          <w:sz w:val="24"/>
          <w:highlight w:val="none"/>
        </w:rPr>
        <w:t>GB50037          《建筑地面设计规范》</w:t>
      </w:r>
    </w:p>
    <w:p w14:paraId="2DEC332B">
      <w:pPr>
        <w:spacing w:line="360" w:lineRule="auto"/>
        <w:ind w:firstLine="480" w:firstLineChars="200"/>
        <w:rPr>
          <w:color w:val="auto"/>
          <w:sz w:val="24"/>
          <w:highlight w:val="none"/>
        </w:rPr>
      </w:pPr>
      <w:r>
        <w:rPr>
          <w:color w:val="auto"/>
          <w:sz w:val="24"/>
          <w:highlight w:val="none"/>
        </w:rPr>
        <w:t>GB50345          《屋面工程技术规范》</w:t>
      </w:r>
    </w:p>
    <w:p w14:paraId="2BF25598">
      <w:pPr>
        <w:spacing w:line="360" w:lineRule="auto"/>
        <w:ind w:firstLine="480" w:firstLineChars="200"/>
        <w:rPr>
          <w:color w:val="auto"/>
          <w:sz w:val="24"/>
          <w:highlight w:val="none"/>
        </w:rPr>
      </w:pPr>
      <w:r>
        <w:rPr>
          <w:color w:val="auto"/>
          <w:sz w:val="24"/>
          <w:highlight w:val="none"/>
        </w:rPr>
        <w:t>GB50207          《屋面工程质量验收规范》</w:t>
      </w:r>
    </w:p>
    <w:p w14:paraId="3A275E90">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WU5DNGLqFxwuRCjiLDllPnEV39vNdnq3fFIyOnVxUvgTCLEhp6R98g%2FUdyWxvRtPHWoq4hzR%2FCWMonIHomGqwH0JD0XHbFn513Ee%2DUnsinIgxMv5CHSZpzIvsQLs3Lx2b9hrXrXBxlH6bYSWKxTADhZcqTTt7elfCLrYBFtGIfrB64wnU5ZUztWlnHQ20cu%2DuCCWXxcbDXfNo0VQepjJ%2D4442cmxHR7I" \t "_blank"</w:instrText>
      </w:r>
      <w:r>
        <w:rPr>
          <w:color w:val="auto"/>
          <w:highlight w:val="none"/>
        </w:rPr>
        <w:fldChar w:fldCharType="separate"/>
      </w:r>
      <w:r>
        <w:rPr>
          <w:color w:val="auto"/>
          <w:sz w:val="24"/>
          <w:highlight w:val="none"/>
        </w:rPr>
        <w:t>GB50141</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WU5DNGLqFxwuRCjiLDllPnEV39vNdnq3fFIyOnVxUvgTCLEhp6R98g%2FUdyWxvRtPHWoq4hzR%2FCWMonIHomGqwH0JD0XHbFn513Ee%2DUnsinIgxMv5CHSZpzIvsQLs3Lx2b9hrXrXBxlH6bYSWKxTADhZcqTTt7elfCLrYBFtGIfrB64wnU5ZUztWlnHQ20cu%2DuCCWXxcbDXfNo0VQepjJ%2D4442cmxHR7I" \t "_blank"</w:instrText>
      </w:r>
      <w:r>
        <w:rPr>
          <w:color w:val="auto"/>
          <w:highlight w:val="none"/>
        </w:rPr>
        <w:fldChar w:fldCharType="separate"/>
      </w:r>
      <w:r>
        <w:rPr>
          <w:color w:val="auto"/>
          <w:sz w:val="24"/>
          <w:highlight w:val="none"/>
        </w:rPr>
        <w:t>给水排水构筑物工程施工及验收规范</w:t>
      </w:r>
      <w:r>
        <w:rPr>
          <w:color w:val="auto"/>
          <w:highlight w:val="none"/>
        </w:rPr>
        <w:fldChar w:fldCharType="end"/>
      </w:r>
      <w:r>
        <w:rPr>
          <w:color w:val="auto"/>
          <w:sz w:val="24"/>
          <w:highlight w:val="none"/>
        </w:rPr>
        <w:t>》</w:t>
      </w:r>
    </w:p>
    <w:p w14:paraId="0AF21204">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NxpGoNXBxrCMH3Us5nwXJh1qKuIc0fwljKJyB6JhqsB9CQ9Fx2xZ%2DddxHvlJ7IpyIMTL%2DQh0maftmdATadcQ1G%2FYa161wcZR%2Dm2ElisUwA4WXKk07e3pX9Us4l5Wvoe2Fh5ynnkm%2DFTVpZx0NtHLvrggll8XGw13zaNFUHqYyfuOONnJsR0eyA" \t "_blank"</w:instrText>
      </w:r>
      <w:r>
        <w:rPr>
          <w:color w:val="auto"/>
          <w:highlight w:val="none"/>
        </w:rPr>
        <w:fldChar w:fldCharType="separate"/>
      </w:r>
      <w:r>
        <w:rPr>
          <w:color w:val="auto"/>
          <w:sz w:val="24"/>
          <w:highlight w:val="none"/>
        </w:rPr>
        <w:t>GB50242</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NxpGoNXBxrCMH3Us5nwXJh1qKuIc0fwljKJyB6JhqsB9CQ9Fx2xZ%2DddxHvlJ7IpyIMTL%2DQh0maftmdATadcQ1G%2FYa161wcZR%2Dm2ElisUwA4WXKk07e3pX9Us4l5Wvoe2Fh5ynnkm%2DFTVpZx0NtHLvrggll8XGw13zaNFUHqYyfuOONnJsR0eyA" \t "_blank"</w:instrText>
      </w:r>
      <w:r>
        <w:rPr>
          <w:color w:val="auto"/>
          <w:highlight w:val="none"/>
        </w:rPr>
        <w:fldChar w:fldCharType="separate"/>
      </w:r>
      <w:r>
        <w:rPr>
          <w:color w:val="auto"/>
          <w:sz w:val="24"/>
          <w:highlight w:val="none"/>
        </w:rPr>
        <w:t>建筑给水排水及采暖工程施工质量验收规范</w:t>
      </w:r>
      <w:r>
        <w:rPr>
          <w:color w:val="auto"/>
          <w:highlight w:val="none"/>
        </w:rPr>
        <w:fldChar w:fldCharType="end"/>
      </w:r>
      <w:r>
        <w:rPr>
          <w:color w:val="auto"/>
          <w:sz w:val="24"/>
          <w:highlight w:val="none"/>
        </w:rPr>
        <w:t>》</w:t>
      </w:r>
    </w:p>
    <w:p w14:paraId="345BF7C8">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aehoYlc9csh0Ww4DFdKgo1cGkubs20gaJSzHCuItvm4IvmsF2i9C1IoDsL6t2FjzQ9HnVN20ZyGw9fapdKlz3bJuEQvkho9WIFMCczNF5qSvKUbjYP%2Fwm5XcDGGeXuJ%2DIQJdBYrY18rIsYk7rQqHOMVi88POb3mIQcoB6XjFtA9rv2Ax%2Diq6mI442cmxHR7I" \t "_blank"</w:instrText>
      </w:r>
      <w:r>
        <w:rPr>
          <w:color w:val="auto"/>
          <w:highlight w:val="none"/>
        </w:rPr>
        <w:fldChar w:fldCharType="separate"/>
      </w:r>
      <w:r>
        <w:rPr>
          <w:color w:val="auto"/>
          <w:sz w:val="24"/>
          <w:highlight w:val="none"/>
        </w:rPr>
        <w:t>GB50243</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aehoYlc9csh0Ww4DFdKgo1cGkubs20gaJSzHCuItvm4IvmsF2i9C1IoDsL6t2FjzQ9HnVN20ZyGw9fapdKlz3bJuEQvkho9WIFMCczNF5qSvKUbjYP%2Fwm5XcDGGeXuJ%2DIQJdBYrY18rIsYk7rQqHOMVi88POb3mIQcoB6XjFtA9rv2Ax%2Diq6mI442cmxHR7I" \t "_blank"</w:instrText>
      </w:r>
      <w:r>
        <w:rPr>
          <w:color w:val="auto"/>
          <w:highlight w:val="none"/>
        </w:rPr>
        <w:fldChar w:fldCharType="separate"/>
      </w:r>
      <w:r>
        <w:rPr>
          <w:color w:val="auto"/>
          <w:sz w:val="24"/>
          <w:highlight w:val="none"/>
        </w:rPr>
        <w:t>通风与空调工程施工质量验收规范</w:t>
      </w:r>
      <w:r>
        <w:rPr>
          <w:color w:val="auto"/>
          <w:highlight w:val="none"/>
        </w:rPr>
        <w:fldChar w:fldCharType="end"/>
      </w:r>
      <w:r>
        <w:rPr>
          <w:color w:val="auto"/>
          <w:sz w:val="24"/>
          <w:highlight w:val="none"/>
        </w:rPr>
        <w:t>》</w:t>
      </w:r>
    </w:p>
    <w:p w14:paraId="0BBEC094">
      <w:pPr>
        <w:spacing w:line="360" w:lineRule="auto"/>
        <w:ind w:firstLine="480" w:firstLineChars="200"/>
        <w:rPr>
          <w:color w:val="auto"/>
          <w:sz w:val="24"/>
          <w:highlight w:val="none"/>
        </w:rPr>
      </w:pPr>
      <w:r>
        <w:rPr>
          <w:color w:val="auto"/>
          <w:sz w:val="24"/>
          <w:highlight w:val="none"/>
        </w:rPr>
        <w:t>GB50243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aehoYlc9csh0Ww4DFdKgo1cGkubs20gaJSzHCuItvm4IvmsF2i9C1IoDsL6t2FjzQ9HnVN20ZyGw9fapdKlz3bJuEQvkho9WIFMCczNF5qSvKUbjYP%2Fwm5XcDGGeXuJ%2DIQJdBYrY18rxWrYidmPKrMVi88POb3mIQcoB6XjFtA9rv2Ax%2Diq6mI442cmxHR7I" \t "_blank"</w:instrText>
      </w:r>
      <w:r>
        <w:rPr>
          <w:color w:val="auto"/>
          <w:highlight w:val="none"/>
        </w:rPr>
        <w:fldChar w:fldCharType="separate"/>
      </w:r>
      <w:r>
        <w:rPr>
          <w:color w:val="auto"/>
          <w:sz w:val="24"/>
          <w:highlight w:val="none"/>
        </w:rPr>
        <w:t>通风与空调工程施工质量验收规范</w:t>
      </w:r>
      <w:r>
        <w:rPr>
          <w:color w:val="auto"/>
          <w:highlight w:val="none"/>
        </w:rPr>
        <w:fldChar w:fldCharType="end"/>
      </w:r>
      <w:r>
        <w:rPr>
          <w:color w:val="auto"/>
          <w:sz w:val="24"/>
          <w:highlight w:val="none"/>
        </w:rPr>
        <w:t>》</w:t>
      </w:r>
    </w:p>
    <w:p w14:paraId="758A41DF">
      <w:pPr>
        <w:spacing w:line="360" w:lineRule="auto"/>
        <w:ind w:firstLine="480" w:firstLineChars="200"/>
        <w:rPr>
          <w:color w:val="auto"/>
          <w:sz w:val="24"/>
          <w:highlight w:val="none"/>
        </w:rPr>
      </w:pPr>
      <w:r>
        <w:rPr>
          <w:color w:val="auto"/>
          <w:sz w:val="24"/>
          <w:highlight w:val="none"/>
        </w:rPr>
        <w:t>GB50263          《气体灭火系统施工及验收规范》</w:t>
      </w:r>
    </w:p>
    <w:p w14:paraId="57AFBA82">
      <w:pPr>
        <w:spacing w:line="360" w:lineRule="auto"/>
        <w:ind w:firstLine="480" w:firstLineChars="200"/>
        <w:rPr>
          <w:color w:val="auto"/>
          <w:sz w:val="24"/>
          <w:highlight w:val="none"/>
        </w:rPr>
      </w:pPr>
      <w:r>
        <w:rPr>
          <w:color w:val="auto"/>
          <w:sz w:val="24"/>
          <w:highlight w:val="none"/>
        </w:rPr>
        <w:t>DL/T838          《发电企业设备检修导则》</w:t>
      </w:r>
    </w:p>
    <w:p w14:paraId="66D9CFA9">
      <w:pPr>
        <w:spacing w:line="360" w:lineRule="auto"/>
        <w:ind w:firstLine="480" w:firstLineChars="200"/>
        <w:rPr>
          <w:color w:val="auto"/>
          <w:sz w:val="24"/>
          <w:highlight w:val="none"/>
        </w:rPr>
      </w:pPr>
      <w:r>
        <w:rPr>
          <w:color w:val="auto"/>
          <w:sz w:val="24"/>
          <w:highlight w:val="none"/>
        </w:rPr>
        <w:t>HGJ229           《工业设备、管道防腐蚀工程施工及验收规范》</w:t>
      </w:r>
    </w:p>
    <w:p w14:paraId="575C9E59">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PciKWxuMA5PJ%2DAzKee3AclRUYMU6sVZYCUXt3KTmotnHEpw8%2FuchjkdH%2FYvhFtBFqTjEIf%2FrFyuw9fapdKlz3bJuEQvkho9WLq7qQWAfs2qvKUbjYP%2Fwm5XcDGGeXuJ%2DIQJdBYrY18qBQ9hKTk6FrcVi88POb3mIQcoB6XjFtA9rv2Ax%2Diq6mI442cmxHR7I" \t "_blank"</w:instrText>
      </w:r>
      <w:r>
        <w:rPr>
          <w:color w:val="auto"/>
          <w:highlight w:val="none"/>
        </w:rPr>
        <w:fldChar w:fldCharType="separate"/>
      </w:r>
      <w:r>
        <w:rPr>
          <w:color w:val="auto"/>
          <w:sz w:val="24"/>
          <w:highlight w:val="none"/>
        </w:rPr>
        <w:t>DL 902</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PciKWxuMA5PJ%2DAzKee3AclRUYMU6sVZYCUXt3KTmotnHEpw8%2FuchjkdH%2FYvhFtBFqTjEIf%2FrFyuw9fapdKlz3bJuEQvkho9WLq7qQWAfs2qvKUbjYP%2Fwm5XcDGGeXuJ%2DIQJdBYrY18qBQ9hKTk6FrcVi88POb3mIQcoB6XjFtA9rv2Ax%2Diq6mI442cmxHR7I" \t "_blank"</w:instrText>
      </w:r>
      <w:r>
        <w:rPr>
          <w:color w:val="auto"/>
          <w:highlight w:val="none"/>
        </w:rPr>
        <w:fldChar w:fldCharType="separate"/>
      </w:r>
      <w:r>
        <w:rPr>
          <w:color w:val="auto"/>
          <w:sz w:val="24"/>
          <w:highlight w:val="none"/>
        </w:rPr>
        <w:t>耐磨耐火材料技术条件与检验方法</w:t>
      </w:r>
      <w:r>
        <w:rPr>
          <w:color w:val="auto"/>
          <w:highlight w:val="none"/>
        </w:rPr>
        <w:fldChar w:fldCharType="end"/>
      </w:r>
      <w:r>
        <w:rPr>
          <w:color w:val="auto"/>
          <w:sz w:val="24"/>
          <w:highlight w:val="none"/>
        </w:rPr>
        <w:t>》</w:t>
      </w:r>
    </w:p>
    <w:p w14:paraId="7DC9E2B3">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urMbx3lr3JkvWTNbbHiwPRO1MGYlFjzlXIpPjceW2qFVE2%2Faeod8O5gyNm8yZ0jFBgNM8Y%2DV8Vq3RJOjYi4DW8IOLPdf9xKjPaMG4GBiqHGom%2Dxst8qVsvDtIAG71oVxXr5wsXElkDJH2Q5A5ktpdNOVx6jDDbKQpG8peYZLirvx82u1mzBLEPYtDPDOsTvNjjjZybEdHsg" \t "_blank"</w:instrText>
      </w:r>
      <w:r>
        <w:rPr>
          <w:color w:val="auto"/>
          <w:highlight w:val="none"/>
        </w:rPr>
        <w:fldChar w:fldCharType="separate"/>
      </w:r>
      <w:r>
        <w:rPr>
          <w:color w:val="auto"/>
          <w:sz w:val="24"/>
          <w:highlight w:val="none"/>
        </w:rPr>
        <w:t>DL 616</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urMbx3lr3JkvWTNbbHiwPRO1MGYlFjzlXIpPjceW2qFVE2%2Faeod8O5gyNm8yZ0jFBgNM8Y%2DV8Vq3RJOjYi4DW8IOLPdf9xKjPaMG4GBiqHGom%2Dxst8qVsvDtIAG71oVxXr5wsXElkDJH2Q5A5ktpdNOVx6jDDbKQpG8peYZLirvx82u1mzBLEPYtDPDOsTvNjjjZybEdHsg" \t "_blank"</w:instrText>
      </w:r>
      <w:r>
        <w:rPr>
          <w:color w:val="auto"/>
          <w:highlight w:val="none"/>
        </w:rPr>
        <w:fldChar w:fldCharType="separate"/>
      </w:r>
      <w:r>
        <w:rPr>
          <w:color w:val="auto"/>
          <w:sz w:val="24"/>
          <w:highlight w:val="none"/>
        </w:rPr>
        <w:t>火力发电厂汽水管道与支吊架维修调整导则</w:t>
      </w:r>
      <w:r>
        <w:rPr>
          <w:color w:val="auto"/>
          <w:highlight w:val="none"/>
        </w:rPr>
        <w:fldChar w:fldCharType="end"/>
      </w:r>
      <w:r>
        <w:rPr>
          <w:color w:val="auto"/>
          <w:sz w:val="24"/>
          <w:highlight w:val="none"/>
        </w:rPr>
        <w:t>》</w:t>
      </w:r>
    </w:p>
    <w:p w14:paraId="356BC037">
      <w:pPr>
        <w:spacing w:line="360" w:lineRule="auto"/>
        <w:ind w:firstLine="480" w:firstLineChars="200"/>
        <w:rPr>
          <w:color w:val="auto"/>
          <w:sz w:val="24"/>
          <w:highlight w:val="none"/>
        </w:rPr>
      </w:pPr>
      <w:r>
        <w:rPr>
          <w:color w:val="auto"/>
          <w:sz w:val="24"/>
          <w:highlight w:val="none"/>
        </w:rPr>
        <w:t>DL/T869           《火力发电厂焊接技术规程》</w:t>
      </w:r>
    </w:p>
    <w:p w14:paraId="0B07E4F0">
      <w:pPr>
        <w:spacing w:line="360" w:lineRule="auto"/>
        <w:ind w:firstLine="480" w:firstLineChars="200"/>
        <w:rPr>
          <w:color w:val="auto"/>
          <w:sz w:val="24"/>
          <w:highlight w:val="none"/>
        </w:rPr>
      </w:pPr>
      <w:r>
        <w:rPr>
          <w:color w:val="auto"/>
          <w:sz w:val="24"/>
          <w:highlight w:val="none"/>
        </w:rPr>
        <w:t>DL5190.1          《电力建设施工技术规范第1部分：土建结构工程》</w:t>
      </w:r>
    </w:p>
    <w:p w14:paraId="2E170F46">
      <w:pPr>
        <w:spacing w:line="360" w:lineRule="auto"/>
        <w:ind w:firstLine="480" w:firstLineChars="200"/>
        <w:rPr>
          <w:color w:val="auto"/>
          <w:sz w:val="24"/>
          <w:highlight w:val="none"/>
        </w:rPr>
      </w:pPr>
      <w:r>
        <w:rPr>
          <w:color w:val="auto"/>
          <w:sz w:val="24"/>
          <w:highlight w:val="none"/>
        </w:rPr>
        <w:t>DL5190.2          《电力建设施工技术规范第2部分：锅炉机组》</w:t>
      </w:r>
    </w:p>
    <w:p w14:paraId="72BC2879">
      <w:pPr>
        <w:spacing w:line="360" w:lineRule="auto"/>
        <w:ind w:firstLine="480" w:firstLineChars="200"/>
        <w:rPr>
          <w:color w:val="auto"/>
          <w:sz w:val="24"/>
          <w:highlight w:val="none"/>
        </w:rPr>
      </w:pPr>
      <w:r>
        <w:rPr>
          <w:color w:val="auto"/>
          <w:sz w:val="24"/>
          <w:highlight w:val="none"/>
        </w:rPr>
        <w:t>DL5190.9          《电力建设施工技术规范第9部分：水工结构工程》</w:t>
      </w:r>
    </w:p>
    <w:p w14:paraId="6683F710">
      <w:pPr>
        <w:spacing w:line="360" w:lineRule="auto"/>
        <w:ind w:firstLine="480" w:firstLineChars="200"/>
        <w:rPr>
          <w:color w:val="auto"/>
          <w:sz w:val="24"/>
          <w:highlight w:val="none"/>
        </w:rPr>
      </w:pPr>
      <w:r>
        <w:rPr>
          <w:color w:val="auto"/>
          <w:sz w:val="24"/>
          <w:highlight w:val="none"/>
        </w:rPr>
        <w:t>DL5190.4       《电力建设施工技术规范第4部分：热工仪表及控制装置》</w:t>
      </w:r>
    </w:p>
    <w:p w14:paraId="5B45074D">
      <w:pPr>
        <w:spacing w:line="360" w:lineRule="auto"/>
        <w:ind w:firstLine="480" w:firstLineChars="200"/>
        <w:rPr>
          <w:color w:val="auto"/>
          <w:sz w:val="24"/>
          <w:highlight w:val="none"/>
        </w:rPr>
      </w:pPr>
      <w:r>
        <w:rPr>
          <w:color w:val="auto"/>
          <w:sz w:val="24"/>
          <w:highlight w:val="none"/>
        </w:rPr>
        <w:t>DL5190.5          《电力建设施工技术规范第5部分：管道及系统》</w:t>
      </w:r>
    </w:p>
    <w:p w14:paraId="262F3BCB">
      <w:pPr>
        <w:spacing w:line="360" w:lineRule="auto"/>
        <w:ind w:firstLine="480" w:firstLineChars="200"/>
        <w:rPr>
          <w:color w:val="auto"/>
          <w:sz w:val="24"/>
          <w:highlight w:val="none"/>
        </w:rPr>
      </w:pPr>
      <w:r>
        <w:rPr>
          <w:color w:val="auto"/>
          <w:sz w:val="24"/>
          <w:highlight w:val="none"/>
        </w:rPr>
        <w:t>GB50168           《电气装置安装工程电缆线路施工及验收规范》</w:t>
      </w:r>
    </w:p>
    <w:p w14:paraId="6C9B6B86">
      <w:pPr>
        <w:spacing w:line="360" w:lineRule="auto"/>
        <w:ind w:firstLine="480" w:firstLineChars="200"/>
        <w:rPr>
          <w:color w:val="auto"/>
          <w:sz w:val="24"/>
          <w:highlight w:val="none"/>
        </w:rPr>
      </w:pPr>
      <w:r>
        <w:rPr>
          <w:color w:val="auto"/>
          <w:sz w:val="24"/>
          <w:highlight w:val="none"/>
        </w:rPr>
        <w:t>GB50169           《电气装置安装工程接地线路施工及验收规范》</w:t>
      </w:r>
    </w:p>
    <w:p w14:paraId="2DBD07FA">
      <w:pPr>
        <w:spacing w:line="360" w:lineRule="auto"/>
        <w:ind w:firstLine="480" w:firstLineChars="200"/>
        <w:rPr>
          <w:color w:val="auto"/>
          <w:sz w:val="24"/>
          <w:highlight w:val="none"/>
        </w:rPr>
      </w:pPr>
      <w:r>
        <w:rPr>
          <w:color w:val="auto"/>
          <w:sz w:val="24"/>
          <w:highlight w:val="none"/>
        </w:rPr>
        <w:t>GB50170           《电气装置安装工程旋转电机施工及验收规范》</w:t>
      </w:r>
    </w:p>
    <w:p w14:paraId="001C808F">
      <w:pPr>
        <w:spacing w:line="360" w:lineRule="auto"/>
        <w:ind w:firstLine="480" w:firstLineChars="200"/>
        <w:rPr>
          <w:color w:val="auto"/>
          <w:sz w:val="24"/>
          <w:highlight w:val="none"/>
        </w:rPr>
      </w:pPr>
      <w:r>
        <w:rPr>
          <w:color w:val="auto"/>
          <w:sz w:val="24"/>
          <w:highlight w:val="none"/>
        </w:rPr>
        <w:t>GB50171           《电气安装工程盘柜二次接线施工及验收规范》</w:t>
      </w:r>
    </w:p>
    <w:p w14:paraId="254DC386">
      <w:pPr>
        <w:spacing w:line="360" w:lineRule="auto"/>
        <w:ind w:firstLine="480" w:firstLineChars="200"/>
        <w:rPr>
          <w:color w:val="auto"/>
          <w:sz w:val="24"/>
          <w:highlight w:val="none"/>
        </w:rPr>
      </w:pPr>
      <w:r>
        <w:rPr>
          <w:color w:val="auto"/>
          <w:sz w:val="24"/>
          <w:highlight w:val="none"/>
        </w:rPr>
        <w:t>GB50172           《电气装置安装工程蓄电池施工及验收规范》</w:t>
      </w:r>
    </w:p>
    <w:p w14:paraId="4B473F67">
      <w:pPr>
        <w:spacing w:line="360" w:lineRule="auto"/>
        <w:ind w:firstLine="480" w:firstLineChars="200"/>
        <w:rPr>
          <w:color w:val="auto"/>
          <w:sz w:val="24"/>
          <w:highlight w:val="none"/>
        </w:rPr>
      </w:pPr>
      <w:r>
        <w:rPr>
          <w:color w:val="auto"/>
          <w:sz w:val="24"/>
          <w:highlight w:val="none"/>
        </w:rPr>
        <w:t>GB50147           《电气装置安装工程高压电器施工及验收规范》</w:t>
      </w:r>
    </w:p>
    <w:p w14:paraId="49A9C0E6">
      <w:pPr>
        <w:spacing w:line="360" w:lineRule="auto"/>
        <w:ind w:firstLine="480" w:firstLineChars="200"/>
        <w:rPr>
          <w:color w:val="auto"/>
          <w:sz w:val="24"/>
          <w:highlight w:val="none"/>
        </w:rPr>
      </w:pPr>
      <w:r>
        <w:rPr>
          <w:color w:val="auto"/>
          <w:sz w:val="24"/>
          <w:highlight w:val="none"/>
        </w:rPr>
        <w:t>GB50148           《电气装置安装工程电力变压器、油浸变压器、互感器施工及验收规范》</w:t>
      </w:r>
    </w:p>
    <w:p w14:paraId="64C5E461">
      <w:pPr>
        <w:spacing w:line="360" w:lineRule="auto"/>
        <w:ind w:firstLine="480" w:firstLineChars="200"/>
        <w:rPr>
          <w:color w:val="auto"/>
          <w:sz w:val="24"/>
          <w:highlight w:val="none"/>
        </w:rPr>
      </w:pPr>
      <w:r>
        <w:rPr>
          <w:color w:val="auto"/>
          <w:sz w:val="24"/>
          <w:highlight w:val="none"/>
        </w:rPr>
        <w:t>GB50149           《电气装置安装工程母线装置施工及验收规范》</w:t>
      </w:r>
    </w:p>
    <w:p w14:paraId="655ECEB2">
      <w:pPr>
        <w:spacing w:line="360" w:lineRule="auto"/>
        <w:ind w:firstLine="480" w:firstLineChars="200"/>
        <w:rPr>
          <w:color w:val="auto"/>
          <w:sz w:val="24"/>
          <w:highlight w:val="none"/>
        </w:rPr>
      </w:pPr>
      <w:r>
        <w:rPr>
          <w:color w:val="auto"/>
          <w:sz w:val="24"/>
          <w:highlight w:val="none"/>
        </w:rPr>
        <w:t>GB50256         《电气装置安装工程起重机电气装置施工及验收规范》</w:t>
      </w:r>
    </w:p>
    <w:p w14:paraId="203F2E11">
      <w:pPr>
        <w:spacing w:line="360" w:lineRule="auto"/>
        <w:ind w:firstLine="480" w:firstLineChars="200"/>
        <w:rPr>
          <w:color w:val="auto"/>
          <w:sz w:val="24"/>
          <w:highlight w:val="none"/>
        </w:rPr>
      </w:pPr>
      <w:r>
        <w:rPr>
          <w:color w:val="auto"/>
          <w:sz w:val="24"/>
          <w:highlight w:val="none"/>
        </w:rPr>
        <w:t>GB50303           《建筑电气工程施工质量验收规范》</w:t>
      </w:r>
    </w:p>
    <w:p w14:paraId="6DFD9569">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Ej%2DkyH0W497vCh0fo8pPk2Kuc0iV4ORuX8x3Ow%2D9d%2Fb%2FuTPO59MrBmGp2Q8vErUhA77VmWrY7MMuOqS1SYlCkMIOLPdf9xKjPaMG4GBiqHG4Ui0HGyOpy%2FDtIAG71oVxXr5wsXElkDJH2Q5A5ktpdCgAU6MYbNIwpG8peYZLirvx82u1mzBLEPYtDPDOsTvNjjjZybEdHsg" \t "_blank"</w:instrText>
      </w:r>
      <w:r>
        <w:rPr>
          <w:color w:val="auto"/>
          <w:highlight w:val="none"/>
        </w:rPr>
        <w:fldChar w:fldCharType="separate"/>
      </w:r>
      <w:r>
        <w:rPr>
          <w:color w:val="auto"/>
          <w:sz w:val="24"/>
          <w:highlight w:val="none"/>
        </w:rPr>
        <w:t>YB 9256</w:t>
      </w:r>
      <w:r>
        <w:rPr>
          <w:color w:val="auto"/>
          <w:highlight w:val="none"/>
        </w:rPr>
        <w:fldChar w:fldCharType="end"/>
      </w:r>
      <w:r>
        <w:rPr>
          <w:color w:val="auto"/>
          <w:sz w:val="24"/>
          <w:highlight w:val="none"/>
        </w:rPr>
        <w:t xml:space="preserve">            《钢结构、管道涂装工程技术规程》</w:t>
      </w:r>
    </w:p>
    <w:p w14:paraId="26D467BD">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wpeNUny3uOgBlYZ6A9dy42EaAXr1utlyNI%2DeWoSMFipTRE9VhVIlyJugkRnoLD1M5OKfPNoTH9RSB4vZBgFbaQwPpBuWnOma3pikPToCNHSfXWBVffHTxEOKlcCiw8Tw5S0rddc272DnivfiuIWQyw1EfMoCWoB0bwJPdv4QWX0Wn3UrgboZFa6MSMSLFAkT2zyJ884%2DyxCOONnJsR0eyA" \t "_blank"</w:instrText>
      </w:r>
      <w:r>
        <w:rPr>
          <w:color w:val="auto"/>
          <w:highlight w:val="none"/>
        </w:rPr>
        <w:fldChar w:fldCharType="separate"/>
      </w:r>
      <w:r>
        <w:rPr>
          <w:color w:val="auto"/>
          <w:sz w:val="24"/>
          <w:highlight w:val="none"/>
        </w:rPr>
        <w:t>GB 50231</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wpeNUny3uOgBlYZ6A9dy42EaAXr1utlyNI%2DeWoSMFipTRE9VhVIlyJugkRnoLD1M5OKfPNoTH9RSB4vZBgFbaQwPpBuWnOma3pikPToCNHSfXWBVffHTxEOKlcCiw8Tw5S0rddc272DnivfiuIWQyw1EfMoCWoB0bwJPdv4QWX0Wn3UrgboZFa6MSMSLFAkT2zyJ884%2DyxCOONnJsR0eyA" \t "_blank"</w:instrText>
      </w:r>
      <w:r>
        <w:rPr>
          <w:color w:val="auto"/>
          <w:highlight w:val="none"/>
        </w:rPr>
        <w:fldChar w:fldCharType="separate"/>
      </w:r>
      <w:r>
        <w:rPr>
          <w:color w:val="auto"/>
          <w:sz w:val="24"/>
          <w:highlight w:val="none"/>
        </w:rPr>
        <w:t>机械设备安装工程施工及验收通用规范</w:t>
      </w:r>
      <w:r>
        <w:rPr>
          <w:color w:val="auto"/>
          <w:highlight w:val="none"/>
        </w:rPr>
        <w:fldChar w:fldCharType="end"/>
      </w:r>
      <w:r>
        <w:rPr>
          <w:color w:val="auto"/>
          <w:sz w:val="24"/>
          <w:highlight w:val="none"/>
        </w:rPr>
        <w:t>》</w:t>
      </w:r>
    </w:p>
    <w:p w14:paraId="3E6A7BFC">
      <w:pPr>
        <w:spacing w:line="360" w:lineRule="auto"/>
        <w:ind w:firstLine="480" w:firstLineChars="200"/>
        <w:rPr>
          <w:color w:val="auto"/>
          <w:sz w:val="24"/>
          <w:highlight w:val="none"/>
        </w:rPr>
      </w:pPr>
      <w:r>
        <w:rPr>
          <w:color w:val="auto"/>
          <w:sz w:val="24"/>
          <w:highlight w:val="none"/>
        </w:rPr>
        <w:t>GB50235           《工业金属管道工程施工及验收规范》</w:t>
      </w:r>
    </w:p>
    <w:p w14:paraId="1A5FDED5">
      <w:pPr>
        <w:spacing w:line="360" w:lineRule="auto"/>
        <w:ind w:firstLine="480" w:firstLineChars="200"/>
        <w:rPr>
          <w:color w:val="auto"/>
          <w:sz w:val="24"/>
          <w:highlight w:val="none"/>
        </w:rPr>
      </w:pPr>
      <w:r>
        <w:rPr>
          <w:color w:val="auto"/>
          <w:sz w:val="24"/>
          <w:highlight w:val="none"/>
        </w:rPr>
        <w:t>DL/T5295       《火力发电建设工程机组调试质量验收及评价规程》</w:t>
      </w:r>
    </w:p>
    <w:p w14:paraId="13E60DBE">
      <w:pPr>
        <w:spacing w:line="360" w:lineRule="auto"/>
        <w:ind w:firstLine="480" w:firstLineChars="200"/>
        <w:rPr>
          <w:color w:val="auto"/>
          <w:sz w:val="24"/>
          <w:highlight w:val="none"/>
        </w:rPr>
      </w:pPr>
      <w:r>
        <w:rPr>
          <w:color w:val="auto"/>
          <w:sz w:val="24"/>
          <w:highlight w:val="none"/>
        </w:rPr>
        <w:t>GB50150          《电气装置安装工程电气设备交接试验规程》</w:t>
      </w:r>
    </w:p>
    <w:p w14:paraId="215B90CD">
      <w:pPr>
        <w:spacing w:line="360" w:lineRule="auto"/>
        <w:ind w:firstLine="480" w:firstLineChars="200"/>
        <w:rPr>
          <w:color w:val="auto"/>
          <w:sz w:val="24"/>
          <w:highlight w:val="none"/>
        </w:rPr>
      </w:pPr>
      <w:r>
        <w:rPr>
          <w:color w:val="auto"/>
          <w:sz w:val="24"/>
          <w:highlight w:val="none"/>
        </w:rPr>
        <w:t>《火力发电厂施工组织大纲设计规定》</w:t>
      </w:r>
    </w:p>
    <w:p w14:paraId="1572932F">
      <w:pPr>
        <w:spacing w:line="360" w:lineRule="auto"/>
        <w:ind w:firstLine="480" w:firstLineChars="200"/>
        <w:rPr>
          <w:color w:val="auto"/>
          <w:sz w:val="24"/>
          <w:highlight w:val="none"/>
        </w:rPr>
      </w:pPr>
      <w:r>
        <w:rPr>
          <w:color w:val="auto"/>
          <w:sz w:val="24"/>
          <w:highlight w:val="none"/>
        </w:rPr>
        <w:t>DL/T5706          《火力发电工程施工组织设计导则》</w:t>
      </w:r>
    </w:p>
    <w:p w14:paraId="023FB960">
      <w:pPr>
        <w:spacing w:line="360" w:lineRule="auto"/>
        <w:ind w:firstLine="480" w:firstLineChars="200"/>
        <w:rPr>
          <w:color w:val="auto"/>
          <w:sz w:val="24"/>
          <w:highlight w:val="none"/>
        </w:rPr>
      </w:pPr>
      <w:r>
        <w:rPr>
          <w:color w:val="auto"/>
          <w:sz w:val="24"/>
          <w:highlight w:val="none"/>
        </w:rPr>
        <w:t>《电业安全工作规程》（热力和机械部分）</w:t>
      </w:r>
    </w:p>
    <w:p w14:paraId="70C63657">
      <w:pPr>
        <w:spacing w:line="360" w:lineRule="auto"/>
        <w:ind w:firstLine="480" w:firstLineChars="200"/>
        <w:rPr>
          <w:color w:val="auto"/>
          <w:sz w:val="24"/>
          <w:highlight w:val="none"/>
        </w:rPr>
      </w:pPr>
      <w:r>
        <w:rPr>
          <w:color w:val="auto"/>
          <w:sz w:val="24"/>
          <w:highlight w:val="none"/>
        </w:rPr>
        <w:t>《电业安全工作规程》（发电厂和变电所电气部分）</w:t>
      </w:r>
    </w:p>
    <w:p w14:paraId="4B73688D">
      <w:pPr>
        <w:spacing w:line="360" w:lineRule="auto"/>
        <w:ind w:firstLine="480" w:firstLineChars="200"/>
        <w:rPr>
          <w:color w:val="auto"/>
          <w:sz w:val="24"/>
          <w:highlight w:val="none"/>
        </w:rPr>
      </w:pPr>
      <w:r>
        <w:rPr>
          <w:color w:val="auto"/>
          <w:sz w:val="24"/>
          <w:highlight w:val="none"/>
        </w:rPr>
        <w:t>DL5009.1          《电力建设安全工作规程》（火力发电厂部分）</w:t>
      </w:r>
    </w:p>
    <w:p w14:paraId="3398E609">
      <w:pPr>
        <w:spacing w:line="360" w:lineRule="auto"/>
        <w:ind w:firstLine="480" w:firstLineChars="200"/>
        <w:rPr>
          <w:color w:val="auto"/>
          <w:sz w:val="24"/>
          <w:highlight w:val="none"/>
        </w:rPr>
      </w:pPr>
      <w:r>
        <w:rPr>
          <w:color w:val="auto"/>
          <w:sz w:val="24"/>
          <w:highlight w:val="none"/>
        </w:rPr>
        <w:t>JGJ59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SI0m6ozVXCcGcYmlhmHYXNBMjv53FUmSx4joTMrtC9zrpCXXuxNRWiDEy%2FkIdJmn4pgZgLykga9v2GtetcHGUfpthJYrFMAOFlypNO3t6V%2FMPhPidhNiaq%2FfwfHBpxZQ1aWcdDbRy764IJZfFxsNd82jRVB6mMn7jjjZybEdHsg" \t "_blank"</w:instrText>
      </w:r>
      <w:r>
        <w:rPr>
          <w:color w:val="auto"/>
          <w:highlight w:val="none"/>
        </w:rPr>
        <w:fldChar w:fldCharType="separate"/>
      </w:r>
      <w:r>
        <w:rPr>
          <w:color w:val="auto"/>
          <w:sz w:val="24"/>
          <w:highlight w:val="none"/>
        </w:rPr>
        <w:t>建筑施工安全检查标准</w:t>
      </w:r>
      <w:r>
        <w:rPr>
          <w:color w:val="auto"/>
          <w:highlight w:val="none"/>
        </w:rPr>
        <w:fldChar w:fldCharType="end"/>
      </w:r>
      <w:r>
        <w:rPr>
          <w:color w:val="auto"/>
          <w:sz w:val="24"/>
          <w:highlight w:val="none"/>
        </w:rPr>
        <w:t>》</w:t>
      </w:r>
    </w:p>
    <w:p w14:paraId="419CD408">
      <w:pPr>
        <w:spacing w:line="360" w:lineRule="auto"/>
        <w:ind w:firstLine="480" w:firstLineChars="200"/>
        <w:rPr>
          <w:color w:val="auto"/>
          <w:sz w:val="24"/>
          <w:highlight w:val="none"/>
        </w:rPr>
      </w:pPr>
      <w:r>
        <w:rPr>
          <w:color w:val="auto"/>
          <w:sz w:val="24"/>
          <w:highlight w:val="none"/>
        </w:rPr>
        <w:t>DL/T 657          《火力发电厂模拟量控制系统验收测试规程》</w:t>
      </w:r>
    </w:p>
    <w:p w14:paraId="08F9D37E">
      <w:pPr>
        <w:spacing w:line="360" w:lineRule="auto"/>
        <w:ind w:firstLine="480" w:firstLineChars="200"/>
        <w:rPr>
          <w:color w:val="auto"/>
          <w:sz w:val="24"/>
          <w:highlight w:val="none"/>
        </w:rPr>
      </w:pPr>
      <w:r>
        <w:rPr>
          <w:color w:val="auto"/>
          <w:sz w:val="24"/>
          <w:highlight w:val="none"/>
        </w:rPr>
        <w:t>DL/T 658          《火力发电厂开关量控制系统在线验收测试规程》</w:t>
      </w:r>
    </w:p>
    <w:p w14:paraId="405F7D0F">
      <w:pPr>
        <w:spacing w:line="360" w:lineRule="auto"/>
        <w:ind w:firstLine="480" w:firstLineChars="200"/>
        <w:rPr>
          <w:color w:val="auto"/>
          <w:sz w:val="24"/>
          <w:highlight w:val="none"/>
        </w:rPr>
      </w:pPr>
      <w:r>
        <w:rPr>
          <w:color w:val="auto"/>
          <w:sz w:val="24"/>
          <w:highlight w:val="none"/>
        </w:rPr>
        <w:t>DL/T 659          《火力发电厂分散控制系统在线验收测试规程》</w:t>
      </w:r>
    </w:p>
    <w:p w14:paraId="0CEE489B">
      <w:pPr>
        <w:spacing w:line="360" w:lineRule="auto"/>
        <w:ind w:firstLine="480" w:firstLineChars="200"/>
        <w:rPr>
          <w:color w:val="auto"/>
          <w:sz w:val="24"/>
          <w:highlight w:val="none"/>
        </w:rPr>
      </w:pPr>
      <w:r>
        <w:rPr>
          <w:color w:val="auto"/>
          <w:sz w:val="24"/>
          <w:highlight w:val="none"/>
        </w:rPr>
        <w:t>GB3216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SI0m6ozVXCcGcYmlhmHYXNBMjv53FUmSyDMZ7RwzutaNuUjSpwFqJN6YpD06AjR05HjCMLmZMg%2DOI%2DY%2F7%2DJHMquv0805Ah74Qqgr106NErBxzFYoeujt5Yq3Hh%2D4ifqFtj9VgAzhKpk5jPFCoWXaVl%2FF%2DUyjQeixjjjZybEdHsg" \t "_blank"</w:instrText>
      </w:r>
      <w:r>
        <w:rPr>
          <w:color w:val="auto"/>
          <w:highlight w:val="none"/>
        </w:rPr>
        <w:fldChar w:fldCharType="separate"/>
      </w:r>
      <w:r>
        <w:rPr>
          <w:color w:val="auto"/>
          <w:sz w:val="24"/>
          <w:highlight w:val="none"/>
        </w:rPr>
        <w:t>回转动力泵水力性能验收试验 1级和2级</w:t>
      </w:r>
      <w:r>
        <w:rPr>
          <w:color w:val="auto"/>
          <w:highlight w:val="none"/>
        </w:rPr>
        <w:fldChar w:fldCharType="end"/>
      </w:r>
      <w:r>
        <w:rPr>
          <w:color w:val="auto"/>
          <w:sz w:val="24"/>
          <w:highlight w:val="none"/>
        </w:rPr>
        <w:t>》</w:t>
      </w:r>
    </w:p>
    <w:p w14:paraId="56C1B57E">
      <w:pPr>
        <w:spacing w:line="360" w:lineRule="auto"/>
        <w:ind w:firstLine="480" w:firstLineChars="200"/>
        <w:rPr>
          <w:color w:val="auto"/>
          <w:sz w:val="24"/>
          <w:highlight w:val="none"/>
        </w:rPr>
      </w:pPr>
      <w:r>
        <w:rPr>
          <w:color w:val="auto"/>
          <w:sz w:val="24"/>
          <w:highlight w:val="none"/>
        </w:rPr>
        <w:t>GB50209          《建筑地面工程施工及验收规范》</w:t>
      </w:r>
    </w:p>
    <w:p w14:paraId="1E2157F7">
      <w:pPr>
        <w:spacing w:line="360" w:lineRule="auto"/>
        <w:ind w:firstLine="480" w:firstLineChars="200"/>
        <w:rPr>
          <w:color w:val="auto"/>
          <w:sz w:val="24"/>
          <w:highlight w:val="none"/>
        </w:rPr>
      </w:pPr>
      <w:r>
        <w:rPr>
          <w:color w:val="auto"/>
          <w:sz w:val="24"/>
          <w:highlight w:val="none"/>
        </w:rPr>
        <w:t>GB50212          《建筑防腐蚀工程施工及验收规范》</w:t>
      </w:r>
    </w:p>
    <w:p w14:paraId="2ED5C051">
      <w:pPr>
        <w:spacing w:line="360" w:lineRule="auto"/>
        <w:ind w:firstLine="480" w:firstLineChars="200"/>
        <w:rPr>
          <w:color w:val="auto"/>
          <w:sz w:val="24"/>
          <w:highlight w:val="none"/>
        </w:rPr>
      </w:pPr>
      <w:r>
        <w:rPr>
          <w:color w:val="auto"/>
          <w:sz w:val="24"/>
          <w:highlight w:val="none"/>
        </w:rPr>
        <w:t>GB50046          《工业建筑防腐蚀设计规范》</w:t>
      </w:r>
    </w:p>
    <w:p w14:paraId="5D80D1AE">
      <w:pPr>
        <w:spacing w:line="360" w:lineRule="auto"/>
        <w:ind w:firstLine="480" w:firstLineChars="200"/>
        <w:rPr>
          <w:color w:val="auto"/>
          <w:sz w:val="24"/>
          <w:highlight w:val="none"/>
        </w:rPr>
      </w:pPr>
      <w:r>
        <w:rPr>
          <w:color w:val="auto"/>
          <w:sz w:val="24"/>
          <w:highlight w:val="none"/>
        </w:rPr>
        <w:t>GB50231          《机械设备安装工程施工及验收通用规范》</w:t>
      </w:r>
    </w:p>
    <w:p w14:paraId="23BB1650">
      <w:pPr>
        <w:spacing w:line="360" w:lineRule="auto"/>
        <w:ind w:firstLine="480" w:firstLineChars="200"/>
        <w:rPr>
          <w:color w:val="auto"/>
          <w:sz w:val="24"/>
          <w:highlight w:val="none"/>
        </w:rPr>
      </w:pPr>
      <w:r>
        <w:rPr>
          <w:color w:val="auto"/>
          <w:sz w:val="24"/>
          <w:highlight w:val="none"/>
        </w:rPr>
        <w:t>GB50235          《工业金属管道工程施工及验收规范》</w:t>
      </w:r>
    </w:p>
    <w:p w14:paraId="7CA030BF">
      <w:pPr>
        <w:spacing w:line="360" w:lineRule="auto"/>
        <w:ind w:firstLine="480" w:firstLineChars="200"/>
        <w:rPr>
          <w:color w:val="auto"/>
          <w:sz w:val="24"/>
          <w:highlight w:val="none"/>
        </w:rPr>
      </w:pPr>
      <w:r>
        <w:rPr>
          <w:color w:val="auto"/>
          <w:sz w:val="24"/>
          <w:highlight w:val="none"/>
        </w:rPr>
        <w:t>GB50236          《现场设备、工业管道焊接工程施工规范》</w:t>
      </w:r>
    </w:p>
    <w:p w14:paraId="1F919C60">
      <w:pPr>
        <w:spacing w:line="360" w:lineRule="auto"/>
        <w:ind w:firstLine="480" w:firstLineChars="200"/>
        <w:rPr>
          <w:color w:val="auto"/>
          <w:sz w:val="24"/>
          <w:highlight w:val="none"/>
        </w:rPr>
      </w:pPr>
      <w:r>
        <w:rPr>
          <w:color w:val="auto"/>
          <w:sz w:val="24"/>
          <w:highlight w:val="none"/>
        </w:rPr>
        <w:t>GB50254~GB50259 《电气装置安装工程施工及验收规范》</w:t>
      </w:r>
    </w:p>
    <w:p w14:paraId="5059C813">
      <w:pPr>
        <w:spacing w:line="360" w:lineRule="auto"/>
        <w:ind w:firstLine="480" w:firstLineChars="200"/>
        <w:rPr>
          <w:color w:val="auto"/>
          <w:sz w:val="24"/>
          <w:highlight w:val="none"/>
        </w:rPr>
      </w:pPr>
      <w:r>
        <w:rPr>
          <w:color w:val="auto"/>
          <w:sz w:val="24"/>
          <w:highlight w:val="none"/>
        </w:rPr>
        <w:t>GB50270          《连续输送设备安装工程施工及验收规范》</w:t>
      </w:r>
    </w:p>
    <w:p w14:paraId="747BAD95">
      <w:pPr>
        <w:spacing w:line="360" w:lineRule="auto"/>
        <w:ind w:firstLine="480" w:firstLineChars="200"/>
        <w:rPr>
          <w:color w:val="auto"/>
          <w:sz w:val="24"/>
          <w:highlight w:val="none"/>
        </w:rPr>
      </w:pPr>
      <w:r>
        <w:rPr>
          <w:color w:val="auto"/>
          <w:sz w:val="24"/>
          <w:highlight w:val="none"/>
        </w:rPr>
        <w:t>GB50275          《风机、压缩机、泵安装工程施工及验收规范》</w:t>
      </w:r>
    </w:p>
    <w:p w14:paraId="51793AC9">
      <w:pPr>
        <w:spacing w:line="360" w:lineRule="auto"/>
        <w:ind w:firstLine="480" w:firstLineChars="200"/>
        <w:rPr>
          <w:color w:val="auto"/>
          <w:sz w:val="24"/>
          <w:highlight w:val="none"/>
        </w:rPr>
      </w:pPr>
      <w:r>
        <w:rPr>
          <w:color w:val="auto"/>
          <w:sz w:val="24"/>
          <w:highlight w:val="none"/>
        </w:rPr>
        <w:t>DL/T1083         《</w:t>
      </w:r>
      <w:r>
        <w:rPr>
          <w:color w:val="auto"/>
          <w:highlight w:val="none"/>
        </w:rPr>
        <w:fldChar w:fldCharType="begin"/>
      </w:r>
      <w:r>
        <w:rPr>
          <w:color w:val="auto"/>
          <w:highlight w:val="none"/>
        </w:rPr>
        <w:instrText xml:space="preserve">HYPERLINK "http://172.16.20.251:1011/page/tbsbrowser.cbs?urlname=tbss%3A%2F%2F2Ui9i38FjdS%2FH7%2Fw8oZf%2DGMbcnGsHbQe%2DQoWsNXFVFyC61wHe2RHs7Tz6EbnOjFtt1pyFoZIBpRl4WgpmQc6Bi1atL9kfmjsjhlD6xOCSwEzXsmZARJP4t7Vi%2DLosppKry7L9pjEJHhT3mWhuC6k1ZiZP1ox51cibkbdJsNMnjOEt%2DXk%2DKUyeQgxbyJNan7bvaKi65SnbMDB5MYrey4OaDpMC%2DkvT%2F115BBpx3%2DK80UDOSnMLJgSEOmmCmOcAymvjjjZybEdHsg" \t "_blank"</w:instrText>
      </w:r>
      <w:r>
        <w:rPr>
          <w:color w:val="auto"/>
          <w:highlight w:val="none"/>
        </w:rPr>
        <w:fldChar w:fldCharType="separate"/>
      </w:r>
      <w:r>
        <w:rPr>
          <w:color w:val="auto"/>
          <w:sz w:val="24"/>
          <w:highlight w:val="none"/>
        </w:rPr>
        <w:t>火力发电厂分散控制系统技术条件</w:t>
      </w:r>
      <w:r>
        <w:rPr>
          <w:color w:val="auto"/>
          <w:highlight w:val="none"/>
        </w:rPr>
        <w:fldChar w:fldCharType="end"/>
      </w:r>
      <w:r>
        <w:rPr>
          <w:color w:val="auto"/>
          <w:sz w:val="24"/>
          <w:highlight w:val="none"/>
        </w:rPr>
        <w:t>》</w:t>
      </w:r>
    </w:p>
    <w:p w14:paraId="72C136B9">
      <w:pPr>
        <w:spacing w:line="360" w:lineRule="auto"/>
        <w:ind w:firstLine="480" w:firstLineChars="200"/>
        <w:rPr>
          <w:color w:val="auto"/>
          <w:sz w:val="24"/>
          <w:highlight w:val="none"/>
        </w:rPr>
      </w:pPr>
      <w:r>
        <w:rPr>
          <w:color w:val="auto"/>
          <w:sz w:val="24"/>
          <w:highlight w:val="none"/>
        </w:rPr>
        <w:t>DL/T5437         《火力发电建设工程启动试验及验收规程》</w:t>
      </w:r>
    </w:p>
    <w:p w14:paraId="299BA250">
      <w:pPr>
        <w:tabs>
          <w:tab w:val="left" w:pos="580"/>
        </w:tabs>
        <w:spacing w:line="360" w:lineRule="auto"/>
        <w:ind w:firstLine="480" w:firstLineChars="200"/>
        <w:rPr>
          <w:color w:val="auto"/>
          <w:sz w:val="24"/>
          <w:highlight w:val="none"/>
        </w:rPr>
      </w:pPr>
      <w:r>
        <w:rPr>
          <w:color w:val="auto"/>
          <w:sz w:val="24"/>
          <w:highlight w:val="none"/>
        </w:rPr>
        <w:t>环境保护必须遵守下列中国标准：</w:t>
      </w:r>
    </w:p>
    <w:p w14:paraId="2C525D87">
      <w:pPr>
        <w:tabs>
          <w:tab w:val="left" w:pos="580"/>
        </w:tabs>
        <w:spacing w:line="360" w:lineRule="auto"/>
        <w:ind w:firstLine="480" w:firstLineChars="200"/>
        <w:rPr>
          <w:color w:val="auto"/>
          <w:sz w:val="24"/>
          <w:highlight w:val="none"/>
        </w:rPr>
      </w:pPr>
      <w:r>
        <w:rPr>
          <w:color w:val="auto"/>
          <w:sz w:val="24"/>
          <w:highlight w:val="none"/>
        </w:rPr>
        <w:t>GB3096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SI0m6ozVXCcGcYmlhmHYXNBMjv53FUmSn2MSgHlbZjikzxLX1jBoSd6YpD06AjR0MnpfUMzogDNDipXAosPE8OUtK3XXNu9g54r34riFkMvPGaoV0a%2DJTmMpCH4m%2D62%2FFp91K4G6GRWujEjEixQJE9s8ifPOPssQjjjZybEdHsg" \t "_blank"</w:instrText>
      </w:r>
      <w:r>
        <w:rPr>
          <w:color w:val="auto"/>
          <w:highlight w:val="none"/>
        </w:rPr>
        <w:fldChar w:fldCharType="separate"/>
      </w:r>
      <w:r>
        <w:rPr>
          <w:color w:val="auto"/>
          <w:sz w:val="24"/>
          <w:highlight w:val="none"/>
        </w:rPr>
        <w:t>声环境质量标准</w:t>
      </w:r>
      <w:r>
        <w:rPr>
          <w:color w:val="auto"/>
          <w:highlight w:val="none"/>
        </w:rPr>
        <w:fldChar w:fldCharType="end"/>
      </w:r>
      <w:r>
        <w:rPr>
          <w:color w:val="auto"/>
          <w:sz w:val="24"/>
          <w:highlight w:val="none"/>
        </w:rPr>
        <w:t>》</w:t>
      </w:r>
    </w:p>
    <w:p w14:paraId="75CE9B85">
      <w:pPr>
        <w:tabs>
          <w:tab w:val="left" w:pos="580"/>
        </w:tabs>
        <w:spacing w:line="360" w:lineRule="auto"/>
        <w:ind w:firstLine="480" w:firstLineChars="200"/>
        <w:rPr>
          <w:color w:val="auto"/>
          <w:sz w:val="24"/>
          <w:highlight w:val="none"/>
        </w:rPr>
      </w:pPr>
      <w:r>
        <w:rPr>
          <w:color w:val="auto"/>
          <w:sz w:val="24"/>
          <w:highlight w:val="none"/>
        </w:rPr>
        <w:t>GB12348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SI0m6ozVXCcGcYmlhmHYXNBMjv53FUmSMJeyfJuToC%2D8WDFBC2rRtWz2dSsmaJKvP%2FmJjJe1unCOI%2DY%2F7%2DJHMid0NzjhBZpjJ6qITdGdHkcipkrqORPLmi5Xbcs6xhbCPMhW%2D%2Dpw4og5jPFCoWXaVl%2FF%2DUyjQeixjjjZybEdHsg" \t "_blank"</w:instrText>
      </w:r>
      <w:r>
        <w:rPr>
          <w:color w:val="auto"/>
          <w:highlight w:val="none"/>
        </w:rPr>
        <w:fldChar w:fldCharType="separate"/>
      </w:r>
      <w:r>
        <w:rPr>
          <w:color w:val="auto"/>
          <w:sz w:val="24"/>
          <w:highlight w:val="none"/>
        </w:rPr>
        <w:t>工业企业厂界环境噪声排放标准</w:t>
      </w:r>
      <w:r>
        <w:rPr>
          <w:color w:val="auto"/>
          <w:highlight w:val="none"/>
        </w:rPr>
        <w:fldChar w:fldCharType="end"/>
      </w:r>
      <w:r>
        <w:rPr>
          <w:color w:val="auto"/>
          <w:sz w:val="24"/>
          <w:highlight w:val="none"/>
        </w:rPr>
        <w:t>》</w:t>
      </w:r>
    </w:p>
    <w:p w14:paraId="2BA56E16">
      <w:pPr>
        <w:tabs>
          <w:tab w:val="left" w:pos="580"/>
        </w:tabs>
        <w:spacing w:line="360" w:lineRule="auto"/>
        <w:ind w:firstLine="480" w:firstLineChars="200"/>
        <w:rPr>
          <w:color w:val="auto"/>
          <w:sz w:val="24"/>
          <w:highlight w:val="none"/>
        </w:rPr>
      </w:pPr>
      <w:r>
        <w:rPr>
          <w:color w:val="auto"/>
          <w:sz w:val="24"/>
          <w:highlight w:val="none"/>
        </w:rPr>
        <w:t>GB3095          《环境空气质量标准》二级标准</w:t>
      </w:r>
    </w:p>
    <w:p w14:paraId="10DB13BB">
      <w:pPr>
        <w:tabs>
          <w:tab w:val="left" w:pos="580"/>
        </w:tabs>
        <w:spacing w:line="360" w:lineRule="auto"/>
        <w:ind w:firstLine="480" w:firstLineChars="200"/>
        <w:rPr>
          <w:color w:val="auto"/>
          <w:sz w:val="24"/>
          <w:highlight w:val="none"/>
        </w:rPr>
      </w:pPr>
      <w:r>
        <w:rPr>
          <w:color w:val="auto"/>
          <w:sz w:val="24"/>
          <w:highlight w:val="none"/>
        </w:rPr>
        <w:t>GB8978          《污水综合排放标准》</w:t>
      </w:r>
    </w:p>
    <w:p w14:paraId="37E60B9B">
      <w:pPr>
        <w:spacing w:line="360" w:lineRule="auto"/>
        <w:ind w:firstLine="480" w:firstLineChars="200"/>
        <w:rPr>
          <w:color w:val="auto"/>
          <w:sz w:val="24"/>
          <w:highlight w:val="none"/>
        </w:rPr>
      </w:pPr>
      <w:r>
        <w:rPr>
          <w:color w:val="auto"/>
          <w:sz w:val="24"/>
          <w:highlight w:val="none"/>
        </w:rPr>
        <w:t>GB13223         《火电厂大气污染物排放标准》</w:t>
      </w:r>
    </w:p>
    <w:p w14:paraId="5EF3820C">
      <w:pPr>
        <w:spacing w:line="360" w:lineRule="auto"/>
        <w:ind w:firstLine="480" w:firstLineChars="200"/>
        <w:rPr>
          <w:color w:val="auto"/>
          <w:sz w:val="24"/>
          <w:highlight w:val="none"/>
        </w:rPr>
      </w:pPr>
      <w:r>
        <w:rPr>
          <w:color w:val="auto"/>
          <w:sz w:val="24"/>
          <w:highlight w:val="none"/>
        </w:rPr>
        <w:t>DL/T997         《火电厂石灰石/石膏湿法脱硫废水水质控制指标》</w:t>
      </w:r>
    </w:p>
    <w:p w14:paraId="4788D5CD">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3mLJrI%2DT2TORXI0whDi3qgVqftdRInqLVSBaKZnwu3xaHE7CncRW3wFnnXR2uf0W%2DX6t%2DPFuVfLn5ednVOBd9bjjjZybEdHsg" \t "_blank"</w:instrText>
      </w:r>
      <w:r>
        <w:rPr>
          <w:color w:val="auto"/>
          <w:highlight w:val="none"/>
        </w:rPr>
        <w:fldChar w:fldCharType="separate"/>
      </w:r>
      <w:r>
        <w:rPr>
          <w:color w:val="auto"/>
          <w:sz w:val="24"/>
          <w:highlight w:val="none"/>
        </w:rPr>
        <w:t>GB 18241.4</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3mLJrI%2DT2TORXI0whDi3qgVqftdRInqLVSBaKZnwu3xaHE7CncRW3wFnnXR2uf0W%2DX6t%2DPFuVfLn5ednVOBd9bjjjZybEdHsg" \t "_blank"</w:instrText>
      </w:r>
      <w:r>
        <w:rPr>
          <w:color w:val="auto"/>
          <w:highlight w:val="none"/>
        </w:rPr>
        <w:fldChar w:fldCharType="separate"/>
      </w:r>
      <w:r>
        <w:rPr>
          <w:color w:val="auto"/>
          <w:sz w:val="24"/>
          <w:highlight w:val="none"/>
        </w:rPr>
        <w:t>橡胶衬里第4部分: 烟气脱硫衬里</w:t>
      </w:r>
      <w:r>
        <w:rPr>
          <w:color w:val="auto"/>
          <w:highlight w:val="none"/>
        </w:rPr>
        <w:fldChar w:fldCharType="end"/>
      </w:r>
      <w:r>
        <w:rPr>
          <w:color w:val="auto"/>
          <w:sz w:val="24"/>
          <w:highlight w:val="none"/>
        </w:rPr>
        <w:t>》</w:t>
      </w:r>
    </w:p>
    <w:p w14:paraId="1DE5E840">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23WVRXipk%2DyxXI0whDi3qgVqftdRInqLVSBaKZnwu3xaHE7CncRW3wFnnXR2uf0W%2DX6t%2DPFuVfLn5ednVOBd9bjjjZybEdHsg" \t "_blank"</w:instrText>
      </w:r>
      <w:r>
        <w:rPr>
          <w:color w:val="auto"/>
          <w:highlight w:val="none"/>
        </w:rPr>
        <w:fldChar w:fldCharType="separate"/>
      </w:r>
      <w:r>
        <w:rPr>
          <w:color w:val="auto"/>
          <w:sz w:val="24"/>
          <w:highlight w:val="none"/>
        </w:rPr>
        <w:t>GB 19229.1</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23WVRXipk%2DyxXI0whDi3qgVqftdRInqLVSBaKZnwu3xaHE7CncRW3wFnnXR2uf0W%2DX6t%2DPFuVfLn5ednVOBd9bjjjZybEdHsg" \t "_blank"</w:instrText>
      </w:r>
      <w:r>
        <w:rPr>
          <w:color w:val="auto"/>
          <w:highlight w:val="none"/>
        </w:rPr>
        <w:fldChar w:fldCharType="separate"/>
      </w:r>
      <w:r>
        <w:rPr>
          <w:color w:val="auto"/>
          <w:sz w:val="24"/>
          <w:highlight w:val="none"/>
        </w:rPr>
        <w:t>燃煤烟气脱硫设备第1部分：燃煤烟气湿法脱硫设备</w:t>
      </w:r>
      <w:r>
        <w:rPr>
          <w:color w:val="auto"/>
          <w:highlight w:val="none"/>
        </w:rPr>
        <w:fldChar w:fldCharType="end"/>
      </w:r>
      <w:r>
        <w:rPr>
          <w:color w:val="auto"/>
          <w:sz w:val="24"/>
          <w:highlight w:val="none"/>
        </w:rPr>
        <w:t>》</w:t>
      </w:r>
    </w:p>
    <w:p w14:paraId="0846A51F">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3adIPVxamI5xXI0whDi3qgVqftdRInqLVSBaKZnwu3xaHE7CncRW3wFnnXR2uf0W%2DX6t%2DPFuVfLn5ednVOBd9bjjjZybEdHsg" \t "_blank"</w:instrText>
      </w:r>
      <w:r>
        <w:rPr>
          <w:color w:val="auto"/>
          <w:highlight w:val="none"/>
        </w:rPr>
        <w:fldChar w:fldCharType="separate"/>
      </w:r>
      <w:r>
        <w:rPr>
          <w:color w:val="auto"/>
          <w:sz w:val="24"/>
          <w:highlight w:val="none"/>
        </w:rPr>
        <w:t>GB 21508</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3adIPVxamI5xXI0whDi3qgVqftdRInqLVSBaKZnwu3xaHE7CncRW3wFnnXR2uf0W%2DX6t%2DPFuVfLn5ednVOBd9bjjjZybEdHsg" \t "_blank"</w:instrText>
      </w:r>
      <w:r>
        <w:rPr>
          <w:color w:val="auto"/>
          <w:highlight w:val="none"/>
        </w:rPr>
        <w:fldChar w:fldCharType="separate"/>
      </w:r>
      <w:r>
        <w:rPr>
          <w:color w:val="auto"/>
          <w:sz w:val="24"/>
          <w:highlight w:val="none"/>
        </w:rPr>
        <w:t>燃煤烟气脱硫设备性能测试方法</w:t>
      </w:r>
      <w:r>
        <w:rPr>
          <w:color w:val="auto"/>
          <w:highlight w:val="none"/>
        </w:rPr>
        <w:fldChar w:fldCharType="end"/>
      </w:r>
      <w:r>
        <w:rPr>
          <w:color w:val="auto"/>
          <w:sz w:val="24"/>
          <w:highlight w:val="none"/>
        </w:rPr>
        <w:t>》</w:t>
      </w:r>
    </w:p>
    <w:p w14:paraId="3F9B930C">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1suY8bc6H3ORXI0whDi3qgVqftdRInqLVSBaKZnwu3xaHE7CncRW3wFnnXR2uf0W%2DX6t%2DPFuVfLn5ednVOBd9bjjjZybEdHsg" \t "_blank"</w:instrText>
      </w:r>
      <w:r>
        <w:rPr>
          <w:color w:val="auto"/>
          <w:highlight w:val="none"/>
        </w:rPr>
        <w:fldChar w:fldCharType="separate"/>
      </w:r>
      <w:r>
        <w:rPr>
          <w:color w:val="auto"/>
          <w:sz w:val="24"/>
          <w:highlight w:val="none"/>
        </w:rPr>
        <w:t>DL 5403</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1suY8bc6H3ORXI0whDi3qgVqftdRInqLVSBaKZnwu3xaHE7CncRW3wFnnXR2uf0W%2DX6t%2DPFuVfLn5ednVOBd9bjjjZybEdHsg" \t "_blank"</w:instrText>
      </w:r>
      <w:r>
        <w:rPr>
          <w:color w:val="auto"/>
          <w:highlight w:val="none"/>
        </w:rPr>
        <w:fldChar w:fldCharType="separate"/>
      </w:r>
      <w:r>
        <w:rPr>
          <w:color w:val="auto"/>
          <w:sz w:val="24"/>
          <w:highlight w:val="none"/>
        </w:rPr>
        <w:t>火电厂烟气脱硫工程调整试运及质量验收评定规程</w:t>
      </w:r>
      <w:r>
        <w:rPr>
          <w:color w:val="auto"/>
          <w:highlight w:val="none"/>
        </w:rPr>
        <w:fldChar w:fldCharType="end"/>
      </w:r>
      <w:r>
        <w:rPr>
          <w:color w:val="auto"/>
          <w:sz w:val="24"/>
          <w:highlight w:val="none"/>
        </w:rPr>
        <w:t>》</w:t>
      </w:r>
    </w:p>
    <w:p w14:paraId="39FB6A27">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3sYD7wjikHIBXI0whDi3qgVqftdRInqLVSBaKZnwu3xaHE7CncRW3wFnnXR2uf0W%2DX6t%2DPFuVfLn5ednVOBd9bjjjZybEdHsg" \t "_blank"</w:instrText>
      </w:r>
      <w:r>
        <w:rPr>
          <w:color w:val="auto"/>
          <w:highlight w:val="none"/>
        </w:rPr>
        <w:fldChar w:fldCharType="separate"/>
      </w:r>
      <w:r>
        <w:rPr>
          <w:color w:val="auto"/>
          <w:sz w:val="24"/>
          <w:highlight w:val="none"/>
        </w:rPr>
        <w:t>DL 748.10</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3sYD7wjikHIBXI0whDi3qgVqftdRInqLVSBaKZnwu3xaHE7CncRW3wFnnXR2uf0W%2DX6t%2DPFuVfLn5ednVOBd9bjjjZybEdHsg" \t "_blank"</w:instrText>
      </w:r>
      <w:r>
        <w:rPr>
          <w:color w:val="auto"/>
          <w:highlight w:val="none"/>
        </w:rPr>
        <w:fldChar w:fldCharType="separate"/>
      </w:r>
      <w:r>
        <w:rPr>
          <w:color w:val="auto"/>
          <w:sz w:val="24"/>
          <w:highlight w:val="none"/>
        </w:rPr>
        <w:t>火力发电厂锅炉机组检修导则第10部分：脱硫装置检修</w:t>
      </w:r>
      <w:r>
        <w:rPr>
          <w:color w:val="auto"/>
          <w:highlight w:val="none"/>
        </w:rPr>
        <w:fldChar w:fldCharType="end"/>
      </w:r>
      <w:r>
        <w:rPr>
          <w:color w:val="auto"/>
          <w:sz w:val="24"/>
          <w:highlight w:val="none"/>
        </w:rPr>
        <w:t>》</w:t>
      </w:r>
    </w:p>
    <w:p w14:paraId="21022309">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2FpT3EKYrjsRXI0whDi3qgVqftdRInqLVSBaKZnwu3xaHE7CncRW3wFnnXR2uf0W%2DX6t%2DPFuVfLn5ednVOBd9bjjjZybEdHsg" \t "_blank"</w:instrText>
      </w:r>
      <w:r>
        <w:rPr>
          <w:color w:val="auto"/>
          <w:highlight w:val="none"/>
        </w:rPr>
        <w:fldChar w:fldCharType="separate"/>
      </w:r>
      <w:r>
        <w:rPr>
          <w:color w:val="auto"/>
          <w:sz w:val="24"/>
          <w:highlight w:val="none"/>
        </w:rPr>
        <w:t>DL 943</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2FpT3EKYrjsRXI0whDi3qgVqftdRInqLVSBaKZnwu3xaHE7CncRW3wFnnXR2uf0W%2DX6t%2DPFuVfLn5ednVOBd9bjjjZybEdHsg" \t "_blank"</w:instrText>
      </w:r>
      <w:r>
        <w:rPr>
          <w:color w:val="auto"/>
          <w:highlight w:val="none"/>
        </w:rPr>
        <w:fldChar w:fldCharType="separate"/>
      </w:r>
      <w:r>
        <w:rPr>
          <w:color w:val="auto"/>
          <w:sz w:val="24"/>
          <w:highlight w:val="none"/>
        </w:rPr>
        <w:t>烟气湿法脱硫用石灰石粉反应速率的测定</w:t>
      </w:r>
      <w:r>
        <w:rPr>
          <w:color w:val="auto"/>
          <w:highlight w:val="none"/>
        </w:rPr>
        <w:fldChar w:fldCharType="end"/>
      </w:r>
      <w:r>
        <w:rPr>
          <w:color w:val="auto"/>
          <w:sz w:val="24"/>
          <w:highlight w:val="none"/>
        </w:rPr>
        <w:t>》</w:t>
      </w:r>
    </w:p>
    <w:p w14:paraId="1D708347">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3TUIE6qnjdVG5G3SbDTJ4zhLfl5PilMnkIMW8iTWp%2D2z2upHPvwvbFweTGK3suDmgrSyH76hTVUiHdnOre1ZtpjjjZybEdHsg" \t "_blank"</w:instrText>
      </w:r>
      <w:r>
        <w:rPr>
          <w:color w:val="auto"/>
          <w:highlight w:val="none"/>
        </w:rPr>
        <w:fldChar w:fldCharType="separate"/>
      </w:r>
      <w:r>
        <w:rPr>
          <w:color w:val="auto"/>
          <w:sz w:val="24"/>
          <w:highlight w:val="none"/>
        </w:rPr>
        <w:t>DL 986</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3TUIE6qnjdVG5G3SbDTJ4zhLfl5PilMnkIMW8iTWp%2D2z2upHPvwvbFweTGK3suDmgrSyH76hTVUiHdnOre1ZtpjjjZybEdHsg" \t "_blank"</w:instrText>
      </w:r>
      <w:r>
        <w:rPr>
          <w:color w:val="auto"/>
          <w:highlight w:val="none"/>
        </w:rPr>
        <w:fldChar w:fldCharType="separate"/>
      </w:r>
      <w:r>
        <w:rPr>
          <w:color w:val="auto"/>
          <w:sz w:val="24"/>
          <w:highlight w:val="none"/>
        </w:rPr>
        <w:t>湿法烟气脱硫工艺能效检测技术规范</w:t>
      </w:r>
      <w:r>
        <w:rPr>
          <w:color w:val="auto"/>
          <w:highlight w:val="none"/>
        </w:rPr>
        <w:fldChar w:fldCharType="end"/>
      </w:r>
      <w:r>
        <w:rPr>
          <w:color w:val="auto"/>
          <w:sz w:val="24"/>
          <w:highlight w:val="none"/>
        </w:rPr>
        <w:t>》</w:t>
      </w:r>
    </w:p>
    <w:p w14:paraId="03CCDBBD">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0q0iQJ3DNENW5G3SbDTJ4zhLfl5PilMnkIMW8iTWp%2D2z2upHPvwvbFweTGK3suDmgrSyH76hTVUiHdnOre1ZtpjjjZybEdHsg" \t "_blank"</w:instrText>
      </w:r>
      <w:r>
        <w:rPr>
          <w:color w:val="auto"/>
          <w:highlight w:val="none"/>
        </w:rPr>
        <w:fldChar w:fldCharType="separate"/>
      </w:r>
      <w:r>
        <w:rPr>
          <w:color w:val="auto"/>
          <w:sz w:val="24"/>
          <w:highlight w:val="none"/>
        </w:rPr>
        <w:t>DL 997</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0q0iQJ3DNENW5G3SbDTJ4zhLfl5PilMnkIMW8iTWp%2D2z2upHPvwvbFweTGK3suDmgrSyH76hTVUiHdnOre1ZtpjjjZybEdHsg" \t "_blank"</w:instrText>
      </w:r>
      <w:r>
        <w:rPr>
          <w:color w:val="auto"/>
          <w:highlight w:val="none"/>
        </w:rPr>
        <w:fldChar w:fldCharType="separate"/>
      </w:r>
      <w:r>
        <w:rPr>
          <w:color w:val="auto"/>
          <w:sz w:val="24"/>
          <w:highlight w:val="none"/>
        </w:rPr>
        <w:t>火电厂石灰石-石膏湿法脱硫废水水质控制指标</w:t>
      </w:r>
      <w:r>
        <w:rPr>
          <w:color w:val="auto"/>
          <w:highlight w:val="none"/>
        </w:rPr>
        <w:fldChar w:fldCharType="end"/>
      </w:r>
      <w:r>
        <w:rPr>
          <w:color w:val="auto"/>
          <w:sz w:val="24"/>
          <w:highlight w:val="none"/>
        </w:rPr>
        <w:t>》</w:t>
      </w:r>
    </w:p>
    <w:p w14:paraId="0018B4BC">
      <w:pPr>
        <w:spacing w:line="360" w:lineRule="auto"/>
        <w:ind w:firstLine="420" w:firstLineChars="200"/>
        <w:rPr>
          <w:color w:val="auto"/>
          <w:sz w:val="24"/>
          <w:highlight w:val="none"/>
        </w:rPr>
      </w:pP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1y49ytZOds5G5G3SbDTJ4zhLfl5PilMnkIMW8iTWp%2D2z2upHPvwvbFweTGK3suDmgrSyH76hTVUiHdnOre1ZtpjjjZybEdHsg" \t "_blank"</w:instrText>
      </w:r>
      <w:r>
        <w:rPr>
          <w:color w:val="auto"/>
          <w:highlight w:val="none"/>
        </w:rPr>
        <w:fldChar w:fldCharType="separate"/>
      </w:r>
      <w:r>
        <w:rPr>
          <w:color w:val="auto"/>
          <w:sz w:val="24"/>
          <w:highlight w:val="none"/>
        </w:rPr>
        <w:t>DL 998</w:t>
      </w:r>
      <w:r>
        <w:rPr>
          <w:color w:val="auto"/>
          <w:highlight w:val="none"/>
        </w:rPr>
        <w:fldChar w:fldCharType="end"/>
      </w:r>
      <w:r>
        <w:rPr>
          <w:color w:val="auto"/>
          <w:sz w:val="24"/>
          <w:highlight w:val="none"/>
        </w:rPr>
        <w:t xml:space="preserve">          《</w:t>
      </w:r>
      <w:r>
        <w:rPr>
          <w:color w:val="auto"/>
          <w:highlight w:val="none"/>
        </w:rPr>
        <w:fldChar w:fldCharType="begin"/>
      </w:r>
      <w:r>
        <w:rPr>
          <w:color w:val="auto"/>
          <w:highlight w:val="none"/>
        </w:rPr>
        <w:instrText xml:space="preserve">HYPERLINK "http://172.16.20.251:1011/page/tbsbrowser.cbs?urlname=tbss%3A%2F%2F2Ui9i38FjdS%2FH7%2Fw8oZf%2DGMbcnGsHbQekZ65DxkV7O3vlZs2gW8UElTLJVDiyI%2DTIy9zx5BN4R8Gvmm2pV3l0qGFGcW4Nhqo8DLaOcYcGpvkkLaitMZyegHTr1asC03Wsxa6dvKfysRWLzW6Sw0sUCZRs4BxPzvU49y5%2DAn4yAEFYfKk7V%2FVuhYj2jxwE%2De7mENBkpHcK%2DBWsVfeaUjimLOPSzqlLYescJQ9sBXddnJYh63u6%2FXSRG0%2Dk9F7MfF%2DJUx8hOL%2DKOwpbOJW%2DKZ9fYr%2FR4Q3K1Id%2Dqc%2Fq2RJsLHQ1UcHobckBQY%2DBjckFsSxErS4QdE4Hm1y49ytZOds5G5G3SbDTJ4zhLfl5PilMnkIMW8iTWp%2D2z2upHPvwvbFweTGK3suDmgrSyH76hTVUiHdnOre1ZtpjjjZybEdHsg" \t "_blank"</w:instrText>
      </w:r>
      <w:r>
        <w:rPr>
          <w:color w:val="auto"/>
          <w:highlight w:val="none"/>
        </w:rPr>
        <w:fldChar w:fldCharType="separate"/>
      </w:r>
      <w:r>
        <w:rPr>
          <w:color w:val="auto"/>
          <w:sz w:val="24"/>
          <w:highlight w:val="none"/>
        </w:rPr>
        <w:t>石灰石-石膏湿法烟气脱硫装置性能验收试验规范</w:t>
      </w:r>
      <w:r>
        <w:rPr>
          <w:color w:val="auto"/>
          <w:highlight w:val="none"/>
        </w:rPr>
        <w:fldChar w:fldCharType="end"/>
      </w:r>
      <w:r>
        <w:rPr>
          <w:color w:val="auto"/>
          <w:sz w:val="24"/>
          <w:highlight w:val="none"/>
        </w:rPr>
        <w:t>》</w:t>
      </w:r>
      <w:r>
        <w:rPr>
          <w:rFonts w:hint="eastAsia"/>
          <w:color w:val="auto"/>
          <w:sz w:val="24"/>
          <w:highlight w:val="none"/>
          <w:lang w:val="en-US" w:eastAsia="zh-CN"/>
        </w:rPr>
        <w:t>及</w:t>
      </w:r>
      <w:r>
        <w:rPr>
          <w:color w:val="auto"/>
          <w:sz w:val="24"/>
          <w:highlight w:val="none"/>
        </w:rPr>
        <w:t>《火电机组达标投产考核标准</w:t>
      </w:r>
      <w:r>
        <w:rPr>
          <w:rFonts w:hint="eastAsia"/>
          <w:color w:val="auto"/>
          <w:sz w:val="24"/>
          <w:highlight w:val="none"/>
          <w:lang w:val="en-US" w:eastAsia="zh-CN"/>
        </w:rPr>
        <w:t>2024</w:t>
      </w:r>
      <w:r>
        <w:rPr>
          <w:color w:val="auto"/>
          <w:sz w:val="24"/>
          <w:highlight w:val="none"/>
        </w:rPr>
        <w:t>》</w:t>
      </w:r>
    </w:p>
    <w:p w14:paraId="691BC640">
      <w:pPr>
        <w:tabs>
          <w:tab w:val="left" w:pos="580"/>
        </w:tabs>
        <w:snapToGrid w:val="0"/>
        <w:spacing w:line="360" w:lineRule="auto"/>
        <w:rPr>
          <w:snapToGrid w:val="0"/>
          <w:color w:val="auto"/>
          <w:sz w:val="24"/>
          <w:highlight w:val="none"/>
        </w:rPr>
      </w:pPr>
      <w:r>
        <w:rPr>
          <w:snapToGrid w:val="0"/>
          <w:color w:val="auto"/>
          <w:sz w:val="24"/>
          <w:highlight w:val="none"/>
        </w:rPr>
        <w:t>1.3.2规范和标准适用条件</w:t>
      </w:r>
    </w:p>
    <w:p w14:paraId="0720792D">
      <w:pPr>
        <w:tabs>
          <w:tab w:val="left" w:pos="580"/>
        </w:tabs>
        <w:snapToGrid w:val="0"/>
        <w:spacing w:line="360" w:lineRule="auto"/>
        <w:ind w:firstLine="480" w:firstLineChars="200"/>
        <w:rPr>
          <w:snapToGrid w:val="0"/>
          <w:color w:val="auto"/>
          <w:sz w:val="24"/>
          <w:highlight w:val="none"/>
        </w:rPr>
      </w:pPr>
      <w:r>
        <w:rPr>
          <w:snapToGrid w:val="0"/>
          <w:color w:val="auto"/>
          <w:sz w:val="24"/>
          <w:highlight w:val="none"/>
        </w:rPr>
        <w:t>对环境保护和防火，必须遵守中国的法规和标准，但如防火要求与工程的工艺密切联系，则可采用</w:t>
      </w:r>
      <w:r>
        <w:rPr>
          <w:rFonts w:hint="eastAsia"/>
          <w:snapToGrid w:val="0"/>
          <w:color w:val="auto"/>
          <w:sz w:val="24"/>
          <w:highlight w:val="none"/>
          <w:lang w:eastAsia="zh-CN"/>
        </w:rPr>
        <w:t>投标方</w:t>
      </w:r>
      <w:r>
        <w:rPr>
          <w:snapToGrid w:val="0"/>
          <w:color w:val="auto"/>
          <w:sz w:val="24"/>
          <w:highlight w:val="none"/>
        </w:rPr>
        <w:t>的规定，规程或规范，但</w:t>
      </w:r>
      <w:r>
        <w:rPr>
          <w:rFonts w:hint="eastAsia"/>
          <w:snapToGrid w:val="0"/>
          <w:color w:val="auto"/>
          <w:sz w:val="24"/>
          <w:highlight w:val="none"/>
          <w:lang w:eastAsia="zh-CN"/>
        </w:rPr>
        <w:t>投标方</w:t>
      </w:r>
      <w:r>
        <w:rPr>
          <w:snapToGrid w:val="0"/>
          <w:color w:val="auto"/>
          <w:sz w:val="24"/>
          <w:highlight w:val="none"/>
        </w:rPr>
        <w:t>应向</w:t>
      </w:r>
      <w:r>
        <w:rPr>
          <w:rFonts w:hint="eastAsia"/>
          <w:snapToGrid w:val="0"/>
          <w:color w:val="auto"/>
          <w:sz w:val="24"/>
          <w:highlight w:val="none"/>
          <w:lang w:eastAsia="zh-CN"/>
        </w:rPr>
        <w:t>招标方</w:t>
      </w:r>
      <w:r>
        <w:rPr>
          <w:snapToGrid w:val="0"/>
          <w:color w:val="auto"/>
          <w:sz w:val="24"/>
          <w:highlight w:val="none"/>
        </w:rPr>
        <w:t>提供所述的规范和规程，并经</w:t>
      </w:r>
      <w:r>
        <w:rPr>
          <w:rFonts w:hint="eastAsia"/>
          <w:snapToGrid w:val="0"/>
          <w:color w:val="auto"/>
          <w:sz w:val="24"/>
          <w:highlight w:val="none"/>
          <w:lang w:eastAsia="zh-CN"/>
        </w:rPr>
        <w:t>招标方</w:t>
      </w:r>
      <w:r>
        <w:rPr>
          <w:snapToGrid w:val="0"/>
          <w:color w:val="auto"/>
          <w:sz w:val="24"/>
          <w:highlight w:val="none"/>
        </w:rPr>
        <w:t>认可。</w:t>
      </w:r>
    </w:p>
    <w:p w14:paraId="0D1E9884">
      <w:pPr>
        <w:spacing w:line="360" w:lineRule="auto"/>
        <w:ind w:firstLine="480" w:firstLineChars="200"/>
        <w:rPr>
          <w:color w:val="auto"/>
          <w:sz w:val="24"/>
          <w:highlight w:val="none"/>
        </w:rPr>
      </w:pPr>
      <w:r>
        <w:rPr>
          <w:color w:val="auto"/>
          <w:sz w:val="24"/>
          <w:highlight w:val="none"/>
        </w:rPr>
        <w:t>环境保护必须遵守下列中国标准：</w:t>
      </w:r>
    </w:p>
    <w:p w14:paraId="52FD07EE">
      <w:pPr>
        <w:spacing w:line="360" w:lineRule="auto"/>
        <w:ind w:firstLine="480" w:firstLineChars="200"/>
        <w:rPr>
          <w:color w:val="auto"/>
          <w:sz w:val="24"/>
          <w:highlight w:val="none"/>
        </w:rPr>
      </w:pPr>
      <w:r>
        <w:rPr>
          <w:color w:val="auto"/>
          <w:sz w:val="24"/>
          <w:highlight w:val="none"/>
        </w:rPr>
        <w:t>a、《声环境质量标准（GB3096》中的3类标准</w:t>
      </w:r>
    </w:p>
    <w:p w14:paraId="46BC4D42">
      <w:pPr>
        <w:spacing w:line="360" w:lineRule="auto"/>
        <w:ind w:firstLine="480" w:firstLineChars="200"/>
        <w:rPr>
          <w:color w:val="auto"/>
          <w:sz w:val="24"/>
          <w:highlight w:val="none"/>
        </w:rPr>
      </w:pPr>
      <w:r>
        <w:rPr>
          <w:color w:val="auto"/>
          <w:sz w:val="24"/>
          <w:highlight w:val="none"/>
        </w:rPr>
        <w:t>b、《工业企业厂界环境噪声排放标准（GB12348）》3类</w:t>
      </w:r>
    </w:p>
    <w:p w14:paraId="00926720">
      <w:pPr>
        <w:spacing w:line="360" w:lineRule="auto"/>
        <w:ind w:firstLine="480" w:firstLineChars="200"/>
        <w:rPr>
          <w:color w:val="auto"/>
          <w:sz w:val="24"/>
          <w:highlight w:val="none"/>
        </w:rPr>
      </w:pPr>
      <w:r>
        <w:rPr>
          <w:color w:val="auto"/>
          <w:sz w:val="24"/>
          <w:highlight w:val="none"/>
        </w:rPr>
        <w:t>c、《环境空气质量标准（GB3095）》二级标准</w:t>
      </w:r>
    </w:p>
    <w:p w14:paraId="55FC2EC8">
      <w:pPr>
        <w:spacing w:line="360" w:lineRule="auto"/>
        <w:ind w:firstLine="480" w:firstLineChars="200"/>
        <w:rPr>
          <w:color w:val="auto"/>
          <w:sz w:val="24"/>
          <w:highlight w:val="none"/>
        </w:rPr>
      </w:pPr>
      <w:r>
        <w:rPr>
          <w:color w:val="auto"/>
          <w:sz w:val="24"/>
          <w:highlight w:val="none"/>
        </w:rPr>
        <w:t>d、《污水综合排放标准（GB8978）》一级标准</w:t>
      </w:r>
      <w:r>
        <w:rPr>
          <w:color w:val="auto"/>
          <w:sz w:val="24"/>
          <w:highlight w:val="none"/>
        </w:rPr>
        <w:tab/>
      </w:r>
    </w:p>
    <w:p w14:paraId="738FD3E6">
      <w:pPr>
        <w:spacing w:line="360" w:lineRule="auto"/>
        <w:ind w:firstLine="480" w:firstLineChars="200"/>
        <w:rPr>
          <w:snapToGrid w:val="0"/>
          <w:color w:val="auto"/>
          <w:sz w:val="24"/>
          <w:highlight w:val="none"/>
        </w:rPr>
      </w:pPr>
      <w:r>
        <w:rPr>
          <w:color w:val="auto"/>
          <w:sz w:val="24"/>
          <w:highlight w:val="none"/>
        </w:rPr>
        <w:t>e、《火电厂大气污染物排放标准（GB13223）》</w:t>
      </w:r>
    </w:p>
    <w:p w14:paraId="7FB3EF5A">
      <w:pPr>
        <w:spacing w:line="360" w:lineRule="auto"/>
        <w:outlineLvl w:val="2"/>
        <w:rPr>
          <w:b/>
          <w:color w:val="auto"/>
          <w:sz w:val="24"/>
          <w:highlight w:val="none"/>
        </w:rPr>
      </w:pPr>
      <w:bookmarkStart w:id="37" w:name="_Toc482189917"/>
      <w:r>
        <w:rPr>
          <w:b/>
          <w:color w:val="auto"/>
          <w:sz w:val="24"/>
          <w:highlight w:val="none"/>
        </w:rPr>
        <w:t>1.4 性能保证</w:t>
      </w:r>
      <w:bookmarkEnd w:id="37"/>
    </w:p>
    <w:p w14:paraId="66E850B2">
      <w:pPr>
        <w:tabs>
          <w:tab w:val="left" w:pos="420"/>
        </w:tabs>
        <w:spacing w:line="360" w:lineRule="auto"/>
        <w:rPr>
          <w:color w:val="auto"/>
          <w:sz w:val="24"/>
          <w:highlight w:val="none"/>
        </w:rPr>
      </w:pPr>
      <w:r>
        <w:rPr>
          <w:color w:val="auto"/>
          <w:sz w:val="24"/>
          <w:highlight w:val="none"/>
        </w:rPr>
        <w:t>脱硫系统装置的性能保证值如下：</w:t>
      </w:r>
    </w:p>
    <w:p w14:paraId="22D39733">
      <w:pPr>
        <w:numPr>
          <w:ilvl w:val="3"/>
          <w:numId w:val="2"/>
        </w:numPr>
        <w:adjustRightInd w:val="0"/>
        <w:spacing w:before="120" w:beforeLines="50" w:line="360" w:lineRule="auto"/>
        <w:textAlignment w:val="baseline"/>
        <w:rPr>
          <w:color w:val="auto"/>
          <w:sz w:val="24"/>
          <w:highlight w:val="none"/>
        </w:rPr>
      </w:pPr>
      <w:r>
        <w:rPr>
          <w:color w:val="auto"/>
          <w:sz w:val="24"/>
          <w:highlight w:val="none"/>
        </w:rPr>
        <w:t>脱硫效率</w:t>
      </w:r>
    </w:p>
    <w:p w14:paraId="6B19ABA5">
      <w:pPr>
        <w:tabs>
          <w:tab w:val="left" w:pos="5280"/>
        </w:tabs>
        <w:spacing w:line="360" w:lineRule="auto"/>
        <w:rPr>
          <w:rFonts w:ascii="Times New Roman" w:hAnsi="Times New Roman" w:eastAsia="宋体" w:cs="Times New Roman"/>
          <w:color w:val="auto"/>
          <w:sz w:val="24"/>
          <w:highlight w:val="none"/>
        </w:rPr>
      </w:pPr>
      <w:r>
        <w:rPr>
          <w:rFonts w:ascii="Times New Roman" w:hAnsi="Times New Roman" w:eastAsia="宋体" w:cs="Times New Roman"/>
          <w:color w:val="auto"/>
          <w:sz w:val="24"/>
          <w:highlight w:val="none"/>
        </w:rPr>
        <w:t>基于以下保证条件：</w:t>
      </w:r>
    </w:p>
    <w:p w14:paraId="13C72FD8">
      <w:pPr>
        <w:tabs>
          <w:tab w:val="left" w:pos="5280"/>
        </w:tabs>
        <w:spacing w:line="360" w:lineRule="auto"/>
        <w:rPr>
          <w:color w:val="auto"/>
          <w:sz w:val="24"/>
          <w:highlight w:val="none"/>
        </w:rPr>
      </w:pPr>
      <w:r>
        <w:rPr>
          <w:color w:val="auto"/>
          <w:sz w:val="24"/>
          <w:highlight w:val="none"/>
        </w:rPr>
        <w:t>（1）FGD设计工况下，吸收塔入口烟气量不大于</w:t>
      </w:r>
      <w:r>
        <w:rPr>
          <w:rFonts w:hint="default"/>
          <w:color w:val="auto"/>
          <w:sz w:val="24"/>
          <w:highlight w:val="none"/>
          <w:lang w:val="en-US" w:eastAsia="zh-CN"/>
        </w:rPr>
        <w:t>290389</w:t>
      </w:r>
      <w:r>
        <w:rPr>
          <w:color w:val="auto"/>
          <w:sz w:val="24"/>
          <w:highlight w:val="none"/>
        </w:rPr>
        <w:t>Nm</w:t>
      </w:r>
      <w:r>
        <w:rPr>
          <w:color w:val="auto"/>
          <w:sz w:val="24"/>
          <w:highlight w:val="none"/>
          <w:vertAlign w:val="superscript"/>
        </w:rPr>
        <w:t>3</w:t>
      </w:r>
      <w:r>
        <w:rPr>
          <w:color w:val="auto"/>
          <w:sz w:val="24"/>
          <w:highlight w:val="none"/>
        </w:rPr>
        <w:t>/h（湿基，实际氧），二氧化硫浓度不高于</w:t>
      </w:r>
      <w:r>
        <w:rPr>
          <w:rFonts w:hint="default"/>
          <w:color w:val="auto"/>
          <w:sz w:val="24"/>
          <w:highlight w:val="none"/>
          <w:lang w:val="en-US" w:eastAsia="zh-CN"/>
        </w:rPr>
        <w:t>1987</w:t>
      </w:r>
      <w:r>
        <w:rPr>
          <w:rFonts w:hint="default"/>
          <w:color w:val="auto"/>
          <w:sz w:val="24"/>
          <w:highlight w:val="none"/>
          <w:lang w:val="en-US" w:eastAsia="zh-CN"/>
        </w:rPr>
        <w:t xml:space="preserve"> </w:t>
      </w:r>
      <w:r>
        <w:rPr>
          <w:color w:val="auto"/>
          <w:sz w:val="24"/>
          <w:highlight w:val="none"/>
        </w:rPr>
        <w:t>mg/Nm</w:t>
      </w:r>
      <w:r>
        <w:rPr>
          <w:color w:val="auto"/>
          <w:sz w:val="24"/>
          <w:highlight w:val="none"/>
          <w:vertAlign w:val="superscript"/>
        </w:rPr>
        <w:t>3</w:t>
      </w:r>
      <w:r>
        <w:rPr>
          <w:color w:val="auto"/>
          <w:sz w:val="24"/>
          <w:highlight w:val="none"/>
        </w:rPr>
        <w:t>（</w:t>
      </w:r>
      <w:bookmarkStart w:id="38" w:name="OLE_LINK9"/>
      <w:r>
        <w:rPr>
          <w:color w:val="auto"/>
          <w:sz w:val="24"/>
          <w:highlight w:val="none"/>
        </w:rPr>
        <w:t>Sar</w:t>
      </w:r>
      <w:bookmarkEnd w:id="38"/>
      <w:r>
        <w:rPr>
          <w:color w:val="auto"/>
          <w:sz w:val="24"/>
          <w:highlight w:val="none"/>
        </w:rPr>
        <w:t>=</w:t>
      </w:r>
      <w:r>
        <w:rPr>
          <w:rFonts w:hint="default"/>
          <w:color w:val="auto"/>
          <w:sz w:val="24"/>
          <w:highlight w:val="none"/>
          <w:lang w:val="en-US" w:eastAsia="zh-CN"/>
        </w:rPr>
        <w:t>0.74</w:t>
      </w:r>
      <w:r>
        <w:rPr>
          <w:color w:val="auto"/>
          <w:sz w:val="24"/>
          <w:highlight w:val="none"/>
        </w:rPr>
        <w:t>％，</w:t>
      </w:r>
      <w:r>
        <w:rPr>
          <w:rFonts w:hint="eastAsia"/>
          <w:color w:val="auto"/>
          <w:sz w:val="24"/>
          <w:highlight w:val="none"/>
          <w:lang w:val="en-US" w:eastAsia="zh-CN"/>
        </w:rPr>
        <w:t>湿</w:t>
      </w:r>
      <w:r>
        <w:rPr>
          <w:color w:val="auto"/>
          <w:sz w:val="24"/>
          <w:highlight w:val="none"/>
        </w:rPr>
        <w:t>基，6%O</w:t>
      </w:r>
      <w:r>
        <w:rPr>
          <w:color w:val="auto"/>
          <w:sz w:val="24"/>
          <w:highlight w:val="none"/>
          <w:vertAlign w:val="subscript"/>
        </w:rPr>
        <w:t>2</w:t>
      </w:r>
      <w:r>
        <w:rPr>
          <w:color w:val="auto"/>
          <w:sz w:val="24"/>
          <w:highlight w:val="none"/>
        </w:rPr>
        <w:t>）；</w:t>
      </w:r>
    </w:p>
    <w:p w14:paraId="296FE5C3">
      <w:pPr>
        <w:numPr>
          <w:ilvl w:val="0"/>
          <w:numId w:val="0"/>
        </w:numPr>
        <w:tabs>
          <w:tab w:val="left" w:pos="5280"/>
        </w:tabs>
        <w:adjustRightInd w:val="0"/>
        <w:spacing w:before="120" w:beforeLines="50" w:line="360" w:lineRule="auto"/>
        <w:ind w:left="0" w:firstLine="0"/>
        <w:textAlignment w:val="baseline"/>
        <w:rPr>
          <w:color w:val="auto"/>
          <w:sz w:val="24"/>
          <w:highlight w:val="none"/>
        </w:rPr>
      </w:pPr>
      <w:r>
        <w:rPr>
          <w:color w:val="auto"/>
          <w:sz w:val="24"/>
          <w:highlight w:val="none"/>
        </w:rPr>
        <w:t>（2）石灰石品质满足设计要求；</w:t>
      </w:r>
    </w:p>
    <w:p w14:paraId="22CB9D3D">
      <w:pPr>
        <w:numPr>
          <w:ilvl w:val="0"/>
          <w:numId w:val="0"/>
        </w:numPr>
        <w:tabs>
          <w:tab w:val="left" w:pos="5280"/>
        </w:tabs>
        <w:adjustRightInd w:val="0"/>
        <w:spacing w:before="120" w:beforeLines="50" w:line="360" w:lineRule="auto"/>
        <w:ind w:left="0" w:firstLine="0"/>
        <w:textAlignment w:val="baseline"/>
        <w:rPr>
          <w:rFonts w:hint="default"/>
          <w:color w:val="auto"/>
          <w:sz w:val="24"/>
          <w:highlight w:val="none"/>
          <w:lang w:eastAsia="zh-CN"/>
        </w:rPr>
      </w:pPr>
      <w:r>
        <w:rPr>
          <w:color w:val="auto"/>
          <w:sz w:val="24"/>
          <w:highlight w:val="none"/>
        </w:rPr>
        <w:t>（3）石灰石耗量不超过性能保证值；</w:t>
      </w:r>
    </w:p>
    <w:p w14:paraId="7B584708">
      <w:pPr>
        <w:numPr>
          <w:ilvl w:val="0"/>
          <w:numId w:val="0"/>
        </w:numPr>
        <w:tabs>
          <w:tab w:val="left" w:pos="5280"/>
        </w:tabs>
        <w:adjustRightInd w:val="0"/>
        <w:spacing w:before="120" w:beforeLines="50" w:line="360" w:lineRule="auto"/>
        <w:ind w:left="0" w:firstLine="0"/>
        <w:textAlignment w:val="baseline"/>
        <w:rPr>
          <w:color w:val="auto"/>
          <w:sz w:val="24"/>
          <w:highlight w:val="none"/>
        </w:rPr>
      </w:pPr>
      <w:r>
        <w:rPr>
          <w:color w:val="auto"/>
          <w:sz w:val="24"/>
          <w:highlight w:val="none"/>
        </w:rPr>
        <w:t>（4）电耗不超过性能保证值；</w:t>
      </w:r>
    </w:p>
    <w:p w14:paraId="50D0CEC9">
      <w:pPr>
        <w:numPr>
          <w:ilvl w:val="0"/>
          <w:numId w:val="0"/>
        </w:numPr>
        <w:tabs>
          <w:tab w:val="left" w:pos="5280"/>
        </w:tabs>
        <w:adjustRightInd w:val="0"/>
        <w:spacing w:before="120" w:beforeLines="50" w:line="360" w:lineRule="auto"/>
        <w:ind w:left="0" w:firstLine="0"/>
        <w:textAlignment w:val="baseline"/>
        <w:rPr>
          <w:color w:val="auto"/>
          <w:sz w:val="24"/>
          <w:highlight w:val="none"/>
        </w:rPr>
      </w:pPr>
      <w:r>
        <w:rPr>
          <w:rFonts w:hint="eastAsia"/>
          <w:color w:val="auto"/>
          <w:sz w:val="24"/>
          <w:highlight w:val="none"/>
          <w:lang w:eastAsia="zh-CN"/>
        </w:rPr>
        <w:t>（</w:t>
      </w:r>
      <w:r>
        <w:rPr>
          <w:rFonts w:hint="eastAsia"/>
          <w:color w:val="auto"/>
          <w:sz w:val="24"/>
          <w:highlight w:val="none"/>
          <w:lang w:val="en-US" w:eastAsia="zh-CN"/>
        </w:rPr>
        <w:t>5</w:t>
      </w:r>
      <w:r>
        <w:rPr>
          <w:rFonts w:hint="eastAsia"/>
          <w:color w:val="auto"/>
          <w:sz w:val="24"/>
          <w:highlight w:val="none"/>
          <w:lang w:eastAsia="zh-CN"/>
        </w:rPr>
        <w:t>）</w:t>
      </w:r>
      <w:r>
        <w:rPr>
          <w:rFonts w:hint="default"/>
          <w:color w:val="auto"/>
          <w:sz w:val="24"/>
          <w:highlight w:val="none"/>
          <w:lang w:val="en-US" w:eastAsia="zh-CN"/>
        </w:rPr>
        <w:t>脱硫废水零排放系统正常运行</w:t>
      </w:r>
    </w:p>
    <w:p w14:paraId="3180C839">
      <w:pPr>
        <w:numPr>
          <w:ilvl w:val="0"/>
          <w:numId w:val="0"/>
        </w:numPr>
        <w:tabs>
          <w:tab w:val="left" w:pos="5280"/>
        </w:tabs>
        <w:adjustRightInd w:val="0"/>
        <w:spacing w:before="120" w:beforeLines="50" w:line="360" w:lineRule="auto"/>
        <w:ind w:left="420" w:firstLine="0" w:firstLineChars="0"/>
        <w:textAlignment w:val="baseline"/>
        <w:rPr>
          <w:color w:val="auto"/>
          <w:sz w:val="24"/>
          <w:highlight w:val="none"/>
        </w:rPr>
      </w:pPr>
      <w:r>
        <w:rPr>
          <w:rFonts w:hint="default"/>
          <w:color w:val="auto"/>
          <w:sz w:val="24"/>
          <w:highlight w:val="none"/>
          <w:lang w:eastAsia="zh-CN"/>
        </w:rPr>
        <w:t>投标方</w:t>
      </w:r>
      <w:r>
        <w:rPr>
          <w:color w:val="auto"/>
          <w:sz w:val="24"/>
          <w:highlight w:val="none"/>
        </w:rPr>
        <w:t>应保证在燃用</w:t>
      </w:r>
      <w:r>
        <w:rPr>
          <w:rFonts w:hint="default"/>
          <w:color w:val="auto"/>
          <w:sz w:val="24"/>
          <w:highlight w:val="none"/>
          <w:lang w:val="en-US" w:eastAsia="zh-CN"/>
        </w:rPr>
        <w:t>设计</w:t>
      </w:r>
      <w:r>
        <w:rPr>
          <w:color w:val="auto"/>
          <w:sz w:val="24"/>
          <w:highlight w:val="none"/>
        </w:rPr>
        <w:t>煤种</w:t>
      </w:r>
      <w:r>
        <w:rPr>
          <w:rFonts w:hint="eastAsia" w:ascii="Times New Roman" w:hAnsi="Times New Roman" w:eastAsia="宋体" w:cs="Times New Roman"/>
          <w:color w:val="auto"/>
          <w:sz w:val="24"/>
          <w:highlight w:val="none"/>
          <w:lang w:eastAsia="zh-CN"/>
        </w:rPr>
        <w:t>、</w:t>
      </w:r>
      <w:r>
        <w:rPr>
          <w:rFonts w:hint="eastAsia"/>
          <w:color w:val="auto"/>
          <w:sz w:val="24"/>
          <w:highlight w:val="none"/>
          <w:lang w:val="en-US" w:eastAsia="zh-CN"/>
        </w:rPr>
        <w:t>锅炉最大连续</w:t>
      </w:r>
      <w:r>
        <w:rPr>
          <w:color w:val="auto"/>
          <w:sz w:val="24"/>
          <w:highlight w:val="none"/>
          <w:lang w:val="en-US"/>
        </w:rPr>
        <w:t>蒸发量</w:t>
      </w:r>
      <w:r>
        <w:rPr>
          <w:color w:val="auto"/>
          <w:sz w:val="24"/>
          <w:highlight w:val="none"/>
        </w:rPr>
        <w:t>和确保的石灰石消耗的条件下，FGD装置在验收试验期间（连续运行</w:t>
      </w:r>
      <w:r>
        <w:rPr>
          <w:rFonts w:hint="default"/>
          <w:color w:val="auto"/>
          <w:sz w:val="24"/>
          <w:highlight w:val="none"/>
          <w:lang w:val="en-US" w:eastAsia="zh-CN"/>
        </w:rPr>
        <w:t>168</w:t>
      </w:r>
      <w:r>
        <w:rPr>
          <w:rFonts w:hint="default"/>
          <w:color w:val="auto"/>
          <w:sz w:val="24"/>
          <w:highlight w:val="none"/>
          <w:lang w:val="en-US" w:eastAsia="zh-CN"/>
        </w:rPr>
        <w:t>小时</w:t>
      </w:r>
      <w:r>
        <w:rPr>
          <w:color w:val="auto"/>
          <w:sz w:val="24"/>
          <w:highlight w:val="none"/>
        </w:rPr>
        <w:t>），在浆液循环泵</w:t>
      </w:r>
      <w:r>
        <w:rPr>
          <w:rFonts w:hint="default"/>
          <w:color w:val="auto"/>
          <w:sz w:val="24"/>
          <w:highlight w:val="none"/>
          <w:lang w:val="en-US" w:eastAsia="zh-CN"/>
        </w:rPr>
        <w:t>一</w:t>
      </w:r>
      <w:r>
        <w:rPr>
          <w:rFonts w:hint="eastAsia" w:ascii="Times New Roman" w:hAnsi="Times New Roman" w:eastAsia="宋体" w:cs="Times New Roman"/>
          <w:color w:val="auto"/>
          <w:sz w:val="24"/>
          <w:highlight w:val="none"/>
          <w:lang w:val="en-US" w:eastAsia="zh-CN"/>
        </w:rPr>
        <w:t>台</w:t>
      </w:r>
      <w:r>
        <w:rPr>
          <w:rFonts w:hint="default"/>
          <w:color w:val="auto"/>
          <w:sz w:val="24"/>
          <w:highlight w:val="none"/>
          <w:lang w:val="en-US" w:eastAsia="zh-CN"/>
        </w:rPr>
        <w:t>备</w:t>
      </w:r>
      <w:r>
        <w:rPr>
          <w:rFonts w:hint="eastAsia" w:ascii="Times New Roman" w:hAnsi="Times New Roman" w:eastAsia="宋体" w:cs="Times New Roman"/>
          <w:color w:val="auto"/>
          <w:sz w:val="24"/>
          <w:highlight w:val="none"/>
          <w:lang w:val="en-US" w:eastAsia="zh-CN"/>
        </w:rPr>
        <w:t>用</w:t>
      </w:r>
      <w:r>
        <w:rPr>
          <w:color w:val="auto"/>
          <w:sz w:val="24"/>
          <w:highlight w:val="none"/>
        </w:rPr>
        <w:t>运行方式下，</w:t>
      </w:r>
      <w:r>
        <w:rPr>
          <w:rStyle w:val="54"/>
          <w:rFonts w:hint="eastAsia" w:ascii="Times New Roman" w:hAnsi="Times New Roman" w:eastAsia="宋体" w:cs="宋体"/>
          <w:color w:val="auto"/>
          <w:sz w:val="24"/>
          <w:highlight w:val="none"/>
          <w:lang w:bidi="ar"/>
        </w:rPr>
        <w:t>脱硫效率</w:t>
      </w:r>
      <w:r>
        <w:rPr>
          <w:rStyle w:val="54"/>
          <w:rFonts w:ascii="Times New Roman" w:hAnsi="Times New Roman" w:eastAsia="宋体" w:cs="Times New Roman"/>
          <w:color w:val="auto"/>
          <w:sz w:val="24"/>
          <w:highlight w:val="none"/>
          <w:lang w:bidi="ar"/>
        </w:rPr>
        <w:t>≥</w:t>
      </w:r>
      <w:r>
        <w:rPr>
          <w:rStyle w:val="54"/>
          <w:rFonts w:ascii="Times New Roman" w:hAnsi="Times New Roman" w:eastAsia="宋体" w:cs="Times New Roman"/>
          <w:color w:val="auto"/>
          <w:sz w:val="24"/>
          <w:highlight w:val="none"/>
          <w:u w:val="single"/>
          <w:lang w:bidi="ar"/>
        </w:rPr>
        <w:t xml:space="preserve"> </w:t>
      </w:r>
      <w:r>
        <w:rPr>
          <w:rStyle w:val="54"/>
          <w:rFonts w:hint="eastAsia" w:ascii="Times New Roman" w:hAnsi="Times New Roman" w:eastAsia="宋体" w:cs="Times New Roman"/>
          <w:color w:val="auto"/>
          <w:sz w:val="24"/>
          <w:highlight w:val="none"/>
          <w:u w:val="single"/>
          <w:lang w:bidi="ar"/>
        </w:rPr>
        <w:t xml:space="preserve"> </w:t>
      </w:r>
      <w:r>
        <w:rPr>
          <w:rStyle w:val="54"/>
          <w:rFonts w:hint="eastAsia" w:cs="Times New Roman"/>
          <w:color w:val="auto"/>
          <w:sz w:val="24"/>
          <w:highlight w:val="none"/>
          <w:u w:val="single"/>
          <w:lang w:val="en-US" w:eastAsia="zh-CN" w:bidi="ar"/>
        </w:rPr>
        <w:t xml:space="preserve"> </w:t>
      </w:r>
      <w:r>
        <w:rPr>
          <w:rStyle w:val="54"/>
          <w:rFonts w:ascii="Times New Roman" w:hAnsi="Times New Roman" w:eastAsia="宋体" w:cs="Times New Roman"/>
          <w:color w:val="auto"/>
          <w:sz w:val="24"/>
          <w:highlight w:val="none"/>
          <w:lang w:bidi="ar"/>
        </w:rPr>
        <w:t>%</w:t>
      </w:r>
      <w:r>
        <w:rPr>
          <w:rStyle w:val="54"/>
          <w:rFonts w:hint="eastAsia" w:ascii="Times New Roman" w:hAnsi="Times New Roman" w:eastAsia="宋体" w:cs="Times New Roman"/>
          <w:color w:val="auto"/>
          <w:sz w:val="24"/>
          <w:highlight w:val="none"/>
          <w:lang w:eastAsia="zh-CN" w:bidi="ar"/>
        </w:rPr>
        <w:t>，</w:t>
      </w:r>
      <w:r>
        <w:rPr>
          <w:color w:val="auto"/>
          <w:sz w:val="24"/>
          <w:highlight w:val="none"/>
        </w:rPr>
        <w:t>脱硫后排出的二氧化硫浓度不高于</w:t>
      </w:r>
      <w:r>
        <w:rPr>
          <w:rFonts w:hint="eastAsia" w:ascii="Times New Roman" w:hAnsi="Times New Roman" w:eastAsia="宋体" w:cs="Times New Roman"/>
          <w:color w:val="auto"/>
          <w:sz w:val="24"/>
          <w:highlight w:val="none"/>
          <w:lang w:val="en-US" w:eastAsia="zh-CN"/>
        </w:rPr>
        <w:t>24.5</w:t>
      </w:r>
      <w:r>
        <w:rPr>
          <w:color w:val="auto"/>
          <w:sz w:val="24"/>
          <w:highlight w:val="none"/>
        </w:rPr>
        <w:t>mg/Nm</w:t>
      </w:r>
      <w:r>
        <w:rPr>
          <w:color w:val="auto"/>
          <w:sz w:val="24"/>
          <w:highlight w:val="none"/>
          <w:vertAlign w:val="superscript"/>
        </w:rPr>
        <w:t>3</w:t>
      </w:r>
      <w:r>
        <w:rPr>
          <w:color w:val="auto"/>
          <w:sz w:val="24"/>
          <w:highlight w:val="none"/>
        </w:rPr>
        <w:t>（干基，6%O</w:t>
      </w:r>
      <w:r>
        <w:rPr>
          <w:color w:val="auto"/>
          <w:sz w:val="24"/>
          <w:highlight w:val="none"/>
          <w:vertAlign w:val="subscript"/>
        </w:rPr>
        <w:t>2</w:t>
      </w:r>
      <w:r>
        <w:rPr>
          <w:color w:val="auto"/>
          <w:sz w:val="24"/>
          <w:highlight w:val="none"/>
        </w:rPr>
        <w:t>）。</w:t>
      </w:r>
    </w:p>
    <w:p w14:paraId="4E356DCC">
      <w:pPr>
        <w:pStyle w:val="176"/>
        <w:numPr>
          <w:ilvl w:val="0"/>
          <w:numId w:val="0"/>
        </w:numPr>
        <w:tabs>
          <w:tab w:val="left" w:pos="0"/>
        </w:tabs>
        <w:adjustRightInd w:val="0"/>
        <w:spacing w:line="360" w:lineRule="auto"/>
        <w:ind w:left="0" w:firstLine="0"/>
        <w:textAlignment w:val="baseline"/>
        <w:rPr>
          <w:rStyle w:val="54"/>
          <w:rFonts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1.4.2</w:t>
      </w:r>
      <w:r>
        <w:rPr>
          <w:rStyle w:val="54"/>
          <w:rFonts w:hint="eastAsia" w:ascii="Times New Roman" w:hAnsi="Times New Roman" w:eastAsia="宋体" w:cs="Times New Roman"/>
          <w:color w:val="auto"/>
          <w:sz w:val="24"/>
          <w:highlight w:val="none"/>
        </w:rPr>
        <w:t>烟尘浓度</w:t>
      </w:r>
    </w:p>
    <w:p w14:paraId="3713096B">
      <w:pPr>
        <w:pStyle w:val="176"/>
        <w:snapToGrid w:val="0"/>
        <w:spacing w:line="360" w:lineRule="auto"/>
        <w:ind w:firstLine="540" w:firstLineChars="225"/>
        <w:rPr>
          <w:rStyle w:val="54"/>
          <w:rFonts w:ascii="Times New Roman" w:hAnsi="Times New Roman" w:eastAsia="宋体" w:cs="Times New Roman"/>
          <w:color w:val="auto"/>
          <w:sz w:val="24"/>
          <w:highlight w:val="none"/>
        </w:rPr>
      </w:pPr>
      <w:r>
        <w:rPr>
          <w:rStyle w:val="54"/>
          <w:rFonts w:hint="eastAsia" w:ascii="Times New Roman" w:hAnsi="Times New Roman" w:eastAsia="宋体" w:cs="宋体"/>
          <w:color w:val="auto"/>
          <w:sz w:val="24"/>
          <w:highlight w:val="none"/>
          <w:lang w:bidi="ar"/>
        </w:rPr>
        <w:t>在</w:t>
      </w:r>
      <w:r>
        <w:rPr>
          <w:rFonts w:hint="eastAsia"/>
          <w:color w:val="auto"/>
          <w:sz w:val="24"/>
          <w:highlight w:val="none"/>
          <w:lang w:val="en-US" w:eastAsia="zh-CN"/>
        </w:rPr>
        <w:t>锅炉最大连续</w:t>
      </w:r>
      <w:r>
        <w:rPr>
          <w:color w:val="auto"/>
          <w:sz w:val="24"/>
          <w:highlight w:val="none"/>
          <w:lang w:val="en-US"/>
        </w:rPr>
        <w:t>蒸发量</w:t>
      </w:r>
      <w:r>
        <w:rPr>
          <w:rStyle w:val="54"/>
          <w:rFonts w:hint="eastAsia" w:ascii="Times New Roman" w:hAnsi="Times New Roman" w:eastAsia="宋体" w:cs="宋体"/>
          <w:color w:val="auto"/>
          <w:sz w:val="24"/>
          <w:highlight w:val="none"/>
          <w:lang w:bidi="ar"/>
        </w:rPr>
        <w:t>工况条件下，吸收塔入口烟尘浓度≤</w:t>
      </w:r>
      <w:r>
        <w:rPr>
          <w:rStyle w:val="54"/>
          <w:rFonts w:hint="eastAsia" w:ascii="Times New Roman" w:hAnsi="Times New Roman" w:eastAsia="宋体" w:cs="Times New Roman"/>
          <w:color w:val="auto"/>
          <w:sz w:val="24"/>
          <w:highlight w:val="none"/>
          <w:lang w:bidi="ar"/>
        </w:rPr>
        <w:t>20</w:t>
      </w:r>
      <w:r>
        <w:rPr>
          <w:rStyle w:val="54"/>
          <w:rFonts w:ascii="Times New Roman" w:hAnsi="Times New Roman" w:eastAsia="宋体" w:cs="Times New Roman"/>
          <w:color w:val="auto"/>
          <w:sz w:val="24"/>
          <w:highlight w:val="none"/>
          <w:lang w:bidi="ar"/>
        </w:rPr>
        <w:t>mg/Nm</w:t>
      </w:r>
      <w:r>
        <w:rPr>
          <w:rStyle w:val="54"/>
          <w:rFonts w:ascii="Times New Roman" w:hAnsi="Times New Roman" w:eastAsia="宋体" w:cs="Times New Roman"/>
          <w:color w:val="auto"/>
          <w:sz w:val="24"/>
          <w:highlight w:val="none"/>
          <w:vertAlign w:val="superscript"/>
          <w:lang w:bidi="ar"/>
        </w:rPr>
        <w:t>3</w:t>
      </w:r>
      <w:r>
        <w:rPr>
          <w:rStyle w:val="54"/>
          <w:rFonts w:ascii="Times New Roman" w:hAnsi="Times New Roman" w:eastAsia="宋体" w:cs="Times New Roman"/>
          <w:color w:val="auto"/>
          <w:sz w:val="24"/>
          <w:highlight w:val="none"/>
          <w:lang w:bidi="ar"/>
        </w:rPr>
        <w:t>(</w:t>
      </w:r>
      <w:r>
        <w:rPr>
          <w:rStyle w:val="54"/>
          <w:rFonts w:hint="eastAsia" w:ascii="Times New Roman" w:hAnsi="Times New Roman" w:eastAsia="宋体" w:cs="宋体"/>
          <w:color w:val="auto"/>
          <w:sz w:val="24"/>
          <w:highlight w:val="none"/>
          <w:lang w:bidi="ar"/>
        </w:rPr>
        <w:t>干基，</w:t>
      </w:r>
      <w:r>
        <w:rPr>
          <w:rStyle w:val="54"/>
          <w:rFonts w:ascii="Times New Roman" w:hAnsi="Times New Roman" w:eastAsia="宋体" w:cs="Times New Roman"/>
          <w:color w:val="auto"/>
          <w:sz w:val="24"/>
          <w:highlight w:val="none"/>
          <w:lang w:bidi="ar"/>
        </w:rPr>
        <w:t>6%O</w:t>
      </w:r>
      <w:r>
        <w:rPr>
          <w:rStyle w:val="54"/>
          <w:rFonts w:ascii="Times New Roman" w:hAnsi="Times New Roman" w:eastAsia="宋体" w:cs="Times New Roman"/>
          <w:color w:val="auto"/>
          <w:sz w:val="24"/>
          <w:highlight w:val="none"/>
          <w:vertAlign w:val="subscript"/>
          <w:lang w:bidi="ar"/>
        </w:rPr>
        <w:t>2</w:t>
      </w:r>
      <w:r>
        <w:rPr>
          <w:rStyle w:val="54"/>
          <w:rFonts w:ascii="Times New Roman" w:hAnsi="Times New Roman" w:eastAsia="宋体" w:cs="Times New Roman"/>
          <w:color w:val="auto"/>
          <w:sz w:val="24"/>
          <w:highlight w:val="none"/>
          <w:lang w:bidi="ar"/>
        </w:rPr>
        <w:t>)</w:t>
      </w:r>
      <w:r>
        <w:rPr>
          <w:rStyle w:val="54"/>
          <w:rFonts w:hint="eastAsia" w:cs="Times New Roman"/>
          <w:color w:val="auto"/>
          <w:sz w:val="24"/>
          <w:highlight w:val="none"/>
          <w:lang w:eastAsia="zh-CN" w:bidi="ar"/>
        </w:rPr>
        <w:t>，</w:t>
      </w:r>
      <w:r>
        <w:rPr>
          <w:rFonts w:hint="eastAsia"/>
          <w:color w:val="auto"/>
          <w:sz w:val="24"/>
          <w:highlight w:val="none"/>
          <w:lang w:val="en-US" w:eastAsia="zh-CN"/>
        </w:rPr>
        <w:t>脱硫废水零排放正常运行</w:t>
      </w:r>
      <w:r>
        <w:rPr>
          <w:rStyle w:val="54"/>
          <w:rFonts w:hint="eastAsia" w:ascii="Times New Roman" w:hAnsi="Times New Roman" w:eastAsia="宋体" w:cs="宋体"/>
          <w:color w:val="auto"/>
          <w:sz w:val="24"/>
          <w:highlight w:val="none"/>
          <w:lang w:bidi="ar"/>
        </w:rPr>
        <w:t>时，投标人保证吸收塔出口烟尘（含石膏）浓度不超过</w:t>
      </w:r>
      <w:r>
        <w:rPr>
          <w:rStyle w:val="54"/>
          <w:rFonts w:hint="eastAsia" w:cs="宋体"/>
          <w:color w:val="auto"/>
          <w:sz w:val="24"/>
          <w:highlight w:val="none"/>
          <w:lang w:val="en-US" w:eastAsia="zh-CN" w:bidi="ar"/>
        </w:rPr>
        <w:t>3.5</w:t>
      </w:r>
      <w:r>
        <w:rPr>
          <w:rStyle w:val="54"/>
          <w:rFonts w:hint="eastAsia" w:ascii="Times New Roman" w:hAnsi="Times New Roman" w:eastAsia="宋体" w:cs="宋体"/>
          <w:color w:val="auto"/>
          <w:sz w:val="24"/>
          <w:highlight w:val="none"/>
          <w:u w:val="single"/>
          <w:lang w:bidi="ar"/>
        </w:rPr>
        <w:t xml:space="preserve"> </w:t>
      </w:r>
      <w:r>
        <w:rPr>
          <w:rStyle w:val="54"/>
          <w:rFonts w:ascii="Times New Roman" w:hAnsi="Times New Roman" w:eastAsia="宋体" w:cs="Times New Roman"/>
          <w:color w:val="auto"/>
          <w:sz w:val="24"/>
          <w:highlight w:val="none"/>
          <w:lang w:bidi="ar"/>
        </w:rPr>
        <w:t>mg/Nm</w:t>
      </w:r>
      <w:r>
        <w:rPr>
          <w:rStyle w:val="54"/>
          <w:rFonts w:ascii="Times New Roman" w:hAnsi="Times New Roman" w:eastAsia="宋体" w:cs="Times New Roman"/>
          <w:color w:val="auto"/>
          <w:sz w:val="24"/>
          <w:highlight w:val="none"/>
          <w:vertAlign w:val="superscript"/>
          <w:lang w:bidi="ar"/>
        </w:rPr>
        <w:t>3</w:t>
      </w:r>
      <w:r>
        <w:rPr>
          <w:rStyle w:val="54"/>
          <w:rFonts w:ascii="Times New Roman" w:hAnsi="Times New Roman" w:eastAsia="宋体" w:cs="Times New Roman"/>
          <w:color w:val="auto"/>
          <w:sz w:val="24"/>
          <w:highlight w:val="none"/>
          <w:lang w:bidi="ar"/>
        </w:rPr>
        <w:t>(</w:t>
      </w:r>
      <w:r>
        <w:rPr>
          <w:rStyle w:val="54"/>
          <w:rFonts w:hint="eastAsia" w:ascii="Times New Roman" w:hAnsi="Times New Roman" w:eastAsia="宋体" w:cs="宋体"/>
          <w:color w:val="auto"/>
          <w:sz w:val="24"/>
          <w:highlight w:val="none"/>
          <w:lang w:bidi="ar"/>
        </w:rPr>
        <w:t>干基，</w:t>
      </w:r>
      <w:r>
        <w:rPr>
          <w:rStyle w:val="54"/>
          <w:rFonts w:ascii="Times New Roman" w:hAnsi="Times New Roman" w:eastAsia="宋体" w:cs="Times New Roman"/>
          <w:color w:val="auto"/>
          <w:sz w:val="24"/>
          <w:highlight w:val="none"/>
          <w:lang w:bidi="ar"/>
        </w:rPr>
        <w:t>6%O</w:t>
      </w:r>
      <w:r>
        <w:rPr>
          <w:rStyle w:val="54"/>
          <w:rFonts w:ascii="Times New Roman" w:hAnsi="Times New Roman" w:eastAsia="宋体" w:cs="Times New Roman"/>
          <w:color w:val="auto"/>
          <w:sz w:val="24"/>
          <w:highlight w:val="none"/>
          <w:vertAlign w:val="subscript"/>
          <w:lang w:bidi="ar"/>
        </w:rPr>
        <w:t>2</w:t>
      </w:r>
      <w:r>
        <w:rPr>
          <w:rStyle w:val="54"/>
          <w:rFonts w:ascii="Times New Roman" w:hAnsi="Times New Roman" w:eastAsia="宋体" w:cs="Times New Roman"/>
          <w:color w:val="auto"/>
          <w:sz w:val="24"/>
          <w:highlight w:val="none"/>
          <w:lang w:bidi="ar"/>
        </w:rPr>
        <w:t>)</w:t>
      </w:r>
      <w:r>
        <w:rPr>
          <w:rStyle w:val="54"/>
          <w:rFonts w:hint="eastAsia" w:ascii="Times New Roman" w:hAnsi="Times New Roman" w:eastAsia="宋体" w:cs="宋体"/>
          <w:color w:val="auto"/>
          <w:sz w:val="24"/>
          <w:highlight w:val="none"/>
          <w:lang w:bidi="ar"/>
        </w:rPr>
        <w:t>。</w:t>
      </w:r>
    </w:p>
    <w:p w14:paraId="193FDF12">
      <w:pPr>
        <w:tabs>
          <w:tab w:val="left" w:pos="5280"/>
        </w:tabs>
        <w:spacing w:line="360" w:lineRule="auto"/>
        <w:ind w:firstLine="0" w:firstLineChars="0"/>
        <w:rPr>
          <w:color w:val="auto"/>
          <w:sz w:val="24"/>
          <w:highlight w:val="none"/>
        </w:rPr>
      </w:pPr>
      <w:r>
        <w:rPr>
          <w:rFonts w:hint="eastAsia"/>
          <w:color w:val="auto"/>
          <w:sz w:val="24"/>
          <w:highlight w:val="none"/>
          <w:lang w:val="en-US" w:eastAsia="zh-CN"/>
        </w:rPr>
        <w:t>1.4.3</w:t>
      </w:r>
      <w:r>
        <w:rPr>
          <w:color w:val="auto"/>
          <w:sz w:val="24"/>
          <w:highlight w:val="none"/>
        </w:rPr>
        <w:t>石灰石粉耗量</w:t>
      </w:r>
    </w:p>
    <w:p w14:paraId="14678F04">
      <w:pPr>
        <w:tabs>
          <w:tab w:val="left" w:pos="5280"/>
        </w:tabs>
        <w:spacing w:line="360" w:lineRule="auto"/>
        <w:ind w:firstLine="540" w:firstLineChars="225"/>
        <w:rPr>
          <w:color w:val="auto"/>
          <w:sz w:val="24"/>
          <w:highlight w:val="none"/>
        </w:rPr>
      </w:pPr>
      <w:r>
        <w:rPr>
          <w:rFonts w:hint="eastAsia"/>
          <w:color w:val="auto"/>
          <w:sz w:val="24"/>
          <w:highlight w:val="none"/>
          <w:lang w:eastAsia="zh-CN"/>
        </w:rPr>
        <w:t>投标方</w:t>
      </w:r>
      <w:r>
        <w:rPr>
          <w:color w:val="auto"/>
          <w:sz w:val="24"/>
          <w:highlight w:val="none"/>
        </w:rPr>
        <w:t>保证试验验收期间脱硫系统装置按锅炉</w:t>
      </w:r>
      <w:r>
        <w:rPr>
          <w:rFonts w:hint="eastAsia"/>
          <w:color w:val="auto"/>
          <w:sz w:val="24"/>
          <w:highlight w:val="none"/>
          <w:lang w:val="en-US" w:eastAsia="zh-CN"/>
        </w:rPr>
        <w:t>最大</w:t>
      </w:r>
      <w:r>
        <w:rPr>
          <w:rStyle w:val="54"/>
          <w:rFonts w:hint="eastAsia" w:cs="宋体"/>
          <w:color w:val="auto"/>
          <w:sz w:val="24"/>
          <w:highlight w:val="none"/>
          <w:lang w:eastAsia="zh-CN" w:bidi="ar"/>
        </w:rPr>
        <w:t>蒸发量</w:t>
      </w:r>
      <w:r>
        <w:rPr>
          <w:color w:val="auto"/>
          <w:sz w:val="24"/>
          <w:highlight w:val="none"/>
        </w:rPr>
        <w:t>工况运行，燃用</w:t>
      </w:r>
      <w:r>
        <w:rPr>
          <w:rFonts w:hint="eastAsia"/>
          <w:color w:val="auto"/>
          <w:sz w:val="24"/>
          <w:highlight w:val="none"/>
          <w:lang w:val="en-US" w:eastAsia="zh-CN"/>
        </w:rPr>
        <w:t>设计</w:t>
      </w:r>
      <w:r>
        <w:rPr>
          <w:color w:val="auto"/>
          <w:sz w:val="24"/>
          <w:highlight w:val="none"/>
        </w:rPr>
        <w:t>煤种时，在确保SO</w:t>
      </w:r>
      <w:r>
        <w:rPr>
          <w:color w:val="auto"/>
          <w:sz w:val="24"/>
          <w:highlight w:val="none"/>
          <w:vertAlign w:val="subscript"/>
        </w:rPr>
        <w:t>2</w:t>
      </w:r>
      <w:r>
        <w:rPr>
          <w:color w:val="auto"/>
          <w:sz w:val="24"/>
          <w:highlight w:val="none"/>
        </w:rPr>
        <w:t>排放浓度的条件下，连续运行</w:t>
      </w:r>
      <w:r>
        <w:rPr>
          <w:rFonts w:hint="default"/>
          <w:color w:val="auto"/>
          <w:sz w:val="24"/>
          <w:highlight w:val="none"/>
          <w:lang w:val="en-US" w:eastAsia="zh-CN"/>
        </w:rPr>
        <w:t>168</w:t>
      </w:r>
      <w:r>
        <w:rPr>
          <w:rFonts w:hint="eastAsia"/>
          <w:color w:val="auto"/>
          <w:sz w:val="24"/>
          <w:highlight w:val="none"/>
          <w:lang w:val="en-US" w:eastAsia="zh-CN"/>
        </w:rPr>
        <w:t>小时，</w:t>
      </w:r>
      <w:r>
        <w:rPr>
          <w:color w:val="auto"/>
          <w:sz w:val="24"/>
          <w:highlight w:val="none"/>
        </w:rPr>
        <w:t>石灰石粉的平均耗量不超过</w:t>
      </w:r>
      <w:r>
        <w:rPr>
          <w:rStyle w:val="54"/>
          <w:rFonts w:ascii="Times New Roman" w:hAnsi="Times New Roman" w:eastAsia="宋体" w:cs="Times New Roman"/>
          <w:color w:val="auto"/>
          <w:sz w:val="24"/>
          <w:highlight w:val="none"/>
          <w:u w:val="single"/>
          <w:lang w:bidi="ar"/>
        </w:rPr>
        <w:t xml:space="preserve">   </w:t>
      </w:r>
      <w:r>
        <w:rPr>
          <w:rStyle w:val="54"/>
          <w:rFonts w:hint="eastAsia" w:ascii="Times New Roman" w:hAnsi="Times New Roman" w:eastAsia="宋体" w:cs="宋体"/>
          <w:color w:val="auto"/>
          <w:sz w:val="24"/>
          <w:highlight w:val="none"/>
          <w:lang w:bidi="ar"/>
        </w:rPr>
        <w:t>/</w:t>
      </w:r>
      <w:r>
        <w:rPr>
          <w:rStyle w:val="54"/>
          <w:rFonts w:ascii="Times New Roman" w:hAnsi="Times New Roman" w:eastAsia="宋体" w:cs="Times New Roman"/>
          <w:color w:val="auto"/>
          <w:sz w:val="24"/>
          <w:highlight w:val="none"/>
          <w:u w:val="single"/>
          <w:lang w:bidi="ar"/>
        </w:rPr>
        <w:t xml:space="preserve">   </w:t>
      </w:r>
      <w:r>
        <w:rPr>
          <w:rStyle w:val="54"/>
          <w:rFonts w:ascii="Times New Roman" w:hAnsi="Times New Roman" w:eastAsia="宋体" w:cs="Times New Roman"/>
          <w:color w:val="auto"/>
          <w:sz w:val="24"/>
          <w:highlight w:val="none"/>
          <w:lang w:bidi="ar"/>
        </w:rPr>
        <w:t>t/h（</w:t>
      </w:r>
      <w:r>
        <w:rPr>
          <w:rStyle w:val="54"/>
          <w:rFonts w:hint="eastAsia" w:ascii="Times New Roman" w:hAnsi="Times New Roman" w:eastAsia="宋体" w:cs="宋体"/>
          <w:color w:val="auto"/>
          <w:sz w:val="24"/>
          <w:highlight w:val="none"/>
          <w:lang w:bidi="ar"/>
        </w:rPr>
        <w:t>设计煤种/校核煤种</w:t>
      </w:r>
      <w:r>
        <w:rPr>
          <w:rStyle w:val="54"/>
          <w:rFonts w:hint="eastAsia" w:ascii="Times New Roman" w:hAnsi="Times New Roman" w:eastAsia="宋体" w:cs="宋体"/>
          <w:color w:val="auto"/>
          <w:sz w:val="24"/>
          <w:highlight w:val="none"/>
          <w:lang w:eastAsia="zh-CN" w:bidi="ar"/>
        </w:rPr>
        <w:t>，</w:t>
      </w:r>
      <w:r>
        <w:rPr>
          <w:rStyle w:val="54"/>
          <w:rFonts w:hint="eastAsia" w:ascii="Times New Roman" w:hAnsi="Times New Roman" w:eastAsia="宋体" w:cs="宋体"/>
          <w:color w:val="auto"/>
          <w:sz w:val="24"/>
          <w:highlight w:val="none"/>
          <w:lang w:val="en-US" w:eastAsia="zh-CN" w:bidi="ar"/>
        </w:rPr>
        <w:t>投标人</w:t>
      </w:r>
      <w:r>
        <w:rPr>
          <w:rStyle w:val="54"/>
          <w:rFonts w:hint="eastAsia" w:ascii="Times New Roman" w:hAnsi="Times New Roman" w:eastAsia="宋体" w:cs="Times New Roman"/>
          <w:color w:val="auto"/>
          <w:sz w:val="24"/>
          <w:highlight w:val="none"/>
          <w:lang w:val="en-US" w:eastAsia="zh-CN" w:bidi="ar"/>
        </w:rPr>
        <w:t>填写）</w:t>
      </w:r>
      <w:r>
        <w:rPr>
          <w:color w:val="auto"/>
          <w:sz w:val="24"/>
          <w:highlight w:val="none"/>
        </w:rPr>
        <w:t>。</w:t>
      </w:r>
    </w:p>
    <w:p w14:paraId="38EC6F98">
      <w:pPr>
        <w:numPr>
          <w:ilvl w:val="0"/>
          <w:numId w:val="0"/>
        </w:numPr>
        <w:tabs>
          <w:tab w:val="left" w:pos="0"/>
        </w:tabs>
        <w:adjustRightInd w:val="0"/>
        <w:spacing w:before="120" w:beforeLines="50" w:line="360" w:lineRule="auto"/>
        <w:ind w:left="0" w:firstLine="0"/>
        <w:textAlignment w:val="baseline"/>
        <w:rPr>
          <w:color w:val="auto"/>
          <w:sz w:val="24"/>
          <w:highlight w:val="none"/>
        </w:rPr>
      </w:pPr>
      <w:r>
        <w:rPr>
          <w:rFonts w:hint="eastAsia" w:ascii="Times New Roman" w:hAnsi="Times New Roman" w:eastAsia="宋体" w:cs="Times New Roman"/>
          <w:color w:val="auto"/>
          <w:sz w:val="24"/>
          <w:highlight w:val="none"/>
          <w:lang w:val="en-US" w:eastAsia="zh-CN"/>
        </w:rPr>
        <w:t>1.4.5</w:t>
      </w:r>
      <w:r>
        <w:rPr>
          <w:color w:val="auto"/>
          <w:sz w:val="24"/>
          <w:highlight w:val="none"/>
        </w:rPr>
        <w:t>电耗</w:t>
      </w:r>
    </w:p>
    <w:p w14:paraId="2E21569C">
      <w:pPr>
        <w:tabs>
          <w:tab w:val="left" w:pos="5280"/>
        </w:tabs>
        <w:spacing w:line="360" w:lineRule="auto"/>
        <w:ind w:firstLine="540" w:firstLineChars="225"/>
        <w:rPr>
          <w:rStyle w:val="54"/>
          <w:rFonts w:hint="eastAsia" w:ascii="Times New Roman" w:hAnsi="Times New Roman" w:eastAsia="宋体" w:cs="Times New Roman"/>
          <w:color w:val="auto"/>
          <w:sz w:val="24"/>
          <w:highlight w:val="none"/>
          <w:lang w:val="en-US" w:eastAsia="zh-CN" w:bidi="ar"/>
        </w:rPr>
      </w:pPr>
      <w:r>
        <w:rPr>
          <w:rFonts w:hint="eastAsia"/>
          <w:color w:val="auto"/>
          <w:sz w:val="24"/>
          <w:highlight w:val="none"/>
          <w:lang w:eastAsia="zh-CN"/>
        </w:rPr>
        <w:t>投标方</w:t>
      </w:r>
      <w:r>
        <w:rPr>
          <w:color w:val="auto"/>
          <w:sz w:val="24"/>
          <w:highlight w:val="none"/>
        </w:rPr>
        <w:t>应保证在验收试验期间，脱硫系统装置按锅炉在</w:t>
      </w:r>
      <w:r>
        <w:rPr>
          <w:rFonts w:hint="eastAsia"/>
          <w:color w:val="auto"/>
          <w:sz w:val="24"/>
          <w:highlight w:val="none"/>
          <w:lang w:val="en-US" w:eastAsia="zh-CN"/>
        </w:rPr>
        <w:t>锅炉最大连续</w:t>
      </w:r>
      <w:r>
        <w:rPr>
          <w:color w:val="auto"/>
          <w:sz w:val="24"/>
          <w:highlight w:val="none"/>
          <w:lang w:val="en-US"/>
        </w:rPr>
        <w:t>蒸发量</w:t>
      </w:r>
      <w:r>
        <w:rPr>
          <w:color w:val="auto"/>
          <w:sz w:val="24"/>
          <w:highlight w:val="none"/>
        </w:rPr>
        <w:t>工况运行，燃用</w:t>
      </w:r>
      <w:r>
        <w:rPr>
          <w:rFonts w:hint="eastAsia"/>
          <w:color w:val="auto"/>
          <w:sz w:val="24"/>
          <w:highlight w:val="none"/>
          <w:lang w:val="en-US" w:eastAsia="zh-CN"/>
        </w:rPr>
        <w:t>设计</w:t>
      </w:r>
      <w:r>
        <w:rPr>
          <w:color w:val="auto"/>
          <w:sz w:val="24"/>
          <w:highlight w:val="none"/>
        </w:rPr>
        <w:t>煤种时，脱硫系统装置的电耗在保证SO</w:t>
      </w:r>
      <w:r>
        <w:rPr>
          <w:color w:val="auto"/>
          <w:sz w:val="24"/>
          <w:highlight w:val="none"/>
          <w:vertAlign w:val="subscript"/>
        </w:rPr>
        <w:t>2</w:t>
      </w:r>
      <w:r>
        <w:rPr>
          <w:color w:val="auto"/>
          <w:sz w:val="24"/>
          <w:highlight w:val="none"/>
        </w:rPr>
        <w:t>脱除率的条件下，装置连续运行平均值不超过</w:t>
      </w:r>
      <w:r>
        <w:rPr>
          <w:rFonts w:hint="eastAsia"/>
          <w:color w:val="auto"/>
          <w:sz w:val="24"/>
          <w:highlight w:val="none"/>
          <w:u w:val="single"/>
          <w:lang w:val="en-US" w:eastAsia="zh-CN"/>
        </w:rPr>
        <w:t xml:space="preserve">   </w:t>
      </w:r>
      <w:r>
        <w:rPr>
          <w:color w:val="auto"/>
          <w:sz w:val="24"/>
          <w:highlight w:val="none"/>
        </w:rPr>
        <w:t>kWh / h。</w:t>
      </w:r>
      <w:r>
        <w:rPr>
          <w:rFonts w:hint="eastAsia"/>
          <w:color w:val="auto"/>
          <w:sz w:val="24"/>
          <w:highlight w:val="none"/>
          <w:lang w:eastAsia="zh-CN"/>
        </w:rPr>
        <w:t>（</w:t>
      </w:r>
      <w:r>
        <w:rPr>
          <w:rStyle w:val="54"/>
          <w:rFonts w:hint="eastAsia" w:ascii="Times New Roman" w:hAnsi="Times New Roman" w:eastAsia="宋体" w:cs="宋体"/>
          <w:color w:val="auto"/>
          <w:sz w:val="24"/>
          <w:highlight w:val="none"/>
          <w:lang w:val="en-US" w:eastAsia="zh-CN" w:bidi="ar"/>
        </w:rPr>
        <w:t>投标人</w:t>
      </w:r>
      <w:r>
        <w:rPr>
          <w:rStyle w:val="54"/>
          <w:rFonts w:hint="eastAsia" w:ascii="Times New Roman" w:hAnsi="Times New Roman" w:eastAsia="宋体" w:cs="Times New Roman"/>
          <w:color w:val="auto"/>
          <w:sz w:val="24"/>
          <w:highlight w:val="none"/>
          <w:lang w:val="en-US" w:eastAsia="zh-CN" w:bidi="ar"/>
        </w:rPr>
        <w:t>填写）</w:t>
      </w:r>
    </w:p>
    <w:p w14:paraId="799018E0">
      <w:pPr>
        <w:numPr>
          <w:ilvl w:val="0"/>
          <w:numId w:val="0"/>
        </w:numPr>
        <w:tabs>
          <w:tab w:val="left" w:pos="5280"/>
        </w:tabs>
        <w:adjustRightInd/>
        <w:spacing w:before="0" w:beforeLines="0" w:line="360" w:lineRule="auto"/>
        <w:ind w:left="0" w:firstLine="0" w:firstLineChars="0"/>
        <w:textAlignment w:val="auto"/>
        <w:rPr>
          <w:color w:val="auto"/>
          <w:sz w:val="24"/>
          <w:highlight w:val="none"/>
        </w:rPr>
      </w:pPr>
      <w:r>
        <w:rPr>
          <w:rFonts w:hint="eastAsia"/>
          <w:color w:val="auto"/>
          <w:sz w:val="24"/>
          <w:highlight w:val="none"/>
          <w:lang w:val="en-US" w:eastAsia="zh-CN"/>
        </w:rPr>
        <w:t>1.4.6</w:t>
      </w:r>
      <w:r>
        <w:rPr>
          <w:color w:val="auto"/>
          <w:sz w:val="24"/>
          <w:highlight w:val="none"/>
        </w:rPr>
        <w:t>脱硫系统装置可用率</w:t>
      </w:r>
    </w:p>
    <w:p w14:paraId="31358FE3">
      <w:pPr>
        <w:tabs>
          <w:tab w:val="left" w:pos="5280"/>
        </w:tabs>
        <w:spacing w:line="360" w:lineRule="auto"/>
        <w:ind w:firstLine="540" w:firstLineChars="225"/>
        <w:rPr>
          <w:color w:val="auto"/>
          <w:sz w:val="24"/>
          <w:highlight w:val="none"/>
        </w:rPr>
      </w:pPr>
      <w:r>
        <w:rPr>
          <w:color w:val="auto"/>
          <w:sz w:val="24"/>
          <w:highlight w:val="none"/>
        </w:rPr>
        <w:t>系统的可用率为≥98%，在质保期内不得出现因脱硫系统故障造成停机。</w:t>
      </w:r>
    </w:p>
    <w:p w14:paraId="3E52E571">
      <w:pPr>
        <w:topLinePunct/>
        <w:adjustRightInd w:val="0"/>
        <w:snapToGrid w:val="0"/>
        <w:spacing w:line="360" w:lineRule="auto"/>
        <w:ind w:firstLine="480" w:firstLineChars="200"/>
        <w:jc w:val="left"/>
        <w:rPr>
          <w:color w:val="auto"/>
          <w:sz w:val="24"/>
          <w:highlight w:val="none"/>
        </w:rPr>
      </w:pPr>
      <w:r>
        <w:rPr>
          <w:color w:val="auto"/>
          <w:sz w:val="24"/>
          <w:highlight w:val="none"/>
        </w:rPr>
        <w:t>可用率的定义为：</w:t>
      </w:r>
    </w:p>
    <w:p w14:paraId="7100ABE3">
      <w:pPr>
        <w:topLinePunct/>
        <w:adjustRightInd w:val="0"/>
        <w:snapToGrid w:val="0"/>
        <w:spacing w:line="360" w:lineRule="auto"/>
        <w:ind w:firstLine="480" w:firstLineChars="200"/>
        <w:jc w:val="left"/>
        <w:rPr>
          <w:color w:val="auto"/>
          <w:sz w:val="24"/>
          <w:highlight w:val="none"/>
        </w:rPr>
      </w:pPr>
      <w:r>
        <w:rPr>
          <w:color w:val="auto"/>
          <w:position w:val="-24"/>
          <w:sz w:val="24"/>
          <w:highlight w:val="none"/>
        </w:rPr>
        <w:object>
          <v:shape id="_x0000_i1025" o:spt="75" type="#_x0000_t75" style="height:30.55pt;width:136.55pt;" o:ole="t" filled="f" o:preferrelative="t" stroked="f" coordsize="21600,21600">
            <v:path/>
            <v:fill on="f" focussize="0,0"/>
            <v:stroke on="f"/>
            <v:imagedata r:id="rId9" o:title=""/>
            <o:lock v:ext="edit" aspectratio="t"/>
            <w10:wrap type="none"/>
            <w10:anchorlock/>
          </v:shape>
          <o:OLEObject Type="Embed" ProgID="Equation.3" ShapeID="_x0000_i1025" DrawAspect="Content" ObjectID="_1468075725" r:id="rId8">
            <o:LockedField>false</o:LockedField>
          </o:OLEObject>
        </w:object>
      </w:r>
      <w:r>
        <w:rPr>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2167255</wp:posOffset>
                </wp:positionH>
                <wp:positionV relativeFrom="paragraph">
                  <wp:posOffset>100965</wp:posOffset>
                </wp:positionV>
                <wp:extent cx="114935" cy="153035"/>
                <wp:effectExtent l="0" t="0" r="0" b="0"/>
                <wp:wrapNone/>
                <wp:docPr id="1" name="Rectangle 13"/>
                <wp:cNvGraphicFramePr/>
                <a:graphic xmlns:a="http://schemas.openxmlformats.org/drawingml/2006/main">
                  <a:graphicData uri="http://schemas.microsoft.com/office/word/2010/wordprocessingShape">
                    <wps:wsp>
                      <wps:cNvSpPr>
                        <a:spLocks noChangeArrowheads="1"/>
                      </wps:cNvSpPr>
                      <wps:spPr bwMode="auto">
                        <a:xfrm>
                          <a:off x="0" y="0"/>
                          <a:ext cx="114935" cy="153035"/>
                        </a:xfrm>
                        <a:prstGeom prst="rect">
                          <a:avLst/>
                        </a:prstGeom>
                        <a:noFill/>
                        <a:ln>
                          <a:noFill/>
                        </a:ln>
                        <a:effectLst/>
                      </wps:spPr>
                      <wps:txbx>
                        <w:txbxContent>
                          <w:p w14:paraId="3231495B"/>
                        </w:txbxContent>
                      </wps:txbx>
                      <wps:bodyPr rot="0" vert="horz" wrap="none" lIns="0" tIns="0" rIns="0" bIns="0" anchor="t" anchorCtr="0" upright="1">
                        <a:spAutoFit/>
                      </wps:bodyPr>
                    </wps:wsp>
                  </a:graphicData>
                </a:graphic>
              </wp:anchor>
            </w:drawing>
          </mc:Choice>
          <mc:Fallback>
            <w:pict>
              <v:rect id="Rectangle 13" o:spid="_x0000_s1026" o:spt="1" style="position:absolute;left:0pt;margin-left:170.65pt;margin-top:7.95pt;height:12.05pt;width:9.05pt;mso-wrap-style:none;z-index:251659264;mso-width-relative:page;mso-height-relative:page;" filled="f" stroked="f" coordsize="21600,21600" o:gfxdata="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H6K4RdcAAAAJAQAADwAAAAAAAAABACAAAAAiAAAAZHJzL2Rvd25yZXYueG1s&#10;UEsBAhQAFAAAAAgAh07iQOupFNr5AQAABwQAAA4AAAAAAAAAAQAgAAAAJgEAAGRycy9lMm9Eb2Mu&#10;eG1sUEsFBgAAAAAGAAYAWQEAAJEFAAAAAA==&#10;">
                <v:fill on="f" focussize="0,0"/>
                <v:stroke on="f"/>
                <v:imagedata o:title=""/>
                <o:lock v:ext="edit" aspectratio="f"/>
                <v:textbox inset="0mm,0mm,0mm,0mm" style="mso-fit-shape-to-text:t;">
                  <w:txbxContent>
                    <w:p w14:paraId="3231495B"/>
                  </w:txbxContent>
                </v:textbox>
              </v:rect>
            </w:pict>
          </mc:Fallback>
        </mc:AlternateContent>
      </w:r>
    </w:p>
    <w:p w14:paraId="345CB835">
      <w:pPr>
        <w:tabs>
          <w:tab w:val="left" w:pos="5280"/>
        </w:tabs>
        <w:spacing w:line="360" w:lineRule="auto"/>
        <w:ind w:firstLine="540" w:firstLineChars="225"/>
        <w:rPr>
          <w:color w:val="auto"/>
          <w:sz w:val="24"/>
          <w:highlight w:val="none"/>
        </w:rPr>
      </w:pPr>
      <w:r>
        <w:rPr>
          <w:color w:val="auto"/>
          <w:sz w:val="24"/>
          <w:highlight w:val="none"/>
        </w:rPr>
        <w:t>A：脱硫系统装置统计期间可运行小时数，h；</w:t>
      </w:r>
    </w:p>
    <w:p w14:paraId="1D0B9E91">
      <w:pPr>
        <w:tabs>
          <w:tab w:val="left" w:pos="5280"/>
        </w:tabs>
        <w:spacing w:line="360" w:lineRule="auto"/>
        <w:ind w:firstLine="540" w:firstLineChars="225"/>
        <w:rPr>
          <w:color w:val="auto"/>
          <w:sz w:val="24"/>
          <w:highlight w:val="none"/>
        </w:rPr>
      </w:pPr>
      <w:r>
        <w:rPr>
          <w:color w:val="auto"/>
          <w:sz w:val="24"/>
          <w:highlight w:val="none"/>
        </w:rPr>
        <w:t>B：脱硫系统装置统计期间强迫停运小时数，h；</w:t>
      </w:r>
    </w:p>
    <w:p w14:paraId="7076F59B">
      <w:pPr>
        <w:tabs>
          <w:tab w:val="left" w:pos="5280"/>
        </w:tabs>
        <w:spacing w:line="360" w:lineRule="auto"/>
        <w:ind w:firstLine="540" w:firstLineChars="225"/>
        <w:rPr>
          <w:color w:val="auto"/>
          <w:sz w:val="24"/>
          <w:highlight w:val="none"/>
        </w:rPr>
      </w:pPr>
      <w:r>
        <w:rPr>
          <w:color w:val="auto"/>
          <w:sz w:val="24"/>
          <w:highlight w:val="none"/>
        </w:rPr>
        <w:t>C：脱硫系统装置统计期间强迫降低出力等效停运小时数，h。</w:t>
      </w:r>
    </w:p>
    <w:p w14:paraId="3F75EA08">
      <w:pPr>
        <w:numPr>
          <w:ilvl w:val="0"/>
          <w:numId w:val="0"/>
        </w:numPr>
        <w:tabs>
          <w:tab w:val="left" w:pos="0"/>
        </w:tabs>
        <w:adjustRightInd w:val="0"/>
        <w:spacing w:line="360" w:lineRule="auto"/>
        <w:ind w:left="0" w:firstLine="0"/>
        <w:textAlignment w:val="baseline"/>
        <w:rPr>
          <w:color w:val="auto"/>
          <w:sz w:val="24"/>
          <w:highlight w:val="none"/>
        </w:rPr>
      </w:pPr>
      <w:r>
        <w:rPr>
          <w:rFonts w:hint="eastAsia"/>
          <w:color w:val="auto"/>
          <w:sz w:val="24"/>
          <w:highlight w:val="none"/>
          <w:lang w:val="en-US" w:eastAsia="zh-CN"/>
        </w:rPr>
        <w:t>1.4.7</w:t>
      </w:r>
      <w:r>
        <w:rPr>
          <w:color w:val="auto"/>
          <w:sz w:val="24"/>
          <w:highlight w:val="none"/>
        </w:rPr>
        <w:t>吸收塔压力损失</w:t>
      </w:r>
    </w:p>
    <w:p w14:paraId="0CC7AAC1">
      <w:pPr>
        <w:snapToGrid w:val="0"/>
        <w:spacing w:line="360" w:lineRule="auto"/>
        <w:ind w:firstLine="540" w:firstLineChars="225"/>
        <w:rPr>
          <w:color w:val="auto"/>
          <w:sz w:val="24"/>
          <w:highlight w:val="none"/>
        </w:rPr>
      </w:pPr>
      <w:r>
        <w:rPr>
          <w:color w:val="auto"/>
          <w:sz w:val="24"/>
          <w:highlight w:val="none"/>
        </w:rPr>
        <w:t>燃用设计工况煤种，</w:t>
      </w:r>
      <w:r>
        <w:rPr>
          <w:rFonts w:hint="eastAsia"/>
          <w:color w:val="auto"/>
          <w:sz w:val="24"/>
          <w:highlight w:val="none"/>
          <w:lang w:val="en-US" w:eastAsia="zh-CN"/>
        </w:rPr>
        <w:t>锅炉最大连续</w:t>
      </w:r>
      <w:r>
        <w:rPr>
          <w:color w:val="auto"/>
          <w:sz w:val="24"/>
          <w:highlight w:val="none"/>
          <w:lang w:val="en-US"/>
        </w:rPr>
        <w:t>蒸发量</w:t>
      </w:r>
      <w:r>
        <w:rPr>
          <w:color w:val="auto"/>
          <w:sz w:val="24"/>
          <w:highlight w:val="none"/>
        </w:rPr>
        <w:t>工况时</w:t>
      </w:r>
    </w:p>
    <w:p w14:paraId="2CB9BDAC">
      <w:pPr>
        <w:snapToGrid w:val="0"/>
        <w:spacing w:line="360" w:lineRule="auto"/>
        <w:ind w:firstLine="540" w:firstLineChars="225"/>
        <w:rPr>
          <w:rStyle w:val="54"/>
          <w:color w:val="auto"/>
          <w:highlight w:val="none"/>
        </w:rPr>
      </w:pPr>
      <w:r>
        <w:rPr>
          <w:color w:val="auto"/>
          <w:sz w:val="24"/>
          <w:highlight w:val="none"/>
        </w:rPr>
        <w:t>脱硫塔的</w:t>
      </w:r>
      <w:r>
        <w:rPr>
          <w:rFonts w:hint="eastAsia"/>
          <w:color w:val="auto"/>
          <w:sz w:val="24"/>
          <w:highlight w:val="none"/>
          <w:lang w:val="en-US" w:eastAsia="zh-CN"/>
        </w:rPr>
        <w:t>总</w:t>
      </w:r>
      <w:r>
        <w:rPr>
          <w:color w:val="auto"/>
          <w:sz w:val="24"/>
          <w:highlight w:val="none"/>
        </w:rPr>
        <w:t>压力损失应不大于</w:t>
      </w:r>
      <w:r>
        <w:rPr>
          <w:rStyle w:val="54"/>
          <w:color w:val="auto"/>
          <w:highlight w:val="none"/>
        </w:rPr>
        <w:t>2300Pa（其中高效除雾器总阻力不大于500Pa）；</w:t>
      </w:r>
    </w:p>
    <w:p w14:paraId="48DB0D88">
      <w:pPr>
        <w:snapToGrid w:val="0"/>
        <w:spacing w:line="360" w:lineRule="auto"/>
        <w:ind w:firstLine="540" w:firstLineChars="225"/>
        <w:rPr>
          <w:rFonts w:hint="eastAsia"/>
          <w:color w:val="auto"/>
          <w:sz w:val="24"/>
          <w:highlight w:val="none"/>
          <w:lang w:val="en-US" w:eastAsia="zh-CN"/>
        </w:rPr>
      </w:pPr>
      <w:r>
        <w:rPr>
          <w:color w:val="auto"/>
          <w:sz w:val="24"/>
          <w:highlight w:val="none"/>
        </w:rPr>
        <w:t>脱硫塔压力损失起止点：</w:t>
      </w:r>
      <w:r>
        <w:rPr>
          <w:rStyle w:val="54"/>
          <w:rFonts w:ascii="Times New Roman" w:hAnsi="Times New Roman" w:eastAsia="宋体" w:cs="Times New Roman"/>
          <w:color w:val="auto"/>
          <w:sz w:val="24"/>
          <w:highlight w:val="none"/>
        </w:rPr>
        <w:t>吸收塔</w:t>
      </w:r>
      <w:r>
        <w:rPr>
          <w:rStyle w:val="54"/>
          <w:rFonts w:hint="eastAsia" w:ascii="Times New Roman" w:hAnsi="Times New Roman" w:eastAsia="宋体" w:cs="宋体"/>
          <w:color w:val="auto"/>
          <w:sz w:val="24"/>
          <w:highlight w:val="none"/>
          <w:lang w:bidi="ar"/>
        </w:rPr>
        <w:t>入口至</w:t>
      </w:r>
      <w:r>
        <w:rPr>
          <w:rStyle w:val="54"/>
          <w:rFonts w:ascii="Times New Roman" w:hAnsi="Times New Roman" w:eastAsia="宋体" w:cs="Times New Roman"/>
          <w:color w:val="auto"/>
          <w:sz w:val="24"/>
          <w:highlight w:val="none"/>
        </w:rPr>
        <w:t>吸收塔</w:t>
      </w:r>
      <w:r>
        <w:rPr>
          <w:rStyle w:val="54"/>
          <w:rFonts w:hint="eastAsia" w:ascii="Times New Roman" w:hAnsi="Times New Roman" w:eastAsia="宋体" w:cs="Times New Roman"/>
          <w:color w:val="auto"/>
          <w:sz w:val="24"/>
          <w:highlight w:val="none"/>
        </w:rPr>
        <w:t>出口（含</w:t>
      </w:r>
      <w:r>
        <w:rPr>
          <w:rStyle w:val="54"/>
          <w:rFonts w:hint="eastAsia" w:ascii="Times New Roman" w:hAnsi="Times New Roman" w:eastAsia="宋体" w:cs="Times New Roman"/>
          <w:color w:val="auto"/>
          <w:sz w:val="24"/>
          <w:highlight w:val="none"/>
          <w:lang w:val="en-US" w:eastAsia="zh-CN"/>
        </w:rPr>
        <w:t>各</w:t>
      </w:r>
      <w:r>
        <w:rPr>
          <w:rStyle w:val="54"/>
          <w:rFonts w:hint="eastAsia" w:ascii="Times New Roman" w:hAnsi="Times New Roman" w:eastAsia="宋体" w:cs="宋体"/>
          <w:color w:val="auto"/>
          <w:sz w:val="24"/>
          <w:highlight w:val="none"/>
          <w:lang w:bidi="ar"/>
        </w:rPr>
        <w:t>除</w:t>
      </w:r>
      <w:r>
        <w:rPr>
          <w:rStyle w:val="54"/>
          <w:rFonts w:hint="eastAsia" w:ascii="Times New Roman" w:hAnsi="Times New Roman" w:eastAsia="宋体" w:cs="宋体"/>
          <w:color w:val="auto"/>
          <w:sz w:val="24"/>
          <w:highlight w:val="none"/>
          <w:lang w:val="en-US" w:eastAsia="zh-CN" w:bidi="ar"/>
        </w:rPr>
        <w:t>雾</w:t>
      </w:r>
      <w:r>
        <w:rPr>
          <w:rStyle w:val="54"/>
          <w:rFonts w:hint="eastAsia" w:ascii="Times New Roman" w:hAnsi="Times New Roman" w:eastAsia="宋体" w:cs="宋体"/>
          <w:color w:val="auto"/>
          <w:sz w:val="24"/>
          <w:highlight w:val="none"/>
          <w:lang w:bidi="ar"/>
        </w:rPr>
        <w:t>器</w:t>
      </w:r>
      <w:r>
        <w:rPr>
          <w:rStyle w:val="54"/>
          <w:rFonts w:hint="eastAsia" w:ascii="Times New Roman" w:hAnsi="Times New Roman" w:eastAsia="宋体" w:cs="宋体"/>
          <w:color w:val="auto"/>
          <w:sz w:val="24"/>
          <w:highlight w:val="none"/>
          <w:lang w:val="en-US" w:eastAsia="zh-CN" w:bidi="ar"/>
        </w:rPr>
        <w:t>阻力</w:t>
      </w:r>
      <w:r>
        <w:rPr>
          <w:rStyle w:val="54"/>
          <w:rFonts w:hint="eastAsia" w:ascii="Times New Roman" w:hAnsi="Times New Roman" w:eastAsia="宋体" w:cs="宋体"/>
          <w:color w:val="auto"/>
          <w:sz w:val="24"/>
          <w:highlight w:val="none"/>
          <w:lang w:bidi="ar"/>
        </w:rPr>
        <w:t>）</w:t>
      </w:r>
      <w:r>
        <w:rPr>
          <w:rFonts w:hint="eastAsia"/>
          <w:color w:val="auto"/>
          <w:sz w:val="24"/>
          <w:highlight w:val="none"/>
          <w:lang w:val="en-US" w:eastAsia="zh-CN"/>
        </w:rPr>
        <w:t>。</w:t>
      </w:r>
    </w:p>
    <w:p w14:paraId="4E739248">
      <w:pPr>
        <w:pStyle w:val="176"/>
        <w:numPr>
          <w:ilvl w:val="0"/>
          <w:numId w:val="0"/>
        </w:numPr>
        <w:tabs>
          <w:tab w:val="left" w:pos="0"/>
        </w:tabs>
        <w:adjustRightInd w:val="0"/>
        <w:spacing w:line="360" w:lineRule="auto"/>
        <w:ind w:left="0" w:firstLine="0"/>
        <w:textAlignment w:val="baseline"/>
        <w:rPr>
          <w:rStyle w:val="54"/>
          <w:rFonts w:ascii="Times New Roman" w:hAnsi="Times New Roman" w:eastAsia="宋体" w:cs="Times New Roman"/>
          <w:color w:val="auto"/>
          <w:sz w:val="24"/>
          <w:highlight w:val="none"/>
        </w:rPr>
      </w:pPr>
      <w:r>
        <w:rPr>
          <w:rStyle w:val="54"/>
          <w:rFonts w:hint="eastAsia" w:cs="Times New Roman"/>
          <w:color w:val="auto"/>
          <w:sz w:val="24"/>
          <w:highlight w:val="none"/>
          <w:lang w:val="en-US" w:eastAsia="zh-CN"/>
        </w:rPr>
        <w:t>1.4.8</w:t>
      </w:r>
      <w:r>
        <w:rPr>
          <w:rStyle w:val="54"/>
          <w:rFonts w:ascii="Times New Roman" w:hAnsi="Times New Roman" w:eastAsia="宋体" w:cs="Times New Roman"/>
          <w:color w:val="auto"/>
          <w:sz w:val="24"/>
          <w:highlight w:val="none"/>
        </w:rPr>
        <w:t>废水量</w:t>
      </w:r>
    </w:p>
    <w:p w14:paraId="501AC962">
      <w:pPr>
        <w:pStyle w:val="176"/>
        <w:snapToGrid w:val="0"/>
        <w:spacing w:line="360" w:lineRule="auto"/>
        <w:ind w:firstLine="540" w:firstLineChars="225"/>
        <w:rPr>
          <w:rStyle w:val="54"/>
          <w:rFonts w:hint="eastAsia" w:ascii="Times New Roman" w:hAnsi="Times New Roman" w:eastAsia="宋体" w:cs="宋体"/>
          <w:color w:val="auto"/>
          <w:sz w:val="24"/>
          <w:highlight w:val="none"/>
          <w:lang w:bidi="ar"/>
        </w:rPr>
      </w:pPr>
      <w:r>
        <w:rPr>
          <w:rStyle w:val="54"/>
          <w:rFonts w:hint="eastAsia" w:ascii="Times New Roman" w:hAnsi="Times New Roman" w:eastAsia="宋体" w:cs="宋体"/>
          <w:color w:val="auto"/>
          <w:sz w:val="24"/>
          <w:highlight w:val="none"/>
          <w:lang w:bidi="ar"/>
        </w:rPr>
        <w:t>按设计条件中提供的水质、石灰石品质，脱硫系统装置在锅炉</w:t>
      </w:r>
      <w:r>
        <w:rPr>
          <w:rStyle w:val="54"/>
          <w:rFonts w:hint="eastAsia" w:cs="宋体"/>
          <w:color w:val="auto"/>
          <w:sz w:val="24"/>
          <w:highlight w:val="none"/>
          <w:lang w:val="en-US" w:eastAsia="zh-CN" w:bidi="ar"/>
        </w:rPr>
        <w:t>最大连续</w:t>
      </w:r>
      <w:r>
        <w:rPr>
          <w:rStyle w:val="54"/>
          <w:rFonts w:hint="default" w:cs="宋体"/>
          <w:color w:val="auto"/>
          <w:sz w:val="24"/>
          <w:highlight w:val="none"/>
          <w:lang w:val="en-US" w:bidi="ar"/>
        </w:rPr>
        <w:t>蒸发量</w:t>
      </w:r>
      <w:r>
        <w:rPr>
          <w:rStyle w:val="54"/>
          <w:rFonts w:hint="eastAsia" w:ascii="Times New Roman" w:hAnsi="Times New Roman" w:eastAsia="宋体" w:cs="宋体"/>
          <w:color w:val="auto"/>
          <w:sz w:val="24"/>
          <w:highlight w:val="none"/>
          <w:lang w:bidi="ar"/>
        </w:rPr>
        <w:t>工况条件下，燃用设计煤种，脱硫系统废水排出量≤</w:t>
      </w:r>
      <w:r>
        <w:rPr>
          <w:rStyle w:val="54"/>
          <w:rFonts w:hint="eastAsia" w:ascii="Times New Roman" w:hAnsi="Times New Roman" w:eastAsia="宋体" w:cs="宋体"/>
          <w:color w:val="auto"/>
          <w:sz w:val="24"/>
          <w:highlight w:val="none"/>
          <w:u w:val="single"/>
          <w:lang w:bidi="ar"/>
        </w:rPr>
        <w:t xml:space="preserve"> </w:t>
      </w:r>
      <w:r>
        <w:rPr>
          <w:rStyle w:val="54"/>
          <w:rFonts w:hint="eastAsia" w:cs="宋体"/>
          <w:color w:val="auto"/>
          <w:sz w:val="24"/>
          <w:highlight w:val="none"/>
          <w:u w:val="single"/>
          <w:lang w:val="en-US" w:eastAsia="zh-CN" w:bidi="ar"/>
        </w:rPr>
        <w:t xml:space="preserve">  </w:t>
      </w:r>
      <w:r>
        <w:rPr>
          <w:rStyle w:val="54"/>
          <w:rFonts w:hint="eastAsia" w:ascii="Times New Roman" w:hAnsi="Times New Roman" w:eastAsia="宋体" w:cs="宋体"/>
          <w:color w:val="auto"/>
          <w:sz w:val="24"/>
          <w:highlight w:val="none"/>
          <w:lang w:bidi="ar"/>
        </w:rPr>
        <w:t>t/h(按24h平均)；</w:t>
      </w:r>
    </w:p>
    <w:p w14:paraId="22BB6C73">
      <w:pPr>
        <w:pStyle w:val="176"/>
        <w:numPr>
          <w:ilvl w:val="0"/>
          <w:numId w:val="0"/>
        </w:numPr>
        <w:tabs>
          <w:tab w:val="left" w:pos="0"/>
        </w:tabs>
        <w:adjustRightInd w:val="0"/>
        <w:spacing w:line="360" w:lineRule="auto"/>
        <w:ind w:left="0" w:firstLine="0"/>
        <w:textAlignment w:val="baseline"/>
        <w:rPr>
          <w:rStyle w:val="54"/>
          <w:rFonts w:ascii="Times New Roman" w:hAnsi="Times New Roman" w:eastAsia="宋体" w:cs="Times New Roman"/>
          <w:color w:val="auto"/>
          <w:sz w:val="24"/>
          <w:highlight w:val="none"/>
        </w:rPr>
      </w:pPr>
      <w:r>
        <w:rPr>
          <w:rStyle w:val="54"/>
          <w:rFonts w:hint="eastAsia" w:cs="宋体"/>
          <w:color w:val="auto"/>
          <w:sz w:val="24"/>
          <w:highlight w:val="none"/>
          <w:lang w:val="en-US" w:eastAsia="zh-CN" w:bidi="ar"/>
        </w:rPr>
        <w:t>1.4.9</w:t>
      </w:r>
      <w:r>
        <w:rPr>
          <w:rStyle w:val="54"/>
          <w:rFonts w:ascii="Times New Roman" w:hAnsi="Times New Roman" w:eastAsia="宋体" w:cs="Times New Roman"/>
          <w:color w:val="auto"/>
          <w:sz w:val="24"/>
          <w:highlight w:val="none"/>
        </w:rPr>
        <w:t>石膏品质</w:t>
      </w:r>
    </w:p>
    <w:p w14:paraId="340BB737">
      <w:pPr>
        <w:pStyle w:val="176"/>
        <w:tabs>
          <w:tab w:val="left" w:pos="5280"/>
        </w:tabs>
        <w:spacing w:line="360" w:lineRule="auto"/>
        <w:ind w:firstLine="540" w:firstLineChars="225"/>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石膏纯度高于或等于90%，自由水分低于或等于10%</w:t>
      </w:r>
    </w:p>
    <w:p w14:paraId="754F49F7">
      <w:pPr>
        <w:pStyle w:val="176"/>
        <w:tabs>
          <w:tab w:val="left" w:pos="5280"/>
        </w:tabs>
        <w:spacing w:line="360" w:lineRule="auto"/>
        <w:ind w:firstLine="540" w:firstLineChars="225"/>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CaCO</w:t>
      </w:r>
      <w:r>
        <w:rPr>
          <w:rStyle w:val="54"/>
          <w:rFonts w:ascii="Times New Roman" w:hAnsi="Times New Roman" w:eastAsia="宋体" w:cs="Times New Roman"/>
          <w:color w:val="auto"/>
          <w:sz w:val="24"/>
          <w:highlight w:val="none"/>
          <w:vertAlign w:val="subscript"/>
        </w:rPr>
        <w:t>3</w:t>
      </w:r>
      <w:r>
        <w:rPr>
          <w:rStyle w:val="54"/>
          <w:rFonts w:ascii="Times New Roman" w:hAnsi="Times New Roman" w:eastAsia="宋体" w:cs="Times New Roman"/>
          <w:color w:val="auto"/>
          <w:sz w:val="24"/>
          <w:highlight w:val="none"/>
        </w:rPr>
        <w:t>含量低于3%（以无游离水分的石膏作为基准）</w:t>
      </w:r>
    </w:p>
    <w:p w14:paraId="49D8E223">
      <w:pPr>
        <w:pStyle w:val="176"/>
        <w:tabs>
          <w:tab w:val="left" w:pos="5280"/>
        </w:tabs>
        <w:spacing w:line="360" w:lineRule="auto"/>
        <w:ind w:firstLine="540" w:firstLineChars="225"/>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CaSO</w:t>
      </w:r>
      <w:r>
        <w:rPr>
          <w:rStyle w:val="54"/>
          <w:rFonts w:ascii="Times New Roman" w:hAnsi="Times New Roman" w:eastAsia="宋体" w:cs="Times New Roman"/>
          <w:color w:val="auto"/>
          <w:sz w:val="24"/>
          <w:highlight w:val="none"/>
          <w:vertAlign w:val="subscript"/>
        </w:rPr>
        <w:t>3</w:t>
      </w:r>
      <w:r>
        <w:rPr>
          <w:rStyle w:val="54"/>
          <w:rFonts w:ascii="Times New Roman" w:hAnsi="Times New Roman" w:eastAsia="宋体" w:cs="Times New Roman"/>
          <w:color w:val="auto"/>
          <w:sz w:val="24"/>
          <w:highlight w:val="none"/>
        </w:rPr>
        <w:t>﹒1/2H</w:t>
      </w:r>
      <w:r>
        <w:rPr>
          <w:rStyle w:val="54"/>
          <w:rFonts w:ascii="Times New Roman" w:hAnsi="Times New Roman" w:eastAsia="宋体" w:cs="Times New Roman"/>
          <w:color w:val="auto"/>
          <w:sz w:val="24"/>
          <w:highlight w:val="none"/>
          <w:vertAlign w:val="subscript"/>
        </w:rPr>
        <w:t>2</w:t>
      </w:r>
      <w:r>
        <w:rPr>
          <w:rStyle w:val="54"/>
          <w:rFonts w:ascii="Times New Roman" w:hAnsi="Times New Roman" w:eastAsia="宋体" w:cs="Times New Roman"/>
          <w:color w:val="auto"/>
          <w:sz w:val="24"/>
          <w:highlight w:val="none"/>
        </w:rPr>
        <w:t>O 含量低于0.35%（以无游离水分的石膏作为基准）</w:t>
      </w:r>
    </w:p>
    <w:p w14:paraId="46FE4911">
      <w:pPr>
        <w:pStyle w:val="176"/>
        <w:tabs>
          <w:tab w:val="left" w:pos="5280"/>
        </w:tabs>
        <w:spacing w:line="360" w:lineRule="auto"/>
        <w:ind w:firstLine="540" w:firstLineChars="225"/>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溶解于石膏中的Cl</w:t>
      </w:r>
      <w:r>
        <w:rPr>
          <w:rStyle w:val="54"/>
          <w:rFonts w:ascii="Times New Roman" w:hAnsi="Times New Roman" w:eastAsia="宋体" w:cs="Times New Roman"/>
          <w:color w:val="auto"/>
          <w:sz w:val="30"/>
          <w:highlight w:val="none"/>
          <w:vertAlign w:val="superscript"/>
        </w:rPr>
        <w:t>-</w:t>
      </w:r>
      <w:r>
        <w:rPr>
          <w:rStyle w:val="54"/>
          <w:rFonts w:ascii="Times New Roman" w:hAnsi="Times New Roman" w:eastAsia="宋体" w:cs="Times New Roman"/>
          <w:color w:val="auto"/>
          <w:sz w:val="24"/>
          <w:highlight w:val="none"/>
        </w:rPr>
        <w:t>含量低于0.01%Wt（以无游离水分的石膏作为基准）</w:t>
      </w:r>
    </w:p>
    <w:p w14:paraId="2783F9E8">
      <w:pPr>
        <w:pStyle w:val="176"/>
        <w:tabs>
          <w:tab w:val="left" w:pos="5280"/>
        </w:tabs>
        <w:spacing w:line="360" w:lineRule="auto"/>
        <w:ind w:firstLine="540" w:firstLineChars="225"/>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溶解于石膏中的F</w:t>
      </w:r>
      <w:r>
        <w:rPr>
          <w:rStyle w:val="54"/>
          <w:rFonts w:ascii="Times New Roman" w:hAnsi="Times New Roman" w:eastAsia="宋体" w:cs="Times New Roman"/>
          <w:color w:val="auto"/>
          <w:sz w:val="30"/>
          <w:highlight w:val="none"/>
          <w:vertAlign w:val="superscript"/>
        </w:rPr>
        <w:t>-</w:t>
      </w:r>
      <w:r>
        <w:rPr>
          <w:rStyle w:val="54"/>
          <w:rFonts w:ascii="Times New Roman" w:hAnsi="Times New Roman" w:eastAsia="宋体" w:cs="Times New Roman"/>
          <w:color w:val="auto"/>
          <w:sz w:val="24"/>
          <w:highlight w:val="none"/>
        </w:rPr>
        <w:t>含量低于0.01%Wt（以无游离水分的石膏作为基准）</w:t>
      </w:r>
    </w:p>
    <w:p w14:paraId="72D52929">
      <w:pPr>
        <w:pStyle w:val="176"/>
        <w:tabs>
          <w:tab w:val="left" w:pos="5280"/>
        </w:tabs>
        <w:spacing w:line="360" w:lineRule="auto"/>
        <w:ind w:firstLine="540" w:firstLineChars="225"/>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溶解于石膏中的MgO含量低于0.021%Wt（以无游离水分的石膏作为基准）</w:t>
      </w:r>
    </w:p>
    <w:p w14:paraId="0C05A46F">
      <w:pPr>
        <w:pStyle w:val="176"/>
        <w:tabs>
          <w:tab w:val="left" w:pos="5280"/>
        </w:tabs>
        <w:spacing w:line="360" w:lineRule="auto"/>
        <w:ind w:firstLine="540" w:firstLineChars="225"/>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溶解于石膏中的K</w:t>
      </w:r>
      <w:r>
        <w:rPr>
          <w:rStyle w:val="54"/>
          <w:rFonts w:ascii="Times New Roman" w:hAnsi="Times New Roman" w:eastAsia="宋体" w:cs="Times New Roman"/>
          <w:color w:val="auto"/>
          <w:sz w:val="24"/>
          <w:highlight w:val="none"/>
          <w:vertAlign w:val="subscript"/>
        </w:rPr>
        <w:t>2</w:t>
      </w:r>
      <w:r>
        <w:rPr>
          <w:rStyle w:val="54"/>
          <w:rFonts w:ascii="Times New Roman" w:hAnsi="Times New Roman" w:eastAsia="宋体" w:cs="Times New Roman"/>
          <w:color w:val="auto"/>
          <w:sz w:val="24"/>
          <w:highlight w:val="none"/>
        </w:rPr>
        <w:t>O含量低于0.07%Wt（以无游离水分的石膏作为基准）</w:t>
      </w:r>
    </w:p>
    <w:p w14:paraId="2577CD02">
      <w:pPr>
        <w:pStyle w:val="176"/>
        <w:snapToGrid w:val="0"/>
        <w:spacing w:line="360" w:lineRule="auto"/>
        <w:ind w:firstLine="540" w:firstLineChars="225"/>
        <w:rPr>
          <w:rStyle w:val="54"/>
          <w:rFonts w:hint="default" w:ascii="Times New Roman" w:hAnsi="Times New Roman" w:eastAsia="宋体" w:cs="宋体"/>
          <w:color w:val="auto"/>
          <w:sz w:val="24"/>
          <w:highlight w:val="none"/>
          <w:lang w:val="en-US" w:eastAsia="zh-CN" w:bidi="ar"/>
        </w:rPr>
      </w:pPr>
      <w:r>
        <w:rPr>
          <w:rStyle w:val="54"/>
          <w:rFonts w:ascii="Times New Roman" w:hAnsi="Times New Roman" w:eastAsia="宋体" w:cs="Times New Roman"/>
          <w:color w:val="auto"/>
          <w:sz w:val="24"/>
          <w:highlight w:val="none"/>
        </w:rPr>
        <w:t>溶解于石膏中的Na</w:t>
      </w:r>
      <w:r>
        <w:rPr>
          <w:rStyle w:val="54"/>
          <w:rFonts w:ascii="Times New Roman" w:hAnsi="Times New Roman" w:eastAsia="宋体" w:cs="Times New Roman"/>
          <w:color w:val="auto"/>
          <w:sz w:val="24"/>
          <w:highlight w:val="none"/>
          <w:vertAlign w:val="subscript"/>
        </w:rPr>
        <w:t>2</w:t>
      </w:r>
      <w:r>
        <w:rPr>
          <w:rStyle w:val="54"/>
          <w:rFonts w:ascii="Times New Roman" w:hAnsi="Times New Roman" w:eastAsia="宋体" w:cs="Times New Roman"/>
          <w:color w:val="auto"/>
          <w:sz w:val="24"/>
          <w:highlight w:val="none"/>
        </w:rPr>
        <w:t>O含量低于0.035%Wt（以无游离水分的石膏作为基准）</w:t>
      </w:r>
    </w:p>
    <w:p w14:paraId="7589CE1E">
      <w:pPr>
        <w:pStyle w:val="176"/>
        <w:numPr>
          <w:ilvl w:val="0"/>
          <w:numId w:val="0"/>
        </w:numPr>
        <w:tabs>
          <w:tab w:val="left" w:pos="0"/>
        </w:tabs>
        <w:adjustRightInd w:val="0"/>
        <w:spacing w:line="360" w:lineRule="auto"/>
        <w:ind w:left="0" w:firstLine="0"/>
        <w:textAlignment w:val="baseline"/>
        <w:rPr>
          <w:rStyle w:val="54"/>
          <w:rFonts w:ascii="Times New Roman" w:hAnsi="Times New Roman" w:eastAsia="宋体" w:cs="Times New Roman"/>
          <w:color w:val="auto"/>
          <w:sz w:val="24"/>
          <w:highlight w:val="none"/>
        </w:rPr>
      </w:pPr>
      <w:r>
        <w:rPr>
          <w:rFonts w:hint="eastAsia"/>
          <w:color w:val="auto"/>
          <w:sz w:val="24"/>
          <w:highlight w:val="none"/>
          <w:lang w:val="en-US" w:eastAsia="zh-CN"/>
        </w:rPr>
        <w:t>1.4.10</w:t>
      </w:r>
      <w:r>
        <w:rPr>
          <w:rStyle w:val="54"/>
          <w:rFonts w:ascii="Times New Roman" w:hAnsi="Times New Roman" w:eastAsia="宋体" w:cs="Times New Roman"/>
          <w:color w:val="auto"/>
          <w:sz w:val="24"/>
          <w:highlight w:val="none"/>
        </w:rPr>
        <w:t>主要设备的噪音应满足如下要求</w:t>
      </w:r>
    </w:p>
    <w:p w14:paraId="1BDD1145">
      <w:pPr>
        <w:pStyle w:val="176"/>
        <w:snapToGrid w:val="0"/>
        <w:spacing w:line="360" w:lineRule="auto"/>
        <w:ind w:firstLine="480" w:firstLineChars="200"/>
        <w:rPr>
          <w:rStyle w:val="54"/>
          <w:rFonts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投标人</w:t>
      </w:r>
      <w:r>
        <w:rPr>
          <w:rStyle w:val="54"/>
          <w:rFonts w:ascii="Times New Roman" w:hAnsi="Times New Roman" w:eastAsia="宋体" w:cs="Times New Roman"/>
          <w:color w:val="auto"/>
          <w:sz w:val="24"/>
          <w:highlight w:val="none"/>
        </w:rPr>
        <w:t>保证脱硫装置和设备噪声水平满足中国标准。噪声执行GB3096《城市区域环境噪声标准》中的3类标准，GB12348《工业企业厂界噪声标准》Ⅲ标准。</w:t>
      </w:r>
    </w:p>
    <w:p w14:paraId="2862B233">
      <w:pPr>
        <w:pStyle w:val="176"/>
        <w:snapToGrid w:val="0"/>
        <w:spacing w:line="360" w:lineRule="auto"/>
        <w:ind w:firstLine="480" w:firstLineChars="200"/>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离地坪、楼面以及设备所安装的平台以上1.5m高，离设备外壳1.0m远处，测得噪声级为：</w:t>
      </w:r>
    </w:p>
    <w:p w14:paraId="12F53EFF">
      <w:pPr>
        <w:pStyle w:val="176"/>
        <w:snapToGrid w:val="0"/>
        <w:spacing w:line="360" w:lineRule="auto"/>
        <w:ind w:firstLine="480" w:firstLineChars="200"/>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·氧化风机：</w:t>
      </w:r>
      <w:r>
        <w:rPr>
          <w:rStyle w:val="54"/>
          <w:rFonts w:ascii="Times New Roman" w:hAnsi="Times New Roman" w:eastAsia="宋体" w:cs="Times New Roman"/>
          <w:color w:val="auto"/>
          <w:sz w:val="24"/>
          <w:highlight w:val="none"/>
        </w:rPr>
        <w:tab/>
      </w:r>
      <w:r>
        <w:rPr>
          <w:rStyle w:val="54"/>
          <w:rFonts w:ascii="Times New Roman" w:hAnsi="Times New Roman" w:eastAsia="宋体" w:cs="Times New Roman"/>
          <w:color w:val="auto"/>
          <w:sz w:val="24"/>
          <w:highlight w:val="none"/>
        </w:rPr>
        <w:t xml:space="preserve">       ≤85dB（A）</w:t>
      </w:r>
    </w:p>
    <w:p w14:paraId="65EC989D">
      <w:pPr>
        <w:pStyle w:val="176"/>
        <w:snapToGrid w:val="0"/>
        <w:spacing w:line="360" w:lineRule="auto"/>
        <w:ind w:firstLine="480" w:firstLineChars="200"/>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·其它风机及泵：</w:t>
      </w:r>
      <w:r>
        <w:rPr>
          <w:rStyle w:val="54"/>
          <w:rFonts w:ascii="Times New Roman" w:hAnsi="Times New Roman" w:eastAsia="宋体" w:cs="Times New Roman"/>
          <w:color w:val="auto"/>
          <w:sz w:val="24"/>
          <w:highlight w:val="none"/>
        </w:rPr>
        <w:tab/>
      </w:r>
      <w:r>
        <w:rPr>
          <w:rStyle w:val="54"/>
          <w:rFonts w:ascii="Times New Roman" w:hAnsi="Times New Roman" w:eastAsia="宋体" w:cs="Times New Roman"/>
          <w:color w:val="auto"/>
          <w:sz w:val="24"/>
          <w:highlight w:val="none"/>
        </w:rPr>
        <w:tab/>
      </w:r>
      <w:r>
        <w:rPr>
          <w:rStyle w:val="54"/>
          <w:rFonts w:ascii="Times New Roman" w:hAnsi="Times New Roman" w:eastAsia="宋体" w:cs="Times New Roman"/>
          <w:color w:val="auto"/>
          <w:sz w:val="24"/>
          <w:highlight w:val="none"/>
        </w:rPr>
        <w:t>≤85dB（A）</w:t>
      </w:r>
    </w:p>
    <w:p w14:paraId="08DC1867">
      <w:pPr>
        <w:pStyle w:val="176"/>
        <w:snapToGrid w:val="0"/>
        <w:spacing w:line="360" w:lineRule="auto"/>
        <w:ind w:firstLine="480" w:firstLineChars="200"/>
        <w:rPr>
          <w:rStyle w:val="54"/>
          <w:rFonts w:ascii="Times New Roman" w:hAnsi="Times New Roman" w:eastAsia="宋体" w:cs="Times New Roman"/>
          <w:color w:val="auto"/>
          <w:sz w:val="24"/>
          <w:highlight w:val="none"/>
        </w:rPr>
      </w:pPr>
      <w:r>
        <w:rPr>
          <w:rStyle w:val="54"/>
          <w:rFonts w:hint="eastAsia" w:cs="Times New Roman"/>
          <w:color w:val="auto"/>
          <w:sz w:val="24"/>
          <w:highlight w:val="none"/>
          <w:lang w:val="en-US" w:eastAsia="zh-CN"/>
        </w:rPr>
        <w:t>.</w:t>
      </w:r>
      <w:r>
        <w:rPr>
          <w:rStyle w:val="54"/>
          <w:rFonts w:ascii="Times New Roman" w:hAnsi="Times New Roman" w:eastAsia="宋体" w:cs="Times New Roman"/>
          <w:color w:val="auto"/>
          <w:sz w:val="24"/>
          <w:highlight w:val="none"/>
        </w:rPr>
        <w:t>电子室：</w:t>
      </w:r>
      <w:r>
        <w:rPr>
          <w:rStyle w:val="54"/>
          <w:rFonts w:ascii="Times New Roman" w:hAnsi="Times New Roman" w:eastAsia="宋体" w:cs="Times New Roman"/>
          <w:color w:val="auto"/>
          <w:sz w:val="24"/>
          <w:highlight w:val="none"/>
        </w:rPr>
        <w:tab/>
      </w:r>
      <w:r>
        <w:rPr>
          <w:rStyle w:val="54"/>
          <w:rFonts w:ascii="Times New Roman" w:hAnsi="Times New Roman" w:eastAsia="宋体" w:cs="Times New Roman"/>
          <w:color w:val="auto"/>
          <w:sz w:val="24"/>
          <w:highlight w:val="none"/>
        </w:rPr>
        <w:tab/>
      </w:r>
      <w:r>
        <w:rPr>
          <w:rStyle w:val="54"/>
          <w:rFonts w:ascii="Times New Roman" w:hAnsi="Times New Roman" w:eastAsia="宋体" w:cs="Times New Roman"/>
          <w:color w:val="auto"/>
          <w:sz w:val="24"/>
          <w:highlight w:val="none"/>
        </w:rPr>
        <w:t>55dB（A）</w:t>
      </w:r>
    </w:p>
    <w:p w14:paraId="3F787F37">
      <w:pPr>
        <w:pStyle w:val="176"/>
        <w:ind w:firstLine="600" w:firstLineChars="250"/>
        <w:rPr>
          <w:rFonts w:hint="default"/>
          <w:color w:val="auto"/>
          <w:sz w:val="24"/>
          <w:highlight w:val="none"/>
          <w:lang w:val="en-US" w:eastAsia="zh-CN"/>
        </w:rPr>
      </w:pPr>
    </w:p>
    <w:p w14:paraId="7BCB0A9C">
      <w:pPr>
        <w:numPr>
          <w:ilvl w:val="0"/>
          <w:numId w:val="0"/>
        </w:numPr>
        <w:tabs>
          <w:tab w:val="left" w:pos="0"/>
        </w:tabs>
        <w:adjustRightInd w:val="0"/>
        <w:spacing w:line="360" w:lineRule="auto"/>
        <w:ind w:left="0" w:firstLine="0"/>
        <w:textAlignment w:val="baseline"/>
        <w:rPr>
          <w:color w:val="auto"/>
          <w:sz w:val="24"/>
          <w:highlight w:val="none"/>
        </w:rPr>
      </w:pPr>
      <w:r>
        <w:rPr>
          <w:rFonts w:hint="eastAsia"/>
          <w:color w:val="auto"/>
          <w:sz w:val="24"/>
          <w:highlight w:val="none"/>
          <w:lang w:val="en-US" w:eastAsia="zh-CN"/>
        </w:rPr>
        <w:t>1.4.11</w:t>
      </w:r>
      <w:r>
        <w:rPr>
          <w:color w:val="auto"/>
          <w:sz w:val="24"/>
          <w:highlight w:val="none"/>
        </w:rPr>
        <w:t>使用寿命要求</w:t>
      </w:r>
    </w:p>
    <w:p w14:paraId="303144F1">
      <w:pPr>
        <w:snapToGrid w:val="0"/>
        <w:spacing w:line="360" w:lineRule="auto"/>
        <w:ind w:firstLine="600" w:firstLineChars="250"/>
        <w:rPr>
          <w:color w:val="auto"/>
          <w:sz w:val="24"/>
          <w:highlight w:val="none"/>
        </w:rPr>
      </w:pPr>
      <w:r>
        <w:rPr>
          <w:color w:val="auto"/>
          <w:sz w:val="24"/>
          <w:highlight w:val="none"/>
        </w:rPr>
        <w:t>脱硫系统使用寿命30年。</w:t>
      </w:r>
    </w:p>
    <w:p w14:paraId="3E664D01">
      <w:pPr>
        <w:numPr>
          <w:ilvl w:val="0"/>
          <w:numId w:val="0"/>
        </w:numPr>
        <w:tabs>
          <w:tab w:val="left" w:pos="0"/>
        </w:tabs>
        <w:adjustRightInd w:val="0"/>
        <w:spacing w:line="360" w:lineRule="auto"/>
        <w:ind w:left="0" w:firstLine="0"/>
        <w:textAlignment w:val="baseline"/>
        <w:rPr>
          <w:color w:val="auto"/>
          <w:sz w:val="24"/>
          <w:highlight w:val="none"/>
        </w:rPr>
      </w:pPr>
      <w:r>
        <w:rPr>
          <w:rFonts w:hint="eastAsia"/>
          <w:color w:val="auto"/>
          <w:sz w:val="24"/>
          <w:highlight w:val="none"/>
          <w:lang w:val="en-US" w:eastAsia="zh-CN"/>
        </w:rPr>
        <w:t>1.4.12</w:t>
      </w:r>
      <w:r>
        <w:rPr>
          <w:color w:val="auto"/>
          <w:sz w:val="24"/>
          <w:highlight w:val="none"/>
        </w:rPr>
        <w:t>材料寿命</w:t>
      </w:r>
    </w:p>
    <w:p w14:paraId="2F96ACDD">
      <w:pPr>
        <w:snapToGrid w:val="0"/>
        <w:spacing w:line="360" w:lineRule="auto"/>
        <w:ind w:firstLine="480" w:firstLineChars="200"/>
        <w:rPr>
          <w:color w:val="auto"/>
          <w:sz w:val="24"/>
          <w:highlight w:val="none"/>
        </w:rPr>
      </w:pPr>
      <w:r>
        <w:rPr>
          <w:color w:val="auto"/>
          <w:sz w:val="24"/>
          <w:highlight w:val="none"/>
        </w:rPr>
        <w:t>所有由不锈钢或由高镍合金衬里和包裹的部件允许腐蚀量不超过0.06mm/年</w:t>
      </w:r>
    </w:p>
    <w:p w14:paraId="137D2710">
      <w:pPr>
        <w:snapToGrid w:val="0"/>
        <w:spacing w:line="360" w:lineRule="auto"/>
        <w:ind w:firstLine="600" w:firstLineChars="250"/>
        <w:rPr>
          <w:color w:val="auto"/>
          <w:sz w:val="24"/>
          <w:highlight w:val="none"/>
        </w:rPr>
      </w:pPr>
      <w:r>
        <w:rPr>
          <w:color w:val="auto"/>
          <w:sz w:val="24"/>
          <w:highlight w:val="none"/>
        </w:rPr>
        <w:t>所有钢衬橡胶件或钢衬玻璃鳞片保证期不少于15年</w:t>
      </w:r>
    </w:p>
    <w:p w14:paraId="6C4515B0">
      <w:pPr>
        <w:snapToGrid w:val="0"/>
        <w:spacing w:line="360" w:lineRule="auto"/>
        <w:ind w:firstLine="600" w:firstLineChars="250"/>
        <w:rPr>
          <w:color w:val="auto"/>
          <w:sz w:val="24"/>
          <w:highlight w:val="none"/>
        </w:rPr>
      </w:pPr>
      <w:r>
        <w:rPr>
          <w:color w:val="auto"/>
          <w:sz w:val="24"/>
          <w:highlight w:val="none"/>
        </w:rPr>
        <w:t>非金属膨胀节不少于6年</w:t>
      </w:r>
    </w:p>
    <w:p w14:paraId="2F016C3F">
      <w:pPr>
        <w:snapToGrid w:val="0"/>
        <w:spacing w:line="360" w:lineRule="auto"/>
        <w:ind w:firstLine="600" w:firstLineChars="250"/>
        <w:rPr>
          <w:color w:val="auto"/>
          <w:sz w:val="24"/>
          <w:highlight w:val="none"/>
        </w:rPr>
      </w:pPr>
      <w:r>
        <w:rPr>
          <w:color w:val="auto"/>
          <w:sz w:val="24"/>
          <w:highlight w:val="none"/>
        </w:rPr>
        <w:t>金属膨胀节不少于15年</w:t>
      </w:r>
    </w:p>
    <w:p w14:paraId="1B0EC92F">
      <w:pPr>
        <w:numPr>
          <w:ilvl w:val="0"/>
          <w:numId w:val="0"/>
        </w:numPr>
        <w:tabs>
          <w:tab w:val="left" w:pos="0"/>
        </w:tabs>
        <w:adjustRightInd w:val="0"/>
        <w:spacing w:line="360" w:lineRule="auto"/>
        <w:ind w:left="0" w:firstLine="0"/>
        <w:textAlignment w:val="baseline"/>
        <w:rPr>
          <w:color w:val="auto"/>
          <w:sz w:val="24"/>
          <w:highlight w:val="none"/>
        </w:rPr>
      </w:pPr>
      <w:r>
        <w:rPr>
          <w:rFonts w:hint="eastAsia"/>
          <w:color w:val="auto"/>
          <w:sz w:val="24"/>
          <w:highlight w:val="none"/>
          <w:lang w:val="en-US" w:eastAsia="zh-CN"/>
        </w:rPr>
        <w:t>1.4.13</w:t>
      </w:r>
      <w:r>
        <w:rPr>
          <w:color w:val="auto"/>
          <w:sz w:val="24"/>
          <w:highlight w:val="none"/>
        </w:rPr>
        <w:t>温度</w:t>
      </w:r>
    </w:p>
    <w:p w14:paraId="214C5CB6">
      <w:pPr>
        <w:snapToGrid w:val="0"/>
        <w:spacing w:line="360" w:lineRule="auto"/>
        <w:ind w:firstLine="600" w:firstLineChars="250"/>
        <w:rPr>
          <w:color w:val="auto"/>
          <w:sz w:val="24"/>
          <w:highlight w:val="none"/>
        </w:rPr>
      </w:pPr>
      <w:r>
        <w:rPr>
          <w:rFonts w:hint="eastAsia"/>
          <w:color w:val="auto"/>
          <w:sz w:val="24"/>
          <w:highlight w:val="none"/>
          <w:lang w:eastAsia="zh-CN"/>
        </w:rPr>
        <w:t>投标方</w:t>
      </w:r>
      <w:r>
        <w:rPr>
          <w:color w:val="auto"/>
          <w:sz w:val="24"/>
          <w:highlight w:val="none"/>
        </w:rPr>
        <w:t>保证所有隔热表面最大温度当环境&lt;27℃时不超过50℃，当环境温度&gt;27℃时，表面最大温</w:t>
      </w:r>
      <w:r>
        <w:rPr>
          <w:rFonts w:hint="eastAsia"/>
          <w:color w:val="auto"/>
          <w:sz w:val="24"/>
          <w:highlight w:val="none"/>
          <w:lang w:val="en-US" w:eastAsia="zh-CN"/>
        </w:rPr>
        <w:t>升</w:t>
      </w:r>
      <w:r>
        <w:rPr>
          <w:color w:val="auto"/>
          <w:sz w:val="24"/>
          <w:highlight w:val="none"/>
        </w:rPr>
        <w:t>保证不大于25℃加环境温度。</w:t>
      </w:r>
    </w:p>
    <w:p w14:paraId="4A0768BC">
      <w:pPr>
        <w:numPr>
          <w:ilvl w:val="0"/>
          <w:numId w:val="0"/>
        </w:numPr>
        <w:tabs>
          <w:tab w:val="left" w:pos="0"/>
        </w:tabs>
        <w:adjustRightInd w:val="0"/>
        <w:spacing w:line="360" w:lineRule="auto"/>
        <w:ind w:left="0" w:firstLine="0"/>
        <w:textAlignment w:val="baseline"/>
        <w:rPr>
          <w:color w:val="auto"/>
          <w:sz w:val="24"/>
          <w:highlight w:val="none"/>
        </w:rPr>
      </w:pPr>
      <w:r>
        <w:rPr>
          <w:rFonts w:hint="eastAsia"/>
          <w:color w:val="auto"/>
          <w:sz w:val="24"/>
          <w:highlight w:val="none"/>
          <w:lang w:val="en-US" w:eastAsia="zh-CN"/>
        </w:rPr>
        <w:t>1.4.14</w:t>
      </w:r>
      <w:r>
        <w:rPr>
          <w:color w:val="auto"/>
          <w:sz w:val="24"/>
          <w:highlight w:val="none"/>
        </w:rPr>
        <w:t>无有害物质积累</w:t>
      </w:r>
    </w:p>
    <w:p w14:paraId="6C50DC64">
      <w:pPr>
        <w:snapToGrid w:val="0"/>
        <w:spacing w:line="360" w:lineRule="auto"/>
        <w:ind w:firstLine="600" w:firstLineChars="250"/>
        <w:rPr>
          <w:color w:val="auto"/>
          <w:sz w:val="24"/>
          <w:highlight w:val="none"/>
        </w:rPr>
      </w:pPr>
      <w:r>
        <w:rPr>
          <w:rFonts w:hint="eastAsia"/>
          <w:color w:val="auto"/>
          <w:sz w:val="24"/>
          <w:highlight w:val="none"/>
          <w:lang w:eastAsia="zh-CN"/>
        </w:rPr>
        <w:t>投标方</w:t>
      </w:r>
      <w:r>
        <w:rPr>
          <w:color w:val="auto"/>
          <w:sz w:val="24"/>
          <w:highlight w:val="none"/>
        </w:rPr>
        <w:t>保证在脱硫系统设备不运转的状况下没有损害运转的有害物质发生积累。</w:t>
      </w:r>
    </w:p>
    <w:p w14:paraId="178FC7F7">
      <w:pPr>
        <w:numPr>
          <w:ilvl w:val="0"/>
          <w:numId w:val="0"/>
        </w:numPr>
        <w:adjustRightInd w:val="0"/>
        <w:spacing w:line="360" w:lineRule="auto"/>
        <w:ind w:left="0" w:firstLine="0"/>
        <w:textAlignment w:val="baseline"/>
        <w:rPr>
          <w:color w:val="auto"/>
          <w:sz w:val="24"/>
          <w:highlight w:val="none"/>
        </w:rPr>
      </w:pPr>
      <w:r>
        <w:rPr>
          <w:rFonts w:hint="eastAsia"/>
          <w:color w:val="auto"/>
          <w:sz w:val="24"/>
          <w:highlight w:val="none"/>
          <w:lang w:val="en-US" w:eastAsia="zh-CN"/>
        </w:rPr>
        <w:t>1.4.15</w:t>
      </w:r>
      <w:r>
        <w:rPr>
          <w:color w:val="auto"/>
          <w:sz w:val="24"/>
          <w:highlight w:val="none"/>
        </w:rPr>
        <w:t>质保期</w:t>
      </w:r>
    </w:p>
    <w:p w14:paraId="035BC7F0">
      <w:pPr>
        <w:snapToGrid w:val="0"/>
        <w:spacing w:line="360" w:lineRule="auto"/>
        <w:ind w:firstLine="600" w:firstLineChars="250"/>
        <w:rPr>
          <w:color w:val="auto"/>
          <w:sz w:val="24"/>
          <w:highlight w:val="none"/>
        </w:rPr>
      </w:pPr>
      <w:r>
        <w:rPr>
          <w:color w:val="auto"/>
          <w:sz w:val="24"/>
          <w:highlight w:val="none"/>
        </w:rPr>
        <w:t>设备质保期1年，质保期的开始从脱硫系统 168h试运完成后，</w:t>
      </w:r>
      <w:r>
        <w:rPr>
          <w:rFonts w:hint="eastAsia"/>
          <w:color w:val="auto"/>
          <w:sz w:val="24"/>
          <w:highlight w:val="none"/>
          <w:lang w:eastAsia="zh-CN"/>
        </w:rPr>
        <w:t>招标方</w:t>
      </w:r>
      <w:r>
        <w:rPr>
          <w:color w:val="auto"/>
          <w:sz w:val="24"/>
          <w:highlight w:val="none"/>
        </w:rPr>
        <w:t>交接验收签证签发之日起开始计算。质保期的具体定义见商务部分有关内容。</w:t>
      </w:r>
    </w:p>
    <w:p w14:paraId="099C83A2">
      <w:pPr>
        <w:spacing w:line="360" w:lineRule="auto"/>
        <w:outlineLvl w:val="2"/>
        <w:rPr>
          <w:b/>
          <w:color w:val="auto"/>
          <w:sz w:val="24"/>
          <w:highlight w:val="none"/>
        </w:rPr>
      </w:pPr>
      <w:bookmarkStart w:id="39" w:name="_Toc482189918"/>
      <w:bookmarkStart w:id="40" w:name="_Toc4243615"/>
      <w:r>
        <w:rPr>
          <w:b/>
          <w:color w:val="auto"/>
          <w:sz w:val="24"/>
          <w:highlight w:val="none"/>
        </w:rPr>
        <w:t>1.5总的技术要求</w:t>
      </w:r>
      <w:bookmarkEnd w:id="39"/>
    </w:p>
    <w:p w14:paraId="17400FFA">
      <w:pPr>
        <w:adjustRightInd w:val="0"/>
        <w:snapToGrid w:val="0"/>
        <w:spacing w:line="360" w:lineRule="auto"/>
        <w:rPr>
          <w:color w:val="auto"/>
          <w:sz w:val="24"/>
          <w:highlight w:val="none"/>
        </w:rPr>
      </w:pPr>
      <w:r>
        <w:rPr>
          <w:color w:val="auto"/>
          <w:sz w:val="24"/>
          <w:highlight w:val="none"/>
        </w:rPr>
        <w:t>1.5.1对脱硫系统的总体要求</w:t>
      </w:r>
    </w:p>
    <w:p w14:paraId="153082A1">
      <w:pPr>
        <w:adjustRightInd w:val="0"/>
        <w:snapToGrid w:val="0"/>
        <w:spacing w:line="360" w:lineRule="auto"/>
        <w:ind w:firstLine="480" w:firstLineChars="200"/>
        <w:rPr>
          <w:color w:val="auto"/>
          <w:sz w:val="24"/>
          <w:highlight w:val="none"/>
        </w:rPr>
      </w:pPr>
      <w:r>
        <w:rPr>
          <w:color w:val="auto"/>
          <w:sz w:val="24"/>
          <w:highlight w:val="none"/>
        </w:rPr>
        <w:t>本技术要求是针对脱硫系统装置所有机械设备的设计、制造、运输（包括包装和临时防腐措施）等方面的要求。</w:t>
      </w:r>
    </w:p>
    <w:p w14:paraId="596269C7">
      <w:pPr>
        <w:adjustRightInd w:val="0"/>
        <w:snapToGrid w:val="0"/>
        <w:spacing w:line="360" w:lineRule="auto"/>
        <w:ind w:firstLine="480" w:firstLineChars="200"/>
        <w:rPr>
          <w:color w:val="auto"/>
          <w:sz w:val="24"/>
          <w:highlight w:val="none"/>
        </w:rPr>
      </w:pPr>
      <w:r>
        <w:rPr>
          <w:color w:val="auto"/>
          <w:sz w:val="24"/>
          <w:highlight w:val="none"/>
        </w:rPr>
        <w:t>在技术规范书中指出的是最低的准则和标准。没有明确指出但能满足同样最低要求的其他标准，在取得</w:t>
      </w:r>
      <w:r>
        <w:rPr>
          <w:rFonts w:hint="eastAsia"/>
          <w:color w:val="auto"/>
          <w:sz w:val="24"/>
          <w:highlight w:val="none"/>
          <w:lang w:eastAsia="zh-CN"/>
        </w:rPr>
        <w:t>招标方</w:t>
      </w:r>
      <w:r>
        <w:rPr>
          <w:color w:val="auto"/>
          <w:sz w:val="24"/>
          <w:highlight w:val="none"/>
        </w:rPr>
        <w:t>同意后可以采用。但是，这不减除</w:t>
      </w:r>
      <w:r>
        <w:rPr>
          <w:rFonts w:hint="eastAsia"/>
          <w:color w:val="auto"/>
          <w:sz w:val="24"/>
          <w:highlight w:val="none"/>
          <w:lang w:eastAsia="zh-CN"/>
        </w:rPr>
        <w:t>投标方</w:t>
      </w:r>
      <w:r>
        <w:rPr>
          <w:color w:val="auto"/>
          <w:sz w:val="24"/>
          <w:highlight w:val="none"/>
        </w:rPr>
        <w:t>在保证单个设备和全套系统功能方面的责任。</w:t>
      </w:r>
    </w:p>
    <w:p w14:paraId="54ED6ACB">
      <w:pPr>
        <w:adjustRightInd w:val="0"/>
        <w:snapToGrid w:val="0"/>
        <w:spacing w:line="360" w:lineRule="auto"/>
        <w:ind w:firstLine="480" w:firstLineChars="200"/>
        <w:rPr>
          <w:color w:val="auto"/>
          <w:sz w:val="24"/>
          <w:highlight w:val="none"/>
        </w:rPr>
      </w:pPr>
      <w:r>
        <w:rPr>
          <w:color w:val="auto"/>
          <w:sz w:val="24"/>
          <w:highlight w:val="none"/>
        </w:rPr>
        <w:t>脱硫系统包括所有需要的系统和设备至少应满足以下总的要求：</w:t>
      </w:r>
    </w:p>
    <w:p w14:paraId="043DE40C">
      <w:pPr>
        <w:numPr>
          <w:ilvl w:val="0"/>
          <w:numId w:val="3"/>
        </w:numPr>
        <w:adjustRightInd w:val="0"/>
        <w:snapToGrid w:val="0"/>
        <w:spacing w:line="360" w:lineRule="auto"/>
        <w:rPr>
          <w:color w:val="auto"/>
          <w:sz w:val="24"/>
          <w:highlight w:val="none"/>
        </w:rPr>
      </w:pPr>
      <w:r>
        <w:rPr>
          <w:color w:val="auto"/>
          <w:sz w:val="24"/>
          <w:highlight w:val="none"/>
        </w:rPr>
        <w:t>采用先进、成熟、可靠的技术，造价要经济、合理，便于运行维护。</w:t>
      </w:r>
    </w:p>
    <w:p w14:paraId="3A06676A">
      <w:pPr>
        <w:numPr>
          <w:ilvl w:val="0"/>
          <w:numId w:val="3"/>
        </w:numPr>
        <w:adjustRightInd w:val="0"/>
        <w:snapToGrid w:val="0"/>
        <w:spacing w:line="360" w:lineRule="auto"/>
        <w:rPr>
          <w:color w:val="auto"/>
          <w:sz w:val="24"/>
          <w:highlight w:val="none"/>
        </w:rPr>
      </w:pPr>
      <w:r>
        <w:rPr>
          <w:color w:val="auto"/>
          <w:sz w:val="24"/>
          <w:highlight w:val="none"/>
        </w:rPr>
        <w:t>所有的设备和材料应是新的</w:t>
      </w:r>
    </w:p>
    <w:p w14:paraId="004C7987">
      <w:pPr>
        <w:numPr>
          <w:ilvl w:val="0"/>
          <w:numId w:val="3"/>
        </w:numPr>
        <w:adjustRightInd w:val="0"/>
        <w:snapToGrid w:val="0"/>
        <w:spacing w:line="360" w:lineRule="auto"/>
        <w:rPr>
          <w:color w:val="auto"/>
          <w:sz w:val="24"/>
          <w:highlight w:val="none"/>
        </w:rPr>
      </w:pPr>
      <w:r>
        <w:rPr>
          <w:color w:val="auto"/>
          <w:sz w:val="24"/>
          <w:highlight w:val="none"/>
        </w:rPr>
        <w:t>高的可利用率</w:t>
      </w:r>
    </w:p>
    <w:p w14:paraId="050BEBAB">
      <w:pPr>
        <w:numPr>
          <w:ilvl w:val="0"/>
          <w:numId w:val="3"/>
        </w:numPr>
        <w:adjustRightInd w:val="0"/>
        <w:snapToGrid w:val="0"/>
        <w:spacing w:line="360" w:lineRule="auto"/>
        <w:rPr>
          <w:color w:val="auto"/>
          <w:sz w:val="24"/>
          <w:highlight w:val="none"/>
        </w:rPr>
      </w:pPr>
      <w:r>
        <w:rPr>
          <w:color w:val="auto"/>
          <w:sz w:val="24"/>
          <w:highlight w:val="none"/>
        </w:rPr>
        <w:t>运行费用最少</w:t>
      </w:r>
    </w:p>
    <w:p w14:paraId="19E71DEC">
      <w:pPr>
        <w:numPr>
          <w:ilvl w:val="0"/>
          <w:numId w:val="3"/>
        </w:numPr>
        <w:adjustRightInd w:val="0"/>
        <w:snapToGrid w:val="0"/>
        <w:spacing w:line="360" w:lineRule="auto"/>
        <w:rPr>
          <w:color w:val="auto"/>
          <w:sz w:val="24"/>
          <w:highlight w:val="none"/>
        </w:rPr>
      </w:pPr>
      <w:r>
        <w:rPr>
          <w:color w:val="auto"/>
          <w:sz w:val="24"/>
          <w:highlight w:val="none"/>
        </w:rPr>
        <w:t>观察、监视、维护简单</w:t>
      </w:r>
    </w:p>
    <w:p w14:paraId="213E1D06">
      <w:pPr>
        <w:numPr>
          <w:ilvl w:val="0"/>
          <w:numId w:val="3"/>
        </w:numPr>
        <w:adjustRightInd w:val="0"/>
        <w:snapToGrid w:val="0"/>
        <w:spacing w:line="360" w:lineRule="auto"/>
        <w:rPr>
          <w:color w:val="auto"/>
          <w:sz w:val="24"/>
          <w:highlight w:val="none"/>
        </w:rPr>
      </w:pPr>
      <w:r>
        <w:rPr>
          <w:color w:val="auto"/>
          <w:sz w:val="24"/>
          <w:highlight w:val="none"/>
        </w:rPr>
        <w:t>运行人员数量最少</w:t>
      </w:r>
    </w:p>
    <w:p w14:paraId="1B97FF4B">
      <w:pPr>
        <w:numPr>
          <w:ilvl w:val="0"/>
          <w:numId w:val="3"/>
        </w:numPr>
        <w:adjustRightInd w:val="0"/>
        <w:snapToGrid w:val="0"/>
        <w:spacing w:line="360" w:lineRule="auto"/>
        <w:rPr>
          <w:color w:val="auto"/>
          <w:sz w:val="24"/>
          <w:highlight w:val="none"/>
        </w:rPr>
      </w:pPr>
      <w:r>
        <w:rPr>
          <w:color w:val="auto"/>
          <w:sz w:val="24"/>
          <w:highlight w:val="none"/>
        </w:rPr>
        <w:t>确保人员和设备安全</w:t>
      </w:r>
    </w:p>
    <w:p w14:paraId="78486A11">
      <w:pPr>
        <w:numPr>
          <w:ilvl w:val="0"/>
          <w:numId w:val="3"/>
        </w:numPr>
        <w:adjustRightInd w:val="0"/>
        <w:snapToGrid w:val="0"/>
        <w:spacing w:line="360" w:lineRule="auto"/>
        <w:rPr>
          <w:color w:val="auto"/>
          <w:sz w:val="24"/>
          <w:highlight w:val="none"/>
        </w:rPr>
      </w:pPr>
      <w:r>
        <w:rPr>
          <w:color w:val="auto"/>
          <w:sz w:val="24"/>
          <w:highlight w:val="none"/>
        </w:rPr>
        <w:t>节省能源、水和原材料</w:t>
      </w:r>
    </w:p>
    <w:p w14:paraId="37047B5F">
      <w:pPr>
        <w:numPr>
          <w:ilvl w:val="0"/>
          <w:numId w:val="3"/>
        </w:numPr>
        <w:adjustRightInd w:val="0"/>
        <w:snapToGrid w:val="0"/>
        <w:spacing w:line="360" w:lineRule="auto"/>
        <w:rPr>
          <w:color w:val="auto"/>
          <w:sz w:val="24"/>
          <w:highlight w:val="none"/>
        </w:rPr>
      </w:pPr>
      <w:r>
        <w:rPr>
          <w:color w:val="auto"/>
          <w:sz w:val="24"/>
          <w:highlight w:val="none"/>
        </w:rPr>
        <w:t>材料和防腐的选择应考虑脱硫装置设备最少有30年的服务寿命，在30年内，可利用性高，维护要求低。</w:t>
      </w:r>
      <w:r>
        <w:rPr>
          <w:rFonts w:hint="eastAsia"/>
          <w:color w:val="auto"/>
          <w:sz w:val="24"/>
          <w:highlight w:val="none"/>
          <w:lang w:eastAsia="zh-CN"/>
        </w:rPr>
        <w:t>投标方</w:t>
      </w:r>
      <w:r>
        <w:rPr>
          <w:color w:val="auto"/>
          <w:sz w:val="24"/>
          <w:highlight w:val="none"/>
        </w:rPr>
        <w:t>应选择合适的材料，并承担相应责任。</w:t>
      </w:r>
    </w:p>
    <w:p w14:paraId="23A20E44">
      <w:pPr>
        <w:adjustRightInd w:val="0"/>
        <w:snapToGrid w:val="0"/>
        <w:spacing w:line="360" w:lineRule="auto"/>
        <w:ind w:firstLine="426"/>
        <w:rPr>
          <w:color w:val="auto"/>
          <w:sz w:val="24"/>
          <w:highlight w:val="none"/>
        </w:rPr>
      </w:pPr>
      <w:r>
        <w:rPr>
          <w:color w:val="auto"/>
          <w:sz w:val="24"/>
          <w:highlight w:val="none"/>
        </w:rPr>
        <w:t>脱硫系统应能快速启动投入，在负荷调整时有良好的适应性，在运行条件下能可靠和稳定地连续运行。且具有下列运行特性：</w:t>
      </w:r>
    </w:p>
    <w:p w14:paraId="4ED4BC70">
      <w:pPr>
        <w:pStyle w:val="134"/>
        <w:numPr>
          <w:ilvl w:val="0"/>
          <w:numId w:val="4"/>
        </w:numPr>
        <w:spacing w:line="360" w:lineRule="auto"/>
        <w:rPr>
          <w:rFonts w:ascii="Times New Roman"/>
          <w:color w:val="auto"/>
          <w:szCs w:val="24"/>
          <w:highlight w:val="none"/>
        </w:rPr>
      </w:pPr>
      <w:r>
        <w:rPr>
          <w:rFonts w:ascii="Times New Roman"/>
          <w:color w:val="auto"/>
          <w:szCs w:val="24"/>
          <w:highlight w:val="none"/>
        </w:rPr>
        <w:t>脱硫系统装置应能适应在</w:t>
      </w:r>
      <w:r>
        <w:rPr>
          <w:rFonts w:hint="eastAsia" w:ascii="Times New Roman"/>
          <w:color w:val="auto"/>
          <w:szCs w:val="24"/>
          <w:highlight w:val="none"/>
          <w:lang w:eastAsia="zh-CN"/>
        </w:rPr>
        <w:t>投标方</w:t>
      </w:r>
      <w:r>
        <w:rPr>
          <w:rFonts w:ascii="Times New Roman"/>
          <w:color w:val="auto"/>
          <w:szCs w:val="24"/>
          <w:highlight w:val="none"/>
        </w:rPr>
        <w:t>保证的最小和最大负荷量之间的任何负荷。这个要求包括：不需要另外的和非常规的操作或准备，装置能以冷态、热态二种启动方式投入运行。装置应能在最大和最小污染物浓度之间的任何值下运行，排放污染物不超出保证的排放值。</w:t>
      </w:r>
    </w:p>
    <w:p w14:paraId="6F066707">
      <w:pPr>
        <w:pStyle w:val="134"/>
        <w:numPr>
          <w:ilvl w:val="0"/>
          <w:numId w:val="4"/>
        </w:numPr>
        <w:spacing w:line="360" w:lineRule="auto"/>
        <w:rPr>
          <w:rFonts w:ascii="Times New Roman"/>
          <w:color w:val="auto"/>
          <w:szCs w:val="24"/>
          <w:highlight w:val="none"/>
        </w:rPr>
      </w:pPr>
      <w:r>
        <w:rPr>
          <w:rFonts w:ascii="Times New Roman"/>
          <w:color w:val="auto"/>
          <w:szCs w:val="24"/>
          <w:highlight w:val="none"/>
        </w:rPr>
        <w:t>脱硫系统装置应能适应因锅炉引起的负荷变动问题，包括负荷变化速度、最小负荷和相关的每天、每年负荷计划。</w:t>
      </w:r>
    </w:p>
    <w:p w14:paraId="152CD3B0">
      <w:pPr>
        <w:pStyle w:val="134"/>
        <w:numPr>
          <w:ilvl w:val="0"/>
          <w:numId w:val="4"/>
        </w:numPr>
        <w:spacing w:line="360" w:lineRule="auto"/>
        <w:rPr>
          <w:rFonts w:ascii="Times New Roman"/>
          <w:color w:val="auto"/>
          <w:szCs w:val="24"/>
          <w:highlight w:val="none"/>
        </w:rPr>
      </w:pPr>
      <w:r>
        <w:rPr>
          <w:rFonts w:ascii="Times New Roman"/>
          <w:color w:val="auto"/>
          <w:szCs w:val="24"/>
          <w:highlight w:val="none"/>
        </w:rPr>
        <w:t>脱硫系统装置的检修时间间隔应与机组的要求一致，不应增加机组的维护和检修时间。</w:t>
      </w:r>
    </w:p>
    <w:p w14:paraId="7CD9B8A3">
      <w:pPr>
        <w:pStyle w:val="134"/>
        <w:numPr>
          <w:ilvl w:val="0"/>
          <w:numId w:val="4"/>
        </w:numPr>
        <w:spacing w:line="360" w:lineRule="auto"/>
        <w:rPr>
          <w:rFonts w:ascii="Times New Roman"/>
          <w:color w:val="auto"/>
          <w:szCs w:val="24"/>
          <w:highlight w:val="none"/>
        </w:rPr>
      </w:pPr>
      <w:r>
        <w:rPr>
          <w:rFonts w:ascii="Times New Roman"/>
          <w:color w:val="auto"/>
          <w:szCs w:val="24"/>
          <w:highlight w:val="none"/>
        </w:rPr>
        <w:t>为同锅炉运行模式相协调，系统的设计必须保证脱硫系统能与锅炉同步投运，在负荷调整时有好的适应特性，在电厂运行条件下能可靠的和稳定的连续运行。脱硫装置应能在锅炉点火和任何负荷持续安全运行。</w:t>
      </w:r>
    </w:p>
    <w:p w14:paraId="447510FB">
      <w:pPr>
        <w:pStyle w:val="134"/>
        <w:numPr>
          <w:ilvl w:val="0"/>
          <w:numId w:val="4"/>
        </w:numPr>
        <w:spacing w:line="360" w:lineRule="auto"/>
        <w:rPr>
          <w:rFonts w:ascii="Times New Roman"/>
          <w:color w:val="auto"/>
          <w:szCs w:val="24"/>
          <w:highlight w:val="none"/>
        </w:rPr>
      </w:pPr>
      <w:r>
        <w:rPr>
          <w:rFonts w:ascii="Times New Roman"/>
          <w:color w:val="auto"/>
          <w:szCs w:val="24"/>
          <w:highlight w:val="none"/>
        </w:rPr>
        <w:t>当烟气温度增加到最高180℃时，烟气脱硫系统将能安全、可靠和连续运行10min。在不可接受的高温烟气情况下，脱硫系统应有事故喷淋或其它保护措施，保护吸收塔。</w:t>
      </w:r>
    </w:p>
    <w:p w14:paraId="3A1A5C8A">
      <w:pPr>
        <w:pStyle w:val="134"/>
        <w:numPr>
          <w:ilvl w:val="0"/>
          <w:numId w:val="4"/>
        </w:numPr>
        <w:spacing w:line="360" w:lineRule="auto"/>
        <w:rPr>
          <w:rFonts w:ascii="Times New Roman"/>
          <w:color w:val="auto"/>
          <w:szCs w:val="24"/>
          <w:highlight w:val="none"/>
        </w:rPr>
      </w:pPr>
      <w:r>
        <w:rPr>
          <w:rFonts w:ascii="Times New Roman"/>
          <w:color w:val="auto"/>
          <w:szCs w:val="24"/>
          <w:highlight w:val="none"/>
        </w:rPr>
        <w:t>主机组的紧急停运不造成脱硫装置的设备损坏。</w:t>
      </w:r>
    </w:p>
    <w:p w14:paraId="40B41CD3">
      <w:pPr>
        <w:pStyle w:val="134"/>
        <w:numPr>
          <w:ilvl w:val="0"/>
          <w:numId w:val="4"/>
        </w:numPr>
        <w:spacing w:line="360" w:lineRule="auto"/>
        <w:rPr>
          <w:rFonts w:ascii="Times New Roman"/>
          <w:color w:val="auto"/>
          <w:highlight w:val="none"/>
        </w:rPr>
      </w:pPr>
      <w:r>
        <w:rPr>
          <w:rFonts w:ascii="Times New Roman"/>
          <w:color w:val="auto"/>
          <w:highlight w:val="none"/>
        </w:rPr>
        <w:t>脱硫系统在设计上要留有足够的通道，包括施工、检修需要的吊装及运输通道。</w:t>
      </w:r>
    </w:p>
    <w:p w14:paraId="45AB9E42">
      <w:pPr>
        <w:adjustRightInd w:val="0"/>
        <w:snapToGrid w:val="0"/>
        <w:spacing w:line="360" w:lineRule="auto"/>
        <w:ind w:firstLine="480" w:firstLineChars="200"/>
        <w:rPr>
          <w:color w:val="auto"/>
          <w:sz w:val="24"/>
          <w:highlight w:val="none"/>
        </w:rPr>
      </w:pPr>
      <w:r>
        <w:rPr>
          <w:color w:val="auto"/>
          <w:sz w:val="24"/>
          <w:highlight w:val="none"/>
        </w:rPr>
        <w:t>在本规范书中关于各系统的配置和布置等是</w:t>
      </w:r>
      <w:r>
        <w:rPr>
          <w:rFonts w:hint="eastAsia"/>
          <w:color w:val="auto"/>
          <w:sz w:val="24"/>
          <w:highlight w:val="none"/>
          <w:lang w:eastAsia="zh-CN"/>
        </w:rPr>
        <w:t>招标方</w:t>
      </w:r>
      <w:r>
        <w:rPr>
          <w:color w:val="auto"/>
          <w:sz w:val="24"/>
          <w:highlight w:val="none"/>
        </w:rPr>
        <w:t>的基本要求，仅供</w:t>
      </w:r>
      <w:r>
        <w:rPr>
          <w:rFonts w:hint="eastAsia"/>
          <w:color w:val="auto"/>
          <w:sz w:val="24"/>
          <w:highlight w:val="none"/>
          <w:lang w:eastAsia="zh-CN"/>
        </w:rPr>
        <w:t>投标方</w:t>
      </w:r>
      <w:r>
        <w:rPr>
          <w:color w:val="auto"/>
          <w:sz w:val="24"/>
          <w:highlight w:val="none"/>
        </w:rPr>
        <w:t>设计参考，并不免除</w:t>
      </w:r>
      <w:r>
        <w:rPr>
          <w:rFonts w:hint="eastAsia"/>
          <w:color w:val="auto"/>
          <w:sz w:val="24"/>
          <w:highlight w:val="none"/>
          <w:lang w:eastAsia="zh-CN"/>
        </w:rPr>
        <w:t>投标方</w:t>
      </w:r>
      <w:r>
        <w:rPr>
          <w:color w:val="auto"/>
          <w:sz w:val="24"/>
          <w:highlight w:val="none"/>
        </w:rPr>
        <w:t>应对系统设计和布置等所负的责任。</w:t>
      </w:r>
    </w:p>
    <w:p w14:paraId="25DFFF4F">
      <w:pPr>
        <w:keepNext w:val="0"/>
        <w:keepLines w:val="0"/>
        <w:pageBreakBefore w:val="0"/>
        <w:kinsoku/>
        <w:wordWrap/>
        <w:overflowPunct/>
        <w:topLinePunct w:val="0"/>
        <w:autoSpaceDE/>
        <w:autoSpaceDN/>
        <w:bidi w:val="0"/>
        <w:adjustRightInd w:val="0"/>
        <w:snapToGrid w:val="0"/>
        <w:spacing w:line="360" w:lineRule="auto"/>
        <w:textAlignment w:val="auto"/>
        <w:rPr>
          <w:color w:val="auto"/>
          <w:sz w:val="24"/>
          <w:highlight w:val="none"/>
        </w:rPr>
      </w:pPr>
      <w:r>
        <w:rPr>
          <w:color w:val="auto"/>
          <w:sz w:val="24"/>
          <w:highlight w:val="none"/>
        </w:rPr>
        <w:t>1.5.</w:t>
      </w:r>
      <w:r>
        <w:rPr>
          <w:rFonts w:hint="eastAsia"/>
          <w:color w:val="auto"/>
          <w:sz w:val="24"/>
          <w:highlight w:val="none"/>
          <w:lang w:val="en-US" w:eastAsia="zh-CN"/>
        </w:rPr>
        <w:t>2</w:t>
      </w:r>
      <w:r>
        <w:rPr>
          <w:color w:val="auto"/>
          <w:sz w:val="24"/>
          <w:highlight w:val="none"/>
        </w:rPr>
        <w:t>对脱硫废水处理系统的要求</w:t>
      </w:r>
    </w:p>
    <w:p w14:paraId="62882D1D">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Times New Roman" w:hAnsi="Times New Roman" w:cs="Times New Roman"/>
          <w:color w:val="auto"/>
          <w:sz w:val="24"/>
          <w:highlight w:val="none"/>
        </w:rPr>
      </w:pPr>
      <w:r>
        <w:rPr>
          <w:rFonts w:hint="default" w:ascii="Times New Roman" w:hAnsi="Times New Roman" w:eastAsia="宋体" w:cs="Times New Roman"/>
          <w:color w:val="auto"/>
          <w:kern w:val="2"/>
          <w:sz w:val="24"/>
          <w:szCs w:val="24"/>
          <w:highlight w:val="none"/>
          <w:lang w:val="en-US" w:eastAsia="zh-CN" w:bidi="ar"/>
        </w:rPr>
        <w:t>新建 1 套脱硫废水处理系统。本工程采用三联箱处理方案，即：脱硫废水经“中和、沉淀、絮凝”三联箱预处理</w:t>
      </w:r>
      <w:r>
        <w:rPr>
          <w:rFonts w:hint="default" w:ascii="Times New Roman" w:hAnsi="Times New Roman" w:cs="Times New Roman"/>
          <w:color w:val="auto"/>
          <w:kern w:val="2"/>
          <w:sz w:val="24"/>
          <w:szCs w:val="24"/>
          <w:highlight w:val="none"/>
          <w:lang w:val="en-US" w:eastAsia="zh-CN" w:bidi="ar"/>
        </w:rPr>
        <w:t>工艺</w:t>
      </w:r>
      <w:r>
        <w:rPr>
          <w:rFonts w:hint="default" w:ascii="Times New Roman" w:hAnsi="Times New Roman" w:eastAsia="宋体" w:cs="Times New Roman"/>
          <w:color w:val="auto"/>
          <w:kern w:val="2"/>
          <w:sz w:val="24"/>
          <w:szCs w:val="24"/>
          <w:highlight w:val="none"/>
          <w:lang w:val="en-US" w:eastAsia="zh-CN" w:bidi="ar"/>
        </w:rPr>
        <w:t>。</w:t>
      </w:r>
    </w:p>
    <w:p w14:paraId="6438EC10">
      <w:pPr>
        <w:keepNext w:val="0"/>
        <w:keepLines w:val="0"/>
        <w:pageBreakBefore w:val="0"/>
        <w:kinsoku/>
        <w:wordWrap/>
        <w:overflowPunct/>
        <w:topLinePunct w:val="0"/>
        <w:autoSpaceDE/>
        <w:autoSpaceDN/>
        <w:bidi w:val="0"/>
        <w:adjustRightInd w:val="0"/>
        <w:snapToGrid w:val="0"/>
        <w:spacing w:line="360" w:lineRule="auto"/>
        <w:textAlignment w:val="auto"/>
        <w:rPr>
          <w:color w:val="auto"/>
          <w:sz w:val="24"/>
          <w:highlight w:val="none"/>
        </w:rPr>
      </w:pPr>
      <w:r>
        <w:rPr>
          <w:color w:val="auto"/>
          <w:sz w:val="24"/>
          <w:highlight w:val="none"/>
        </w:rPr>
        <w:t>1.5.</w:t>
      </w:r>
      <w:r>
        <w:rPr>
          <w:rFonts w:hint="eastAsia"/>
          <w:color w:val="auto"/>
          <w:sz w:val="24"/>
          <w:highlight w:val="none"/>
          <w:lang w:val="en-US" w:eastAsia="zh-CN"/>
        </w:rPr>
        <w:t>3</w:t>
      </w:r>
      <w:r>
        <w:rPr>
          <w:color w:val="auto"/>
          <w:sz w:val="24"/>
          <w:highlight w:val="none"/>
        </w:rPr>
        <w:t>对电气、仪表和控制系统的要求</w:t>
      </w:r>
    </w:p>
    <w:p w14:paraId="7ACDA5BA">
      <w:pPr>
        <w:adjustRightInd w:val="0"/>
        <w:snapToGrid w:val="0"/>
        <w:spacing w:line="360" w:lineRule="auto"/>
        <w:ind w:firstLine="480" w:firstLineChars="200"/>
        <w:rPr>
          <w:color w:val="auto"/>
          <w:sz w:val="24"/>
          <w:highlight w:val="none"/>
        </w:rPr>
      </w:pPr>
      <w:r>
        <w:rPr>
          <w:color w:val="auto"/>
          <w:sz w:val="24"/>
          <w:highlight w:val="none"/>
        </w:rPr>
        <w:t>采用的电压等级：AC</w:t>
      </w:r>
      <w:r>
        <w:rPr>
          <w:rFonts w:hint="eastAsia"/>
          <w:color w:val="auto"/>
          <w:sz w:val="24"/>
          <w:highlight w:val="none"/>
        </w:rPr>
        <w:t>10</w:t>
      </w:r>
      <w:r>
        <w:rPr>
          <w:color w:val="auto"/>
          <w:sz w:val="24"/>
          <w:highlight w:val="none"/>
        </w:rPr>
        <w:t>kV、220/380V和DC</w:t>
      </w:r>
      <w:r>
        <w:rPr>
          <w:rFonts w:hint="eastAsia"/>
          <w:color w:val="auto"/>
          <w:sz w:val="24"/>
          <w:highlight w:val="none"/>
          <w:lang w:val="en-US" w:eastAsia="zh-CN"/>
        </w:rPr>
        <w:t>220</w:t>
      </w:r>
      <w:r>
        <w:rPr>
          <w:color w:val="auto"/>
          <w:sz w:val="24"/>
          <w:highlight w:val="none"/>
        </w:rPr>
        <w:t>V。</w:t>
      </w:r>
    </w:p>
    <w:p w14:paraId="47409647">
      <w:pPr>
        <w:adjustRightInd w:val="0"/>
        <w:snapToGrid w:val="0"/>
        <w:spacing w:line="360" w:lineRule="auto"/>
        <w:ind w:firstLine="480" w:firstLineChars="200"/>
        <w:rPr>
          <w:color w:val="auto"/>
          <w:sz w:val="24"/>
          <w:highlight w:val="none"/>
        </w:rPr>
      </w:pPr>
      <w:r>
        <w:rPr>
          <w:color w:val="auto"/>
          <w:sz w:val="24"/>
          <w:highlight w:val="none"/>
        </w:rPr>
        <w:t>系统采用先进的DCS控制系统。</w:t>
      </w:r>
    </w:p>
    <w:p w14:paraId="31F1DA65">
      <w:pPr>
        <w:adjustRightInd w:val="0"/>
        <w:snapToGrid w:val="0"/>
        <w:spacing w:line="360" w:lineRule="auto"/>
        <w:rPr>
          <w:color w:val="auto"/>
          <w:sz w:val="24"/>
          <w:highlight w:val="none"/>
        </w:rPr>
      </w:pPr>
      <w:r>
        <w:rPr>
          <w:color w:val="auto"/>
          <w:sz w:val="24"/>
          <w:highlight w:val="none"/>
        </w:rPr>
        <w:t>1.5.</w:t>
      </w:r>
      <w:r>
        <w:rPr>
          <w:rFonts w:hint="eastAsia"/>
          <w:color w:val="auto"/>
          <w:sz w:val="24"/>
          <w:highlight w:val="none"/>
          <w:lang w:val="en-US" w:eastAsia="zh-CN"/>
        </w:rPr>
        <w:t>4</w:t>
      </w:r>
      <w:r>
        <w:rPr>
          <w:color w:val="auto"/>
          <w:sz w:val="24"/>
          <w:highlight w:val="none"/>
        </w:rPr>
        <w:t>对通风、空调及除尘系统的要求</w:t>
      </w:r>
    </w:p>
    <w:p w14:paraId="00C97D92">
      <w:pPr>
        <w:adjustRightInd w:val="0"/>
        <w:snapToGrid w:val="0"/>
        <w:spacing w:line="360" w:lineRule="auto"/>
        <w:ind w:firstLine="480" w:firstLineChars="200"/>
        <w:rPr>
          <w:color w:val="auto"/>
          <w:sz w:val="24"/>
          <w:highlight w:val="none"/>
        </w:rPr>
      </w:pPr>
      <w:r>
        <w:rPr>
          <w:color w:val="auto"/>
          <w:sz w:val="24"/>
          <w:highlight w:val="none"/>
        </w:rPr>
        <w:t>各工艺房间、配电室及</w:t>
      </w:r>
      <w:r>
        <w:rPr>
          <w:rFonts w:hint="eastAsia"/>
          <w:color w:val="auto"/>
          <w:sz w:val="24"/>
          <w:highlight w:val="none"/>
          <w:lang w:val="en-US" w:eastAsia="zh-CN"/>
        </w:rPr>
        <w:t>电子设备</w:t>
      </w:r>
      <w:r>
        <w:rPr>
          <w:color w:val="auto"/>
          <w:sz w:val="24"/>
          <w:highlight w:val="none"/>
        </w:rPr>
        <w:t>间均设置完整可靠空调通风系统。</w:t>
      </w:r>
    </w:p>
    <w:p w14:paraId="180F8EF8">
      <w:pPr>
        <w:adjustRightInd w:val="0"/>
        <w:snapToGrid w:val="0"/>
        <w:spacing w:line="360" w:lineRule="auto"/>
        <w:rPr>
          <w:color w:val="auto"/>
          <w:sz w:val="24"/>
          <w:highlight w:val="none"/>
        </w:rPr>
      </w:pPr>
      <w:r>
        <w:rPr>
          <w:color w:val="auto"/>
          <w:sz w:val="24"/>
          <w:highlight w:val="none"/>
        </w:rPr>
        <w:t>1.5.</w:t>
      </w:r>
      <w:r>
        <w:rPr>
          <w:rFonts w:hint="eastAsia"/>
          <w:color w:val="auto"/>
          <w:sz w:val="24"/>
          <w:highlight w:val="none"/>
          <w:lang w:val="en-US" w:eastAsia="zh-CN"/>
        </w:rPr>
        <w:t>5</w:t>
      </w:r>
      <w:r>
        <w:rPr>
          <w:color w:val="auto"/>
          <w:sz w:val="24"/>
          <w:highlight w:val="none"/>
        </w:rPr>
        <w:t xml:space="preserve"> 土建状况</w:t>
      </w:r>
    </w:p>
    <w:p w14:paraId="047CC28A">
      <w:pPr>
        <w:spacing w:line="360" w:lineRule="auto"/>
        <w:ind w:firstLine="480" w:firstLineChars="200"/>
        <w:jc w:val="left"/>
        <w:rPr>
          <w:color w:val="auto"/>
          <w:sz w:val="24"/>
          <w:highlight w:val="none"/>
        </w:rPr>
      </w:pPr>
      <w:r>
        <w:rPr>
          <w:color w:val="auto"/>
          <w:sz w:val="24"/>
          <w:highlight w:val="none"/>
        </w:rPr>
        <w:t>吸收塔布置在室外。</w:t>
      </w:r>
    </w:p>
    <w:p w14:paraId="1F74394B">
      <w:pPr>
        <w:spacing w:line="360" w:lineRule="auto"/>
        <w:ind w:firstLine="480" w:firstLineChars="200"/>
        <w:jc w:val="left"/>
        <w:rPr>
          <w:color w:val="auto"/>
          <w:sz w:val="24"/>
          <w:highlight w:val="none"/>
        </w:rPr>
      </w:pPr>
      <w:r>
        <w:rPr>
          <w:color w:val="auto"/>
          <w:sz w:val="24"/>
          <w:highlight w:val="none"/>
        </w:rPr>
        <w:t>不同部件安装在组合的或单独的建筑物中：</w:t>
      </w:r>
    </w:p>
    <w:p w14:paraId="32048A84">
      <w:pPr>
        <w:numPr>
          <w:ilvl w:val="0"/>
          <w:numId w:val="5"/>
        </w:numPr>
        <w:spacing w:line="360" w:lineRule="auto"/>
        <w:ind w:firstLine="480" w:firstLineChars="200"/>
        <w:jc w:val="left"/>
        <w:rPr>
          <w:color w:val="auto"/>
          <w:sz w:val="24"/>
          <w:highlight w:val="none"/>
        </w:rPr>
      </w:pPr>
      <w:r>
        <w:rPr>
          <w:color w:val="auto"/>
          <w:sz w:val="24"/>
          <w:highlight w:val="none"/>
        </w:rPr>
        <w:t>配电装置和控制设备</w:t>
      </w:r>
    </w:p>
    <w:p w14:paraId="2E2C8BA0">
      <w:pPr>
        <w:spacing w:line="360" w:lineRule="auto"/>
        <w:ind w:firstLine="480" w:firstLineChars="200"/>
        <w:jc w:val="left"/>
        <w:rPr>
          <w:rFonts w:hint="eastAsia"/>
          <w:color w:val="auto"/>
          <w:sz w:val="24"/>
          <w:highlight w:val="none"/>
        </w:rPr>
      </w:pPr>
      <w:r>
        <w:rPr>
          <w:color w:val="auto"/>
          <w:sz w:val="24"/>
          <w:highlight w:val="none"/>
        </w:rPr>
        <w:t>（2）石膏脱水及石膏库（含脱硫废水）</w:t>
      </w:r>
    </w:p>
    <w:p w14:paraId="277CF370">
      <w:pPr>
        <w:spacing w:line="360" w:lineRule="auto"/>
        <w:ind w:firstLine="480" w:firstLineChars="200"/>
        <w:jc w:val="left"/>
        <w:rPr>
          <w:color w:val="auto"/>
          <w:sz w:val="24"/>
          <w:highlight w:val="none"/>
        </w:rPr>
      </w:pPr>
      <w:r>
        <w:rPr>
          <w:color w:val="auto"/>
          <w:sz w:val="24"/>
          <w:highlight w:val="none"/>
        </w:rPr>
        <w:t>（3）氧化风机</w:t>
      </w:r>
    </w:p>
    <w:p w14:paraId="0425BA2A">
      <w:pPr>
        <w:spacing w:line="360" w:lineRule="auto"/>
        <w:ind w:firstLine="480" w:firstLineChars="200"/>
        <w:jc w:val="left"/>
        <w:rPr>
          <w:rFonts w:hint="default" w:eastAsia="宋体"/>
          <w:color w:val="auto"/>
          <w:sz w:val="24"/>
          <w:highlight w:val="none"/>
          <w:lang w:val="en-US" w:eastAsia="zh-CN"/>
        </w:rPr>
      </w:pPr>
      <w:r>
        <w:rPr>
          <w:rFonts w:hint="eastAsia"/>
          <w:color w:val="auto"/>
          <w:sz w:val="24"/>
          <w:highlight w:val="none"/>
          <w:lang w:eastAsia="zh-CN"/>
        </w:rPr>
        <w:t>（</w:t>
      </w:r>
      <w:r>
        <w:rPr>
          <w:rFonts w:hint="eastAsia"/>
          <w:color w:val="auto"/>
          <w:sz w:val="24"/>
          <w:highlight w:val="none"/>
          <w:lang w:val="en-US" w:eastAsia="zh-CN"/>
        </w:rPr>
        <w:t>4）脱硫循泵房</w:t>
      </w:r>
    </w:p>
    <w:p w14:paraId="0FB92ED5">
      <w:pPr>
        <w:adjustRightInd w:val="0"/>
        <w:snapToGrid w:val="0"/>
        <w:spacing w:line="360" w:lineRule="auto"/>
        <w:ind w:firstLine="480" w:firstLineChars="200"/>
        <w:rPr>
          <w:rFonts w:hint="default" w:eastAsia="宋体"/>
          <w:color w:val="auto"/>
          <w:sz w:val="24"/>
          <w:highlight w:val="none"/>
          <w:lang w:val="en-US" w:eastAsia="zh-CN"/>
        </w:rPr>
      </w:pPr>
      <w:r>
        <w:rPr>
          <w:color w:val="auto"/>
          <w:sz w:val="24"/>
          <w:highlight w:val="none"/>
        </w:rPr>
        <w:t>所有建（构）筑物的风格及色彩与主体工程一致。配电装置和电子室要求布置在室内不同房间。</w:t>
      </w:r>
    </w:p>
    <w:p w14:paraId="63BFF313">
      <w:pPr>
        <w:adjustRightInd w:val="0"/>
        <w:snapToGrid w:val="0"/>
        <w:spacing w:line="360" w:lineRule="auto"/>
        <w:rPr>
          <w:color w:val="auto"/>
          <w:sz w:val="24"/>
          <w:highlight w:val="none"/>
        </w:rPr>
      </w:pPr>
      <w:r>
        <w:rPr>
          <w:color w:val="auto"/>
          <w:sz w:val="24"/>
          <w:highlight w:val="none"/>
        </w:rPr>
        <w:t>1.5.</w:t>
      </w:r>
      <w:r>
        <w:rPr>
          <w:rFonts w:hint="eastAsia"/>
          <w:color w:val="auto"/>
          <w:sz w:val="24"/>
          <w:highlight w:val="none"/>
          <w:lang w:val="en-US" w:eastAsia="zh-CN"/>
        </w:rPr>
        <w:t>6</w:t>
      </w:r>
      <w:r>
        <w:rPr>
          <w:color w:val="auto"/>
          <w:sz w:val="24"/>
          <w:highlight w:val="none"/>
        </w:rPr>
        <w:t xml:space="preserve"> 施工场地条件</w:t>
      </w:r>
    </w:p>
    <w:p w14:paraId="19340514">
      <w:pPr>
        <w:spacing w:line="360" w:lineRule="auto"/>
        <w:ind w:firstLine="480"/>
        <w:rPr>
          <w:color w:val="auto"/>
          <w:sz w:val="24"/>
          <w:highlight w:val="none"/>
        </w:rPr>
      </w:pPr>
      <w:r>
        <w:rPr>
          <w:color w:val="auto"/>
          <w:sz w:val="24"/>
          <w:highlight w:val="none"/>
        </w:rPr>
        <w:t>施工总平面按照</w:t>
      </w:r>
      <w:r>
        <w:rPr>
          <w:rFonts w:hint="eastAsia"/>
          <w:color w:val="auto"/>
          <w:sz w:val="24"/>
          <w:highlight w:val="none"/>
          <w:lang w:eastAsia="zh-CN"/>
        </w:rPr>
        <w:t>招标方</w:t>
      </w:r>
      <w:r>
        <w:rPr>
          <w:color w:val="auto"/>
          <w:sz w:val="24"/>
          <w:highlight w:val="none"/>
        </w:rPr>
        <w:t>的规划进行施工总平面布置，具体在设计联络会确定。</w:t>
      </w:r>
    </w:p>
    <w:p w14:paraId="04D68AA4">
      <w:pPr>
        <w:adjustRightInd w:val="0"/>
        <w:snapToGrid w:val="0"/>
        <w:spacing w:line="360" w:lineRule="auto"/>
        <w:rPr>
          <w:color w:val="auto"/>
          <w:sz w:val="24"/>
          <w:highlight w:val="none"/>
        </w:rPr>
      </w:pPr>
      <w:r>
        <w:rPr>
          <w:color w:val="auto"/>
          <w:sz w:val="24"/>
          <w:highlight w:val="none"/>
        </w:rPr>
        <w:t>1.5.</w:t>
      </w:r>
      <w:r>
        <w:rPr>
          <w:rFonts w:hint="eastAsia"/>
          <w:color w:val="auto"/>
          <w:sz w:val="24"/>
          <w:highlight w:val="none"/>
          <w:lang w:val="en-US" w:eastAsia="zh-CN"/>
        </w:rPr>
        <w:t>7</w:t>
      </w:r>
      <w:r>
        <w:rPr>
          <w:color w:val="auto"/>
          <w:sz w:val="24"/>
          <w:highlight w:val="none"/>
        </w:rPr>
        <w:t>安全与防火要求</w:t>
      </w:r>
    </w:p>
    <w:p w14:paraId="63F9C796">
      <w:pPr>
        <w:adjustRightInd w:val="0"/>
        <w:snapToGrid w:val="0"/>
        <w:spacing w:line="360" w:lineRule="auto"/>
        <w:ind w:firstLine="480" w:firstLineChars="200"/>
        <w:rPr>
          <w:color w:val="auto"/>
          <w:sz w:val="24"/>
          <w:highlight w:val="none"/>
        </w:rPr>
      </w:pPr>
      <w:r>
        <w:rPr>
          <w:color w:val="auto"/>
          <w:sz w:val="24"/>
          <w:highlight w:val="none"/>
        </w:rPr>
        <w:t>（1）有害材料</w:t>
      </w:r>
    </w:p>
    <w:p w14:paraId="05D023DC">
      <w:pPr>
        <w:adjustRightInd w:val="0"/>
        <w:snapToGrid w:val="0"/>
        <w:spacing w:line="360" w:lineRule="auto"/>
        <w:ind w:firstLine="480" w:firstLineChars="200"/>
        <w:rPr>
          <w:color w:val="auto"/>
          <w:sz w:val="24"/>
          <w:highlight w:val="none"/>
        </w:rPr>
      </w:pPr>
      <w:r>
        <w:rPr>
          <w:color w:val="auto"/>
          <w:sz w:val="24"/>
          <w:highlight w:val="none"/>
        </w:rPr>
        <w:t>涉及到自燃、燃油、气体和化学药品等的处置和贮存，</w:t>
      </w:r>
      <w:r>
        <w:rPr>
          <w:rFonts w:hint="eastAsia"/>
          <w:color w:val="auto"/>
          <w:sz w:val="24"/>
          <w:highlight w:val="none"/>
          <w:lang w:eastAsia="zh-CN"/>
        </w:rPr>
        <w:t>投标方</w:t>
      </w:r>
      <w:r>
        <w:rPr>
          <w:color w:val="auto"/>
          <w:sz w:val="24"/>
          <w:highlight w:val="none"/>
        </w:rPr>
        <w:t>应采取所有必需的措施，并相应地提供装置、设备等其它设施，以确保安全运行。</w:t>
      </w:r>
    </w:p>
    <w:p w14:paraId="3888A49A">
      <w:pPr>
        <w:adjustRightInd w:val="0"/>
        <w:snapToGrid w:val="0"/>
        <w:spacing w:line="360" w:lineRule="auto"/>
        <w:ind w:firstLine="480" w:firstLineChars="200"/>
        <w:rPr>
          <w:color w:val="auto"/>
          <w:sz w:val="24"/>
          <w:highlight w:val="none"/>
        </w:rPr>
      </w:pPr>
      <w:r>
        <w:rPr>
          <w:color w:val="auto"/>
          <w:sz w:val="24"/>
          <w:highlight w:val="none"/>
        </w:rPr>
        <w:t>不应使用任何种类的有毒物质，如果有少量有害物质，应取得</w:t>
      </w:r>
      <w:r>
        <w:rPr>
          <w:rFonts w:hint="eastAsia"/>
          <w:color w:val="auto"/>
          <w:sz w:val="24"/>
          <w:highlight w:val="none"/>
          <w:lang w:eastAsia="zh-CN"/>
        </w:rPr>
        <w:t>招标方</w:t>
      </w:r>
      <w:r>
        <w:rPr>
          <w:color w:val="auto"/>
          <w:sz w:val="24"/>
          <w:highlight w:val="none"/>
        </w:rPr>
        <w:t>认可。</w:t>
      </w:r>
    </w:p>
    <w:p w14:paraId="49F9E3C2">
      <w:pPr>
        <w:adjustRightInd w:val="0"/>
        <w:snapToGrid w:val="0"/>
        <w:spacing w:line="360" w:lineRule="auto"/>
        <w:ind w:firstLine="480" w:firstLineChars="200"/>
        <w:rPr>
          <w:color w:val="auto"/>
          <w:sz w:val="24"/>
          <w:highlight w:val="none"/>
        </w:rPr>
      </w:pPr>
      <w:r>
        <w:rPr>
          <w:color w:val="auto"/>
          <w:sz w:val="24"/>
          <w:highlight w:val="none"/>
        </w:rPr>
        <w:t>如果</w:t>
      </w:r>
      <w:r>
        <w:rPr>
          <w:rFonts w:hint="eastAsia"/>
          <w:color w:val="auto"/>
          <w:sz w:val="24"/>
          <w:highlight w:val="none"/>
          <w:lang w:eastAsia="zh-CN"/>
        </w:rPr>
        <w:t>投标方</w:t>
      </w:r>
      <w:r>
        <w:rPr>
          <w:color w:val="auto"/>
          <w:sz w:val="24"/>
          <w:highlight w:val="none"/>
        </w:rPr>
        <w:t>选用有放射性的设备或仪表，应征得</w:t>
      </w:r>
      <w:r>
        <w:rPr>
          <w:rFonts w:hint="eastAsia"/>
          <w:color w:val="auto"/>
          <w:sz w:val="24"/>
          <w:highlight w:val="none"/>
          <w:lang w:eastAsia="zh-CN"/>
        </w:rPr>
        <w:t>招标方</w:t>
      </w:r>
      <w:r>
        <w:rPr>
          <w:color w:val="auto"/>
          <w:sz w:val="24"/>
          <w:highlight w:val="none"/>
        </w:rPr>
        <w:t>的同意。</w:t>
      </w:r>
    </w:p>
    <w:p w14:paraId="6001083D">
      <w:pPr>
        <w:adjustRightInd w:val="0"/>
        <w:snapToGrid w:val="0"/>
        <w:spacing w:line="360" w:lineRule="auto"/>
        <w:ind w:firstLine="480" w:firstLineChars="200"/>
        <w:rPr>
          <w:color w:val="auto"/>
          <w:sz w:val="24"/>
          <w:highlight w:val="none"/>
        </w:rPr>
      </w:pPr>
      <w:r>
        <w:rPr>
          <w:color w:val="auto"/>
          <w:sz w:val="24"/>
          <w:highlight w:val="none"/>
        </w:rPr>
        <w:t>对于设备的任何部分，不允许使用石棉或含石棉的材料。</w:t>
      </w:r>
    </w:p>
    <w:p w14:paraId="0D388E21">
      <w:pPr>
        <w:adjustRightInd w:val="0"/>
        <w:snapToGrid w:val="0"/>
        <w:spacing w:line="360" w:lineRule="auto"/>
        <w:ind w:firstLine="480" w:firstLineChars="200"/>
        <w:rPr>
          <w:color w:val="auto"/>
          <w:sz w:val="24"/>
          <w:highlight w:val="none"/>
        </w:rPr>
      </w:pPr>
      <w:r>
        <w:rPr>
          <w:color w:val="auto"/>
          <w:sz w:val="24"/>
          <w:highlight w:val="none"/>
        </w:rPr>
        <w:t>（2）防火及消防措施</w:t>
      </w:r>
    </w:p>
    <w:p w14:paraId="1F1B1468">
      <w:pPr>
        <w:adjustRightInd w:val="0"/>
        <w:snapToGrid w:val="0"/>
        <w:spacing w:line="360" w:lineRule="auto"/>
        <w:ind w:firstLine="480" w:firstLineChars="200"/>
        <w:rPr>
          <w:color w:val="auto"/>
          <w:sz w:val="24"/>
          <w:highlight w:val="none"/>
        </w:rPr>
      </w:pPr>
      <w:r>
        <w:rPr>
          <w:color w:val="auto"/>
          <w:sz w:val="24"/>
          <w:highlight w:val="none"/>
        </w:rPr>
        <w:t>除非另外指定或</w:t>
      </w:r>
      <w:r>
        <w:rPr>
          <w:rFonts w:hint="eastAsia"/>
          <w:color w:val="auto"/>
          <w:sz w:val="24"/>
          <w:highlight w:val="none"/>
          <w:lang w:eastAsia="zh-CN"/>
        </w:rPr>
        <w:t>招标方</w:t>
      </w:r>
      <w:r>
        <w:rPr>
          <w:color w:val="auto"/>
          <w:sz w:val="24"/>
          <w:highlight w:val="none"/>
        </w:rPr>
        <w:t>同意，以下设计原则应视为最基本的防火消防要求：</w:t>
      </w:r>
    </w:p>
    <w:p w14:paraId="7D19D88C">
      <w:pPr>
        <w:numPr>
          <w:ilvl w:val="0"/>
          <w:numId w:val="6"/>
        </w:numPr>
        <w:adjustRightInd w:val="0"/>
        <w:snapToGrid w:val="0"/>
        <w:spacing w:line="360" w:lineRule="auto"/>
        <w:rPr>
          <w:color w:val="auto"/>
          <w:sz w:val="24"/>
          <w:highlight w:val="none"/>
        </w:rPr>
      </w:pPr>
      <w:r>
        <w:rPr>
          <w:color w:val="auto"/>
          <w:sz w:val="24"/>
          <w:highlight w:val="none"/>
        </w:rPr>
        <w:t>电缆和管线的穿墙套管及封堵材料应为不可燃材料。</w:t>
      </w:r>
    </w:p>
    <w:p w14:paraId="4D66FC57">
      <w:pPr>
        <w:numPr>
          <w:ilvl w:val="0"/>
          <w:numId w:val="6"/>
        </w:numPr>
        <w:adjustRightInd w:val="0"/>
        <w:snapToGrid w:val="0"/>
        <w:spacing w:line="360" w:lineRule="auto"/>
        <w:rPr>
          <w:color w:val="auto"/>
          <w:sz w:val="24"/>
          <w:highlight w:val="none"/>
        </w:rPr>
      </w:pPr>
      <w:r>
        <w:rPr>
          <w:color w:val="auto"/>
          <w:sz w:val="24"/>
          <w:highlight w:val="none"/>
        </w:rPr>
        <w:t>电缆管的布置应避免被燃油、润滑油或其它可燃性液体淹没的危险。</w:t>
      </w:r>
    </w:p>
    <w:p w14:paraId="40273031">
      <w:pPr>
        <w:numPr>
          <w:ilvl w:val="0"/>
          <w:numId w:val="6"/>
        </w:numPr>
        <w:adjustRightInd w:val="0"/>
        <w:snapToGrid w:val="0"/>
        <w:spacing w:line="360" w:lineRule="auto"/>
        <w:rPr>
          <w:color w:val="auto"/>
          <w:sz w:val="24"/>
          <w:highlight w:val="none"/>
        </w:rPr>
      </w:pPr>
      <w:r>
        <w:rPr>
          <w:color w:val="auto"/>
          <w:sz w:val="24"/>
          <w:highlight w:val="none"/>
        </w:rPr>
        <w:t>装置和设备的布置不应形成难以检查和清洗的死角和坑，以防其中聚集可燃性物质。</w:t>
      </w:r>
    </w:p>
    <w:p w14:paraId="3AFE49EF">
      <w:pPr>
        <w:numPr>
          <w:ilvl w:val="0"/>
          <w:numId w:val="6"/>
        </w:numPr>
        <w:adjustRightInd w:val="0"/>
        <w:snapToGrid w:val="0"/>
        <w:spacing w:line="360" w:lineRule="auto"/>
        <w:rPr>
          <w:color w:val="auto"/>
          <w:sz w:val="24"/>
          <w:highlight w:val="none"/>
        </w:rPr>
      </w:pPr>
      <w:r>
        <w:rPr>
          <w:color w:val="auto"/>
          <w:sz w:val="24"/>
          <w:highlight w:val="none"/>
        </w:rPr>
        <w:t>应提供采用非可燃材料的墙面和屋面及其它土建部分的所有记录和资料。</w:t>
      </w:r>
    </w:p>
    <w:p w14:paraId="31E7C630">
      <w:pPr>
        <w:numPr>
          <w:ilvl w:val="0"/>
          <w:numId w:val="6"/>
        </w:numPr>
        <w:adjustRightInd w:val="0"/>
        <w:snapToGrid w:val="0"/>
        <w:spacing w:line="360" w:lineRule="auto"/>
        <w:rPr>
          <w:color w:val="auto"/>
          <w:sz w:val="24"/>
          <w:highlight w:val="none"/>
        </w:rPr>
      </w:pPr>
      <w:r>
        <w:rPr>
          <w:color w:val="auto"/>
          <w:sz w:val="24"/>
          <w:highlight w:val="none"/>
        </w:rPr>
        <w:t>所有室外、室内建（构）筑物应布置水消防设施及移动式灭火器。</w:t>
      </w:r>
    </w:p>
    <w:p w14:paraId="143FAA2D">
      <w:pPr>
        <w:numPr>
          <w:ilvl w:val="0"/>
          <w:numId w:val="6"/>
        </w:numPr>
        <w:adjustRightInd w:val="0"/>
        <w:snapToGrid w:val="0"/>
        <w:spacing w:line="360" w:lineRule="auto"/>
        <w:rPr>
          <w:color w:val="auto"/>
          <w:sz w:val="24"/>
          <w:highlight w:val="none"/>
        </w:rPr>
      </w:pPr>
      <w:r>
        <w:rPr>
          <w:color w:val="auto"/>
          <w:sz w:val="24"/>
          <w:highlight w:val="none"/>
        </w:rPr>
        <w:t>应设装置区域的火灾区域报警系统。</w:t>
      </w:r>
    </w:p>
    <w:p w14:paraId="4D268DA9">
      <w:pPr>
        <w:numPr>
          <w:ilvl w:val="0"/>
          <w:numId w:val="6"/>
        </w:numPr>
        <w:adjustRightInd w:val="0"/>
        <w:snapToGrid w:val="0"/>
        <w:spacing w:line="360" w:lineRule="auto"/>
        <w:rPr>
          <w:color w:val="auto"/>
          <w:sz w:val="24"/>
          <w:highlight w:val="none"/>
        </w:rPr>
      </w:pPr>
      <w:r>
        <w:rPr>
          <w:color w:val="auto"/>
          <w:sz w:val="24"/>
          <w:highlight w:val="none"/>
        </w:rPr>
        <w:t>以下区域（但不限于）应设火灾报警探头：电子设备间、电缆夹层</w:t>
      </w:r>
      <w:r>
        <w:rPr>
          <w:rFonts w:hint="eastAsia"/>
          <w:color w:val="auto"/>
          <w:sz w:val="24"/>
          <w:highlight w:val="none"/>
          <w:lang w:eastAsia="zh-CN"/>
        </w:rPr>
        <w:t>（</w:t>
      </w:r>
      <w:r>
        <w:rPr>
          <w:rFonts w:hint="eastAsia"/>
          <w:color w:val="auto"/>
          <w:sz w:val="24"/>
          <w:highlight w:val="none"/>
          <w:lang w:val="en-US" w:eastAsia="zh-CN"/>
        </w:rPr>
        <w:t>若有）</w:t>
      </w:r>
      <w:r>
        <w:rPr>
          <w:color w:val="auto"/>
          <w:sz w:val="24"/>
          <w:highlight w:val="none"/>
        </w:rPr>
        <w:t>、电气配电间等。</w:t>
      </w:r>
    </w:p>
    <w:p w14:paraId="416F60E5">
      <w:pPr>
        <w:numPr>
          <w:ilvl w:val="0"/>
          <w:numId w:val="6"/>
        </w:numPr>
        <w:adjustRightInd w:val="0"/>
        <w:snapToGrid w:val="0"/>
        <w:spacing w:line="360" w:lineRule="auto"/>
        <w:rPr>
          <w:color w:val="auto"/>
          <w:sz w:val="24"/>
          <w:highlight w:val="none"/>
        </w:rPr>
      </w:pPr>
      <w:r>
        <w:rPr>
          <w:color w:val="auto"/>
          <w:sz w:val="24"/>
          <w:highlight w:val="none"/>
        </w:rPr>
        <w:t>对高度超过20m的设备及构筑物，在其上部平台处，或附近建筑（平台）高处设置消防栓并配置水带，保证烟气系统无论何处出现火情，至少有1处消防栓通过一根皮带对着火处能进行有效扑救。</w:t>
      </w:r>
    </w:p>
    <w:p w14:paraId="48F253DF">
      <w:pPr>
        <w:spacing w:line="360" w:lineRule="auto"/>
        <w:rPr>
          <w:color w:val="auto"/>
          <w:sz w:val="24"/>
          <w:highlight w:val="none"/>
        </w:rPr>
      </w:pPr>
      <w:r>
        <w:rPr>
          <w:color w:val="auto"/>
          <w:sz w:val="24"/>
          <w:highlight w:val="none"/>
        </w:rPr>
        <w:t>1.5.</w:t>
      </w:r>
      <w:r>
        <w:rPr>
          <w:rFonts w:hint="eastAsia"/>
          <w:color w:val="auto"/>
          <w:sz w:val="24"/>
          <w:highlight w:val="none"/>
          <w:lang w:val="en-US" w:eastAsia="zh-CN"/>
        </w:rPr>
        <w:t>8</w:t>
      </w:r>
      <w:r>
        <w:rPr>
          <w:color w:val="auto"/>
          <w:sz w:val="24"/>
          <w:highlight w:val="none"/>
        </w:rPr>
        <w:t>质量控制</w:t>
      </w:r>
    </w:p>
    <w:p w14:paraId="330E062D">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应负责对其工作范围内的设计、设备和材料的采购、运输等实行质量控制，用质量控制计划检查各个项目（包括分包商的项目）是否符合合同的要求和规定。</w:t>
      </w:r>
    </w:p>
    <w:p w14:paraId="44596555">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提供质量保证计划和质量控制手册供</w:t>
      </w:r>
      <w:r>
        <w:rPr>
          <w:rFonts w:hint="eastAsia"/>
          <w:color w:val="auto"/>
          <w:sz w:val="24"/>
          <w:highlight w:val="none"/>
          <w:lang w:eastAsia="zh-CN"/>
        </w:rPr>
        <w:t>招标方</w:t>
      </w:r>
      <w:r>
        <w:rPr>
          <w:color w:val="auto"/>
          <w:sz w:val="24"/>
          <w:highlight w:val="none"/>
        </w:rPr>
        <w:t>审核。</w:t>
      </w:r>
      <w:bookmarkEnd w:id="40"/>
      <w:bookmarkStart w:id="41" w:name="_Hlt41295769"/>
      <w:bookmarkEnd w:id="41"/>
      <w:bookmarkStart w:id="42" w:name="_Hlt41295642"/>
      <w:bookmarkEnd w:id="42"/>
      <w:bookmarkStart w:id="43" w:name="_Toc482189919"/>
      <w:bookmarkStart w:id="44" w:name="_Toc41298037"/>
    </w:p>
    <w:p w14:paraId="1FE21E45">
      <w:pPr>
        <w:adjustRightInd w:val="0"/>
        <w:snapToGrid w:val="0"/>
        <w:spacing w:line="360" w:lineRule="auto"/>
        <w:rPr>
          <w:color w:val="auto"/>
          <w:sz w:val="24"/>
          <w:highlight w:val="none"/>
        </w:rPr>
      </w:pPr>
      <w:r>
        <w:rPr>
          <w:color w:val="auto"/>
          <w:sz w:val="24"/>
          <w:highlight w:val="none"/>
        </w:rPr>
        <w:t>1.5.</w:t>
      </w:r>
      <w:r>
        <w:rPr>
          <w:rFonts w:hint="eastAsia"/>
          <w:color w:val="auto"/>
          <w:sz w:val="24"/>
          <w:highlight w:val="none"/>
          <w:lang w:val="en-US" w:eastAsia="zh-CN"/>
        </w:rPr>
        <w:t>9</w:t>
      </w:r>
      <w:r>
        <w:rPr>
          <w:color w:val="auto"/>
          <w:sz w:val="24"/>
          <w:highlight w:val="none"/>
        </w:rPr>
        <w:t>噪音</w:t>
      </w:r>
    </w:p>
    <w:p w14:paraId="55A8A5CF">
      <w:pPr>
        <w:spacing w:line="360" w:lineRule="auto"/>
        <w:ind w:firstLine="480" w:firstLineChars="200"/>
        <w:rPr>
          <w:color w:val="auto"/>
          <w:sz w:val="24"/>
          <w:highlight w:val="none"/>
        </w:rPr>
      </w:pPr>
      <w:r>
        <w:rPr>
          <w:color w:val="auto"/>
          <w:sz w:val="24"/>
          <w:highlight w:val="none"/>
        </w:rPr>
        <w:t>脱硫装置区域环境噪声满足GB12348《工业企业厂界噪声标准》Ⅱ类标准，设备运转噪声小于85分贝（离设备1米处测量）。如果设备噪音水平或多个运行设备噪音叠加超出标准，应配备隔音措施。</w:t>
      </w:r>
    </w:p>
    <w:p w14:paraId="4C323888">
      <w:pPr>
        <w:spacing w:line="360" w:lineRule="auto"/>
        <w:ind w:firstLine="480" w:firstLineChars="200"/>
        <w:rPr>
          <w:rFonts w:hint="eastAsia"/>
          <w:color w:val="auto"/>
          <w:sz w:val="24"/>
          <w:highlight w:val="none"/>
        </w:rPr>
      </w:pPr>
    </w:p>
    <w:p w14:paraId="178123ED">
      <w:pPr>
        <w:pStyle w:val="3"/>
        <w:spacing w:before="120" w:after="120"/>
        <w:rPr>
          <w:rFonts w:hint="default" w:ascii="Times New Roman" w:hAnsi="Times New Roman" w:eastAsia="宋体"/>
          <w:color w:val="auto"/>
          <w:sz w:val="28"/>
          <w:szCs w:val="28"/>
          <w:highlight w:val="none"/>
        </w:rPr>
      </w:pPr>
      <w:bookmarkStart w:id="45" w:name="_Toc26190"/>
      <w:bookmarkStart w:id="46" w:name="_Toc12686"/>
      <w:bookmarkStart w:id="47" w:name="_Toc17402"/>
      <w:bookmarkStart w:id="48" w:name="_Toc4176"/>
      <w:bookmarkStart w:id="49" w:name="_Toc9943"/>
      <w:bookmarkStart w:id="50" w:name="_Toc14154"/>
      <w:r>
        <w:rPr>
          <w:rFonts w:hint="default" w:ascii="Times New Roman" w:hAnsi="Times New Roman" w:eastAsia="宋体"/>
          <w:color w:val="auto"/>
          <w:sz w:val="28"/>
          <w:szCs w:val="28"/>
          <w:highlight w:val="none"/>
        </w:rPr>
        <w:t>2 机械部分</w:t>
      </w:r>
      <w:bookmarkEnd w:id="43"/>
      <w:bookmarkEnd w:id="44"/>
      <w:bookmarkEnd w:id="45"/>
      <w:bookmarkEnd w:id="46"/>
      <w:bookmarkEnd w:id="47"/>
      <w:bookmarkEnd w:id="48"/>
      <w:bookmarkEnd w:id="49"/>
      <w:bookmarkEnd w:id="50"/>
    </w:p>
    <w:p w14:paraId="6DA63919">
      <w:pPr>
        <w:spacing w:line="360" w:lineRule="auto"/>
        <w:outlineLvl w:val="2"/>
        <w:rPr>
          <w:b/>
          <w:color w:val="auto"/>
          <w:sz w:val="24"/>
          <w:highlight w:val="none"/>
        </w:rPr>
      </w:pPr>
      <w:r>
        <w:rPr>
          <w:b/>
          <w:color w:val="auto"/>
          <w:sz w:val="24"/>
          <w:highlight w:val="none"/>
        </w:rPr>
        <w:t>2.1总述</w:t>
      </w:r>
    </w:p>
    <w:p w14:paraId="34928759">
      <w:pPr>
        <w:spacing w:line="360" w:lineRule="auto"/>
        <w:ind w:firstLine="480"/>
        <w:rPr>
          <w:color w:val="auto"/>
          <w:sz w:val="24"/>
          <w:highlight w:val="none"/>
        </w:rPr>
      </w:pPr>
      <w:bookmarkStart w:id="51" w:name="_Toc482189920"/>
      <w:r>
        <w:rPr>
          <w:rFonts w:hint="default"/>
          <w:color w:val="auto"/>
          <w:sz w:val="24"/>
          <w:highlight w:val="none"/>
          <w:lang w:eastAsia="zh-CN"/>
        </w:rPr>
        <w:t>投标方</w:t>
      </w:r>
      <w:r>
        <w:rPr>
          <w:color w:val="auto"/>
          <w:sz w:val="24"/>
          <w:highlight w:val="none"/>
        </w:rPr>
        <w:t>应为本工程提供</w:t>
      </w:r>
      <w:r>
        <w:rPr>
          <w:rFonts w:hint="default"/>
          <w:color w:val="auto"/>
          <w:sz w:val="24"/>
          <w:highlight w:val="none"/>
          <w:lang w:val="en-US" w:eastAsia="zh-CN"/>
        </w:rPr>
        <w:t>1</w:t>
      </w:r>
      <w:r>
        <w:rPr>
          <w:color w:val="auto"/>
          <w:sz w:val="24"/>
          <w:highlight w:val="none"/>
        </w:rPr>
        <w:t>套石灰石－石膏湿法烟气脱硫系统</w:t>
      </w:r>
      <w:r>
        <w:rPr>
          <w:rFonts w:hint="default"/>
          <w:color w:val="auto"/>
          <w:sz w:val="24"/>
          <w:highlight w:val="none"/>
          <w:lang w:val="en-US" w:eastAsia="zh-CN"/>
        </w:rPr>
        <w:t>+冷凝除尘除雾一体化装置及脱硫废水预处理装置。</w:t>
      </w:r>
      <w:r>
        <w:rPr>
          <w:color w:val="auto"/>
          <w:sz w:val="24"/>
          <w:highlight w:val="none"/>
        </w:rPr>
        <w:t>包括完成合同目标所必需的完整的</w:t>
      </w:r>
      <w:r>
        <w:rPr>
          <w:rStyle w:val="54"/>
          <w:rFonts w:ascii="Times New Roman" w:hAnsi="Times New Roman" w:eastAsia="宋体" w:cs="Times New Roman"/>
          <w:color w:val="auto"/>
          <w:sz w:val="24"/>
          <w:highlight w:val="none"/>
        </w:rPr>
        <w:t>包括完成合同目标所必需的完整</w:t>
      </w:r>
      <w:r>
        <w:rPr>
          <w:rStyle w:val="54"/>
          <w:rFonts w:ascii="Times New Roman" w:hAnsi="Times New Roman" w:eastAsia="宋体" w:cs="Times New Roman"/>
          <w:color w:val="auto"/>
          <w:sz w:val="24"/>
          <w:highlight w:val="none"/>
          <w:shd w:val="clear" w:color="auto" w:fill="FFFFFF"/>
        </w:rPr>
        <w:t>的</w:t>
      </w:r>
      <w:r>
        <w:rPr>
          <w:rStyle w:val="54"/>
          <w:rFonts w:hint="eastAsia" w:ascii="Times New Roman" w:hAnsi="Times New Roman" w:eastAsia="宋体" w:cs="Times New Roman"/>
          <w:color w:val="auto"/>
          <w:sz w:val="24"/>
          <w:highlight w:val="none"/>
          <w:shd w:val="clear" w:color="auto" w:fill="FFFFFF"/>
        </w:rPr>
        <w:t>成套设计</w:t>
      </w:r>
      <w:r>
        <w:rPr>
          <w:rStyle w:val="54"/>
          <w:rFonts w:hint="eastAsia" w:ascii="Times New Roman" w:hAnsi="Times New Roman" w:eastAsia="宋体" w:cs="Times New Roman"/>
          <w:color w:val="auto"/>
          <w:sz w:val="24"/>
          <w:highlight w:val="none"/>
          <w:shd w:val="clear" w:color="auto" w:fill="FFFFFF"/>
          <w:lang w:eastAsia="zh-CN"/>
        </w:rPr>
        <w:t>、</w:t>
      </w:r>
      <w:r>
        <w:rPr>
          <w:rStyle w:val="54"/>
          <w:rFonts w:ascii="Times New Roman" w:hAnsi="Times New Roman" w:eastAsia="宋体" w:cs="Times New Roman"/>
          <w:color w:val="auto"/>
          <w:sz w:val="24"/>
          <w:highlight w:val="none"/>
          <w:shd w:val="clear" w:color="auto" w:fill="FFFFFF"/>
        </w:rPr>
        <w:t>供货</w:t>
      </w:r>
      <w:r>
        <w:rPr>
          <w:rStyle w:val="54"/>
          <w:rFonts w:hint="eastAsia" w:ascii="Times New Roman" w:hAnsi="Times New Roman" w:eastAsia="宋体" w:cs="Times New Roman"/>
          <w:color w:val="auto"/>
          <w:sz w:val="24"/>
          <w:highlight w:val="none"/>
          <w:shd w:val="clear" w:color="auto" w:fill="FFFFFF"/>
        </w:rPr>
        <w:t>、</w:t>
      </w:r>
      <w:r>
        <w:rPr>
          <w:rStyle w:val="54"/>
          <w:rFonts w:hint="eastAsia" w:ascii="Times New Roman" w:hAnsi="Times New Roman" w:eastAsia="宋体" w:cs="Times New Roman"/>
          <w:color w:val="auto"/>
          <w:sz w:val="24"/>
          <w:highlight w:val="none"/>
          <w:shd w:val="clear" w:color="auto" w:fill="FFFFFF"/>
          <w:lang w:val="en-US" w:eastAsia="zh-CN"/>
        </w:rPr>
        <w:t>设备施工</w:t>
      </w:r>
      <w:r>
        <w:rPr>
          <w:rStyle w:val="54"/>
          <w:rFonts w:hint="eastAsia" w:ascii="Times New Roman" w:hAnsi="Times New Roman" w:eastAsia="宋体" w:cs="Times New Roman"/>
          <w:color w:val="auto"/>
          <w:sz w:val="24"/>
          <w:highlight w:val="none"/>
          <w:shd w:val="clear" w:color="auto" w:fill="FFFFFF"/>
        </w:rPr>
        <w:t>、</w:t>
      </w:r>
      <w:r>
        <w:rPr>
          <w:rStyle w:val="54"/>
          <w:rFonts w:hint="eastAsia" w:ascii="Times New Roman" w:hAnsi="Times New Roman" w:eastAsia="宋体" w:cs="Times New Roman"/>
          <w:color w:val="auto"/>
          <w:sz w:val="24"/>
          <w:highlight w:val="none"/>
          <w:shd w:val="clear" w:color="auto" w:fill="FFFFFF"/>
          <w:lang w:val="en-US" w:eastAsia="zh-CN"/>
        </w:rPr>
        <w:t>配合系统及整体</w:t>
      </w:r>
      <w:r>
        <w:rPr>
          <w:rStyle w:val="54"/>
          <w:rFonts w:hint="eastAsia" w:ascii="Times New Roman" w:hAnsi="Times New Roman" w:eastAsia="宋体" w:cs="Times New Roman"/>
          <w:color w:val="auto"/>
          <w:sz w:val="24"/>
          <w:highlight w:val="none"/>
          <w:shd w:val="clear" w:color="auto" w:fill="FFFFFF"/>
        </w:rPr>
        <w:t>调试等</w:t>
      </w:r>
      <w:r>
        <w:rPr>
          <w:rStyle w:val="54"/>
          <w:rFonts w:ascii="Times New Roman" w:hAnsi="Times New Roman" w:eastAsia="宋体" w:cs="Times New Roman"/>
          <w:color w:val="auto"/>
          <w:sz w:val="24"/>
          <w:highlight w:val="none"/>
          <w:shd w:val="clear" w:color="auto" w:fill="FFFFFF"/>
        </w:rPr>
        <w:t>服务。</w:t>
      </w:r>
      <w:r>
        <w:rPr>
          <w:color w:val="auto"/>
          <w:sz w:val="24"/>
          <w:highlight w:val="none"/>
        </w:rPr>
        <w:t>。</w:t>
      </w:r>
    </w:p>
    <w:p w14:paraId="7B3EA0EF">
      <w:pPr>
        <w:spacing w:line="360" w:lineRule="auto"/>
        <w:ind w:firstLine="480"/>
        <w:rPr>
          <w:color w:val="auto"/>
          <w:sz w:val="24"/>
          <w:highlight w:val="none"/>
        </w:rPr>
      </w:pPr>
      <w:r>
        <w:rPr>
          <w:color w:val="auto"/>
          <w:sz w:val="24"/>
          <w:highlight w:val="none"/>
        </w:rPr>
        <w:t>所有设备保证满足给定的气象条件和其他环境条件，安装在室外的设备都将采取露天防护措施并配备防雨措施。</w:t>
      </w:r>
    </w:p>
    <w:p w14:paraId="4E5EF522">
      <w:pPr>
        <w:spacing w:line="360" w:lineRule="auto"/>
        <w:ind w:firstLine="480"/>
        <w:rPr>
          <w:color w:val="auto"/>
          <w:sz w:val="24"/>
          <w:highlight w:val="none"/>
        </w:rPr>
      </w:pPr>
      <w:r>
        <w:rPr>
          <w:rFonts w:hint="eastAsia"/>
          <w:color w:val="auto"/>
          <w:sz w:val="24"/>
          <w:highlight w:val="none"/>
          <w:lang w:eastAsia="zh-CN"/>
        </w:rPr>
        <w:t>投标方</w:t>
      </w:r>
      <w:r>
        <w:rPr>
          <w:color w:val="auto"/>
          <w:sz w:val="24"/>
          <w:highlight w:val="none"/>
        </w:rPr>
        <w:t>应根据</w:t>
      </w:r>
      <w:r>
        <w:rPr>
          <w:rFonts w:hint="eastAsia"/>
          <w:color w:val="auto"/>
          <w:sz w:val="24"/>
          <w:highlight w:val="none"/>
          <w:lang w:eastAsia="zh-CN"/>
        </w:rPr>
        <w:t>招标方</w:t>
      </w:r>
      <w:r>
        <w:rPr>
          <w:color w:val="auto"/>
          <w:sz w:val="24"/>
          <w:highlight w:val="none"/>
        </w:rPr>
        <w:t>提供的原始数据和现场限定的条件，对整套脱硫装置的各个系统和设备进行优化设计，合理选型和布置，保证整套装置的性能目标，安全可靠地运行，在此基础上尽可能降低投资、运行经济。</w:t>
      </w:r>
      <w:r>
        <w:rPr>
          <w:rFonts w:hint="eastAsia"/>
          <w:color w:val="auto"/>
          <w:sz w:val="24"/>
          <w:highlight w:val="none"/>
          <w:lang w:eastAsia="zh-CN"/>
        </w:rPr>
        <w:t>投标方</w:t>
      </w:r>
      <w:r>
        <w:rPr>
          <w:color w:val="auto"/>
          <w:sz w:val="24"/>
          <w:highlight w:val="none"/>
        </w:rPr>
        <w:t>根据已有的成熟经验对脱硫系统的工艺流程作适当调整，并以</w:t>
      </w:r>
      <w:r>
        <w:rPr>
          <w:rFonts w:hint="eastAsia"/>
          <w:color w:val="auto"/>
          <w:sz w:val="24"/>
          <w:highlight w:val="none"/>
          <w:lang w:eastAsia="zh-CN"/>
        </w:rPr>
        <w:t>招标方</w:t>
      </w:r>
      <w:r>
        <w:rPr>
          <w:color w:val="auto"/>
          <w:sz w:val="24"/>
          <w:highlight w:val="none"/>
        </w:rPr>
        <w:t>提供的布置图为参考，提供更合理的工艺及布置方案。</w:t>
      </w:r>
    </w:p>
    <w:p w14:paraId="07A20657">
      <w:pPr>
        <w:spacing w:line="360" w:lineRule="auto"/>
        <w:ind w:firstLine="480"/>
        <w:rPr>
          <w:color w:val="auto"/>
          <w:sz w:val="24"/>
          <w:highlight w:val="none"/>
        </w:rPr>
      </w:pPr>
      <w:r>
        <w:rPr>
          <w:rFonts w:hint="eastAsia"/>
          <w:color w:val="auto"/>
          <w:sz w:val="24"/>
          <w:highlight w:val="none"/>
          <w:lang w:eastAsia="zh-CN"/>
        </w:rPr>
        <w:t>投标方</w:t>
      </w:r>
      <w:r>
        <w:rPr>
          <w:color w:val="auto"/>
          <w:sz w:val="24"/>
          <w:highlight w:val="none"/>
        </w:rPr>
        <w:t>保证配置至少包括下列系统和设备，并不限于此：</w:t>
      </w:r>
    </w:p>
    <w:p w14:paraId="72848126">
      <w:pPr>
        <w:spacing w:line="360" w:lineRule="auto"/>
        <w:ind w:firstLine="480"/>
        <w:rPr>
          <w:color w:val="auto"/>
          <w:sz w:val="24"/>
          <w:highlight w:val="none"/>
        </w:rPr>
      </w:pPr>
      <w:r>
        <w:rPr>
          <w:color w:val="auto"/>
          <w:sz w:val="24"/>
          <w:highlight w:val="none"/>
        </w:rPr>
        <w:t>——SO</w:t>
      </w:r>
      <w:r>
        <w:rPr>
          <w:color w:val="auto"/>
          <w:sz w:val="24"/>
          <w:highlight w:val="none"/>
          <w:vertAlign w:val="subscript"/>
        </w:rPr>
        <w:t>2</w:t>
      </w:r>
      <w:r>
        <w:rPr>
          <w:color w:val="auto"/>
          <w:sz w:val="24"/>
          <w:highlight w:val="none"/>
        </w:rPr>
        <w:t>吸收系统</w:t>
      </w:r>
    </w:p>
    <w:p w14:paraId="4E826660">
      <w:pPr>
        <w:spacing w:line="360" w:lineRule="auto"/>
        <w:ind w:firstLine="480"/>
        <w:rPr>
          <w:color w:val="auto"/>
          <w:sz w:val="24"/>
          <w:highlight w:val="none"/>
        </w:rPr>
      </w:pPr>
      <w:r>
        <w:rPr>
          <w:color w:val="auto"/>
          <w:sz w:val="24"/>
          <w:highlight w:val="none"/>
        </w:rPr>
        <w:t>——</w:t>
      </w:r>
      <w:r>
        <w:rPr>
          <w:rFonts w:hint="eastAsia"/>
          <w:color w:val="auto"/>
          <w:sz w:val="24"/>
          <w:highlight w:val="none"/>
          <w:lang w:val="en-US" w:eastAsia="zh-CN"/>
        </w:rPr>
        <w:t>除尘、除雾系统</w:t>
      </w:r>
    </w:p>
    <w:p w14:paraId="4DFE3D7D">
      <w:pPr>
        <w:spacing w:line="360" w:lineRule="auto"/>
        <w:ind w:firstLine="480"/>
        <w:rPr>
          <w:rFonts w:hint="default" w:eastAsia="宋体"/>
          <w:color w:val="auto"/>
          <w:sz w:val="24"/>
          <w:highlight w:val="none"/>
          <w:lang w:val="en-US" w:eastAsia="zh-CN"/>
        </w:rPr>
      </w:pPr>
      <w:r>
        <w:rPr>
          <w:color w:val="auto"/>
          <w:sz w:val="24"/>
          <w:highlight w:val="none"/>
        </w:rPr>
        <w:t>——烟气系统</w:t>
      </w:r>
    </w:p>
    <w:p w14:paraId="58D1493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eastAsia="宋体"/>
          <w:color w:val="auto"/>
          <w:sz w:val="24"/>
          <w:highlight w:val="none"/>
          <w:lang w:val="en-US" w:eastAsia="zh-CN"/>
        </w:rPr>
      </w:pPr>
      <w:r>
        <w:rPr>
          <w:color w:val="auto"/>
          <w:sz w:val="24"/>
          <w:highlight w:val="none"/>
        </w:rPr>
        <w:t>——石灰石浆液制备系统</w:t>
      </w:r>
      <w:r>
        <w:rPr>
          <w:rFonts w:hint="default"/>
          <w:color w:val="auto"/>
          <w:sz w:val="24"/>
          <w:highlight w:val="none"/>
          <w:lang w:val="en-US" w:eastAsia="zh-CN"/>
        </w:rPr>
        <w:t>利旧</w:t>
      </w:r>
      <w:r>
        <w:rPr>
          <w:rFonts w:hint="eastAsia" w:ascii="Times New Roman" w:hAnsi="Times New Roman" w:eastAsia="宋体" w:cs="Times New Roman"/>
          <w:color w:val="auto"/>
          <w:sz w:val="24"/>
          <w:highlight w:val="none"/>
          <w:lang w:val="en-US" w:eastAsia="zh-CN"/>
        </w:rPr>
        <w:t>，改造原有</w:t>
      </w:r>
      <w:r>
        <w:rPr>
          <w:rFonts w:ascii="Times New Roman" w:hAnsi="Times New Roman" w:eastAsia="宋体" w:cs="Times New Roman"/>
          <w:color w:val="auto"/>
          <w:sz w:val="24"/>
          <w:highlight w:val="none"/>
        </w:rPr>
        <w:t>石灰石浆液</w:t>
      </w:r>
      <w:r>
        <w:rPr>
          <w:rFonts w:hint="eastAsia" w:ascii="Times New Roman" w:hAnsi="Times New Roman" w:eastAsia="宋体" w:cs="Times New Roman"/>
          <w:color w:val="auto"/>
          <w:sz w:val="24"/>
          <w:highlight w:val="none"/>
          <w:lang w:val="en-US" w:eastAsia="zh-CN"/>
        </w:rPr>
        <w:t>箱新增供浆接口。新增供浆系统，</w:t>
      </w:r>
      <w:r>
        <w:rPr>
          <w:rFonts w:hint="eastAsia" w:ascii="宋体" w:hAnsi="宋体" w:eastAsia="宋体" w:cs="宋体"/>
          <w:color w:val="auto"/>
          <w:kern w:val="0"/>
          <w:sz w:val="25"/>
          <w:szCs w:val="25"/>
          <w:highlight w:val="none"/>
          <w:lang w:val="en-US" w:eastAsia="zh-CN" w:bidi="ar"/>
        </w:rPr>
        <w:t xml:space="preserve">在原一期石灰石浆液箱附近新增 </w:t>
      </w:r>
      <w:r>
        <w:rPr>
          <w:rFonts w:hint="default" w:ascii="Times New Roman" w:hAnsi="Times New Roman" w:eastAsia="宋体" w:cs="Times New Roman"/>
          <w:color w:val="auto"/>
          <w:kern w:val="0"/>
          <w:sz w:val="25"/>
          <w:szCs w:val="25"/>
          <w:highlight w:val="none"/>
          <w:lang w:val="en-US" w:eastAsia="zh-CN" w:bidi="ar"/>
        </w:rPr>
        <w:t xml:space="preserve">2 </w:t>
      </w:r>
      <w:r>
        <w:rPr>
          <w:rFonts w:hint="eastAsia" w:ascii="宋体" w:hAnsi="宋体" w:eastAsia="宋体" w:cs="宋体"/>
          <w:color w:val="auto"/>
          <w:kern w:val="0"/>
          <w:sz w:val="25"/>
          <w:szCs w:val="25"/>
          <w:highlight w:val="none"/>
          <w:lang w:val="en-US" w:eastAsia="zh-CN" w:bidi="ar"/>
        </w:rPr>
        <w:t>台石灰石浆液输送泵，给扩建锅炉吸收塔供浆。</w:t>
      </w:r>
    </w:p>
    <w:p w14:paraId="2F94040B">
      <w:pPr>
        <w:pStyle w:val="50"/>
        <w:ind w:firstLine="480" w:firstLineChars="200"/>
        <w:rPr>
          <w:color w:val="auto"/>
          <w:sz w:val="24"/>
          <w:highlight w:val="none"/>
        </w:rPr>
      </w:pPr>
      <w:r>
        <w:rPr>
          <w:color w:val="auto"/>
          <w:sz w:val="24"/>
          <w:highlight w:val="none"/>
        </w:rPr>
        <w:t>——</w:t>
      </w:r>
      <w:r>
        <w:rPr>
          <w:rFonts w:hint="eastAsia"/>
          <w:color w:val="auto"/>
          <w:sz w:val="24"/>
          <w:highlight w:val="none"/>
        </w:rPr>
        <w:t>石膏脱水系统</w:t>
      </w:r>
    </w:p>
    <w:p w14:paraId="5AC1125D">
      <w:pPr>
        <w:pStyle w:val="50"/>
        <w:ind w:firstLine="480" w:firstLineChars="200"/>
        <w:rPr>
          <w:rFonts w:hint="default" w:eastAsia="宋体"/>
          <w:color w:val="auto"/>
          <w:highlight w:val="none"/>
          <w:lang w:val="en-US" w:eastAsia="zh-CN"/>
        </w:rPr>
      </w:pPr>
      <w:r>
        <w:rPr>
          <w:color w:val="auto"/>
          <w:sz w:val="24"/>
          <w:highlight w:val="none"/>
        </w:rPr>
        <w:t>——</w:t>
      </w:r>
      <w:r>
        <w:rPr>
          <w:color w:val="auto"/>
          <w:sz w:val="24"/>
          <w:highlight w:val="none"/>
        </w:rPr>
        <w:t>脱硫废水</w:t>
      </w:r>
      <w:r>
        <w:rPr>
          <w:rFonts w:hint="eastAsia"/>
          <w:color w:val="auto"/>
          <w:sz w:val="24"/>
          <w:highlight w:val="none"/>
          <w:lang w:val="en-US" w:eastAsia="zh-CN"/>
        </w:rPr>
        <w:t>三联箱处理系统</w:t>
      </w:r>
    </w:p>
    <w:p w14:paraId="4C1BD2A0">
      <w:pPr>
        <w:spacing w:line="360" w:lineRule="auto"/>
        <w:ind w:firstLine="480"/>
        <w:rPr>
          <w:rFonts w:hint="default" w:eastAsia="宋体"/>
          <w:color w:val="auto"/>
          <w:sz w:val="24"/>
          <w:highlight w:val="none"/>
          <w:lang w:val="en-US" w:eastAsia="zh-CN"/>
        </w:rPr>
      </w:pPr>
      <w:r>
        <w:rPr>
          <w:color w:val="auto"/>
          <w:sz w:val="24"/>
          <w:highlight w:val="none"/>
        </w:rPr>
        <w:t>——浆液疏放系统</w:t>
      </w:r>
      <w:r>
        <w:rPr>
          <w:rFonts w:hint="eastAsia"/>
          <w:color w:val="auto"/>
          <w:sz w:val="24"/>
          <w:highlight w:val="none"/>
          <w:lang w:eastAsia="zh-CN"/>
        </w:rPr>
        <w:t>（</w:t>
      </w:r>
      <w:r>
        <w:rPr>
          <w:rFonts w:hint="eastAsia"/>
          <w:color w:val="auto"/>
          <w:sz w:val="24"/>
          <w:highlight w:val="none"/>
          <w:lang w:val="en-US" w:eastAsia="zh-CN"/>
        </w:rPr>
        <w:t>新结合现有事故浆液箱容量新建合理地坑</w:t>
      </w:r>
      <w:r>
        <w:rPr>
          <w:rFonts w:hint="eastAsia"/>
          <w:color w:val="auto"/>
          <w:sz w:val="24"/>
          <w:highlight w:val="none"/>
          <w:lang w:eastAsia="zh-CN"/>
        </w:rPr>
        <w:t>），</w:t>
      </w:r>
      <w:r>
        <w:rPr>
          <w:rFonts w:hint="eastAsia"/>
          <w:color w:val="auto"/>
          <w:sz w:val="24"/>
          <w:highlight w:val="none"/>
          <w:lang w:val="en-US" w:eastAsia="zh-CN"/>
        </w:rPr>
        <w:t>利旧现有320m</w:t>
      </w:r>
      <w:r>
        <w:rPr>
          <w:rFonts w:hint="eastAsia"/>
          <w:color w:val="auto"/>
          <w:sz w:val="24"/>
          <w:highlight w:val="none"/>
          <w:vertAlign w:val="superscript"/>
          <w:lang w:val="en-US" w:eastAsia="zh-CN"/>
        </w:rPr>
        <w:t>3</w:t>
      </w:r>
      <w:r>
        <w:rPr>
          <w:rFonts w:hint="eastAsia"/>
          <w:color w:val="auto"/>
          <w:sz w:val="24"/>
          <w:highlight w:val="none"/>
          <w:lang w:val="en-US" w:eastAsia="zh-CN"/>
        </w:rPr>
        <w:t>事故浆液箱</w:t>
      </w:r>
    </w:p>
    <w:p w14:paraId="455A7D85">
      <w:pPr>
        <w:spacing w:line="360" w:lineRule="auto"/>
        <w:ind w:firstLine="480"/>
        <w:rPr>
          <w:color w:val="auto"/>
          <w:sz w:val="24"/>
          <w:highlight w:val="none"/>
        </w:rPr>
      </w:pPr>
      <w:bookmarkStart w:id="52" w:name="OLE_LINK40"/>
      <w:r>
        <w:rPr>
          <w:color w:val="auto"/>
          <w:sz w:val="24"/>
          <w:highlight w:val="none"/>
        </w:rPr>
        <w:t>——氧化空气系统</w:t>
      </w:r>
    </w:p>
    <w:bookmarkEnd w:id="52"/>
    <w:p w14:paraId="723D63B9">
      <w:pPr>
        <w:spacing w:line="360" w:lineRule="auto"/>
        <w:ind w:firstLine="480"/>
        <w:rPr>
          <w:color w:val="auto"/>
          <w:sz w:val="24"/>
          <w:highlight w:val="none"/>
        </w:rPr>
      </w:pPr>
      <w:r>
        <w:rPr>
          <w:color w:val="auto"/>
          <w:sz w:val="24"/>
          <w:highlight w:val="none"/>
        </w:rPr>
        <w:t>——</w:t>
      </w:r>
      <w:r>
        <w:rPr>
          <w:rStyle w:val="54"/>
          <w:rFonts w:hint="eastAsia" w:ascii="Calibri" w:hAnsi="Calibri" w:eastAsia="宋体" w:cs="Calibri"/>
          <w:color w:val="auto"/>
          <w:sz w:val="24"/>
          <w:highlight w:val="none"/>
        </w:rPr>
        <w:t>工艺水系统</w:t>
      </w:r>
      <w:r>
        <w:rPr>
          <w:color w:val="auto"/>
          <w:sz w:val="24"/>
          <w:highlight w:val="none"/>
        </w:rPr>
        <w:t>及排放系统</w:t>
      </w:r>
    </w:p>
    <w:p w14:paraId="3069C7DA">
      <w:pPr>
        <w:pStyle w:val="50"/>
        <w:spacing w:line="360" w:lineRule="auto"/>
        <w:ind w:firstLine="480" w:firstLineChars="200"/>
        <w:rPr>
          <w:rStyle w:val="54"/>
          <w:rFonts w:hint="default" w:ascii="Times New Roman" w:hAnsi="Times New Roman" w:eastAsia="宋体" w:cs="Times New Roman"/>
          <w:color w:val="auto"/>
          <w:sz w:val="24"/>
          <w:highlight w:val="none"/>
          <w:lang w:val="en-US" w:eastAsia="zh-CN"/>
        </w:rPr>
      </w:pPr>
      <w:r>
        <w:rPr>
          <w:rStyle w:val="54"/>
          <w:rFonts w:hint="default" w:ascii="Times New Roman" w:hAnsi="Times New Roman" w:eastAsia="宋体" w:cs="Times New Roman"/>
          <w:color w:val="auto"/>
          <w:sz w:val="24"/>
          <w:highlight w:val="none"/>
        </w:rPr>
        <w:t>——</w:t>
      </w:r>
      <w:r>
        <w:rPr>
          <w:rStyle w:val="54"/>
          <w:rFonts w:hint="default" w:ascii="Times New Roman" w:hAnsi="Times New Roman" w:eastAsia="宋体" w:cs="Times New Roman"/>
          <w:color w:val="auto"/>
          <w:sz w:val="24"/>
          <w:highlight w:val="none"/>
          <w:lang w:val="en-US" w:eastAsia="zh-CN"/>
        </w:rPr>
        <w:t>高效除雾器</w:t>
      </w:r>
      <w:r>
        <w:rPr>
          <w:rStyle w:val="54"/>
          <w:rFonts w:hint="default" w:ascii="Times New Roman" w:hAnsi="Times New Roman" w:eastAsia="宋体" w:cs="Times New Roman"/>
          <w:color w:val="auto"/>
          <w:sz w:val="24"/>
          <w:highlight w:val="none"/>
        </w:rPr>
        <w:t>系统</w:t>
      </w:r>
      <w:r>
        <w:rPr>
          <w:rStyle w:val="54"/>
          <w:rFonts w:hint="default" w:ascii="Times New Roman" w:hAnsi="Times New Roman" w:eastAsia="宋体" w:cs="Times New Roman"/>
          <w:color w:val="auto"/>
          <w:sz w:val="24"/>
          <w:highlight w:val="none"/>
          <w:lang w:val="en-US" w:eastAsia="zh-CN"/>
        </w:rPr>
        <w:t xml:space="preserve">及除盐水系统 </w:t>
      </w:r>
    </w:p>
    <w:p w14:paraId="5E6F6CB4">
      <w:pPr>
        <w:pStyle w:val="50"/>
        <w:spacing w:line="360" w:lineRule="auto"/>
        <w:ind w:firstLine="480" w:firstLineChars="200"/>
        <w:rPr>
          <w:rFonts w:ascii="Times New Roman" w:hAnsi="Times New Roman" w:eastAsia="宋体" w:cs="Times New Roman"/>
          <w:color w:val="auto"/>
          <w:sz w:val="24"/>
          <w:highlight w:val="none"/>
        </w:rPr>
      </w:pPr>
      <w:r>
        <w:rPr>
          <w:rFonts w:ascii="Times New Roman" w:hAnsi="Times New Roman" w:eastAsia="宋体" w:cs="Times New Roman"/>
          <w:color w:val="auto"/>
          <w:sz w:val="24"/>
          <w:highlight w:val="none"/>
        </w:rPr>
        <w:t>——钢结构、楼梯、平台</w:t>
      </w:r>
    </w:p>
    <w:p w14:paraId="01FB103B">
      <w:pPr>
        <w:pStyle w:val="50"/>
        <w:spacing w:line="360" w:lineRule="auto"/>
        <w:ind w:firstLineChars="200"/>
        <w:rPr>
          <w:rFonts w:ascii="Times New Roman" w:hAnsi="Times New Roman" w:eastAsia="宋体" w:cs="Times New Roman"/>
          <w:color w:val="auto"/>
          <w:sz w:val="24"/>
          <w:highlight w:val="none"/>
        </w:rPr>
      </w:pPr>
      <w:r>
        <w:rPr>
          <w:rFonts w:ascii="Times New Roman" w:hAnsi="Times New Roman" w:eastAsia="宋体" w:cs="Times New Roman"/>
          <w:color w:val="auto"/>
          <w:sz w:val="24"/>
          <w:highlight w:val="none"/>
        </w:rPr>
        <w:t>——附属管道和辅助设施</w:t>
      </w:r>
    </w:p>
    <w:p w14:paraId="6ABA2454">
      <w:pPr>
        <w:pStyle w:val="50"/>
        <w:spacing w:line="360" w:lineRule="auto"/>
        <w:ind w:firstLineChars="200"/>
        <w:rPr>
          <w:rFonts w:ascii="Times New Roman" w:hAnsi="Times New Roman" w:eastAsia="宋体" w:cs="Times New Roman"/>
          <w:color w:val="auto"/>
          <w:sz w:val="24"/>
          <w:highlight w:val="none"/>
        </w:rPr>
      </w:pPr>
      <w:r>
        <w:rPr>
          <w:rFonts w:ascii="Times New Roman" w:hAnsi="Times New Roman" w:eastAsia="宋体" w:cs="Times New Roman"/>
          <w:color w:val="auto"/>
          <w:sz w:val="24"/>
          <w:highlight w:val="none"/>
        </w:rPr>
        <w:t>——阀门和配件</w:t>
      </w:r>
    </w:p>
    <w:p w14:paraId="2028AD31">
      <w:pPr>
        <w:spacing w:line="360" w:lineRule="auto"/>
        <w:ind w:firstLine="480"/>
        <w:rPr>
          <w:rFonts w:hint="eastAsia"/>
          <w:color w:val="auto"/>
          <w:sz w:val="24"/>
          <w:highlight w:val="none"/>
          <w:lang w:val="en-US" w:eastAsia="zh-CN"/>
        </w:rPr>
      </w:pPr>
      <w:r>
        <w:rPr>
          <w:color w:val="auto"/>
          <w:sz w:val="24"/>
          <w:highlight w:val="none"/>
        </w:rPr>
        <w:t>——保温、油漆</w:t>
      </w:r>
      <w:r>
        <w:rPr>
          <w:rFonts w:hint="eastAsia"/>
          <w:color w:val="auto"/>
          <w:sz w:val="24"/>
          <w:highlight w:val="none"/>
          <w:lang w:eastAsia="zh-CN"/>
        </w:rPr>
        <w:t>、</w:t>
      </w:r>
      <w:r>
        <w:rPr>
          <w:rFonts w:hint="eastAsia"/>
          <w:color w:val="auto"/>
          <w:sz w:val="24"/>
          <w:highlight w:val="none"/>
          <w:lang w:val="en-US" w:eastAsia="zh-CN"/>
        </w:rPr>
        <w:t>防腐</w:t>
      </w:r>
    </w:p>
    <w:p w14:paraId="4B0E07A0">
      <w:pPr>
        <w:spacing w:line="360" w:lineRule="auto"/>
        <w:ind w:firstLine="480"/>
        <w:rPr>
          <w:rFonts w:hint="default" w:eastAsia="宋体"/>
          <w:color w:val="auto"/>
          <w:sz w:val="24"/>
          <w:highlight w:val="none"/>
          <w:lang w:val="en-US" w:eastAsia="zh-CN"/>
        </w:rPr>
      </w:pPr>
      <w:r>
        <w:rPr>
          <w:color w:val="auto"/>
          <w:sz w:val="24"/>
          <w:highlight w:val="none"/>
        </w:rPr>
        <w:t>——</w:t>
      </w:r>
      <w:r>
        <w:rPr>
          <w:rFonts w:hint="eastAsia"/>
          <w:color w:val="auto"/>
          <w:sz w:val="24"/>
          <w:highlight w:val="none"/>
          <w:lang w:val="en-US" w:eastAsia="zh-CN"/>
        </w:rPr>
        <w:t>消防系统</w:t>
      </w:r>
    </w:p>
    <w:p w14:paraId="7C6B858D">
      <w:pPr>
        <w:adjustRightInd w:val="0"/>
        <w:snapToGrid w:val="0"/>
        <w:spacing w:line="360" w:lineRule="auto"/>
        <w:rPr>
          <w:color w:val="auto"/>
          <w:sz w:val="24"/>
          <w:highlight w:val="none"/>
        </w:rPr>
      </w:pPr>
      <w:r>
        <w:rPr>
          <w:color w:val="auto"/>
          <w:sz w:val="24"/>
          <w:highlight w:val="none"/>
        </w:rPr>
        <w:t>2.1.1技术要求</w:t>
      </w:r>
    </w:p>
    <w:p w14:paraId="7C0D19F2">
      <w:pPr>
        <w:spacing w:line="360" w:lineRule="auto"/>
        <w:ind w:firstLine="540" w:firstLineChars="225"/>
        <w:rPr>
          <w:color w:val="auto"/>
          <w:sz w:val="24"/>
          <w:highlight w:val="none"/>
        </w:rPr>
      </w:pPr>
      <w:r>
        <w:rPr>
          <w:rFonts w:hint="eastAsia"/>
          <w:color w:val="auto"/>
          <w:sz w:val="24"/>
          <w:highlight w:val="none"/>
          <w:lang w:eastAsia="zh-CN"/>
        </w:rPr>
        <w:t>投标方</w:t>
      </w:r>
      <w:r>
        <w:rPr>
          <w:color w:val="auto"/>
          <w:sz w:val="24"/>
          <w:highlight w:val="none"/>
        </w:rPr>
        <w:t>应根据本技术规范要求，提供完整的烟气脱硫装置工艺系统的设计以及所有在规定范围内的设备供货、安装，并保证装置的性能。</w:t>
      </w:r>
    </w:p>
    <w:p w14:paraId="7EA79458">
      <w:pPr>
        <w:pStyle w:val="134"/>
        <w:spacing w:line="360" w:lineRule="auto"/>
        <w:ind w:firstLine="540" w:firstLineChars="225"/>
        <w:rPr>
          <w:rFonts w:ascii="Times New Roman"/>
          <w:color w:val="auto"/>
          <w:szCs w:val="24"/>
          <w:highlight w:val="none"/>
        </w:rPr>
      </w:pPr>
      <w:r>
        <w:rPr>
          <w:rFonts w:ascii="Times New Roman"/>
          <w:color w:val="auto"/>
          <w:szCs w:val="24"/>
          <w:highlight w:val="none"/>
        </w:rPr>
        <w:t>为了与锅炉运行匹配，脱硫装置的设计必须保证能快速启动，且在锅炉负荷波动时应有良好的适应特性。</w:t>
      </w:r>
    </w:p>
    <w:p w14:paraId="0AD58110">
      <w:pPr>
        <w:spacing w:line="360" w:lineRule="auto"/>
        <w:ind w:firstLine="540" w:firstLineChars="225"/>
        <w:rPr>
          <w:color w:val="auto"/>
          <w:sz w:val="24"/>
          <w:highlight w:val="none"/>
        </w:rPr>
      </w:pPr>
      <w:r>
        <w:rPr>
          <w:color w:val="auto"/>
          <w:sz w:val="24"/>
          <w:highlight w:val="none"/>
        </w:rPr>
        <w:t>脱硫系统必须满足如下运行特性：</w:t>
      </w:r>
    </w:p>
    <w:p w14:paraId="66B40F06">
      <w:pPr>
        <w:spacing w:line="360" w:lineRule="auto"/>
        <w:ind w:firstLine="540" w:firstLineChars="225"/>
        <w:jc w:val="left"/>
        <w:rPr>
          <w:color w:val="auto"/>
          <w:sz w:val="24"/>
          <w:highlight w:val="none"/>
        </w:rPr>
      </w:pPr>
      <w:r>
        <w:rPr>
          <w:color w:val="auto"/>
          <w:sz w:val="24"/>
          <w:highlight w:val="none"/>
        </w:rPr>
        <w:t>（1）全套烟气脱硫装置包括辅助设施应适应锅炉任何负荷点运行。脱硫系统在没有大量的和非常规的操作或准备的情况下，能通过冷态或热态起动程序投入运行，而对锅炉负荷和锅炉运行方式不能有任何干扰。</w:t>
      </w:r>
    </w:p>
    <w:p w14:paraId="5E54B3D1">
      <w:pPr>
        <w:spacing w:line="360" w:lineRule="auto"/>
        <w:ind w:firstLine="540" w:firstLineChars="225"/>
        <w:jc w:val="left"/>
        <w:rPr>
          <w:color w:val="auto"/>
          <w:sz w:val="24"/>
          <w:highlight w:val="none"/>
        </w:rPr>
      </w:pPr>
      <w:r>
        <w:rPr>
          <w:color w:val="auto"/>
          <w:sz w:val="24"/>
          <w:highlight w:val="none"/>
        </w:rPr>
        <w:t>（2）FGD系统应能在入口烟气温度160℃下安全稳定运行。烟气</w:t>
      </w:r>
      <w:r>
        <w:rPr>
          <w:rFonts w:hint="eastAsia"/>
          <w:color w:val="auto"/>
          <w:sz w:val="24"/>
          <w:highlight w:val="none"/>
        </w:rPr>
        <w:t>温度</w:t>
      </w:r>
      <w:r>
        <w:rPr>
          <w:color w:val="auto"/>
          <w:sz w:val="24"/>
          <w:highlight w:val="none"/>
        </w:rPr>
        <w:t>180℃时脱硫系统将能安全、可靠和连续运行10min。</w:t>
      </w:r>
    </w:p>
    <w:p w14:paraId="59D9DE56">
      <w:pPr>
        <w:spacing w:line="360" w:lineRule="auto"/>
        <w:ind w:firstLine="540" w:firstLineChars="225"/>
        <w:rPr>
          <w:color w:val="auto"/>
          <w:sz w:val="24"/>
          <w:highlight w:val="none"/>
        </w:rPr>
      </w:pPr>
      <w:r>
        <w:rPr>
          <w:color w:val="auto"/>
          <w:sz w:val="24"/>
          <w:highlight w:val="none"/>
        </w:rPr>
        <w:t>（3）脱硫系统及其辅助设备的运行和监控应在控制室内实现。整个系统的控制功能由DCS实现。</w:t>
      </w:r>
      <w:r>
        <w:rPr>
          <w:rStyle w:val="54"/>
          <w:rFonts w:ascii="Times New Roman" w:hAnsi="Times New Roman" w:eastAsia="宋体" w:cs="Times New Roman"/>
          <w:color w:val="auto"/>
          <w:sz w:val="24"/>
          <w:highlight w:val="none"/>
        </w:rPr>
        <w:t>如果某台设备出现故障(例如水泵等)，备用设备应自动投入运行，且备用设备之间的切换不会影响脱硫装置及锅炉的正常运行。如果某设备停运将直接影响脱硫效率或机组出力的，则该设备必须冗余配置。</w:t>
      </w:r>
    </w:p>
    <w:p w14:paraId="353D2162">
      <w:pPr>
        <w:pStyle w:val="176"/>
        <w:spacing w:line="360" w:lineRule="auto"/>
        <w:ind w:firstLine="540" w:firstLineChars="225"/>
        <w:rPr>
          <w:rStyle w:val="54"/>
          <w:rFonts w:ascii="Times New Roman" w:hAnsi="Times New Roman" w:eastAsia="宋体" w:cs="Times New Roman"/>
          <w:color w:val="auto"/>
          <w:sz w:val="24"/>
          <w:highlight w:val="none"/>
        </w:rPr>
      </w:pPr>
      <w:r>
        <w:rPr>
          <w:color w:val="auto"/>
          <w:sz w:val="24"/>
          <w:highlight w:val="none"/>
        </w:rPr>
        <w:t>（</w:t>
      </w:r>
      <w:r>
        <w:rPr>
          <w:rFonts w:hint="eastAsia"/>
          <w:color w:val="auto"/>
          <w:sz w:val="24"/>
          <w:highlight w:val="none"/>
          <w:lang w:val="en-US" w:eastAsia="zh-CN"/>
        </w:rPr>
        <w:t>4</w:t>
      </w:r>
      <w:r>
        <w:rPr>
          <w:color w:val="auto"/>
          <w:sz w:val="24"/>
          <w:highlight w:val="none"/>
        </w:rPr>
        <w:t>）</w:t>
      </w:r>
      <w:r>
        <w:rPr>
          <w:rStyle w:val="54"/>
          <w:rFonts w:ascii="Times New Roman" w:hAnsi="Times New Roman" w:eastAsia="宋体" w:cs="Times New Roman"/>
          <w:color w:val="auto"/>
          <w:sz w:val="24"/>
          <w:highlight w:val="none"/>
        </w:rPr>
        <w:t>在装置停运期间，各个需要冲洗和排水的设备和系统必须</w:t>
      </w:r>
      <w:r>
        <w:rPr>
          <w:rStyle w:val="54"/>
          <w:rFonts w:hint="eastAsia" w:cs="Times New Roman"/>
          <w:color w:val="auto"/>
          <w:sz w:val="24"/>
          <w:highlight w:val="none"/>
          <w:lang w:val="en-US" w:eastAsia="zh-CN"/>
        </w:rPr>
        <w:t>能自动</w:t>
      </w:r>
      <w:r>
        <w:rPr>
          <w:rStyle w:val="54"/>
          <w:rFonts w:ascii="Times New Roman" w:hAnsi="Times New Roman" w:eastAsia="宋体" w:cs="Times New Roman"/>
          <w:color w:val="auto"/>
          <w:sz w:val="24"/>
          <w:highlight w:val="none"/>
        </w:rPr>
        <w:t>冲洗和排水。在短期停运或事故中断期间，主要设备和系统的排水和冲洗应能通过控制室的远方操作实现。</w:t>
      </w:r>
    </w:p>
    <w:p w14:paraId="01ACB5E4">
      <w:pPr>
        <w:spacing w:line="360" w:lineRule="auto"/>
        <w:ind w:firstLine="540" w:firstLineChars="225"/>
        <w:rPr>
          <w:rStyle w:val="54"/>
          <w:rFonts w:ascii="Times New Roman" w:hAnsi="Times New Roman" w:eastAsia="宋体" w:cs="Times New Roman"/>
          <w:color w:val="auto"/>
          <w:sz w:val="24"/>
          <w:highlight w:val="none"/>
        </w:rPr>
      </w:pPr>
      <w:r>
        <w:rPr>
          <w:rStyle w:val="54"/>
          <w:rFonts w:hint="default" w:cs="Times New Roman"/>
          <w:color w:val="auto"/>
          <w:sz w:val="24"/>
          <w:highlight w:val="none"/>
          <w:lang w:eastAsia="zh-CN"/>
        </w:rPr>
        <w:t>（</w:t>
      </w:r>
      <w:r>
        <w:rPr>
          <w:rStyle w:val="54"/>
          <w:rFonts w:ascii="Times New Roman" w:hAnsi="Times New Roman" w:eastAsia="宋体" w:cs="Times New Roman"/>
          <w:color w:val="auto"/>
          <w:sz w:val="24"/>
          <w:highlight w:val="none"/>
        </w:rPr>
        <w:t>5）</w:t>
      </w:r>
      <w:r>
        <w:rPr>
          <w:rStyle w:val="54"/>
          <w:rFonts w:hint="default" w:cs="Times New Roman"/>
          <w:color w:val="auto"/>
          <w:sz w:val="24"/>
          <w:highlight w:val="none"/>
          <w:lang w:val="en-US" w:eastAsia="zh-CN"/>
        </w:rPr>
        <w:t>准确合理提供直流电</w:t>
      </w:r>
      <w:r>
        <w:rPr>
          <w:rStyle w:val="54"/>
          <w:rFonts w:ascii="Times New Roman" w:hAnsi="Times New Roman" w:eastAsia="宋体" w:cs="Times New Roman"/>
          <w:color w:val="auto"/>
          <w:sz w:val="24"/>
          <w:highlight w:val="none"/>
        </w:rPr>
        <w:t>负荷清单。</w:t>
      </w:r>
    </w:p>
    <w:p w14:paraId="02C72B6E">
      <w:pPr>
        <w:spacing w:line="360" w:lineRule="auto"/>
        <w:ind w:firstLine="540" w:firstLineChars="225"/>
        <w:rPr>
          <w:color w:val="auto"/>
          <w:sz w:val="24"/>
          <w:highlight w:val="none"/>
        </w:rPr>
      </w:pPr>
      <w:r>
        <w:rPr>
          <w:color w:val="auto"/>
          <w:sz w:val="24"/>
          <w:highlight w:val="none"/>
        </w:rPr>
        <w:t>（6）对于容易损耗、磨损或出现故障并因此影响装置运行性能的所有设备（例如吸收塔喷嘴、泵等），即使设有备用，也应设计成易于更换、检修和维护。</w:t>
      </w:r>
    </w:p>
    <w:p w14:paraId="67FD76F7">
      <w:pPr>
        <w:spacing w:line="360" w:lineRule="auto"/>
        <w:ind w:firstLine="540" w:firstLineChars="225"/>
        <w:rPr>
          <w:rFonts w:hint="default"/>
          <w:color w:val="auto"/>
          <w:sz w:val="24"/>
          <w:highlight w:val="none"/>
        </w:rPr>
      </w:pPr>
      <w:r>
        <w:rPr>
          <w:color w:val="auto"/>
          <w:sz w:val="24"/>
          <w:highlight w:val="none"/>
        </w:rPr>
        <w:t>（7）自动运行方式需要的全部阀门和挡板等应配置电动执行机构。</w:t>
      </w:r>
      <w:r>
        <w:rPr>
          <w:rFonts w:hint="eastAsia" w:ascii="Times New Roman" w:hAnsi="Times New Roman" w:eastAsia="宋体" w:cs="Times New Roman"/>
          <w:color w:val="auto"/>
          <w:sz w:val="24"/>
          <w:highlight w:val="none"/>
          <w:lang w:val="en-US" w:eastAsia="zh-CN"/>
        </w:rPr>
        <w:t>所有烟道</w:t>
      </w:r>
      <w:r>
        <w:rPr>
          <w:rFonts w:hint="eastAsia" w:cs="Times New Roman"/>
          <w:color w:val="auto"/>
          <w:sz w:val="24"/>
          <w:highlight w:val="none"/>
          <w:lang w:val="en-US" w:eastAsia="zh-CN"/>
        </w:rPr>
        <w:t>插</w:t>
      </w:r>
      <w:r>
        <w:rPr>
          <w:rFonts w:hint="eastAsia" w:ascii="Times New Roman" w:hAnsi="Times New Roman" w:eastAsia="宋体" w:cs="Times New Roman"/>
          <w:color w:val="auto"/>
          <w:sz w:val="24"/>
          <w:highlight w:val="none"/>
          <w:lang w:val="en-US" w:eastAsia="zh-CN"/>
        </w:rPr>
        <w:t>板门具有机械防误开关功能。</w:t>
      </w:r>
    </w:p>
    <w:p w14:paraId="6F8EF43F">
      <w:pPr>
        <w:spacing w:line="360" w:lineRule="auto"/>
        <w:ind w:firstLine="540" w:firstLineChars="225"/>
        <w:rPr>
          <w:color w:val="auto"/>
          <w:sz w:val="24"/>
          <w:highlight w:val="none"/>
        </w:rPr>
      </w:pPr>
      <w:r>
        <w:rPr>
          <w:color w:val="auto"/>
          <w:sz w:val="24"/>
          <w:highlight w:val="none"/>
        </w:rPr>
        <w:t>（8）箱罐等设备应配备足够数量的人孔门，所有的人孔门使用铰接方式，且能容易开/关。所有的人孔门附近应设有维护平台。</w:t>
      </w:r>
    </w:p>
    <w:p w14:paraId="345C854F">
      <w:pPr>
        <w:spacing w:line="360" w:lineRule="auto"/>
        <w:ind w:firstLine="540" w:firstLineChars="225"/>
        <w:rPr>
          <w:color w:val="auto"/>
          <w:sz w:val="24"/>
          <w:highlight w:val="none"/>
        </w:rPr>
      </w:pPr>
      <w:r>
        <w:rPr>
          <w:color w:val="auto"/>
          <w:sz w:val="24"/>
          <w:highlight w:val="none"/>
        </w:rPr>
        <w:t>（9）所有设备和管道，包括烟道、膨胀节等在设计时必须考虑设备和管道发生故障时能承受最大的温度热应力和机械应力。</w:t>
      </w:r>
    </w:p>
    <w:p w14:paraId="6C83C664">
      <w:pPr>
        <w:spacing w:line="360" w:lineRule="auto"/>
        <w:ind w:firstLine="540" w:firstLineChars="225"/>
        <w:rPr>
          <w:color w:val="auto"/>
          <w:sz w:val="24"/>
          <w:highlight w:val="none"/>
        </w:rPr>
      </w:pPr>
      <w:r>
        <w:rPr>
          <w:color w:val="auto"/>
          <w:sz w:val="24"/>
          <w:highlight w:val="none"/>
        </w:rPr>
        <w:t>（10）所有设备和管道，包括烟道的设计应考虑最差运行条件（压力、温度、流量、污染物含量）及事故情况下的安全裕量。</w:t>
      </w:r>
    </w:p>
    <w:p w14:paraId="2EB7659B">
      <w:pPr>
        <w:snapToGrid w:val="0"/>
        <w:spacing w:line="360" w:lineRule="auto"/>
        <w:ind w:left="1" w:firstLine="540" w:firstLineChars="225"/>
        <w:jc w:val="left"/>
        <w:rPr>
          <w:snapToGrid w:val="0"/>
          <w:color w:val="auto"/>
          <w:sz w:val="24"/>
          <w:highlight w:val="none"/>
        </w:rPr>
      </w:pPr>
      <w:r>
        <w:rPr>
          <w:color w:val="auto"/>
          <w:sz w:val="24"/>
          <w:highlight w:val="none"/>
        </w:rPr>
        <w:t>（11）设计选用的材料必须适应实际运行条件，</w:t>
      </w:r>
      <w:r>
        <w:rPr>
          <w:snapToGrid w:val="0"/>
          <w:color w:val="auto"/>
          <w:sz w:val="24"/>
          <w:highlight w:val="none"/>
        </w:rPr>
        <w:t>设计和安装应能避免断裂、电化学腐蚀或其他腐蚀，</w:t>
      </w:r>
      <w:r>
        <w:rPr>
          <w:color w:val="auto"/>
          <w:sz w:val="24"/>
          <w:highlight w:val="none"/>
        </w:rPr>
        <w:t>包括考虑适当的腐蚀余量，特别是使用两种不同钢材</w:t>
      </w:r>
      <w:r>
        <w:rPr>
          <w:snapToGrid w:val="0"/>
          <w:color w:val="auto"/>
          <w:sz w:val="24"/>
          <w:highlight w:val="none"/>
        </w:rPr>
        <w:t>（或金属材料）</w:t>
      </w:r>
      <w:r>
        <w:rPr>
          <w:color w:val="auto"/>
          <w:sz w:val="24"/>
          <w:highlight w:val="none"/>
        </w:rPr>
        <w:t>连接时应采取适当的措施。</w:t>
      </w:r>
    </w:p>
    <w:p w14:paraId="3391100E">
      <w:pPr>
        <w:snapToGrid w:val="0"/>
        <w:spacing w:line="360" w:lineRule="auto"/>
        <w:ind w:left="1" w:firstLine="540" w:firstLineChars="225"/>
        <w:jc w:val="left"/>
        <w:rPr>
          <w:snapToGrid w:val="0"/>
          <w:color w:val="auto"/>
          <w:sz w:val="24"/>
          <w:highlight w:val="none"/>
        </w:rPr>
      </w:pPr>
      <w:r>
        <w:rPr>
          <w:color w:val="auto"/>
          <w:sz w:val="24"/>
          <w:highlight w:val="none"/>
        </w:rPr>
        <w:t>（12）</w:t>
      </w:r>
      <w:r>
        <w:rPr>
          <w:snapToGrid w:val="0"/>
          <w:color w:val="auto"/>
          <w:sz w:val="24"/>
          <w:highlight w:val="none"/>
        </w:rPr>
        <w:t>应配备足够数量的采样和测量孔点。</w:t>
      </w:r>
    </w:p>
    <w:p w14:paraId="4BEA7AD6">
      <w:pPr>
        <w:snapToGrid w:val="0"/>
        <w:spacing w:line="360" w:lineRule="auto"/>
        <w:ind w:left="1" w:firstLine="540" w:firstLineChars="225"/>
        <w:jc w:val="left"/>
        <w:rPr>
          <w:rFonts w:hint="default" w:eastAsia="宋体"/>
          <w:b/>
          <w:color w:val="auto"/>
          <w:sz w:val="24"/>
          <w:highlight w:val="none"/>
          <w:lang w:val="en-US" w:eastAsia="zh-CN"/>
        </w:rPr>
      </w:pPr>
      <w:r>
        <w:rPr>
          <w:color w:val="auto"/>
          <w:sz w:val="24"/>
          <w:highlight w:val="none"/>
        </w:rPr>
        <w:t>（13）</w:t>
      </w:r>
      <w:r>
        <w:rPr>
          <w:rFonts w:hint="eastAsia"/>
          <w:snapToGrid w:val="0"/>
          <w:color w:val="auto"/>
          <w:sz w:val="24"/>
          <w:highlight w:val="none"/>
          <w:lang w:val="en-US" w:eastAsia="zh-CN"/>
        </w:rPr>
        <w:t>设备防冻设计以放空或保温方式。</w:t>
      </w:r>
    </w:p>
    <w:p w14:paraId="1DB3AE2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lang w:val="en-US" w:eastAsia="zh-CN"/>
        </w:rPr>
      </w:pPr>
      <w:r>
        <w:rPr>
          <w:color w:val="auto"/>
          <w:sz w:val="24"/>
          <w:highlight w:val="none"/>
        </w:rPr>
        <w:t>（1</w:t>
      </w:r>
      <w:r>
        <w:rPr>
          <w:rFonts w:hint="eastAsia"/>
          <w:color w:val="auto"/>
          <w:sz w:val="24"/>
          <w:highlight w:val="none"/>
          <w:lang w:val="en-US" w:eastAsia="zh-CN"/>
        </w:rPr>
        <w:t>4</w:t>
      </w:r>
      <w:r>
        <w:rPr>
          <w:color w:val="auto"/>
          <w:sz w:val="24"/>
          <w:highlight w:val="none"/>
        </w:rPr>
        <w:t>）在设备的冲洗和清扫过程中产生的废水（例如：石灰石浆液或石膏浆液系统设备与管道等）应收集在</w:t>
      </w:r>
      <w:r>
        <w:rPr>
          <w:rFonts w:hint="default"/>
          <w:color w:val="auto"/>
          <w:sz w:val="24"/>
          <w:highlight w:val="none"/>
          <w:lang w:val="en-US" w:eastAsia="zh-CN"/>
        </w:rPr>
        <w:t>新建地坑池</w:t>
      </w:r>
      <w:r>
        <w:rPr>
          <w:color w:val="auto"/>
          <w:sz w:val="24"/>
          <w:highlight w:val="none"/>
        </w:rPr>
        <w:t>内，</w:t>
      </w:r>
      <w:r>
        <w:rPr>
          <w:rStyle w:val="54"/>
          <w:rFonts w:hint="eastAsia" w:ascii="宋体" w:hAnsi="宋体" w:eastAsia="宋体" w:cs="宋体"/>
          <w:color w:val="auto"/>
          <w:sz w:val="24"/>
          <w:highlight w:val="none"/>
        </w:rPr>
        <w:t>送至吸收塔系统中重复利用</w:t>
      </w:r>
      <w:r>
        <w:rPr>
          <w:rStyle w:val="54"/>
          <w:rFonts w:hint="eastAsia" w:ascii="宋体" w:hAnsi="宋体" w:eastAsia="宋体" w:cs="宋体"/>
          <w:color w:val="auto"/>
          <w:sz w:val="24"/>
          <w:highlight w:val="none"/>
          <w:lang w:eastAsia="zh-CN"/>
        </w:rPr>
        <w:t>。</w:t>
      </w:r>
      <w:r>
        <w:rPr>
          <w:rStyle w:val="54"/>
          <w:rFonts w:hint="eastAsia" w:ascii="宋体" w:hAnsi="宋体" w:eastAsia="宋体" w:cs="宋体"/>
          <w:color w:val="auto"/>
          <w:sz w:val="24"/>
          <w:highlight w:val="none"/>
          <w:lang w:val="en-US" w:eastAsia="zh-CN"/>
        </w:rPr>
        <w:t>或由</w:t>
      </w:r>
      <w:r>
        <w:rPr>
          <w:rFonts w:hint="default" w:ascii="Times New Roman" w:hAnsi="Times New Roman" w:cs="Times New Roman"/>
          <w:color w:val="auto"/>
          <w:sz w:val="24"/>
          <w:highlight w:val="none"/>
          <w:lang w:val="en-US" w:eastAsia="zh-CN"/>
        </w:rPr>
        <w:t>地坑泵打至</w:t>
      </w:r>
      <w:r>
        <w:rPr>
          <w:rFonts w:hint="default" w:ascii="Times New Roman" w:hAnsi="Times New Roman" w:eastAsia="宋体" w:cs="Times New Roman"/>
          <w:color w:val="auto"/>
          <w:kern w:val="2"/>
          <w:sz w:val="24"/>
          <w:szCs w:val="24"/>
          <w:highlight w:val="none"/>
          <w:lang w:val="en-US" w:eastAsia="zh-CN" w:bidi="ar"/>
        </w:rPr>
        <w:t>一期吸收塔地沟。</w:t>
      </w:r>
    </w:p>
    <w:p w14:paraId="626E6E0C">
      <w:pPr>
        <w:spacing w:line="360" w:lineRule="auto"/>
        <w:ind w:firstLine="480" w:firstLineChars="200"/>
        <w:rPr>
          <w:color w:val="auto"/>
          <w:sz w:val="24"/>
          <w:highlight w:val="none"/>
        </w:rPr>
      </w:pPr>
      <w:r>
        <w:rPr>
          <w:color w:val="auto"/>
          <w:sz w:val="24"/>
          <w:highlight w:val="none"/>
        </w:rPr>
        <w:t>（1</w:t>
      </w:r>
      <w:r>
        <w:rPr>
          <w:rFonts w:hint="eastAsia"/>
          <w:color w:val="auto"/>
          <w:sz w:val="24"/>
          <w:highlight w:val="none"/>
          <w:lang w:val="en-US" w:eastAsia="zh-CN"/>
        </w:rPr>
        <w:t>5</w:t>
      </w:r>
      <w:r>
        <w:rPr>
          <w:color w:val="auto"/>
          <w:sz w:val="24"/>
          <w:highlight w:val="none"/>
        </w:rPr>
        <w:t>）所有设备与管道等的布置应考虑系统功能的实现和运行工作的方便。高度超过2m的设备必须配置平台和扶梯。</w:t>
      </w:r>
    </w:p>
    <w:p w14:paraId="7EBB3AA2">
      <w:pPr>
        <w:spacing w:line="360" w:lineRule="auto"/>
        <w:ind w:firstLine="540" w:firstLineChars="225"/>
        <w:rPr>
          <w:color w:val="auto"/>
          <w:sz w:val="24"/>
          <w:highlight w:val="none"/>
        </w:rPr>
      </w:pPr>
      <w:r>
        <w:rPr>
          <w:color w:val="auto"/>
          <w:sz w:val="24"/>
          <w:highlight w:val="none"/>
        </w:rPr>
        <w:t>（1</w:t>
      </w:r>
      <w:r>
        <w:rPr>
          <w:rFonts w:hint="eastAsia"/>
          <w:color w:val="auto"/>
          <w:sz w:val="24"/>
          <w:highlight w:val="none"/>
          <w:lang w:val="en-US" w:eastAsia="zh-CN"/>
        </w:rPr>
        <w:t>6</w:t>
      </w:r>
      <w:r>
        <w:rPr>
          <w:color w:val="auto"/>
          <w:sz w:val="24"/>
          <w:highlight w:val="none"/>
        </w:rPr>
        <w:t>）所有浆液泵采用防腐耐磨的全金属结构，包括叶轮、泵头等，卧式泵的轴封形式须采用机械密封。</w:t>
      </w:r>
    </w:p>
    <w:p w14:paraId="2159AA84">
      <w:pPr>
        <w:spacing w:line="360" w:lineRule="auto"/>
        <w:ind w:firstLine="540" w:firstLineChars="225"/>
        <w:rPr>
          <w:color w:val="auto"/>
          <w:sz w:val="24"/>
          <w:highlight w:val="none"/>
        </w:rPr>
      </w:pPr>
      <w:r>
        <w:rPr>
          <w:color w:val="auto"/>
          <w:sz w:val="24"/>
          <w:highlight w:val="none"/>
        </w:rPr>
        <w:t>（1</w:t>
      </w:r>
      <w:r>
        <w:rPr>
          <w:rFonts w:hint="eastAsia"/>
          <w:color w:val="auto"/>
          <w:sz w:val="24"/>
          <w:highlight w:val="none"/>
          <w:lang w:val="en-US" w:eastAsia="zh-CN"/>
        </w:rPr>
        <w:t>7</w:t>
      </w:r>
      <w:r>
        <w:rPr>
          <w:color w:val="auto"/>
          <w:sz w:val="24"/>
          <w:highlight w:val="none"/>
        </w:rPr>
        <w:t>）对于主要的搅拌器（如吸收塔搅拌器等）、氧化风机等重要设备的减速机，应采用质量优良的硬齿面减速器。</w:t>
      </w:r>
    </w:p>
    <w:p w14:paraId="0E323BB2">
      <w:pPr>
        <w:spacing w:line="360" w:lineRule="auto"/>
        <w:ind w:firstLine="540" w:firstLineChars="225"/>
        <w:rPr>
          <w:color w:val="auto"/>
          <w:sz w:val="24"/>
          <w:highlight w:val="none"/>
        </w:rPr>
      </w:pPr>
      <w:r>
        <w:rPr>
          <w:color w:val="auto"/>
          <w:sz w:val="24"/>
          <w:highlight w:val="none"/>
        </w:rPr>
        <w:t>（1</w:t>
      </w:r>
      <w:r>
        <w:rPr>
          <w:rFonts w:hint="eastAsia"/>
          <w:color w:val="auto"/>
          <w:sz w:val="24"/>
          <w:highlight w:val="none"/>
          <w:lang w:val="en-US" w:eastAsia="zh-CN"/>
        </w:rPr>
        <w:t>8</w:t>
      </w:r>
      <w:r>
        <w:rPr>
          <w:color w:val="auto"/>
          <w:sz w:val="24"/>
          <w:highlight w:val="none"/>
        </w:rPr>
        <w:t>）吸收塔及事故浆液箱搅拌器采用防腐耐磨的</w:t>
      </w:r>
      <w:r>
        <w:rPr>
          <w:rFonts w:hint="eastAsia"/>
          <w:color w:val="auto"/>
          <w:sz w:val="24"/>
          <w:highlight w:val="none"/>
          <w:lang w:val="en-US" w:eastAsia="zh-CN"/>
        </w:rPr>
        <w:t>侧入式</w:t>
      </w:r>
      <w:r>
        <w:rPr>
          <w:rFonts w:hint="eastAsia"/>
          <w:color w:val="auto"/>
          <w:sz w:val="24"/>
          <w:highlight w:val="none"/>
        </w:rPr>
        <w:t>搅拌器的</w:t>
      </w:r>
      <w:r>
        <w:rPr>
          <w:color w:val="auto"/>
          <w:sz w:val="24"/>
          <w:highlight w:val="none"/>
        </w:rPr>
        <w:t>全金属结构形式。</w:t>
      </w:r>
    </w:p>
    <w:p w14:paraId="43A61571">
      <w:pPr>
        <w:spacing w:line="360" w:lineRule="auto"/>
        <w:ind w:firstLine="540" w:firstLineChars="225"/>
        <w:rPr>
          <w:color w:val="auto"/>
          <w:sz w:val="24"/>
          <w:highlight w:val="none"/>
        </w:rPr>
      </w:pPr>
      <w:r>
        <w:rPr>
          <w:color w:val="auto"/>
          <w:sz w:val="24"/>
          <w:highlight w:val="none"/>
        </w:rPr>
        <w:t>（</w:t>
      </w:r>
      <w:r>
        <w:rPr>
          <w:rFonts w:hint="eastAsia"/>
          <w:color w:val="auto"/>
          <w:sz w:val="24"/>
          <w:highlight w:val="none"/>
          <w:lang w:val="en-US" w:eastAsia="zh-CN"/>
        </w:rPr>
        <w:t>19</w:t>
      </w:r>
      <w:r>
        <w:rPr>
          <w:color w:val="auto"/>
          <w:sz w:val="24"/>
          <w:highlight w:val="none"/>
        </w:rPr>
        <w:t>）工艺系统下列设备和材料的供货为进口品牌：</w:t>
      </w:r>
    </w:p>
    <w:p w14:paraId="48BA39DE">
      <w:pPr>
        <w:numPr>
          <w:ilvl w:val="0"/>
          <w:numId w:val="7"/>
        </w:numPr>
        <w:spacing w:line="360" w:lineRule="auto"/>
        <w:rPr>
          <w:color w:val="auto"/>
          <w:sz w:val="24"/>
          <w:highlight w:val="none"/>
        </w:rPr>
      </w:pPr>
      <w:r>
        <w:rPr>
          <w:color w:val="auto"/>
          <w:sz w:val="24"/>
          <w:highlight w:val="none"/>
        </w:rPr>
        <w:t>电磁流量计、密度计</w:t>
      </w:r>
      <w:r>
        <w:rPr>
          <w:rFonts w:hint="eastAsia"/>
          <w:color w:val="auto"/>
          <w:sz w:val="24"/>
          <w:highlight w:val="none"/>
          <w:lang w:eastAsia="zh-CN"/>
        </w:rPr>
        <w:t>、</w:t>
      </w:r>
      <w:r>
        <w:rPr>
          <w:rFonts w:hint="eastAsia"/>
          <w:color w:val="auto"/>
          <w:sz w:val="24"/>
          <w:highlight w:val="none"/>
          <w:lang w:val="en-US" w:eastAsia="zh-CN"/>
        </w:rPr>
        <w:t>PH计、液位计；</w:t>
      </w:r>
    </w:p>
    <w:p w14:paraId="508AA867">
      <w:pPr>
        <w:numPr>
          <w:ilvl w:val="0"/>
          <w:numId w:val="7"/>
        </w:numPr>
        <w:spacing w:line="360" w:lineRule="auto"/>
        <w:rPr>
          <w:color w:val="auto"/>
          <w:sz w:val="24"/>
          <w:highlight w:val="none"/>
        </w:rPr>
      </w:pPr>
      <w:r>
        <w:rPr>
          <w:color w:val="auto"/>
          <w:sz w:val="24"/>
          <w:highlight w:val="none"/>
        </w:rPr>
        <w:t>其他</w:t>
      </w:r>
      <w:r>
        <w:rPr>
          <w:rFonts w:hint="eastAsia"/>
          <w:color w:val="auto"/>
          <w:sz w:val="24"/>
          <w:highlight w:val="none"/>
          <w:lang w:eastAsia="zh-CN"/>
        </w:rPr>
        <w:t>投标方</w:t>
      </w:r>
      <w:r>
        <w:rPr>
          <w:color w:val="auto"/>
          <w:sz w:val="24"/>
          <w:highlight w:val="none"/>
        </w:rPr>
        <w:t>认为需要进口的部件或设备；</w:t>
      </w:r>
    </w:p>
    <w:p w14:paraId="2B9EF288">
      <w:pPr>
        <w:spacing w:line="360" w:lineRule="auto"/>
        <w:ind w:firstLine="480" w:firstLineChars="200"/>
        <w:rPr>
          <w:color w:val="auto"/>
          <w:sz w:val="24"/>
          <w:highlight w:val="none"/>
        </w:rPr>
      </w:pPr>
      <w:r>
        <w:rPr>
          <w:color w:val="auto"/>
          <w:sz w:val="24"/>
          <w:highlight w:val="none"/>
        </w:rPr>
        <w:t>上述设备</w:t>
      </w:r>
      <w:r>
        <w:rPr>
          <w:rFonts w:hint="eastAsia"/>
          <w:color w:val="auto"/>
          <w:sz w:val="24"/>
          <w:highlight w:val="none"/>
          <w:lang w:eastAsia="zh-CN"/>
        </w:rPr>
        <w:t>投标方</w:t>
      </w:r>
      <w:r>
        <w:rPr>
          <w:color w:val="auto"/>
          <w:sz w:val="24"/>
          <w:highlight w:val="none"/>
        </w:rPr>
        <w:t>至少提供三家以上产品。</w:t>
      </w:r>
    </w:p>
    <w:p w14:paraId="3F4A30EA">
      <w:pPr>
        <w:adjustRightInd w:val="0"/>
        <w:snapToGrid w:val="0"/>
        <w:spacing w:line="360" w:lineRule="auto"/>
        <w:rPr>
          <w:color w:val="auto"/>
          <w:sz w:val="24"/>
          <w:highlight w:val="none"/>
        </w:rPr>
      </w:pPr>
      <w:r>
        <w:rPr>
          <w:color w:val="auto"/>
          <w:sz w:val="24"/>
          <w:highlight w:val="none"/>
        </w:rPr>
        <w:t>2.1.2 FGD工艺系统设计原则</w:t>
      </w:r>
    </w:p>
    <w:p w14:paraId="2B51E812">
      <w:pPr>
        <w:spacing w:line="360" w:lineRule="auto"/>
        <w:ind w:firstLine="480" w:firstLineChars="200"/>
        <w:rPr>
          <w:color w:val="auto"/>
          <w:sz w:val="24"/>
          <w:highlight w:val="none"/>
        </w:rPr>
      </w:pPr>
      <w:r>
        <w:rPr>
          <w:color w:val="auto"/>
          <w:sz w:val="24"/>
          <w:highlight w:val="none"/>
        </w:rPr>
        <w:t>FGD工艺系统主要由石灰石浆液</w:t>
      </w:r>
      <w:r>
        <w:rPr>
          <w:rFonts w:hint="eastAsia"/>
          <w:color w:val="auto"/>
          <w:sz w:val="24"/>
          <w:highlight w:val="none"/>
        </w:rPr>
        <w:t>供应</w:t>
      </w:r>
      <w:r>
        <w:rPr>
          <w:color w:val="auto"/>
          <w:sz w:val="24"/>
          <w:highlight w:val="none"/>
        </w:rPr>
        <w:t>系统、石膏脱水系统、脱硫废水系统、烟气系统、SO</w:t>
      </w:r>
      <w:r>
        <w:rPr>
          <w:color w:val="auto"/>
          <w:sz w:val="24"/>
          <w:highlight w:val="none"/>
          <w:vertAlign w:val="subscript"/>
        </w:rPr>
        <w:t>2</w:t>
      </w:r>
      <w:r>
        <w:rPr>
          <w:color w:val="auto"/>
          <w:sz w:val="24"/>
          <w:highlight w:val="none"/>
        </w:rPr>
        <w:t>吸收系统、氧化空气系统、</w:t>
      </w:r>
      <w:r>
        <w:rPr>
          <w:rFonts w:hint="eastAsia"/>
          <w:color w:val="auto"/>
          <w:sz w:val="24"/>
          <w:highlight w:val="none"/>
          <w:lang w:val="en-US" w:eastAsia="zh-CN"/>
        </w:rPr>
        <w:t>除尘除雾系统</w:t>
      </w:r>
      <w:r>
        <w:rPr>
          <w:color w:val="auto"/>
          <w:sz w:val="24"/>
          <w:highlight w:val="none"/>
        </w:rPr>
        <w:t>、浆液疏排系统、工艺水系统、杂用和仪用压缩空气系统等组成。工艺系统设计原则包括：</w:t>
      </w:r>
    </w:p>
    <w:p w14:paraId="29162FA3">
      <w:pPr>
        <w:spacing w:line="360" w:lineRule="auto"/>
        <w:ind w:firstLine="540" w:firstLineChars="225"/>
        <w:rPr>
          <w:color w:val="auto"/>
          <w:sz w:val="24"/>
          <w:highlight w:val="none"/>
        </w:rPr>
      </w:pPr>
      <w:r>
        <w:rPr>
          <w:color w:val="auto"/>
          <w:sz w:val="24"/>
          <w:highlight w:val="none"/>
        </w:rPr>
        <w:t>（1）脱硫工艺采用石灰石—石膏湿法，脱硫系统应能完全满足脱硫设计煤种和校核煤种的条件。</w:t>
      </w:r>
    </w:p>
    <w:p w14:paraId="36EA642A">
      <w:pPr>
        <w:spacing w:line="360" w:lineRule="auto"/>
        <w:ind w:firstLine="540" w:firstLineChars="225"/>
        <w:rPr>
          <w:rFonts w:hint="eastAsia"/>
          <w:color w:val="auto"/>
          <w:sz w:val="24"/>
          <w:highlight w:val="none"/>
          <w:vertAlign w:val="baseline"/>
          <w:lang w:val="en-US" w:eastAsia="zh-CN"/>
        </w:rPr>
      </w:pPr>
      <w:r>
        <w:rPr>
          <w:color w:val="auto"/>
          <w:sz w:val="24"/>
          <w:highlight w:val="none"/>
        </w:rPr>
        <w:t>（2）设置</w:t>
      </w:r>
      <w:r>
        <w:rPr>
          <w:rFonts w:hint="eastAsia"/>
          <w:color w:val="auto"/>
          <w:sz w:val="24"/>
          <w:highlight w:val="none"/>
          <w:lang w:val="en-US" w:eastAsia="zh-CN"/>
        </w:rPr>
        <w:t>一</w:t>
      </w:r>
      <w:r>
        <w:rPr>
          <w:color w:val="auto"/>
          <w:sz w:val="24"/>
          <w:highlight w:val="none"/>
        </w:rPr>
        <w:t>套脱硫装置，采用一炉一塔，</w:t>
      </w:r>
      <w:r>
        <w:rPr>
          <w:rFonts w:hint="eastAsia"/>
          <w:color w:val="auto"/>
          <w:sz w:val="24"/>
          <w:highlight w:val="none"/>
          <w:lang w:val="en-US" w:eastAsia="zh-CN"/>
        </w:rPr>
        <w:t>脱硫循环泵需有一台备用。</w:t>
      </w:r>
      <w:r>
        <w:rPr>
          <w:color w:val="auto"/>
          <w:sz w:val="24"/>
          <w:highlight w:val="none"/>
        </w:rPr>
        <w:t>脱硫装置的烟气处理能力为</w:t>
      </w:r>
      <w:r>
        <w:rPr>
          <w:rFonts w:hint="eastAsia"/>
          <w:color w:val="auto"/>
          <w:sz w:val="24"/>
          <w:highlight w:val="none"/>
          <w:lang w:eastAsia="zh-CN"/>
        </w:rPr>
        <w:t>：</w:t>
      </w:r>
      <w:r>
        <w:rPr>
          <w:rFonts w:hint="eastAsia"/>
          <w:color w:val="auto"/>
          <w:sz w:val="24"/>
          <w:highlight w:val="none"/>
          <w:lang w:val="en-US" w:eastAsia="zh-CN"/>
        </w:rPr>
        <w:t>锅炉最大烟气量且二氧化硫原始排放浓度为2400mg/Nm</w:t>
      </w:r>
      <w:r>
        <w:rPr>
          <w:rFonts w:hint="eastAsia"/>
          <w:color w:val="auto"/>
          <w:sz w:val="24"/>
          <w:highlight w:val="none"/>
          <w:vertAlign w:val="superscript"/>
          <w:lang w:val="en-US" w:eastAsia="zh-CN"/>
        </w:rPr>
        <w:t>3</w:t>
      </w:r>
      <w:r>
        <w:rPr>
          <w:rFonts w:hint="eastAsia"/>
          <w:color w:val="auto"/>
          <w:sz w:val="24"/>
          <w:highlight w:val="none"/>
          <w:vertAlign w:val="baseline"/>
          <w:lang w:val="en-US" w:eastAsia="zh-CN"/>
        </w:rPr>
        <w:t>，脱硫循环泵全开时，SO</w:t>
      </w:r>
      <w:r>
        <w:rPr>
          <w:rFonts w:hint="eastAsia"/>
          <w:color w:val="auto"/>
          <w:sz w:val="24"/>
          <w:highlight w:val="none"/>
          <w:vertAlign w:val="subscript"/>
          <w:lang w:val="en-US" w:eastAsia="zh-CN"/>
        </w:rPr>
        <w:t>2</w:t>
      </w:r>
      <w:r>
        <w:rPr>
          <w:rFonts w:hint="eastAsia"/>
          <w:color w:val="auto"/>
          <w:sz w:val="24"/>
          <w:highlight w:val="none"/>
          <w:vertAlign w:val="baseline"/>
          <w:lang w:val="en-US" w:eastAsia="zh-CN"/>
        </w:rPr>
        <w:t>排放浓度不大于35mg/Nm</w:t>
      </w:r>
      <w:r>
        <w:rPr>
          <w:rFonts w:hint="eastAsia"/>
          <w:color w:val="auto"/>
          <w:sz w:val="24"/>
          <w:highlight w:val="none"/>
          <w:vertAlign w:val="superscript"/>
          <w:lang w:val="en-US" w:eastAsia="zh-CN"/>
        </w:rPr>
        <w:t>3</w:t>
      </w:r>
      <w:r>
        <w:rPr>
          <w:rFonts w:hint="eastAsia"/>
          <w:color w:val="auto"/>
          <w:sz w:val="24"/>
          <w:highlight w:val="none"/>
          <w:vertAlign w:val="baseline"/>
          <w:lang w:val="en-US" w:eastAsia="zh-CN"/>
        </w:rPr>
        <w:t>。</w:t>
      </w:r>
    </w:p>
    <w:p w14:paraId="39C82537">
      <w:pPr>
        <w:spacing w:line="360" w:lineRule="auto"/>
        <w:ind w:firstLine="540" w:firstLineChars="225"/>
        <w:rPr>
          <w:rFonts w:hint="eastAsia" w:eastAsia="宋体"/>
          <w:color w:val="auto"/>
          <w:sz w:val="24"/>
          <w:highlight w:val="none"/>
          <w:lang w:val="en-US" w:eastAsia="zh-CN"/>
        </w:rPr>
      </w:pPr>
      <w:r>
        <w:rPr>
          <w:rFonts w:hint="eastAsia"/>
          <w:color w:val="auto"/>
          <w:sz w:val="24"/>
          <w:highlight w:val="none"/>
        </w:rPr>
        <w:t>（</w:t>
      </w:r>
      <w:r>
        <w:rPr>
          <w:rFonts w:hint="eastAsia"/>
          <w:color w:val="auto"/>
          <w:sz w:val="24"/>
          <w:highlight w:val="none"/>
          <w:lang w:val="en-US" w:eastAsia="zh-CN"/>
        </w:rPr>
        <w:t>3</w:t>
      </w:r>
      <w:r>
        <w:rPr>
          <w:rFonts w:hint="eastAsia"/>
          <w:color w:val="auto"/>
          <w:sz w:val="24"/>
          <w:highlight w:val="none"/>
        </w:rPr>
        <w:t>）本工程</w:t>
      </w:r>
      <w:r>
        <w:rPr>
          <w:rFonts w:hint="eastAsia"/>
          <w:color w:val="auto"/>
          <w:sz w:val="24"/>
          <w:highlight w:val="none"/>
          <w:lang w:val="en-US" w:eastAsia="zh-CN"/>
        </w:rPr>
        <w:t>利用原有</w:t>
      </w:r>
      <w:r>
        <w:rPr>
          <w:rFonts w:hint="eastAsia"/>
          <w:color w:val="auto"/>
          <w:sz w:val="24"/>
          <w:highlight w:val="none"/>
        </w:rPr>
        <w:t>石灰石浆液箱</w:t>
      </w:r>
      <w:r>
        <w:rPr>
          <w:rFonts w:hint="eastAsia"/>
          <w:color w:val="auto"/>
          <w:sz w:val="24"/>
          <w:highlight w:val="none"/>
          <w:lang w:eastAsia="zh-CN"/>
        </w:rPr>
        <w:t>，</w:t>
      </w:r>
      <w:r>
        <w:rPr>
          <w:rFonts w:hint="eastAsia"/>
          <w:color w:val="auto"/>
          <w:sz w:val="24"/>
          <w:highlight w:val="none"/>
          <w:lang w:val="en-US" w:eastAsia="zh-CN"/>
        </w:rPr>
        <w:t>新设两台石灰石浆液泵。</w:t>
      </w:r>
    </w:p>
    <w:p w14:paraId="173EE5FE">
      <w:pPr>
        <w:spacing w:line="360" w:lineRule="auto"/>
        <w:ind w:firstLine="540" w:firstLineChars="225"/>
        <w:rPr>
          <w:color w:val="auto"/>
          <w:sz w:val="24"/>
          <w:highlight w:val="none"/>
        </w:rPr>
      </w:pPr>
      <w:r>
        <w:rPr>
          <w:color w:val="auto"/>
          <w:sz w:val="24"/>
          <w:highlight w:val="none"/>
        </w:rPr>
        <w:t>（</w:t>
      </w:r>
      <w:r>
        <w:rPr>
          <w:rFonts w:hint="eastAsia"/>
          <w:color w:val="auto"/>
          <w:sz w:val="24"/>
          <w:highlight w:val="none"/>
          <w:lang w:val="en-US" w:eastAsia="zh-CN"/>
        </w:rPr>
        <w:t>4</w:t>
      </w:r>
      <w:r>
        <w:rPr>
          <w:color w:val="auto"/>
          <w:sz w:val="24"/>
          <w:highlight w:val="none"/>
        </w:rPr>
        <w:t>）尽量避免在脱硫及除尘过程中带来新的环境污染。</w:t>
      </w:r>
    </w:p>
    <w:p w14:paraId="6DBAC8DD">
      <w:pPr>
        <w:spacing w:line="360" w:lineRule="auto"/>
        <w:ind w:firstLine="540" w:firstLineChars="225"/>
        <w:rPr>
          <w:color w:val="auto"/>
          <w:sz w:val="24"/>
          <w:highlight w:val="none"/>
        </w:rPr>
      </w:pPr>
      <w:r>
        <w:rPr>
          <w:color w:val="auto"/>
          <w:sz w:val="24"/>
          <w:highlight w:val="none"/>
        </w:rPr>
        <w:t>（</w:t>
      </w:r>
      <w:r>
        <w:rPr>
          <w:rFonts w:hint="eastAsia"/>
          <w:color w:val="auto"/>
          <w:sz w:val="24"/>
          <w:highlight w:val="none"/>
          <w:lang w:val="en-US" w:eastAsia="zh-CN"/>
        </w:rPr>
        <w:t>5</w:t>
      </w:r>
      <w:r>
        <w:rPr>
          <w:color w:val="auto"/>
          <w:sz w:val="24"/>
          <w:highlight w:val="none"/>
        </w:rPr>
        <w:t>）脱硫副产物－石膏经脱水装置脱水处理后卸入石膏库存放，脱硫副产品—石膏脱水后含湿量≤10%。</w:t>
      </w:r>
    </w:p>
    <w:p w14:paraId="0861D62D">
      <w:pPr>
        <w:spacing w:line="360" w:lineRule="auto"/>
        <w:ind w:firstLine="540" w:firstLineChars="225"/>
        <w:jc w:val="left"/>
        <w:rPr>
          <w:color w:val="auto"/>
          <w:sz w:val="24"/>
          <w:highlight w:val="none"/>
        </w:rPr>
      </w:pPr>
      <w:r>
        <w:rPr>
          <w:color w:val="auto"/>
          <w:sz w:val="24"/>
          <w:highlight w:val="none"/>
        </w:rPr>
        <w:t>（</w:t>
      </w:r>
      <w:r>
        <w:rPr>
          <w:rFonts w:hint="eastAsia"/>
          <w:color w:val="auto"/>
          <w:sz w:val="24"/>
          <w:highlight w:val="none"/>
          <w:lang w:val="en-US" w:eastAsia="zh-CN"/>
        </w:rPr>
        <w:t>6</w:t>
      </w:r>
      <w:r>
        <w:rPr>
          <w:color w:val="auto"/>
          <w:sz w:val="24"/>
          <w:highlight w:val="none"/>
        </w:rPr>
        <w:t>）设备年利用小时按</w:t>
      </w:r>
      <w:r>
        <w:rPr>
          <w:rFonts w:hint="eastAsia"/>
          <w:color w:val="auto"/>
          <w:sz w:val="24"/>
          <w:highlight w:val="none"/>
          <w:lang w:val="en-US" w:eastAsia="zh-CN"/>
        </w:rPr>
        <w:t>7</w:t>
      </w:r>
      <w:r>
        <w:rPr>
          <w:rFonts w:hint="eastAsia"/>
          <w:color w:val="auto"/>
          <w:sz w:val="24"/>
          <w:highlight w:val="none"/>
        </w:rPr>
        <w:t>0</w:t>
      </w:r>
      <w:r>
        <w:rPr>
          <w:color w:val="auto"/>
          <w:sz w:val="24"/>
          <w:highlight w:val="none"/>
        </w:rPr>
        <w:t>00h考虑。</w:t>
      </w:r>
    </w:p>
    <w:p w14:paraId="3D01139E">
      <w:pPr>
        <w:spacing w:line="360" w:lineRule="auto"/>
        <w:ind w:firstLine="540" w:firstLineChars="225"/>
        <w:rPr>
          <w:color w:val="auto"/>
          <w:sz w:val="24"/>
          <w:highlight w:val="none"/>
        </w:rPr>
      </w:pPr>
      <w:r>
        <w:rPr>
          <w:color w:val="auto"/>
          <w:sz w:val="24"/>
          <w:highlight w:val="none"/>
        </w:rPr>
        <w:t>（</w:t>
      </w:r>
      <w:r>
        <w:rPr>
          <w:rFonts w:hint="eastAsia"/>
          <w:color w:val="auto"/>
          <w:sz w:val="24"/>
          <w:highlight w:val="none"/>
          <w:lang w:val="en-US" w:eastAsia="zh-CN"/>
        </w:rPr>
        <w:t>7</w:t>
      </w:r>
      <w:r>
        <w:rPr>
          <w:color w:val="auto"/>
          <w:sz w:val="24"/>
          <w:highlight w:val="none"/>
        </w:rPr>
        <w:t>）系统可用率≥98%。</w:t>
      </w:r>
    </w:p>
    <w:p w14:paraId="63C9AC2B">
      <w:pPr>
        <w:spacing w:line="360" w:lineRule="auto"/>
        <w:ind w:firstLine="540" w:firstLineChars="225"/>
        <w:rPr>
          <w:color w:val="auto"/>
          <w:sz w:val="24"/>
          <w:highlight w:val="none"/>
        </w:rPr>
      </w:pPr>
      <w:r>
        <w:rPr>
          <w:color w:val="auto"/>
          <w:sz w:val="24"/>
          <w:highlight w:val="none"/>
        </w:rPr>
        <w:t>（</w:t>
      </w:r>
      <w:r>
        <w:rPr>
          <w:rFonts w:hint="eastAsia"/>
          <w:color w:val="auto"/>
          <w:sz w:val="24"/>
          <w:highlight w:val="none"/>
          <w:lang w:val="en-US" w:eastAsia="zh-CN"/>
        </w:rPr>
        <w:t>8</w:t>
      </w:r>
      <w:r>
        <w:rPr>
          <w:color w:val="auto"/>
          <w:sz w:val="24"/>
          <w:highlight w:val="none"/>
        </w:rPr>
        <w:t>）系统设计寿命为30年。</w:t>
      </w:r>
      <w:r>
        <w:rPr>
          <w:color w:val="auto"/>
          <w:sz w:val="24"/>
          <w:highlight w:val="none"/>
        </w:rPr>
        <w:tab/>
      </w:r>
    </w:p>
    <w:p w14:paraId="3E15D506">
      <w:pPr>
        <w:adjustRightInd w:val="0"/>
        <w:snapToGrid w:val="0"/>
        <w:spacing w:line="360" w:lineRule="auto"/>
        <w:rPr>
          <w:color w:val="auto"/>
          <w:sz w:val="24"/>
          <w:highlight w:val="none"/>
        </w:rPr>
      </w:pPr>
      <w:r>
        <w:rPr>
          <w:color w:val="auto"/>
          <w:sz w:val="24"/>
          <w:highlight w:val="none"/>
        </w:rPr>
        <w:t>2.1.3装置主要布置原则</w:t>
      </w:r>
    </w:p>
    <w:p w14:paraId="3D2B08A4">
      <w:pPr>
        <w:adjustRightInd w:val="0"/>
        <w:snapToGrid w:val="0"/>
        <w:spacing w:line="360" w:lineRule="auto"/>
        <w:rPr>
          <w:color w:val="auto"/>
          <w:sz w:val="24"/>
          <w:highlight w:val="none"/>
        </w:rPr>
      </w:pPr>
      <w:r>
        <w:rPr>
          <w:color w:val="auto"/>
          <w:sz w:val="24"/>
          <w:highlight w:val="none"/>
        </w:rPr>
        <w:t>2.1.3.1总平面布置</w:t>
      </w:r>
    </w:p>
    <w:p w14:paraId="46622FAB">
      <w:pPr>
        <w:spacing w:line="360" w:lineRule="auto"/>
        <w:ind w:firstLine="480" w:firstLineChars="200"/>
        <w:rPr>
          <w:color w:val="auto"/>
          <w:sz w:val="24"/>
          <w:highlight w:val="none"/>
        </w:rPr>
      </w:pPr>
      <w:r>
        <w:rPr>
          <w:color w:val="auto"/>
          <w:sz w:val="24"/>
          <w:highlight w:val="none"/>
        </w:rPr>
        <w:t>脱硫装置位于炉后引风机与烟囱之间。脱硫系统原烟气从引风机后</w:t>
      </w:r>
      <w:r>
        <w:rPr>
          <w:rFonts w:hint="eastAsia"/>
          <w:color w:val="auto"/>
          <w:sz w:val="24"/>
          <w:highlight w:val="none"/>
          <w:lang w:val="en-US" w:eastAsia="zh-CN"/>
        </w:rPr>
        <w:t>插</w:t>
      </w:r>
      <w:r>
        <w:rPr>
          <w:color w:val="auto"/>
          <w:sz w:val="24"/>
          <w:highlight w:val="none"/>
        </w:rPr>
        <w:t>板门出口法兰面分别引接合并后进入吸收塔，在吸收塔内脱硫净化，脱硫净烟气经</w:t>
      </w:r>
      <w:r>
        <w:rPr>
          <w:rFonts w:hint="eastAsia"/>
          <w:color w:val="auto"/>
          <w:sz w:val="24"/>
          <w:highlight w:val="none"/>
          <w:lang w:val="en-US" w:eastAsia="zh-CN"/>
        </w:rPr>
        <w:t>冷凝</w:t>
      </w:r>
      <w:r>
        <w:rPr>
          <w:color w:val="auto"/>
          <w:sz w:val="24"/>
          <w:highlight w:val="none"/>
        </w:rPr>
        <w:t>除尘</w:t>
      </w:r>
      <w:r>
        <w:rPr>
          <w:rFonts w:hint="eastAsia"/>
          <w:color w:val="auto"/>
          <w:sz w:val="24"/>
          <w:highlight w:val="none"/>
          <w:lang w:val="en-US" w:eastAsia="zh-CN"/>
        </w:rPr>
        <w:t>除雾</w:t>
      </w:r>
      <w:r>
        <w:rPr>
          <w:color w:val="auto"/>
          <w:sz w:val="24"/>
          <w:highlight w:val="none"/>
        </w:rPr>
        <w:t>器后通过烟囱排入大气。</w:t>
      </w:r>
    </w:p>
    <w:p w14:paraId="7A2749D7">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应根据</w:t>
      </w:r>
      <w:r>
        <w:rPr>
          <w:rFonts w:hint="eastAsia"/>
          <w:color w:val="auto"/>
          <w:sz w:val="24"/>
          <w:highlight w:val="none"/>
          <w:lang w:eastAsia="zh-CN"/>
        </w:rPr>
        <w:t>招标方</w:t>
      </w:r>
      <w:r>
        <w:rPr>
          <w:color w:val="auto"/>
          <w:sz w:val="24"/>
          <w:highlight w:val="none"/>
        </w:rPr>
        <w:t>提供的原始数据和场地条件，对脱硫系统的机械部分（包括各工艺系统和设备）进行优化设计、合理选型和布置。本</w:t>
      </w:r>
      <w:r>
        <w:rPr>
          <w:rFonts w:hint="eastAsia"/>
          <w:color w:val="auto"/>
          <w:sz w:val="24"/>
          <w:highlight w:val="none"/>
          <w:lang w:val="en-US" w:eastAsia="zh-CN"/>
        </w:rPr>
        <w:t>规范书</w:t>
      </w:r>
      <w:r>
        <w:rPr>
          <w:color w:val="auto"/>
          <w:sz w:val="24"/>
          <w:highlight w:val="none"/>
        </w:rPr>
        <w:t>所附</w:t>
      </w:r>
      <w:r>
        <w:rPr>
          <w:rFonts w:hint="eastAsia"/>
          <w:color w:val="auto"/>
          <w:sz w:val="24"/>
          <w:highlight w:val="none"/>
          <w:lang w:val="en-US" w:eastAsia="zh-CN"/>
        </w:rPr>
        <w:t>资料</w:t>
      </w:r>
      <w:r>
        <w:rPr>
          <w:color w:val="auto"/>
          <w:sz w:val="24"/>
          <w:highlight w:val="none"/>
        </w:rPr>
        <w:t>仅供参考，</w:t>
      </w:r>
      <w:r>
        <w:rPr>
          <w:rFonts w:hint="eastAsia"/>
          <w:color w:val="auto"/>
          <w:sz w:val="24"/>
          <w:highlight w:val="none"/>
          <w:lang w:eastAsia="zh-CN"/>
        </w:rPr>
        <w:t>投标方</w:t>
      </w:r>
      <w:r>
        <w:rPr>
          <w:color w:val="auto"/>
          <w:sz w:val="24"/>
          <w:highlight w:val="none"/>
        </w:rPr>
        <w:t>应对系统拟定、设备的选择和布置负责，</w:t>
      </w:r>
      <w:r>
        <w:rPr>
          <w:rFonts w:hint="eastAsia"/>
          <w:color w:val="auto"/>
          <w:sz w:val="24"/>
          <w:highlight w:val="none"/>
          <w:lang w:eastAsia="zh-CN"/>
        </w:rPr>
        <w:t>招标方</w:t>
      </w:r>
      <w:r>
        <w:rPr>
          <w:color w:val="auto"/>
          <w:sz w:val="24"/>
          <w:highlight w:val="none"/>
        </w:rPr>
        <w:t>的要求并不解除</w:t>
      </w:r>
      <w:r>
        <w:rPr>
          <w:rFonts w:hint="eastAsia"/>
          <w:color w:val="auto"/>
          <w:sz w:val="24"/>
          <w:highlight w:val="none"/>
          <w:lang w:eastAsia="zh-CN"/>
        </w:rPr>
        <w:t>投标方</w:t>
      </w:r>
      <w:r>
        <w:rPr>
          <w:color w:val="auto"/>
          <w:sz w:val="24"/>
          <w:highlight w:val="none"/>
        </w:rPr>
        <w:t>的责任。</w:t>
      </w:r>
    </w:p>
    <w:p w14:paraId="5A3F1F8D">
      <w:pPr>
        <w:adjustRightInd w:val="0"/>
        <w:snapToGrid w:val="0"/>
        <w:spacing w:line="360" w:lineRule="auto"/>
        <w:rPr>
          <w:color w:val="auto"/>
          <w:sz w:val="24"/>
          <w:highlight w:val="none"/>
        </w:rPr>
      </w:pPr>
      <w:r>
        <w:rPr>
          <w:color w:val="auto"/>
          <w:sz w:val="24"/>
          <w:highlight w:val="none"/>
        </w:rPr>
        <w:t>2.1.3.2管线布置</w:t>
      </w:r>
    </w:p>
    <w:p w14:paraId="523868AC">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设计范围内的各种管线和沟道，包括架空管线，直埋管线、与脱硫系统外沟道相接时，应在设计分界线处标明位置、标高，管径或沟道断面尺寸、坡度、坡向管沟名称，引向何处等等。有汽车通过的架空管道净空高度为5.5m，室内管道支架梁底部通道处净空高度为2.4m。</w:t>
      </w:r>
    </w:p>
    <w:p w14:paraId="6FC8C5ED">
      <w:pPr>
        <w:spacing w:line="360" w:lineRule="auto"/>
        <w:ind w:firstLine="480" w:firstLineChars="200"/>
        <w:rPr>
          <w:color w:val="auto"/>
          <w:sz w:val="24"/>
          <w:highlight w:val="none"/>
        </w:rPr>
      </w:pPr>
      <w:r>
        <w:rPr>
          <w:color w:val="auto"/>
          <w:sz w:val="24"/>
          <w:highlight w:val="none"/>
        </w:rPr>
        <w:t>与</w:t>
      </w:r>
      <w:r>
        <w:rPr>
          <w:rFonts w:hint="eastAsia"/>
          <w:color w:val="auto"/>
          <w:sz w:val="24"/>
          <w:highlight w:val="none"/>
          <w:lang w:val="en-US" w:eastAsia="zh-CN"/>
        </w:rPr>
        <w:t>原系统</w:t>
      </w:r>
      <w:r>
        <w:rPr>
          <w:color w:val="auto"/>
          <w:sz w:val="24"/>
          <w:highlight w:val="none"/>
        </w:rPr>
        <w:t>接口的管线及管沟引出位置和标高应经</w:t>
      </w:r>
      <w:r>
        <w:rPr>
          <w:rFonts w:hint="eastAsia"/>
          <w:color w:val="auto"/>
          <w:sz w:val="24"/>
          <w:highlight w:val="none"/>
          <w:lang w:eastAsia="zh-CN"/>
        </w:rPr>
        <w:t>招标方</w:t>
      </w:r>
      <w:r>
        <w:rPr>
          <w:color w:val="auto"/>
          <w:sz w:val="24"/>
          <w:highlight w:val="none"/>
        </w:rPr>
        <w:t>认可或协商确定。</w:t>
      </w:r>
    </w:p>
    <w:p w14:paraId="68E4B510">
      <w:pPr>
        <w:spacing w:line="360" w:lineRule="auto"/>
        <w:outlineLvl w:val="2"/>
        <w:rPr>
          <w:b/>
          <w:color w:val="auto"/>
          <w:sz w:val="24"/>
          <w:highlight w:val="none"/>
        </w:rPr>
      </w:pPr>
      <w:r>
        <w:rPr>
          <w:b/>
          <w:color w:val="auto"/>
          <w:sz w:val="24"/>
          <w:highlight w:val="none"/>
        </w:rPr>
        <w:t>2.2 石灰石浆液制备</w:t>
      </w:r>
      <w:r>
        <w:rPr>
          <w:rFonts w:hint="eastAsia"/>
          <w:b/>
          <w:color w:val="auto"/>
          <w:sz w:val="24"/>
          <w:highlight w:val="none"/>
          <w:lang w:val="en-US" w:eastAsia="zh-CN"/>
        </w:rPr>
        <w:t>及供浆</w:t>
      </w:r>
      <w:r>
        <w:rPr>
          <w:b/>
          <w:color w:val="auto"/>
          <w:sz w:val="24"/>
          <w:highlight w:val="none"/>
        </w:rPr>
        <w:t>系统</w:t>
      </w:r>
    </w:p>
    <w:p w14:paraId="5E06076F">
      <w:pPr>
        <w:spacing w:line="360" w:lineRule="auto"/>
        <w:ind w:firstLine="480" w:firstLineChars="200"/>
        <w:rPr>
          <w:rFonts w:hint="eastAsia" w:eastAsia="宋体"/>
          <w:color w:val="auto"/>
          <w:sz w:val="24"/>
          <w:szCs w:val="24"/>
          <w:highlight w:val="none"/>
          <w:lang w:val="en-US" w:eastAsia="zh-CN"/>
        </w:rPr>
      </w:pPr>
      <w:r>
        <w:rPr>
          <w:rFonts w:hint="eastAsia"/>
          <w:color w:val="auto"/>
          <w:sz w:val="24"/>
          <w:szCs w:val="24"/>
          <w:highlight w:val="none"/>
        </w:rPr>
        <w:t>石灰石粉仓、石灰石浆液箱利用原有系统，</w:t>
      </w:r>
      <w:r>
        <w:rPr>
          <w:rFonts w:hint="eastAsia"/>
          <w:color w:val="auto"/>
          <w:sz w:val="24"/>
          <w:szCs w:val="24"/>
          <w:highlight w:val="none"/>
          <w:lang w:val="en-US" w:eastAsia="zh-CN"/>
        </w:rPr>
        <w:t>新设两台石灰石浆液泵，一用一备。</w:t>
      </w:r>
      <w:r>
        <w:rPr>
          <w:rFonts w:hint="eastAsia"/>
          <w:color w:val="auto"/>
          <w:sz w:val="24"/>
          <w:szCs w:val="24"/>
          <w:highlight w:val="none"/>
        </w:rPr>
        <w:t>投标人负责</w:t>
      </w:r>
      <w:r>
        <w:rPr>
          <w:rFonts w:hint="eastAsia"/>
          <w:color w:val="auto"/>
          <w:sz w:val="24"/>
          <w:szCs w:val="24"/>
          <w:highlight w:val="none"/>
          <w:lang w:val="en-US" w:eastAsia="zh-CN"/>
        </w:rPr>
        <w:t>供浆系统</w:t>
      </w:r>
      <w:r>
        <w:rPr>
          <w:rFonts w:hint="eastAsia"/>
          <w:color w:val="auto"/>
          <w:sz w:val="24"/>
          <w:szCs w:val="24"/>
          <w:highlight w:val="none"/>
        </w:rPr>
        <w:t>的</w:t>
      </w:r>
      <w:r>
        <w:rPr>
          <w:rFonts w:hint="eastAsia"/>
          <w:color w:val="auto"/>
          <w:sz w:val="24"/>
          <w:szCs w:val="24"/>
          <w:highlight w:val="none"/>
          <w:lang w:val="en-US" w:eastAsia="zh-CN"/>
        </w:rPr>
        <w:t>设计和安装</w:t>
      </w:r>
      <w:r>
        <w:rPr>
          <w:rFonts w:hint="eastAsia"/>
          <w:color w:val="auto"/>
          <w:sz w:val="24"/>
          <w:szCs w:val="24"/>
          <w:highlight w:val="none"/>
        </w:rPr>
        <w:t>、自动控制</w:t>
      </w:r>
      <w:r>
        <w:rPr>
          <w:rFonts w:hint="eastAsia"/>
          <w:color w:val="auto"/>
          <w:sz w:val="24"/>
          <w:szCs w:val="24"/>
          <w:highlight w:val="none"/>
          <w:lang w:val="en-US" w:eastAsia="zh-CN"/>
        </w:rPr>
        <w:t>策略</w:t>
      </w:r>
      <w:r>
        <w:rPr>
          <w:rFonts w:hint="eastAsia"/>
          <w:color w:val="auto"/>
          <w:sz w:val="24"/>
          <w:szCs w:val="24"/>
          <w:highlight w:val="none"/>
        </w:rPr>
        <w:t>及防堵措施等。</w:t>
      </w:r>
      <w:r>
        <w:rPr>
          <w:rFonts w:hint="eastAsia"/>
          <w:color w:val="auto"/>
          <w:sz w:val="24"/>
          <w:szCs w:val="24"/>
          <w:highlight w:val="none"/>
          <w:lang w:val="en-US" w:eastAsia="zh-CN"/>
        </w:rPr>
        <w:t>浆液箱的接口改造属本工程范围。</w:t>
      </w:r>
    </w:p>
    <w:p w14:paraId="333B43D1">
      <w:pPr>
        <w:spacing w:line="360" w:lineRule="auto"/>
        <w:ind w:firstLine="480" w:firstLineChars="200"/>
        <w:rPr>
          <w:rFonts w:hint="eastAsia"/>
          <w:b w:val="0"/>
          <w:color w:val="auto"/>
          <w:sz w:val="24"/>
          <w:highlight w:val="none"/>
        </w:rPr>
      </w:pPr>
      <w:r>
        <w:rPr>
          <w:rFonts w:hint="eastAsia"/>
          <w:color w:val="auto"/>
          <w:sz w:val="24"/>
          <w:szCs w:val="24"/>
          <w:highlight w:val="none"/>
        </w:rPr>
        <w:t xml:space="preserve">    石灰石供浆</w:t>
      </w:r>
      <w:r>
        <w:rPr>
          <w:rFonts w:hint="eastAsia"/>
          <w:color w:val="auto"/>
          <w:sz w:val="24"/>
          <w:szCs w:val="24"/>
          <w:highlight w:val="none"/>
          <w:lang w:val="en-US" w:eastAsia="zh-CN"/>
        </w:rPr>
        <w:t>系统应</w:t>
      </w:r>
      <w:r>
        <w:rPr>
          <w:rFonts w:hint="eastAsia"/>
          <w:color w:val="auto"/>
          <w:sz w:val="24"/>
          <w:szCs w:val="24"/>
          <w:highlight w:val="none"/>
        </w:rPr>
        <w:t>合理设置浆液输送</w:t>
      </w:r>
      <w:r>
        <w:rPr>
          <w:rFonts w:hint="eastAsia"/>
          <w:color w:val="auto"/>
          <w:sz w:val="24"/>
          <w:szCs w:val="24"/>
          <w:highlight w:val="none"/>
          <w:lang w:val="en-US" w:eastAsia="zh-CN"/>
        </w:rPr>
        <w:t>系统</w:t>
      </w:r>
      <w:r>
        <w:rPr>
          <w:rFonts w:hint="eastAsia"/>
          <w:color w:val="auto"/>
          <w:sz w:val="24"/>
          <w:szCs w:val="24"/>
          <w:highlight w:val="none"/>
        </w:rPr>
        <w:t>和</w:t>
      </w:r>
      <w:r>
        <w:rPr>
          <w:rFonts w:hint="eastAsia"/>
          <w:color w:val="auto"/>
          <w:sz w:val="24"/>
          <w:szCs w:val="24"/>
          <w:highlight w:val="none"/>
          <w:lang w:val="en-US" w:eastAsia="zh-CN"/>
        </w:rPr>
        <w:t>大</w:t>
      </w:r>
      <w:r>
        <w:rPr>
          <w:rFonts w:hint="eastAsia"/>
          <w:color w:val="auto"/>
          <w:sz w:val="24"/>
          <w:szCs w:val="24"/>
          <w:highlight w:val="none"/>
          <w:lang w:val="en-US"/>
        </w:rPr>
        <w:t>回流</w:t>
      </w:r>
      <w:r>
        <w:rPr>
          <w:rFonts w:hint="eastAsia"/>
          <w:color w:val="auto"/>
          <w:sz w:val="24"/>
          <w:szCs w:val="24"/>
          <w:highlight w:val="none"/>
          <w:lang w:val="en-US" w:eastAsia="zh-CN"/>
        </w:rPr>
        <w:t>系统</w:t>
      </w:r>
      <w:r>
        <w:rPr>
          <w:rFonts w:hint="eastAsia"/>
          <w:color w:val="auto"/>
          <w:sz w:val="24"/>
          <w:szCs w:val="24"/>
          <w:highlight w:val="none"/>
        </w:rPr>
        <w:t>。供浆量</w:t>
      </w:r>
      <w:r>
        <w:rPr>
          <w:rFonts w:hint="eastAsia"/>
          <w:color w:val="auto"/>
          <w:sz w:val="24"/>
          <w:szCs w:val="24"/>
          <w:highlight w:val="none"/>
          <w:lang w:val="en-US" w:eastAsia="zh-CN"/>
        </w:rPr>
        <w:t>应</w:t>
      </w:r>
      <w:r>
        <w:rPr>
          <w:rFonts w:hint="eastAsia"/>
          <w:color w:val="auto"/>
          <w:sz w:val="24"/>
          <w:szCs w:val="24"/>
          <w:highlight w:val="none"/>
        </w:rPr>
        <w:t>根据吸收塔内浆液的PH值</w:t>
      </w:r>
      <w:r>
        <w:rPr>
          <w:rFonts w:hint="eastAsia"/>
          <w:color w:val="auto"/>
          <w:sz w:val="24"/>
          <w:szCs w:val="24"/>
          <w:highlight w:val="none"/>
          <w:lang w:val="en-US" w:eastAsia="zh-CN"/>
        </w:rPr>
        <w:t>自动补浆，制浆量根据</w:t>
      </w:r>
      <w:r>
        <w:rPr>
          <w:rFonts w:hint="eastAsia"/>
          <w:color w:val="auto"/>
          <w:sz w:val="24"/>
          <w:szCs w:val="24"/>
          <w:highlight w:val="none"/>
        </w:rPr>
        <w:t>吸收塔进口烟气量、进出口SO</w:t>
      </w:r>
      <w:r>
        <w:rPr>
          <w:rFonts w:hint="eastAsia"/>
          <w:color w:val="auto"/>
          <w:sz w:val="24"/>
          <w:szCs w:val="24"/>
          <w:highlight w:val="none"/>
          <w:vertAlign w:val="baseline"/>
        </w:rPr>
        <w:t>2</w:t>
      </w:r>
      <w:r>
        <w:rPr>
          <w:rFonts w:hint="eastAsia"/>
          <w:color w:val="auto"/>
          <w:sz w:val="24"/>
          <w:szCs w:val="24"/>
          <w:highlight w:val="none"/>
        </w:rPr>
        <w:t>浓度、吸收塔内浆液的PH值、以及石灰石浆液浓度，在DCS中通过程序自动进行控制。</w:t>
      </w:r>
    </w:p>
    <w:p w14:paraId="339825B5">
      <w:pPr>
        <w:spacing w:line="360" w:lineRule="auto"/>
        <w:outlineLvl w:val="2"/>
        <w:rPr>
          <w:b/>
          <w:color w:val="auto"/>
          <w:sz w:val="24"/>
          <w:highlight w:val="none"/>
        </w:rPr>
      </w:pPr>
      <w:r>
        <w:rPr>
          <w:b/>
          <w:color w:val="auto"/>
          <w:sz w:val="24"/>
          <w:highlight w:val="none"/>
        </w:rPr>
        <w:t>2.3 烟气系统</w:t>
      </w:r>
    </w:p>
    <w:p w14:paraId="63A29659">
      <w:pPr>
        <w:adjustRightInd w:val="0"/>
        <w:snapToGrid w:val="0"/>
        <w:spacing w:line="360" w:lineRule="auto"/>
        <w:rPr>
          <w:color w:val="auto"/>
          <w:sz w:val="24"/>
          <w:highlight w:val="none"/>
        </w:rPr>
      </w:pPr>
      <w:r>
        <w:rPr>
          <w:color w:val="auto"/>
          <w:sz w:val="24"/>
          <w:highlight w:val="none"/>
        </w:rPr>
        <w:t>2.3.1技术要求</w:t>
      </w:r>
    </w:p>
    <w:p w14:paraId="438BE823">
      <w:pPr>
        <w:numPr>
          <w:ilvl w:val="3"/>
          <w:numId w:val="8"/>
        </w:numPr>
        <w:adjustRightInd w:val="0"/>
        <w:spacing w:line="360" w:lineRule="auto"/>
        <w:textAlignment w:val="baseline"/>
        <w:rPr>
          <w:color w:val="auto"/>
          <w:sz w:val="24"/>
          <w:highlight w:val="none"/>
        </w:rPr>
      </w:pPr>
      <w:r>
        <w:rPr>
          <w:color w:val="auto"/>
          <w:sz w:val="24"/>
          <w:highlight w:val="none"/>
        </w:rPr>
        <w:t>系统概述及主要设计原则</w:t>
      </w:r>
    </w:p>
    <w:p w14:paraId="60845844">
      <w:pPr>
        <w:adjustRightInd w:val="0"/>
        <w:snapToGrid w:val="0"/>
        <w:spacing w:line="360" w:lineRule="auto"/>
        <w:ind w:firstLine="480" w:firstLineChars="200"/>
        <w:rPr>
          <w:color w:val="auto"/>
          <w:sz w:val="24"/>
          <w:highlight w:val="none"/>
        </w:rPr>
      </w:pPr>
      <w:r>
        <w:rPr>
          <w:color w:val="auto"/>
          <w:sz w:val="24"/>
          <w:highlight w:val="none"/>
        </w:rPr>
        <w:t>从锅炉两台引风机后合并烟道引出的烟气，通过事故喷淋装置后进入吸收塔，在吸收塔内脱硫净化，经</w:t>
      </w:r>
      <w:r>
        <w:rPr>
          <w:rFonts w:hint="eastAsia"/>
          <w:color w:val="auto"/>
          <w:sz w:val="24"/>
          <w:highlight w:val="none"/>
          <w:lang w:val="en-US" w:eastAsia="zh-CN"/>
        </w:rPr>
        <w:t>除尘除雾器后</w:t>
      </w:r>
      <w:r>
        <w:rPr>
          <w:color w:val="auto"/>
          <w:sz w:val="24"/>
          <w:highlight w:val="none"/>
        </w:rPr>
        <w:t>，净烟气通过烟囱最终排入大气。</w:t>
      </w:r>
    </w:p>
    <w:p w14:paraId="19AA6052">
      <w:pPr>
        <w:spacing w:line="360" w:lineRule="auto"/>
        <w:ind w:firstLine="480"/>
        <w:rPr>
          <w:color w:val="auto"/>
          <w:sz w:val="24"/>
          <w:highlight w:val="none"/>
        </w:rPr>
      </w:pPr>
      <w:r>
        <w:rPr>
          <w:color w:val="auto"/>
          <w:sz w:val="24"/>
          <w:highlight w:val="none"/>
        </w:rPr>
        <w:t>当锅炉燃用</w:t>
      </w:r>
      <w:r>
        <w:rPr>
          <w:rFonts w:hint="eastAsia"/>
          <w:color w:val="auto"/>
          <w:sz w:val="24"/>
          <w:highlight w:val="none"/>
          <w:lang w:val="en-US" w:eastAsia="zh-CN"/>
        </w:rPr>
        <w:t>设计</w:t>
      </w:r>
      <w:r>
        <w:rPr>
          <w:color w:val="auto"/>
          <w:sz w:val="24"/>
          <w:highlight w:val="none"/>
        </w:rPr>
        <w:t>煤种时，从启动到</w:t>
      </w:r>
      <w:r>
        <w:rPr>
          <w:rFonts w:hint="eastAsia"/>
          <w:color w:val="auto"/>
          <w:sz w:val="24"/>
          <w:highlight w:val="none"/>
          <w:lang w:val="en-US" w:eastAsia="zh-CN"/>
        </w:rPr>
        <w:t>锅炉最大连续</w:t>
      </w:r>
      <w:r>
        <w:rPr>
          <w:color w:val="auto"/>
          <w:sz w:val="24"/>
          <w:highlight w:val="none"/>
          <w:lang w:val="en-US"/>
        </w:rPr>
        <w:t>蒸发量</w:t>
      </w:r>
      <w:r>
        <w:rPr>
          <w:color w:val="auto"/>
          <w:sz w:val="24"/>
          <w:highlight w:val="none"/>
        </w:rPr>
        <w:t>工况条件下，烟气系统都能正常运行。</w:t>
      </w:r>
    </w:p>
    <w:p w14:paraId="6F5C3206">
      <w:pPr>
        <w:spacing w:line="360" w:lineRule="auto"/>
        <w:ind w:firstLine="480"/>
        <w:rPr>
          <w:color w:val="auto"/>
          <w:sz w:val="24"/>
          <w:highlight w:val="none"/>
        </w:rPr>
      </w:pPr>
      <w:r>
        <w:rPr>
          <w:color w:val="auto"/>
          <w:sz w:val="24"/>
          <w:highlight w:val="none"/>
        </w:rPr>
        <w:t>本期工程不设旁路烟道。当锅炉从启动到</w:t>
      </w:r>
      <w:r>
        <w:rPr>
          <w:rFonts w:hint="eastAsia"/>
          <w:color w:val="auto"/>
          <w:sz w:val="24"/>
          <w:highlight w:val="none"/>
          <w:lang w:val="en-US" w:eastAsia="zh-CN"/>
        </w:rPr>
        <w:t>锅炉最大连续</w:t>
      </w:r>
      <w:r>
        <w:rPr>
          <w:color w:val="auto"/>
          <w:sz w:val="24"/>
          <w:highlight w:val="none"/>
          <w:lang w:val="en-US"/>
        </w:rPr>
        <w:t>蒸发量</w:t>
      </w:r>
      <w:r>
        <w:rPr>
          <w:color w:val="auto"/>
          <w:sz w:val="24"/>
          <w:highlight w:val="none"/>
        </w:rPr>
        <w:t>工况条件下，装置的烟气系统都能正常运行，</w:t>
      </w:r>
      <w:r>
        <w:rPr>
          <w:color w:val="auto"/>
          <w:sz w:val="24"/>
          <w:highlight w:val="none"/>
        </w:rPr>
        <w:t>进烟温度加</w:t>
      </w:r>
      <w:r>
        <w:rPr>
          <w:rFonts w:hint="eastAsia"/>
          <w:color w:val="auto"/>
          <w:sz w:val="24"/>
          <w:highlight w:val="none"/>
          <w:lang w:eastAsia="zh-CN"/>
        </w:rPr>
        <w:t>2</w:t>
      </w:r>
      <w:r>
        <w:rPr>
          <w:color w:val="auto"/>
          <w:sz w:val="24"/>
          <w:highlight w:val="none"/>
        </w:rPr>
        <w:t>5℃裕量条件下仍能安全连续运行</w:t>
      </w:r>
      <w:r>
        <w:rPr>
          <w:color w:val="auto"/>
          <w:sz w:val="24"/>
          <w:highlight w:val="none"/>
        </w:rPr>
        <w:t>。</w:t>
      </w:r>
    </w:p>
    <w:p w14:paraId="0E792078">
      <w:pPr>
        <w:spacing w:line="360" w:lineRule="auto"/>
        <w:ind w:firstLine="480"/>
        <w:rPr>
          <w:rFonts w:hint="default" w:eastAsia="宋体"/>
          <w:color w:val="auto"/>
          <w:sz w:val="24"/>
          <w:highlight w:val="none"/>
          <w:lang w:eastAsia="zh-CN"/>
        </w:rPr>
      </w:pPr>
      <w:r>
        <w:rPr>
          <w:rFonts w:hint="default"/>
          <w:color w:val="auto"/>
          <w:sz w:val="24"/>
          <w:highlight w:val="none"/>
          <w:lang w:val="en-US" w:eastAsia="zh-CN"/>
        </w:rPr>
        <w:t>吸收塔入口</w:t>
      </w:r>
      <w:r>
        <w:rPr>
          <w:color w:val="auto"/>
          <w:sz w:val="24"/>
          <w:highlight w:val="none"/>
        </w:rPr>
        <w:t>烟道</w:t>
      </w:r>
      <w:r>
        <w:rPr>
          <w:rFonts w:hint="default"/>
          <w:color w:val="auto"/>
          <w:sz w:val="24"/>
          <w:highlight w:val="none"/>
          <w:lang w:val="en-US" w:eastAsia="zh-CN"/>
        </w:rPr>
        <w:t>全部</w:t>
      </w:r>
      <w:r>
        <w:rPr>
          <w:color w:val="auto"/>
          <w:sz w:val="24"/>
          <w:highlight w:val="none"/>
        </w:rPr>
        <w:t>采用</w:t>
      </w:r>
      <w:r>
        <w:rPr>
          <w:rFonts w:hint="default"/>
          <w:color w:val="auto"/>
          <w:sz w:val="24"/>
          <w:highlight w:val="none"/>
        </w:rPr>
        <w:t>2mm厚度</w:t>
      </w:r>
      <w:bookmarkStart w:id="53" w:name="OLE_LINK10"/>
      <w:r>
        <w:rPr>
          <w:rFonts w:hint="default"/>
          <w:color w:val="auto"/>
          <w:sz w:val="24"/>
          <w:highlight w:val="none"/>
        </w:rPr>
        <w:t>2</w:t>
      </w:r>
      <w:r>
        <w:rPr>
          <w:color w:val="auto"/>
          <w:sz w:val="24"/>
          <w:highlight w:val="none"/>
        </w:rPr>
        <w:t>205</w:t>
      </w:r>
      <w:bookmarkEnd w:id="53"/>
      <w:r>
        <w:rPr>
          <w:color w:val="auto"/>
          <w:sz w:val="24"/>
          <w:highlight w:val="none"/>
        </w:rPr>
        <w:t>贴衬</w:t>
      </w:r>
      <w:r>
        <w:rPr>
          <w:rFonts w:hint="default"/>
          <w:color w:val="auto"/>
          <w:sz w:val="24"/>
          <w:highlight w:val="none"/>
          <w:lang w:eastAsia="zh-CN"/>
        </w:rPr>
        <w:t>。</w:t>
      </w:r>
    </w:p>
    <w:p w14:paraId="0123C8A5">
      <w:pPr>
        <w:spacing w:line="360" w:lineRule="auto"/>
        <w:ind w:firstLine="480"/>
        <w:rPr>
          <w:color w:val="auto"/>
          <w:sz w:val="24"/>
          <w:highlight w:val="none"/>
        </w:rPr>
      </w:pPr>
      <w:r>
        <w:rPr>
          <w:color w:val="auto"/>
          <w:sz w:val="24"/>
          <w:highlight w:val="none"/>
        </w:rPr>
        <w:t>事故状态下，烟气装置的进烟温度不得超过180℃</w:t>
      </w:r>
      <w:r>
        <w:rPr>
          <w:rFonts w:hint="eastAsia"/>
          <w:color w:val="auto"/>
          <w:sz w:val="24"/>
          <w:highlight w:val="none"/>
          <w:lang w:eastAsia="zh-CN"/>
        </w:rPr>
        <w:t>，</w:t>
      </w:r>
      <w:r>
        <w:rPr>
          <w:color w:val="auto"/>
          <w:sz w:val="24"/>
          <w:highlight w:val="none"/>
        </w:rPr>
        <w:t>当温度达到180℃时，系统应启动喷水等保护措施。</w:t>
      </w:r>
    </w:p>
    <w:p w14:paraId="4ABB2B22">
      <w:pPr>
        <w:spacing w:line="360" w:lineRule="auto"/>
        <w:ind w:firstLine="480"/>
        <w:rPr>
          <w:rFonts w:hint="default" w:eastAsia="宋体"/>
          <w:color w:val="auto"/>
          <w:sz w:val="24"/>
          <w:highlight w:val="none"/>
          <w:lang w:val="en-US" w:eastAsia="zh-CN"/>
        </w:rPr>
      </w:pPr>
      <w:r>
        <w:rPr>
          <w:color w:val="auto"/>
          <w:sz w:val="24"/>
          <w:highlight w:val="none"/>
        </w:rPr>
        <w:t>事故喷淋在烟道内部分的管道、支撑</w:t>
      </w:r>
      <w:r>
        <w:rPr>
          <w:rFonts w:hint="default"/>
          <w:color w:val="auto"/>
          <w:sz w:val="24"/>
          <w:highlight w:val="none"/>
          <w:lang w:eastAsia="zh-CN"/>
        </w:rPr>
        <w:t>、</w:t>
      </w:r>
      <w:r>
        <w:rPr>
          <w:color w:val="auto"/>
          <w:sz w:val="24"/>
          <w:highlight w:val="none"/>
        </w:rPr>
        <w:t>喷嘴采用</w:t>
      </w:r>
      <w:r>
        <w:rPr>
          <w:rFonts w:hint="default"/>
          <w:color w:val="auto"/>
          <w:sz w:val="24"/>
          <w:highlight w:val="none"/>
          <w:lang w:val="en-US" w:eastAsia="zh-CN"/>
        </w:rPr>
        <w:t>2205</w:t>
      </w:r>
      <w:r>
        <w:rPr>
          <w:color w:val="auto"/>
          <w:sz w:val="24"/>
          <w:highlight w:val="none"/>
        </w:rPr>
        <w:t>材质</w:t>
      </w:r>
      <w:r>
        <w:rPr>
          <w:rFonts w:hint="default"/>
          <w:color w:val="auto"/>
          <w:sz w:val="24"/>
          <w:highlight w:val="none"/>
          <w:lang w:eastAsia="zh-CN"/>
        </w:rPr>
        <w:t>。</w:t>
      </w:r>
      <w:r>
        <w:rPr>
          <w:color w:val="auto"/>
          <w:sz w:val="24"/>
          <w:highlight w:val="none"/>
        </w:rPr>
        <w:t>事故喷淋</w:t>
      </w:r>
      <w:r>
        <w:rPr>
          <w:rFonts w:hint="eastAsia"/>
          <w:color w:val="auto"/>
          <w:sz w:val="24"/>
          <w:highlight w:val="none"/>
          <w:lang w:val="en-US" w:eastAsia="zh-CN"/>
        </w:rPr>
        <w:t>系统需设计压缩空气自动吹扫系统。</w:t>
      </w:r>
    </w:p>
    <w:p w14:paraId="06E00181">
      <w:pPr>
        <w:spacing w:line="360" w:lineRule="auto"/>
        <w:ind w:firstLine="480"/>
        <w:rPr>
          <w:color w:val="auto"/>
          <w:sz w:val="24"/>
          <w:highlight w:val="none"/>
        </w:rPr>
      </w:pPr>
      <w:r>
        <w:rPr>
          <w:color w:val="auto"/>
          <w:sz w:val="24"/>
          <w:highlight w:val="none"/>
        </w:rPr>
        <w:t>压力表、温度计和烟气分析仪等用于运行和观察的仪表，应安装在烟道上。FGD出口烟道上烟气分析仪的安装位置应满足相关标准&lt;HJ76&gt;的规定。</w:t>
      </w:r>
    </w:p>
    <w:p w14:paraId="0E279C6B">
      <w:pPr>
        <w:spacing w:line="360" w:lineRule="auto"/>
        <w:ind w:firstLine="480"/>
        <w:rPr>
          <w:color w:val="auto"/>
          <w:sz w:val="24"/>
          <w:highlight w:val="none"/>
        </w:rPr>
      </w:pPr>
      <w:r>
        <w:rPr>
          <w:color w:val="auto"/>
          <w:sz w:val="24"/>
          <w:highlight w:val="none"/>
        </w:rPr>
        <w:t>在烟气系统中，应设有人孔以及必要的疏水门。应提供所有烟道和膨胀节等的保温和保护层的设计。</w:t>
      </w:r>
    </w:p>
    <w:p w14:paraId="206BA926">
      <w:pPr>
        <w:numPr>
          <w:ilvl w:val="3"/>
          <w:numId w:val="8"/>
        </w:numPr>
        <w:adjustRightInd w:val="0"/>
        <w:spacing w:line="360" w:lineRule="auto"/>
        <w:textAlignment w:val="baseline"/>
        <w:rPr>
          <w:color w:val="auto"/>
          <w:kern w:val="0"/>
          <w:sz w:val="24"/>
          <w:highlight w:val="none"/>
        </w:rPr>
      </w:pPr>
      <w:r>
        <w:rPr>
          <w:color w:val="auto"/>
          <w:sz w:val="24"/>
          <w:highlight w:val="none"/>
        </w:rPr>
        <w:t>主要设备技术要求</w:t>
      </w:r>
    </w:p>
    <w:p w14:paraId="4196C0FB">
      <w:pPr>
        <w:numPr>
          <w:ilvl w:val="4"/>
          <w:numId w:val="8"/>
        </w:numPr>
        <w:adjustRightInd w:val="0"/>
        <w:spacing w:line="360" w:lineRule="auto"/>
        <w:textAlignment w:val="baseline"/>
        <w:rPr>
          <w:color w:val="auto"/>
          <w:sz w:val="24"/>
          <w:highlight w:val="none"/>
        </w:rPr>
      </w:pPr>
      <w:r>
        <w:rPr>
          <w:color w:val="auto"/>
          <w:sz w:val="24"/>
          <w:highlight w:val="none"/>
        </w:rPr>
        <w:t>烟道</w:t>
      </w:r>
    </w:p>
    <w:p w14:paraId="427F3AA6">
      <w:pPr>
        <w:spacing w:line="360" w:lineRule="auto"/>
        <w:ind w:firstLine="480"/>
        <w:rPr>
          <w:color w:val="auto"/>
          <w:sz w:val="24"/>
          <w:highlight w:val="none"/>
        </w:rPr>
      </w:pPr>
      <w:r>
        <w:rPr>
          <w:color w:val="auto"/>
          <w:sz w:val="24"/>
          <w:highlight w:val="none"/>
        </w:rPr>
        <w:t>烟道设计应遵照中国《火力发电厂烟风煤粉管道设计技术规程》及其条文说明。</w:t>
      </w:r>
    </w:p>
    <w:p w14:paraId="55897E82">
      <w:pPr>
        <w:spacing w:line="360" w:lineRule="auto"/>
        <w:ind w:firstLine="480"/>
        <w:rPr>
          <w:color w:val="auto"/>
          <w:sz w:val="24"/>
          <w:highlight w:val="none"/>
        </w:rPr>
      </w:pPr>
      <w:r>
        <w:rPr>
          <w:color w:val="auto"/>
          <w:sz w:val="24"/>
          <w:highlight w:val="none"/>
        </w:rPr>
        <w:t>烟道应根据可能发生的最差运行条件（例如：温度、压力、流量、污染物含量等）进行设计。</w:t>
      </w:r>
    </w:p>
    <w:p w14:paraId="6E20D9D3">
      <w:pPr>
        <w:spacing w:line="360" w:lineRule="auto"/>
        <w:ind w:firstLine="480"/>
        <w:rPr>
          <w:color w:val="auto"/>
          <w:sz w:val="24"/>
          <w:highlight w:val="none"/>
        </w:rPr>
      </w:pPr>
      <w:r>
        <w:rPr>
          <w:color w:val="auto"/>
          <w:sz w:val="24"/>
          <w:highlight w:val="none"/>
        </w:rPr>
        <w:t>烟道设计应能够承受如下负荷：烟道自重、风荷载、地震荷载、灰尘积聚、内衬和保温的重量等。</w:t>
      </w:r>
    </w:p>
    <w:p w14:paraId="60EF6683">
      <w:pPr>
        <w:spacing w:line="360" w:lineRule="auto"/>
        <w:ind w:firstLine="480"/>
        <w:rPr>
          <w:color w:val="auto"/>
          <w:sz w:val="24"/>
          <w:highlight w:val="none"/>
        </w:rPr>
      </w:pPr>
      <w:r>
        <w:rPr>
          <w:rFonts w:hint="default"/>
          <w:color w:val="auto"/>
          <w:sz w:val="24"/>
          <w:highlight w:val="none"/>
          <w:lang w:val="en-US" w:eastAsia="zh-CN"/>
        </w:rPr>
        <w:t>吸收塔入口1.5m范围</w:t>
      </w:r>
      <w:r>
        <w:rPr>
          <w:color w:val="auto"/>
          <w:sz w:val="24"/>
          <w:highlight w:val="none"/>
        </w:rPr>
        <w:t>烟道</w:t>
      </w:r>
      <w:r>
        <w:rPr>
          <w:rFonts w:hint="default"/>
          <w:color w:val="auto"/>
          <w:sz w:val="24"/>
          <w:highlight w:val="none"/>
          <w:lang w:val="en-US" w:eastAsia="zh-CN"/>
        </w:rPr>
        <w:t>壁厚不小于8mm（含衬2205）,其余烟道</w:t>
      </w:r>
      <w:r>
        <w:rPr>
          <w:color w:val="auto"/>
          <w:sz w:val="24"/>
          <w:highlight w:val="none"/>
        </w:rPr>
        <w:t>最小壁厚至少按6mm设计，并应考虑一定的腐蚀余量。烟道内烟气流速不超过1</w:t>
      </w:r>
      <w:r>
        <w:rPr>
          <w:rFonts w:hint="default"/>
          <w:color w:val="auto"/>
          <w:sz w:val="24"/>
          <w:highlight w:val="none"/>
          <w:lang w:val="en-US" w:eastAsia="zh-CN"/>
        </w:rPr>
        <w:t>2</w:t>
      </w:r>
      <w:r>
        <w:rPr>
          <w:color w:val="auto"/>
          <w:sz w:val="24"/>
          <w:highlight w:val="none"/>
        </w:rPr>
        <w:t>m/s。</w:t>
      </w:r>
    </w:p>
    <w:p w14:paraId="18120915">
      <w:pPr>
        <w:spacing w:line="360" w:lineRule="auto"/>
        <w:ind w:firstLine="480"/>
        <w:rPr>
          <w:color w:val="auto"/>
          <w:sz w:val="24"/>
          <w:highlight w:val="none"/>
        </w:rPr>
      </w:pPr>
      <w:r>
        <w:rPr>
          <w:color w:val="auto"/>
          <w:sz w:val="24"/>
          <w:highlight w:val="none"/>
        </w:rPr>
        <w:t>烟道应是具有气密性的焊接结构，所有非法兰连接的接口都应进行连续焊接。</w:t>
      </w:r>
    </w:p>
    <w:p w14:paraId="0A2F081E">
      <w:pPr>
        <w:spacing w:line="360" w:lineRule="auto"/>
        <w:ind w:firstLine="480"/>
        <w:rPr>
          <w:color w:val="auto"/>
          <w:sz w:val="24"/>
          <w:highlight w:val="none"/>
        </w:rPr>
      </w:pPr>
      <w:r>
        <w:rPr>
          <w:rFonts w:hint="eastAsia"/>
          <w:color w:val="auto"/>
          <w:sz w:val="24"/>
          <w:highlight w:val="none"/>
          <w:lang w:bidi="ar"/>
        </w:rPr>
        <w:t>所有不可能接触到低温饱和烟气冷凝液或从吸收塔带来的雾气和液滴的烟道，用碳钢或相当材料制作，</w:t>
      </w:r>
      <w:r>
        <w:rPr>
          <w:color w:val="auto"/>
          <w:sz w:val="24"/>
          <w:highlight w:val="none"/>
        </w:rPr>
        <w:t>所有可能接触到低温饱和烟气冷凝液或从吸收塔带来的雾气和液滴的烟道，</w:t>
      </w:r>
      <w:r>
        <w:rPr>
          <w:rFonts w:hint="eastAsia"/>
          <w:color w:val="auto"/>
          <w:sz w:val="24"/>
          <w:highlight w:val="none"/>
          <w:lang w:bidi="ar"/>
        </w:rPr>
        <w:t>必须采用阻燃型玻璃鳞片或其他阻燃耐腐蚀材料进行防腐保护</w:t>
      </w:r>
      <w:r>
        <w:rPr>
          <w:color w:val="auto"/>
          <w:sz w:val="24"/>
          <w:highlight w:val="none"/>
        </w:rPr>
        <w:t>。</w:t>
      </w:r>
    </w:p>
    <w:p w14:paraId="0D4DCF2E">
      <w:pPr>
        <w:spacing w:line="360" w:lineRule="auto"/>
        <w:ind w:firstLine="480"/>
        <w:rPr>
          <w:color w:val="auto"/>
          <w:sz w:val="24"/>
          <w:highlight w:val="none"/>
        </w:rPr>
      </w:pPr>
      <w:r>
        <w:rPr>
          <w:color w:val="auto"/>
          <w:sz w:val="24"/>
          <w:highlight w:val="none"/>
        </w:rPr>
        <w:t>烟道的布置应能确保冷凝液的排放，不允许有水或冷凝液的聚积，因此，烟道要提供低位点的排水和预防冷凝液的聚积措施，任何情况下膨胀节和挡板都不能布置在低位点。</w:t>
      </w:r>
    </w:p>
    <w:p w14:paraId="3A0116CC">
      <w:pPr>
        <w:spacing w:line="360" w:lineRule="auto"/>
        <w:ind w:firstLine="480"/>
        <w:rPr>
          <w:color w:val="auto"/>
          <w:sz w:val="24"/>
          <w:highlight w:val="none"/>
        </w:rPr>
      </w:pPr>
      <w:r>
        <w:rPr>
          <w:color w:val="auto"/>
          <w:sz w:val="24"/>
          <w:highlight w:val="none"/>
        </w:rPr>
        <w:t>排水设施的容量应按</w:t>
      </w:r>
      <w:r>
        <w:rPr>
          <w:rFonts w:hint="eastAsia"/>
          <w:color w:val="auto"/>
          <w:sz w:val="24"/>
          <w:highlight w:val="none"/>
          <w:lang w:val="en-US" w:eastAsia="zh-CN"/>
        </w:rPr>
        <w:t>充足</w:t>
      </w:r>
      <w:r>
        <w:rPr>
          <w:color w:val="auto"/>
          <w:sz w:val="24"/>
          <w:highlight w:val="none"/>
        </w:rPr>
        <w:t>的流量设计，排水设施应由合金材料制作。排水将返回到FGD排水坑或吸收塔浆池。</w:t>
      </w:r>
    </w:p>
    <w:p w14:paraId="1DD5F99F">
      <w:pPr>
        <w:spacing w:line="360" w:lineRule="auto"/>
        <w:ind w:firstLine="480"/>
        <w:rPr>
          <w:color w:val="auto"/>
          <w:sz w:val="24"/>
          <w:highlight w:val="none"/>
        </w:rPr>
      </w:pPr>
      <w:r>
        <w:rPr>
          <w:color w:val="auto"/>
          <w:sz w:val="24"/>
          <w:highlight w:val="none"/>
        </w:rPr>
        <w:t>烟道外部要充分加固和支撑，以防止颤动和振动，并且设计应满足在各种烟气温度和压力下（包括层化和不均匀时），能提供稳定的运行。</w:t>
      </w:r>
    </w:p>
    <w:p w14:paraId="0E33D840">
      <w:pPr>
        <w:spacing w:line="360" w:lineRule="auto"/>
        <w:ind w:firstLine="480"/>
        <w:rPr>
          <w:color w:val="auto"/>
          <w:sz w:val="24"/>
          <w:highlight w:val="none"/>
        </w:rPr>
      </w:pPr>
      <w:r>
        <w:rPr>
          <w:color w:val="auto"/>
          <w:sz w:val="24"/>
          <w:highlight w:val="none"/>
        </w:rPr>
        <w:t>所有需防腐保护的烟道尽可能采用外部加强筋。烟道外部加强筋应统一间隔排列。加强筋使用统一的规格尺寸或尽量减少加强筋的规格尺寸，以便使敷设在加强筋上的保温层易于安装，并且整齐划一，加强筋的布置要防止积水。</w:t>
      </w:r>
    </w:p>
    <w:p w14:paraId="03907F7C">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color w:val="auto"/>
          <w:sz w:val="24"/>
          <w:szCs w:val="24"/>
          <w:highlight w:val="none"/>
        </w:rPr>
      </w:pPr>
      <w:r>
        <w:rPr>
          <w:color w:val="auto"/>
          <w:sz w:val="24"/>
          <w:szCs w:val="24"/>
          <w:highlight w:val="none"/>
        </w:rPr>
        <w:t>烟气系统的设计必须保证灰尘在烟道的沉积不会对运行产生影响。对于烟道中粉尘的聚集，应考虑附加的积灰荷重。</w:t>
      </w:r>
    </w:p>
    <w:p w14:paraId="22865853">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color w:val="auto"/>
          <w:sz w:val="24"/>
          <w:szCs w:val="24"/>
          <w:highlight w:val="none"/>
        </w:rPr>
      </w:pPr>
      <w:r>
        <w:rPr>
          <w:color w:val="auto"/>
          <w:sz w:val="24"/>
          <w:szCs w:val="24"/>
          <w:highlight w:val="none"/>
        </w:rPr>
        <w:t>所有烟道应在适当位置配有足够数量和大小的人孔门，以便于烟道的维修和检查以及清除积灰。另外，人孔门应与烟道壁分开保温，以便于开启。人孔门外面需有操作平台</w:t>
      </w:r>
      <w:r>
        <w:rPr>
          <w:rFonts w:hint="eastAsia"/>
          <w:color w:val="auto"/>
          <w:sz w:val="24"/>
          <w:szCs w:val="24"/>
          <w:highlight w:val="none"/>
        </w:rPr>
        <w:t>。</w:t>
      </w:r>
      <w:r>
        <w:rPr>
          <w:color w:val="auto"/>
          <w:sz w:val="24"/>
          <w:szCs w:val="24"/>
          <w:highlight w:val="none"/>
        </w:rPr>
        <w:t>烟道的设计应尽量减小烟道系统的压降，其布置、形状和内部件（如导流板和转弯处导向板）等均应进行优化设计。</w:t>
      </w:r>
    </w:p>
    <w:p w14:paraId="763E7063">
      <w:pPr>
        <w:spacing w:line="360" w:lineRule="auto"/>
        <w:ind w:firstLine="480"/>
        <w:rPr>
          <w:color w:val="auto"/>
          <w:sz w:val="24"/>
          <w:highlight w:val="none"/>
        </w:rPr>
      </w:pPr>
      <w:r>
        <w:rPr>
          <w:color w:val="auto"/>
          <w:sz w:val="24"/>
          <w:highlight w:val="none"/>
        </w:rPr>
        <w:t>在外削角急转弯头和变截面收缩急转弯头处，</w:t>
      </w:r>
      <w:r>
        <w:rPr>
          <w:rFonts w:hint="eastAsia"/>
          <w:color w:val="auto"/>
          <w:sz w:val="24"/>
          <w:highlight w:val="none"/>
          <w:lang w:eastAsia="zh-CN"/>
        </w:rPr>
        <w:t>投标方</w:t>
      </w:r>
      <w:r>
        <w:rPr>
          <w:color w:val="auto"/>
          <w:sz w:val="24"/>
          <w:highlight w:val="none"/>
        </w:rPr>
        <w:t>应根据烟气流动模型研究结果，设置导流板。</w:t>
      </w:r>
    </w:p>
    <w:p w14:paraId="7EEBF12E">
      <w:pPr>
        <w:spacing w:line="360" w:lineRule="auto"/>
        <w:ind w:firstLine="480"/>
        <w:rPr>
          <w:color w:val="auto"/>
          <w:sz w:val="24"/>
          <w:highlight w:val="none"/>
        </w:rPr>
      </w:pPr>
      <w:r>
        <w:rPr>
          <w:color w:val="auto"/>
          <w:sz w:val="24"/>
          <w:highlight w:val="none"/>
        </w:rPr>
        <w:t>为了使与烟道连接的设备的受力在允许范围内，热膨胀应通过膨胀节吸收。</w:t>
      </w:r>
    </w:p>
    <w:p w14:paraId="1855EEF4">
      <w:pPr>
        <w:spacing w:line="360" w:lineRule="auto"/>
        <w:ind w:firstLine="480" w:firstLineChars="200"/>
        <w:rPr>
          <w:color w:val="auto"/>
          <w:sz w:val="24"/>
          <w:highlight w:val="none"/>
        </w:rPr>
      </w:pPr>
      <w:r>
        <w:rPr>
          <w:color w:val="auto"/>
          <w:sz w:val="24"/>
          <w:highlight w:val="none"/>
        </w:rPr>
        <w:t>烟道的滑动支架，其滑动底板使用聚四氟乙烯组件。</w:t>
      </w:r>
    </w:p>
    <w:p w14:paraId="3CA33D72">
      <w:pPr>
        <w:spacing w:line="360" w:lineRule="auto"/>
        <w:ind w:firstLine="480" w:firstLineChars="200"/>
        <w:rPr>
          <w:color w:val="auto"/>
          <w:sz w:val="24"/>
          <w:highlight w:val="none"/>
        </w:rPr>
      </w:pPr>
      <w:r>
        <w:rPr>
          <w:color w:val="auto"/>
          <w:sz w:val="24"/>
          <w:highlight w:val="none"/>
        </w:rPr>
        <w:t>本工程未设置烟气旁路，必须设置事故烟气冷却系统。一路水源由脱硫的</w:t>
      </w:r>
      <w:r>
        <w:rPr>
          <w:rFonts w:hint="default"/>
          <w:color w:val="auto"/>
          <w:sz w:val="24"/>
          <w:highlight w:val="none"/>
          <w:lang w:val="en-US" w:eastAsia="zh-CN"/>
        </w:rPr>
        <w:t>除雾器冲洗水泵</w:t>
      </w:r>
      <w:r>
        <w:rPr>
          <w:color w:val="auto"/>
          <w:sz w:val="24"/>
          <w:highlight w:val="none"/>
        </w:rPr>
        <w:t>提供，一路由</w:t>
      </w:r>
      <w:r>
        <w:rPr>
          <w:rFonts w:hint="default"/>
          <w:color w:val="auto"/>
          <w:sz w:val="24"/>
          <w:highlight w:val="none"/>
          <w:lang w:val="en-US" w:eastAsia="zh-CN"/>
        </w:rPr>
        <w:t>事故喷淋柴油泵</w:t>
      </w:r>
      <w:r>
        <w:rPr>
          <w:color w:val="auto"/>
          <w:sz w:val="24"/>
          <w:highlight w:val="none"/>
        </w:rPr>
        <w:t>提供。</w:t>
      </w:r>
      <w:r>
        <w:rPr>
          <w:rFonts w:hint="default"/>
          <w:color w:val="auto"/>
          <w:sz w:val="24"/>
          <w:highlight w:val="none"/>
          <w:lang w:val="en-US" w:eastAsia="zh-CN"/>
        </w:rPr>
        <w:t>原有事故喷淋柴油泵30m</w:t>
      </w:r>
      <w:r>
        <w:rPr>
          <w:rFonts w:hint="default" w:ascii="Times New Roman" w:hAnsi="Times New Roman" w:eastAsia="宋体" w:cs="Times New Roman"/>
          <w:color w:val="auto"/>
          <w:sz w:val="24"/>
          <w:szCs w:val="24"/>
          <w:highlight w:val="none"/>
          <w:vertAlign w:val="baseline"/>
          <w:lang w:val="en-US" w:eastAsia="zh-CN"/>
        </w:rPr>
        <w:t>3</w:t>
      </w:r>
      <w:r>
        <w:rPr>
          <w:rFonts w:hint="default"/>
          <w:color w:val="auto"/>
          <w:sz w:val="24"/>
          <w:highlight w:val="none"/>
          <w:lang w:val="en-US" w:eastAsia="zh-CN"/>
        </w:rPr>
        <w:t>/h，扬程50米，#2、#3炉共用。投标方负责核算事故喷淋柴油泵容量是否满足3台炉所需，如不满足，负责设计。</w:t>
      </w:r>
      <w:r>
        <w:rPr>
          <w:color w:val="auto"/>
          <w:sz w:val="24"/>
          <w:highlight w:val="none"/>
        </w:rPr>
        <w:t>事故烟气冷却系统应满足FGD系统入口烟气温度及烟气流量的变化范围，预防脱硫设施因烟气温度超温引起的破坏。</w:t>
      </w:r>
    </w:p>
    <w:p w14:paraId="1FDDAD80">
      <w:pPr>
        <w:spacing w:line="360" w:lineRule="auto"/>
        <w:ind w:firstLine="480" w:firstLineChars="200"/>
        <w:rPr>
          <w:color w:val="auto"/>
          <w:sz w:val="24"/>
          <w:highlight w:val="none"/>
        </w:rPr>
      </w:pPr>
      <w:r>
        <w:rPr>
          <w:rFonts w:hint="default"/>
          <w:bCs w:val="0"/>
          <w:color w:val="auto"/>
          <w:sz w:val="24"/>
          <w:highlight w:val="none"/>
        </w:rPr>
        <w:t>吸收塔出口烟道均采用阻燃性玻璃鳞片防腐。</w:t>
      </w:r>
    </w:p>
    <w:p w14:paraId="4D6C603D">
      <w:pPr>
        <w:numPr>
          <w:ilvl w:val="4"/>
          <w:numId w:val="8"/>
        </w:numPr>
        <w:adjustRightInd w:val="0"/>
        <w:spacing w:line="360" w:lineRule="auto"/>
        <w:textAlignment w:val="baseline"/>
        <w:rPr>
          <w:color w:val="auto"/>
          <w:sz w:val="24"/>
          <w:highlight w:val="none"/>
        </w:rPr>
      </w:pPr>
      <w:r>
        <w:rPr>
          <w:color w:val="auto"/>
          <w:sz w:val="24"/>
          <w:highlight w:val="none"/>
        </w:rPr>
        <w:t>膨胀节</w:t>
      </w:r>
    </w:p>
    <w:p w14:paraId="15F63423">
      <w:pPr>
        <w:spacing w:line="360" w:lineRule="auto"/>
        <w:ind w:firstLine="480" w:firstLineChars="200"/>
        <w:rPr>
          <w:color w:val="auto"/>
          <w:sz w:val="24"/>
          <w:highlight w:val="none"/>
        </w:rPr>
      </w:pPr>
      <w:r>
        <w:rPr>
          <w:color w:val="auto"/>
          <w:sz w:val="24"/>
          <w:highlight w:val="none"/>
        </w:rPr>
        <w:t>膨胀节用于补偿烟道热膨胀引起的位移。膨胀节在所有运行和事故条件下都应能吸收全部连接设备和烟道的轴向、径向位移。</w:t>
      </w:r>
    </w:p>
    <w:p w14:paraId="25EF890A">
      <w:pPr>
        <w:spacing w:line="360" w:lineRule="auto"/>
        <w:ind w:firstLine="480" w:firstLineChars="200"/>
        <w:rPr>
          <w:color w:val="auto"/>
          <w:sz w:val="24"/>
          <w:highlight w:val="none"/>
        </w:rPr>
      </w:pPr>
      <w:r>
        <w:rPr>
          <w:color w:val="auto"/>
          <w:sz w:val="24"/>
          <w:highlight w:val="none"/>
        </w:rPr>
        <w:t>所有膨胀节的设计应无泄漏，并且能承受系统最大设计正压/负压再加上1kPa余量的压力。</w:t>
      </w:r>
    </w:p>
    <w:p w14:paraId="7F08742C">
      <w:pPr>
        <w:spacing w:line="360" w:lineRule="auto"/>
        <w:ind w:firstLine="480" w:firstLineChars="200"/>
        <w:rPr>
          <w:color w:val="auto"/>
          <w:sz w:val="24"/>
          <w:highlight w:val="none"/>
        </w:rPr>
      </w:pPr>
      <w:r>
        <w:rPr>
          <w:color w:val="auto"/>
          <w:sz w:val="24"/>
          <w:highlight w:val="none"/>
        </w:rPr>
        <w:t>低温烟道上的膨胀节应考虑防腐要求。</w:t>
      </w:r>
    </w:p>
    <w:p w14:paraId="538FCCA4">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应选择可靠的和有良好使用业绩的膨胀节型式。</w:t>
      </w:r>
    </w:p>
    <w:p w14:paraId="3AE7D2BD">
      <w:pPr>
        <w:spacing w:line="360" w:lineRule="auto"/>
        <w:ind w:firstLine="480" w:firstLineChars="200"/>
        <w:rPr>
          <w:color w:val="auto"/>
          <w:sz w:val="24"/>
          <w:highlight w:val="none"/>
        </w:rPr>
      </w:pPr>
      <w:r>
        <w:rPr>
          <w:color w:val="auto"/>
          <w:sz w:val="24"/>
          <w:highlight w:val="none"/>
        </w:rPr>
        <w:t>非金属膨胀节的材料宜采用氟化橡胶。</w:t>
      </w:r>
    </w:p>
    <w:p w14:paraId="4929C9D3">
      <w:pPr>
        <w:spacing w:line="360" w:lineRule="auto"/>
        <w:ind w:firstLine="480" w:firstLineChars="200"/>
        <w:rPr>
          <w:color w:val="auto"/>
          <w:sz w:val="24"/>
          <w:highlight w:val="none"/>
        </w:rPr>
      </w:pPr>
      <w:r>
        <w:rPr>
          <w:color w:val="auto"/>
          <w:sz w:val="24"/>
          <w:highlight w:val="none"/>
        </w:rPr>
        <w:t>膨胀节不允许采用由石棉材料做的纤维波纹管。</w:t>
      </w:r>
    </w:p>
    <w:p w14:paraId="0520A3B2">
      <w:pPr>
        <w:spacing w:line="360" w:lineRule="auto"/>
        <w:ind w:firstLine="480" w:firstLineChars="200"/>
        <w:rPr>
          <w:color w:val="auto"/>
          <w:sz w:val="24"/>
          <w:highlight w:val="none"/>
        </w:rPr>
      </w:pPr>
      <w:r>
        <w:rPr>
          <w:color w:val="auto"/>
          <w:sz w:val="24"/>
          <w:highlight w:val="none"/>
        </w:rPr>
        <w:t>应采取措施防止灰尘沉积在膨胀节波纹处。</w:t>
      </w:r>
    </w:p>
    <w:p w14:paraId="54FB1A72">
      <w:pPr>
        <w:spacing w:line="360" w:lineRule="auto"/>
        <w:ind w:firstLine="480" w:firstLineChars="200"/>
        <w:rPr>
          <w:color w:val="auto"/>
          <w:sz w:val="24"/>
          <w:highlight w:val="none"/>
        </w:rPr>
      </w:pPr>
      <w:r>
        <w:rPr>
          <w:color w:val="auto"/>
          <w:sz w:val="24"/>
          <w:highlight w:val="none"/>
        </w:rPr>
        <w:t>膨胀节应根据烟气的特性保温，其结构应采用可拆卸式，以便于检修。</w:t>
      </w:r>
    </w:p>
    <w:p w14:paraId="1E95A659">
      <w:pPr>
        <w:spacing w:line="360" w:lineRule="auto"/>
        <w:ind w:firstLine="480"/>
        <w:rPr>
          <w:color w:val="auto"/>
          <w:sz w:val="24"/>
          <w:highlight w:val="none"/>
        </w:rPr>
      </w:pPr>
      <w:r>
        <w:rPr>
          <w:color w:val="auto"/>
          <w:sz w:val="24"/>
          <w:highlight w:val="none"/>
        </w:rPr>
        <w:t>接触湿烟气并位于水平烟道段的膨胀节应通过膨胀节框架排水，排水孔位于水平烟道段的中心线上。排水配件应能满足运行环境要求，由防腐材料制做，排水应至FGD区域的排水坑。</w:t>
      </w:r>
    </w:p>
    <w:p w14:paraId="31CED156">
      <w:pPr>
        <w:snapToGrid w:val="0"/>
        <w:spacing w:line="360" w:lineRule="auto"/>
        <w:ind w:firstLine="480" w:firstLineChars="200"/>
        <w:jc w:val="left"/>
        <w:rPr>
          <w:snapToGrid w:val="0"/>
          <w:color w:val="auto"/>
          <w:sz w:val="24"/>
          <w:highlight w:val="none"/>
        </w:rPr>
      </w:pPr>
      <w:r>
        <w:rPr>
          <w:snapToGrid w:val="0"/>
          <w:color w:val="auto"/>
          <w:sz w:val="24"/>
          <w:highlight w:val="none"/>
        </w:rPr>
        <w:t>所有膨胀节框架应有同样的螺孔间距，间距不超过100mm。</w:t>
      </w:r>
    </w:p>
    <w:p w14:paraId="4CE05AC9">
      <w:pPr>
        <w:snapToGrid w:val="0"/>
        <w:spacing w:line="360" w:lineRule="auto"/>
        <w:ind w:left="1" w:firstLine="480" w:firstLineChars="200"/>
        <w:jc w:val="left"/>
        <w:rPr>
          <w:snapToGrid w:val="0"/>
          <w:color w:val="auto"/>
          <w:sz w:val="24"/>
          <w:highlight w:val="none"/>
        </w:rPr>
      </w:pPr>
      <w:r>
        <w:rPr>
          <w:snapToGrid w:val="0"/>
          <w:color w:val="auto"/>
          <w:sz w:val="24"/>
          <w:highlight w:val="none"/>
        </w:rPr>
        <w:t>膨胀节框架将以相同半径波节连续布置，不允许使用铸模波节膨胀节。用螺栓、螺母和垫圈把纤维紧固在框架上，不允许使用双头螺栓。框架深度最小是200mm，而且最小要留80mm的余地以便于拆换膨胀节的螺栓、螺母和垫圈。</w:t>
      </w:r>
    </w:p>
    <w:p w14:paraId="204E4E97">
      <w:pPr>
        <w:snapToGrid w:val="0"/>
        <w:spacing w:line="360" w:lineRule="auto"/>
        <w:ind w:left="1" w:firstLine="480" w:firstLineChars="200"/>
        <w:jc w:val="left"/>
        <w:rPr>
          <w:rFonts w:hint="eastAsia" w:eastAsia="宋体"/>
          <w:snapToGrid w:val="0"/>
          <w:color w:val="auto"/>
          <w:sz w:val="24"/>
          <w:highlight w:val="none"/>
          <w:lang w:val="en-US" w:eastAsia="zh-CN"/>
        </w:rPr>
      </w:pPr>
      <w:r>
        <w:rPr>
          <w:snapToGrid w:val="0"/>
          <w:color w:val="auto"/>
          <w:sz w:val="24"/>
          <w:highlight w:val="none"/>
        </w:rPr>
        <w:t>螺栓、螺母和垫圈</w:t>
      </w:r>
      <w:r>
        <w:rPr>
          <w:rFonts w:hint="eastAsia"/>
          <w:snapToGrid w:val="0"/>
          <w:color w:val="auto"/>
          <w:sz w:val="24"/>
          <w:highlight w:val="none"/>
          <w:lang w:val="en-US" w:eastAsia="zh-CN"/>
        </w:rPr>
        <w:t>材质不低于2205，</w:t>
      </w:r>
      <w:r>
        <w:rPr>
          <w:snapToGrid w:val="0"/>
          <w:color w:val="auto"/>
          <w:sz w:val="24"/>
          <w:highlight w:val="none"/>
        </w:rPr>
        <w:t>膨胀节</w:t>
      </w:r>
      <w:r>
        <w:rPr>
          <w:rFonts w:hint="eastAsia"/>
          <w:snapToGrid w:val="0"/>
          <w:color w:val="auto"/>
          <w:sz w:val="24"/>
          <w:highlight w:val="none"/>
          <w:lang w:val="en-US" w:eastAsia="zh-CN"/>
        </w:rPr>
        <w:t>压边材料采用厚不小于6mm2205扁铁</w:t>
      </w:r>
      <w:r>
        <w:rPr>
          <w:snapToGrid w:val="0"/>
          <w:color w:val="auto"/>
          <w:sz w:val="24"/>
          <w:highlight w:val="none"/>
        </w:rPr>
        <w:t>。</w:t>
      </w:r>
    </w:p>
    <w:p w14:paraId="7F328E99">
      <w:pPr>
        <w:snapToGrid w:val="0"/>
        <w:spacing w:line="360" w:lineRule="auto"/>
        <w:ind w:left="1" w:firstLine="480" w:firstLineChars="200"/>
        <w:jc w:val="left"/>
        <w:rPr>
          <w:snapToGrid w:val="0"/>
          <w:color w:val="auto"/>
          <w:sz w:val="24"/>
          <w:highlight w:val="none"/>
        </w:rPr>
      </w:pPr>
      <w:r>
        <w:rPr>
          <w:snapToGrid w:val="0"/>
          <w:color w:val="auto"/>
          <w:sz w:val="24"/>
          <w:highlight w:val="none"/>
        </w:rPr>
        <w:t>最少应在膨胀节每边提供1m的净空，包括平台扶梯和钢结构通道的距离。</w:t>
      </w:r>
    </w:p>
    <w:p w14:paraId="4BFFD93D">
      <w:pPr>
        <w:snapToGrid w:val="0"/>
        <w:spacing w:line="360" w:lineRule="auto"/>
        <w:ind w:left="1" w:firstLine="480" w:firstLineChars="200"/>
        <w:jc w:val="left"/>
        <w:rPr>
          <w:snapToGrid w:val="0"/>
          <w:color w:val="auto"/>
          <w:sz w:val="24"/>
          <w:highlight w:val="none"/>
        </w:rPr>
      </w:pPr>
      <w:r>
        <w:rPr>
          <w:snapToGrid w:val="0"/>
          <w:color w:val="auto"/>
          <w:sz w:val="24"/>
          <w:highlight w:val="none"/>
        </w:rPr>
        <w:t>膨胀节及与烟道的密封应有100％严密性。膨胀节的法兰应密封焊在烟道上。</w:t>
      </w:r>
    </w:p>
    <w:p w14:paraId="2BFC44DD">
      <w:pPr>
        <w:snapToGrid w:val="0"/>
        <w:spacing w:line="360" w:lineRule="auto"/>
        <w:ind w:left="1" w:firstLine="480" w:firstLineChars="200"/>
        <w:jc w:val="left"/>
        <w:rPr>
          <w:snapToGrid w:val="0"/>
          <w:color w:val="auto"/>
          <w:sz w:val="24"/>
          <w:highlight w:val="none"/>
        </w:rPr>
      </w:pPr>
      <w:r>
        <w:rPr>
          <w:color w:val="auto"/>
          <w:sz w:val="24"/>
          <w:highlight w:val="none"/>
        </w:rPr>
        <w:t>膨胀节与烟道的连接采用螺栓法兰连接，以确保膨胀节的可更换性。</w:t>
      </w:r>
    </w:p>
    <w:p w14:paraId="25023833">
      <w:pPr>
        <w:snapToGrid w:val="0"/>
        <w:spacing w:line="360" w:lineRule="auto"/>
        <w:ind w:left="1" w:firstLine="480" w:firstLineChars="200"/>
        <w:jc w:val="left"/>
        <w:rPr>
          <w:color w:val="auto"/>
          <w:sz w:val="24"/>
          <w:highlight w:val="none"/>
        </w:rPr>
      </w:pPr>
      <w:r>
        <w:rPr>
          <w:color w:val="auto"/>
          <w:sz w:val="24"/>
          <w:highlight w:val="none"/>
        </w:rPr>
        <w:t>特别要注意不锈钢与普通钢的焊接设计（即使提供了内衬），以便将腐蚀减至最小。</w:t>
      </w:r>
    </w:p>
    <w:p w14:paraId="3735D49A">
      <w:pPr>
        <w:snapToGrid w:val="0"/>
        <w:spacing w:line="360" w:lineRule="auto"/>
        <w:ind w:left="1" w:firstLine="480" w:firstLineChars="200"/>
        <w:jc w:val="left"/>
        <w:rPr>
          <w:snapToGrid w:val="0"/>
          <w:color w:val="auto"/>
          <w:sz w:val="24"/>
          <w:highlight w:val="none"/>
        </w:rPr>
      </w:pPr>
      <w:r>
        <w:rPr>
          <w:color w:val="auto"/>
          <w:sz w:val="24"/>
          <w:highlight w:val="none"/>
        </w:rPr>
        <w:t>靠近挡板的膨胀节应留有充分的距离，以预防与挡板的移动部件互相干扰。</w:t>
      </w:r>
    </w:p>
    <w:p w14:paraId="5B0C6053">
      <w:pPr>
        <w:snapToGrid w:val="0"/>
        <w:spacing w:line="360" w:lineRule="auto"/>
        <w:ind w:left="1" w:firstLine="480" w:firstLineChars="200"/>
        <w:jc w:val="left"/>
        <w:rPr>
          <w:snapToGrid w:val="0"/>
          <w:color w:val="auto"/>
          <w:sz w:val="24"/>
          <w:highlight w:val="none"/>
        </w:rPr>
      </w:pPr>
      <w:r>
        <w:rPr>
          <w:snapToGrid w:val="0"/>
          <w:color w:val="auto"/>
          <w:sz w:val="24"/>
          <w:highlight w:val="none"/>
        </w:rPr>
        <w:t>膨胀节和膨胀节的框架应全部在车间制造和钻孔，并且运输整套组件。如果装运限制，要求拆开完整的膨胀节，那么这种拆开范围也最多仅是满足装运的限定，临时设置的钢条和支架将附在膨胀节框架一起，以维持准确的接合面尺寸，直到完成脱硫系统和烟道的安装工作。</w:t>
      </w:r>
    </w:p>
    <w:p w14:paraId="4B763A16">
      <w:pPr>
        <w:snapToGrid w:val="0"/>
        <w:spacing w:line="360" w:lineRule="auto"/>
        <w:ind w:left="1" w:firstLine="419"/>
        <w:jc w:val="left"/>
        <w:rPr>
          <w:snapToGrid w:val="0"/>
          <w:color w:val="auto"/>
          <w:sz w:val="24"/>
          <w:highlight w:val="none"/>
        </w:rPr>
      </w:pPr>
      <w:r>
        <w:rPr>
          <w:snapToGrid w:val="0"/>
          <w:color w:val="auto"/>
          <w:sz w:val="24"/>
          <w:highlight w:val="none"/>
        </w:rPr>
        <w:t>膨胀节框架与烟道连接按现场焊接设计。框架内外应密封焊在烟道上。</w:t>
      </w:r>
    </w:p>
    <w:p w14:paraId="7A9F6B47">
      <w:pPr>
        <w:snapToGrid w:val="0"/>
        <w:spacing w:line="360" w:lineRule="auto"/>
        <w:ind w:left="1" w:firstLine="419"/>
        <w:jc w:val="left"/>
        <w:rPr>
          <w:snapToGrid w:val="0"/>
          <w:color w:val="auto"/>
          <w:sz w:val="24"/>
          <w:highlight w:val="none"/>
        </w:rPr>
      </w:pPr>
      <w:r>
        <w:rPr>
          <w:snapToGrid w:val="0"/>
          <w:color w:val="auto"/>
          <w:sz w:val="24"/>
          <w:highlight w:val="none"/>
        </w:rPr>
        <w:t>所有膨胀节应保温，应按规定提供隔音保温措施。</w:t>
      </w:r>
    </w:p>
    <w:p w14:paraId="392B4B97">
      <w:pPr>
        <w:snapToGrid w:val="0"/>
        <w:spacing w:line="360" w:lineRule="auto"/>
        <w:ind w:left="1" w:firstLine="419"/>
        <w:jc w:val="left"/>
        <w:rPr>
          <w:snapToGrid w:val="0"/>
          <w:color w:val="auto"/>
          <w:sz w:val="24"/>
          <w:highlight w:val="none"/>
        </w:rPr>
      </w:pPr>
      <w:r>
        <w:rPr>
          <w:snapToGrid w:val="0"/>
          <w:color w:val="auto"/>
          <w:sz w:val="24"/>
          <w:highlight w:val="none"/>
        </w:rPr>
        <w:t>所有膨胀节顶部应考虑防雨、防尘。</w:t>
      </w:r>
    </w:p>
    <w:p w14:paraId="30604F82">
      <w:pPr>
        <w:numPr>
          <w:ilvl w:val="4"/>
          <w:numId w:val="8"/>
        </w:numPr>
        <w:adjustRightInd w:val="0"/>
        <w:spacing w:line="360" w:lineRule="auto"/>
        <w:textAlignment w:val="baseline"/>
        <w:rPr>
          <w:color w:val="auto"/>
          <w:sz w:val="24"/>
          <w:highlight w:val="none"/>
        </w:rPr>
      </w:pPr>
      <w:r>
        <w:rPr>
          <w:rFonts w:hint="eastAsia"/>
          <w:color w:val="auto"/>
          <w:sz w:val="24"/>
          <w:highlight w:val="none"/>
          <w:lang w:val="en-US" w:eastAsia="zh-CN"/>
        </w:rPr>
        <w:t>插</w:t>
      </w:r>
      <w:r>
        <w:rPr>
          <w:color w:val="auto"/>
          <w:sz w:val="24"/>
          <w:highlight w:val="none"/>
        </w:rPr>
        <w:t>板门</w:t>
      </w:r>
    </w:p>
    <w:p w14:paraId="24ACB860">
      <w:pPr>
        <w:numPr>
          <w:ilvl w:val="-1"/>
          <w:numId w:val="0"/>
        </w:numPr>
        <w:adjustRightInd/>
        <w:snapToGrid w:val="0"/>
        <w:spacing w:line="360" w:lineRule="auto"/>
        <w:ind w:left="1" w:firstLine="419"/>
        <w:jc w:val="left"/>
        <w:textAlignment w:val="auto"/>
        <w:rPr>
          <w:rFonts w:hint="default"/>
          <w:color w:val="auto"/>
          <w:sz w:val="24"/>
          <w:highlight w:val="none"/>
          <w:lang w:val="en-US" w:eastAsia="zh-CN"/>
        </w:rPr>
      </w:pPr>
      <w:r>
        <w:rPr>
          <w:rFonts w:hint="default"/>
          <w:color w:val="auto"/>
          <w:sz w:val="24"/>
          <w:highlight w:val="none"/>
          <w:lang w:val="en-US" w:eastAsia="zh-CN"/>
        </w:rPr>
        <w:t>两台引风机出口应分别设置插板门，避免单台风机运行时烟气反流。</w:t>
      </w:r>
    </w:p>
    <w:p w14:paraId="4DDEE377">
      <w:pPr>
        <w:numPr>
          <w:ilvl w:val="-1"/>
          <w:numId w:val="0"/>
        </w:numPr>
        <w:adjustRightInd/>
        <w:snapToGrid w:val="0"/>
        <w:spacing w:line="360" w:lineRule="auto"/>
        <w:ind w:left="1" w:firstLine="419"/>
        <w:jc w:val="left"/>
        <w:textAlignment w:val="auto"/>
        <w:rPr>
          <w:color w:val="auto"/>
          <w:sz w:val="24"/>
          <w:highlight w:val="none"/>
        </w:rPr>
      </w:pPr>
      <w:r>
        <w:rPr>
          <w:rFonts w:hint="default" w:ascii="Times New Roman" w:hAnsi="Times New Roman" w:eastAsia="宋体" w:cs="Times New Roman"/>
          <w:color w:val="auto"/>
          <w:kern w:val="2"/>
          <w:sz w:val="24"/>
          <w:szCs w:val="24"/>
          <w:highlight w:val="none"/>
          <w:lang w:val="en-US" w:eastAsia="zh-CN"/>
        </w:rPr>
        <w:t>原烟囱水平烟道东端改造接口，加装插板门。（</w:t>
      </w:r>
      <w:r>
        <w:rPr>
          <w:rFonts w:hint="default" w:ascii="Times New Roman" w:hAnsi="Times New Roman" w:cs="Times New Roman"/>
          <w:color w:val="auto"/>
          <w:kern w:val="2"/>
          <w:sz w:val="24"/>
          <w:szCs w:val="24"/>
          <w:highlight w:val="none"/>
          <w:lang w:val="en-US" w:eastAsia="zh-CN"/>
        </w:rPr>
        <w:t>属</w:t>
      </w:r>
      <w:r>
        <w:rPr>
          <w:rFonts w:hint="default" w:ascii="Times New Roman" w:hAnsi="Times New Roman" w:eastAsia="宋体" w:cs="Times New Roman"/>
          <w:color w:val="auto"/>
          <w:kern w:val="2"/>
          <w:sz w:val="24"/>
          <w:szCs w:val="24"/>
          <w:highlight w:val="none"/>
          <w:lang w:val="en-US" w:eastAsia="zh-CN"/>
        </w:rPr>
        <w:t>投标方</w:t>
      </w:r>
      <w:r>
        <w:rPr>
          <w:rFonts w:hint="default" w:ascii="Times New Roman" w:hAnsi="Times New Roman" w:cs="Times New Roman"/>
          <w:color w:val="auto"/>
          <w:kern w:val="2"/>
          <w:sz w:val="24"/>
          <w:szCs w:val="24"/>
          <w:highlight w:val="none"/>
          <w:lang w:val="en-US" w:eastAsia="zh-CN"/>
        </w:rPr>
        <w:t>设计、</w:t>
      </w:r>
      <w:r>
        <w:rPr>
          <w:rFonts w:hint="default" w:ascii="Times New Roman" w:hAnsi="Times New Roman" w:eastAsia="宋体" w:cs="Times New Roman"/>
          <w:color w:val="auto"/>
          <w:kern w:val="2"/>
          <w:sz w:val="24"/>
          <w:szCs w:val="24"/>
          <w:highlight w:val="none"/>
          <w:lang w:val="en-US" w:eastAsia="zh-CN"/>
        </w:rPr>
        <w:t>施工、供货范围）</w:t>
      </w:r>
    </w:p>
    <w:p w14:paraId="5FE8473C">
      <w:pPr>
        <w:spacing w:line="360" w:lineRule="auto"/>
        <w:ind w:firstLine="480" w:firstLineChars="200"/>
        <w:rPr>
          <w:color w:val="auto"/>
          <w:sz w:val="24"/>
          <w:highlight w:val="none"/>
        </w:rPr>
      </w:pPr>
      <w:r>
        <w:rPr>
          <w:rFonts w:hint="eastAsia"/>
          <w:color w:val="auto"/>
          <w:sz w:val="24"/>
          <w:highlight w:val="none"/>
          <w:lang w:val="en-US" w:eastAsia="zh-CN"/>
        </w:rPr>
        <w:t>插</w:t>
      </w:r>
      <w:r>
        <w:rPr>
          <w:color w:val="auto"/>
          <w:sz w:val="24"/>
          <w:highlight w:val="none"/>
        </w:rPr>
        <w:t>板的设计能承受各种工况下烟气的温度和压力，并且不能有变形或泄漏。挡板和驱动装置的设计能承受所有运行条件下工作介质可能产生的腐蚀。每一挡板部件按可能发生的最大设计正压和负压值来设计。</w:t>
      </w:r>
      <w:r>
        <w:rPr>
          <w:rFonts w:hint="eastAsia"/>
          <w:color w:val="auto"/>
          <w:sz w:val="24"/>
          <w:highlight w:val="none"/>
          <w:lang w:eastAsia="zh-CN"/>
        </w:rPr>
        <w:t>插板门</w:t>
      </w:r>
      <w:r>
        <w:rPr>
          <w:color w:val="auto"/>
          <w:sz w:val="24"/>
          <w:highlight w:val="none"/>
        </w:rPr>
        <w:t>主要部件的设计使用寿命保证30年以上。</w:t>
      </w:r>
    </w:p>
    <w:p w14:paraId="22213791">
      <w:pPr>
        <w:tabs>
          <w:tab w:val="bar" w:pos="-1920"/>
        </w:tabs>
        <w:spacing w:line="360" w:lineRule="auto"/>
        <w:ind w:firstLine="480" w:firstLineChars="200"/>
        <w:rPr>
          <w:snapToGrid w:val="0"/>
          <w:color w:val="auto"/>
          <w:sz w:val="24"/>
          <w:highlight w:val="none"/>
        </w:rPr>
      </w:pPr>
      <w:r>
        <w:rPr>
          <w:color w:val="auto"/>
          <w:sz w:val="24"/>
          <w:highlight w:val="none"/>
        </w:rPr>
        <w:t>烟气</w:t>
      </w:r>
      <w:r>
        <w:rPr>
          <w:rFonts w:hint="eastAsia"/>
          <w:color w:val="auto"/>
          <w:sz w:val="24"/>
          <w:highlight w:val="none"/>
          <w:lang w:eastAsia="zh-CN"/>
        </w:rPr>
        <w:t>插板</w:t>
      </w:r>
      <w:r>
        <w:rPr>
          <w:color w:val="auto"/>
          <w:sz w:val="24"/>
          <w:highlight w:val="none"/>
        </w:rPr>
        <w:t>在设计压力和设计温度下有严密性。全部</w:t>
      </w:r>
      <w:r>
        <w:rPr>
          <w:rFonts w:hint="eastAsia"/>
          <w:color w:val="auto"/>
          <w:sz w:val="24"/>
          <w:highlight w:val="none"/>
          <w:lang w:eastAsia="zh-CN"/>
        </w:rPr>
        <w:t>插板</w:t>
      </w:r>
      <w:r>
        <w:rPr>
          <w:color w:val="auto"/>
          <w:sz w:val="24"/>
          <w:highlight w:val="none"/>
        </w:rPr>
        <w:t>的操作将灵活、可靠和方便检修。</w:t>
      </w:r>
    </w:p>
    <w:p w14:paraId="3A00E428">
      <w:pPr>
        <w:tabs>
          <w:tab w:val="bar" w:pos="-2400"/>
        </w:tabs>
        <w:spacing w:line="360" w:lineRule="auto"/>
        <w:ind w:firstLine="480" w:firstLineChars="200"/>
        <w:rPr>
          <w:color w:val="auto"/>
          <w:sz w:val="24"/>
          <w:highlight w:val="none"/>
        </w:rPr>
      </w:pPr>
      <w:r>
        <w:rPr>
          <w:color w:val="auto"/>
          <w:sz w:val="24"/>
          <w:highlight w:val="none"/>
        </w:rPr>
        <w:t>烟道</w:t>
      </w:r>
      <w:r>
        <w:rPr>
          <w:rFonts w:hint="eastAsia"/>
          <w:color w:val="auto"/>
          <w:sz w:val="24"/>
          <w:highlight w:val="none"/>
          <w:lang w:eastAsia="zh-CN"/>
        </w:rPr>
        <w:t>插板</w:t>
      </w:r>
      <w:r>
        <w:rPr>
          <w:color w:val="auto"/>
          <w:sz w:val="24"/>
          <w:highlight w:val="none"/>
        </w:rPr>
        <w:t>的结构设计和布置要使</w:t>
      </w:r>
      <w:r>
        <w:rPr>
          <w:rFonts w:hint="eastAsia"/>
          <w:color w:val="auto"/>
          <w:sz w:val="24"/>
          <w:highlight w:val="none"/>
          <w:lang w:eastAsia="zh-CN"/>
        </w:rPr>
        <w:t>插板</w:t>
      </w:r>
      <w:r>
        <w:rPr>
          <w:color w:val="auto"/>
          <w:sz w:val="24"/>
          <w:highlight w:val="none"/>
        </w:rPr>
        <w:t>内的积灰减至最小。</w:t>
      </w:r>
    </w:p>
    <w:p w14:paraId="43E4A25D">
      <w:pPr>
        <w:tabs>
          <w:tab w:val="bar" w:pos="-2400"/>
        </w:tabs>
        <w:spacing w:line="360" w:lineRule="auto"/>
        <w:ind w:firstLine="480" w:firstLineChars="200"/>
        <w:rPr>
          <w:color w:val="auto"/>
          <w:sz w:val="24"/>
          <w:highlight w:val="none"/>
        </w:rPr>
      </w:pPr>
      <w:r>
        <w:rPr>
          <w:rFonts w:hint="eastAsia"/>
          <w:color w:val="auto"/>
          <w:sz w:val="24"/>
          <w:highlight w:val="none"/>
          <w:lang w:eastAsia="zh-CN"/>
        </w:rPr>
        <w:t>插板</w:t>
      </w:r>
      <w:r>
        <w:rPr>
          <w:color w:val="auto"/>
          <w:sz w:val="24"/>
          <w:highlight w:val="none"/>
        </w:rPr>
        <w:t>将配有指示全开或全闭的限制开关。</w:t>
      </w:r>
    </w:p>
    <w:p w14:paraId="6CA084C9">
      <w:pPr>
        <w:snapToGrid w:val="0"/>
        <w:spacing w:line="360" w:lineRule="auto"/>
        <w:ind w:left="0" w:firstLine="480" w:firstLineChars="200"/>
        <w:jc w:val="left"/>
        <w:rPr>
          <w:snapToGrid w:val="0"/>
          <w:color w:val="auto"/>
          <w:sz w:val="24"/>
          <w:highlight w:val="none"/>
        </w:rPr>
      </w:pPr>
      <w:r>
        <w:rPr>
          <w:snapToGrid w:val="0"/>
          <w:color w:val="auto"/>
          <w:sz w:val="24"/>
          <w:highlight w:val="none"/>
        </w:rPr>
        <w:t>烟道</w:t>
      </w:r>
      <w:r>
        <w:rPr>
          <w:rFonts w:hint="eastAsia"/>
          <w:snapToGrid w:val="0"/>
          <w:color w:val="auto"/>
          <w:sz w:val="24"/>
          <w:highlight w:val="none"/>
          <w:lang w:eastAsia="zh-CN"/>
        </w:rPr>
        <w:t>插板</w:t>
      </w:r>
      <w:r>
        <w:rPr>
          <w:snapToGrid w:val="0"/>
          <w:color w:val="auto"/>
          <w:sz w:val="24"/>
          <w:highlight w:val="none"/>
        </w:rPr>
        <w:t>框架的安装为螺栓法兰连接，并且紧密地焊在烟道上。</w:t>
      </w:r>
    </w:p>
    <w:p w14:paraId="53291808">
      <w:pPr>
        <w:snapToGrid w:val="0"/>
        <w:spacing w:line="360" w:lineRule="auto"/>
        <w:ind w:firstLine="480" w:firstLineChars="200"/>
        <w:jc w:val="left"/>
        <w:rPr>
          <w:color w:val="auto"/>
          <w:sz w:val="24"/>
          <w:highlight w:val="none"/>
        </w:rPr>
      </w:pPr>
      <w:r>
        <w:rPr>
          <w:color w:val="auto"/>
          <w:sz w:val="24"/>
          <w:highlight w:val="none"/>
        </w:rPr>
        <w:t>在每个</w:t>
      </w:r>
      <w:r>
        <w:rPr>
          <w:rFonts w:hint="eastAsia"/>
          <w:color w:val="auto"/>
          <w:sz w:val="24"/>
          <w:highlight w:val="none"/>
          <w:lang w:eastAsia="zh-CN"/>
        </w:rPr>
        <w:t>插板</w:t>
      </w:r>
      <w:r>
        <w:rPr>
          <w:color w:val="auto"/>
          <w:sz w:val="24"/>
          <w:highlight w:val="none"/>
        </w:rPr>
        <w:t>和其驱动装置处就近安装平台，以便检修与维护</w:t>
      </w:r>
      <w:r>
        <w:rPr>
          <w:rFonts w:hint="eastAsia"/>
          <w:color w:val="auto"/>
          <w:sz w:val="24"/>
          <w:highlight w:val="none"/>
          <w:lang w:eastAsia="zh-CN"/>
        </w:rPr>
        <w:t>插板</w:t>
      </w:r>
      <w:r>
        <w:rPr>
          <w:color w:val="auto"/>
          <w:sz w:val="24"/>
          <w:highlight w:val="none"/>
        </w:rPr>
        <w:t>所有部件。</w:t>
      </w:r>
    </w:p>
    <w:p w14:paraId="74072F2B">
      <w:pPr>
        <w:tabs>
          <w:tab w:val="bar" w:pos="-2400"/>
        </w:tabs>
        <w:spacing w:line="360" w:lineRule="auto"/>
        <w:ind w:firstLine="480" w:firstLineChars="200"/>
        <w:rPr>
          <w:color w:val="auto"/>
          <w:sz w:val="24"/>
          <w:highlight w:val="none"/>
        </w:rPr>
      </w:pPr>
      <w:r>
        <w:rPr>
          <w:rFonts w:hint="default"/>
          <w:color w:val="auto"/>
          <w:sz w:val="24"/>
          <w:highlight w:val="none"/>
          <w:lang w:eastAsia="zh-CN" w:bidi="ar"/>
        </w:rPr>
        <w:t>插板</w:t>
      </w:r>
      <w:r>
        <w:rPr>
          <w:color w:val="auto"/>
          <w:sz w:val="24"/>
          <w:highlight w:val="none"/>
          <w:lang w:bidi="ar"/>
        </w:rPr>
        <w:t>框架采用碳钢内衬</w:t>
      </w:r>
      <w:r>
        <w:rPr>
          <w:rFonts w:hint="default"/>
          <w:color w:val="auto"/>
          <w:sz w:val="24"/>
          <w:highlight w:val="none"/>
          <w:lang w:val="en-US" w:eastAsia="zh-CN" w:bidi="ar"/>
        </w:rPr>
        <w:t>2205</w:t>
      </w:r>
      <w:r>
        <w:rPr>
          <w:color w:val="auto"/>
          <w:sz w:val="24"/>
          <w:highlight w:val="none"/>
          <w:lang w:bidi="ar"/>
        </w:rPr>
        <w:t>制作，所有与烟气接触的零部件均外包</w:t>
      </w:r>
      <w:r>
        <w:rPr>
          <w:rFonts w:hint="default"/>
          <w:color w:val="auto"/>
          <w:sz w:val="24"/>
          <w:highlight w:val="none"/>
          <w:lang w:val="en-US" w:eastAsia="zh-CN" w:bidi="ar"/>
        </w:rPr>
        <w:t>2205</w:t>
      </w:r>
      <w:r>
        <w:rPr>
          <w:color w:val="auto"/>
          <w:sz w:val="24"/>
          <w:highlight w:val="none"/>
          <w:lang w:bidi="ar"/>
        </w:rPr>
        <w:t>板；</w:t>
      </w:r>
      <w:r>
        <w:rPr>
          <w:rFonts w:hint="default"/>
          <w:color w:val="auto"/>
          <w:sz w:val="24"/>
          <w:highlight w:val="none"/>
          <w:lang w:val="en-US" w:eastAsia="zh-CN" w:bidi="ar"/>
        </w:rPr>
        <w:t>垫</w:t>
      </w:r>
      <w:r>
        <w:rPr>
          <w:color w:val="auto"/>
          <w:sz w:val="24"/>
          <w:highlight w:val="none"/>
          <w:lang w:bidi="ar"/>
        </w:rPr>
        <w:t>片和螺栓采用</w:t>
      </w:r>
      <w:r>
        <w:rPr>
          <w:rFonts w:hint="default"/>
          <w:color w:val="auto"/>
          <w:sz w:val="24"/>
          <w:highlight w:val="none"/>
          <w:lang w:val="en-US" w:eastAsia="zh-CN" w:bidi="ar"/>
        </w:rPr>
        <w:t>2205</w:t>
      </w:r>
      <w:r>
        <w:rPr>
          <w:color w:val="auto"/>
          <w:sz w:val="24"/>
          <w:highlight w:val="none"/>
          <w:lang w:bidi="ar"/>
        </w:rPr>
        <w:t>材料。</w:t>
      </w:r>
    </w:p>
    <w:p w14:paraId="43DD2C72">
      <w:pPr>
        <w:spacing w:line="360" w:lineRule="auto"/>
        <w:rPr>
          <w:color w:val="auto"/>
          <w:sz w:val="24"/>
          <w:highlight w:val="none"/>
        </w:rPr>
      </w:pPr>
      <w:r>
        <w:rPr>
          <w:color w:val="auto"/>
          <w:sz w:val="24"/>
          <w:highlight w:val="none"/>
        </w:rPr>
        <w:t>2.3.2.5管道和阀门</w:t>
      </w:r>
    </w:p>
    <w:p w14:paraId="31D0E74C">
      <w:pPr>
        <w:spacing w:line="360" w:lineRule="auto"/>
        <w:ind w:firstLine="480" w:firstLineChars="200"/>
        <w:rPr>
          <w:color w:val="auto"/>
          <w:sz w:val="24"/>
          <w:highlight w:val="none"/>
        </w:rPr>
      </w:pPr>
      <w:r>
        <w:rPr>
          <w:color w:val="auto"/>
          <w:sz w:val="24"/>
          <w:highlight w:val="none"/>
        </w:rPr>
        <w:t>烟道疏水管道采用碳钢衬胶。</w:t>
      </w:r>
      <w:r>
        <w:rPr>
          <w:rFonts w:hint="eastAsia"/>
          <w:color w:val="auto"/>
          <w:sz w:val="24"/>
          <w:highlight w:val="none"/>
          <w:lang w:val="en-US" w:eastAsia="zh-CN"/>
        </w:rPr>
        <w:t>各</w:t>
      </w:r>
      <w:r>
        <w:rPr>
          <w:color w:val="auto"/>
          <w:sz w:val="24"/>
          <w:highlight w:val="none"/>
        </w:rPr>
        <w:t>事故喷淋</w:t>
      </w:r>
      <w:r>
        <w:rPr>
          <w:rFonts w:hint="default"/>
          <w:color w:val="auto"/>
          <w:sz w:val="24"/>
          <w:highlight w:val="none"/>
          <w:lang w:val="en-US" w:eastAsia="zh-CN"/>
        </w:rPr>
        <w:t>从烟道区域</w:t>
      </w:r>
      <w:r>
        <w:rPr>
          <w:color w:val="auto"/>
          <w:sz w:val="24"/>
          <w:highlight w:val="none"/>
        </w:rPr>
        <w:t>母管</w:t>
      </w:r>
      <w:r>
        <w:rPr>
          <w:rFonts w:hint="default"/>
          <w:color w:val="auto"/>
          <w:sz w:val="24"/>
          <w:highlight w:val="none"/>
          <w:lang w:val="en-US" w:eastAsia="zh-CN"/>
        </w:rPr>
        <w:t>至喷嘴均</w:t>
      </w:r>
      <w:r>
        <w:rPr>
          <w:color w:val="auto"/>
          <w:sz w:val="24"/>
          <w:highlight w:val="none"/>
        </w:rPr>
        <w:t>采用</w:t>
      </w:r>
      <w:r>
        <w:rPr>
          <w:rFonts w:hint="default"/>
          <w:color w:val="auto"/>
          <w:sz w:val="24"/>
          <w:highlight w:val="none"/>
        </w:rPr>
        <w:t>2205</w:t>
      </w:r>
      <w:r>
        <w:rPr>
          <w:rFonts w:hint="default"/>
          <w:color w:val="auto"/>
          <w:sz w:val="24"/>
          <w:highlight w:val="none"/>
          <w:lang w:val="en-US" w:eastAsia="zh-CN"/>
        </w:rPr>
        <w:t>材质</w:t>
      </w:r>
      <w:r>
        <w:rPr>
          <w:color w:val="auto"/>
          <w:sz w:val="24"/>
          <w:highlight w:val="none"/>
        </w:rPr>
        <w:t>。阀门及管道还应符合本规范对“管道和阀门”的要求。</w:t>
      </w:r>
    </w:p>
    <w:p w14:paraId="7B343A1F">
      <w:pPr>
        <w:spacing w:line="360" w:lineRule="auto"/>
        <w:ind w:firstLine="0" w:firstLineChars="0"/>
        <w:rPr>
          <w:rFonts w:hint="default"/>
          <w:color w:val="auto"/>
          <w:sz w:val="24"/>
          <w:highlight w:val="none"/>
          <w:lang w:val="en-US" w:eastAsia="zh-CN"/>
        </w:rPr>
      </w:pPr>
      <w:r>
        <w:rPr>
          <w:rFonts w:hint="eastAsia"/>
          <w:color w:val="auto"/>
          <w:sz w:val="24"/>
          <w:highlight w:val="none"/>
          <w:lang w:val="en-US" w:eastAsia="zh-CN"/>
        </w:rPr>
        <w:t>2.3.2.6烟道支架采用混凝土结构。</w:t>
      </w:r>
    </w:p>
    <w:p w14:paraId="5A5B1C99">
      <w:pPr>
        <w:spacing w:line="360" w:lineRule="auto"/>
        <w:outlineLvl w:val="2"/>
        <w:rPr>
          <w:b/>
          <w:color w:val="auto"/>
          <w:sz w:val="24"/>
          <w:highlight w:val="none"/>
        </w:rPr>
      </w:pPr>
      <w:r>
        <w:rPr>
          <w:b/>
          <w:color w:val="auto"/>
          <w:sz w:val="24"/>
          <w:highlight w:val="none"/>
        </w:rPr>
        <w:t>2.4 SO</w:t>
      </w:r>
      <w:r>
        <w:rPr>
          <w:b/>
          <w:color w:val="auto"/>
          <w:sz w:val="24"/>
          <w:highlight w:val="none"/>
          <w:vertAlign w:val="subscript"/>
        </w:rPr>
        <w:t>2</w:t>
      </w:r>
      <w:r>
        <w:rPr>
          <w:b/>
          <w:color w:val="auto"/>
          <w:sz w:val="24"/>
          <w:highlight w:val="none"/>
        </w:rPr>
        <w:t>吸收系统</w:t>
      </w:r>
    </w:p>
    <w:p w14:paraId="5407CFDC">
      <w:pPr>
        <w:adjustRightInd w:val="0"/>
        <w:snapToGrid w:val="0"/>
        <w:spacing w:line="360" w:lineRule="auto"/>
        <w:rPr>
          <w:color w:val="auto"/>
          <w:sz w:val="24"/>
          <w:highlight w:val="none"/>
        </w:rPr>
      </w:pPr>
      <w:r>
        <w:rPr>
          <w:color w:val="auto"/>
          <w:sz w:val="24"/>
          <w:highlight w:val="none"/>
        </w:rPr>
        <w:t>2.4.1技术要求</w:t>
      </w:r>
    </w:p>
    <w:p w14:paraId="11E52F66">
      <w:pPr>
        <w:adjustRightInd w:val="0"/>
        <w:snapToGrid w:val="0"/>
        <w:spacing w:line="360" w:lineRule="auto"/>
        <w:ind w:firstLine="480" w:firstLineChars="200"/>
        <w:rPr>
          <w:snapToGrid w:val="0"/>
          <w:color w:val="auto"/>
          <w:sz w:val="24"/>
          <w:highlight w:val="none"/>
        </w:rPr>
      </w:pPr>
      <w:r>
        <w:rPr>
          <w:snapToGrid w:val="0"/>
          <w:color w:val="auto"/>
          <w:sz w:val="24"/>
          <w:highlight w:val="none"/>
        </w:rPr>
        <w:t>石灰石浆液通过循环泵从吸收塔浆池送至塔内喷嘴系统，与烟气接触发生化学反应吸收烟气中的SO</w:t>
      </w:r>
      <w:r>
        <w:rPr>
          <w:snapToGrid w:val="0"/>
          <w:color w:val="auto"/>
          <w:sz w:val="24"/>
          <w:highlight w:val="none"/>
          <w:vertAlign w:val="subscript"/>
        </w:rPr>
        <w:t>2</w:t>
      </w:r>
      <w:r>
        <w:rPr>
          <w:snapToGrid w:val="0"/>
          <w:color w:val="auto"/>
          <w:sz w:val="24"/>
          <w:highlight w:val="none"/>
        </w:rPr>
        <w:t>，在吸收塔循环浆池中利用氧化空气将亚硫酸钙氧化成硫酸钙。石膏排出泵将石膏浆液从吸收塔送到石膏脱水系统。</w:t>
      </w:r>
    </w:p>
    <w:p w14:paraId="12BF17F3">
      <w:pPr>
        <w:adjustRightInd w:val="0"/>
        <w:snapToGrid w:val="0"/>
        <w:spacing w:line="360" w:lineRule="auto"/>
        <w:ind w:firstLine="480" w:firstLineChars="200"/>
        <w:rPr>
          <w:snapToGrid w:val="0"/>
          <w:color w:val="auto"/>
          <w:sz w:val="24"/>
          <w:highlight w:val="none"/>
        </w:rPr>
      </w:pPr>
      <w:r>
        <w:rPr>
          <w:snapToGrid w:val="0"/>
          <w:color w:val="auto"/>
          <w:sz w:val="24"/>
          <w:highlight w:val="none"/>
        </w:rPr>
        <w:t>本工程设置</w:t>
      </w:r>
      <w:r>
        <w:rPr>
          <w:rFonts w:hint="eastAsia"/>
          <w:snapToGrid w:val="0"/>
          <w:color w:val="auto"/>
          <w:sz w:val="24"/>
          <w:highlight w:val="none"/>
          <w:lang w:val="en-US" w:eastAsia="zh-CN"/>
        </w:rPr>
        <w:t>1</w:t>
      </w:r>
      <w:r>
        <w:rPr>
          <w:snapToGrid w:val="0"/>
          <w:color w:val="auto"/>
          <w:sz w:val="24"/>
          <w:highlight w:val="none"/>
        </w:rPr>
        <w:t>台吸收塔。</w:t>
      </w:r>
    </w:p>
    <w:p w14:paraId="412A477C">
      <w:pPr>
        <w:adjustRightInd w:val="0"/>
        <w:snapToGrid w:val="0"/>
        <w:spacing w:line="360" w:lineRule="auto"/>
        <w:ind w:firstLine="480" w:firstLineChars="200"/>
        <w:rPr>
          <w:snapToGrid w:val="0"/>
          <w:color w:val="auto"/>
          <w:sz w:val="24"/>
          <w:highlight w:val="none"/>
        </w:rPr>
      </w:pPr>
      <w:r>
        <w:rPr>
          <w:snapToGrid w:val="0"/>
          <w:color w:val="auto"/>
          <w:sz w:val="24"/>
          <w:highlight w:val="none"/>
        </w:rPr>
        <w:t>吸收塔浆池中的亚硫酸钙的氧化利用空气氧化，不应再加入硫酸或其他化合物。</w:t>
      </w:r>
    </w:p>
    <w:p w14:paraId="28579735">
      <w:pPr>
        <w:adjustRightInd w:val="0"/>
        <w:snapToGrid w:val="0"/>
        <w:spacing w:line="360" w:lineRule="auto"/>
        <w:ind w:firstLine="480" w:firstLineChars="200"/>
        <w:rPr>
          <w:snapToGrid w:val="0"/>
          <w:color w:val="auto"/>
          <w:sz w:val="24"/>
          <w:highlight w:val="none"/>
        </w:rPr>
      </w:pPr>
      <w:r>
        <w:rPr>
          <w:snapToGrid w:val="0"/>
          <w:color w:val="auto"/>
          <w:sz w:val="24"/>
          <w:highlight w:val="none"/>
        </w:rPr>
        <w:t>吸收塔和整个浆液循环系统、氧化空气系统应尽可能优化设计，保证脱硫效率及其他各项技术指标达到规范要求。</w:t>
      </w:r>
    </w:p>
    <w:p w14:paraId="7436C8CF">
      <w:pPr>
        <w:adjustRightInd w:val="0"/>
        <w:snapToGrid w:val="0"/>
        <w:spacing w:line="360" w:lineRule="auto"/>
        <w:ind w:firstLine="480" w:firstLineChars="200"/>
        <w:rPr>
          <w:snapToGrid w:val="0"/>
          <w:color w:val="auto"/>
          <w:sz w:val="24"/>
          <w:highlight w:val="none"/>
        </w:rPr>
      </w:pPr>
      <w:r>
        <w:rPr>
          <w:snapToGrid w:val="0"/>
          <w:color w:val="auto"/>
          <w:sz w:val="24"/>
          <w:highlight w:val="none"/>
        </w:rPr>
        <w:t>吸收塔内浆液最大Cl离子浓度为</w:t>
      </w:r>
      <w:r>
        <w:rPr>
          <w:rFonts w:hint="eastAsia"/>
          <w:snapToGrid w:val="0"/>
          <w:color w:val="auto"/>
          <w:sz w:val="24"/>
          <w:highlight w:val="none"/>
          <w:lang w:val="en-US" w:eastAsia="zh-CN"/>
        </w:rPr>
        <w:t>40</w:t>
      </w:r>
      <w:r>
        <w:rPr>
          <w:snapToGrid w:val="0"/>
          <w:color w:val="auto"/>
          <w:sz w:val="24"/>
          <w:highlight w:val="none"/>
        </w:rPr>
        <w:t>g/</w:t>
      </w:r>
      <w:r>
        <w:rPr>
          <w:rFonts w:hint="eastAsia"/>
          <w:snapToGrid w:val="0"/>
          <w:color w:val="auto"/>
          <w:sz w:val="24"/>
          <w:highlight w:val="none"/>
          <w:lang w:val="en-US" w:eastAsia="zh-CN"/>
        </w:rPr>
        <w:t>L</w:t>
      </w:r>
      <w:r>
        <w:rPr>
          <w:snapToGrid w:val="0"/>
          <w:color w:val="auto"/>
          <w:sz w:val="24"/>
          <w:highlight w:val="none"/>
        </w:rPr>
        <w:t>。</w:t>
      </w:r>
    </w:p>
    <w:p w14:paraId="4A5581A1">
      <w:pPr>
        <w:adjustRightInd w:val="0"/>
        <w:snapToGrid w:val="0"/>
        <w:spacing w:line="360" w:lineRule="auto"/>
        <w:ind w:firstLine="480" w:firstLineChars="200"/>
        <w:rPr>
          <w:snapToGrid w:val="0"/>
          <w:color w:val="auto"/>
          <w:sz w:val="24"/>
          <w:highlight w:val="none"/>
        </w:rPr>
      </w:pPr>
      <w:r>
        <w:rPr>
          <w:snapToGrid w:val="0"/>
          <w:color w:val="auto"/>
          <w:sz w:val="24"/>
          <w:highlight w:val="none"/>
        </w:rPr>
        <w:t>所有设备的噪声应符合</w:t>
      </w:r>
      <w:r>
        <w:rPr>
          <w:rFonts w:hint="eastAsia"/>
          <w:snapToGrid w:val="0"/>
          <w:color w:val="auto"/>
          <w:sz w:val="24"/>
          <w:highlight w:val="none"/>
        </w:rPr>
        <w:t>协议</w:t>
      </w:r>
      <w:r>
        <w:rPr>
          <w:snapToGrid w:val="0"/>
          <w:color w:val="auto"/>
          <w:sz w:val="24"/>
          <w:highlight w:val="none"/>
        </w:rPr>
        <w:t>的要求。</w:t>
      </w:r>
    </w:p>
    <w:p w14:paraId="0CFCFFA9">
      <w:pPr>
        <w:adjustRightInd w:val="0"/>
        <w:snapToGrid w:val="0"/>
        <w:spacing w:line="360" w:lineRule="auto"/>
        <w:rPr>
          <w:color w:val="auto"/>
          <w:sz w:val="24"/>
          <w:highlight w:val="none"/>
        </w:rPr>
      </w:pPr>
      <w:r>
        <w:rPr>
          <w:color w:val="auto"/>
          <w:sz w:val="24"/>
          <w:highlight w:val="none"/>
        </w:rPr>
        <w:t>2.4.2主要设备</w:t>
      </w:r>
    </w:p>
    <w:p w14:paraId="6D6353D6">
      <w:pPr>
        <w:adjustRightInd w:val="0"/>
        <w:snapToGrid w:val="0"/>
        <w:spacing w:line="360" w:lineRule="auto"/>
        <w:rPr>
          <w:color w:val="auto"/>
          <w:sz w:val="24"/>
          <w:highlight w:val="none"/>
        </w:rPr>
      </w:pPr>
      <w:r>
        <w:rPr>
          <w:color w:val="auto"/>
          <w:sz w:val="24"/>
          <w:highlight w:val="none"/>
        </w:rPr>
        <w:t>2.4.2.1 吸收塔</w:t>
      </w:r>
    </w:p>
    <w:p w14:paraId="1652AEF0">
      <w:pPr>
        <w:adjustRightInd w:val="0"/>
        <w:snapToGrid w:val="0"/>
        <w:spacing w:line="360" w:lineRule="auto"/>
        <w:ind w:firstLine="480" w:firstLineChars="200"/>
        <w:rPr>
          <w:b w:val="0"/>
          <w:bCs/>
          <w:color w:val="auto"/>
          <w:sz w:val="24"/>
          <w:highlight w:val="none"/>
        </w:rPr>
      </w:pPr>
      <w:r>
        <w:rPr>
          <w:b w:val="0"/>
          <w:bCs/>
          <w:color w:val="auto"/>
          <w:sz w:val="24"/>
          <w:highlight w:val="none"/>
        </w:rPr>
        <w:t>吸收塔应采用带</w:t>
      </w:r>
      <w:bookmarkStart w:id="54" w:name="OLE_LINK12"/>
      <w:r>
        <w:rPr>
          <w:b w:val="0"/>
          <w:bCs/>
          <w:color w:val="auto"/>
          <w:sz w:val="24"/>
          <w:highlight w:val="none"/>
        </w:rPr>
        <w:t>烟气均布托盘</w:t>
      </w:r>
      <w:bookmarkEnd w:id="54"/>
      <w:r>
        <w:rPr>
          <w:b w:val="0"/>
          <w:bCs/>
          <w:color w:val="auto"/>
          <w:sz w:val="24"/>
          <w:highlight w:val="none"/>
        </w:rPr>
        <w:t>装置的逆流喷淋塔。</w:t>
      </w:r>
    </w:p>
    <w:p w14:paraId="6CA05F05">
      <w:pPr>
        <w:pStyle w:val="176"/>
        <w:adjustRightInd w:val="0"/>
        <w:snapToGrid w:val="0"/>
        <w:spacing w:line="360" w:lineRule="auto"/>
        <w:ind w:firstLine="480" w:firstLineChars="200"/>
        <w:rPr>
          <w:rStyle w:val="54"/>
          <w:rFonts w:hint="eastAsia" w:ascii="Times New Roman" w:hAnsi="Times New Roman" w:eastAsia="宋体" w:cs="Times New Roman"/>
          <w:snapToGrid w:val="0"/>
          <w:color w:val="auto"/>
          <w:sz w:val="24"/>
          <w:highlight w:val="none"/>
        </w:rPr>
      </w:pPr>
      <w:r>
        <w:rPr>
          <w:rStyle w:val="54"/>
          <w:rFonts w:hint="eastAsia" w:ascii="Times New Roman" w:hAnsi="Times New Roman" w:eastAsia="宋体" w:cs="Times New Roman"/>
          <w:snapToGrid w:val="0"/>
          <w:color w:val="auto"/>
          <w:sz w:val="24"/>
          <w:highlight w:val="none"/>
        </w:rPr>
        <w:t>吸收塔托盘层</w:t>
      </w:r>
      <w:r>
        <w:rPr>
          <w:rStyle w:val="54"/>
          <w:rFonts w:hint="eastAsia" w:cs="Times New Roman"/>
          <w:snapToGrid w:val="0"/>
          <w:color w:val="auto"/>
          <w:sz w:val="24"/>
          <w:highlight w:val="none"/>
          <w:lang w:val="en-US" w:eastAsia="zh-CN"/>
        </w:rPr>
        <w:t>区域设计</w:t>
      </w:r>
      <w:r>
        <w:rPr>
          <w:rStyle w:val="54"/>
          <w:rFonts w:hint="eastAsia" w:ascii="Times New Roman" w:hAnsi="Times New Roman" w:eastAsia="宋体" w:cs="Times New Roman"/>
          <w:snapToGrid w:val="0"/>
          <w:color w:val="auto"/>
          <w:sz w:val="24"/>
          <w:highlight w:val="none"/>
        </w:rPr>
        <w:t>能满足喷淋管道</w:t>
      </w:r>
      <w:r>
        <w:rPr>
          <w:rStyle w:val="54"/>
          <w:rFonts w:hint="eastAsia" w:cs="Times New Roman"/>
          <w:snapToGrid w:val="0"/>
          <w:color w:val="auto"/>
          <w:sz w:val="24"/>
          <w:highlight w:val="none"/>
          <w:lang w:val="en-US" w:eastAsia="zh-CN"/>
        </w:rPr>
        <w:t>检修时</w:t>
      </w:r>
      <w:r>
        <w:rPr>
          <w:rStyle w:val="54"/>
          <w:rFonts w:hint="eastAsia" w:ascii="Times New Roman" w:hAnsi="Times New Roman" w:eastAsia="宋体" w:cs="Times New Roman"/>
          <w:snapToGrid w:val="0"/>
          <w:color w:val="auto"/>
          <w:sz w:val="24"/>
          <w:highlight w:val="none"/>
        </w:rPr>
        <w:t>搭设脚手架的需求。</w:t>
      </w:r>
      <w:r>
        <w:rPr>
          <w:rStyle w:val="54"/>
          <w:rFonts w:ascii="Times New Roman" w:hAnsi="Times New Roman" w:eastAsia="宋体" w:cs="Times New Roman"/>
          <w:snapToGrid w:val="0"/>
          <w:color w:val="auto"/>
          <w:sz w:val="24"/>
          <w:highlight w:val="none"/>
        </w:rPr>
        <w:t>托盘采用</w:t>
      </w:r>
      <w:r>
        <w:rPr>
          <w:rStyle w:val="54"/>
          <w:rFonts w:hint="eastAsia" w:ascii="Times New Roman" w:hAnsi="Times New Roman" w:eastAsia="宋体" w:cs="Times New Roman"/>
          <w:snapToGrid w:val="0"/>
          <w:color w:val="auto"/>
          <w:sz w:val="24"/>
          <w:highlight w:val="none"/>
        </w:rPr>
        <w:t>2205材质，</w:t>
      </w:r>
      <w:r>
        <w:rPr>
          <w:rStyle w:val="54"/>
          <w:rFonts w:ascii="Times New Roman" w:hAnsi="Times New Roman" w:eastAsia="宋体" w:cs="Times New Roman"/>
          <w:snapToGrid w:val="0"/>
          <w:color w:val="auto"/>
          <w:sz w:val="24"/>
          <w:highlight w:val="none"/>
        </w:rPr>
        <w:t>厚度不小于</w:t>
      </w:r>
      <w:r>
        <w:rPr>
          <w:rStyle w:val="54"/>
          <w:rFonts w:hint="eastAsia" w:ascii="Times New Roman" w:hAnsi="Times New Roman" w:eastAsia="宋体" w:cs="Times New Roman"/>
          <w:snapToGrid w:val="0"/>
          <w:color w:val="auto"/>
          <w:sz w:val="24"/>
          <w:highlight w:val="none"/>
        </w:rPr>
        <w:t>3mm，</w:t>
      </w:r>
      <w:r>
        <w:rPr>
          <w:rStyle w:val="54"/>
          <w:rFonts w:ascii="Times New Roman" w:hAnsi="Times New Roman" w:eastAsia="宋体" w:cs="Times New Roman"/>
          <w:snapToGrid w:val="0"/>
          <w:color w:val="auto"/>
          <w:sz w:val="24"/>
          <w:highlight w:val="none"/>
        </w:rPr>
        <w:t>折边高度不低于</w:t>
      </w:r>
      <w:r>
        <w:rPr>
          <w:rStyle w:val="54"/>
          <w:rFonts w:hint="eastAsia" w:ascii="Times New Roman" w:hAnsi="Times New Roman" w:eastAsia="宋体" w:cs="Times New Roman"/>
          <w:snapToGrid w:val="0"/>
          <w:color w:val="auto"/>
          <w:sz w:val="24"/>
          <w:highlight w:val="none"/>
        </w:rPr>
        <w:t>2</w:t>
      </w:r>
      <w:r>
        <w:rPr>
          <w:rStyle w:val="54"/>
          <w:rFonts w:ascii="Times New Roman" w:hAnsi="Times New Roman" w:eastAsia="宋体" w:cs="Times New Roman"/>
          <w:snapToGrid w:val="0"/>
          <w:color w:val="auto"/>
          <w:sz w:val="24"/>
          <w:highlight w:val="none"/>
        </w:rPr>
        <w:t>30mm，螺栓部位的垫片或夹板的厚度不低于6</w:t>
      </w:r>
      <w:r>
        <w:rPr>
          <w:rStyle w:val="54"/>
          <w:rFonts w:hint="eastAsia" w:ascii="Times New Roman" w:hAnsi="Times New Roman" w:eastAsia="宋体" w:cs="Times New Roman"/>
          <w:snapToGrid w:val="0"/>
          <w:color w:val="auto"/>
          <w:sz w:val="24"/>
          <w:highlight w:val="none"/>
        </w:rPr>
        <w:t>mm;托盘应</w:t>
      </w:r>
      <w:r>
        <w:rPr>
          <w:rStyle w:val="54"/>
          <w:rFonts w:ascii="Times New Roman" w:hAnsi="Times New Roman" w:eastAsia="宋体" w:cs="Times New Roman"/>
          <w:snapToGrid w:val="0"/>
          <w:color w:val="auto"/>
          <w:sz w:val="24"/>
          <w:highlight w:val="none"/>
        </w:rPr>
        <w:t>设有防止脱落的安全措施</w:t>
      </w:r>
      <w:r>
        <w:rPr>
          <w:rStyle w:val="54"/>
          <w:rFonts w:hint="eastAsia" w:ascii="Times New Roman" w:hAnsi="Times New Roman" w:eastAsia="宋体" w:cs="Times New Roman"/>
          <w:snapToGrid w:val="0"/>
          <w:color w:val="auto"/>
          <w:sz w:val="24"/>
          <w:highlight w:val="none"/>
        </w:rPr>
        <w:t>。</w:t>
      </w:r>
    </w:p>
    <w:p w14:paraId="4F6A4B8B">
      <w:pPr>
        <w:adjustRightInd w:val="0"/>
        <w:snapToGrid w:val="0"/>
        <w:spacing w:line="360" w:lineRule="auto"/>
        <w:ind w:left="0" w:leftChars="0" w:firstLine="0" w:firstLineChars="0"/>
        <w:rPr>
          <w:rFonts w:hint="eastAsia" w:eastAsia="宋体"/>
          <w:snapToGrid w:val="0"/>
          <w:color w:val="auto"/>
          <w:sz w:val="24"/>
          <w:highlight w:val="none"/>
          <w:lang w:eastAsia="zh-CN"/>
        </w:rPr>
      </w:pPr>
      <w:r>
        <w:rPr>
          <w:snapToGrid w:val="0"/>
          <w:color w:val="auto"/>
          <w:sz w:val="24"/>
          <w:highlight w:val="none"/>
        </w:rPr>
        <w:t>吸收塔浆池与塔体为一体结构。</w:t>
      </w:r>
      <w:r>
        <w:rPr>
          <w:rStyle w:val="54"/>
          <w:rFonts w:ascii="Times New Roman" w:hAnsi="Times New Roman" w:eastAsia="宋体" w:cs="Times New Roman"/>
          <w:snapToGrid w:val="0"/>
          <w:color w:val="auto"/>
          <w:sz w:val="24"/>
          <w:highlight w:val="none"/>
        </w:rPr>
        <w:t>吸收塔流速不超过</w:t>
      </w:r>
      <w:r>
        <w:rPr>
          <w:rStyle w:val="54"/>
          <w:rFonts w:hint="eastAsia" w:ascii="Times New Roman" w:hAnsi="Times New Roman" w:eastAsia="宋体" w:cs="Times New Roman"/>
          <w:snapToGrid w:val="0"/>
          <w:color w:val="auto"/>
          <w:sz w:val="24"/>
          <w:highlight w:val="none"/>
        </w:rPr>
        <w:t>3.5m/s</w:t>
      </w:r>
      <w:r>
        <w:rPr>
          <w:rStyle w:val="54"/>
          <w:rFonts w:hint="eastAsia" w:ascii="Times New Roman" w:hAnsi="Times New Roman" w:eastAsia="宋体" w:cs="Times New Roman"/>
          <w:snapToGrid w:val="0"/>
          <w:color w:val="auto"/>
          <w:sz w:val="24"/>
          <w:highlight w:val="none"/>
          <w:lang w:eastAsia="zh-CN"/>
        </w:rPr>
        <w:t>，</w:t>
      </w:r>
      <w:r>
        <w:rPr>
          <w:rStyle w:val="54"/>
          <w:rFonts w:hint="eastAsia" w:ascii="Times New Roman" w:hAnsi="Times New Roman" w:eastAsia="宋体" w:cs="Times New Roman"/>
          <w:snapToGrid w:val="0"/>
          <w:color w:val="auto"/>
          <w:sz w:val="24"/>
          <w:highlight w:val="none"/>
        </w:rPr>
        <w:t>塔径不小</w:t>
      </w:r>
      <w:r>
        <w:rPr>
          <w:rStyle w:val="54"/>
          <w:rFonts w:hint="eastAsia" w:ascii="Times New Roman" w:hAnsi="Times New Roman" w:eastAsia="宋体" w:cs="Times New Roman"/>
          <w:snapToGrid w:val="0"/>
          <w:color w:val="auto"/>
          <w:sz w:val="24"/>
          <w:highlight w:val="none"/>
          <w:lang w:val="en-US" w:eastAsia="zh-CN"/>
        </w:rPr>
        <w:t>于</w:t>
      </w:r>
      <w:r>
        <w:rPr>
          <w:rStyle w:val="54"/>
          <w:rFonts w:hint="eastAsia" w:ascii="Times New Roman" w:hAnsi="Times New Roman" w:eastAsia="宋体" w:cs="Times New Roman"/>
          <w:snapToGrid w:val="0"/>
          <w:color w:val="auto"/>
          <w:sz w:val="24"/>
          <w:highlight w:val="none"/>
          <w:u w:val="single"/>
          <w:lang w:val="en-US" w:eastAsia="zh-CN"/>
        </w:rPr>
        <w:t xml:space="preserve">   </w:t>
      </w:r>
      <w:r>
        <w:rPr>
          <w:rStyle w:val="54"/>
          <w:rFonts w:hint="eastAsia" w:ascii="Times New Roman" w:hAnsi="Times New Roman" w:eastAsia="宋体" w:cs="Times New Roman"/>
          <w:snapToGrid w:val="0"/>
          <w:color w:val="auto"/>
          <w:sz w:val="24"/>
          <w:highlight w:val="none"/>
        </w:rPr>
        <w:t>m</w:t>
      </w:r>
    </w:p>
    <w:p w14:paraId="16582110">
      <w:pPr>
        <w:pStyle w:val="176"/>
        <w:spacing w:line="360" w:lineRule="auto"/>
        <w:ind w:firstLine="480" w:firstLineChars="200"/>
        <w:rPr>
          <w:snapToGrid w:val="0"/>
          <w:color w:val="auto"/>
          <w:sz w:val="24"/>
          <w:highlight w:val="none"/>
        </w:rPr>
      </w:pPr>
      <w:r>
        <w:rPr>
          <w:rFonts w:hint="eastAsia"/>
          <w:snapToGrid w:val="0"/>
          <w:color w:val="auto"/>
          <w:sz w:val="24"/>
          <w:highlight w:val="none"/>
          <w:lang w:eastAsia="zh-CN"/>
        </w:rPr>
        <w:t>投标方</w:t>
      </w:r>
      <w:r>
        <w:rPr>
          <w:snapToGrid w:val="0"/>
          <w:color w:val="auto"/>
          <w:sz w:val="24"/>
          <w:highlight w:val="none"/>
        </w:rPr>
        <w:t>应通过优化设计，尽可能减少吸收塔内部件。</w:t>
      </w:r>
      <w:r>
        <w:rPr>
          <w:rStyle w:val="54"/>
          <w:rFonts w:ascii="Times New Roman" w:hAnsi="Times New Roman" w:eastAsia="宋体" w:cs="Times New Roman"/>
          <w:snapToGrid w:val="0"/>
          <w:color w:val="auto"/>
          <w:sz w:val="24"/>
          <w:highlight w:val="none"/>
        </w:rPr>
        <w:t>吸收塔托盘和喷淋管固定采用</w:t>
      </w:r>
      <w:r>
        <w:rPr>
          <w:rStyle w:val="54"/>
          <w:rFonts w:hint="eastAsia" w:ascii="Times New Roman" w:hAnsi="Times New Roman" w:eastAsia="宋体" w:cs="Times New Roman"/>
          <w:snapToGrid w:val="0"/>
          <w:color w:val="auto"/>
          <w:sz w:val="24"/>
          <w:highlight w:val="none"/>
        </w:rPr>
        <w:t>2205材质，螺栓螺母材质为1.4529。</w:t>
      </w:r>
    </w:p>
    <w:p w14:paraId="660BA470">
      <w:pPr>
        <w:adjustRightInd w:val="0"/>
        <w:snapToGrid w:val="0"/>
        <w:spacing w:line="360" w:lineRule="auto"/>
        <w:ind w:firstLine="480" w:firstLineChars="200"/>
        <w:rPr>
          <w:snapToGrid w:val="0"/>
          <w:color w:val="auto"/>
          <w:sz w:val="24"/>
          <w:highlight w:val="none"/>
        </w:rPr>
      </w:pPr>
      <w:r>
        <w:rPr>
          <w:snapToGrid w:val="0"/>
          <w:color w:val="auto"/>
          <w:sz w:val="24"/>
          <w:highlight w:val="none"/>
        </w:rPr>
        <w:t>吸收塔选用的材料应适合工艺过程的特性，并且能承受烟气飞灰和脱硫工艺固体悬浮物的磨损。所有部件包括塔体和内部结构设计应考虑腐蚀余度。吸收塔的防腐材料的选择应按浆液含氯量为40g/</w:t>
      </w:r>
      <w:r>
        <w:rPr>
          <w:rFonts w:hint="default"/>
          <w:snapToGrid w:val="0"/>
          <w:color w:val="auto"/>
          <w:sz w:val="24"/>
          <w:highlight w:val="none"/>
          <w:lang w:val="en-US" w:eastAsia="zh-CN"/>
        </w:rPr>
        <w:t>L</w:t>
      </w:r>
      <w:r>
        <w:rPr>
          <w:snapToGrid w:val="0"/>
          <w:color w:val="auto"/>
          <w:sz w:val="24"/>
          <w:highlight w:val="none"/>
        </w:rPr>
        <w:t>进行考虑。</w:t>
      </w:r>
    </w:p>
    <w:p w14:paraId="0F355B4A">
      <w:pPr>
        <w:adjustRightInd w:val="0"/>
        <w:snapToGrid w:val="0"/>
        <w:spacing w:line="360" w:lineRule="auto"/>
        <w:ind w:firstLine="480" w:firstLineChars="200"/>
        <w:rPr>
          <w:snapToGrid w:val="0"/>
          <w:color w:val="auto"/>
          <w:sz w:val="24"/>
          <w:highlight w:val="none"/>
        </w:rPr>
      </w:pPr>
      <w:r>
        <w:rPr>
          <w:snapToGrid w:val="0"/>
          <w:color w:val="auto"/>
          <w:sz w:val="24"/>
          <w:highlight w:val="none"/>
        </w:rPr>
        <w:t>吸收塔应设计成气密性结构，防止液体泄漏。为保证壳体结构的完整性，尽可能使用焊接连接，法兰和螺栓连接仅在必要时使用。塔体上的人孔、通道、连接管道等需要在壳体穿孔的地方应进行密封，防止泄漏。</w:t>
      </w:r>
    </w:p>
    <w:p w14:paraId="55C3E823">
      <w:pPr>
        <w:adjustRightInd w:val="0"/>
        <w:snapToGrid w:val="0"/>
        <w:spacing w:line="360" w:lineRule="auto"/>
        <w:ind w:firstLine="480" w:firstLineChars="200"/>
        <w:rPr>
          <w:snapToGrid w:val="0"/>
          <w:color w:val="auto"/>
          <w:sz w:val="24"/>
          <w:highlight w:val="none"/>
        </w:rPr>
      </w:pPr>
      <w:r>
        <w:rPr>
          <w:snapToGrid w:val="0"/>
          <w:color w:val="auto"/>
          <w:sz w:val="24"/>
          <w:highlight w:val="none"/>
        </w:rPr>
        <w:t>吸收塔壳体设计要能承受各种荷载，包括吸收塔及作用在吸收塔上的设备和管道的推力和力矩、自重、介质重、保温重，以及风载、地震荷载等。</w:t>
      </w:r>
    </w:p>
    <w:p w14:paraId="15EE8C77">
      <w:pPr>
        <w:adjustRightInd w:val="0"/>
        <w:snapToGrid w:val="0"/>
        <w:spacing w:line="360" w:lineRule="auto"/>
        <w:ind w:firstLine="560"/>
        <w:rPr>
          <w:snapToGrid w:val="0"/>
          <w:color w:val="auto"/>
          <w:sz w:val="24"/>
          <w:highlight w:val="none"/>
        </w:rPr>
      </w:pPr>
      <w:r>
        <w:rPr>
          <w:snapToGrid w:val="0"/>
          <w:color w:val="auto"/>
          <w:sz w:val="24"/>
          <w:highlight w:val="none"/>
        </w:rPr>
        <w:t>吸收塔的支撑和加强件要能充分防止塔体倾斜和晃动。塔内管道支架应有足够的强度和刚度。设计计算值要求的厚度还应加上腐蚀余度。</w:t>
      </w:r>
    </w:p>
    <w:p w14:paraId="67AF88AF">
      <w:pPr>
        <w:adjustRightInd w:val="0"/>
        <w:snapToGrid w:val="0"/>
        <w:spacing w:line="360" w:lineRule="auto"/>
        <w:ind w:firstLine="480" w:firstLineChars="200"/>
        <w:rPr>
          <w:snapToGrid w:val="0"/>
          <w:color w:val="auto"/>
          <w:sz w:val="24"/>
          <w:highlight w:val="none"/>
        </w:rPr>
      </w:pPr>
      <w:r>
        <w:rPr>
          <w:snapToGrid w:val="0"/>
          <w:color w:val="auto"/>
          <w:sz w:val="24"/>
          <w:highlight w:val="none"/>
        </w:rPr>
        <w:t>塔体的设计应尽可能避免形成死角，同时采用搅拌措施来避免浆池中浆液沉淀。吸收塔搅拌系统应确保在任何时候都不会造成塔内石膏浆液的沉淀、结垢或堵塞。吸收塔底面设计应能完全排空浆液。</w:t>
      </w:r>
    </w:p>
    <w:p w14:paraId="52377756">
      <w:pPr>
        <w:adjustRightInd w:val="0"/>
        <w:snapToGrid w:val="0"/>
        <w:spacing w:line="360" w:lineRule="auto"/>
        <w:ind w:firstLine="480" w:firstLineChars="200"/>
        <w:rPr>
          <w:snapToGrid w:val="0"/>
          <w:color w:val="auto"/>
          <w:sz w:val="24"/>
          <w:highlight w:val="none"/>
        </w:rPr>
      </w:pPr>
      <w:r>
        <w:rPr>
          <w:snapToGrid w:val="0"/>
          <w:color w:val="auto"/>
          <w:sz w:val="24"/>
          <w:highlight w:val="none"/>
        </w:rPr>
        <w:t>塔的整体设计应方便塔内部件的检修和维护，吸收塔内部的导流板、喷淋系统和支撑等应尽可能不堆积污物和结垢，并且应设有通道以便于清洁。</w:t>
      </w:r>
    </w:p>
    <w:p w14:paraId="64BFBD86">
      <w:pPr>
        <w:adjustRightInd w:val="0"/>
        <w:snapToGrid w:val="0"/>
        <w:spacing w:line="360" w:lineRule="auto"/>
        <w:ind w:firstLine="480" w:firstLineChars="200"/>
        <w:rPr>
          <w:snapToGrid w:val="0"/>
          <w:color w:val="auto"/>
          <w:sz w:val="24"/>
          <w:highlight w:val="none"/>
        </w:rPr>
      </w:pPr>
      <w:r>
        <w:rPr>
          <w:snapToGrid w:val="0"/>
          <w:color w:val="auto"/>
          <w:sz w:val="24"/>
          <w:highlight w:val="none"/>
        </w:rPr>
        <w:t>氧化区域应合理设计，氧化空气喷嘴和分配管应布置合理。</w:t>
      </w:r>
    </w:p>
    <w:p w14:paraId="2E1CDFA2">
      <w:pPr>
        <w:snapToGrid w:val="0"/>
        <w:spacing w:line="360" w:lineRule="auto"/>
        <w:ind w:firstLine="540"/>
        <w:rPr>
          <w:color w:val="auto"/>
          <w:sz w:val="24"/>
          <w:highlight w:val="none"/>
        </w:rPr>
      </w:pPr>
      <w:r>
        <w:rPr>
          <w:color w:val="auto"/>
          <w:sz w:val="24"/>
          <w:highlight w:val="none"/>
        </w:rPr>
        <w:t>吸收塔烟道入口段应能防止烟气倒流和固体物堆积。</w:t>
      </w:r>
    </w:p>
    <w:p w14:paraId="0C0366C6">
      <w:pPr>
        <w:snapToGrid w:val="0"/>
        <w:spacing w:line="360" w:lineRule="auto"/>
        <w:ind w:firstLine="470" w:firstLineChars="196"/>
        <w:rPr>
          <w:color w:val="auto"/>
          <w:sz w:val="24"/>
          <w:highlight w:val="none"/>
        </w:rPr>
      </w:pPr>
      <w:r>
        <w:rPr>
          <w:color w:val="auto"/>
          <w:sz w:val="24"/>
          <w:highlight w:val="none"/>
        </w:rPr>
        <w:t>吸收塔入口段顶面及侧面应设置挡水板，有效防止喷淋浆液漂入吸收塔入口烟道。</w:t>
      </w:r>
    </w:p>
    <w:p w14:paraId="77826A9B">
      <w:pPr>
        <w:keepNext w:val="0"/>
        <w:keepLines w:val="0"/>
        <w:pageBreakBefore w:val="0"/>
        <w:widowControl w:val="0"/>
        <w:kinsoku/>
        <w:wordWrap/>
        <w:overflowPunct/>
        <w:topLinePunct w:val="0"/>
        <w:autoSpaceDE/>
        <w:autoSpaceDN/>
        <w:bidi w:val="0"/>
        <w:snapToGrid w:val="0"/>
        <w:spacing w:line="360" w:lineRule="auto"/>
        <w:ind w:firstLine="470" w:firstLineChars="196"/>
        <w:rPr>
          <w:i/>
          <w:color w:val="auto"/>
          <w:sz w:val="24"/>
          <w:highlight w:val="none"/>
        </w:rPr>
      </w:pPr>
      <w:r>
        <w:rPr>
          <w:color w:val="auto"/>
          <w:sz w:val="24"/>
          <w:highlight w:val="none"/>
        </w:rPr>
        <w:t>为了保证脱硫效率，吸收塔内浆液循环停留时间应不小于4min（浆池有效容积应按吸收塔运行液位计算，燃用设计煤种</w:t>
      </w:r>
      <w:r>
        <w:rPr>
          <w:rFonts w:hint="eastAsia"/>
          <w:color w:val="auto"/>
          <w:sz w:val="24"/>
          <w:highlight w:val="none"/>
          <w:lang w:val="en-US" w:eastAsia="zh-CN"/>
        </w:rPr>
        <w:t>锅炉最大连续</w:t>
      </w:r>
      <w:r>
        <w:rPr>
          <w:color w:val="auto"/>
          <w:sz w:val="24"/>
          <w:highlight w:val="none"/>
          <w:lang w:val="en-US"/>
        </w:rPr>
        <w:t>蒸发量</w:t>
      </w:r>
      <w:r>
        <w:rPr>
          <w:color w:val="auto"/>
          <w:sz w:val="24"/>
          <w:highlight w:val="none"/>
        </w:rPr>
        <w:t>工况）。</w:t>
      </w:r>
    </w:p>
    <w:p w14:paraId="3AFC5E66">
      <w:pPr>
        <w:keepNext w:val="0"/>
        <w:keepLines w:val="0"/>
        <w:pageBreakBefore w:val="0"/>
        <w:widowControl w:val="0"/>
        <w:kinsoku/>
        <w:wordWrap/>
        <w:overflowPunct/>
        <w:topLinePunct w:val="0"/>
        <w:autoSpaceDE/>
        <w:autoSpaceDN/>
        <w:bidi w:val="0"/>
        <w:snapToGrid w:val="0"/>
        <w:spacing w:line="360" w:lineRule="auto"/>
        <w:ind w:firstLine="470" w:firstLineChars="196"/>
        <w:rPr>
          <w:color w:val="auto"/>
          <w:sz w:val="24"/>
          <w:highlight w:val="none"/>
        </w:rPr>
      </w:pPr>
      <w:r>
        <w:rPr>
          <w:rFonts w:hint="eastAsia"/>
          <w:color w:val="auto"/>
          <w:sz w:val="24"/>
          <w:highlight w:val="none"/>
          <w:lang w:eastAsia="zh-CN"/>
        </w:rPr>
        <w:t>投标方</w:t>
      </w:r>
      <w:r>
        <w:rPr>
          <w:color w:val="auto"/>
          <w:sz w:val="24"/>
          <w:highlight w:val="none"/>
        </w:rPr>
        <w:t>应采取措施减少由于浆液的喷射而造成塔内FRP管道和联箱的磨损。</w:t>
      </w:r>
    </w:p>
    <w:p w14:paraId="73783204">
      <w:pPr>
        <w:pStyle w:val="19"/>
        <w:keepNext w:val="0"/>
        <w:keepLines w:val="0"/>
        <w:pageBreakBefore w:val="0"/>
        <w:widowControl w:val="0"/>
        <w:kinsoku/>
        <w:wordWrap/>
        <w:overflowPunct/>
        <w:topLinePunct w:val="0"/>
        <w:autoSpaceDE/>
        <w:autoSpaceDN/>
        <w:bidi w:val="0"/>
        <w:spacing w:line="360" w:lineRule="auto"/>
        <w:rPr>
          <w:rFonts w:hint="eastAsia"/>
          <w:color w:val="auto"/>
          <w:highlight w:val="none"/>
        </w:rPr>
      </w:pPr>
      <w:r>
        <w:rPr>
          <w:color w:val="auto"/>
          <w:highlight w:val="none"/>
        </w:rPr>
        <w:t>吸收塔应配备有足够数量和大小合适的人孔门，人孔门不能有泄漏，而且在附近应设置走道或平台。人孔门的尺寸至少为DN600，</w:t>
      </w:r>
      <w:r>
        <w:rPr>
          <w:rFonts w:hint="eastAsia"/>
          <w:color w:val="auto"/>
          <w:highlight w:val="none"/>
        </w:rPr>
        <w:t>底</w:t>
      </w:r>
      <w:r>
        <w:rPr>
          <w:color w:val="auto"/>
          <w:highlight w:val="none"/>
        </w:rPr>
        <w:t>部人孔门不小于Φ</w:t>
      </w:r>
      <w:r>
        <w:rPr>
          <w:rFonts w:hint="eastAsia"/>
          <w:color w:val="auto"/>
          <w:highlight w:val="none"/>
        </w:rPr>
        <w:t>1</w:t>
      </w:r>
      <w:r>
        <w:rPr>
          <w:color w:val="auto"/>
          <w:highlight w:val="none"/>
        </w:rPr>
        <w:t>600，同时确保搅拌器叶片能整体移入；</w:t>
      </w:r>
    </w:p>
    <w:p w14:paraId="005AEAA8">
      <w:pPr>
        <w:keepNext w:val="0"/>
        <w:keepLines w:val="0"/>
        <w:pageBreakBefore w:val="0"/>
        <w:widowControl w:val="0"/>
        <w:kinsoku/>
        <w:wordWrap/>
        <w:overflowPunct/>
        <w:topLinePunct w:val="0"/>
        <w:autoSpaceDE/>
        <w:autoSpaceDN/>
        <w:bidi w:val="0"/>
        <w:snapToGrid w:val="0"/>
        <w:spacing w:line="360" w:lineRule="auto"/>
        <w:ind w:firstLine="470" w:firstLineChars="196"/>
        <w:rPr>
          <w:color w:val="auto"/>
          <w:sz w:val="24"/>
          <w:highlight w:val="none"/>
        </w:rPr>
      </w:pPr>
      <w:r>
        <w:rPr>
          <w:rFonts w:hint="eastAsia"/>
          <w:color w:val="auto"/>
          <w:sz w:val="24"/>
          <w:highlight w:val="none"/>
        </w:rPr>
        <w:t>人孔门</w:t>
      </w:r>
      <w:r>
        <w:rPr>
          <w:color w:val="auto"/>
          <w:sz w:val="24"/>
          <w:highlight w:val="none"/>
        </w:rPr>
        <w:t>应易于开/关，在人孔门上应装有手柄，如果必要，应设置爬梯。</w:t>
      </w:r>
    </w:p>
    <w:p w14:paraId="359427D7">
      <w:pPr>
        <w:keepNext w:val="0"/>
        <w:keepLines w:val="0"/>
        <w:pageBreakBefore w:val="0"/>
        <w:widowControl w:val="0"/>
        <w:kinsoku/>
        <w:wordWrap/>
        <w:overflowPunct/>
        <w:topLinePunct w:val="0"/>
        <w:autoSpaceDE/>
        <w:autoSpaceDN/>
        <w:bidi w:val="0"/>
        <w:snapToGrid w:val="0"/>
        <w:spacing w:line="360" w:lineRule="auto"/>
        <w:ind w:firstLine="470" w:firstLineChars="196"/>
        <w:rPr>
          <w:color w:val="auto"/>
          <w:sz w:val="24"/>
          <w:highlight w:val="none"/>
        </w:rPr>
      </w:pPr>
      <w:r>
        <w:rPr>
          <w:color w:val="auto"/>
          <w:sz w:val="24"/>
          <w:highlight w:val="none"/>
        </w:rPr>
        <w:t>吸收塔内不应设置固定的平台楼梯，若必须设置则应充分考虑必要的防护措施。</w:t>
      </w:r>
    </w:p>
    <w:p w14:paraId="35F04E19">
      <w:pPr>
        <w:keepNext w:val="0"/>
        <w:keepLines w:val="0"/>
        <w:pageBreakBefore w:val="0"/>
        <w:widowControl w:val="0"/>
        <w:kinsoku/>
        <w:wordWrap/>
        <w:overflowPunct/>
        <w:topLinePunct w:val="0"/>
        <w:autoSpaceDE/>
        <w:autoSpaceDN/>
        <w:bidi w:val="0"/>
        <w:spacing w:line="360" w:lineRule="auto"/>
        <w:ind w:firstLine="480" w:firstLineChars="200"/>
        <w:rPr>
          <w:rFonts w:hint="default" w:eastAsia="宋体"/>
          <w:color w:val="auto"/>
          <w:sz w:val="24"/>
          <w:highlight w:val="none"/>
          <w:lang w:val="en-US" w:eastAsia="zh-CN"/>
        </w:rPr>
      </w:pPr>
      <w:r>
        <w:rPr>
          <w:color w:val="auto"/>
          <w:sz w:val="24"/>
          <w:szCs w:val="24"/>
          <w:highlight w:val="none"/>
        </w:rPr>
        <w:t>吸收塔壳体由碳钢制作，</w:t>
      </w:r>
      <w:r>
        <w:rPr>
          <w:rFonts w:hint="eastAsia"/>
          <w:color w:val="auto"/>
          <w:sz w:val="24"/>
          <w:szCs w:val="24"/>
          <w:highlight w:val="none"/>
          <w:lang w:val="en-US" w:eastAsia="zh-CN"/>
        </w:rPr>
        <w:t>各段</w:t>
      </w:r>
      <w:r>
        <w:rPr>
          <w:rFonts w:hint="default"/>
          <w:color w:val="auto"/>
          <w:sz w:val="24"/>
          <w:szCs w:val="24"/>
          <w:highlight w:val="none"/>
          <w:lang w:val="en-US" w:eastAsia="zh-CN"/>
        </w:rPr>
        <w:t>厚度</w:t>
      </w:r>
      <w:r>
        <w:rPr>
          <w:rFonts w:hint="default"/>
          <w:color w:val="auto"/>
          <w:sz w:val="24"/>
          <w:szCs w:val="24"/>
          <w:highlight w:val="none"/>
          <w:u w:val="none"/>
          <w:lang w:val="en-US" w:eastAsia="zh-CN"/>
        </w:rPr>
        <w:t xml:space="preserve">  /   /   /    </w:t>
      </w:r>
      <w:r>
        <w:rPr>
          <w:rFonts w:hint="default"/>
          <w:color w:val="auto"/>
          <w:sz w:val="24"/>
          <w:szCs w:val="24"/>
          <w:highlight w:val="none"/>
          <w:lang w:val="en-US" w:eastAsia="zh-CN"/>
        </w:rPr>
        <w:t>mm，（投标方填写，厚不得低于10mm）。</w:t>
      </w:r>
      <w:r>
        <w:rPr>
          <w:color w:val="auto"/>
          <w:sz w:val="24"/>
          <w:szCs w:val="24"/>
          <w:highlight w:val="none"/>
        </w:rPr>
        <w:t>内</w:t>
      </w:r>
      <w:r>
        <w:rPr>
          <w:color w:val="auto"/>
          <w:sz w:val="24"/>
          <w:szCs w:val="24"/>
          <w:highlight w:val="none"/>
        </w:rPr>
        <w:t>表面应进行内衬鳞片树脂或其它招标人认可的防腐设计</w:t>
      </w:r>
      <w:r>
        <w:rPr>
          <w:b/>
          <w:color w:val="auto"/>
          <w:sz w:val="24"/>
          <w:szCs w:val="24"/>
          <w:highlight w:val="none"/>
        </w:rPr>
        <w:t>。</w:t>
      </w:r>
      <w:r>
        <w:rPr>
          <w:color w:val="auto"/>
          <w:sz w:val="24"/>
          <w:highlight w:val="none"/>
        </w:rPr>
        <w:t>防腐内衬具体要求如下：塔底部及搅拌器区域侧壁（至少2m高范围）应</w:t>
      </w:r>
      <w:r>
        <w:rPr>
          <w:rFonts w:hint="eastAsia"/>
          <w:color w:val="auto"/>
          <w:sz w:val="24"/>
          <w:highlight w:val="none"/>
        </w:rPr>
        <w:t>采用耐磨设计</w:t>
      </w:r>
      <w:r>
        <w:rPr>
          <w:color w:val="auto"/>
          <w:sz w:val="24"/>
          <w:highlight w:val="none"/>
        </w:rPr>
        <w:t>，喷淋区、内部结构支撑件顶侧应</w:t>
      </w:r>
      <w:r>
        <w:rPr>
          <w:rFonts w:hint="eastAsia"/>
          <w:color w:val="auto"/>
          <w:sz w:val="24"/>
          <w:highlight w:val="none"/>
        </w:rPr>
        <w:t>采用耐磨设计</w:t>
      </w:r>
      <w:r>
        <w:rPr>
          <w:color w:val="auto"/>
          <w:sz w:val="24"/>
          <w:highlight w:val="none"/>
        </w:rPr>
        <w:t>，其它区域</w:t>
      </w:r>
      <w:r>
        <w:rPr>
          <w:rFonts w:hint="eastAsia"/>
          <w:color w:val="auto"/>
          <w:sz w:val="24"/>
          <w:highlight w:val="none"/>
        </w:rPr>
        <w:t>按常规设计</w:t>
      </w:r>
      <w:r>
        <w:rPr>
          <w:color w:val="auto"/>
          <w:sz w:val="24"/>
          <w:highlight w:val="none"/>
        </w:rPr>
        <w:t>。</w:t>
      </w:r>
      <w:r>
        <w:rPr>
          <w:rFonts w:hint="default"/>
          <w:color w:val="auto"/>
          <w:sz w:val="24"/>
          <w:highlight w:val="none"/>
          <w:lang w:val="en-US" w:eastAsia="zh-CN"/>
        </w:rPr>
        <w:t>玻璃鳞片品牌选用上纬、华昌、富晨或相当于。投标方投标时应明确玻璃</w:t>
      </w:r>
      <w:r>
        <w:rPr>
          <w:color w:val="auto"/>
          <w:sz w:val="24"/>
          <w:szCs w:val="24"/>
          <w:highlight w:val="none"/>
        </w:rPr>
        <w:t>鳞片</w:t>
      </w:r>
      <w:r>
        <w:rPr>
          <w:rFonts w:hint="default"/>
          <w:color w:val="auto"/>
          <w:sz w:val="24"/>
          <w:szCs w:val="24"/>
          <w:highlight w:val="none"/>
          <w:lang w:val="en-US" w:eastAsia="zh-CN"/>
        </w:rPr>
        <w:t>品牌及各区域防腐层厚度。</w:t>
      </w:r>
    </w:p>
    <w:p w14:paraId="42235DB1">
      <w:pPr>
        <w:keepNext w:val="0"/>
        <w:keepLines w:val="0"/>
        <w:pageBreakBefore w:val="0"/>
        <w:widowControl w:val="0"/>
        <w:tabs>
          <w:tab w:val="left" w:pos="420"/>
        </w:tabs>
        <w:kinsoku/>
        <w:wordWrap/>
        <w:overflowPunct/>
        <w:topLinePunct w:val="0"/>
        <w:autoSpaceDE/>
        <w:autoSpaceDN/>
        <w:bidi w:val="0"/>
        <w:adjustRightInd w:val="0"/>
        <w:snapToGrid w:val="0"/>
        <w:spacing w:line="360" w:lineRule="auto"/>
        <w:ind w:firstLine="480" w:firstLineChars="200"/>
        <w:rPr>
          <w:color w:val="auto"/>
          <w:sz w:val="24"/>
          <w:highlight w:val="none"/>
        </w:rPr>
      </w:pPr>
      <w:r>
        <w:rPr>
          <w:color w:val="auto"/>
          <w:sz w:val="24"/>
          <w:highlight w:val="none"/>
        </w:rPr>
        <w:t>如果没作另外规定，所有没有进行内衬防腐处理而又与浆液或烟气冷凝液相接触的金属设备，应由耐酸腐蚀不锈钢或合金钢制作。</w:t>
      </w:r>
    </w:p>
    <w:p w14:paraId="333C6607">
      <w:pPr>
        <w:keepNext w:val="0"/>
        <w:keepLines w:val="0"/>
        <w:pageBreakBefore w:val="0"/>
        <w:widowControl w:val="0"/>
        <w:kinsoku/>
        <w:wordWrap/>
        <w:overflowPunct/>
        <w:topLinePunct w:val="0"/>
        <w:autoSpaceDE/>
        <w:autoSpaceDN/>
        <w:bidi w:val="0"/>
        <w:spacing w:line="360" w:lineRule="auto"/>
        <w:ind w:firstLine="480" w:firstLineChars="200"/>
        <w:rPr>
          <w:rFonts w:hint="eastAsia"/>
          <w:color w:val="auto"/>
          <w:kern w:val="0"/>
          <w:sz w:val="24"/>
          <w:highlight w:val="none"/>
        </w:rPr>
      </w:pPr>
      <w:r>
        <w:rPr>
          <w:color w:val="auto"/>
          <w:sz w:val="24"/>
          <w:highlight w:val="none"/>
        </w:rPr>
        <w:t>吸收塔内部浆液喷淋系统由分配管网和喷嘴组成，喷淋系统的设计应能满足合理分布</w:t>
      </w:r>
      <w:r>
        <w:rPr>
          <w:color w:val="auto"/>
          <w:kern w:val="0"/>
          <w:sz w:val="24"/>
          <w:highlight w:val="none"/>
        </w:rPr>
        <w:t>要求的</w:t>
      </w:r>
      <w:r>
        <w:rPr>
          <w:color w:val="auto"/>
          <w:sz w:val="24"/>
          <w:highlight w:val="none"/>
        </w:rPr>
        <w:t>喷淋量，</w:t>
      </w:r>
      <w:r>
        <w:rPr>
          <w:color w:val="auto"/>
          <w:kern w:val="0"/>
          <w:sz w:val="24"/>
          <w:highlight w:val="none"/>
        </w:rPr>
        <w:t>使烟气流向均匀，</w:t>
      </w:r>
      <w:r>
        <w:rPr>
          <w:color w:val="auto"/>
          <w:sz w:val="24"/>
          <w:highlight w:val="none"/>
        </w:rPr>
        <w:t>并确保石灰石浆液与烟气充分接触和反应</w:t>
      </w:r>
      <w:r>
        <w:rPr>
          <w:color w:val="auto"/>
          <w:kern w:val="0"/>
          <w:sz w:val="24"/>
          <w:highlight w:val="none"/>
        </w:rPr>
        <w:t>。</w:t>
      </w:r>
    </w:p>
    <w:p w14:paraId="22C3245B">
      <w:pPr>
        <w:spacing w:line="360" w:lineRule="auto"/>
        <w:ind w:firstLine="480" w:firstLineChars="200"/>
        <w:rPr>
          <w:color w:val="auto"/>
          <w:sz w:val="24"/>
          <w:highlight w:val="none"/>
        </w:rPr>
      </w:pPr>
      <w:r>
        <w:rPr>
          <w:color w:val="auto"/>
          <w:kern w:val="0"/>
          <w:sz w:val="24"/>
          <w:highlight w:val="none"/>
        </w:rPr>
        <w:t>浆液喷淋系统应采用FRP</w:t>
      </w:r>
      <w:r>
        <w:rPr>
          <w:rFonts w:hint="default"/>
          <w:color w:val="auto"/>
          <w:kern w:val="0"/>
          <w:sz w:val="24"/>
          <w:highlight w:val="none"/>
          <w:lang w:val="en-US" w:eastAsia="zh-CN"/>
        </w:rPr>
        <w:t>,</w:t>
      </w:r>
      <w:r>
        <w:rPr>
          <w:color w:val="auto"/>
          <w:kern w:val="0"/>
          <w:sz w:val="24"/>
          <w:highlight w:val="none"/>
        </w:rPr>
        <w:t>浆液联箱不仅能在母管内均匀分布浆液，而且也能把浆液均匀分配给连接喷嘴的支管。</w:t>
      </w:r>
    </w:p>
    <w:p w14:paraId="0915E438">
      <w:pPr>
        <w:spacing w:line="360" w:lineRule="auto"/>
        <w:ind w:firstLine="480" w:firstLineChars="200"/>
        <w:rPr>
          <w:i/>
          <w:color w:val="auto"/>
          <w:kern w:val="0"/>
          <w:sz w:val="24"/>
          <w:highlight w:val="none"/>
        </w:rPr>
      </w:pPr>
      <w:r>
        <w:rPr>
          <w:color w:val="auto"/>
          <w:sz w:val="24"/>
          <w:highlight w:val="none"/>
        </w:rPr>
        <w:t>所有喷嘴应能避免快速磨损、结垢和堵塞，</w:t>
      </w:r>
      <w:r>
        <w:rPr>
          <w:color w:val="auto"/>
          <w:kern w:val="0"/>
          <w:sz w:val="24"/>
          <w:highlight w:val="none"/>
        </w:rPr>
        <w:t>喷嘴材料采用碳化硅或相当的材料制作。</w:t>
      </w:r>
    </w:p>
    <w:p w14:paraId="3027F774">
      <w:pPr>
        <w:spacing w:line="360" w:lineRule="auto"/>
        <w:ind w:firstLine="480" w:firstLineChars="200"/>
        <w:rPr>
          <w:color w:val="auto"/>
          <w:sz w:val="24"/>
          <w:highlight w:val="none"/>
        </w:rPr>
      </w:pPr>
      <w:r>
        <w:rPr>
          <w:color w:val="auto"/>
          <w:sz w:val="24"/>
          <w:highlight w:val="none"/>
        </w:rPr>
        <w:t>喷嘴与管道的设计应便于检修，冲洗和更换。</w:t>
      </w:r>
    </w:p>
    <w:p w14:paraId="7093C9B2">
      <w:pPr>
        <w:spacing w:line="360" w:lineRule="auto"/>
        <w:ind w:firstLine="480" w:firstLineChars="200"/>
        <w:rPr>
          <w:color w:val="auto"/>
          <w:sz w:val="24"/>
          <w:highlight w:val="none"/>
        </w:rPr>
      </w:pPr>
      <w:r>
        <w:rPr>
          <w:color w:val="auto"/>
          <w:sz w:val="24"/>
          <w:highlight w:val="none"/>
        </w:rPr>
        <w:t>吸收塔浆液搅拌系统应能防止浆液沉淀结块，其设计和布置应考虑氧化空气的最佳分布和浆液的充分氧化。</w:t>
      </w:r>
    </w:p>
    <w:p w14:paraId="47C49B45">
      <w:pPr>
        <w:adjustRightInd w:val="0"/>
        <w:snapToGrid w:val="0"/>
        <w:spacing w:line="360" w:lineRule="auto"/>
        <w:rPr>
          <w:color w:val="auto"/>
          <w:sz w:val="24"/>
          <w:highlight w:val="none"/>
        </w:rPr>
      </w:pPr>
      <w:r>
        <w:rPr>
          <w:color w:val="auto"/>
          <w:sz w:val="24"/>
          <w:highlight w:val="none"/>
        </w:rPr>
        <w:t>2.4.2.2 吸收塔浆液循环泵</w:t>
      </w:r>
    </w:p>
    <w:p w14:paraId="3A44B62F">
      <w:pPr>
        <w:spacing w:line="360" w:lineRule="auto"/>
        <w:ind w:firstLine="480"/>
        <w:rPr>
          <w:color w:val="auto"/>
          <w:sz w:val="24"/>
          <w:highlight w:val="none"/>
        </w:rPr>
      </w:pPr>
      <w:r>
        <w:rPr>
          <w:color w:val="auto"/>
          <w:sz w:val="24"/>
          <w:highlight w:val="none"/>
        </w:rPr>
        <w:t>吸收塔循环泵应符合本规范其它条款对“泵”的要求外，并应满足如下特殊要求：</w:t>
      </w:r>
    </w:p>
    <w:p w14:paraId="309EC192">
      <w:pPr>
        <w:spacing w:line="360" w:lineRule="auto"/>
        <w:ind w:firstLine="482"/>
        <w:rPr>
          <w:color w:val="auto"/>
          <w:sz w:val="24"/>
          <w:highlight w:val="none"/>
        </w:rPr>
      </w:pPr>
      <w:r>
        <w:rPr>
          <w:color w:val="auto"/>
          <w:sz w:val="24"/>
          <w:highlight w:val="none"/>
        </w:rPr>
        <w:t>（1）吸收塔循环泵应将吸收塔浆池内的吸收剂浆液循环送至喷嘴，并按照单元制设置（每层喷淋层由一台循环浆液泵单独供浆），吸收塔循环泵进口母管上设置隔离阀。</w:t>
      </w:r>
    </w:p>
    <w:p w14:paraId="5372602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color w:val="auto"/>
          <w:sz w:val="24"/>
          <w:highlight w:val="none"/>
          <w:lang w:val="en-US" w:eastAsia="zh-CN"/>
        </w:rPr>
      </w:pPr>
      <w:r>
        <w:rPr>
          <w:color w:val="auto"/>
          <w:sz w:val="24"/>
          <w:highlight w:val="none"/>
        </w:rPr>
        <w:t>（2）</w:t>
      </w:r>
      <w:r>
        <w:rPr>
          <w:bCs/>
          <w:color w:val="auto"/>
          <w:sz w:val="24"/>
          <w:highlight w:val="none"/>
        </w:rPr>
        <w:t>循环泵为离心泵，过流部件（包括前护板、后护板、泵壳、叶轮）的材质选用耐磨损抗腐蚀材料，采用全金属的形式。</w:t>
      </w:r>
      <w:r>
        <w:rPr>
          <w:color w:val="auto"/>
          <w:sz w:val="24"/>
          <w:highlight w:val="none"/>
        </w:rPr>
        <w:t>吸收塔浆液循环泵采用离心式浆液泵时</w:t>
      </w:r>
      <w:r>
        <w:rPr>
          <w:rFonts w:hint="eastAsia"/>
          <w:color w:val="auto"/>
          <w:sz w:val="24"/>
          <w:highlight w:val="none"/>
        </w:rPr>
        <w:t>：</w:t>
      </w:r>
      <w:r>
        <w:rPr>
          <w:color w:val="auto"/>
          <w:sz w:val="24"/>
          <w:highlight w:val="none"/>
        </w:rPr>
        <w:t>叶轮由A49或更高等级材料制成</w:t>
      </w:r>
      <w:r>
        <w:rPr>
          <w:rFonts w:hint="eastAsia"/>
          <w:color w:val="auto"/>
          <w:sz w:val="24"/>
          <w:highlight w:val="none"/>
        </w:rPr>
        <w:t>；泵整体</w:t>
      </w:r>
      <w:r>
        <w:rPr>
          <w:color w:val="auto"/>
          <w:sz w:val="24"/>
          <w:highlight w:val="none"/>
        </w:rPr>
        <w:t>使用寿命不少于30年。</w:t>
      </w:r>
      <w:r>
        <w:rPr>
          <w:rFonts w:hint="eastAsia"/>
          <w:color w:val="auto"/>
          <w:sz w:val="24"/>
          <w:highlight w:val="none"/>
          <w:lang w:val="en-US" w:eastAsia="zh-CN"/>
        </w:rPr>
        <w:t xml:space="preserve"> </w:t>
      </w:r>
    </w:p>
    <w:p w14:paraId="44EBFA0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color w:val="auto"/>
          <w:kern w:val="0"/>
          <w:sz w:val="24"/>
          <w:highlight w:val="none"/>
        </w:rPr>
      </w:pPr>
      <w:r>
        <w:rPr>
          <w:color w:val="auto"/>
          <w:sz w:val="24"/>
          <w:highlight w:val="none"/>
        </w:rPr>
        <w:t>（3）循环泵应配有油位指示器、</w:t>
      </w:r>
      <w:r>
        <w:rPr>
          <w:color w:val="auto"/>
          <w:kern w:val="0"/>
          <w:sz w:val="24"/>
          <w:highlight w:val="none"/>
        </w:rPr>
        <w:t>机械密封、</w:t>
      </w:r>
      <w:r>
        <w:rPr>
          <w:color w:val="auto"/>
          <w:sz w:val="24"/>
          <w:highlight w:val="none"/>
        </w:rPr>
        <w:t>联轴器罩和泄漏液收集设备</w:t>
      </w:r>
      <w:r>
        <w:rPr>
          <w:color w:val="auto"/>
          <w:kern w:val="0"/>
          <w:sz w:val="24"/>
          <w:highlight w:val="none"/>
        </w:rPr>
        <w:t>。</w:t>
      </w:r>
      <w:r>
        <w:rPr>
          <w:color w:val="auto"/>
          <w:sz w:val="24"/>
          <w:highlight w:val="none"/>
        </w:rPr>
        <w:t>机械密封室的设计将足够大，能够让浆液围绕机械密封循环和冷却机械密封件。</w:t>
      </w:r>
    </w:p>
    <w:p w14:paraId="53501C44">
      <w:pPr>
        <w:spacing w:line="360" w:lineRule="auto"/>
        <w:ind w:firstLine="480" w:firstLineChars="200"/>
        <w:rPr>
          <w:color w:val="auto"/>
          <w:sz w:val="24"/>
          <w:highlight w:val="none"/>
        </w:rPr>
      </w:pPr>
      <w:r>
        <w:rPr>
          <w:color w:val="auto"/>
          <w:sz w:val="24"/>
          <w:highlight w:val="none"/>
        </w:rPr>
        <w:t>（4）每台循环泵及其附属设备的结构设计应便于操作、维修和拆卸，有可更换性。吸收塔循环泵为离心泵。所有接触输送介质的泵体部件材料应能适于输送介质的性质，应能耐磨损和腐蚀。</w:t>
      </w:r>
      <w:r>
        <w:rPr>
          <w:rFonts w:hint="eastAsia"/>
          <w:color w:val="auto"/>
          <w:sz w:val="24"/>
          <w:highlight w:val="none"/>
          <w:lang w:eastAsia="zh-CN"/>
        </w:rPr>
        <w:t>投标方</w:t>
      </w:r>
      <w:r>
        <w:rPr>
          <w:color w:val="auto"/>
          <w:sz w:val="24"/>
          <w:highlight w:val="none"/>
        </w:rPr>
        <w:t>应基于以前的经验按40g/</w:t>
      </w:r>
      <w:r>
        <w:rPr>
          <w:rFonts w:hint="eastAsia"/>
          <w:color w:val="auto"/>
          <w:sz w:val="24"/>
          <w:highlight w:val="none"/>
          <w:lang w:val="en-US" w:eastAsia="zh-CN"/>
        </w:rPr>
        <w:t>L</w:t>
      </w:r>
      <w:r>
        <w:rPr>
          <w:color w:val="auto"/>
          <w:sz w:val="24"/>
          <w:highlight w:val="none"/>
        </w:rPr>
        <w:t>的氯离子浓度选择泵主要结构的材质。若有必要，泵及其各部件应进行安全检查，以保证产品的质量。应提供主要部件的使用寿命。</w:t>
      </w:r>
      <w:r>
        <w:rPr>
          <w:rFonts w:hint="eastAsia"/>
          <w:color w:val="auto"/>
          <w:sz w:val="24"/>
          <w:highlight w:val="none"/>
        </w:rPr>
        <w:t>主要部件的使用寿命；叶轮不小于30000h，耐磨板不小于30000h，机械密封不小于8000h</w:t>
      </w:r>
      <w:r>
        <w:rPr>
          <w:color w:val="auto"/>
          <w:sz w:val="24"/>
          <w:highlight w:val="none"/>
        </w:rPr>
        <w:t>。</w:t>
      </w:r>
    </w:p>
    <w:p w14:paraId="3D0D5FC8">
      <w:pPr>
        <w:spacing w:line="360" w:lineRule="auto"/>
        <w:ind w:firstLine="480" w:firstLineChars="200"/>
        <w:rPr>
          <w:color w:val="auto"/>
          <w:sz w:val="24"/>
          <w:highlight w:val="none"/>
        </w:rPr>
      </w:pPr>
      <w:r>
        <w:rPr>
          <w:color w:val="auto"/>
          <w:sz w:val="24"/>
          <w:highlight w:val="none"/>
        </w:rPr>
        <w:t>（5）</w:t>
      </w:r>
      <w:r>
        <w:rPr>
          <w:bCs/>
          <w:color w:val="auto"/>
          <w:sz w:val="24"/>
          <w:highlight w:val="none"/>
        </w:rPr>
        <w:t>每台卧式泵本体与电机应安装在一个刚性结构的共用底座上。共用底座应装有安装时进行水平调节的起重螺栓。承插接合应装有起重螺栓以便于分开连接部件。连接部件应锪孔装好。推动螺栓应固定在共用底盘的驱动侧以便于调整泵和驱动轴的中心。</w:t>
      </w:r>
    </w:p>
    <w:p w14:paraId="16D48690">
      <w:pPr>
        <w:widowControl/>
        <w:autoSpaceDE w:val="0"/>
        <w:autoSpaceDN w:val="0"/>
        <w:spacing w:line="360" w:lineRule="auto"/>
        <w:ind w:firstLine="480" w:firstLineChars="200"/>
        <w:textAlignment w:val="bottom"/>
        <w:rPr>
          <w:bCs/>
          <w:color w:val="auto"/>
          <w:sz w:val="24"/>
          <w:highlight w:val="none"/>
        </w:rPr>
      </w:pPr>
      <w:r>
        <w:rPr>
          <w:color w:val="auto"/>
          <w:sz w:val="24"/>
          <w:highlight w:val="none"/>
        </w:rPr>
        <w:t>（6）</w:t>
      </w:r>
      <w:r>
        <w:rPr>
          <w:bCs/>
          <w:color w:val="auto"/>
          <w:sz w:val="24"/>
          <w:highlight w:val="none"/>
        </w:rPr>
        <w:t>在所有离心泵的转动件上应进行单个部件和组装后整体件的静、动平衡试验。在泵速度升高至运行速度的过程中，水泵应能平稳运行。第一临界速度至少高于最大运转速度20％。</w:t>
      </w:r>
    </w:p>
    <w:p w14:paraId="4F247134">
      <w:pPr>
        <w:widowControl/>
        <w:autoSpaceDE w:val="0"/>
        <w:autoSpaceDN w:val="0"/>
        <w:spacing w:line="360" w:lineRule="auto"/>
        <w:ind w:firstLine="480" w:firstLineChars="200"/>
        <w:textAlignment w:val="bottom"/>
        <w:rPr>
          <w:bCs/>
          <w:color w:val="auto"/>
          <w:sz w:val="24"/>
          <w:highlight w:val="none"/>
        </w:rPr>
      </w:pPr>
      <w:r>
        <w:rPr>
          <w:color w:val="auto"/>
          <w:sz w:val="24"/>
          <w:highlight w:val="none"/>
        </w:rPr>
        <w:t>（7）</w:t>
      </w:r>
      <w:r>
        <w:rPr>
          <w:bCs/>
          <w:color w:val="auto"/>
          <w:sz w:val="24"/>
          <w:highlight w:val="none"/>
        </w:rPr>
        <w:t>泵及其辅助设备应有良好的可控性能、合理的运行操作方式及就地启停、调试和正常运行及事故情况下所必须的测量、控制调节及保护等措施，以确保设备的安全经济运行。泵的启停应通过DCS实现远程控制，并应提供泵与进口阀门之间的控制要求。</w:t>
      </w:r>
    </w:p>
    <w:p w14:paraId="78312548">
      <w:pPr>
        <w:widowControl/>
        <w:autoSpaceDE w:val="0"/>
        <w:autoSpaceDN w:val="0"/>
        <w:spacing w:line="360" w:lineRule="auto"/>
        <w:ind w:firstLine="480" w:firstLineChars="200"/>
        <w:textAlignment w:val="bottom"/>
        <w:rPr>
          <w:color w:val="auto"/>
          <w:sz w:val="24"/>
          <w:highlight w:val="none"/>
        </w:rPr>
      </w:pPr>
      <w:r>
        <w:rPr>
          <w:color w:val="auto"/>
          <w:sz w:val="24"/>
          <w:highlight w:val="none"/>
        </w:rPr>
        <w:t>（8）</w:t>
      </w:r>
      <w:r>
        <w:rPr>
          <w:bCs/>
          <w:color w:val="auto"/>
          <w:sz w:val="24"/>
          <w:highlight w:val="none"/>
        </w:rPr>
        <w:t>现场投运的合同设备的噪声水平应遵守《工业企业噪声卫生标准》的规定，采用保护听力和身体健康的容许连续噪声级检验，</w:t>
      </w:r>
      <w:r>
        <w:rPr>
          <w:rFonts w:hint="eastAsia"/>
          <w:bCs/>
          <w:color w:val="auto"/>
          <w:sz w:val="24"/>
          <w:highlight w:val="none"/>
          <w:lang w:eastAsia="zh-CN"/>
        </w:rPr>
        <w:t>投标方</w:t>
      </w:r>
      <w:r>
        <w:rPr>
          <w:bCs/>
          <w:color w:val="auto"/>
          <w:sz w:val="24"/>
          <w:highlight w:val="none"/>
        </w:rPr>
        <w:t>应保证距合同设备外1m处的干扰噪声应小于85dB(A)。</w:t>
      </w:r>
    </w:p>
    <w:p w14:paraId="16010CA5">
      <w:pPr>
        <w:spacing w:line="360" w:lineRule="auto"/>
        <w:ind w:firstLine="480" w:firstLineChars="200"/>
        <w:rPr>
          <w:bCs/>
          <w:color w:val="auto"/>
          <w:sz w:val="24"/>
          <w:highlight w:val="none"/>
        </w:rPr>
      </w:pPr>
      <w:r>
        <w:rPr>
          <w:color w:val="auto"/>
          <w:sz w:val="24"/>
          <w:highlight w:val="none"/>
        </w:rPr>
        <w:t>（9）循环泵与驱动电机采用直联方式，泵设计能承受的试验压力是在最大入口压力情况下的最大泵关闭压力的1.5倍。在所有运行条件下，</w:t>
      </w:r>
      <w:r>
        <w:rPr>
          <w:rFonts w:hint="eastAsia"/>
          <w:color w:val="auto"/>
          <w:sz w:val="24"/>
          <w:highlight w:val="none"/>
          <w:lang w:eastAsia="zh-CN"/>
        </w:rPr>
        <w:t>投标方</w:t>
      </w:r>
      <w:r>
        <w:rPr>
          <w:color w:val="auto"/>
          <w:sz w:val="24"/>
          <w:highlight w:val="none"/>
        </w:rPr>
        <w:t>应确保泵有足够的必需汽蚀余量（NPSH）。如果没有另外单独指出，要求最大的NPSH值留有0.5m的安全余量，防止发生气蚀。总流量应有＋10％裕量，总压头应有+15%的余量。</w:t>
      </w:r>
    </w:p>
    <w:p w14:paraId="34092052">
      <w:pPr>
        <w:spacing w:line="360" w:lineRule="auto"/>
        <w:ind w:firstLine="360" w:firstLineChars="150"/>
        <w:rPr>
          <w:color w:val="auto"/>
          <w:sz w:val="24"/>
          <w:highlight w:val="none"/>
        </w:rPr>
      </w:pPr>
      <w:r>
        <w:rPr>
          <w:color w:val="auto"/>
          <w:sz w:val="24"/>
          <w:highlight w:val="none"/>
        </w:rPr>
        <w:t>（10）在燃用设计煤种</w:t>
      </w:r>
      <w:r>
        <w:rPr>
          <w:rFonts w:hint="eastAsia"/>
          <w:color w:val="auto"/>
          <w:sz w:val="24"/>
          <w:highlight w:val="none"/>
          <w:lang w:val="en-US" w:eastAsia="zh-CN"/>
        </w:rPr>
        <w:t>额定</w:t>
      </w:r>
      <w:r>
        <w:rPr>
          <w:color w:val="auto"/>
          <w:sz w:val="24"/>
          <w:highlight w:val="none"/>
        </w:rPr>
        <w:t>工况下应有1层喷淋备用（备用范围包含循环泵、喷淋层、喷嘴，每台循环泵流量相同）。</w:t>
      </w:r>
    </w:p>
    <w:p w14:paraId="7B33FE87">
      <w:pPr>
        <w:spacing w:line="360" w:lineRule="auto"/>
        <w:ind w:firstLine="360" w:firstLineChars="150"/>
        <w:rPr>
          <w:color w:val="auto"/>
          <w:szCs w:val="21"/>
          <w:highlight w:val="none"/>
          <w:lang w:val="zh-CN"/>
        </w:rPr>
      </w:pPr>
      <w:r>
        <w:rPr>
          <w:color w:val="auto"/>
          <w:sz w:val="24"/>
          <w:highlight w:val="none"/>
        </w:rPr>
        <w:t>（11）循环泵及驱动电机应设置检修起吊装置。</w:t>
      </w:r>
    </w:p>
    <w:p w14:paraId="668C1DC4">
      <w:pPr>
        <w:spacing w:line="360" w:lineRule="auto"/>
        <w:ind w:firstLine="360" w:firstLineChars="150"/>
        <w:rPr>
          <w:rFonts w:hint="default" w:eastAsia="宋体"/>
          <w:color w:val="auto"/>
          <w:sz w:val="24"/>
          <w:highlight w:val="none"/>
          <w:lang w:val="en-US" w:eastAsia="zh-CN"/>
        </w:rPr>
      </w:pPr>
      <w:r>
        <w:rPr>
          <w:color w:val="auto"/>
          <w:sz w:val="24"/>
          <w:highlight w:val="none"/>
        </w:rPr>
        <w:t>（12）设计上应考虑在脱硫装置运行时能根据处理的烟气量和烟气中SO</w:t>
      </w:r>
      <w:r>
        <w:rPr>
          <w:color w:val="auto"/>
          <w:sz w:val="24"/>
          <w:highlight w:val="none"/>
          <w:vertAlign w:val="subscript"/>
        </w:rPr>
        <w:t>2</w:t>
      </w:r>
      <w:r>
        <w:rPr>
          <w:color w:val="auto"/>
          <w:sz w:val="24"/>
          <w:highlight w:val="none"/>
        </w:rPr>
        <w:t>的浓度对循环泵运行台数进行调整，以使脱硫装置运行经济化。</w:t>
      </w:r>
      <w:r>
        <w:rPr>
          <w:rFonts w:hint="default"/>
          <w:color w:val="auto"/>
          <w:sz w:val="24"/>
          <w:highlight w:val="none"/>
          <w:lang w:val="en-US" w:eastAsia="zh-CN"/>
        </w:rPr>
        <w:t>最低一层喷淋循环泵采用变频调节。</w:t>
      </w:r>
    </w:p>
    <w:p w14:paraId="0CF7AA65">
      <w:pPr>
        <w:spacing w:line="360" w:lineRule="auto"/>
        <w:ind w:firstLine="360" w:firstLineChars="150"/>
        <w:rPr>
          <w:rFonts w:hint="eastAsia"/>
          <w:color w:val="auto"/>
          <w:sz w:val="24"/>
          <w:highlight w:val="none"/>
        </w:rPr>
      </w:pPr>
      <w:r>
        <w:rPr>
          <w:color w:val="auto"/>
          <w:sz w:val="24"/>
          <w:highlight w:val="none"/>
        </w:rPr>
        <w:t>（13）每台</w:t>
      </w:r>
      <w:r>
        <w:rPr>
          <w:rFonts w:hint="eastAsia"/>
          <w:color w:val="auto"/>
          <w:sz w:val="24"/>
          <w:highlight w:val="none"/>
        </w:rPr>
        <w:t>循环泵吸入口设置滤网，滤网设置在塔内，滤网骨架及</w:t>
      </w:r>
      <w:r>
        <w:rPr>
          <w:color w:val="auto"/>
          <w:sz w:val="24"/>
          <w:highlight w:val="none"/>
        </w:rPr>
        <w:t>滤网均采用2205材质制作，螺栓螺母等紧固件材质不低于</w:t>
      </w:r>
      <w:r>
        <w:rPr>
          <w:rFonts w:hint="eastAsia"/>
          <w:color w:val="auto"/>
          <w:sz w:val="24"/>
          <w:highlight w:val="none"/>
        </w:rPr>
        <w:t>1</w:t>
      </w:r>
      <w:r>
        <w:rPr>
          <w:color w:val="auto"/>
          <w:sz w:val="24"/>
          <w:highlight w:val="none"/>
        </w:rPr>
        <w:t>.4529。滤网通流面积不少于泵入口管通流面积的</w:t>
      </w:r>
      <w:r>
        <w:rPr>
          <w:rFonts w:hint="eastAsia"/>
          <w:color w:val="auto"/>
          <w:sz w:val="24"/>
          <w:highlight w:val="none"/>
        </w:rPr>
        <w:t>3.5</w:t>
      </w:r>
      <w:r>
        <w:rPr>
          <w:color w:val="auto"/>
          <w:sz w:val="24"/>
          <w:highlight w:val="none"/>
        </w:rPr>
        <w:t>倍。</w:t>
      </w:r>
    </w:p>
    <w:p w14:paraId="21836491">
      <w:pPr>
        <w:adjustRightInd w:val="0"/>
        <w:snapToGrid w:val="0"/>
        <w:spacing w:line="360" w:lineRule="auto"/>
        <w:rPr>
          <w:color w:val="auto"/>
          <w:sz w:val="24"/>
          <w:highlight w:val="none"/>
        </w:rPr>
      </w:pPr>
      <w:r>
        <w:rPr>
          <w:color w:val="auto"/>
          <w:sz w:val="24"/>
          <w:highlight w:val="none"/>
        </w:rPr>
        <w:t>2.4.2.4氧化风机</w:t>
      </w:r>
    </w:p>
    <w:p w14:paraId="3FDB2610">
      <w:pPr>
        <w:spacing w:line="360" w:lineRule="auto"/>
        <w:ind w:firstLine="480"/>
        <w:rPr>
          <w:color w:val="auto"/>
          <w:sz w:val="24"/>
          <w:highlight w:val="none"/>
        </w:rPr>
      </w:pPr>
      <w:r>
        <w:rPr>
          <w:color w:val="auto"/>
          <w:sz w:val="24"/>
          <w:highlight w:val="none"/>
        </w:rPr>
        <w:t>每台吸收塔设置</w:t>
      </w:r>
      <w:r>
        <w:rPr>
          <w:rFonts w:hint="eastAsia"/>
          <w:color w:val="auto"/>
          <w:sz w:val="24"/>
          <w:highlight w:val="none"/>
          <w:lang w:val="en-US" w:eastAsia="zh-CN"/>
        </w:rPr>
        <w:t>2</w:t>
      </w:r>
      <w:r>
        <w:rPr>
          <w:color w:val="auto"/>
          <w:sz w:val="24"/>
          <w:highlight w:val="none"/>
        </w:rPr>
        <w:t>台氧化风机（</w:t>
      </w:r>
      <w:r>
        <w:rPr>
          <w:rFonts w:hint="eastAsia"/>
          <w:color w:val="auto"/>
          <w:sz w:val="24"/>
          <w:highlight w:val="none"/>
          <w:lang w:val="en-US" w:eastAsia="zh-CN"/>
        </w:rPr>
        <w:t>锅炉最大连续</w:t>
      </w:r>
      <w:r>
        <w:rPr>
          <w:color w:val="auto"/>
          <w:sz w:val="24"/>
          <w:highlight w:val="none"/>
          <w:lang w:val="en-US"/>
        </w:rPr>
        <w:t>蒸发量</w:t>
      </w:r>
      <w:r>
        <w:rPr>
          <w:color w:val="auto"/>
          <w:sz w:val="24"/>
          <w:highlight w:val="none"/>
        </w:rPr>
        <w:t>工况下燃用设计煤种，</w:t>
      </w:r>
      <w:r>
        <w:rPr>
          <w:rFonts w:hint="eastAsia"/>
          <w:color w:val="auto"/>
          <w:sz w:val="24"/>
          <w:highlight w:val="none"/>
          <w:lang w:val="en-US" w:eastAsia="zh-CN"/>
        </w:rPr>
        <w:t>1</w:t>
      </w:r>
      <w:r>
        <w:rPr>
          <w:color w:val="auto"/>
          <w:sz w:val="24"/>
          <w:highlight w:val="none"/>
        </w:rPr>
        <w:t>运</w:t>
      </w:r>
      <w:r>
        <w:rPr>
          <w:rFonts w:hint="eastAsia"/>
          <w:color w:val="auto"/>
          <w:sz w:val="24"/>
          <w:highlight w:val="none"/>
        </w:rPr>
        <w:t>1</w:t>
      </w:r>
      <w:r>
        <w:rPr>
          <w:color w:val="auto"/>
          <w:sz w:val="24"/>
          <w:highlight w:val="none"/>
        </w:rPr>
        <w:t>备）。氧化风机流量裕量为10%，压头裕量为20%。整机使用寿命不少于30年。</w:t>
      </w:r>
    </w:p>
    <w:p w14:paraId="2DDBA1A9">
      <w:pPr>
        <w:spacing w:line="360" w:lineRule="auto"/>
        <w:ind w:firstLine="480" w:firstLineChars="200"/>
        <w:rPr>
          <w:color w:val="auto"/>
          <w:sz w:val="24"/>
          <w:highlight w:val="none"/>
        </w:rPr>
      </w:pPr>
      <w:r>
        <w:rPr>
          <w:color w:val="auto"/>
          <w:sz w:val="24"/>
          <w:highlight w:val="none"/>
        </w:rPr>
        <w:t>氧化风机风量按在燃用设计煤种</w:t>
      </w:r>
      <w:r>
        <w:rPr>
          <w:rFonts w:hint="eastAsia"/>
          <w:color w:val="auto"/>
          <w:sz w:val="24"/>
          <w:highlight w:val="none"/>
          <w:lang w:val="en-US" w:eastAsia="zh-CN"/>
        </w:rPr>
        <w:t>锅炉最大连续</w:t>
      </w:r>
      <w:r>
        <w:rPr>
          <w:color w:val="auto"/>
          <w:sz w:val="24"/>
          <w:highlight w:val="none"/>
          <w:lang w:val="en-US"/>
        </w:rPr>
        <w:t>蒸发量</w:t>
      </w:r>
      <w:r>
        <w:rPr>
          <w:color w:val="auto"/>
          <w:sz w:val="24"/>
          <w:highlight w:val="none"/>
        </w:rPr>
        <w:t>工况时O/S摩尔比不小于2.5配置。</w:t>
      </w:r>
    </w:p>
    <w:p w14:paraId="5D431C8A">
      <w:pPr>
        <w:spacing w:line="360" w:lineRule="auto"/>
        <w:ind w:firstLine="480"/>
        <w:rPr>
          <w:rFonts w:hint="default"/>
          <w:color w:val="auto"/>
          <w:sz w:val="24"/>
          <w:highlight w:val="none"/>
        </w:rPr>
      </w:pPr>
      <w:r>
        <w:rPr>
          <w:color w:val="auto"/>
          <w:sz w:val="24"/>
          <w:highlight w:val="none"/>
        </w:rPr>
        <w:t>吸收塔氧化风机应采用</w:t>
      </w:r>
      <w:r>
        <w:rPr>
          <w:rFonts w:hint="default"/>
          <w:color w:val="auto"/>
          <w:sz w:val="24"/>
          <w:highlight w:val="none"/>
          <w:lang w:val="en-US" w:eastAsia="zh-CN"/>
        </w:rPr>
        <w:t>空气</w:t>
      </w:r>
      <w:r>
        <w:rPr>
          <w:rFonts w:hint="default"/>
          <w:color w:val="auto"/>
          <w:sz w:val="24"/>
          <w:highlight w:val="none"/>
        </w:rPr>
        <w:t>悬浮</w:t>
      </w:r>
      <w:r>
        <w:rPr>
          <w:color w:val="auto"/>
          <w:sz w:val="24"/>
          <w:highlight w:val="none"/>
        </w:rPr>
        <w:t>高速离心风机，氧化空气应无油。氧化风增湿水管应合理布置防止增湿水倒流。</w:t>
      </w:r>
      <w:r>
        <w:rPr>
          <w:rFonts w:hint="default"/>
          <w:color w:val="auto"/>
          <w:sz w:val="24"/>
          <w:highlight w:val="none"/>
        </w:rPr>
        <w:t>氧化风管</w:t>
      </w:r>
      <w:r>
        <w:rPr>
          <w:rFonts w:hint="default"/>
          <w:color w:val="auto"/>
          <w:sz w:val="24"/>
          <w:highlight w:val="none"/>
          <w:lang w:val="en-US" w:eastAsia="zh-CN"/>
        </w:rPr>
        <w:t>进入吸收塔内部分采用2205材质，</w:t>
      </w:r>
      <w:r>
        <w:rPr>
          <w:color w:val="auto"/>
          <w:sz w:val="24"/>
          <w:highlight w:val="none"/>
        </w:rPr>
        <w:t>并保证有足够的强度。</w:t>
      </w:r>
    </w:p>
    <w:p w14:paraId="330370B8">
      <w:pPr>
        <w:spacing w:line="360" w:lineRule="auto"/>
        <w:ind w:firstLine="480"/>
        <w:rPr>
          <w:rFonts w:hint="eastAsia" w:eastAsia="宋体"/>
          <w:color w:val="auto"/>
          <w:sz w:val="24"/>
          <w:highlight w:val="none"/>
          <w:lang w:eastAsia="zh-CN"/>
        </w:rPr>
      </w:pPr>
      <w:r>
        <w:rPr>
          <w:rFonts w:hint="eastAsia"/>
          <w:color w:val="auto"/>
          <w:sz w:val="24"/>
          <w:highlight w:val="none"/>
        </w:rPr>
        <w:t>氧化风管最低位要求设有低位</w:t>
      </w:r>
      <w:r>
        <w:rPr>
          <w:rFonts w:hint="eastAsia"/>
          <w:color w:val="auto"/>
          <w:sz w:val="24"/>
          <w:highlight w:val="none"/>
          <w:lang w:val="en-US" w:eastAsia="zh-CN"/>
        </w:rPr>
        <w:t>放</w:t>
      </w:r>
      <w:r>
        <w:rPr>
          <w:rFonts w:hint="eastAsia"/>
          <w:color w:val="auto"/>
          <w:sz w:val="24"/>
          <w:highlight w:val="none"/>
        </w:rPr>
        <w:t>水阀</w:t>
      </w:r>
      <w:r>
        <w:rPr>
          <w:rFonts w:hint="eastAsia"/>
          <w:color w:val="auto"/>
          <w:sz w:val="24"/>
          <w:highlight w:val="none"/>
          <w:lang w:eastAsia="zh-CN"/>
        </w:rPr>
        <w:t>。</w:t>
      </w:r>
    </w:p>
    <w:p w14:paraId="34D81BAF">
      <w:pPr>
        <w:widowControl/>
        <w:autoSpaceDE w:val="0"/>
        <w:autoSpaceDN w:val="0"/>
        <w:spacing w:line="360" w:lineRule="auto"/>
        <w:ind w:firstLine="480" w:firstLineChars="200"/>
        <w:textAlignment w:val="bottom"/>
        <w:rPr>
          <w:bCs/>
          <w:color w:val="auto"/>
          <w:sz w:val="24"/>
          <w:highlight w:val="none"/>
        </w:rPr>
      </w:pPr>
      <w:r>
        <w:rPr>
          <w:bCs/>
          <w:color w:val="auto"/>
          <w:sz w:val="24"/>
          <w:highlight w:val="none"/>
        </w:rPr>
        <w:t>风机及其辅助设备应有良好的可控性能、合理的运行操作方式及就地启停、调试和正常运行及事故情况下所必须的测量、控制调节及保护等措施，以确保设备的安全经济运行。备用的氧化风机应能在投运的氧化风机泄压时马上启动。</w:t>
      </w:r>
    </w:p>
    <w:p w14:paraId="58EB0C6C">
      <w:pPr>
        <w:widowControl/>
        <w:autoSpaceDE w:val="0"/>
        <w:autoSpaceDN w:val="0"/>
        <w:spacing w:line="360" w:lineRule="auto"/>
        <w:ind w:firstLine="480" w:firstLineChars="200"/>
        <w:textAlignment w:val="bottom"/>
        <w:rPr>
          <w:bCs/>
          <w:color w:val="auto"/>
          <w:sz w:val="24"/>
          <w:highlight w:val="none"/>
        </w:rPr>
      </w:pPr>
      <w:r>
        <w:rPr>
          <w:bCs/>
          <w:color w:val="auto"/>
          <w:sz w:val="24"/>
          <w:highlight w:val="none"/>
        </w:rPr>
        <w:t>设备的噪声水平应遵守《工业企业噪声卫生标准》的规定，采用保护听力和身体健康的容许连续噪声级检验，距设备外壳1m处的干扰噪声不得大于85dB(A)。如果使用消音器后，风机的噪声仍大于规定范围，</w:t>
      </w:r>
      <w:r>
        <w:rPr>
          <w:rFonts w:hint="eastAsia"/>
          <w:bCs/>
          <w:color w:val="auto"/>
          <w:sz w:val="24"/>
          <w:highlight w:val="none"/>
          <w:lang w:eastAsia="zh-CN"/>
        </w:rPr>
        <w:t>投标方</w:t>
      </w:r>
      <w:r>
        <w:rPr>
          <w:bCs/>
          <w:color w:val="auto"/>
          <w:sz w:val="24"/>
          <w:highlight w:val="none"/>
        </w:rPr>
        <w:t>应提供隔音罩等其它隔音措施来满足上述规定。</w:t>
      </w:r>
    </w:p>
    <w:p w14:paraId="28E24098">
      <w:pPr>
        <w:widowControl/>
        <w:autoSpaceDE w:val="0"/>
        <w:autoSpaceDN w:val="0"/>
        <w:spacing w:line="360" w:lineRule="auto"/>
        <w:ind w:firstLine="480" w:firstLineChars="200"/>
        <w:textAlignment w:val="bottom"/>
        <w:rPr>
          <w:color w:val="auto"/>
          <w:sz w:val="24"/>
          <w:highlight w:val="none"/>
        </w:rPr>
      </w:pPr>
      <w:r>
        <w:rPr>
          <w:bCs/>
          <w:color w:val="auto"/>
          <w:sz w:val="24"/>
          <w:highlight w:val="none"/>
        </w:rPr>
        <w:t>每台风机的隔音罩应为可拆卸式，应有足够的空间以便氧化风机及其辅机的巡检，并设有通风和照明。</w:t>
      </w:r>
      <w:r>
        <w:rPr>
          <w:color w:val="auto"/>
          <w:sz w:val="24"/>
          <w:highlight w:val="none"/>
        </w:rPr>
        <w:t>通风设备应能根据氧化风机运行自动投入运行。</w:t>
      </w:r>
    </w:p>
    <w:p w14:paraId="308CD439">
      <w:pPr>
        <w:spacing w:line="360" w:lineRule="auto"/>
        <w:ind w:firstLine="480" w:firstLineChars="200"/>
        <w:rPr>
          <w:color w:val="auto"/>
          <w:sz w:val="24"/>
          <w:highlight w:val="none"/>
        </w:rPr>
      </w:pPr>
      <w:r>
        <w:rPr>
          <w:color w:val="auto"/>
          <w:sz w:val="24"/>
          <w:highlight w:val="none"/>
        </w:rPr>
        <w:t>每台风机出口母管上设置电动隔离阀，阀门开关能与风机启停联锁。</w:t>
      </w:r>
    </w:p>
    <w:p w14:paraId="3D3ED4FB">
      <w:pPr>
        <w:spacing w:line="360" w:lineRule="auto"/>
        <w:ind w:firstLine="480" w:firstLineChars="200"/>
        <w:rPr>
          <w:color w:val="auto"/>
          <w:sz w:val="24"/>
          <w:highlight w:val="none"/>
        </w:rPr>
      </w:pPr>
      <w:r>
        <w:rPr>
          <w:color w:val="auto"/>
          <w:sz w:val="24"/>
          <w:highlight w:val="none"/>
        </w:rPr>
        <w:t>氧化风机房须设置检修起吊装置。</w:t>
      </w:r>
    </w:p>
    <w:p w14:paraId="745E5151">
      <w:pPr>
        <w:adjustRightInd w:val="0"/>
        <w:snapToGrid w:val="0"/>
        <w:spacing w:line="360" w:lineRule="auto"/>
        <w:rPr>
          <w:color w:val="auto"/>
          <w:sz w:val="24"/>
          <w:highlight w:val="none"/>
        </w:rPr>
      </w:pPr>
      <w:r>
        <w:rPr>
          <w:color w:val="auto"/>
          <w:sz w:val="24"/>
          <w:highlight w:val="none"/>
        </w:rPr>
        <w:t>2.4.2.5 石膏排出泵</w:t>
      </w:r>
    </w:p>
    <w:p w14:paraId="0AD0C50A">
      <w:pPr>
        <w:spacing w:line="360" w:lineRule="auto"/>
        <w:ind w:firstLine="480" w:firstLineChars="200"/>
        <w:rPr>
          <w:color w:val="auto"/>
          <w:sz w:val="24"/>
          <w:highlight w:val="none"/>
        </w:rPr>
      </w:pPr>
      <w:r>
        <w:rPr>
          <w:color w:val="auto"/>
          <w:sz w:val="24"/>
          <w:highlight w:val="none"/>
        </w:rPr>
        <w:t>每座吸收塔设置</w:t>
      </w:r>
      <w:r>
        <w:rPr>
          <w:rFonts w:hint="eastAsia"/>
          <w:color w:val="auto"/>
          <w:sz w:val="24"/>
          <w:highlight w:val="none"/>
        </w:rPr>
        <w:t>2</w:t>
      </w:r>
      <w:r>
        <w:rPr>
          <w:color w:val="auto"/>
          <w:sz w:val="24"/>
          <w:highlight w:val="none"/>
        </w:rPr>
        <w:t>台石膏排出泵（</w:t>
      </w:r>
      <w:r>
        <w:rPr>
          <w:rFonts w:hint="eastAsia"/>
          <w:color w:val="auto"/>
          <w:sz w:val="24"/>
          <w:highlight w:val="none"/>
        </w:rPr>
        <w:t>1</w:t>
      </w:r>
      <w:r>
        <w:rPr>
          <w:color w:val="auto"/>
          <w:sz w:val="24"/>
          <w:highlight w:val="none"/>
        </w:rPr>
        <w:t>运</w:t>
      </w:r>
      <w:r>
        <w:rPr>
          <w:rFonts w:hint="eastAsia"/>
          <w:color w:val="auto"/>
          <w:sz w:val="24"/>
          <w:highlight w:val="none"/>
        </w:rPr>
        <w:t>1</w:t>
      </w:r>
      <w:r>
        <w:rPr>
          <w:color w:val="auto"/>
          <w:sz w:val="24"/>
          <w:highlight w:val="none"/>
        </w:rPr>
        <w:t>备）。</w:t>
      </w:r>
    </w:p>
    <w:p w14:paraId="0762E247">
      <w:pPr>
        <w:tabs>
          <w:tab w:val="left" w:pos="1386"/>
          <w:tab w:val="left" w:pos="3262"/>
        </w:tabs>
        <w:spacing w:line="360" w:lineRule="auto"/>
        <w:ind w:firstLine="480"/>
        <w:rPr>
          <w:color w:val="auto"/>
          <w:sz w:val="24"/>
          <w:highlight w:val="none"/>
        </w:rPr>
      </w:pPr>
      <w:r>
        <w:rPr>
          <w:color w:val="auto"/>
          <w:sz w:val="24"/>
          <w:highlight w:val="none"/>
        </w:rPr>
        <w:t>石膏排出泵选用直联的离心泵，叶轮采用防腐耐磨合金钢材料制作，并符合本技术规范其它条款对“泵”的要求。</w:t>
      </w:r>
    </w:p>
    <w:p w14:paraId="4E64F0E5">
      <w:pPr>
        <w:tabs>
          <w:tab w:val="left" w:pos="1386"/>
          <w:tab w:val="left" w:pos="3262"/>
        </w:tabs>
        <w:spacing w:line="360" w:lineRule="auto"/>
        <w:ind w:firstLine="480"/>
        <w:rPr>
          <w:rFonts w:hint="eastAsia"/>
          <w:color w:val="auto"/>
          <w:sz w:val="24"/>
          <w:highlight w:val="none"/>
        </w:rPr>
      </w:pPr>
      <w:r>
        <w:rPr>
          <w:color w:val="auto"/>
          <w:sz w:val="24"/>
          <w:highlight w:val="none"/>
        </w:rPr>
        <w:t>每台</w:t>
      </w:r>
      <w:r>
        <w:rPr>
          <w:rFonts w:hint="eastAsia"/>
          <w:color w:val="auto"/>
          <w:sz w:val="24"/>
          <w:highlight w:val="none"/>
        </w:rPr>
        <w:t>泵吸入口设置滤网，滤网设置在塔外，滤网骨架及</w:t>
      </w:r>
      <w:r>
        <w:rPr>
          <w:color w:val="auto"/>
          <w:sz w:val="24"/>
          <w:highlight w:val="none"/>
        </w:rPr>
        <w:t>滤网均采用2205材质制作，螺栓螺母等紧固件材质不低于</w:t>
      </w:r>
      <w:r>
        <w:rPr>
          <w:rFonts w:hint="eastAsia"/>
          <w:color w:val="auto"/>
          <w:sz w:val="24"/>
          <w:highlight w:val="none"/>
        </w:rPr>
        <w:t>1</w:t>
      </w:r>
      <w:r>
        <w:rPr>
          <w:color w:val="auto"/>
          <w:sz w:val="24"/>
          <w:highlight w:val="none"/>
        </w:rPr>
        <w:t>.4529。滤网通流面积不少于泵入口管通流面积的</w:t>
      </w:r>
      <w:r>
        <w:rPr>
          <w:rFonts w:hint="eastAsia"/>
          <w:color w:val="auto"/>
          <w:sz w:val="24"/>
          <w:highlight w:val="none"/>
        </w:rPr>
        <w:t>3.5</w:t>
      </w:r>
      <w:r>
        <w:rPr>
          <w:color w:val="auto"/>
          <w:sz w:val="24"/>
          <w:highlight w:val="none"/>
        </w:rPr>
        <w:t>倍。</w:t>
      </w:r>
    </w:p>
    <w:p w14:paraId="2A3E12CC">
      <w:pPr>
        <w:adjustRightInd w:val="0"/>
        <w:snapToGrid w:val="0"/>
        <w:spacing w:line="360" w:lineRule="auto"/>
        <w:rPr>
          <w:rFonts w:hint="default" w:eastAsia="宋体"/>
          <w:color w:val="auto"/>
          <w:sz w:val="24"/>
          <w:highlight w:val="none"/>
          <w:lang w:val="en-US" w:eastAsia="zh-CN"/>
        </w:rPr>
      </w:pPr>
      <w:bookmarkStart w:id="55" w:name="OLE_LINK13"/>
      <w:r>
        <w:rPr>
          <w:color w:val="auto"/>
          <w:sz w:val="24"/>
          <w:highlight w:val="none"/>
        </w:rPr>
        <w:t>2.4.2.5</w:t>
      </w:r>
      <w:bookmarkStart w:id="56" w:name="OLE_LINK15"/>
      <w:r>
        <w:rPr>
          <w:rFonts w:hint="eastAsia"/>
          <w:color w:val="auto"/>
          <w:sz w:val="24"/>
          <w:highlight w:val="none"/>
          <w:lang w:val="en-US" w:eastAsia="zh-CN"/>
        </w:rPr>
        <w:t>冷凝湿膜</w:t>
      </w:r>
      <w:bookmarkStart w:id="57" w:name="OLE_LINK14"/>
      <w:r>
        <w:rPr>
          <w:rFonts w:hint="eastAsia"/>
          <w:color w:val="auto"/>
          <w:sz w:val="24"/>
          <w:highlight w:val="none"/>
          <w:lang w:val="en-US" w:eastAsia="zh-CN"/>
        </w:rPr>
        <w:t>除尘</w:t>
      </w:r>
      <w:bookmarkEnd w:id="56"/>
      <w:bookmarkEnd w:id="57"/>
      <w:r>
        <w:rPr>
          <w:rFonts w:hint="eastAsia"/>
          <w:color w:val="auto"/>
          <w:sz w:val="24"/>
          <w:highlight w:val="none"/>
          <w:lang w:val="en-US" w:eastAsia="zh-CN"/>
        </w:rPr>
        <w:t>除雾器</w:t>
      </w:r>
    </w:p>
    <w:bookmarkEnd w:id="55"/>
    <w:p w14:paraId="3E77C8A4">
      <w:pPr>
        <w:pStyle w:val="176"/>
        <w:shd w:val="clear" w:color="auto" w:fill="FFFFFF"/>
        <w:spacing w:line="360" w:lineRule="auto"/>
        <w:ind w:firstLine="480" w:firstLineChars="200"/>
        <w:rPr>
          <w:rFonts w:hint="default" w:eastAsia="宋体"/>
          <w:color w:val="auto"/>
          <w:sz w:val="24"/>
          <w:szCs w:val="24"/>
          <w:highlight w:val="none"/>
          <w:lang w:val="en-US" w:eastAsia="zh-CN"/>
        </w:rPr>
      </w:pPr>
      <w:r>
        <w:rPr>
          <w:rStyle w:val="54"/>
          <w:rFonts w:ascii="Times New Roman" w:hAnsi="Times New Roman" w:eastAsia="宋体" w:cs="Times New Roman"/>
          <w:color w:val="auto"/>
          <w:sz w:val="24"/>
          <w:highlight w:val="none"/>
        </w:rPr>
        <w:t>本工程每台</w:t>
      </w:r>
      <w:r>
        <w:rPr>
          <w:rStyle w:val="54"/>
          <w:rFonts w:hint="eastAsia" w:ascii="Times New Roman" w:hAnsi="Times New Roman" w:eastAsia="宋体" w:cs="Times New Roman"/>
          <w:color w:val="auto"/>
          <w:sz w:val="24"/>
          <w:highlight w:val="none"/>
        </w:rPr>
        <w:t>炉</w:t>
      </w:r>
      <w:r>
        <w:rPr>
          <w:rStyle w:val="54"/>
          <w:rFonts w:ascii="Times New Roman" w:hAnsi="Times New Roman" w:eastAsia="宋体" w:cs="Times New Roman"/>
          <w:color w:val="auto"/>
          <w:sz w:val="24"/>
          <w:highlight w:val="none"/>
        </w:rPr>
        <w:t>设置一</w:t>
      </w:r>
      <w:r>
        <w:rPr>
          <w:rStyle w:val="54"/>
          <w:rFonts w:hint="eastAsia" w:cs="Times New Roman"/>
          <w:color w:val="auto"/>
          <w:sz w:val="24"/>
          <w:highlight w:val="none"/>
          <w:lang w:val="en-US" w:eastAsia="zh-CN"/>
        </w:rPr>
        <w:t>套</w:t>
      </w:r>
      <w:r>
        <w:rPr>
          <w:rFonts w:hint="eastAsia"/>
          <w:color w:val="auto"/>
          <w:sz w:val="24"/>
          <w:highlight w:val="none"/>
          <w:lang w:val="en-US" w:eastAsia="zh-CN"/>
        </w:rPr>
        <w:t>冷凝湿膜除尘除雾器</w:t>
      </w:r>
      <w:r>
        <w:rPr>
          <w:rStyle w:val="54"/>
          <w:rFonts w:ascii="Times New Roman" w:hAnsi="Times New Roman" w:eastAsia="宋体" w:cs="Times New Roman"/>
          <w:color w:val="auto"/>
          <w:sz w:val="24"/>
          <w:highlight w:val="none"/>
        </w:rPr>
        <w:t>，吸收塔内布置。</w:t>
      </w:r>
      <w:r>
        <w:rPr>
          <w:rStyle w:val="54"/>
          <w:rFonts w:hint="eastAsia" w:cs="Times New Roman"/>
          <w:color w:val="auto"/>
          <w:sz w:val="24"/>
          <w:highlight w:val="none"/>
          <w:lang w:val="en-US" w:eastAsia="zh-CN"/>
        </w:rPr>
        <w:t>高效</w:t>
      </w:r>
      <w:r>
        <w:rPr>
          <w:rStyle w:val="54"/>
          <w:rFonts w:ascii="Times New Roman" w:hAnsi="Times New Roman" w:eastAsia="宋体" w:cs="Times New Roman"/>
          <w:color w:val="auto"/>
          <w:sz w:val="24"/>
          <w:highlight w:val="none"/>
        </w:rPr>
        <w:t>除</w:t>
      </w:r>
      <w:r>
        <w:rPr>
          <w:rStyle w:val="54"/>
          <w:rFonts w:hint="eastAsia" w:cs="Times New Roman"/>
          <w:color w:val="auto"/>
          <w:sz w:val="24"/>
          <w:highlight w:val="none"/>
          <w:lang w:val="en-US" w:eastAsia="zh-CN"/>
        </w:rPr>
        <w:t>雾</w:t>
      </w:r>
      <w:r>
        <w:rPr>
          <w:rStyle w:val="54"/>
          <w:rFonts w:ascii="Times New Roman" w:hAnsi="Times New Roman" w:eastAsia="宋体" w:cs="Times New Roman"/>
          <w:color w:val="auto"/>
          <w:sz w:val="24"/>
          <w:highlight w:val="none"/>
        </w:rPr>
        <w:t>器</w:t>
      </w:r>
      <w:r>
        <w:rPr>
          <w:rStyle w:val="54"/>
          <w:rFonts w:hint="eastAsia" w:eastAsia="宋体" w:cs="Times New Roman"/>
          <w:color w:val="auto"/>
          <w:sz w:val="24"/>
          <w:highlight w:val="none"/>
          <w:lang w:val="en-US" w:eastAsia="zh-CN"/>
        </w:rPr>
        <w:t>分级设计，</w:t>
      </w:r>
      <w:r>
        <w:rPr>
          <w:rStyle w:val="54"/>
          <w:rFonts w:hint="default" w:eastAsia="宋体" w:cs="Times New Roman"/>
          <w:color w:val="auto"/>
          <w:sz w:val="24"/>
          <w:highlight w:val="none"/>
          <w:lang w:val="en-US" w:eastAsia="zh-CN"/>
        </w:rPr>
        <w:t>不少于</w:t>
      </w:r>
      <w:r>
        <w:rPr>
          <w:rStyle w:val="54"/>
          <w:rFonts w:hint="default" w:cs="Times New Roman"/>
          <w:color w:val="auto"/>
          <w:sz w:val="24"/>
          <w:highlight w:val="none"/>
          <w:lang w:val="en-US" w:eastAsia="zh-CN"/>
        </w:rPr>
        <w:t>4</w:t>
      </w:r>
      <w:r>
        <w:rPr>
          <w:rStyle w:val="54"/>
          <w:rFonts w:hint="default" w:eastAsia="宋体" w:cs="Times New Roman"/>
          <w:color w:val="auto"/>
          <w:sz w:val="24"/>
          <w:highlight w:val="none"/>
          <w:lang w:val="en-US" w:eastAsia="zh-CN"/>
        </w:rPr>
        <w:t>级，其中</w:t>
      </w:r>
      <w:r>
        <w:rPr>
          <w:rStyle w:val="54"/>
          <w:rFonts w:hint="default" w:cs="Times New Roman"/>
          <w:color w:val="auto"/>
          <w:sz w:val="24"/>
          <w:highlight w:val="none"/>
          <w:lang w:val="en-US" w:eastAsia="zh-CN"/>
        </w:rPr>
        <w:t>第一级为自转管式除雾器，第二级为屋顶式除雾器，第三级为免冲洗冷凝湿膜除雾器，第四级级为超精细屋顶式除雾器，</w:t>
      </w:r>
      <w:r>
        <w:rPr>
          <w:rFonts w:hint="default"/>
          <w:color w:val="auto"/>
          <w:sz w:val="24"/>
          <w:szCs w:val="24"/>
          <w:highlight w:val="none"/>
          <w:lang w:val="en-US" w:eastAsia="zh-CN"/>
        </w:rPr>
        <w:t>除雾器</w:t>
      </w:r>
      <w:r>
        <w:rPr>
          <w:rStyle w:val="54"/>
          <w:rFonts w:hint="default" w:eastAsia="宋体" w:cs="Times New Roman"/>
          <w:color w:val="auto"/>
          <w:sz w:val="24"/>
          <w:highlight w:val="none"/>
          <w:lang w:val="en-US" w:eastAsia="zh-CN"/>
        </w:rPr>
        <w:t>整体阻力不超过</w:t>
      </w:r>
      <w:r>
        <w:rPr>
          <w:rStyle w:val="54"/>
          <w:rFonts w:hint="default" w:cs="Times New Roman"/>
          <w:color w:val="auto"/>
          <w:sz w:val="24"/>
          <w:highlight w:val="none"/>
          <w:lang w:val="en-US" w:eastAsia="zh-CN"/>
        </w:rPr>
        <w:t>500</w:t>
      </w:r>
      <w:r>
        <w:rPr>
          <w:rStyle w:val="54"/>
          <w:rFonts w:hint="default" w:eastAsia="宋体" w:cs="Times New Roman"/>
          <w:color w:val="auto"/>
          <w:sz w:val="24"/>
          <w:highlight w:val="none"/>
          <w:lang w:val="en-US" w:eastAsia="zh-CN"/>
        </w:rPr>
        <w:t>Pa</w:t>
      </w:r>
      <w:r>
        <w:rPr>
          <w:rStyle w:val="54"/>
          <w:rFonts w:hint="default" w:cs="Times New Roman"/>
          <w:color w:val="auto"/>
          <w:sz w:val="24"/>
          <w:highlight w:val="none"/>
          <w:lang w:val="en-US" w:eastAsia="zh-CN"/>
        </w:rPr>
        <w:t>，每级除雾器间留有合理的检修空间。考虑到烟道废水蒸发系统（脱硫废水零排放处理，通过将废水喷入烟道利用高温烟气蒸发水分，固形物随烟气进入后续系统）对排放指标可能有影响，需要预留一层免冲洗冷凝湿膜除雾器的空间及有关接口。除雾器冷却水系统不设冷却站，冷却水采用除盐水，除雾器与化水车间除盐水箱、除盐水泵形成冷却系统。</w:t>
      </w:r>
    </w:p>
    <w:p w14:paraId="596097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color w:val="auto"/>
          <w:sz w:val="24"/>
          <w:szCs w:val="24"/>
          <w:highlight w:val="none"/>
        </w:rPr>
        <w:t>顶层喷淋层与除雾器之间应有适当的距离，减小烟气当中的一些固体颗粒被直接携带至除雾器上的可能性。</w:t>
      </w:r>
      <w:r>
        <w:rPr>
          <w:rFonts w:hint="default"/>
          <w:color w:val="auto"/>
          <w:sz w:val="24"/>
          <w:szCs w:val="24"/>
          <w:highlight w:val="none"/>
          <w:lang w:val="en-US" w:eastAsia="zh-CN"/>
        </w:rPr>
        <w:t>超精细</w:t>
      </w:r>
      <w:r>
        <w:rPr>
          <w:rStyle w:val="54"/>
          <w:rFonts w:hint="default" w:cs="Times New Roman"/>
          <w:color w:val="auto"/>
          <w:sz w:val="24"/>
          <w:highlight w:val="none"/>
          <w:lang w:val="en-US" w:eastAsia="zh-CN"/>
        </w:rPr>
        <w:t>屋顶式除雾器</w:t>
      </w:r>
      <w:r>
        <w:rPr>
          <w:color w:val="auto"/>
          <w:sz w:val="24"/>
          <w:szCs w:val="24"/>
          <w:highlight w:val="none"/>
        </w:rPr>
        <w:t>出口</w:t>
      </w:r>
      <w:r>
        <w:rPr>
          <w:rFonts w:hint="default"/>
          <w:color w:val="auto"/>
          <w:sz w:val="24"/>
          <w:szCs w:val="24"/>
          <w:highlight w:val="none"/>
          <w:lang w:val="en-US" w:eastAsia="zh-CN"/>
        </w:rPr>
        <w:t>与烟道应有合理设计。</w:t>
      </w:r>
      <w:r>
        <w:rPr>
          <w:color w:val="auto"/>
          <w:sz w:val="24"/>
          <w:szCs w:val="24"/>
          <w:highlight w:val="none"/>
        </w:rPr>
        <w:t>除雾器的设计应保证其具有较高的可利用性和良好的去除液滴效果。</w:t>
      </w:r>
      <w:r>
        <w:rPr>
          <w:rFonts w:hint="default"/>
          <w:color w:val="auto"/>
          <w:sz w:val="24"/>
          <w:szCs w:val="24"/>
          <w:highlight w:val="none"/>
          <w:lang w:val="en-US" w:eastAsia="zh-CN"/>
        </w:rPr>
        <w:t>保证吸收塔出口</w:t>
      </w:r>
      <w:r>
        <w:rPr>
          <w:color w:val="auto"/>
          <w:sz w:val="24"/>
          <w:szCs w:val="24"/>
          <w:highlight w:val="none"/>
        </w:rPr>
        <w:t>烟气中的雾滴浓度应不大15mg/ Nm</w:t>
      </w:r>
      <w:r>
        <w:rPr>
          <w:color w:val="auto"/>
          <w:sz w:val="24"/>
          <w:szCs w:val="24"/>
          <w:highlight w:val="none"/>
          <w:vertAlign w:val="baseline"/>
        </w:rPr>
        <w:t>3</w:t>
      </w:r>
      <w:r>
        <w:rPr>
          <w:color w:val="auto"/>
          <w:sz w:val="24"/>
          <w:szCs w:val="24"/>
          <w:highlight w:val="none"/>
        </w:rPr>
        <w:t>。</w:t>
      </w:r>
    </w:p>
    <w:p w14:paraId="463510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color w:val="auto"/>
          <w:sz w:val="24"/>
          <w:szCs w:val="24"/>
          <w:highlight w:val="none"/>
        </w:rPr>
        <w:t>除雾器系统的设计特别要注意FGD装置入口的飞灰浓度的影响。该系统还应包括去除除雾器沉积物的冲洗和排水系统，运行时根据给定或可变化的程序，既可进行自动冲洗，也可进行人工冲洗。除雾器冲洗系统应能够对除雾器进行全面冲洗，不能有未冲洗到的表面。每级除雾器均分别设置向上、向下两层冲洗喷淋层（免冲洗除外）</w:t>
      </w:r>
      <w:r>
        <w:rPr>
          <w:rFonts w:hint="default"/>
          <w:color w:val="auto"/>
          <w:sz w:val="24"/>
          <w:szCs w:val="24"/>
          <w:highlight w:val="none"/>
          <w:lang w:eastAsia="zh-CN"/>
        </w:rPr>
        <w:t>，</w:t>
      </w:r>
      <w:r>
        <w:rPr>
          <w:rFonts w:hint="default"/>
          <w:color w:val="auto"/>
          <w:sz w:val="24"/>
          <w:szCs w:val="24"/>
          <w:highlight w:val="none"/>
          <w:lang w:val="en-US" w:eastAsia="zh-CN"/>
        </w:rPr>
        <w:t>冷凝层应设有事故应急冲洗水系统。</w:t>
      </w:r>
      <w:r>
        <w:rPr>
          <w:color w:val="auto"/>
          <w:sz w:val="24"/>
          <w:szCs w:val="24"/>
          <w:highlight w:val="none"/>
        </w:rPr>
        <w:t>除雾器冲洗程序（冲洗和间隔时间）可根据负荷大小灵活设置。</w:t>
      </w:r>
      <w:r>
        <w:rPr>
          <w:rFonts w:hint="default"/>
          <w:color w:val="auto"/>
          <w:sz w:val="24"/>
          <w:szCs w:val="24"/>
          <w:highlight w:val="none"/>
          <w:lang w:val="en-US" w:eastAsia="zh-CN"/>
        </w:rPr>
        <w:t>冷凝层应设有事故应急冲洗水系统。</w:t>
      </w:r>
      <w:r>
        <w:rPr>
          <w:rFonts w:hint="default"/>
          <w:color w:val="auto"/>
          <w:sz w:val="24"/>
          <w:highlight w:val="none"/>
          <w:lang w:val="en-US" w:eastAsia="zh-CN"/>
        </w:rPr>
        <w:t>冷凝湿膜除尘</w:t>
      </w:r>
      <w:r>
        <w:rPr>
          <w:color w:val="auto"/>
          <w:sz w:val="24"/>
          <w:szCs w:val="24"/>
          <w:highlight w:val="none"/>
        </w:rPr>
        <w:t>除雾器冲洗水的压力应进行监视和控制，保持冲洗水压稳定在设计值，冲洗水母管的布置应能使每个喷嘴基本运行在平均水压。</w:t>
      </w:r>
    </w:p>
    <w:p w14:paraId="403E9F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rFonts w:hint="default"/>
          <w:color w:val="auto"/>
          <w:sz w:val="24"/>
          <w:highlight w:val="none"/>
          <w:lang w:val="en-US" w:eastAsia="zh-CN"/>
        </w:rPr>
        <w:t>除尘</w:t>
      </w:r>
      <w:r>
        <w:rPr>
          <w:color w:val="auto"/>
          <w:sz w:val="24"/>
          <w:szCs w:val="24"/>
          <w:highlight w:val="none"/>
        </w:rPr>
        <w:t>除雾器冲洗用水为工艺水，由单独设置的除雾器冲洗水泵提供。除雾器材料应能承受高速水流冲刷，特别是人工冲洗造成的高速水流冲刷，选用的材料应</w:t>
      </w:r>
      <w:r>
        <w:rPr>
          <w:rFonts w:hint="default"/>
          <w:color w:val="auto"/>
          <w:sz w:val="24"/>
          <w:szCs w:val="24"/>
          <w:highlight w:val="none"/>
          <w:lang w:val="en-US" w:eastAsia="zh-CN"/>
        </w:rPr>
        <w:t>投标是明</w:t>
      </w:r>
      <w:r>
        <w:rPr>
          <w:color w:val="auto"/>
          <w:sz w:val="24"/>
          <w:szCs w:val="24"/>
          <w:highlight w:val="none"/>
        </w:rPr>
        <w:t>确。</w:t>
      </w:r>
    </w:p>
    <w:p w14:paraId="47C54D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olor w:val="auto"/>
          <w:sz w:val="24"/>
          <w:highlight w:val="none"/>
          <w:lang w:val="en-US" w:eastAsia="zh-CN"/>
        </w:rPr>
      </w:pPr>
      <w:r>
        <w:rPr>
          <w:color w:val="auto"/>
          <w:sz w:val="24"/>
          <w:szCs w:val="24"/>
          <w:highlight w:val="none"/>
        </w:rPr>
        <w:t>除雾器的布置可结合吸收塔的设计统一考虑，以方便运行和维护。内部通道的布置应适于维修时内部组件的安装和拆卸。冷凝层上下必须留有合适的检修空间。除雾器将以单个组件进行安装，而且组件能通过附近的吸收塔人孔门进入。</w:t>
      </w:r>
    </w:p>
    <w:p w14:paraId="1BDFF3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color w:val="auto"/>
          <w:sz w:val="24"/>
          <w:szCs w:val="24"/>
          <w:highlight w:val="none"/>
        </w:rPr>
        <w:t>除雾段的测点包括：除雾段的压降，在冲洗期间冲洗水母管的瞬时水压和流量(配低流量/压力的报警)等。设计上应对测量除雾器压降的装置采取防止堵塞的措施。</w:t>
      </w:r>
    </w:p>
    <w:p w14:paraId="6458BF47">
      <w:pPr>
        <w:kinsoku/>
        <w:overflowPunct/>
        <w:spacing w:line="360" w:lineRule="auto"/>
        <w:ind w:firstLine="480" w:firstLineChars="200"/>
        <w:rPr>
          <w:rFonts w:hint="default" w:ascii="Times New Roman" w:hAnsi="Times New Roman" w:eastAsia="宋体" w:cs="Times New Roman"/>
          <w:color w:val="auto"/>
          <w:sz w:val="24"/>
          <w:highlight w:val="none"/>
          <w:lang w:val="en-US"/>
        </w:rPr>
      </w:pPr>
      <w:r>
        <w:rPr>
          <w:rFonts w:hint="default" w:cs="Times New Roman"/>
          <w:color w:val="auto"/>
          <w:sz w:val="24"/>
          <w:highlight w:val="none"/>
          <w:lang w:val="en-US" w:eastAsia="zh-CN"/>
        </w:rPr>
        <w:t>免冲洗冷凝湿膜除雾器应</w:t>
      </w:r>
      <w:r>
        <w:rPr>
          <w:rFonts w:hint="default" w:ascii="Times New Roman" w:hAnsi="Times New Roman" w:eastAsia="宋体" w:cs="Times New Roman"/>
          <w:color w:val="auto"/>
          <w:sz w:val="24"/>
          <w:highlight w:val="none"/>
        </w:rPr>
        <w:t>有效拦截极其细微的粉尘和雾滴，可以有效治理烟气中的细微粉尘。携带粉尘和雾滴的饱和湿烟气穿过多条相互缠绕的多级离心管，烟气受到巨大的、连续的离心力作用，且烟气受冷析出大量的冷凝水，该冷凝水兼顾包覆粉尘、细微雾滴使其长大，且足以实现自清洁功效。</w:t>
      </w:r>
      <w:r>
        <w:rPr>
          <w:rFonts w:hint="default" w:cs="Times New Roman"/>
          <w:color w:val="auto"/>
          <w:sz w:val="24"/>
          <w:highlight w:val="none"/>
          <w:lang w:val="en-US" w:eastAsia="zh-CN"/>
        </w:rPr>
        <w:t>并且具有</w:t>
      </w:r>
      <w:r>
        <w:rPr>
          <w:rFonts w:hint="default" w:ascii="Times New Roman" w:hAnsi="Times New Roman" w:eastAsia="宋体" w:cs="Times New Roman"/>
          <w:color w:val="auto"/>
          <w:sz w:val="24"/>
          <w:highlight w:val="none"/>
        </w:rPr>
        <w:t>将细微粉尘和微小雾滴进行放大n倍以后可以被超精细除雾器所拦截，从而实现</w:t>
      </w:r>
      <w:r>
        <w:rPr>
          <w:rFonts w:hint="default" w:ascii="Times New Roman" w:hAnsi="Times New Roman" w:eastAsia="宋体" w:cs="Times New Roman"/>
          <w:color w:val="auto"/>
          <w:sz w:val="24"/>
          <w:highlight w:val="none"/>
          <w:lang w:val="en-US"/>
        </w:rPr>
        <w:t>粉尘的拦截功</w:t>
      </w:r>
      <w:r>
        <w:rPr>
          <w:rFonts w:hint="default" w:ascii="Times New Roman" w:hAnsi="Times New Roman" w:eastAsia="宋体" w:cs="Times New Roman"/>
          <w:color w:val="auto"/>
          <w:sz w:val="24"/>
          <w:highlight w:val="none"/>
          <w:lang w:val="en-US" w:eastAsia="zh-CN"/>
        </w:rPr>
        <w:t>能。</w:t>
      </w:r>
    </w:p>
    <w:p w14:paraId="4067E774">
      <w:pPr>
        <w:kinsoku/>
        <w:overflowPunct/>
        <w:spacing w:line="360" w:lineRule="auto"/>
        <w:ind w:firstLine="480" w:firstLineChars="200"/>
        <w:rPr>
          <w:rFonts w:hint="default" w:ascii="Times New Roman" w:hAnsi="Times New Roman" w:eastAsia="宋体" w:cs="Times New Roman"/>
          <w:color w:val="auto"/>
          <w:sz w:val="24"/>
          <w:szCs w:val="24"/>
          <w:highlight w:val="none"/>
          <w:lang w:val="en-US"/>
        </w:rPr>
      </w:pPr>
      <w:r>
        <w:rPr>
          <w:rFonts w:hint="default" w:ascii="Times New Roman" w:hAnsi="Times New Roman" w:eastAsia="宋体" w:cs="Times New Roman"/>
          <w:color w:val="auto"/>
          <w:sz w:val="24"/>
          <w:szCs w:val="24"/>
          <w:highlight w:val="none"/>
          <w:lang w:val="en-US"/>
        </w:rPr>
        <w:t>除雾器组件、冲洗母管和冲洗喷嘴应易于靠近进行检修和维护。设计的除雾器支撑梁可作为维修通道，至少应能承受3000N/m</w:t>
      </w:r>
      <w:r>
        <w:rPr>
          <w:rFonts w:hint="default" w:ascii="Times New Roman" w:hAnsi="Times New Roman" w:eastAsia="宋体" w:cs="Times New Roman"/>
          <w:color w:val="auto"/>
          <w:sz w:val="24"/>
          <w:szCs w:val="24"/>
          <w:highlight w:val="none"/>
          <w:vertAlign w:val="baseline"/>
          <w:lang w:val="en-US"/>
        </w:rPr>
        <w:t>2</w:t>
      </w:r>
      <w:r>
        <w:rPr>
          <w:rFonts w:hint="default" w:ascii="Times New Roman" w:hAnsi="Times New Roman" w:eastAsia="宋体" w:cs="Times New Roman"/>
          <w:color w:val="auto"/>
          <w:sz w:val="24"/>
          <w:szCs w:val="24"/>
          <w:highlight w:val="none"/>
          <w:lang w:val="en-US"/>
        </w:rPr>
        <w:t>的动荷载。</w:t>
      </w:r>
    </w:p>
    <w:p w14:paraId="3B052E76">
      <w:pPr>
        <w:widowControl/>
        <w:spacing w:line="360" w:lineRule="auto"/>
        <w:ind w:firstLine="480" w:firstLineChars="200"/>
        <w:rPr>
          <w:rFonts w:hint="default"/>
          <w:color w:val="auto"/>
          <w:sz w:val="24"/>
          <w:szCs w:val="24"/>
          <w:highlight w:val="none"/>
        </w:rPr>
      </w:pPr>
      <w:r>
        <w:rPr>
          <w:color w:val="auto"/>
          <w:sz w:val="24"/>
          <w:szCs w:val="24"/>
          <w:highlight w:val="none"/>
          <w:lang w:val="en-US"/>
        </w:rPr>
        <w:t>保证在</w:t>
      </w:r>
      <w:r>
        <w:rPr>
          <w:rFonts w:hint="default"/>
          <w:color w:val="auto"/>
          <w:sz w:val="24"/>
          <w:szCs w:val="24"/>
          <w:highlight w:val="none"/>
          <w:lang w:val="en-US"/>
        </w:rPr>
        <w:t>设计条件下冷凝水量不低于</w:t>
      </w:r>
      <w:r>
        <w:rPr>
          <w:rFonts w:hint="default"/>
          <w:color w:val="auto"/>
          <w:sz w:val="24"/>
          <w:szCs w:val="24"/>
          <w:highlight w:val="none"/>
          <w:u w:val="single"/>
        </w:rPr>
        <w:t xml:space="preserve">   </w:t>
      </w:r>
      <w:r>
        <w:rPr>
          <w:rFonts w:hint="default"/>
          <w:color w:val="auto"/>
          <w:sz w:val="24"/>
          <w:szCs w:val="24"/>
          <w:highlight w:val="none"/>
        </w:rPr>
        <w:t>t/h</w:t>
      </w:r>
      <w:r>
        <w:rPr>
          <w:color w:val="auto"/>
          <w:sz w:val="24"/>
          <w:szCs w:val="24"/>
          <w:highlight w:val="none"/>
          <w:lang w:val="en-US"/>
        </w:rPr>
        <w:t>。</w:t>
      </w:r>
      <w:r>
        <w:rPr>
          <w:rFonts w:hint="default"/>
          <w:color w:val="auto"/>
          <w:sz w:val="24"/>
          <w:szCs w:val="24"/>
          <w:highlight w:val="none"/>
        </w:rPr>
        <w:t>冷凝式除尘除雾器</w:t>
      </w:r>
      <w:r>
        <w:rPr>
          <w:color w:val="auto"/>
          <w:sz w:val="24"/>
          <w:szCs w:val="24"/>
          <w:highlight w:val="none"/>
        </w:rPr>
        <w:t>冲洗水耗量</w:t>
      </w:r>
      <w:r>
        <w:rPr>
          <w:rFonts w:hint="default"/>
          <w:color w:val="auto"/>
          <w:sz w:val="24"/>
          <w:szCs w:val="24"/>
          <w:highlight w:val="none"/>
          <w:u w:val="none"/>
        </w:rPr>
        <w:t xml:space="preserve">      </w:t>
      </w:r>
      <w:r>
        <w:rPr>
          <w:rFonts w:hint="default"/>
          <w:color w:val="auto"/>
          <w:sz w:val="24"/>
          <w:szCs w:val="24"/>
          <w:highlight w:val="none"/>
          <w:lang w:val="en-US"/>
        </w:rPr>
        <w:t>m</w:t>
      </w:r>
      <w:r>
        <w:rPr>
          <w:rFonts w:hint="default"/>
          <w:color w:val="auto"/>
          <w:sz w:val="24"/>
          <w:szCs w:val="24"/>
          <w:highlight w:val="none"/>
          <w:vertAlign w:val="baseline"/>
          <w:lang w:val="en-US"/>
        </w:rPr>
        <w:t>3</w:t>
      </w:r>
      <w:r>
        <w:rPr>
          <w:rFonts w:hint="default"/>
          <w:color w:val="auto"/>
          <w:sz w:val="24"/>
          <w:szCs w:val="24"/>
          <w:highlight w:val="none"/>
          <w:lang w:val="en-US"/>
        </w:rPr>
        <w:t>/h(24小时平均)</w:t>
      </w:r>
      <w:r>
        <w:rPr>
          <w:color w:val="auto"/>
          <w:sz w:val="24"/>
          <w:szCs w:val="24"/>
          <w:highlight w:val="none"/>
        </w:rPr>
        <w:t>。</w:t>
      </w:r>
    </w:p>
    <w:p w14:paraId="51CFFE7D">
      <w:pPr>
        <w:widowControl/>
        <w:spacing w:line="360" w:lineRule="auto"/>
        <w:ind w:firstLine="480" w:firstLineChars="200"/>
        <w:rPr>
          <w:color w:val="auto"/>
          <w:sz w:val="24"/>
          <w:szCs w:val="24"/>
          <w:highlight w:val="none"/>
        </w:rPr>
      </w:pPr>
      <w:r>
        <w:rPr>
          <w:rFonts w:hint="default"/>
          <w:color w:val="auto"/>
          <w:sz w:val="24"/>
          <w:szCs w:val="24"/>
          <w:highlight w:val="none"/>
        </w:rPr>
        <w:t>冷凝式除尘除雾器</w:t>
      </w:r>
      <w:r>
        <w:rPr>
          <w:color w:val="auto"/>
          <w:sz w:val="24"/>
          <w:szCs w:val="24"/>
          <w:highlight w:val="none"/>
        </w:rPr>
        <w:t>压力降应在线监测，</w:t>
      </w:r>
      <w:r>
        <w:rPr>
          <w:rFonts w:hint="default"/>
          <w:color w:val="auto"/>
          <w:sz w:val="24"/>
          <w:szCs w:val="24"/>
          <w:highlight w:val="none"/>
        </w:rPr>
        <w:t>冷凝式免冲洗除尘除雾器</w:t>
      </w:r>
      <w:r>
        <w:rPr>
          <w:color w:val="auto"/>
          <w:sz w:val="24"/>
          <w:szCs w:val="24"/>
          <w:highlight w:val="none"/>
        </w:rPr>
        <w:t>系统所有设备引起的阻力降均应包括在内。</w:t>
      </w:r>
      <w:r>
        <w:rPr>
          <w:rFonts w:hint="default"/>
          <w:color w:val="auto"/>
          <w:sz w:val="24"/>
          <w:szCs w:val="24"/>
          <w:highlight w:val="none"/>
        </w:rPr>
        <w:t>冷凝式免冲洗除尘除雾器</w:t>
      </w:r>
      <w:r>
        <w:rPr>
          <w:color w:val="auto"/>
          <w:sz w:val="24"/>
          <w:szCs w:val="24"/>
          <w:highlight w:val="none"/>
        </w:rPr>
        <w:t>应该在FGD装置没有停机清洁的情况下能连续运行 12000 小时。</w:t>
      </w:r>
    </w:p>
    <w:p w14:paraId="2EAC3829">
      <w:pPr>
        <w:widowControl/>
        <w:spacing w:line="360" w:lineRule="auto"/>
        <w:ind w:firstLine="480" w:firstLineChars="200"/>
        <w:rPr>
          <w:color w:val="auto"/>
          <w:sz w:val="24"/>
          <w:szCs w:val="24"/>
          <w:highlight w:val="none"/>
        </w:rPr>
      </w:pPr>
      <w:r>
        <w:rPr>
          <w:rFonts w:hint="default"/>
          <w:color w:val="auto"/>
          <w:sz w:val="24"/>
          <w:szCs w:val="24"/>
          <w:highlight w:val="none"/>
        </w:rPr>
        <w:t>冷凝式免冲洗除尘除雾器</w:t>
      </w:r>
      <w:r>
        <w:rPr>
          <w:color w:val="auto"/>
          <w:sz w:val="24"/>
          <w:szCs w:val="24"/>
          <w:highlight w:val="none"/>
        </w:rPr>
        <w:t>所用加强</w:t>
      </w:r>
      <w:r>
        <w:rPr>
          <w:rFonts w:hint="default"/>
          <w:color w:val="auto"/>
          <w:sz w:val="24"/>
          <w:szCs w:val="24"/>
          <w:highlight w:val="none"/>
        </w:rPr>
        <w:t>聚丙烯</w:t>
      </w:r>
      <w:r>
        <w:rPr>
          <w:color w:val="auto"/>
          <w:sz w:val="24"/>
          <w:szCs w:val="24"/>
          <w:highlight w:val="none"/>
        </w:rPr>
        <w:t>使用寿命不低于15年。</w:t>
      </w:r>
    </w:p>
    <w:p w14:paraId="2B119A94">
      <w:pPr>
        <w:kinsoku/>
        <w:overflowPunct/>
        <w:spacing w:line="360" w:lineRule="auto"/>
        <w:ind w:firstLine="480" w:firstLineChars="200"/>
        <w:rPr>
          <w:rFonts w:hint="default" w:ascii="Times New Roman" w:hAnsi="Times New Roman" w:eastAsia="宋体" w:cs="Times New Roman"/>
          <w:color w:val="auto"/>
          <w:sz w:val="24"/>
          <w:szCs w:val="24"/>
          <w:highlight w:val="none"/>
          <w:lang w:val="en-US"/>
        </w:rPr>
      </w:pPr>
      <w:r>
        <w:rPr>
          <w:rFonts w:hint="default"/>
          <w:color w:val="auto"/>
          <w:sz w:val="24"/>
          <w:szCs w:val="24"/>
          <w:highlight w:val="none"/>
        </w:rPr>
        <w:t>冷凝式免冲洗除尘除雾器</w:t>
      </w:r>
      <w:r>
        <w:rPr>
          <w:color w:val="auto"/>
          <w:sz w:val="24"/>
          <w:szCs w:val="24"/>
          <w:highlight w:val="none"/>
        </w:rPr>
        <w:t>冲洗管与喷嘴PP使用寿命不低于15年。</w:t>
      </w:r>
    </w:p>
    <w:p w14:paraId="74B110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olor w:val="auto"/>
          <w:sz w:val="24"/>
          <w:szCs w:val="24"/>
          <w:highlight w:val="none"/>
          <w:lang w:val="en-US" w:eastAsia="zh-CN"/>
        </w:rPr>
      </w:pPr>
      <w:r>
        <w:rPr>
          <w:rFonts w:hint="default" w:ascii="Times New Roman" w:hAnsi="Times New Roman" w:eastAsia="宋体" w:cs="Times New Roman"/>
          <w:color w:val="auto"/>
          <w:sz w:val="24"/>
          <w:highlight w:val="none"/>
          <w:lang w:val="en-US"/>
        </w:rPr>
        <w:t>除雾器</w:t>
      </w:r>
      <w:r>
        <w:rPr>
          <w:rFonts w:hint="default" w:ascii="Times New Roman" w:hAnsi="Times New Roman" w:eastAsia="宋体" w:cs="Times New Roman"/>
          <w:color w:val="auto"/>
          <w:kern w:val="2"/>
          <w:sz w:val="24"/>
          <w:highlight w:val="none"/>
        </w:rPr>
        <w:t>技术</w:t>
      </w:r>
      <w:r>
        <w:rPr>
          <w:rFonts w:hint="default" w:ascii="Times New Roman" w:hAnsi="Times New Roman" w:eastAsia="宋体" w:cs="Times New Roman"/>
          <w:color w:val="auto"/>
          <w:kern w:val="2"/>
          <w:sz w:val="24"/>
          <w:highlight w:val="none"/>
          <w:lang w:val="en-US" w:eastAsia="zh-CN"/>
        </w:rPr>
        <w:t>需</w:t>
      </w:r>
      <w:r>
        <w:rPr>
          <w:rFonts w:hint="default" w:ascii="Times New Roman" w:hAnsi="Times New Roman" w:eastAsia="宋体" w:cs="Times New Roman"/>
          <w:color w:val="auto"/>
          <w:kern w:val="2"/>
          <w:sz w:val="24"/>
          <w:highlight w:val="none"/>
        </w:rPr>
        <w:t>保证全负荷段工况的除尘效果</w:t>
      </w:r>
      <w:r>
        <w:rPr>
          <w:rFonts w:hint="default" w:ascii="Times New Roman" w:hAnsi="Times New Roman" w:eastAsia="宋体" w:cs="Times New Roman"/>
          <w:color w:val="auto"/>
          <w:kern w:val="2"/>
          <w:sz w:val="24"/>
          <w:highlight w:val="none"/>
          <w:lang w:eastAsia="zh-CN"/>
        </w:rPr>
        <w:t>，</w:t>
      </w:r>
      <w:r>
        <w:rPr>
          <w:color w:val="auto"/>
          <w:sz w:val="24"/>
          <w:szCs w:val="24"/>
          <w:highlight w:val="none"/>
        </w:rPr>
        <w:t>除雾器的整体使用寿命应不小于15年，必须提供反冲洗的压力、流量、冲洗时间表。</w:t>
      </w:r>
      <w:r>
        <w:rPr>
          <w:rFonts w:hint="default"/>
          <w:color w:val="auto"/>
          <w:sz w:val="24"/>
          <w:szCs w:val="24"/>
          <w:highlight w:val="none"/>
          <w:lang w:val="en-US" w:eastAsia="zh-CN"/>
        </w:rPr>
        <w:t>投标方设计时必须充分考虑脱硫零排放系统对除尘有可能的影响。</w:t>
      </w:r>
    </w:p>
    <w:p w14:paraId="28FD8C76">
      <w:pPr>
        <w:spacing w:line="360" w:lineRule="auto"/>
        <w:outlineLvl w:val="2"/>
        <w:rPr>
          <w:b/>
          <w:color w:val="auto"/>
          <w:sz w:val="24"/>
          <w:highlight w:val="none"/>
        </w:rPr>
      </w:pPr>
      <w:r>
        <w:rPr>
          <w:b/>
          <w:bCs w:val="0"/>
          <w:color w:val="auto"/>
          <w:sz w:val="24"/>
          <w:highlight w:val="none"/>
        </w:rPr>
        <w:t>2.5 浆液排放系统</w:t>
      </w:r>
    </w:p>
    <w:p w14:paraId="1F3F19D9">
      <w:pPr>
        <w:adjustRightInd w:val="0"/>
        <w:snapToGrid w:val="0"/>
        <w:spacing w:line="360" w:lineRule="auto"/>
        <w:rPr>
          <w:color w:val="auto"/>
          <w:sz w:val="24"/>
          <w:highlight w:val="none"/>
        </w:rPr>
      </w:pPr>
      <w:r>
        <w:rPr>
          <w:color w:val="auto"/>
          <w:sz w:val="24"/>
          <w:highlight w:val="none"/>
        </w:rPr>
        <w:t>2.5.1技术要求</w:t>
      </w:r>
    </w:p>
    <w:p w14:paraId="56B01B09">
      <w:pPr>
        <w:spacing w:line="360" w:lineRule="auto"/>
        <w:ind w:firstLine="480" w:firstLineChars="200"/>
        <w:rPr>
          <w:rFonts w:hint="default"/>
          <w:color w:val="auto"/>
          <w:sz w:val="24"/>
          <w:highlight w:val="none"/>
          <w:u w:val="none"/>
          <w:lang w:val="en-US"/>
        </w:rPr>
      </w:pPr>
      <w:r>
        <w:rPr>
          <w:rFonts w:hint="eastAsia"/>
          <w:color w:val="auto"/>
          <w:sz w:val="24"/>
          <w:highlight w:val="none"/>
        </w:rPr>
        <w:t>本工程</w:t>
      </w:r>
      <w:r>
        <w:rPr>
          <w:rFonts w:hint="eastAsia"/>
          <w:color w:val="auto"/>
          <w:sz w:val="24"/>
          <w:highlight w:val="none"/>
          <w:lang w:val="en-US" w:eastAsia="zh-CN"/>
        </w:rPr>
        <w:t>事故浆液箱利旧，新设一个吸收塔地坑池。地坑池尺寸：</w:t>
      </w:r>
      <w:r>
        <w:rPr>
          <w:rFonts w:hint="eastAsia"/>
          <w:color w:val="auto"/>
          <w:sz w:val="24"/>
          <w:highlight w:val="none"/>
          <w:u w:val="single"/>
          <w:lang w:val="en-US" w:eastAsia="zh-CN"/>
        </w:rPr>
        <w:t xml:space="preserve">   </w:t>
      </w:r>
      <w:r>
        <w:rPr>
          <w:rFonts w:hint="eastAsia"/>
          <w:color w:val="auto"/>
          <w:sz w:val="24"/>
          <w:highlight w:val="none"/>
          <w:u w:val="none"/>
          <w:lang w:val="en-US" w:eastAsia="zh-CN"/>
        </w:rPr>
        <w:t>（投标方填写）。</w:t>
      </w:r>
    </w:p>
    <w:p w14:paraId="52172FB3">
      <w:pPr>
        <w:spacing w:line="360" w:lineRule="auto"/>
        <w:ind w:firstLine="480"/>
        <w:rPr>
          <w:color w:val="auto"/>
          <w:sz w:val="24"/>
          <w:highlight w:val="none"/>
        </w:rPr>
      </w:pPr>
      <w:r>
        <w:rPr>
          <w:color w:val="auto"/>
          <w:sz w:val="24"/>
          <w:highlight w:val="none"/>
        </w:rPr>
        <w:t>投标人应合理设计和布置排空系统（包括</w:t>
      </w:r>
      <w:r>
        <w:rPr>
          <w:rFonts w:hint="eastAsia"/>
          <w:color w:val="auto"/>
          <w:sz w:val="24"/>
          <w:highlight w:val="none"/>
          <w:lang w:val="en-US" w:eastAsia="zh-CN"/>
        </w:rPr>
        <w:t>排</w:t>
      </w:r>
      <w:r>
        <w:rPr>
          <w:color w:val="auto"/>
          <w:sz w:val="24"/>
          <w:highlight w:val="none"/>
        </w:rPr>
        <w:t>水</w:t>
      </w:r>
      <w:r>
        <w:rPr>
          <w:rFonts w:hint="eastAsia"/>
          <w:color w:val="auto"/>
          <w:sz w:val="24"/>
          <w:highlight w:val="none"/>
          <w:lang w:val="en-US" w:eastAsia="zh-CN"/>
        </w:rPr>
        <w:t>沟、地坑池</w:t>
      </w:r>
      <w:r>
        <w:rPr>
          <w:color w:val="auto"/>
          <w:sz w:val="24"/>
          <w:highlight w:val="none"/>
        </w:rPr>
        <w:t>），便于各吸收塔互相倒浆。</w:t>
      </w:r>
      <w:r>
        <w:rPr>
          <w:rFonts w:hint="eastAsia"/>
          <w:color w:val="auto"/>
          <w:sz w:val="24"/>
          <w:highlight w:val="none"/>
          <w:lang w:val="en-US" w:eastAsia="zh-CN"/>
        </w:rPr>
        <w:t>排水沟</w:t>
      </w:r>
      <w:r>
        <w:rPr>
          <w:color w:val="auto"/>
          <w:sz w:val="24"/>
          <w:highlight w:val="none"/>
        </w:rPr>
        <w:t>应内涂或内衬耐磨、耐腐蚀材料。</w:t>
      </w:r>
    </w:p>
    <w:p w14:paraId="388BB523">
      <w:pPr>
        <w:spacing w:line="360" w:lineRule="auto"/>
        <w:rPr>
          <w:color w:val="auto"/>
          <w:sz w:val="24"/>
          <w:highlight w:val="none"/>
        </w:rPr>
      </w:pPr>
      <w:r>
        <w:rPr>
          <w:color w:val="auto"/>
          <w:sz w:val="24"/>
          <w:highlight w:val="none"/>
        </w:rPr>
        <w:t xml:space="preserve">    投标人应合理选择排空系统各种泵的材质和参数，满足运行条件和输送介质的要求。</w:t>
      </w:r>
    </w:p>
    <w:p w14:paraId="7D523957">
      <w:pPr>
        <w:pStyle w:val="50"/>
        <w:ind w:firstLine="480" w:firstLineChars="200"/>
        <w:rPr>
          <w:color w:val="auto"/>
          <w:highlight w:val="none"/>
        </w:rPr>
      </w:pPr>
      <w:r>
        <w:rPr>
          <w:color w:val="auto"/>
          <w:sz w:val="24"/>
          <w:highlight w:val="none"/>
        </w:rPr>
        <w:t>应提供搅拌</w:t>
      </w:r>
      <w:r>
        <w:rPr>
          <w:rFonts w:hint="eastAsia"/>
          <w:color w:val="auto"/>
          <w:sz w:val="24"/>
          <w:highlight w:val="none"/>
          <w:lang w:val="en-US" w:eastAsia="zh-CN"/>
        </w:rPr>
        <w:t>防止地坑池</w:t>
      </w:r>
      <w:r>
        <w:rPr>
          <w:color w:val="auto"/>
          <w:sz w:val="24"/>
          <w:highlight w:val="none"/>
        </w:rPr>
        <w:t>内的浆液沉淀。</w:t>
      </w:r>
    </w:p>
    <w:p w14:paraId="3522725E">
      <w:pPr>
        <w:spacing w:line="360" w:lineRule="auto"/>
        <w:outlineLvl w:val="2"/>
        <w:rPr>
          <w:b/>
          <w:color w:val="auto"/>
          <w:sz w:val="24"/>
          <w:highlight w:val="none"/>
        </w:rPr>
      </w:pPr>
      <w:r>
        <w:rPr>
          <w:b/>
          <w:color w:val="auto"/>
          <w:sz w:val="24"/>
          <w:highlight w:val="none"/>
        </w:rPr>
        <w:t>2.6石膏脱水系统</w:t>
      </w:r>
    </w:p>
    <w:p w14:paraId="48444F42">
      <w:pPr>
        <w:adjustRightInd w:val="0"/>
        <w:spacing w:line="360" w:lineRule="auto"/>
        <w:textAlignment w:val="baseline"/>
        <w:rPr>
          <w:color w:val="auto"/>
          <w:sz w:val="24"/>
          <w:highlight w:val="none"/>
        </w:rPr>
      </w:pPr>
      <w:r>
        <w:rPr>
          <w:color w:val="auto"/>
          <w:sz w:val="24"/>
          <w:highlight w:val="none"/>
        </w:rPr>
        <w:t>2.6.1系统概述及主要设计原则</w:t>
      </w:r>
    </w:p>
    <w:p w14:paraId="1CD49354">
      <w:pPr>
        <w:spacing w:line="360" w:lineRule="auto"/>
        <w:ind w:firstLine="480" w:firstLineChars="200"/>
        <w:rPr>
          <w:rFonts w:hint="default" w:eastAsia="宋体"/>
          <w:b w:val="0"/>
          <w:bCs w:val="0"/>
          <w:color w:val="auto"/>
          <w:sz w:val="24"/>
          <w:highlight w:val="none"/>
          <w:lang w:val="en-US" w:eastAsia="zh-CN"/>
        </w:rPr>
      </w:pPr>
      <w:r>
        <w:rPr>
          <w:color w:val="auto"/>
          <w:sz w:val="24"/>
          <w:highlight w:val="none"/>
        </w:rPr>
        <w:t>本工程</w:t>
      </w:r>
      <w:r>
        <w:rPr>
          <w:rFonts w:hint="eastAsia"/>
          <w:color w:val="auto"/>
          <w:sz w:val="24"/>
          <w:highlight w:val="none"/>
          <w:lang w:val="en-US" w:eastAsia="zh-CN"/>
        </w:rPr>
        <w:t>新</w:t>
      </w:r>
      <w:r>
        <w:rPr>
          <w:color w:val="auto"/>
          <w:sz w:val="24"/>
          <w:highlight w:val="none"/>
        </w:rPr>
        <w:t>设</w:t>
      </w:r>
      <w:r>
        <w:rPr>
          <w:rFonts w:hint="eastAsia"/>
          <w:color w:val="auto"/>
          <w:sz w:val="24"/>
          <w:highlight w:val="none"/>
          <w:lang w:val="en-US" w:eastAsia="zh-CN"/>
        </w:rPr>
        <w:t>1</w:t>
      </w:r>
      <w:r>
        <w:rPr>
          <w:color w:val="auto"/>
          <w:sz w:val="24"/>
          <w:highlight w:val="none"/>
        </w:rPr>
        <w:t>套石膏脱水系统，单套真空皮带机系统出力按</w:t>
      </w:r>
      <w:r>
        <w:rPr>
          <w:rFonts w:hint="eastAsia"/>
          <w:color w:val="auto"/>
          <w:sz w:val="24"/>
          <w:highlight w:val="none"/>
          <w:lang w:val="en-US" w:eastAsia="zh-CN"/>
        </w:rPr>
        <w:t>出石膏量3.2t/h</w:t>
      </w:r>
      <w:r>
        <w:rPr>
          <w:color w:val="auto"/>
          <w:sz w:val="24"/>
          <w:highlight w:val="none"/>
        </w:rPr>
        <w:t>配置</w:t>
      </w:r>
      <w:r>
        <w:rPr>
          <w:rFonts w:hint="eastAsia"/>
          <w:color w:val="auto"/>
          <w:sz w:val="24"/>
          <w:highlight w:val="none"/>
          <w:lang w:val="en-US" w:eastAsia="zh-CN"/>
        </w:rPr>
        <w:t>（暂定）</w:t>
      </w:r>
      <w:r>
        <w:rPr>
          <w:color w:val="auto"/>
          <w:sz w:val="24"/>
          <w:highlight w:val="none"/>
        </w:rPr>
        <w:t>，</w:t>
      </w:r>
      <w:r>
        <w:rPr>
          <w:rFonts w:hint="eastAsia"/>
          <w:color w:val="auto"/>
          <w:sz w:val="24"/>
          <w:highlight w:val="none"/>
          <w:lang w:val="en-US" w:eastAsia="zh-CN"/>
        </w:rPr>
        <w:t>投标方投标时应明确真空皮带机参数。容量选择符合DL/T 5196-2016《火力发电厂石灰石一石膏湿法烟气脱硫系统设计规程》中要求。系统</w:t>
      </w:r>
      <w:r>
        <w:rPr>
          <w:color w:val="auto"/>
          <w:sz w:val="24"/>
          <w:highlight w:val="none"/>
        </w:rPr>
        <w:t>由</w:t>
      </w:r>
      <w:r>
        <w:rPr>
          <w:rFonts w:hint="eastAsia"/>
          <w:color w:val="auto"/>
          <w:sz w:val="24"/>
          <w:highlight w:val="none"/>
          <w:lang w:val="en-US" w:eastAsia="zh-CN"/>
        </w:rPr>
        <w:t>1</w:t>
      </w:r>
      <w:r>
        <w:rPr>
          <w:color w:val="auto"/>
          <w:sz w:val="24"/>
          <w:highlight w:val="none"/>
        </w:rPr>
        <w:t>套真空皮带脱水机及其辅机、</w:t>
      </w:r>
      <w:r>
        <w:rPr>
          <w:rFonts w:hint="eastAsia"/>
          <w:color w:val="auto"/>
          <w:sz w:val="24"/>
          <w:highlight w:val="none"/>
          <w:lang w:val="en-US" w:eastAsia="zh-CN"/>
        </w:rPr>
        <w:t>1</w:t>
      </w:r>
      <w:r>
        <w:rPr>
          <w:color w:val="auto"/>
          <w:sz w:val="24"/>
          <w:highlight w:val="none"/>
        </w:rPr>
        <w:t>台石膏旋流站、</w:t>
      </w:r>
      <w:r>
        <w:rPr>
          <w:rFonts w:hint="eastAsia"/>
          <w:color w:val="auto"/>
          <w:sz w:val="24"/>
          <w:highlight w:val="none"/>
        </w:rPr>
        <w:t>1台废水旋流站</w:t>
      </w:r>
      <w:r>
        <w:rPr>
          <w:color w:val="auto"/>
          <w:sz w:val="24"/>
          <w:highlight w:val="none"/>
        </w:rPr>
        <w:t>和</w:t>
      </w:r>
      <w:r>
        <w:rPr>
          <w:rFonts w:hint="eastAsia"/>
          <w:color w:val="auto"/>
          <w:sz w:val="24"/>
          <w:highlight w:val="none"/>
        </w:rPr>
        <w:t>1</w:t>
      </w:r>
      <w:r>
        <w:rPr>
          <w:color w:val="auto"/>
          <w:sz w:val="24"/>
          <w:highlight w:val="none"/>
        </w:rPr>
        <w:t>个石膏库等组成</w:t>
      </w:r>
      <w:r>
        <w:rPr>
          <w:rFonts w:hint="eastAsia"/>
          <w:color w:val="auto"/>
          <w:sz w:val="24"/>
          <w:highlight w:val="none"/>
          <w:lang w:eastAsia="zh-CN"/>
        </w:rPr>
        <w:t>。</w:t>
      </w:r>
      <w:r>
        <w:rPr>
          <w:rFonts w:hint="eastAsia"/>
          <w:b w:val="0"/>
          <w:bCs w:val="0"/>
          <w:color w:val="auto"/>
          <w:sz w:val="24"/>
          <w:highlight w:val="none"/>
          <w:lang w:val="en-US" w:eastAsia="zh-CN"/>
        </w:rPr>
        <w:t>原有</w:t>
      </w:r>
      <w:r>
        <w:rPr>
          <w:b w:val="0"/>
          <w:bCs w:val="0"/>
          <w:color w:val="auto"/>
          <w:sz w:val="24"/>
          <w:highlight w:val="none"/>
        </w:rPr>
        <w:t>石膏脱水系统</w:t>
      </w:r>
      <w:r>
        <w:rPr>
          <w:rFonts w:hint="eastAsia"/>
          <w:b w:val="0"/>
          <w:bCs w:val="0"/>
          <w:color w:val="auto"/>
          <w:sz w:val="24"/>
          <w:highlight w:val="none"/>
          <w:lang w:val="en-US" w:eastAsia="zh-CN"/>
        </w:rPr>
        <w:t>作为本系统备用。</w:t>
      </w:r>
    </w:p>
    <w:p w14:paraId="7577CAD5">
      <w:pPr>
        <w:spacing w:line="360" w:lineRule="auto"/>
        <w:ind w:firstLine="570"/>
        <w:rPr>
          <w:rFonts w:hint="eastAsia" w:eastAsia="宋体"/>
          <w:color w:val="auto"/>
          <w:sz w:val="24"/>
          <w:highlight w:val="none"/>
          <w:lang w:val="en-US" w:eastAsia="zh-CN"/>
        </w:rPr>
      </w:pPr>
      <w:r>
        <w:rPr>
          <w:color w:val="auto"/>
          <w:sz w:val="24"/>
          <w:highlight w:val="none"/>
        </w:rPr>
        <w:t>吸收塔排出的石膏浆液先通过石膏旋流器浓缩，浓缩后的石膏浆液再送到真空皮带脱水机进行第二次脱水，经脱水处理后的石膏表面含水率不超过10%，脱水后的石膏贮存在石膏库内存放待运。</w:t>
      </w:r>
      <w:r>
        <w:rPr>
          <w:rFonts w:hint="eastAsia"/>
          <w:color w:val="auto"/>
          <w:sz w:val="24"/>
          <w:highlight w:val="none"/>
          <w:lang w:val="en-US" w:eastAsia="zh-CN"/>
        </w:rPr>
        <w:t>石膏库前考虑铲车和地面冲洗水收集、排出。</w:t>
      </w:r>
    </w:p>
    <w:p w14:paraId="7447CACD">
      <w:pPr>
        <w:spacing w:line="360" w:lineRule="auto"/>
        <w:ind w:firstLine="480" w:firstLineChars="200"/>
        <w:rPr>
          <w:color w:val="auto"/>
          <w:sz w:val="24"/>
          <w:highlight w:val="none"/>
        </w:rPr>
      </w:pPr>
      <w:r>
        <w:rPr>
          <w:color w:val="auto"/>
          <w:sz w:val="24"/>
          <w:highlight w:val="none"/>
        </w:rPr>
        <w:t>为控制脱硫石膏中Cl</w:t>
      </w:r>
      <w:r>
        <w:rPr>
          <w:color w:val="auto"/>
          <w:sz w:val="24"/>
          <w:highlight w:val="none"/>
          <w:vertAlign w:val="superscript"/>
        </w:rPr>
        <w:t>—</w:t>
      </w:r>
      <w:r>
        <w:rPr>
          <w:color w:val="auto"/>
          <w:sz w:val="24"/>
          <w:highlight w:val="none"/>
        </w:rPr>
        <w:t>等成份的含量，确保脱硫石膏品质，在石膏脱水过程中用工艺水对石膏及滤布进行冲洗。石膏过滤水收集在</w:t>
      </w:r>
      <w:r>
        <w:rPr>
          <w:rFonts w:hint="eastAsia"/>
          <w:color w:val="auto"/>
          <w:sz w:val="24"/>
          <w:highlight w:val="none"/>
          <w:lang w:val="en-US" w:eastAsia="zh-CN"/>
        </w:rPr>
        <w:t>新建</w:t>
      </w:r>
      <w:r>
        <w:rPr>
          <w:color w:val="auto"/>
          <w:sz w:val="24"/>
          <w:highlight w:val="none"/>
        </w:rPr>
        <w:t>滤液水池中，然后用泵送回吸收塔利用。</w:t>
      </w:r>
    </w:p>
    <w:p w14:paraId="3B5E7132">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color w:val="auto"/>
          <w:sz w:val="24"/>
          <w:highlight w:val="none"/>
        </w:rPr>
      </w:pPr>
      <w:r>
        <w:rPr>
          <w:color w:val="auto"/>
          <w:sz w:val="24"/>
          <w:highlight w:val="none"/>
        </w:rPr>
        <w:t>石膏脱水系统主要包括石膏旋流站、</w:t>
      </w:r>
      <w:r>
        <w:rPr>
          <w:rFonts w:hint="eastAsia" w:hAnsi="宋体"/>
          <w:color w:val="auto"/>
          <w:sz w:val="24"/>
          <w:szCs w:val="24"/>
          <w:highlight w:val="none"/>
        </w:rPr>
        <w:t>溢流缓冲</w:t>
      </w:r>
      <w:r>
        <w:rPr>
          <w:rFonts w:hint="eastAsia" w:hAnsi="宋体"/>
          <w:color w:val="auto"/>
          <w:sz w:val="24"/>
          <w:szCs w:val="24"/>
          <w:highlight w:val="none"/>
          <w:lang w:val="en-US" w:eastAsia="zh-CN"/>
        </w:rPr>
        <w:t>系统、</w:t>
      </w:r>
      <w:r>
        <w:rPr>
          <w:color w:val="auto"/>
          <w:sz w:val="24"/>
          <w:highlight w:val="none"/>
        </w:rPr>
        <w:t>真空皮带脱水机及真空泵、滤液分离系统、滤布冲洗冲洗</w:t>
      </w:r>
      <w:r>
        <w:rPr>
          <w:rFonts w:hint="eastAsia"/>
          <w:color w:val="auto"/>
          <w:sz w:val="24"/>
          <w:highlight w:val="none"/>
          <w:lang w:val="en-US" w:eastAsia="zh-CN"/>
        </w:rPr>
        <w:t>系统</w:t>
      </w:r>
      <w:r>
        <w:rPr>
          <w:color w:val="auto"/>
          <w:sz w:val="24"/>
          <w:highlight w:val="none"/>
        </w:rPr>
        <w:t>、回用水系统等。</w:t>
      </w:r>
    </w:p>
    <w:p w14:paraId="516343A3">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color w:val="auto"/>
          <w:sz w:val="24"/>
          <w:highlight w:val="none"/>
        </w:rPr>
      </w:pPr>
      <w:r>
        <w:rPr>
          <w:color w:val="auto"/>
          <w:sz w:val="24"/>
          <w:highlight w:val="none"/>
        </w:rPr>
        <w:t>石膏脱水系统的设计使用寿命应不小于30年。</w:t>
      </w:r>
    </w:p>
    <w:p w14:paraId="572C80F3">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color w:val="auto"/>
          <w:sz w:val="24"/>
          <w:highlight w:val="none"/>
        </w:rPr>
      </w:pPr>
      <w:r>
        <w:rPr>
          <w:color w:val="auto"/>
          <w:sz w:val="24"/>
          <w:highlight w:val="none"/>
        </w:rPr>
        <w:t>脱硫石膏的储存采用石膏库，其总储存能力应按存放</w:t>
      </w:r>
      <w:r>
        <w:rPr>
          <w:rFonts w:hint="default"/>
          <w:color w:val="auto"/>
          <w:sz w:val="24"/>
          <w:highlight w:val="none"/>
          <w:lang w:val="en-US" w:eastAsia="zh-CN"/>
        </w:rPr>
        <w:t>1</w:t>
      </w:r>
      <w:r>
        <w:rPr>
          <w:color w:val="auto"/>
          <w:sz w:val="24"/>
          <w:highlight w:val="none"/>
        </w:rPr>
        <w:t>台机组</w:t>
      </w:r>
      <w:r>
        <w:rPr>
          <w:rFonts w:hint="default"/>
          <w:color w:val="auto"/>
          <w:sz w:val="24"/>
          <w:highlight w:val="none"/>
          <w:lang w:val="en-US" w:eastAsia="zh-CN"/>
        </w:rPr>
        <w:t>设计</w:t>
      </w:r>
      <w:r>
        <w:rPr>
          <w:color w:val="auto"/>
          <w:sz w:val="24"/>
          <w:highlight w:val="none"/>
        </w:rPr>
        <w:t>煤种</w:t>
      </w:r>
      <w:r>
        <w:rPr>
          <w:rFonts w:hint="eastAsia"/>
          <w:color w:val="auto"/>
          <w:sz w:val="24"/>
          <w:highlight w:val="none"/>
          <w:lang w:val="en-US" w:eastAsia="zh-CN"/>
        </w:rPr>
        <w:t>锅炉最大连续</w:t>
      </w:r>
      <w:r>
        <w:rPr>
          <w:color w:val="auto"/>
          <w:sz w:val="24"/>
          <w:highlight w:val="none"/>
          <w:lang w:val="en-US"/>
        </w:rPr>
        <w:t>蒸发量</w:t>
      </w:r>
      <w:r>
        <w:rPr>
          <w:color w:val="auto"/>
          <w:sz w:val="24"/>
          <w:highlight w:val="none"/>
        </w:rPr>
        <w:t>工况运行</w:t>
      </w:r>
      <w:r>
        <w:rPr>
          <w:rFonts w:hint="default"/>
          <w:color w:val="auto"/>
          <w:sz w:val="24"/>
          <w:highlight w:val="none"/>
          <w:lang w:val="en-US" w:eastAsia="zh-CN"/>
        </w:rPr>
        <w:t>7天以上</w:t>
      </w:r>
      <w:r>
        <w:rPr>
          <w:color w:val="auto"/>
          <w:sz w:val="24"/>
          <w:highlight w:val="none"/>
        </w:rPr>
        <w:t>的石膏量设计，石膏堆高按不高于</w:t>
      </w:r>
      <w:r>
        <w:rPr>
          <w:rFonts w:hint="default"/>
          <w:color w:val="auto"/>
          <w:sz w:val="24"/>
          <w:highlight w:val="none"/>
          <w:lang w:val="en-US" w:eastAsia="zh-CN"/>
        </w:rPr>
        <w:t>6</w:t>
      </w:r>
      <w:r>
        <w:rPr>
          <w:color w:val="auto"/>
          <w:sz w:val="24"/>
          <w:highlight w:val="none"/>
          <w:u w:val="none"/>
        </w:rPr>
        <w:t>m</w:t>
      </w:r>
      <w:r>
        <w:rPr>
          <w:color w:val="auto"/>
          <w:sz w:val="24"/>
          <w:highlight w:val="none"/>
        </w:rPr>
        <w:t>考虑。</w:t>
      </w:r>
    </w:p>
    <w:p w14:paraId="45E3B6C1">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color w:val="auto"/>
          <w:sz w:val="24"/>
          <w:highlight w:val="none"/>
        </w:rPr>
      </w:pPr>
      <w:r>
        <w:rPr>
          <w:rFonts w:hint="eastAsia"/>
          <w:color w:val="auto"/>
          <w:sz w:val="24"/>
          <w:highlight w:val="none"/>
          <w:lang w:eastAsia="zh-CN"/>
        </w:rPr>
        <w:t>投标方</w:t>
      </w:r>
      <w:r>
        <w:rPr>
          <w:color w:val="auto"/>
          <w:sz w:val="24"/>
          <w:highlight w:val="none"/>
        </w:rPr>
        <w:t>应提供完整的、满足真空脱水系统设备运行监视和控制要求的就地测量与控制设备。真空脱水系统应接入DCS系统。真空脱水系统应有自动故障保护和报警设计。当系统故障时发出显示信号，并相应地触发系统控制逻辑对此进行响应。</w:t>
      </w:r>
    </w:p>
    <w:p w14:paraId="54969DF0">
      <w:pPr>
        <w:spacing w:line="360" w:lineRule="auto"/>
        <w:ind w:firstLine="482"/>
        <w:rPr>
          <w:color w:val="auto"/>
          <w:sz w:val="24"/>
          <w:highlight w:val="none"/>
        </w:rPr>
      </w:pPr>
      <w:r>
        <w:rPr>
          <w:color w:val="auto"/>
          <w:sz w:val="24"/>
          <w:highlight w:val="none"/>
        </w:rPr>
        <w:t>由于石膏浆液容易沉积，</w:t>
      </w:r>
      <w:r>
        <w:rPr>
          <w:rFonts w:hint="eastAsia"/>
          <w:color w:val="auto"/>
          <w:sz w:val="24"/>
          <w:highlight w:val="none"/>
          <w:lang w:val="en-US" w:eastAsia="zh-CN"/>
        </w:rPr>
        <w:t>溢流缓冲</w:t>
      </w:r>
      <w:r>
        <w:rPr>
          <w:color w:val="auto"/>
          <w:sz w:val="24"/>
          <w:highlight w:val="none"/>
        </w:rPr>
        <w:t>水箱应安装有机械式搅拌器，并应满足连续运行的要求。同时为防止设备停运时浆液在管道、泵中沉积，造成堵塞，在各浆液泵、管道上应设置工艺水自动冲洗系统。</w:t>
      </w:r>
    </w:p>
    <w:p w14:paraId="0CE57B4D">
      <w:pPr>
        <w:spacing w:line="360" w:lineRule="auto"/>
        <w:ind w:firstLine="482"/>
        <w:rPr>
          <w:rFonts w:hint="eastAsia"/>
          <w:color w:val="auto"/>
          <w:sz w:val="24"/>
          <w:highlight w:val="none"/>
        </w:rPr>
      </w:pPr>
      <w:r>
        <w:rPr>
          <w:color w:val="auto"/>
          <w:sz w:val="24"/>
          <w:highlight w:val="none"/>
        </w:rPr>
        <w:t>石膏浆液具有一定的腐蚀性，所以本系统中的与浆液接触的设备，如石膏脱水排污坑、浆液贮存箱、浆液搅拌器、泵、阀门、管道、沟等都应考虑防腐防磨措施。</w:t>
      </w:r>
    </w:p>
    <w:p w14:paraId="673034FF">
      <w:pPr>
        <w:adjustRightInd w:val="0"/>
        <w:spacing w:line="360" w:lineRule="auto"/>
        <w:textAlignment w:val="baseline"/>
        <w:rPr>
          <w:color w:val="auto"/>
          <w:sz w:val="24"/>
          <w:highlight w:val="none"/>
        </w:rPr>
      </w:pPr>
      <w:r>
        <w:rPr>
          <w:color w:val="auto"/>
          <w:sz w:val="24"/>
          <w:highlight w:val="none"/>
        </w:rPr>
        <w:t>2.6.2主要设备技术要求</w:t>
      </w:r>
    </w:p>
    <w:p w14:paraId="7D6BBE89">
      <w:pPr>
        <w:numPr>
          <w:ilvl w:val="4"/>
          <w:numId w:val="9"/>
        </w:numPr>
        <w:adjustRightInd w:val="0"/>
        <w:spacing w:line="360" w:lineRule="auto"/>
        <w:textAlignment w:val="baseline"/>
        <w:rPr>
          <w:color w:val="auto"/>
          <w:sz w:val="24"/>
          <w:highlight w:val="none"/>
        </w:rPr>
      </w:pPr>
      <w:r>
        <w:rPr>
          <w:color w:val="auto"/>
          <w:sz w:val="24"/>
          <w:highlight w:val="none"/>
        </w:rPr>
        <w:t>石膏旋流器组</w:t>
      </w:r>
    </w:p>
    <w:p w14:paraId="47777229">
      <w:pPr>
        <w:tabs>
          <w:tab w:val="left" w:pos="1145"/>
        </w:tabs>
        <w:spacing w:line="360" w:lineRule="auto"/>
        <w:rPr>
          <w:color w:val="auto"/>
          <w:sz w:val="24"/>
          <w:highlight w:val="none"/>
        </w:rPr>
      </w:pPr>
      <w:r>
        <w:rPr>
          <w:color w:val="auto"/>
          <w:sz w:val="24"/>
          <w:highlight w:val="none"/>
        </w:rPr>
        <w:t xml:space="preserve">    石膏旋流器组安装在石膏脱水楼的顶部，浓缩后的石膏浆液从旋流器下部自流到真空皮带机。离开旋流器的浆液中固体含量宜为40%~60%。</w:t>
      </w:r>
    </w:p>
    <w:p w14:paraId="552F1989">
      <w:pPr>
        <w:tabs>
          <w:tab w:val="left" w:pos="1145"/>
        </w:tabs>
        <w:spacing w:line="360" w:lineRule="auto"/>
        <w:ind w:firstLine="435"/>
        <w:rPr>
          <w:color w:val="auto"/>
          <w:sz w:val="24"/>
          <w:highlight w:val="none"/>
        </w:rPr>
      </w:pPr>
      <w:r>
        <w:rPr>
          <w:color w:val="auto"/>
          <w:sz w:val="24"/>
          <w:highlight w:val="none"/>
        </w:rPr>
        <w:t>旋流器应环状布置在分配器内，每个旋流器都装有单独的隔离阀。</w:t>
      </w:r>
    </w:p>
    <w:p w14:paraId="6EB405F9">
      <w:pPr>
        <w:tabs>
          <w:tab w:val="left" w:pos="1145"/>
        </w:tabs>
        <w:spacing w:line="360" w:lineRule="auto"/>
        <w:ind w:firstLine="435"/>
        <w:rPr>
          <w:color w:val="auto"/>
          <w:sz w:val="24"/>
          <w:highlight w:val="none"/>
        </w:rPr>
      </w:pPr>
      <w:r>
        <w:rPr>
          <w:color w:val="auto"/>
          <w:sz w:val="24"/>
          <w:highlight w:val="none"/>
        </w:rPr>
        <w:t>旋流器采用耐磨耐腐蚀的聚氨酯材料制作，旋流器组整个系统为自带支撑结构，与安装的结构钢支腿一起作为设计的完整部分，所有支撑结构件采用碳钢构件。</w:t>
      </w:r>
    </w:p>
    <w:p w14:paraId="3D47849A">
      <w:pPr>
        <w:tabs>
          <w:tab w:val="left" w:pos="1145"/>
        </w:tabs>
        <w:spacing w:line="360" w:lineRule="auto"/>
        <w:ind w:firstLine="435"/>
        <w:rPr>
          <w:color w:val="auto"/>
          <w:kern w:val="0"/>
          <w:sz w:val="24"/>
          <w:highlight w:val="none"/>
        </w:rPr>
      </w:pPr>
      <w:r>
        <w:rPr>
          <w:color w:val="auto"/>
          <w:sz w:val="24"/>
          <w:highlight w:val="none"/>
        </w:rPr>
        <w:t>石膏旋流站的设计将保证吸收塔排出浆液的分离效率，同时还考虑石膏浆液量变化范围调整的要求和旋流器子的备用数量。</w:t>
      </w:r>
      <w:r>
        <w:rPr>
          <w:color w:val="auto"/>
          <w:kern w:val="0"/>
          <w:sz w:val="24"/>
          <w:highlight w:val="none"/>
        </w:rPr>
        <w:t>每个旋流器配备20%的旋流子作为备用，并至少为一只旋流子。运行的旋流子和备用的旋流子之间应可方便的进行切换。</w:t>
      </w:r>
    </w:p>
    <w:p w14:paraId="26223B50">
      <w:pPr>
        <w:tabs>
          <w:tab w:val="left" w:pos="1145"/>
        </w:tabs>
        <w:spacing w:line="360" w:lineRule="auto"/>
        <w:ind w:firstLine="480" w:firstLineChars="200"/>
        <w:rPr>
          <w:rFonts w:hint="eastAsia"/>
          <w:color w:val="auto"/>
          <w:sz w:val="24"/>
          <w:highlight w:val="none"/>
        </w:rPr>
      </w:pPr>
      <w:r>
        <w:rPr>
          <w:color w:val="auto"/>
          <w:kern w:val="0"/>
          <w:sz w:val="24"/>
          <w:highlight w:val="none"/>
        </w:rPr>
        <w:t>应布置人员到达所需要的通道和扶梯，方便检修和维护。</w:t>
      </w:r>
    </w:p>
    <w:p w14:paraId="4E12FA3B">
      <w:pPr>
        <w:numPr>
          <w:ilvl w:val="4"/>
          <w:numId w:val="9"/>
        </w:numPr>
        <w:adjustRightInd w:val="0"/>
        <w:spacing w:line="360" w:lineRule="auto"/>
        <w:textAlignment w:val="baseline"/>
        <w:rPr>
          <w:color w:val="auto"/>
          <w:sz w:val="24"/>
          <w:highlight w:val="none"/>
        </w:rPr>
      </w:pPr>
      <w:r>
        <w:rPr>
          <w:color w:val="auto"/>
          <w:sz w:val="24"/>
          <w:highlight w:val="none"/>
        </w:rPr>
        <w:t>真空皮带脱水机</w:t>
      </w:r>
    </w:p>
    <w:p w14:paraId="7812C29A">
      <w:pPr>
        <w:spacing w:line="360" w:lineRule="auto"/>
        <w:ind w:firstLine="480" w:firstLineChars="200"/>
        <w:rPr>
          <w:rFonts w:hint="default" w:eastAsia="宋体"/>
          <w:color w:val="auto"/>
          <w:kern w:val="0"/>
          <w:sz w:val="24"/>
          <w:highlight w:val="none"/>
          <w:lang w:val="en-US" w:eastAsia="zh-CN"/>
        </w:rPr>
      </w:pPr>
      <w:r>
        <w:rPr>
          <w:color w:val="auto"/>
          <w:kern w:val="0"/>
          <w:sz w:val="24"/>
          <w:highlight w:val="none"/>
        </w:rPr>
        <w:t>每台真空皮带机的出力应能满足一台炉燃用</w:t>
      </w:r>
      <w:r>
        <w:rPr>
          <w:rFonts w:hint="eastAsia"/>
          <w:color w:val="auto"/>
          <w:kern w:val="0"/>
          <w:sz w:val="24"/>
          <w:highlight w:val="none"/>
          <w:lang w:val="en-US" w:eastAsia="zh-CN"/>
        </w:rPr>
        <w:t>设计</w:t>
      </w:r>
      <w:r>
        <w:rPr>
          <w:color w:val="auto"/>
          <w:kern w:val="0"/>
          <w:sz w:val="24"/>
          <w:highlight w:val="none"/>
        </w:rPr>
        <w:t>煤种时，</w:t>
      </w:r>
      <w:r>
        <w:rPr>
          <w:rFonts w:hint="eastAsia"/>
          <w:color w:val="auto"/>
          <w:sz w:val="24"/>
          <w:highlight w:val="none"/>
          <w:lang w:val="en-US" w:eastAsia="zh-CN"/>
        </w:rPr>
        <w:t>锅炉最大连续</w:t>
      </w:r>
      <w:r>
        <w:rPr>
          <w:color w:val="auto"/>
          <w:sz w:val="24"/>
          <w:highlight w:val="none"/>
          <w:lang w:val="en-US"/>
        </w:rPr>
        <w:t>蒸发量</w:t>
      </w:r>
      <w:r>
        <w:rPr>
          <w:color w:val="auto"/>
          <w:kern w:val="0"/>
          <w:sz w:val="24"/>
          <w:highlight w:val="none"/>
        </w:rPr>
        <w:t>工况下的石膏脱水量</w:t>
      </w:r>
      <w:r>
        <w:rPr>
          <w:rFonts w:hint="eastAsia"/>
          <w:color w:val="auto"/>
          <w:kern w:val="0"/>
          <w:sz w:val="24"/>
          <w:highlight w:val="none"/>
          <w:lang w:val="en-US" w:eastAsia="zh-CN"/>
        </w:rPr>
        <w:t>。容量为</w:t>
      </w:r>
      <w:r>
        <w:rPr>
          <w:rFonts w:hint="eastAsia"/>
          <w:color w:val="auto"/>
          <w:kern w:val="0"/>
          <w:sz w:val="24"/>
          <w:highlight w:val="none"/>
          <w:u w:val="single"/>
          <w:lang w:val="en-US" w:eastAsia="zh-CN"/>
        </w:rPr>
        <w:t xml:space="preserve">    </w:t>
      </w:r>
      <w:r>
        <w:rPr>
          <w:rFonts w:hint="eastAsia"/>
          <w:color w:val="auto"/>
          <w:kern w:val="0"/>
          <w:sz w:val="24"/>
          <w:highlight w:val="none"/>
          <w:lang w:val="en-US" w:eastAsia="zh-CN"/>
        </w:rPr>
        <w:t>t/h。（投标方填写）</w:t>
      </w:r>
    </w:p>
    <w:p w14:paraId="350D1726">
      <w:pPr>
        <w:spacing w:line="360" w:lineRule="auto"/>
        <w:ind w:firstLine="480" w:firstLineChars="200"/>
        <w:rPr>
          <w:color w:val="auto"/>
          <w:sz w:val="24"/>
          <w:highlight w:val="none"/>
        </w:rPr>
      </w:pPr>
      <w:r>
        <w:rPr>
          <w:color w:val="auto"/>
          <w:sz w:val="24"/>
          <w:highlight w:val="none"/>
        </w:rPr>
        <w:t>真空皮带脱水机应保证脱水后石膏中含湿率不大于10%，Cl</w:t>
      </w:r>
      <w:r>
        <w:rPr>
          <w:color w:val="auto"/>
          <w:sz w:val="24"/>
          <w:highlight w:val="none"/>
          <w:vertAlign w:val="superscript"/>
        </w:rPr>
        <w:t>—</w:t>
      </w:r>
      <w:r>
        <w:rPr>
          <w:color w:val="auto"/>
          <w:sz w:val="24"/>
          <w:highlight w:val="none"/>
        </w:rPr>
        <w:t>含量</w:t>
      </w:r>
      <w:r>
        <w:rPr>
          <w:rFonts w:hint="eastAsia"/>
          <w:color w:val="auto"/>
          <w:sz w:val="24"/>
          <w:highlight w:val="none"/>
        </w:rPr>
        <w:t>符合</w:t>
      </w:r>
      <w:r>
        <w:rPr>
          <w:color w:val="auto"/>
          <w:sz w:val="24"/>
          <w:highlight w:val="none"/>
        </w:rPr>
        <w:t>石膏综合利用的需求，含量不高于</w:t>
      </w:r>
      <w:r>
        <w:rPr>
          <w:rFonts w:hint="eastAsia"/>
          <w:color w:val="auto"/>
          <w:sz w:val="24"/>
          <w:highlight w:val="none"/>
        </w:rPr>
        <w:t>1</w:t>
      </w:r>
      <w:r>
        <w:rPr>
          <w:color w:val="auto"/>
          <w:sz w:val="24"/>
          <w:highlight w:val="none"/>
        </w:rPr>
        <w:t>00ppm。</w:t>
      </w:r>
    </w:p>
    <w:p w14:paraId="19A40FBA">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应保证现场运行的系统设备的噪声应满足：距离设备外壳1米处测得的噪声（平均声压级）应小于85dB(A)。</w:t>
      </w:r>
    </w:p>
    <w:p w14:paraId="5A30E47A">
      <w:pPr>
        <w:spacing w:line="360" w:lineRule="auto"/>
        <w:ind w:firstLine="480" w:firstLineChars="200"/>
        <w:rPr>
          <w:color w:val="auto"/>
          <w:sz w:val="24"/>
          <w:highlight w:val="none"/>
        </w:rPr>
      </w:pPr>
      <w:r>
        <w:rPr>
          <w:color w:val="auto"/>
          <w:sz w:val="24"/>
          <w:highlight w:val="none"/>
        </w:rPr>
        <w:t>真空皮带脱水机应为连续给料、水平带式脱水机，可在最低和最高条件下连续运行。</w:t>
      </w:r>
    </w:p>
    <w:p w14:paraId="3CC451F5">
      <w:pPr>
        <w:spacing w:line="360" w:lineRule="auto"/>
        <w:ind w:firstLine="480" w:firstLineChars="200"/>
        <w:rPr>
          <w:color w:val="auto"/>
          <w:sz w:val="24"/>
          <w:highlight w:val="none"/>
        </w:rPr>
      </w:pPr>
      <w:r>
        <w:rPr>
          <w:color w:val="auto"/>
          <w:sz w:val="24"/>
          <w:highlight w:val="none"/>
        </w:rPr>
        <w:t>真空皮带脱水机具有良好的调节响应特性，以保证稳定运行。其传动装置采用变频调速的电驱动方式，电机采用变频电机。</w:t>
      </w:r>
      <w:r>
        <w:rPr>
          <w:rFonts w:hint="eastAsia"/>
          <w:color w:val="auto"/>
          <w:sz w:val="24"/>
          <w:highlight w:val="none"/>
          <w:lang w:eastAsia="zh-CN"/>
        </w:rPr>
        <w:t>投标方</w:t>
      </w:r>
      <w:r>
        <w:rPr>
          <w:color w:val="auto"/>
          <w:sz w:val="24"/>
          <w:highlight w:val="none"/>
        </w:rPr>
        <w:t>配备石膏饼厚度监测系统，通过带防腐金属护套的探头测量石膏饼厚度，并借此测量信号增加或降低皮带速度。</w:t>
      </w:r>
    </w:p>
    <w:p w14:paraId="53F8C994">
      <w:pPr>
        <w:spacing w:line="360" w:lineRule="auto"/>
        <w:ind w:firstLine="480" w:firstLineChars="200"/>
        <w:rPr>
          <w:color w:val="auto"/>
          <w:sz w:val="24"/>
          <w:highlight w:val="none"/>
        </w:rPr>
      </w:pPr>
      <w:r>
        <w:rPr>
          <w:color w:val="auto"/>
          <w:sz w:val="24"/>
          <w:highlight w:val="none"/>
        </w:rPr>
        <w:t>真空皮带脱水机的滤饼厚度应能自动调整。</w:t>
      </w:r>
    </w:p>
    <w:p w14:paraId="4A0A2ABE">
      <w:pPr>
        <w:spacing w:line="360" w:lineRule="auto"/>
        <w:ind w:firstLine="480" w:firstLineChars="200"/>
        <w:rPr>
          <w:color w:val="auto"/>
          <w:sz w:val="24"/>
          <w:highlight w:val="none"/>
        </w:rPr>
      </w:pPr>
      <w:r>
        <w:rPr>
          <w:color w:val="auto"/>
          <w:sz w:val="24"/>
          <w:highlight w:val="none"/>
        </w:rPr>
        <w:t>真空皮带脱水机应配置完整的部件及驱动装置，包括但不限于：电机、变频器、滤布等正常运行所必须的仪表、阀门等。</w:t>
      </w:r>
    </w:p>
    <w:p w14:paraId="14527531">
      <w:pPr>
        <w:spacing w:line="360" w:lineRule="auto"/>
        <w:ind w:firstLine="480" w:firstLineChars="200"/>
        <w:rPr>
          <w:color w:val="auto"/>
          <w:sz w:val="24"/>
          <w:highlight w:val="none"/>
        </w:rPr>
      </w:pPr>
      <w:r>
        <w:rPr>
          <w:color w:val="auto"/>
          <w:sz w:val="24"/>
          <w:highlight w:val="none"/>
        </w:rPr>
        <w:t>真空皮带脱水机的真空箱应设相应的升降装置，以便于检查和清洗。</w:t>
      </w:r>
    </w:p>
    <w:p w14:paraId="6A7753E6">
      <w:pPr>
        <w:spacing w:line="360" w:lineRule="auto"/>
        <w:ind w:firstLine="480" w:firstLineChars="200"/>
        <w:rPr>
          <w:color w:val="auto"/>
          <w:sz w:val="24"/>
          <w:highlight w:val="none"/>
        </w:rPr>
      </w:pPr>
      <w:r>
        <w:rPr>
          <w:color w:val="auto"/>
          <w:sz w:val="24"/>
          <w:highlight w:val="none"/>
        </w:rPr>
        <w:t>真空皮带脱水机应配置有效的水冲洗系统，以便清洗滤饼和滤布，应保证皮带两边均能冲洗到。</w:t>
      </w:r>
    </w:p>
    <w:p w14:paraId="09214B4F">
      <w:pPr>
        <w:spacing w:line="360" w:lineRule="auto"/>
        <w:ind w:firstLine="480" w:firstLineChars="200"/>
        <w:rPr>
          <w:rFonts w:hint="eastAsia"/>
          <w:color w:val="auto"/>
          <w:sz w:val="24"/>
          <w:highlight w:val="none"/>
        </w:rPr>
      </w:pPr>
      <w:r>
        <w:rPr>
          <w:color w:val="auto"/>
          <w:sz w:val="24"/>
          <w:highlight w:val="none"/>
        </w:rPr>
        <w:t>真空皮带脱水机直接接触腐蚀性介质的部件，应采用橡胶、聚丙烯、UHMW－PE、PVC/FRPP制作。真空皮带脱水机支撑板和框架应</w:t>
      </w:r>
      <w:r>
        <w:rPr>
          <w:rFonts w:hint="default"/>
          <w:color w:val="auto"/>
          <w:sz w:val="24"/>
          <w:highlight w:val="none"/>
          <w:lang w:val="en-US" w:eastAsia="zh-CN"/>
        </w:rPr>
        <w:t>具有良好的防腐措施</w:t>
      </w:r>
      <w:r>
        <w:rPr>
          <w:color w:val="auto"/>
          <w:sz w:val="24"/>
          <w:highlight w:val="none"/>
        </w:rPr>
        <w:t>。</w:t>
      </w:r>
    </w:p>
    <w:p w14:paraId="0DB07607">
      <w:pPr>
        <w:spacing w:line="360" w:lineRule="auto"/>
        <w:ind w:firstLine="480" w:firstLineChars="200"/>
        <w:rPr>
          <w:color w:val="auto"/>
          <w:sz w:val="24"/>
          <w:highlight w:val="none"/>
        </w:rPr>
      </w:pPr>
      <w:r>
        <w:rPr>
          <w:color w:val="auto"/>
          <w:sz w:val="24"/>
          <w:highlight w:val="none"/>
        </w:rPr>
        <w:t>真空皮带脱水机入口分配箱应能使浆液在皮带宽度方向分配均匀，并设置水汽收集罩，以收集排放低热浆液蒸发的水汽。</w:t>
      </w:r>
    </w:p>
    <w:p w14:paraId="7B0924AC">
      <w:pPr>
        <w:spacing w:line="360" w:lineRule="auto"/>
        <w:ind w:firstLine="480" w:firstLineChars="200"/>
        <w:rPr>
          <w:color w:val="auto"/>
          <w:sz w:val="24"/>
          <w:highlight w:val="none"/>
        </w:rPr>
      </w:pPr>
      <w:r>
        <w:rPr>
          <w:color w:val="auto"/>
          <w:sz w:val="24"/>
          <w:highlight w:val="none"/>
        </w:rPr>
        <w:t>真空皮带脱水机采用设裙边等适当的措施以保证浆料和冲洗水不会在运行过程中发生任何溅出或飞落。</w:t>
      </w:r>
    </w:p>
    <w:p w14:paraId="7584BD68">
      <w:pPr>
        <w:spacing w:line="360" w:lineRule="auto"/>
        <w:ind w:firstLine="480" w:firstLineChars="200"/>
        <w:rPr>
          <w:color w:val="auto"/>
          <w:sz w:val="24"/>
          <w:highlight w:val="none"/>
        </w:rPr>
      </w:pPr>
      <w:r>
        <w:rPr>
          <w:color w:val="auto"/>
          <w:sz w:val="24"/>
          <w:highlight w:val="none"/>
        </w:rPr>
        <w:t>真空皮带脱水机应配置合理的装置，以防止滤布偏离或起皱。张紧装置设计合理，以保证滤布在运行时有一定的摩擦力，不会出现打滑现象。真空皮带脱水机应配置滤布纠偏装置，滤布应易于更换。</w:t>
      </w:r>
    </w:p>
    <w:p w14:paraId="1DA86FFA">
      <w:pPr>
        <w:spacing w:line="360" w:lineRule="auto"/>
        <w:ind w:firstLine="480" w:firstLineChars="200"/>
        <w:rPr>
          <w:color w:val="auto"/>
          <w:sz w:val="24"/>
          <w:highlight w:val="none"/>
        </w:rPr>
      </w:pPr>
      <w:r>
        <w:rPr>
          <w:color w:val="auto"/>
          <w:sz w:val="24"/>
          <w:highlight w:val="none"/>
        </w:rPr>
        <w:t>真空皮带脱水机应在尾部设置石膏定期采样点。</w:t>
      </w:r>
    </w:p>
    <w:p w14:paraId="4E68FE5B">
      <w:pPr>
        <w:spacing w:line="360" w:lineRule="auto"/>
        <w:ind w:firstLine="480" w:firstLineChars="200"/>
        <w:rPr>
          <w:color w:val="auto"/>
          <w:sz w:val="24"/>
          <w:highlight w:val="none"/>
        </w:rPr>
      </w:pPr>
      <w:r>
        <w:rPr>
          <w:color w:val="auto"/>
          <w:sz w:val="24"/>
          <w:highlight w:val="none"/>
        </w:rPr>
        <w:t>真空皮带脱水机应在工厂进行预组装后整体发运至业主现场，皮带及滤布由</w:t>
      </w:r>
      <w:r>
        <w:rPr>
          <w:rFonts w:hint="eastAsia"/>
          <w:color w:val="auto"/>
          <w:sz w:val="24"/>
          <w:highlight w:val="none"/>
          <w:lang w:eastAsia="zh-CN"/>
        </w:rPr>
        <w:t>投标方</w:t>
      </w:r>
      <w:r>
        <w:rPr>
          <w:color w:val="auto"/>
          <w:sz w:val="24"/>
          <w:highlight w:val="none"/>
        </w:rPr>
        <w:t>在现场进行拼接安装。</w:t>
      </w:r>
    </w:p>
    <w:p w14:paraId="5FF82365">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应配备石膏脱水的所有辅助设备及钢结构。如输送带的支撑设备、滤布连续清洗设备等。</w:t>
      </w:r>
    </w:p>
    <w:p w14:paraId="6867AD30">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应根据《火力发电厂保温油漆设计规程》(DL/T5072)进行保温结构设计和油漆。需油漆部件的外表面必须进行机械除锈预处理，除锈质量达到SIS055900－88（瑞典）标准Sa2.5级的要求。表面油漆色标由业主提供。</w:t>
      </w:r>
    </w:p>
    <w:p w14:paraId="6086C9BC">
      <w:pPr>
        <w:spacing w:line="360" w:lineRule="auto"/>
        <w:ind w:firstLine="480" w:firstLineChars="200"/>
        <w:rPr>
          <w:color w:val="auto"/>
          <w:sz w:val="24"/>
          <w:highlight w:val="none"/>
        </w:rPr>
      </w:pPr>
      <w:r>
        <w:rPr>
          <w:color w:val="auto"/>
          <w:sz w:val="24"/>
          <w:highlight w:val="none"/>
        </w:rPr>
        <w:t>油漆表面质量要求：</w:t>
      </w:r>
    </w:p>
    <w:p w14:paraId="1F14074C">
      <w:pPr>
        <w:spacing w:line="360" w:lineRule="auto"/>
        <w:ind w:firstLine="480" w:firstLineChars="200"/>
        <w:rPr>
          <w:color w:val="auto"/>
          <w:sz w:val="24"/>
          <w:highlight w:val="none"/>
        </w:rPr>
      </w:pPr>
      <w:r>
        <w:rPr>
          <w:color w:val="auto"/>
          <w:sz w:val="24"/>
          <w:highlight w:val="none"/>
        </w:rPr>
        <w:t>除锈等级：      Sa 2.5</w:t>
      </w:r>
    </w:p>
    <w:p w14:paraId="053678C4">
      <w:pPr>
        <w:spacing w:line="360" w:lineRule="auto"/>
        <w:ind w:firstLine="480" w:firstLineChars="200"/>
        <w:rPr>
          <w:color w:val="auto"/>
          <w:sz w:val="24"/>
          <w:highlight w:val="none"/>
        </w:rPr>
      </w:pPr>
      <w:r>
        <w:rPr>
          <w:color w:val="auto"/>
          <w:sz w:val="24"/>
          <w:highlight w:val="none"/>
        </w:rPr>
        <w:t>粗糙度</w:t>
      </w:r>
      <w:r>
        <w:rPr>
          <w:color w:val="auto"/>
          <w:sz w:val="24"/>
          <w:highlight w:val="none"/>
          <w:lang w:val="en-GB"/>
        </w:rPr>
        <w:t>：</w:t>
      </w:r>
      <w:r>
        <w:rPr>
          <w:color w:val="auto"/>
          <w:sz w:val="24"/>
          <w:highlight w:val="none"/>
        </w:rPr>
        <w:t xml:space="preserve">        40—65 μm</w:t>
      </w:r>
    </w:p>
    <w:p w14:paraId="28CCED50">
      <w:pPr>
        <w:spacing w:line="360" w:lineRule="auto"/>
        <w:ind w:firstLine="480" w:firstLineChars="200"/>
        <w:rPr>
          <w:color w:val="auto"/>
          <w:highlight w:val="none"/>
        </w:rPr>
      </w:pPr>
      <w:r>
        <w:rPr>
          <w:color w:val="auto"/>
          <w:sz w:val="24"/>
          <w:highlight w:val="none"/>
        </w:rPr>
        <w:t>底漆厚度：      &gt;60 μm</w:t>
      </w:r>
    </w:p>
    <w:p w14:paraId="47C34D15">
      <w:pPr>
        <w:spacing w:line="360" w:lineRule="auto"/>
        <w:ind w:firstLine="480" w:firstLineChars="200"/>
        <w:rPr>
          <w:color w:val="auto"/>
          <w:sz w:val="24"/>
          <w:highlight w:val="none"/>
        </w:rPr>
      </w:pPr>
      <w:r>
        <w:rPr>
          <w:color w:val="auto"/>
          <w:sz w:val="24"/>
          <w:highlight w:val="none"/>
        </w:rPr>
        <w:t>运输保护漆厚度：40—60 μm</w:t>
      </w:r>
    </w:p>
    <w:p w14:paraId="57EE8E66">
      <w:pPr>
        <w:spacing w:line="360" w:lineRule="auto"/>
        <w:ind w:firstLine="480"/>
        <w:rPr>
          <w:color w:val="auto"/>
          <w:sz w:val="24"/>
          <w:highlight w:val="none"/>
        </w:rPr>
      </w:pPr>
      <w:r>
        <w:rPr>
          <w:color w:val="auto"/>
          <w:sz w:val="24"/>
          <w:highlight w:val="none"/>
        </w:rPr>
        <w:t>真空皮带脱水机和真空泵设置检修起吊设施，真空皮带脱水机设运行维护平台，真空皮带机的尾部石膏清刮板采用超高分子聚乙烯板材料制成。</w:t>
      </w:r>
    </w:p>
    <w:p w14:paraId="41803189">
      <w:pPr>
        <w:spacing w:line="360" w:lineRule="auto"/>
        <w:ind w:firstLine="480"/>
        <w:rPr>
          <w:color w:val="auto"/>
          <w:sz w:val="24"/>
          <w:highlight w:val="none"/>
        </w:rPr>
      </w:pPr>
      <w:r>
        <w:rPr>
          <w:rFonts w:hint="eastAsia"/>
          <w:color w:val="auto"/>
          <w:sz w:val="24"/>
          <w:highlight w:val="none"/>
          <w:lang w:eastAsia="zh-CN"/>
        </w:rPr>
        <w:t>投标方</w:t>
      </w:r>
      <w:r>
        <w:rPr>
          <w:rFonts w:hint="eastAsia"/>
          <w:color w:val="auto"/>
          <w:sz w:val="24"/>
          <w:highlight w:val="none"/>
        </w:rPr>
        <w:t>至少应提供以下的自动控制仪表，但不限于：</w:t>
      </w:r>
    </w:p>
    <w:p w14:paraId="5BC675A6">
      <w:pPr>
        <w:pStyle w:val="46"/>
        <w:widowControl w:val="0"/>
        <w:numPr>
          <w:ilvl w:val="0"/>
          <w:numId w:val="10"/>
        </w:numPr>
        <w:spacing w:before="0" w:beforeAutospacing="0" w:after="0" w:afterAutospacing="0" w:line="360" w:lineRule="auto"/>
        <w:ind w:left="0" w:firstLine="0"/>
        <w:rPr>
          <w:color w:val="auto"/>
          <w:highlight w:val="none"/>
        </w:rPr>
      </w:pPr>
      <w:r>
        <w:rPr>
          <w:rFonts w:hint="eastAsia" w:ascii="Times New Roman" w:hAnsi="Times New Roman" w:cs="宋体"/>
          <w:color w:val="auto"/>
          <w:kern w:val="2"/>
          <w:szCs w:val="20"/>
          <w:highlight w:val="none"/>
          <w:lang w:bidi="ar"/>
        </w:rPr>
        <w:t>报警信号（大、小故障信号各一个），运行状态信号应被送至</w:t>
      </w:r>
      <w:r>
        <w:rPr>
          <w:rFonts w:ascii="Times New Roman" w:hAnsi="Times New Roman"/>
          <w:color w:val="auto"/>
          <w:kern w:val="2"/>
          <w:szCs w:val="20"/>
          <w:highlight w:val="none"/>
          <w:lang w:bidi="ar"/>
        </w:rPr>
        <w:t>FGD_DCS</w:t>
      </w:r>
      <w:r>
        <w:rPr>
          <w:rFonts w:hint="eastAsia" w:ascii="Times New Roman" w:hAnsi="Times New Roman" w:cs="宋体"/>
          <w:color w:val="auto"/>
          <w:kern w:val="2"/>
          <w:szCs w:val="20"/>
          <w:highlight w:val="none"/>
          <w:lang w:bidi="ar"/>
        </w:rPr>
        <w:t>系统；</w:t>
      </w:r>
    </w:p>
    <w:p w14:paraId="08DB429C">
      <w:pPr>
        <w:pStyle w:val="46"/>
        <w:widowControl w:val="0"/>
        <w:numPr>
          <w:ilvl w:val="0"/>
          <w:numId w:val="10"/>
        </w:numPr>
        <w:spacing w:before="0" w:beforeAutospacing="0" w:after="0" w:afterAutospacing="0" w:line="360" w:lineRule="auto"/>
        <w:ind w:left="0" w:firstLine="0"/>
        <w:rPr>
          <w:color w:val="auto"/>
          <w:highlight w:val="none"/>
        </w:rPr>
      </w:pPr>
      <w:r>
        <w:rPr>
          <w:rFonts w:hint="eastAsia" w:ascii="Times New Roman" w:hAnsi="Times New Roman" w:cs="宋体"/>
          <w:color w:val="auto"/>
          <w:kern w:val="2"/>
          <w:szCs w:val="20"/>
          <w:highlight w:val="none"/>
          <w:lang w:bidi="ar"/>
        </w:rPr>
        <w:t>真空皮带机可通过</w:t>
      </w:r>
      <w:r>
        <w:rPr>
          <w:rFonts w:ascii="Times New Roman" w:hAnsi="Times New Roman"/>
          <w:color w:val="auto"/>
          <w:kern w:val="2"/>
          <w:szCs w:val="20"/>
          <w:highlight w:val="none"/>
          <w:lang w:bidi="ar"/>
        </w:rPr>
        <w:t>FGD_DCS</w:t>
      </w:r>
      <w:r>
        <w:rPr>
          <w:rFonts w:hint="eastAsia" w:ascii="Times New Roman" w:hAnsi="Times New Roman" w:cs="宋体"/>
          <w:color w:val="auto"/>
          <w:kern w:val="2"/>
          <w:szCs w:val="20"/>
          <w:highlight w:val="none"/>
          <w:lang w:bidi="ar"/>
        </w:rPr>
        <w:t>信号进行操作（启动</w:t>
      </w:r>
      <w:r>
        <w:rPr>
          <w:rFonts w:ascii="Times New Roman" w:hAnsi="Times New Roman"/>
          <w:color w:val="auto"/>
          <w:kern w:val="2"/>
          <w:szCs w:val="20"/>
          <w:highlight w:val="none"/>
          <w:lang w:bidi="ar"/>
        </w:rPr>
        <w:t>/</w:t>
      </w:r>
      <w:r>
        <w:rPr>
          <w:rFonts w:hint="eastAsia" w:ascii="Times New Roman" w:hAnsi="Times New Roman" w:cs="宋体"/>
          <w:color w:val="auto"/>
          <w:kern w:val="2"/>
          <w:szCs w:val="20"/>
          <w:highlight w:val="none"/>
          <w:lang w:bidi="ar"/>
        </w:rPr>
        <w:t>停止，等）；</w:t>
      </w:r>
    </w:p>
    <w:p w14:paraId="1E23CACE">
      <w:pPr>
        <w:pStyle w:val="46"/>
        <w:widowControl w:val="0"/>
        <w:numPr>
          <w:ilvl w:val="0"/>
          <w:numId w:val="10"/>
        </w:numPr>
        <w:spacing w:before="0" w:beforeAutospacing="0" w:after="0" w:afterAutospacing="0" w:line="360" w:lineRule="auto"/>
        <w:ind w:left="0" w:firstLine="0"/>
        <w:rPr>
          <w:color w:val="auto"/>
          <w:highlight w:val="none"/>
        </w:rPr>
      </w:pPr>
      <w:r>
        <w:rPr>
          <w:rFonts w:hint="eastAsia" w:ascii="Times New Roman" w:hAnsi="Times New Roman" w:cs="宋体"/>
          <w:color w:val="auto"/>
          <w:kern w:val="2"/>
          <w:szCs w:val="20"/>
          <w:highlight w:val="none"/>
          <w:lang w:bidi="ar"/>
        </w:rPr>
        <w:t>真空皮带机应配现场控制盘，控制所有设备；</w:t>
      </w:r>
    </w:p>
    <w:p w14:paraId="46938F27">
      <w:pPr>
        <w:spacing w:line="360" w:lineRule="auto"/>
        <w:ind w:firstLine="480"/>
        <w:rPr>
          <w:color w:val="auto"/>
          <w:highlight w:val="none"/>
        </w:rPr>
      </w:pPr>
      <w:r>
        <w:rPr>
          <w:rFonts w:hint="eastAsia"/>
          <w:color w:val="auto"/>
          <w:sz w:val="24"/>
          <w:szCs w:val="20"/>
          <w:highlight w:val="none"/>
          <w:lang w:bidi="ar"/>
        </w:rPr>
        <w:t>现场控制盘应有</w:t>
      </w:r>
      <w:r>
        <w:rPr>
          <w:color w:val="auto"/>
          <w:sz w:val="24"/>
          <w:szCs w:val="20"/>
          <w:highlight w:val="none"/>
          <w:lang w:bidi="ar"/>
        </w:rPr>
        <w:t>FGD_DCS/</w:t>
      </w:r>
      <w:r>
        <w:rPr>
          <w:rFonts w:hint="eastAsia"/>
          <w:color w:val="auto"/>
          <w:sz w:val="24"/>
          <w:szCs w:val="20"/>
          <w:highlight w:val="none"/>
          <w:lang w:bidi="ar"/>
        </w:rPr>
        <w:t>就地自动</w:t>
      </w:r>
      <w:r>
        <w:rPr>
          <w:color w:val="auto"/>
          <w:sz w:val="24"/>
          <w:szCs w:val="20"/>
          <w:highlight w:val="none"/>
          <w:lang w:bidi="ar"/>
        </w:rPr>
        <w:t>/</w:t>
      </w:r>
      <w:r>
        <w:rPr>
          <w:rFonts w:hint="eastAsia"/>
          <w:color w:val="auto"/>
          <w:sz w:val="24"/>
          <w:szCs w:val="20"/>
          <w:highlight w:val="none"/>
          <w:lang w:bidi="ar"/>
        </w:rPr>
        <w:t>手操等模式的切换。</w:t>
      </w:r>
    </w:p>
    <w:p w14:paraId="4EBB9F5D">
      <w:pPr>
        <w:numPr>
          <w:ilvl w:val="4"/>
          <w:numId w:val="9"/>
        </w:numPr>
        <w:adjustRightInd w:val="0"/>
        <w:spacing w:line="360" w:lineRule="auto"/>
        <w:textAlignment w:val="baseline"/>
        <w:rPr>
          <w:color w:val="auto"/>
          <w:sz w:val="24"/>
          <w:highlight w:val="none"/>
        </w:rPr>
      </w:pPr>
      <w:r>
        <w:rPr>
          <w:color w:val="auto"/>
          <w:sz w:val="24"/>
          <w:highlight w:val="none"/>
        </w:rPr>
        <w:t>真空泵</w:t>
      </w:r>
    </w:p>
    <w:p w14:paraId="1884410A">
      <w:pPr>
        <w:spacing w:line="360" w:lineRule="auto"/>
        <w:ind w:firstLine="480"/>
        <w:rPr>
          <w:color w:val="auto"/>
          <w:sz w:val="24"/>
          <w:highlight w:val="none"/>
        </w:rPr>
      </w:pPr>
      <w:r>
        <w:rPr>
          <w:color w:val="auto"/>
          <w:sz w:val="24"/>
          <w:highlight w:val="none"/>
        </w:rPr>
        <w:t>每台真空皮带脱水机配置一台100%容量的水环式真空泵。</w:t>
      </w:r>
    </w:p>
    <w:p w14:paraId="049CAB7C">
      <w:pPr>
        <w:spacing w:line="360" w:lineRule="auto"/>
        <w:ind w:firstLine="480"/>
        <w:rPr>
          <w:color w:val="auto"/>
          <w:sz w:val="24"/>
          <w:highlight w:val="none"/>
        </w:rPr>
      </w:pPr>
      <w:r>
        <w:rPr>
          <w:color w:val="auto"/>
          <w:sz w:val="24"/>
          <w:highlight w:val="none"/>
        </w:rPr>
        <w:t>真空泵采用环型水封式。为了方便地调整泵和驱动电机的轴承中心线，推力螺钉将安装在公共底板的驱动电机侧。</w:t>
      </w:r>
    </w:p>
    <w:p w14:paraId="47E25E72">
      <w:pPr>
        <w:spacing w:line="360" w:lineRule="auto"/>
        <w:ind w:firstLine="480" w:firstLineChars="200"/>
        <w:rPr>
          <w:color w:val="auto"/>
          <w:sz w:val="24"/>
          <w:highlight w:val="none"/>
        </w:rPr>
      </w:pPr>
      <w:r>
        <w:rPr>
          <w:color w:val="auto"/>
          <w:sz w:val="24"/>
          <w:highlight w:val="none"/>
        </w:rPr>
        <w:t>真空泵应配备汽水分离器、入口滤网（如需要）、密封水手动隔离阀</w:t>
      </w:r>
      <w:r>
        <w:rPr>
          <w:rFonts w:hint="eastAsia"/>
          <w:color w:val="auto"/>
          <w:sz w:val="24"/>
          <w:highlight w:val="none"/>
          <w:lang w:eastAsia="zh-CN"/>
        </w:rPr>
        <w:t>，</w:t>
      </w:r>
      <w:r>
        <w:rPr>
          <w:color w:val="auto"/>
          <w:sz w:val="24"/>
          <w:highlight w:val="none"/>
        </w:rPr>
        <w:t>并应带减震设施，同时需增强其支承基础的强度与稳定性。</w:t>
      </w:r>
    </w:p>
    <w:p w14:paraId="454F1174">
      <w:pPr>
        <w:spacing w:line="360" w:lineRule="auto"/>
        <w:ind w:firstLine="480" w:firstLineChars="200"/>
        <w:rPr>
          <w:color w:val="auto"/>
          <w:sz w:val="24"/>
          <w:highlight w:val="none"/>
        </w:rPr>
      </w:pPr>
      <w:r>
        <w:rPr>
          <w:color w:val="auto"/>
          <w:sz w:val="24"/>
          <w:highlight w:val="none"/>
        </w:rPr>
        <w:t>真空泵考虑到启停时排汽管</w:t>
      </w:r>
      <w:r>
        <w:rPr>
          <w:rFonts w:hint="eastAsia"/>
          <w:color w:val="auto"/>
          <w:sz w:val="24"/>
          <w:highlight w:val="none"/>
        </w:rPr>
        <w:t>排</w:t>
      </w:r>
      <w:r>
        <w:rPr>
          <w:color w:val="auto"/>
          <w:sz w:val="24"/>
          <w:highlight w:val="none"/>
        </w:rPr>
        <w:t>水。</w:t>
      </w:r>
    </w:p>
    <w:p w14:paraId="112ABCFD">
      <w:pPr>
        <w:spacing w:line="360" w:lineRule="auto"/>
        <w:ind w:firstLine="480" w:firstLineChars="200"/>
        <w:rPr>
          <w:rFonts w:hint="eastAsia"/>
          <w:color w:val="auto"/>
          <w:sz w:val="24"/>
          <w:highlight w:val="none"/>
        </w:rPr>
      </w:pPr>
      <w:r>
        <w:rPr>
          <w:color w:val="auto"/>
          <w:sz w:val="24"/>
          <w:highlight w:val="none"/>
        </w:rPr>
        <w:t>泵的</w:t>
      </w:r>
      <w:r>
        <w:rPr>
          <w:rFonts w:hint="eastAsia"/>
          <w:color w:val="auto"/>
          <w:sz w:val="24"/>
          <w:highlight w:val="none"/>
        </w:rPr>
        <w:t>底</w:t>
      </w:r>
      <w:r>
        <w:rPr>
          <w:color w:val="auto"/>
          <w:sz w:val="24"/>
          <w:highlight w:val="none"/>
        </w:rPr>
        <w:t>板上应安装有调节螺栓，以便在安装时进行水平位置的调整。</w:t>
      </w:r>
    </w:p>
    <w:p w14:paraId="71191822">
      <w:pPr>
        <w:spacing w:line="360" w:lineRule="auto"/>
        <w:ind w:firstLine="480" w:firstLineChars="200"/>
        <w:rPr>
          <w:color w:val="auto"/>
          <w:sz w:val="24"/>
          <w:highlight w:val="none"/>
        </w:rPr>
      </w:pPr>
      <w:r>
        <w:rPr>
          <w:color w:val="auto"/>
          <w:sz w:val="24"/>
          <w:highlight w:val="none"/>
        </w:rPr>
        <w:t>真空泵在正常运行时的工况下，应使其运行效率处于最高效率点，且抽吸性能均应予以保证。真空泵在额定工况下的压头偏差值应在0%～5%之间，流量与压头的关系曲线将有陡然下降的特性。</w:t>
      </w:r>
    </w:p>
    <w:p w14:paraId="63F0FB96">
      <w:pPr>
        <w:spacing w:line="360" w:lineRule="auto"/>
        <w:ind w:firstLine="480"/>
        <w:rPr>
          <w:color w:val="auto"/>
          <w:sz w:val="24"/>
          <w:highlight w:val="none"/>
        </w:rPr>
      </w:pPr>
      <w:r>
        <w:rPr>
          <w:color w:val="auto"/>
          <w:sz w:val="24"/>
          <w:highlight w:val="none"/>
        </w:rPr>
        <w:t>真空泵的驱动电机为三相感应电机，能在全电压下直接开关启动。电机的输出功率相对于真空泵的轴刹车功率应考虑了足够的余量。</w:t>
      </w:r>
    </w:p>
    <w:p w14:paraId="78F0AFF3">
      <w:pPr>
        <w:adjustRightInd w:val="0"/>
        <w:spacing w:line="360" w:lineRule="auto"/>
        <w:ind w:firstLine="480" w:firstLineChars="200"/>
        <w:textAlignment w:val="baseline"/>
        <w:rPr>
          <w:color w:val="auto"/>
          <w:sz w:val="24"/>
          <w:highlight w:val="none"/>
        </w:rPr>
      </w:pPr>
      <w:r>
        <w:rPr>
          <w:rFonts w:hint="eastAsia"/>
          <w:color w:val="auto"/>
          <w:sz w:val="24"/>
          <w:highlight w:val="none"/>
          <w:lang w:eastAsia="zh-CN"/>
        </w:rPr>
        <w:t>投标方</w:t>
      </w:r>
      <w:r>
        <w:rPr>
          <w:color w:val="auto"/>
          <w:sz w:val="24"/>
          <w:highlight w:val="none"/>
        </w:rPr>
        <w:t>应选择焊接叶轮，叶片一次冲压成型，轮毂内外加工，解决动平衡问题；采用双排锥型滚柱轴承，以增加其承载能力。叶轮加强筋离开端面，防止泵壳内结垢积存杂质。真空泵应配相应的润滑系统。与润滑油接触的轴承护罩内表面应喷涂防油漆。</w:t>
      </w:r>
    </w:p>
    <w:p w14:paraId="2A9CF0E4">
      <w:pPr>
        <w:spacing w:line="360" w:lineRule="auto"/>
        <w:rPr>
          <w:color w:val="auto"/>
          <w:sz w:val="24"/>
          <w:highlight w:val="none"/>
        </w:rPr>
      </w:pPr>
      <w:r>
        <w:rPr>
          <w:color w:val="auto"/>
          <w:sz w:val="24"/>
          <w:highlight w:val="none"/>
        </w:rPr>
        <w:t>2.6.2.4废水旋流器</w:t>
      </w:r>
    </w:p>
    <w:p w14:paraId="3CE7EA06">
      <w:pPr>
        <w:spacing w:line="360" w:lineRule="auto"/>
        <w:ind w:firstLine="482"/>
        <w:rPr>
          <w:rFonts w:hint="eastAsia" w:eastAsia="宋体"/>
          <w:color w:val="auto"/>
          <w:kern w:val="0"/>
          <w:sz w:val="24"/>
          <w:highlight w:val="none"/>
          <w:lang w:val="en-US" w:eastAsia="zh-CN"/>
        </w:rPr>
      </w:pPr>
      <w:r>
        <w:rPr>
          <w:color w:val="auto"/>
          <w:kern w:val="0"/>
          <w:sz w:val="24"/>
          <w:highlight w:val="none"/>
        </w:rPr>
        <w:t>石膏旋流器的溢流液，经废水旋流器浆液箱收集后，送至废水旋流器，废水旋流器的溢流液，经废水收集箱收集，送至废水处理系统，底流送至吸收</w:t>
      </w:r>
      <w:r>
        <w:rPr>
          <w:rFonts w:hint="eastAsia"/>
          <w:color w:val="auto"/>
          <w:kern w:val="0"/>
          <w:sz w:val="24"/>
          <w:highlight w:val="none"/>
          <w:lang w:val="en-US" w:eastAsia="zh-CN"/>
        </w:rPr>
        <w:t>塔</w:t>
      </w:r>
      <w:r>
        <w:rPr>
          <w:color w:val="auto"/>
          <w:kern w:val="0"/>
          <w:sz w:val="24"/>
          <w:highlight w:val="none"/>
        </w:rPr>
        <w:t>区再利用。</w:t>
      </w:r>
      <w:r>
        <w:rPr>
          <w:rFonts w:hint="eastAsia"/>
          <w:color w:val="auto"/>
          <w:kern w:val="0"/>
          <w:sz w:val="24"/>
          <w:highlight w:val="none"/>
          <w:lang w:val="en-US" w:eastAsia="zh-CN"/>
        </w:rPr>
        <w:t>废水旋流器处理能力</w:t>
      </w:r>
      <w:r>
        <w:rPr>
          <w:rFonts w:hint="eastAsia"/>
          <w:color w:val="auto"/>
          <w:kern w:val="0"/>
          <w:sz w:val="24"/>
          <w:highlight w:val="none"/>
          <w:u w:val="single"/>
          <w:lang w:val="en-US" w:eastAsia="zh-CN"/>
        </w:rPr>
        <w:t xml:space="preserve">   </w:t>
      </w:r>
      <w:r>
        <w:rPr>
          <w:rFonts w:hint="eastAsia"/>
          <w:color w:val="auto"/>
          <w:kern w:val="0"/>
          <w:sz w:val="24"/>
          <w:highlight w:val="none"/>
          <w:lang w:val="en-US" w:eastAsia="zh-CN"/>
        </w:rPr>
        <w:t>（投标方填写）。</w:t>
      </w:r>
    </w:p>
    <w:p w14:paraId="7B51056F">
      <w:pPr>
        <w:spacing w:line="360" w:lineRule="auto"/>
        <w:ind w:firstLine="482"/>
        <w:rPr>
          <w:color w:val="auto"/>
          <w:kern w:val="0"/>
          <w:sz w:val="24"/>
          <w:highlight w:val="none"/>
        </w:rPr>
      </w:pPr>
      <w:r>
        <w:rPr>
          <w:color w:val="auto"/>
          <w:kern w:val="0"/>
          <w:sz w:val="24"/>
          <w:highlight w:val="none"/>
        </w:rPr>
        <w:t>废水旋流器应能满足每个负荷条件下，通过控制旋流子的个数，满足入口最低浆液流量和压力，或浆液浓度变化的条件下，稳定运行且没有性能的降低。废水旋流器安装在废水箱的上部。旋流器应环状布置在分配器内，每个旋流器都装有单独的检修手动阀。</w:t>
      </w:r>
    </w:p>
    <w:p w14:paraId="4DEE1D81">
      <w:pPr>
        <w:spacing w:line="360" w:lineRule="auto"/>
        <w:ind w:firstLine="482"/>
        <w:rPr>
          <w:color w:val="auto"/>
          <w:kern w:val="0"/>
          <w:sz w:val="24"/>
          <w:highlight w:val="none"/>
        </w:rPr>
      </w:pPr>
      <w:r>
        <w:rPr>
          <w:color w:val="auto"/>
          <w:kern w:val="0"/>
          <w:sz w:val="24"/>
          <w:highlight w:val="none"/>
        </w:rPr>
        <w:t>旋流器应采用耐磨耐腐蚀的材料制作（聚氨酯或碳钢衬胶），旋流器组整个系统应为自带支撑结构，同安装的结构钢支腿、平台扶梯一起作为完整的设备供货。所有支撑结构件应采用碳钢构件。</w:t>
      </w:r>
    </w:p>
    <w:p w14:paraId="0BC6063E">
      <w:pPr>
        <w:spacing w:line="360" w:lineRule="auto"/>
        <w:ind w:firstLine="424" w:firstLineChars="177"/>
        <w:rPr>
          <w:color w:val="auto"/>
          <w:kern w:val="0"/>
          <w:sz w:val="24"/>
          <w:highlight w:val="none"/>
        </w:rPr>
      </w:pPr>
      <w:r>
        <w:rPr>
          <w:color w:val="auto"/>
          <w:kern w:val="0"/>
          <w:sz w:val="24"/>
          <w:highlight w:val="none"/>
        </w:rPr>
        <w:t>废水旋流器的设计应保证吸收塔排出浆液的分离效率，同时还应考虑石膏浆液量变化范围调整的要求，每个旋流器配备</w:t>
      </w:r>
      <w:r>
        <w:rPr>
          <w:rFonts w:hint="eastAsia"/>
          <w:color w:val="auto"/>
          <w:kern w:val="0"/>
          <w:sz w:val="24"/>
          <w:highlight w:val="none"/>
          <w:lang w:val="en-US" w:eastAsia="zh-CN"/>
        </w:rPr>
        <w:t>100</w:t>
      </w:r>
      <w:r>
        <w:rPr>
          <w:color w:val="auto"/>
          <w:kern w:val="0"/>
          <w:sz w:val="24"/>
          <w:highlight w:val="none"/>
        </w:rPr>
        <w:t>%的旋流子作为备用，并至少为一只旋流子。运行的旋流子和备用的旋流子之间可以方便的进行切换。</w:t>
      </w:r>
    </w:p>
    <w:p w14:paraId="12ED2BF0">
      <w:pPr>
        <w:spacing w:line="360" w:lineRule="auto"/>
        <w:rPr>
          <w:color w:val="auto"/>
          <w:kern w:val="0"/>
          <w:sz w:val="24"/>
          <w:highlight w:val="none"/>
        </w:rPr>
      </w:pPr>
      <w:r>
        <w:rPr>
          <w:color w:val="auto"/>
          <w:kern w:val="0"/>
          <w:sz w:val="24"/>
          <w:highlight w:val="none"/>
        </w:rPr>
        <w:t>2.6.2.5泵、箱和搅拌器</w:t>
      </w:r>
    </w:p>
    <w:p w14:paraId="721DB1B0">
      <w:pPr>
        <w:spacing w:line="360" w:lineRule="auto"/>
        <w:ind w:firstLine="480"/>
        <w:rPr>
          <w:color w:val="auto"/>
          <w:kern w:val="0"/>
          <w:sz w:val="24"/>
          <w:highlight w:val="none"/>
        </w:rPr>
      </w:pPr>
      <w:r>
        <w:rPr>
          <w:color w:val="auto"/>
          <w:kern w:val="0"/>
          <w:sz w:val="24"/>
          <w:highlight w:val="none"/>
        </w:rPr>
        <w:t>本系统所需的所有泵、箱和搅拌器，至少应包括下列，但不限于：</w:t>
      </w:r>
    </w:p>
    <w:p w14:paraId="24BD0583">
      <w:pPr>
        <w:pStyle w:val="14"/>
        <w:numPr>
          <w:ilvl w:val="0"/>
          <w:numId w:val="11"/>
        </w:numPr>
        <w:rPr>
          <w:color w:val="auto"/>
          <w:kern w:val="0"/>
          <w:szCs w:val="24"/>
          <w:highlight w:val="none"/>
        </w:rPr>
      </w:pPr>
      <w:bookmarkStart w:id="58" w:name="OLE_LINK19"/>
      <w:r>
        <w:rPr>
          <w:rFonts w:hint="default"/>
          <w:color w:val="auto"/>
          <w:kern w:val="0"/>
          <w:szCs w:val="24"/>
          <w:highlight w:val="none"/>
          <w:lang w:val="en-US" w:eastAsia="zh-CN"/>
        </w:rPr>
        <w:t>至少设有</w:t>
      </w:r>
      <w:r>
        <w:rPr>
          <w:color w:val="auto"/>
          <w:kern w:val="0"/>
          <w:szCs w:val="24"/>
          <w:highlight w:val="none"/>
        </w:rPr>
        <w:t>废水旋流给料箱</w:t>
      </w:r>
      <w:r>
        <w:rPr>
          <w:rFonts w:hint="default"/>
          <w:color w:val="auto"/>
          <w:kern w:val="0"/>
          <w:szCs w:val="24"/>
          <w:highlight w:val="none"/>
          <w:lang w:val="en-US" w:eastAsia="zh-CN"/>
        </w:rPr>
        <w:t>、地坑、石膏冲洗水池等。</w:t>
      </w:r>
    </w:p>
    <w:p w14:paraId="0E56A479">
      <w:pPr>
        <w:pStyle w:val="14"/>
        <w:numPr>
          <w:ilvl w:val="0"/>
          <w:numId w:val="11"/>
        </w:numPr>
        <w:ind w:left="0" w:firstLine="0"/>
        <w:rPr>
          <w:color w:val="auto"/>
          <w:kern w:val="0"/>
          <w:szCs w:val="20"/>
          <w:highlight w:val="none"/>
        </w:rPr>
      </w:pPr>
      <w:r>
        <w:rPr>
          <w:rFonts w:hint="default"/>
          <w:color w:val="auto"/>
          <w:kern w:val="0"/>
          <w:szCs w:val="24"/>
          <w:highlight w:val="none"/>
          <w:lang w:val="en-US" w:eastAsia="zh-CN"/>
        </w:rPr>
        <w:t xml:space="preserve">  </w:t>
      </w:r>
      <w:r>
        <w:rPr>
          <w:color w:val="auto"/>
          <w:kern w:val="0"/>
          <w:szCs w:val="24"/>
          <w:highlight w:val="none"/>
        </w:rPr>
        <w:t>废水旋流给料箱</w:t>
      </w:r>
      <w:bookmarkEnd w:id="58"/>
      <w:r>
        <w:rPr>
          <w:rFonts w:hint="default"/>
          <w:color w:val="auto"/>
          <w:kern w:val="0"/>
          <w:szCs w:val="24"/>
          <w:highlight w:val="none"/>
          <w:lang w:val="en-US" w:eastAsia="zh-CN"/>
        </w:rPr>
        <w:t>容积：</w:t>
      </w:r>
      <w:r>
        <w:rPr>
          <w:rFonts w:hint="default"/>
          <w:color w:val="auto"/>
          <w:kern w:val="0"/>
          <w:szCs w:val="24"/>
          <w:highlight w:val="none"/>
          <w:u w:val="single"/>
          <w:lang w:val="en-US" w:eastAsia="zh-CN"/>
        </w:rPr>
        <w:t xml:space="preserve">    </w:t>
      </w:r>
      <w:r>
        <w:rPr>
          <w:rFonts w:hint="default"/>
          <w:color w:val="auto"/>
          <w:kern w:val="0"/>
          <w:szCs w:val="24"/>
          <w:highlight w:val="none"/>
          <w:u w:val="none"/>
          <w:lang w:val="en-US" w:eastAsia="zh-CN"/>
        </w:rPr>
        <w:t>m³ （投标方填写），采用钢结构内防腐</w:t>
      </w:r>
      <w:r>
        <w:rPr>
          <w:rFonts w:hint="default"/>
          <w:color w:val="auto"/>
          <w:kern w:val="0"/>
          <w:szCs w:val="24"/>
          <w:highlight w:val="none"/>
          <w:lang w:val="en-US" w:eastAsia="zh-CN"/>
        </w:rPr>
        <w:t>形式。</w:t>
      </w:r>
    </w:p>
    <w:p w14:paraId="40FCA006">
      <w:pPr>
        <w:pStyle w:val="14"/>
        <w:numPr>
          <w:ilvl w:val="0"/>
          <w:numId w:val="11"/>
        </w:numPr>
        <w:rPr>
          <w:color w:val="auto"/>
          <w:kern w:val="0"/>
          <w:highlight w:val="none"/>
        </w:rPr>
      </w:pPr>
      <w:r>
        <w:rPr>
          <w:color w:val="auto"/>
          <w:kern w:val="0"/>
          <w:highlight w:val="none"/>
        </w:rPr>
        <w:t>搅拌器应满足在工作容量范围内和最大含固量的浆液条件下，均能安全稳定运行。</w:t>
      </w:r>
      <w:r>
        <w:rPr>
          <w:color w:val="auto"/>
          <w:highlight w:val="none"/>
        </w:rPr>
        <w:t>搅拌器的其他要求参见2.12 章节。</w:t>
      </w:r>
    </w:p>
    <w:p w14:paraId="7545045B">
      <w:pPr>
        <w:pStyle w:val="14"/>
        <w:numPr>
          <w:ilvl w:val="0"/>
          <w:numId w:val="11"/>
        </w:numPr>
        <w:rPr>
          <w:color w:val="auto"/>
          <w:kern w:val="0"/>
          <w:highlight w:val="none"/>
        </w:rPr>
      </w:pPr>
      <w:r>
        <w:rPr>
          <w:rFonts w:hint="eastAsia"/>
          <w:color w:val="auto"/>
          <w:kern w:val="0"/>
          <w:szCs w:val="24"/>
          <w:highlight w:val="none"/>
          <w:lang w:val="en-US" w:eastAsia="zh-CN"/>
        </w:rPr>
        <w:t>废水</w:t>
      </w:r>
      <w:r>
        <w:rPr>
          <w:color w:val="auto"/>
          <w:kern w:val="0"/>
          <w:szCs w:val="24"/>
          <w:highlight w:val="none"/>
        </w:rPr>
        <w:t>旋流给料</w:t>
      </w:r>
      <w:r>
        <w:rPr>
          <w:color w:val="auto"/>
          <w:kern w:val="0"/>
          <w:highlight w:val="none"/>
        </w:rPr>
        <w:t>泵，应有备用泵应为整套供货，包括电机、联轴器、泵和电机的公用底架、法兰、配件等，以及衬里、冲洗设施等全套。</w:t>
      </w:r>
    </w:p>
    <w:p w14:paraId="2DF27950">
      <w:pPr>
        <w:pStyle w:val="14"/>
        <w:numPr>
          <w:ilvl w:val="0"/>
          <w:numId w:val="11"/>
        </w:numPr>
        <w:rPr>
          <w:color w:val="auto"/>
          <w:kern w:val="0"/>
          <w:highlight w:val="none"/>
        </w:rPr>
      </w:pPr>
      <w:r>
        <w:rPr>
          <w:color w:val="auto"/>
          <w:kern w:val="0"/>
          <w:highlight w:val="none"/>
        </w:rPr>
        <w:t>滤布及</w:t>
      </w:r>
      <w:bookmarkStart w:id="59" w:name="OLE_LINK21"/>
      <w:r>
        <w:rPr>
          <w:color w:val="auto"/>
          <w:kern w:val="0"/>
          <w:highlight w:val="none"/>
        </w:rPr>
        <w:t>滤饼</w:t>
      </w:r>
      <w:bookmarkEnd w:id="59"/>
      <w:r>
        <w:rPr>
          <w:color w:val="auto"/>
          <w:kern w:val="0"/>
          <w:highlight w:val="none"/>
        </w:rPr>
        <w:t>冲洗水</w:t>
      </w:r>
      <w:r>
        <w:rPr>
          <w:rFonts w:hint="eastAsia"/>
          <w:color w:val="auto"/>
          <w:kern w:val="0"/>
          <w:highlight w:val="none"/>
          <w:lang w:val="en-US" w:eastAsia="zh-CN"/>
        </w:rPr>
        <w:t>系统</w:t>
      </w:r>
      <w:r>
        <w:rPr>
          <w:color w:val="auto"/>
          <w:kern w:val="0"/>
          <w:highlight w:val="none"/>
        </w:rPr>
        <w:t>，碳钢衬胶结构。</w:t>
      </w:r>
    </w:p>
    <w:p w14:paraId="6B3B5D60">
      <w:pPr>
        <w:pStyle w:val="14"/>
        <w:numPr>
          <w:ilvl w:val="0"/>
          <w:numId w:val="11"/>
        </w:numPr>
        <w:rPr>
          <w:color w:val="auto"/>
          <w:kern w:val="0"/>
          <w:highlight w:val="none"/>
        </w:rPr>
      </w:pPr>
      <w:r>
        <w:rPr>
          <w:color w:val="auto"/>
          <w:kern w:val="0"/>
          <w:highlight w:val="none"/>
        </w:rPr>
        <w:t>废水旋流器给料箱，碳钢</w:t>
      </w:r>
      <w:bookmarkStart w:id="60" w:name="OLE_LINK20"/>
      <w:r>
        <w:rPr>
          <w:color w:val="auto"/>
          <w:kern w:val="0"/>
          <w:highlight w:val="none"/>
        </w:rPr>
        <w:t>衬胶</w:t>
      </w:r>
      <w:bookmarkEnd w:id="60"/>
      <w:r>
        <w:rPr>
          <w:color w:val="auto"/>
          <w:kern w:val="0"/>
          <w:highlight w:val="none"/>
        </w:rPr>
        <w:t>结构。</w:t>
      </w:r>
    </w:p>
    <w:p w14:paraId="0A2AA672">
      <w:pPr>
        <w:pStyle w:val="14"/>
        <w:numPr>
          <w:ilvl w:val="0"/>
          <w:numId w:val="11"/>
        </w:numPr>
        <w:rPr>
          <w:color w:val="auto"/>
          <w:kern w:val="0"/>
          <w:highlight w:val="none"/>
        </w:rPr>
      </w:pPr>
      <w:r>
        <w:rPr>
          <w:color w:val="auto"/>
          <w:kern w:val="0"/>
          <w:szCs w:val="24"/>
          <w:highlight w:val="none"/>
        </w:rPr>
        <w:t>废水旋流给料箱搅拌器，搅拌器应满足在工作容量范围内和最大含固量的浆液条件下，均能安全稳定运行。</w:t>
      </w:r>
    </w:p>
    <w:p w14:paraId="57366157">
      <w:pPr>
        <w:pStyle w:val="14"/>
        <w:ind w:left="0" w:firstLine="0"/>
        <w:rPr>
          <w:color w:val="auto"/>
          <w:kern w:val="0"/>
          <w:szCs w:val="24"/>
          <w:highlight w:val="none"/>
        </w:rPr>
      </w:pPr>
      <w:r>
        <w:rPr>
          <w:color w:val="auto"/>
          <w:kern w:val="0"/>
          <w:szCs w:val="24"/>
          <w:highlight w:val="none"/>
        </w:rPr>
        <w:t>2.6.2.6管道系统</w:t>
      </w:r>
    </w:p>
    <w:p w14:paraId="64E49A62">
      <w:pPr>
        <w:adjustRightInd w:val="0"/>
        <w:spacing w:line="360" w:lineRule="auto"/>
        <w:ind w:firstLine="480" w:firstLineChars="200"/>
        <w:textAlignment w:val="baseline"/>
        <w:rPr>
          <w:color w:val="auto"/>
          <w:kern w:val="0"/>
          <w:sz w:val="24"/>
          <w:highlight w:val="none"/>
        </w:rPr>
      </w:pPr>
      <w:r>
        <w:rPr>
          <w:rFonts w:hint="eastAsia"/>
          <w:color w:val="auto"/>
          <w:kern w:val="0"/>
          <w:sz w:val="24"/>
          <w:highlight w:val="none"/>
          <w:lang w:eastAsia="zh-CN"/>
        </w:rPr>
        <w:t>投标方</w:t>
      </w:r>
      <w:r>
        <w:rPr>
          <w:color w:val="auto"/>
          <w:kern w:val="0"/>
          <w:sz w:val="24"/>
          <w:highlight w:val="none"/>
        </w:rPr>
        <w:t>应提供系统所需的所有石膏浆液管道、阀门、仪表、控制设备和附件包括法兰、螺栓、螺母、密封垫片、支吊架以及焊接材料等的设计。管道、阀门和表计应考虑防腐、防结垢。</w:t>
      </w:r>
    </w:p>
    <w:p w14:paraId="35569420">
      <w:pPr>
        <w:adjustRightInd w:val="0"/>
        <w:spacing w:line="360" w:lineRule="auto"/>
        <w:ind w:firstLine="480" w:firstLineChars="200"/>
        <w:textAlignment w:val="baseline"/>
        <w:rPr>
          <w:color w:val="auto"/>
          <w:kern w:val="0"/>
          <w:sz w:val="24"/>
          <w:highlight w:val="none"/>
        </w:rPr>
      </w:pPr>
      <w:r>
        <w:rPr>
          <w:color w:val="auto"/>
          <w:kern w:val="0"/>
          <w:sz w:val="24"/>
          <w:highlight w:val="none"/>
        </w:rPr>
        <w:t>石膏浆液管线布置应无死区存在，以避免管道堵塞。浆液管线应设计有清洗系统和阀门低位排水系统，排水时要考虑措施，不能对周围环境造成影响</w:t>
      </w:r>
      <w:r>
        <w:rPr>
          <w:rFonts w:hint="eastAsia"/>
          <w:color w:val="auto"/>
          <w:kern w:val="0"/>
          <w:sz w:val="24"/>
          <w:highlight w:val="none"/>
          <w:lang w:eastAsia="zh-CN"/>
        </w:rPr>
        <w:t>。</w:t>
      </w:r>
    </w:p>
    <w:p w14:paraId="38511547">
      <w:pPr>
        <w:pStyle w:val="14"/>
        <w:ind w:left="0" w:firstLine="480" w:firstLineChars="200"/>
        <w:rPr>
          <w:color w:val="auto"/>
          <w:kern w:val="0"/>
          <w:highlight w:val="none"/>
        </w:rPr>
      </w:pPr>
      <w:r>
        <w:rPr>
          <w:color w:val="auto"/>
          <w:kern w:val="0"/>
          <w:highlight w:val="none"/>
        </w:rPr>
        <w:t>有关阀门的设计应满足系统自动运行和控制要求。</w:t>
      </w:r>
    </w:p>
    <w:p w14:paraId="79A9D19D">
      <w:pPr>
        <w:adjustRightInd w:val="0"/>
        <w:spacing w:line="360" w:lineRule="auto"/>
        <w:ind w:firstLine="480" w:firstLineChars="200"/>
        <w:textAlignment w:val="baseline"/>
        <w:rPr>
          <w:rFonts w:hint="eastAsia"/>
          <w:color w:val="auto"/>
          <w:sz w:val="24"/>
          <w:highlight w:val="none"/>
        </w:rPr>
      </w:pPr>
      <w:r>
        <w:rPr>
          <w:color w:val="auto"/>
          <w:kern w:val="0"/>
          <w:sz w:val="24"/>
          <w:highlight w:val="none"/>
        </w:rPr>
        <w:t>管道和阀门的其他技术要求应符合章节2.11的要求。</w:t>
      </w:r>
    </w:p>
    <w:p w14:paraId="1F095FF4">
      <w:pPr>
        <w:spacing w:line="360" w:lineRule="auto"/>
        <w:outlineLvl w:val="2"/>
        <w:rPr>
          <w:b/>
          <w:color w:val="auto"/>
          <w:sz w:val="24"/>
          <w:highlight w:val="none"/>
        </w:rPr>
      </w:pPr>
      <w:r>
        <w:rPr>
          <w:b/>
          <w:color w:val="auto"/>
          <w:sz w:val="24"/>
          <w:highlight w:val="none"/>
        </w:rPr>
        <w:t>2.7工艺水、冲洗水系统</w:t>
      </w:r>
    </w:p>
    <w:p w14:paraId="39E6793E">
      <w:pPr>
        <w:spacing w:line="360" w:lineRule="auto"/>
        <w:ind w:firstLine="480"/>
        <w:rPr>
          <w:rFonts w:hint="default" w:eastAsia="宋体"/>
          <w:color w:val="auto"/>
          <w:sz w:val="24"/>
          <w:highlight w:val="none"/>
          <w:lang w:val="en-US" w:eastAsia="zh-CN"/>
        </w:rPr>
      </w:pPr>
      <w:r>
        <w:rPr>
          <w:rStyle w:val="54"/>
          <w:rFonts w:ascii="Times New Roman" w:hAnsi="Times New Roman" w:eastAsia="宋体" w:cs="Times New Roman"/>
          <w:color w:val="auto"/>
          <w:sz w:val="24"/>
          <w:highlight w:val="none"/>
        </w:rPr>
        <w:t>FGD系统设置一套工艺水系统</w:t>
      </w:r>
      <w:r>
        <w:rPr>
          <w:rStyle w:val="54"/>
          <w:rFonts w:hint="eastAsia" w:ascii="Times New Roman" w:hAnsi="Times New Roman" w:eastAsia="宋体" w:cs="Times New Roman"/>
          <w:color w:val="auto"/>
          <w:sz w:val="24"/>
          <w:highlight w:val="none"/>
        </w:rPr>
        <w:t>，由1只工艺水箱、2台工艺水泵</w:t>
      </w:r>
      <w:r>
        <w:rPr>
          <w:rStyle w:val="54"/>
          <w:rFonts w:hint="eastAsia" w:ascii="Times New Roman" w:hAnsi="Times New Roman" w:eastAsia="宋体" w:cs="Times New Roman"/>
          <w:snapToGrid w:val="0"/>
          <w:color w:val="auto"/>
          <w:sz w:val="24"/>
          <w:highlight w:val="none"/>
          <w:lang w:bidi="ar"/>
        </w:rPr>
        <w:t>（</w:t>
      </w:r>
      <w:r>
        <w:rPr>
          <w:rStyle w:val="54"/>
          <w:rFonts w:ascii="Times New Roman" w:hAnsi="Times New Roman" w:eastAsia="宋体" w:cs="Times New Roman"/>
          <w:snapToGrid w:val="0"/>
          <w:color w:val="auto"/>
          <w:sz w:val="24"/>
          <w:highlight w:val="none"/>
          <w:lang w:bidi="ar"/>
        </w:rPr>
        <w:t>1</w:t>
      </w:r>
      <w:r>
        <w:rPr>
          <w:rStyle w:val="54"/>
          <w:rFonts w:hint="eastAsia" w:ascii="Times New Roman" w:hAnsi="Times New Roman" w:eastAsia="宋体" w:cs="Times New Roman"/>
          <w:snapToGrid w:val="0"/>
          <w:color w:val="auto"/>
          <w:sz w:val="24"/>
          <w:highlight w:val="none"/>
          <w:lang w:bidi="ar"/>
        </w:rPr>
        <w:t>用</w:t>
      </w:r>
      <w:r>
        <w:rPr>
          <w:rStyle w:val="54"/>
          <w:rFonts w:ascii="Times New Roman" w:hAnsi="Times New Roman" w:eastAsia="宋体" w:cs="Times New Roman"/>
          <w:snapToGrid w:val="0"/>
          <w:color w:val="auto"/>
          <w:sz w:val="24"/>
          <w:highlight w:val="none"/>
          <w:lang w:bidi="ar"/>
        </w:rPr>
        <w:t>1</w:t>
      </w:r>
      <w:r>
        <w:rPr>
          <w:rStyle w:val="54"/>
          <w:rFonts w:hint="eastAsia" w:ascii="Times New Roman" w:hAnsi="Times New Roman" w:eastAsia="宋体" w:cs="Times New Roman"/>
          <w:snapToGrid w:val="0"/>
          <w:color w:val="auto"/>
          <w:sz w:val="24"/>
          <w:highlight w:val="none"/>
          <w:lang w:bidi="ar"/>
        </w:rPr>
        <w:t>备）</w:t>
      </w:r>
      <w:r>
        <w:rPr>
          <w:rStyle w:val="54"/>
          <w:rFonts w:hint="eastAsia" w:ascii="Times New Roman" w:hAnsi="Times New Roman" w:eastAsia="宋体" w:cs="Times New Roman"/>
          <w:color w:val="auto"/>
          <w:sz w:val="24"/>
          <w:highlight w:val="none"/>
        </w:rPr>
        <w:t>、</w:t>
      </w:r>
      <w:r>
        <w:rPr>
          <w:rStyle w:val="54"/>
          <w:rFonts w:hint="eastAsia" w:ascii="Times New Roman" w:hAnsi="Times New Roman" w:eastAsia="宋体" w:cs="Times New Roman"/>
          <w:color w:val="auto"/>
          <w:sz w:val="24"/>
          <w:highlight w:val="none"/>
          <w:lang w:val="en-US" w:eastAsia="zh-CN"/>
        </w:rPr>
        <w:t>2</w:t>
      </w:r>
      <w:r>
        <w:rPr>
          <w:rStyle w:val="54"/>
          <w:rFonts w:hint="eastAsia" w:ascii="Times New Roman" w:hAnsi="Times New Roman" w:eastAsia="宋体" w:cs="Times New Roman"/>
          <w:color w:val="auto"/>
          <w:sz w:val="24"/>
          <w:highlight w:val="none"/>
        </w:rPr>
        <w:t>台除</w:t>
      </w:r>
      <w:r>
        <w:rPr>
          <w:rStyle w:val="54"/>
          <w:rFonts w:hint="eastAsia" w:ascii="Times New Roman" w:hAnsi="Times New Roman" w:eastAsia="宋体" w:cs="Times New Roman"/>
          <w:color w:val="auto"/>
          <w:sz w:val="24"/>
          <w:highlight w:val="none"/>
          <w:lang w:eastAsia="zh-CN"/>
        </w:rPr>
        <w:t>雾</w:t>
      </w:r>
      <w:r>
        <w:rPr>
          <w:rStyle w:val="54"/>
          <w:rFonts w:hint="eastAsia" w:ascii="Times New Roman" w:hAnsi="Times New Roman" w:eastAsia="宋体" w:cs="Times New Roman"/>
          <w:color w:val="auto"/>
          <w:sz w:val="24"/>
          <w:highlight w:val="none"/>
        </w:rPr>
        <w:t>器冲洗水泵（1用1备））组成</w:t>
      </w:r>
      <w:r>
        <w:rPr>
          <w:rStyle w:val="54"/>
          <w:rFonts w:ascii="Times New Roman" w:hAnsi="Times New Roman" w:eastAsia="宋体" w:cs="Times New Roman"/>
          <w:color w:val="auto"/>
          <w:sz w:val="24"/>
          <w:highlight w:val="none"/>
        </w:rPr>
        <w:t>。</w:t>
      </w:r>
    </w:p>
    <w:p w14:paraId="7DEDB2D1">
      <w:pPr>
        <w:adjustRightInd w:val="0"/>
        <w:snapToGrid w:val="0"/>
        <w:spacing w:line="360" w:lineRule="auto"/>
        <w:ind w:firstLine="480" w:firstLineChars="200"/>
        <w:rPr>
          <w:snapToGrid w:val="0"/>
          <w:color w:val="auto"/>
          <w:sz w:val="24"/>
          <w:highlight w:val="none"/>
        </w:rPr>
      </w:pPr>
      <w:r>
        <w:rPr>
          <w:snapToGrid w:val="0"/>
          <w:color w:val="auto"/>
          <w:sz w:val="24"/>
          <w:highlight w:val="none"/>
        </w:rPr>
        <w:t>工艺水系统的主要用</w:t>
      </w:r>
      <w:r>
        <w:rPr>
          <w:rFonts w:hint="eastAsia"/>
          <w:snapToGrid w:val="0"/>
          <w:color w:val="auto"/>
          <w:sz w:val="24"/>
          <w:highlight w:val="none"/>
          <w:lang w:val="en-US" w:eastAsia="zh-CN"/>
        </w:rPr>
        <w:t>途</w:t>
      </w:r>
      <w:r>
        <w:rPr>
          <w:snapToGrid w:val="0"/>
          <w:color w:val="auto"/>
          <w:sz w:val="24"/>
          <w:highlight w:val="none"/>
        </w:rPr>
        <w:t>有：</w:t>
      </w:r>
    </w:p>
    <w:p w14:paraId="32008358">
      <w:pPr>
        <w:numPr>
          <w:ilvl w:val="0"/>
          <w:numId w:val="12"/>
        </w:numPr>
        <w:adjustRightInd w:val="0"/>
        <w:snapToGrid w:val="0"/>
        <w:spacing w:line="360" w:lineRule="auto"/>
        <w:ind w:hanging="5"/>
        <w:rPr>
          <w:snapToGrid w:val="0"/>
          <w:color w:val="auto"/>
          <w:sz w:val="24"/>
          <w:highlight w:val="none"/>
        </w:rPr>
      </w:pPr>
      <w:r>
        <w:rPr>
          <w:rFonts w:hint="eastAsia" w:cs="宋体"/>
          <w:snapToGrid w:val="0"/>
          <w:color w:val="auto"/>
          <w:sz w:val="24"/>
          <w:highlight w:val="none"/>
          <w:lang w:bidi="ar"/>
        </w:rPr>
        <w:t>－吸收塔补充水</w:t>
      </w:r>
    </w:p>
    <w:p w14:paraId="426D856B">
      <w:pPr>
        <w:numPr>
          <w:ilvl w:val="0"/>
          <w:numId w:val="12"/>
        </w:numPr>
        <w:adjustRightInd w:val="0"/>
        <w:snapToGrid w:val="0"/>
        <w:spacing w:line="360" w:lineRule="auto"/>
        <w:ind w:hanging="5"/>
        <w:rPr>
          <w:snapToGrid w:val="0"/>
          <w:color w:val="auto"/>
          <w:sz w:val="24"/>
          <w:highlight w:val="none"/>
        </w:rPr>
      </w:pPr>
      <w:r>
        <w:rPr>
          <w:rFonts w:hint="eastAsia" w:cs="宋体"/>
          <w:snapToGrid w:val="0"/>
          <w:color w:val="auto"/>
          <w:sz w:val="24"/>
          <w:highlight w:val="none"/>
          <w:lang w:bidi="ar"/>
        </w:rPr>
        <w:t>－</w:t>
      </w:r>
      <w:r>
        <w:rPr>
          <w:snapToGrid w:val="0"/>
          <w:color w:val="auto"/>
          <w:sz w:val="24"/>
          <w:highlight w:val="none"/>
          <w:lang w:bidi="ar"/>
        </w:rPr>
        <w:t>FGD</w:t>
      </w:r>
      <w:r>
        <w:rPr>
          <w:rFonts w:hint="eastAsia" w:cs="宋体"/>
          <w:snapToGrid w:val="0"/>
          <w:color w:val="auto"/>
          <w:sz w:val="24"/>
          <w:highlight w:val="none"/>
          <w:lang w:bidi="ar"/>
        </w:rPr>
        <w:t>系统浆液泵、管道停运时的冲洗水</w:t>
      </w:r>
    </w:p>
    <w:p w14:paraId="35BA4C0B">
      <w:pPr>
        <w:numPr>
          <w:ilvl w:val="0"/>
          <w:numId w:val="12"/>
        </w:numPr>
        <w:adjustRightInd w:val="0"/>
        <w:snapToGrid w:val="0"/>
        <w:spacing w:line="360" w:lineRule="auto"/>
        <w:ind w:hanging="5"/>
        <w:rPr>
          <w:snapToGrid w:val="0"/>
          <w:color w:val="auto"/>
          <w:sz w:val="24"/>
          <w:highlight w:val="none"/>
        </w:rPr>
      </w:pPr>
      <w:r>
        <w:rPr>
          <w:rFonts w:hint="eastAsia" w:cs="宋体"/>
          <w:snapToGrid w:val="0"/>
          <w:color w:val="auto"/>
          <w:sz w:val="24"/>
          <w:highlight w:val="none"/>
          <w:lang w:bidi="ar"/>
        </w:rPr>
        <w:t>－氧化空气增湿水</w:t>
      </w:r>
    </w:p>
    <w:p w14:paraId="45DA8C83">
      <w:pPr>
        <w:numPr>
          <w:ilvl w:val="0"/>
          <w:numId w:val="12"/>
        </w:numPr>
        <w:spacing w:line="360" w:lineRule="auto"/>
        <w:ind w:hanging="5"/>
        <w:rPr>
          <w:color w:val="auto"/>
          <w:sz w:val="24"/>
          <w:highlight w:val="none"/>
        </w:rPr>
      </w:pPr>
      <w:bookmarkStart w:id="61" w:name="OLE_LINK17"/>
      <w:r>
        <w:rPr>
          <w:rFonts w:hint="eastAsia" w:cs="宋体"/>
          <w:snapToGrid w:val="0"/>
          <w:color w:val="auto"/>
          <w:sz w:val="24"/>
          <w:highlight w:val="none"/>
          <w:lang w:bidi="ar"/>
        </w:rPr>
        <w:t>－</w:t>
      </w:r>
      <w:bookmarkEnd w:id="61"/>
      <w:r>
        <w:rPr>
          <w:rFonts w:hint="eastAsia" w:cs="宋体"/>
          <w:snapToGrid w:val="0"/>
          <w:color w:val="auto"/>
          <w:sz w:val="24"/>
          <w:highlight w:val="none"/>
          <w:lang w:bidi="ar"/>
        </w:rPr>
        <w:t>真空泵密封水</w:t>
      </w:r>
    </w:p>
    <w:p w14:paraId="596B288F">
      <w:pPr>
        <w:numPr>
          <w:ilvl w:val="0"/>
          <w:numId w:val="12"/>
        </w:numPr>
        <w:spacing w:line="360" w:lineRule="auto"/>
        <w:ind w:hanging="5"/>
        <w:rPr>
          <w:color w:val="auto"/>
          <w:sz w:val="24"/>
          <w:highlight w:val="none"/>
        </w:rPr>
      </w:pPr>
      <w:bookmarkStart w:id="62" w:name="OLE_LINK18"/>
      <w:r>
        <w:rPr>
          <w:rFonts w:hint="eastAsia" w:cs="宋体"/>
          <w:snapToGrid w:val="0"/>
          <w:color w:val="auto"/>
          <w:sz w:val="24"/>
          <w:highlight w:val="none"/>
          <w:lang w:bidi="ar"/>
        </w:rPr>
        <w:t>－</w:t>
      </w:r>
      <w:bookmarkEnd w:id="62"/>
      <w:r>
        <w:rPr>
          <w:rFonts w:hint="eastAsia" w:cs="宋体"/>
          <w:snapToGrid w:val="0"/>
          <w:color w:val="auto"/>
          <w:sz w:val="24"/>
          <w:highlight w:val="none"/>
          <w:lang w:val="en-US" w:eastAsia="zh-CN" w:bidi="ar"/>
        </w:rPr>
        <w:t>泵冷却水</w:t>
      </w:r>
    </w:p>
    <w:p w14:paraId="6E8240B4">
      <w:pPr>
        <w:numPr>
          <w:ilvl w:val="0"/>
          <w:numId w:val="12"/>
        </w:numPr>
        <w:spacing w:line="360" w:lineRule="auto"/>
        <w:ind w:hanging="5"/>
        <w:rPr>
          <w:color w:val="auto"/>
          <w:sz w:val="24"/>
          <w:highlight w:val="none"/>
        </w:rPr>
      </w:pPr>
      <w:r>
        <w:rPr>
          <w:rFonts w:hint="eastAsia" w:cs="宋体"/>
          <w:snapToGrid w:val="0"/>
          <w:color w:val="auto"/>
          <w:sz w:val="24"/>
          <w:highlight w:val="none"/>
          <w:lang w:bidi="ar"/>
        </w:rPr>
        <w:t>－</w:t>
      </w:r>
      <w:r>
        <w:rPr>
          <w:rFonts w:hint="eastAsia" w:cs="宋体"/>
          <w:snapToGrid w:val="0"/>
          <w:color w:val="auto"/>
          <w:sz w:val="24"/>
          <w:highlight w:val="none"/>
          <w:lang w:val="en-US" w:eastAsia="zh-CN" w:bidi="ar"/>
        </w:rPr>
        <w:t>仪表冲洗水</w:t>
      </w:r>
    </w:p>
    <w:p w14:paraId="08C9F550">
      <w:pPr>
        <w:numPr>
          <w:ilvl w:val="0"/>
          <w:numId w:val="12"/>
        </w:numPr>
        <w:spacing w:line="360" w:lineRule="auto"/>
        <w:ind w:hanging="5"/>
        <w:rPr>
          <w:color w:val="auto"/>
          <w:sz w:val="24"/>
          <w:highlight w:val="none"/>
        </w:rPr>
      </w:pPr>
      <w:r>
        <w:rPr>
          <w:rFonts w:hint="eastAsia" w:cs="宋体"/>
          <w:snapToGrid w:val="0"/>
          <w:color w:val="auto"/>
          <w:sz w:val="24"/>
          <w:highlight w:val="none"/>
          <w:lang w:bidi="ar"/>
        </w:rPr>
        <w:t>－</w:t>
      </w:r>
      <w:r>
        <w:rPr>
          <w:rFonts w:hint="eastAsia" w:cs="宋体"/>
          <w:snapToGrid w:val="0"/>
          <w:color w:val="auto"/>
          <w:sz w:val="24"/>
          <w:highlight w:val="none"/>
          <w:lang w:val="en-US" w:eastAsia="zh-CN" w:bidi="ar"/>
        </w:rPr>
        <w:t>高效除尘、除雾器冲洗水</w:t>
      </w:r>
    </w:p>
    <w:p w14:paraId="0791476B">
      <w:pPr>
        <w:pStyle w:val="176"/>
        <w:spacing w:line="360" w:lineRule="auto"/>
        <w:ind w:firstLine="480" w:firstLineChars="200"/>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工艺水系统应满足FGD系统正常运行和事故工况下脱硫工艺系统的用水。</w:t>
      </w:r>
    </w:p>
    <w:p w14:paraId="27A44369">
      <w:pPr>
        <w:pStyle w:val="176"/>
        <w:spacing w:line="360" w:lineRule="auto"/>
        <w:ind w:firstLine="480"/>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工艺水箱的有效容积至少按</w:t>
      </w:r>
      <w:r>
        <w:rPr>
          <w:rStyle w:val="54"/>
          <w:rFonts w:hint="eastAsia" w:cs="Times New Roman"/>
          <w:color w:val="auto"/>
          <w:sz w:val="24"/>
          <w:highlight w:val="none"/>
          <w:lang w:val="en-US" w:eastAsia="zh-CN"/>
        </w:rPr>
        <w:t>1</w:t>
      </w:r>
      <w:r>
        <w:rPr>
          <w:rStyle w:val="54"/>
          <w:rFonts w:ascii="Times New Roman" w:hAnsi="Times New Roman" w:eastAsia="宋体" w:cs="Times New Roman"/>
          <w:color w:val="auto"/>
          <w:sz w:val="24"/>
          <w:highlight w:val="none"/>
        </w:rPr>
        <w:t>台机组正常运行</w:t>
      </w:r>
      <w:r>
        <w:rPr>
          <w:rStyle w:val="54"/>
          <w:rFonts w:hint="eastAsia" w:cs="Times New Roman"/>
          <w:color w:val="auto"/>
          <w:sz w:val="24"/>
          <w:highlight w:val="none"/>
          <w:lang w:val="en-US" w:eastAsia="zh-CN"/>
        </w:rPr>
        <w:t>2</w:t>
      </w:r>
      <w:r>
        <w:rPr>
          <w:rStyle w:val="54"/>
          <w:rFonts w:ascii="Times New Roman" w:hAnsi="Times New Roman" w:eastAsia="宋体" w:cs="Times New Roman"/>
          <w:color w:val="auto"/>
          <w:sz w:val="24"/>
          <w:highlight w:val="none"/>
        </w:rPr>
        <w:t>小时的最大工艺水耗量设计。</w:t>
      </w:r>
    </w:p>
    <w:p w14:paraId="3711A2B7">
      <w:pPr>
        <w:numPr>
          <w:ilvl w:val="0"/>
          <w:numId w:val="0"/>
        </w:numPr>
        <w:spacing w:line="360" w:lineRule="auto"/>
        <w:ind w:left="420" w:firstLine="0"/>
        <w:rPr>
          <w:rStyle w:val="54"/>
          <w:rFonts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投标人</w:t>
      </w:r>
      <w:r>
        <w:rPr>
          <w:rStyle w:val="54"/>
          <w:rFonts w:ascii="Times New Roman" w:hAnsi="Times New Roman" w:eastAsia="宋体" w:cs="Times New Roman"/>
          <w:color w:val="auto"/>
          <w:sz w:val="24"/>
          <w:highlight w:val="none"/>
        </w:rPr>
        <w:t>应根据脱硫装置各种运行工况及除</w:t>
      </w:r>
      <w:r>
        <w:rPr>
          <w:rStyle w:val="54"/>
          <w:rFonts w:hint="eastAsia" w:cs="Times New Roman"/>
          <w:color w:val="auto"/>
          <w:sz w:val="24"/>
          <w:highlight w:val="none"/>
          <w:lang w:val="en-US" w:eastAsia="zh-CN"/>
        </w:rPr>
        <w:t>雾</w:t>
      </w:r>
      <w:r>
        <w:rPr>
          <w:rStyle w:val="54"/>
          <w:rFonts w:ascii="Times New Roman" w:hAnsi="Times New Roman" w:eastAsia="宋体" w:cs="Times New Roman"/>
          <w:color w:val="auto"/>
          <w:sz w:val="24"/>
          <w:highlight w:val="none"/>
        </w:rPr>
        <w:t>器冲洗的要求，优化工艺水系统，合理选择泵的</w:t>
      </w:r>
      <w:r>
        <w:rPr>
          <w:rStyle w:val="54"/>
          <w:rFonts w:hint="eastAsia" w:cs="Times New Roman"/>
          <w:color w:val="auto"/>
          <w:sz w:val="24"/>
          <w:highlight w:val="none"/>
          <w:lang w:val="en-US" w:eastAsia="zh-CN"/>
        </w:rPr>
        <w:t>参</w:t>
      </w:r>
      <w:r>
        <w:rPr>
          <w:rStyle w:val="54"/>
          <w:rFonts w:ascii="Times New Roman" w:hAnsi="Times New Roman" w:eastAsia="宋体" w:cs="Times New Roman"/>
          <w:color w:val="auto"/>
          <w:sz w:val="24"/>
          <w:highlight w:val="none"/>
        </w:rPr>
        <w:t>数及容量。选用成熟可靠的离心泵。</w:t>
      </w:r>
    </w:p>
    <w:p w14:paraId="0176BF76">
      <w:pPr>
        <w:pStyle w:val="176"/>
        <w:spacing w:line="360" w:lineRule="auto"/>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 xml:space="preserve">   工艺水泵、除</w:t>
      </w:r>
      <w:r>
        <w:rPr>
          <w:rStyle w:val="54"/>
          <w:rFonts w:hint="eastAsia" w:cs="Times New Roman"/>
          <w:color w:val="auto"/>
          <w:sz w:val="24"/>
          <w:highlight w:val="none"/>
          <w:lang w:val="en-US" w:eastAsia="zh-CN"/>
        </w:rPr>
        <w:t>雾</w:t>
      </w:r>
      <w:r>
        <w:rPr>
          <w:rStyle w:val="54"/>
          <w:rFonts w:ascii="Times New Roman" w:hAnsi="Times New Roman" w:eastAsia="宋体" w:cs="Times New Roman"/>
          <w:color w:val="auto"/>
          <w:sz w:val="24"/>
          <w:highlight w:val="none"/>
        </w:rPr>
        <w:t>器冲洗水泵至少各设有一台备用泵。</w:t>
      </w:r>
    </w:p>
    <w:p w14:paraId="31E1ECCE">
      <w:pPr>
        <w:pStyle w:val="176"/>
        <w:spacing w:line="360" w:lineRule="auto"/>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 xml:space="preserve">   设备、管道及箱罐的冲洗水应回收至集水坑或浆池重复使用。</w:t>
      </w:r>
    </w:p>
    <w:p w14:paraId="1AA8B47F">
      <w:pPr>
        <w:pStyle w:val="176"/>
        <w:spacing w:line="360" w:lineRule="auto"/>
        <w:ind w:firstLine="240" w:firstLineChars="100"/>
        <w:rPr>
          <w:rStyle w:val="54"/>
          <w:rFonts w:ascii="Times New Roman" w:hAnsi="Times New Roman" w:eastAsia="宋体" w:cs="Times New Roman"/>
          <w:color w:val="auto"/>
          <w:sz w:val="24"/>
          <w:highlight w:val="none"/>
          <w:shd w:val="clear" w:color="auto" w:fill="FFFFFF"/>
        </w:rPr>
      </w:pPr>
      <w:r>
        <w:rPr>
          <w:rStyle w:val="54"/>
          <w:rFonts w:ascii="Times New Roman" w:hAnsi="Times New Roman" w:eastAsia="宋体" w:cs="Times New Roman"/>
          <w:color w:val="auto"/>
          <w:sz w:val="24"/>
          <w:highlight w:val="none"/>
        </w:rPr>
        <w:t>工艺水箱采用钢结构制作</w:t>
      </w:r>
      <w:r>
        <w:rPr>
          <w:rStyle w:val="54"/>
          <w:rFonts w:hint="default" w:cs="Times New Roman"/>
          <w:color w:val="auto"/>
          <w:sz w:val="24"/>
          <w:highlight w:val="none"/>
          <w:lang w:eastAsia="zh-CN"/>
        </w:rPr>
        <w:t>，</w:t>
      </w:r>
      <w:r>
        <w:rPr>
          <w:rStyle w:val="54"/>
          <w:rFonts w:hint="default" w:cs="Times New Roman"/>
          <w:color w:val="auto"/>
          <w:sz w:val="24"/>
          <w:highlight w:val="none"/>
          <w:lang w:val="en-US" w:eastAsia="zh-CN"/>
        </w:rPr>
        <w:t>内壁环氧树脂防腐</w:t>
      </w:r>
      <w:r>
        <w:rPr>
          <w:rStyle w:val="54"/>
          <w:rFonts w:ascii="Times New Roman" w:hAnsi="Times New Roman" w:eastAsia="宋体" w:cs="Times New Roman"/>
          <w:color w:val="auto"/>
          <w:sz w:val="24"/>
          <w:highlight w:val="none"/>
        </w:rPr>
        <w:t>。</w:t>
      </w:r>
      <w:r>
        <w:rPr>
          <w:rStyle w:val="54"/>
          <w:rFonts w:ascii="Times New Roman" w:hAnsi="Times New Roman" w:eastAsia="宋体" w:cs="Times New Roman"/>
          <w:color w:val="auto"/>
          <w:sz w:val="24"/>
          <w:highlight w:val="none"/>
          <w:shd w:val="clear" w:color="auto" w:fill="FFFFFF"/>
        </w:rPr>
        <w:t>工艺水箱应设置</w:t>
      </w:r>
      <w:r>
        <w:rPr>
          <w:rStyle w:val="54"/>
          <w:rFonts w:hint="eastAsia" w:ascii="Times New Roman" w:hAnsi="Times New Roman" w:eastAsia="宋体" w:cs="Times New Roman"/>
          <w:color w:val="auto"/>
          <w:sz w:val="24"/>
          <w:highlight w:val="none"/>
          <w:shd w:val="clear" w:color="auto" w:fill="FFFFFF"/>
        </w:rPr>
        <w:t>压力式</w:t>
      </w:r>
      <w:r>
        <w:rPr>
          <w:rStyle w:val="54"/>
          <w:rFonts w:ascii="Times New Roman" w:hAnsi="Times New Roman" w:eastAsia="宋体" w:cs="Times New Roman"/>
          <w:color w:val="auto"/>
          <w:sz w:val="24"/>
          <w:highlight w:val="none"/>
          <w:shd w:val="clear" w:color="auto" w:fill="FFFFFF"/>
        </w:rPr>
        <w:t>液位变送器</w:t>
      </w:r>
      <w:r>
        <w:rPr>
          <w:rStyle w:val="54"/>
          <w:rFonts w:hint="eastAsia" w:ascii="Times New Roman" w:hAnsi="Times New Roman" w:eastAsia="宋体" w:cs="Times New Roman"/>
          <w:color w:val="auto"/>
          <w:sz w:val="24"/>
          <w:highlight w:val="none"/>
          <w:shd w:val="clear" w:color="auto" w:fill="FFFFFF"/>
        </w:rPr>
        <w:t>和</w:t>
      </w:r>
      <w:r>
        <w:rPr>
          <w:rStyle w:val="54"/>
          <w:rFonts w:ascii="Times New Roman" w:hAnsi="Times New Roman" w:eastAsia="宋体" w:cs="Times New Roman"/>
          <w:color w:val="auto"/>
          <w:sz w:val="24"/>
          <w:highlight w:val="none"/>
          <w:shd w:val="clear" w:color="auto" w:fill="FFFFFF"/>
        </w:rPr>
        <w:t>就地磁翻板液位计，以便监视水池水位。</w:t>
      </w:r>
    </w:p>
    <w:p w14:paraId="3B69F753">
      <w:pPr>
        <w:pStyle w:val="176"/>
        <w:spacing w:line="360" w:lineRule="auto"/>
        <w:ind w:firstLine="422" w:firstLineChars="175"/>
        <w:outlineLvl w:val="2"/>
        <w:rPr>
          <w:b/>
          <w:color w:val="auto"/>
          <w:sz w:val="24"/>
          <w:highlight w:val="none"/>
        </w:rPr>
      </w:pPr>
      <w:r>
        <w:rPr>
          <w:b/>
          <w:color w:val="auto"/>
          <w:sz w:val="24"/>
          <w:highlight w:val="none"/>
        </w:rPr>
        <w:t>2.8</w:t>
      </w:r>
      <w:r>
        <w:rPr>
          <w:rFonts w:hint="eastAsia"/>
          <w:b/>
          <w:color w:val="auto"/>
          <w:sz w:val="24"/>
          <w:highlight w:val="none"/>
        </w:rPr>
        <w:t>脱硫</w:t>
      </w:r>
      <w:r>
        <w:rPr>
          <w:b/>
          <w:color w:val="auto"/>
          <w:sz w:val="24"/>
          <w:highlight w:val="none"/>
        </w:rPr>
        <w:t>废水</w:t>
      </w:r>
      <w:r>
        <w:rPr>
          <w:rFonts w:hint="eastAsia"/>
          <w:b/>
          <w:color w:val="auto"/>
          <w:sz w:val="24"/>
          <w:highlight w:val="none"/>
          <w:lang w:val="en-US" w:eastAsia="zh-CN"/>
        </w:rPr>
        <w:t>预</w:t>
      </w:r>
      <w:r>
        <w:rPr>
          <w:b/>
          <w:color w:val="auto"/>
          <w:sz w:val="24"/>
          <w:highlight w:val="none"/>
        </w:rPr>
        <w:t>处理系统</w:t>
      </w:r>
    </w:p>
    <w:p w14:paraId="6D3815A1">
      <w:pPr>
        <w:spacing w:line="360" w:lineRule="auto"/>
        <w:ind w:firstLine="420" w:firstLineChars="175"/>
        <w:rPr>
          <w:rFonts w:hint="eastAsia"/>
          <w:color w:val="auto"/>
          <w:sz w:val="24"/>
          <w:highlight w:val="none"/>
          <w:lang w:eastAsia="zh-CN"/>
        </w:rPr>
      </w:pPr>
      <w:r>
        <w:rPr>
          <w:color w:val="auto"/>
          <w:sz w:val="24"/>
          <w:highlight w:val="none"/>
        </w:rPr>
        <w:t>脱硫装置浆液在不断循环的过程中，会富集重金属元素和Cl-等，一方面加速脱硫设备的腐蚀，另一方面影响石膏的品质，甚至影响脱硫效率。因此，脱硫装置要排放一定量的废水，进入脱硫废水处理系统</w:t>
      </w:r>
      <w:r>
        <w:rPr>
          <w:rFonts w:hint="eastAsia"/>
          <w:color w:val="auto"/>
          <w:sz w:val="24"/>
          <w:highlight w:val="none"/>
          <w:lang w:eastAsia="zh-CN"/>
        </w:rPr>
        <w:t>。</w:t>
      </w:r>
    </w:p>
    <w:p w14:paraId="25BEB97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highlight w:val="none"/>
          <w:u w:val="single"/>
          <w:lang w:val="en-US"/>
        </w:rPr>
      </w:pPr>
      <w:r>
        <w:rPr>
          <w:rFonts w:hint="default" w:ascii="Times New Roman" w:hAnsi="Times New Roman" w:eastAsia="宋体" w:cs="Times New Roman"/>
          <w:color w:val="auto"/>
          <w:kern w:val="2"/>
          <w:sz w:val="24"/>
          <w:szCs w:val="24"/>
          <w:highlight w:val="none"/>
          <w:lang w:val="en-US" w:eastAsia="zh-CN" w:bidi="ar"/>
        </w:rPr>
        <w:t>本工程FGD主体的</w:t>
      </w:r>
      <w:r>
        <w:rPr>
          <w:rFonts w:ascii="Times New Roman" w:hAnsi="Times New Roman" w:eastAsia="宋体" w:cs="Times New Roman"/>
          <w:color w:val="auto"/>
          <w:sz w:val="24"/>
          <w:highlight w:val="none"/>
        </w:rPr>
        <w:t>石膏旋流站的溢流液流入废水旋流站供给箱，部分经泵送至废水旋流站，</w:t>
      </w:r>
      <w:r>
        <w:rPr>
          <w:rFonts w:hint="eastAsia" w:cs="Times New Roman"/>
          <w:color w:val="auto"/>
          <w:sz w:val="24"/>
          <w:highlight w:val="none"/>
          <w:lang w:val="en-US" w:eastAsia="zh-CN"/>
        </w:rPr>
        <w:t>部分</w:t>
      </w:r>
      <w:r>
        <w:rPr>
          <w:rFonts w:ascii="Times New Roman" w:hAnsi="Times New Roman" w:eastAsia="宋体" w:cs="Times New Roman"/>
          <w:color w:val="auto"/>
          <w:sz w:val="24"/>
          <w:highlight w:val="none"/>
        </w:rPr>
        <w:t>石膏旋流站的溢流液</w:t>
      </w:r>
      <w:r>
        <w:rPr>
          <w:rFonts w:hint="eastAsia" w:cs="Times New Roman"/>
          <w:color w:val="auto"/>
          <w:sz w:val="24"/>
          <w:highlight w:val="none"/>
          <w:lang w:val="en-US" w:eastAsia="zh-CN"/>
        </w:rPr>
        <w:t>及</w:t>
      </w:r>
      <w:r>
        <w:rPr>
          <w:rFonts w:ascii="Times New Roman" w:hAnsi="Times New Roman" w:eastAsia="宋体" w:cs="Times New Roman"/>
          <w:color w:val="auto"/>
          <w:sz w:val="24"/>
          <w:highlight w:val="none"/>
        </w:rPr>
        <w:t>废水旋流站的底流液进入回用</w:t>
      </w:r>
      <w:r>
        <w:rPr>
          <w:rFonts w:hint="default" w:ascii="Times New Roman" w:hAnsi="Times New Roman" w:eastAsia="宋体" w:cs="Times New Roman"/>
          <w:color w:val="auto"/>
          <w:sz w:val="24"/>
          <w:highlight w:val="none"/>
        </w:rPr>
        <w:t>系统</w:t>
      </w:r>
      <w:r>
        <w:rPr>
          <w:rFonts w:ascii="Times New Roman" w:hAnsi="Times New Roman" w:eastAsia="宋体" w:cs="Times New Roman"/>
          <w:color w:val="auto"/>
          <w:sz w:val="24"/>
          <w:highlight w:val="none"/>
        </w:rPr>
        <w:t>，溢流液进入脱硫废水</w:t>
      </w:r>
      <w:r>
        <w:rPr>
          <w:rFonts w:hint="default" w:cs="Times New Roman"/>
          <w:color w:val="auto"/>
          <w:sz w:val="24"/>
          <w:highlight w:val="none"/>
          <w:lang w:val="en-US" w:eastAsia="zh-CN"/>
        </w:rPr>
        <w:t>三联箱</w:t>
      </w:r>
      <w:r>
        <w:rPr>
          <w:rFonts w:hint="default" w:ascii="Times New Roman" w:hAnsi="Times New Roman" w:eastAsia="宋体" w:cs="Times New Roman"/>
          <w:color w:val="auto"/>
          <w:sz w:val="24"/>
          <w:highlight w:val="none"/>
        </w:rPr>
        <w:t>系统</w:t>
      </w:r>
      <w:r>
        <w:rPr>
          <w:rFonts w:ascii="Times New Roman" w:hAnsi="Times New Roman" w:eastAsia="宋体" w:cs="Times New Roman"/>
          <w:color w:val="auto"/>
          <w:sz w:val="24"/>
          <w:highlight w:val="none"/>
        </w:rPr>
        <w:t>，进行废水</w:t>
      </w:r>
      <w:r>
        <w:rPr>
          <w:rFonts w:hint="eastAsia" w:cs="Times New Roman"/>
          <w:color w:val="auto"/>
          <w:sz w:val="24"/>
          <w:highlight w:val="none"/>
          <w:lang w:val="en-US" w:eastAsia="zh-CN"/>
        </w:rPr>
        <w:t>预</w:t>
      </w:r>
      <w:r>
        <w:rPr>
          <w:rFonts w:ascii="Times New Roman" w:hAnsi="Times New Roman" w:eastAsia="宋体" w:cs="Times New Roman"/>
          <w:color w:val="auto"/>
          <w:sz w:val="24"/>
          <w:highlight w:val="none"/>
        </w:rPr>
        <w:t>处理。</w:t>
      </w:r>
      <w:r>
        <w:rPr>
          <w:rFonts w:hint="eastAsia" w:ascii="宋体" w:hAnsi="宋体" w:eastAsia="宋体" w:cs="宋体"/>
          <w:color w:val="auto"/>
          <w:kern w:val="0"/>
          <w:sz w:val="25"/>
          <w:szCs w:val="25"/>
          <w:highlight w:val="none"/>
          <w:lang w:val="en-US" w:eastAsia="zh-CN" w:bidi="ar"/>
        </w:rPr>
        <w:t>澄清后的废水含固量控制在1%以内，澄清器底部污泥通过板框压滤机压滤，澄清器溢流清水流入清水箱，后面接入废水零排放系统处理。废水零排放系统由招标方负责。</w:t>
      </w:r>
    </w:p>
    <w:p w14:paraId="429F75B7">
      <w:pPr>
        <w:pStyle w:val="4"/>
        <w:ind w:firstLine="500" w:firstLineChars="200"/>
        <w:rPr>
          <w:rFonts w:hint="eastAsia" w:hAnsi="宋体" w:cs="宋体"/>
          <w:b w:val="0"/>
          <w:color w:val="auto"/>
          <w:sz w:val="25"/>
          <w:szCs w:val="25"/>
          <w:highlight w:val="none"/>
          <w:lang w:bidi="ar"/>
        </w:rPr>
      </w:pPr>
      <w:r>
        <w:rPr>
          <w:rFonts w:hint="eastAsia" w:hAnsi="宋体" w:cs="宋体"/>
          <w:b w:val="0"/>
          <w:color w:val="auto"/>
          <w:sz w:val="25"/>
          <w:szCs w:val="25"/>
          <w:highlight w:val="none"/>
          <w:lang w:val="en-US" w:eastAsia="zh-CN" w:bidi="ar"/>
        </w:rPr>
        <w:t>本工程</w:t>
      </w:r>
      <w:r>
        <w:rPr>
          <w:rFonts w:hint="eastAsia" w:hAnsi="宋体" w:cs="宋体"/>
          <w:b w:val="0"/>
          <w:color w:val="auto"/>
          <w:sz w:val="25"/>
          <w:szCs w:val="25"/>
          <w:highlight w:val="none"/>
          <w:lang w:bidi="ar"/>
        </w:rPr>
        <w:t>应针对脱硫废水水量及水质特点，提供一套功能完整的脱硫废水处理系统，脱硫废水处理系统的设计执行DL/T5046-2018《火力发电厂废水治理设计技术规程》，废水处理系统除满足性能保证要求外</w:t>
      </w:r>
      <w:r>
        <w:rPr>
          <w:rFonts w:hint="eastAsia" w:hAnsi="宋体" w:cs="宋体"/>
          <w:b w:val="0"/>
          <w:color w:val="auto"/>
          <w:sz w:val="25"/>
          <w:szCs w:val="25"/>
          <w:highlight w:val="none"/>
          <w:lang w:eastAsia="zh-CN" w:bidi="ar"/>
        </w:rPr>
        <w:t>。</w:t>
      </w:r>
    </w:p>
    <w:p w14:paraId="0A803D76">
      <w:pPr>
        <w:spacing w:line="360" w:lineRule="auto"/>
        <w:ind w:firstLine="420" w:firstLineChars="175"/>
        <w:rPr>
          <w:rFonts w:hint="default"/>
          <w:color w:val="auto"/>
          <w:sz w:val="24"/>
          <w:highlight w:val="none"/>
        </w:rPr>
      </w:pPr>
      <w:r>
        <w:rPr>
          <w:rFonts w:hint="default"/>
          <w:color w:val="auto"/>
          <w:sz w:val="24"/>
          <w:highlight w:val="none"/>
        </w:rPr>
        <w:t>脱硫废水处理系统设备</w:t>
      </w:r>
      <w:r>
        <w:rPr>
          <w:rFonts w:hint="default"/>
          <w:color w:val="auto"/>
          <w:sz w:val="24"/>
          <w:highlight w:val="none"/>
          <w:lang w:val="en-US" w:eastAsia="zh-CN"/>
        </w:rPr>
        <w:t>处理</w:t>
      </w:r>
      <w:r>
        <w:rPr>
          <w:rFonts w:hint="eastAsia"/>
          <w:color w:val="auto"/>
          <w:sz w:val="24"/>
          <w:highlight w:val="none"/>
          <w:lang w:val="en-US" w:eastAsia="zh-CN"/>
        </w:rPr>
        <w:t>能力</w:t>
      </w:r>
      <w:r>
        <w:rPr>
          <w:rFonts w:hint="default"/>
          <w:color w:val="auto"/>
          <w:sz w:val="24"/>
          <w:highlight w:val="none"/>
          <w:lang w:val="en-US" w:eastAsia="zh-CN"/>
        </w:rPr>
        <w:t>为</w:t>
      </w:r>
      <w:r>
        <w:rPr>
          <w:rFonts w:hint="default"/>
          <w:color w:val="auto"/>
          <w:sz w:val="24"/>
          <w:highlight w:val="none"/>
          <w:u w:val="none"/>
          <w:lang w:val="en-US" w:eastAsia="zh-CN"/>
        </w:rPr>
        <w:t xml:space="preserve"> 10 </w:t>
      </w:r>
      <w:r>
        <w:rPr>
          <w:rFonts w:hint="default"/>
          <w:color w:val="auto"/>
          <w:sz w:val="24"/>
          <w:highlight w:val="none"/>
          <w:lang w:val="en-US" w:eastAsia="zh-CN"/>
        </w:rPr>
        <w:t>t/h，</w:t>
      </w:r>
      <w:r>
        <w:rPr>
          <w:rFonts w:hint="default"/>
          <w:color w:val="auto"/>
          <w:sz w:val="24"/>
          <w:highlight w:val="none"/>
        </w:rPr>
        <w:t>脱硫废水处理系统采用</w:t>
      </w:r>
      <w:r>
        <w:rPr>
          <w:rFonts w:hint="default"/>
          <w:color w:val="auto"/>
          <w:sz w:val="24"/>
          <w:highlight w:val="none"/>
          <w:lang w:val="en-US" w:eastAsia="zh-CN"/>
        </w:rPr>
        <w:t>三联箱</w:t>
      </w:r>
      <w:r>
        <w:rPr>
          <w:rFonts w:hint="default"/>
          <w:color w:val="auto"/>
          <w:sz w:val="24"/>
          <w:highlight w:val="none"/>
        </w:rPr>
        <w:t>处理工艺。</w:t>
      </w:r>
      <w:r>
        <w:rPr>
          <w:rFonts w:hint="eastAsia"/>
          <w:color w:val="auto"/>
          <w:sz w:val="24"/>
          <w:highlight w:val="none"/>
          <w:lang w:val="en-US" w:eastAsia="zh-CN"/>
        </w:rPr>
        <w:t>系统</w:t>
      </w:r>
      <w:r>
        <w:rPr>
          <w:rFonts w:hint="default"/>
          <w:color w:val="auto"/>
          <w:sz w:val="24"/>
          <w:highlight w:val="none"/>
        </w:rPr>
        <w:t>组成但不限于：</w:t>
      </w:r>
    </w:p>
    <w:p w14:paraId="7888EF86">
      <w:pPr>
        <w:spacing w:line="360" w:lineRule="auto"/>
        <w:ind w:firstLine="420" w:firstLineChars="175"/>
        <w:rPr>
          <w:color w:val="auto"/>
          <w:sz w:val="24"/>
          <w:highlight w:val="none"/>
        </w:rPr>
      </w:pPr>
      <w:r>
        <w:rPr>
          <w:b w:val="0"/>
          <w:bCs w:val="0"/>
          <w:color w:val="auto"/>
          <w:sz w:val="24"/>
          <w:highlight w:val="none"/>
        </w:rPr>
        <w:t>三联箱反应系统</w:t>
      </w:r>
      <w:r>
        <w:rPr>
          <w:rFonts w:hint="default"/>
          <w:b w:val="0"/>
          <w:bCs w:val="0"/>
          <w:color w:val="auto"/>
          <w:sz w:val="24"/>
          <w:highlight w:val="none"/>
          <w:lang w:val="en-US" w:eastAsia="zh-CN"/>
        </w:rPr>
        <w:t>由</w:t>
      </w:r>
      <w:r>
        <w:rPr>
          <w:b w:val="0"/>
          <w:bCs w:val="0"/>
          <w:color w:val="auto"/>
          <w:sz w:val="24"/>
          <w:highlight w:val="none"/>
        </w:rPr>
        <w:t>中和箱</w:t>
      </w:r>
      <w:r>
        <w:rPr>
          <w:rFonts w:hint="default"/>
          <w:b w:val="0"/>
          <w:bCs w:val="0"/>
          <w:color w:val="auto"/>
          <w:sz w:val="24"/>
          <w:highlight w:val="none"/>
          <w:lang w:eastAsia="zh-CN"/>
        </w:rPr>
        <w:t>、</w:t>
      </w:r>
      <w:r>
        <w:rPr>
          <w:b w:val="0"/>
          <w:bCs w:val="0"/>
          <w:color w:val="auto"/>
          <w:sz w:val="24"/>
          <w:highlight w:val="none"/>
        </w:rPr>
        <w:t>沉降箱</w:t>
      </w:r>
      <w:r>
        <w:rPr>
          <w:rFonts w:hint="default"/>
          <w:b w:val="0"/>
          <w:bCs w:val="0"/>
          <w:color w:val="auto"/>
          <w:sz w:val="24"/>
          <w:highlight w:val="none"/>
          <w:lang w:eastAsia="zh-CN"/>
        </w:rPr>
        <w:t>、</w:t>
      </w:r>
      <w:r>
        <w:rPr>
          <w:b w:val="0"/>
          <w:bCs w:val="0"/>
          <w:color w:val="auto"/>
          <w:sz w:val="24"/>
          <w:highlight w:val="none"/>
        </w:rPr>
        <w:t>絮凝箱</w:t>
      </w:r>
      <w:r>
        <w:rPr>
          <w:rFonts w:hint="default"/>
          <w:b w:val="0"/>
          <w:bCs w:val="0"/>
          <w:color w:val="auto"/>
          <w:sz w:val="24"/>
          <w:highlight w:val="none"/>
          <w:lang w:val="en-US" w:eastAsia="zh-CN"/>
        </w:rPr>
        <w:t>组成，</w:t>
      </w:r>
      <w:r>
        <w:rPr>
          <w:b w:val="0"/>
          <w:bCs w:val="0"/>
          <w:color w:val="auto"/>
          <w:sz w:val="24"/>
          <w:highlight w:val="none"/>
        </w:rPr>
        <w:t>澄清池</w:t>
      </w:r>
      <w:r>
        <w:rPr>
          <w:color w:val="auto"/>
          <w:sz w:val="24"/>
          <w:highlight w:val="none"/>
        </w:rPr>
        <w:t>接收三联箱处理后的水，通过重力沉降使絮体与清水分离，上清液进入</w:t>
      </w:r>
      <w:r>
        <w:rPr>
          <w:rFonts w:hint="default"/>
          <w:color w:val="auto"/>
          <w:sz w:val="24"/>
          <w:highlight w:val="none"/>
          <w:lang w:val="en-US" w:eastAsia="zh-CN"/>
        </w:rPr>
        <w:t>废水浓缩干化系统</w:t>
      </w:r>
      <w:r>
        <w:rPr>
          <w:color w:val="auto"/>
          <w:sz w:val="24"/>
          <w:highlight w:val="none"/>
        </w:rPr>
        <w:t>。底部沉淀的污泥（含重金属沉淀物、石膏等）通过污泥泵（单螺杆泵）排出，送往污泥脱水系统（板框压滤机）处理。</w:t>
      </w:r>
    </w:p>
    <w:p w14:paraId="3C979AD9">
      <w:pPr>
        <w:spacing w:line="360" w:lineRule="auto"/>
        <w:ind w:firstLine="420" w:firstLineChars="175"/>
        <w:rPr>
          <w:color w:val="auto"/>
          <w:sz w:val="24"/>
          <w:highlight w:val="none"/>
        </w:rPr>
      </w:pPr>
      <w:r>
        <w:rPr>
          <w:b w:val="0"/>
          <w:bCs w:val="0"/>
          <w:color w:val="auto"/>
          <w:sz w:val="24"/>
          <w:highlight w:val="none"/>
        </w:rPr>
        <w:t>污泥处理系统</w:t>
      </w:r>
      <w:r>
        <w:rPr>
          <w:color w:val="auto"/>
          <w:sz w:val="24"/>
          <w:highlight w:val="none"/>
        </w:rPr>
        <w:t>对澄清池排出的污泥进行浓缩脱水，降低含水率，形成泥饼后外运处置。</w:t>
      </w:r>
    </w:p>
    <w:p w14:paraId="31963C43">
      <w:pPr>
        <w:spacing w:line="360" w:lineRule="auto"/>
        <w:ind w:firstLine="420" w:firstLineChars="175"/>
        <w:rPr>
          <w:color w:val="auto"/>
          <w:sz w:val="24"/>
          <w:highlight w:val="none"/>
        </w:rPr>
      </w:pPr>
      <w:r>
        <w:rPr>
          <w:b w:val="0"/>
          <w:bCs w:val="0"/>
          <w:color w:val="auto"/>
          <w:sz w:val="24"/>
          <w:highlight w:val="none"/>
        </w:rPr>
        <w:t>药剂制备与投加系统</w:t>
      </w:r>
      <w:r>
        <w:rPr>
          <w:color w:val="auto"/>
          <w:sz w:val="24"/>
          <w:highlight w:val="none"/>
        </w:rPr>
        <w:t>包括石灰乳制备装置、有机硫储存罐、PAC/PAM溶解罐等，通过计量泵精准控制药剂投加量，确保反应效果。</w:t>
      </w:r>
    </w:p>
    <w:p w14:paraId="376E4F5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175"/>
        <w:jc w:val="left"/>
        <w:textAlignment w:val="auto"/>
        <w:rPr>
          <w:color w:val="auto"/>
          <w:sz w:val="24"/>
          <w:highlight w:val="none"/>
        </w:rPr>
      </w:pPr>
      <w:r>
        <w:rPr>
          <w:b w:val="0"/>
          <w:bCs w:val="0"/>
          <w:color w:val="auto"/>
          <w:sz w:val="24"/>
          <w:highlight w:val="none"/>
        </w:rPr>
        <w:t>辅助设备</w:t>
      </w:r>
      <w:r>
        <w:rPr>
          <w:rFonts w:hint="default"/>
          <w:b w:val="0"/>
          <w:bCs w:val="0"/>
          <w:color w:val="auto"/>
          <w:sz w:val="24"/>
          <w:highlight w:val="none"/>
          <w:lang w:val="en-US" w:eastAsia="zh-CN"/>
        </w:rPr>
        <w:t>系统：</w:t>
      </w:r>
      <w:r>
        <w:rPr>
          <w:color w:val="auto"/>
          <w:sz w:val="24"/>
          <w:highlight w:val="none"/>
        </w:rPr>
        <w:t>三联箱及药剂箱</w:t>
      </w:r>
      <w:r>
        <w:rPr>
          <w:rFonts w:hint="default"/>
          <w:color w:val="auto"/>
          <w:sz w:val="24"/>
          <w:highlight w:val="none"/>
          <w:lang w:val="en-US" w:eastAsia="zh-CN"/>
        </w:rPr>
        <w:t>均设</w:t>
      </w:r>
      <w:r>
        <w:rPr>
          <w:color w:val="auto"/>
          <w:sz w:val="24"/>
          <w:highlight w:val="none"/>
        </w:rPr>
        <w:t>搅拌器，防止药剂沉淀、保证反应均匀。pH在线监测仪、液位计</w:t>
      </w:r>
      <w:r>
        <w:rPr>
          <w:rFonts w:hint="default"/>
          <w:color w:val="auto"/>
          <w:sz w:val="24"/>
          <w:highlight w:val="none"/>
          <w:lang w:eastAsia="zh-CN"/>
        </w:rPr>
        <w:t>、</w:t>
      </w:r>
      <w:r>
        <w:rPr>
          <w:rFonts w:hint="default"/>
          <w:color w:val="auto"/>
          <w:sz w:val="24"/>
          <w:highlight w:val="none"/>
          <w:lang w:val="en-US" w:eastAsia="zh-CN"/>
        </w:rPr>
        <w:t>泥位计</w:t>
      </w:r>
      <w:r>
        <w:rPr>
          <w:color w:val="auto"/>
          <w:sz w:val="24"/>
          <w:highlight w:val="none"/>
        </w:rPr>
        <w:t>等：实时监控水质和液位，实现自动化调节。</w:t>
      </w:r>
    </w:p>
    <w:p w14:paraId="2E479ABA">
      <w:pPr>
        <w:spacing w:line="360" w:lineRule="auto"/>
        <w:ind w:firstLine="420" w:firstLineChars="175"/>
        <w:rPr>
          <w:rFonts w:hint="default"/>
          <w:color w:val="auto"/>
          <w:sz w:val="24"/>
          <w:highlight w:val="none"/>
          <w:lang w:val="en-US" w:eastAsia="zh-CN"/>
        </w:rPr>
      </w:pPr>
      <w:r>
        <w:rPr>
          <w:rFonts w:hint="default"/>
          <w:color w:val="auto"/>
          <w:sz w:val="24"/>
          <w:highlight w:val="none"/>
          <w:lang w:val="en-US" w:eastAsia="zh-CN"/>
        </w:rPr>
        <w:t>主要设备：</w:t>
      </w:r>
      <w:r>
        <w:rPr>
          <w:rFonts w:hint="default"/>
          <w:color w:val="auto"/>
          <w:sz w:val="24"/>
          <w:highlight w:val="none"/>
        </w:rPr>
        <w:t>废水池</w:t>
      </w:r>
      <w:r>
        <w:rPr>
          <w:rFonts w:hint="default"/>
          <w:color w:val="auto"/>
          <w:sz w:val="24"/>
          <w:highlight w:val="none"/>
          <w:lang w:eastAsia="zh-CN"/>
        </w:rPr>
        <w:t>（</w:t>
      </w:r>
      <w:r>
        <w:rPr>
          <w:rFonts w:hint="default"/>
          <w:color w:val="auto"/>
          <w:sz w:val="24"/>
          <w:highlight w:val="none"/>
          <w:lang w:val="en-US" w:eastAsia="zh-CN"/>
        </w:rPr>
        <w:t>采用混凝土）、</w:t>
      </w:r>
      <w:r>
        <w:rPr>
          <w:rFonts w:hint="default"/>
          <w:color w:val="auto"/>
          <w:sz w:val="24"/>
          <w:highlight w:val="none"/>
        </w:rPr>
        <w:t>清水</w:t>
      </w:r>
      <w:r>
        <w:rPr>
          <w:rFonts w:hint="default"/>
          <w:color w:val="auto"/>
          <w:sz w:val="24"/>
          <w:highlight w:val="none"/>
          <w:lang w:val="en-US" w:eastAsia="zh-CN"/>
        </w:rPr>
        <w:t>箱(钢结构）等；污泥</w:t>
      </w:r>
      <w:r>
        <w:rPr>
          <w:rFonts w:hint="default"/>
          <w:color w:val="auto"/>
          <w:sz w:val="24"/>
          <w:highlight w:val="none"/>
        </w:rPr>
        <w:t>泵</w:t>
      </w:r>
      <w:r>
        <w:rPr>
          <w:rFonts w:hint="default"/>
          <w:color w:val="auto"/>
          <w:sz w:val="24"/>
          <w:highlight w:val="none"/>
          <w:lang w:eastAsia="zh-CN"/>
        </w:rPr>
        <w:t>、</w:t>
      </w:r>
      <w:r>
        <w:rPr>
          <w:rFonts w:hint="default"/>
          <w:color w:val="auto"/>
          <w:sz w:val="24"/>
          <w:highlight w:val="none"/>
          <w:lang w:val="en-US" w:eastAsia="zh-CN"/>
        </w:rPr>
        <w:t>污水泵</w:t>
      </w:r>
      <w:r>
        <w:rPr>
          <w:rFonts w:hint="default"/>
          <w:color w:val="auto"/>
          <w:sz w:val="24"/>
          <w:highlight w:val="none"/>
        </w:rPr>
        <w:t>、</w:t>
      </w:r>
      <w:r>
        <w:rPr>
          <w:rFonts w:hint="default"/>
          <w:color w:val="auto"/>
          <w:sz w:val="24"/>
          <w:highlight w:val="none"/>
          <w:lang w:val="en-US" w:eastAsia="zh-CN"/>
        </w:rPr>
        <w:t>加药泵等；三联箱</w:t>
      </w:r>
      <w:r>
        <w:rPr>
          <w:rFonts w:hint="default"/>
          <w:color w:val="auto"/>
          <w:sz w:val="24"/>
          <w:highlight w:val="none"/>
        </w:rPr>
        <w:t>、澄清器、</w:t>
      </w:r>
      <w:r>
        <w:rPr>
          <w:rFonts w:hint="default"/>
          <w:color w:val="auto"/>
          <w:sz w:val="24"/>
          <w:highlight w:val="none"/>
          <w:lang w:val="en-US" w:eastAsia="zh-CN"/>
        </w:rPr>
        <w:t>板框压滤机</w:t>
      </w:r>
      <w:r>
        <w:rPr>
          <w:rFonts w:hint="default"/>
          <w:color w:val="auto"/>
          <w:sz w:val="24"/>
          <w:highlight w:val="none"/>
        </w:rPr>
        <w:t>等</w:t>
      </w:r>
      <w:r>
        <w:rPr>
          <w:rFonts w:hint="default"/>
          <w:color w:val="auto"/>
          <w:sz w:val="24"/>
          <w:highlight w:val="none"/>
          <w:lang w:eastAsia="zh-CN"/>
        </w:rPr>
        <w:t>；</w:t>
      </w:r>
      <w:r>
        <w:rPr>
          <w:color w:val="auto"/>
          <w:sz w:val="24"/>
          <w:highlight w:val="none"/>
        </w:rPr>
        <w:t>pH在线监测仪、液位计</w:t>
      </w:r>
      <w:r>
        <w:rPr>
          <w:rFonts w:hint="default"/>
          <w:color w:val="auto"/>
          <w:sz w:val="24"/>
          <w:highlight w:val="none"/>
          <w:lang w:eastAsia="zh-CN"/>
        </w:rPr>
        <w:t>、</w:t>
      </w:r>
      <w:r>
        <w:rPr>
          <w:rFonts w:hint="default"/>
          <w:color w:val="auto"/>
          <w:sz w:val="24"/>
          <w:highlight w:val="none"/>
          <w:lang w:val="en-US" w:eastAsia="zh-CN"/>
        </w:rPr>
        <w:t>泥位计、压力表等；控制系统设备；</w:t>
      </w:r>
    </w:p>
    <w:p w14:paraId="7740DE0F">
      <w:pPr>
        <w:spacing w:line="360" w:lineRule="auto"/>
        <w:ind w:firstLine="420" w:firstLineChars="175"/>
        <w:rPr>
          <w:rFonts w:hint="eastAsia" w:eastAsia="宋体"/>
          <w:color w:val="auto"/>
          <w:sz w:val="24"/>
          <w:highlight w:val="none"/>
          <w:lang w:val="en-US" w:eastAsia="zh-CN"/>
        </w:rPr>
      </w:pPr>
      <w:r>
        <w:rPr>
          <w:rFonts w:hint="default" w:ascii="Times New Roman" w:hAnsi="Times New Roman" w:eastAsia="宋体" w:cs="Times New Roman"/>
          <w:i w:val="0"/>
          <w:iCs w:val="0"/>
          <w:caps w:val="0"/>
          <w:color w:val="auto"/>
          <w:spacing w:val="0"/>
          <w:sz w:val="24"/>
          <w:szCs w:val="24"/>
          <w:highlight w:val="none"/>
          <w:shd w:val="clear"/>
          <w:lang w:val="en-US" w:eastAsia="zh-CN"/>
        </w:rPr>
        <w:t>系统能</w:t>
      </w:r>
      <w:r>
        <w:rPr>
          <w:rFonts w:ascii="Times New Roman" w:hAnsi="Times New Roman" w:eastAsia="宋体" w:cs="Times New Roman"/>
          <w:i w:val="0"/>
          <w:iCs w:val="0"/>
          <w:caps w:val="0"/>
          <w:color w:val="auto"/>
          <w:spacing w:val="0"/>
          <w:sz w:val="24"/>
          <w:szCs w:val="24"/>
          <w:highlight w:val="none"/>
          <w:shd w:val="clear"/>
        </w:rPr>
        <w:t>实时监测，支持远程传输至中控系统</w:t>
      </w:r>
      <w:r>
        <w:rPr>
          <w:rFonts w:hint="default" w:ascii="Times New Roman" w:hAnsi="Times New Roman" w:eastAsia="宋体" w:cs="Times New Roman"/>
          <w:i w:val="0"/>
          <w:iCs w:val="0"/>
          <w:caps w:val="0"/>
          <w:color w:val="auto"/>
          <w:spacing w:val="0"/>
          <w:sz w:val="24"/>
          <w:szCs w:val="24"/>
          <w:highlight w:val="none"/>
          <w:shd w:val="clear"/>
          <w:lang w:eastAsia="zh-CN"/>
        </w:rPr>
        <w:t>。</w:t>
      </w:r>
      <w:r>
        <w:rPr>
          <w:rFonts w:ascii="Times New Roman" w:hAnsi="Times New Roman" w:eastAsia="宋体" w:cs="Times New Roman"/>
          <w:i w:val="0"/>
          <w:iCs w:val="0"/>
          <w:caps w:val="0"/>
          <w:color w:val="auto"/>
          <w:spacing w:val="0"/>
          <w:sz w:val="24"/>
          <w:szCs w:val="24"/>
          <w:highlight w:val="none"/>
          <w:shd w:val="clear"/>
        </w:rPr>
        <w:t>滤液出口配备pH在线监测接口，确保滤液pH</w:t>
      </w:r>
      <w:r>
        <w:rPr>
          <w:rFonts w:hint="eastAsia" w:cs="Times New Roman"/>
          <w:i w:val="0"/>
          <w:iCs w:val="0"/>
          <w:caps w:val="0"/>
          <w:color w:val="auto"/>
          <w:spacing w:val="0"/>
          <w:sz w:val="24"/>
          <w:szCs w:val="24"/>
          <w:highlight w:val="none"/>
          <w:shd w:val="clear"/>
          <w:lang w:val="en-US" w:eastAsia="zh-CN"/>
        </w:rPr>
        <w:t>值</w:t>
      </w:r>
      <w:r>
        <w:rPr>
          <w:rFonts w:ascii="Times New Roman" w:hAnsi="Times New Roman" w:eastAsia="宋体" w:cs="Times New Roman"/>
          <w:i w:val="0"/>
          <w:iCs w:val="0"/>
          <w:caps w:val="0"/>
          <w:color w:val="auto"/>
          <w:spacing w:val="0"/>
          <w:sz w:val="24"/>
          <w:szCs w:val="24"/>
          <w:highlight w:val="none"/>
          <w:shd w:val="clear"/>
        </w:rPr>
        <w:t>6-9后回用或排放，符合《污水综合排放标准》GB 8978要求</w:t>
      </w:r>
      <w:r>
        <w:rPr>
          <w:rFonts w:hint="eastAsia" w:cs="Times New Roman"/>
          <w:i w:val="0"/>
          <w:iCs w:val="0"/>
          <w:caps w:val="0"/>
          <w:color w:val="auto"/>
          <w:spacing w:val="0"/>
          <w:sz w:val="24"/>
          <w:szCs w:val="24"/>
          <w:highlight w:val="none"/>
          <w:shd w:val="clear"/>
          <w:lang w:eastAsia="zh-CN"/>
        </w:rPr>
        <w:t>。</w:t>
      </w:r>
    </w:p>
    <w:p w14:paraId="25A5A9B4">
      <w:pPr>
        <w:widowControl/>
        <w:spacing w:line="360" w:lineRule="auto"/>
        <w:ind w:firstLine="420" w:firstLineChars="175"/>
        <w:jc w:val="left"/>
        <w:rPr>
          <w:rFonts w:hint="default"/>
          <w:color w:val="auto"/>
          <w:sz w:val="24"/>
          <w:highlight w:val="none"/>
        </w:rPr>
      </w:pPr>
      <w:r>
        <w:rPr>
          <w:rFonts w:hint="default" w:ascii="Times New Roman" w:hAnsi="Times New Roman" w:eastAsia="宋体" w:cs="Times New Roman"/>
          <w:color w:val="auto"/>
          <w:kern w:val="2"/>
          <w:sz w:val="24"/>
          <w:szCs w:val="24"/>
          <w:highlight w:val="none"/>
          <w:lang w:val="en-US" w:eastAsia="zh-CN" w:bidi="ar"/>
        </w:rPr>
        <w:t>清水箱容量100m</w:t>
      </w:r>
      <w:r>
        <w:rPr>
          <w:rFonts w:hint="default" w:ascii="Times New Roman" w:hAnsi="Times New Roman" w:eastAsia="宋体" w:cs="Times New Roman"/>
          <w:color w:val="auto"/>
          <w:kern w:val="2"/>
          <w:sz w:val="24"/>
          <w:szCs w:val="24"/>
          <w:highlight w:val="none"/>
          <w:vertAlign w:val="superscript"/>
          <w:lang w:val="en-US" w:eastAsia="zh-CN" w:bidi="ar"/>
        </w:rPr>
        <w:t>3</w:t>
      </w:r>
      <w:r>
        <w:rPr>
          <w:rFonts w:hint="default" w:ascii="Times New Roman" w:hAnsi="Times New Roman" w:eastAsia="宋体" w:cs="Times New Roman"/>
          <w:color w:val="auto"/>
          <w:kern w:val="2"/>
          <w:sz w:val="24"/>
          <w:szCs w:val="24"/>
          <w:highlight w:val="none"/>
          <w:lang w:val="en-US" w:eastAsia="zh-CN" w:bidi="ar"/>
        </w:rPr>
        <w:t>（暂定</w:t>
      </w:r>
      <w:r>
        <w:rPr>
          <w:rFonts w:hint="default" w:ascii="Times New Roman" w:hAnsi="Times New Roman" w:cs="Times New Roman"/>
          <w:color w:val="auto"/>
          <w:kern w:val="2"/>
          <w:sz w:val="24"/>
          <w:szCs w:val="24"/>
          <w:highlight w:val="none"/>
          <w:lang w:val="en-US" w:eastAsia="zh-CN" w:bidi="ar"/>
        </w:rPr>
        <w:t>，属投标方供货范围</w:t>
      </w:r>
      <w:r>
        <w:rPr>
          <w:rFonts w:hint="default" w:ascii="Times New Roman" w:hAnsi="Times New Roman" w:eastAsia="宋体" w:cs="Times New Roman"/>
          <w:color w:val="auto"/>
          <w:kern w:val="2"/>
          <w:sz w:val="24"/>
          <w:szCs w:val="24"/>
          <w:highlight w:val="none"/>
          <w:lang w:val="en-US" w:eastAsia="zh-CN" w:bidi="ar"/>
        </w:rPr>
        <w:t>）</w:t>
      </w:r>
      <w:r>
        <w:rPr>
          <w:rFonts w:hint="default"/>
          <w:color w:val="auto"/>
          <w:sz w:val="24"/>
          <w:highlight w:val="none"/>
        </w:rPr>
        <w:t>所有设备、管道、阀门等均应满足系统防腐要求。</w:t>
      </w:r>
    </w:p>
    <w:p w14:paraId="71C6BFCC">
      <w:pPr>
        <w:widowControl/>
        <w:spacing w:line="360" w:lineRule="auto"/>
        <w:ind w:firstLine="420" w:firstLineChars="175"/>
        <w:jc w:val="left"/>
        <w:rPr>
          <w:rFonts w:hint="default" w:eastAsia="宋体"/>
          <w:color w:val="auto"/>
          <w:sz w:val="24"/>
          <w:highlight w:val="none"/>
          <w:lang w:val="en-US" w:eastAsia="zh-CN" w:bidi="ar"/>
        </w:rPr>
      </w:pPr>
      <w:r>
        <w:rPr>
          <w:rFonts w:hint="default" w:ascii="Times New Roman" w:hAnsi="Times New Roman" w:cs="Times New Roman"/>
          <w:color w:val="auto"/>
          <w:kern w:val="2"/>
          <w:sz w:val="24"/>
          <w:szCs w:val="24"/>
          <w:highlight w:val="none"/>
          <w:lang w:val="en-US" w:eastAsia="zh-CN" w:bidi="ar"/>
        </w:rPr>
        <w:t>板框压滤机</w:t>
      </w:r>
      <w:r>
        <w:rPr>
          <w:rFonts w:hint="default" w:ascii="Times New Roman" w:hAnsi="Times New Roman" w:eastAsia="宋体" w:cs="Times New Roman"/>
          <w:color w:val="auto"/>
          <w:kern w:val="2"/>
          <w:sz w:val="24"/>
          <w:szCs w:val="24"/>
          <w:highlight w:val="none"/>
          <w:lang w:val="en-US" w:eastAsia="zh-CN" w:bidi="ar"/>
        </w:rPr>
        <w:t>设计压力≥0.8MPa</w:t>
      </w:r>
      <w:r>
        <w:rPr>
          <w:rFonts w:hint="default" w:ascii="Times New Roman" w:hAnsi="Times New Roman" w:cs="Times New Roman"/>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滤饼含水率≤</w:t>
      </w:r>
      <w:r>
        <w:rPr>
          <w:rFonts w:hint="default" w:ascii="Times New Roman" w:hAnsi="Times New Roman" w:cs="Times New Roman"/>
          <w:color w:val="auto"/>
          <w:kern w:val="2"/>
          <w:sz w:val="24"/>
          <w:szCs w:val="24"/>
          <w:highlight w:val="none"/>
          <w:lang w:val="en-US" w:eastAsia="zh-CN" w:bidi="ar"/>
        </w:rPr>
        <w:t>30</w:t>
      </w:r>
      <w:r>
        <w:rPr>
          <w:rFonts w:hint="default" w:ascii="Times New Roman" w:hAnsi="Times New Roman" w:eastAsia="宋体" w:cs="Times New Roman"/>
          <w:color w:val="auto"/>
          <w:kern w:val="2"/>
          <w:sz w:val="24"/>
          <w:szCs w:val="24"/>
          <w:highlight w:val="none"/>
          <w:lang w:val="en-US" w:eastAsia="zh-CN" w:bidi="ar"/>
        </w:rPr>
        <w:t>%满足脱硫石膏资源化利用（如建材回用）或环保处置标准</w:t>
      </w:r>
      <w:r>
        <w:rPr>
          <w:rFonts w:hint="default" w:ascii="Times New Roman" w:hAnsi="Times New Roman" w:cs="Times New Roman"/>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过滤速度0.03-0.08 m³/(m²·h)适配浆液中细颗粒特性，平衡过滤效率与滤布防堵需求</w:t>
      </w:r>
      <w:r>
        <w:rPr>
          <w:rFonts w:hint="default" w:ascii="Times New Roman" w:hAnsi="Times New Roman" w:cs="Times New Roman"/>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滤液浊度≤10NTU</w:t>
      </w:r>
      <w:r>
        <w:rPr>
          <w:rFonts w:hint="default" w:ascii="Times New Roman" w:hAnsi="Times New Roman" w:cs="Times New Roman"/>
          <w:color w:val="auto"/>
          <w:kern w:val="2"/>
          <w:sz w:val="24"/>
          <w:szCs w:val="24"/>
          <w:highlight w:val="none"/>
          <w:lang w:val="en-US" w:eastAsia="zh-CN" w:bidi="ar"/>
        </w:rPr>
        <w:t>，</w:t>
      </w:r>
      <w:r>
        <w:rPr>
          <w:rFonts w:hint="default" w:ascii="Times New Roman" w:hAnsi="Times New Roman" w:eastAsia="宋体" w:cs="Times New Roman"/>
          <w:color w:val="auto"/>
          <w:kern w:val="2"/>
          <w:sz w:val="24"/>
          <w:szCs w:val="24"/>
          <w:highlight w:val="none"/>
          <w:lang w:val="en-US" w:eastAsia="zh-CN" w:bidi="ar"/>
        </w:rPr>
        <w:t>确保滤液澄清，满足回用或后续处理要求</w:t>
      </w:r>
      <w:r>
        <w:rPr>
          <w:rFonts w:hint="default" w:ascii="Times New Roman" w:hAnsi="Times New Roman" w:cs="Times New Roman"/>
          <w:color w:val="auto"/>
          <w:kern w:val="2"/>
          <w:sz w:val="24"/>
          <w:szCs w:val="24"/>
          <w:highlight w:val="none"/>
          <w:lang w:val="en-US" w:eastAsia="zh-CN" w:bidi="ar"/>
        </w:rPr>
        <w:t>。滤板、滤框</w:t>
      </w:r>
      <w:r>
        <w:rPr>
          <w:rFonts w:hint="default" w:ascii="Times New Roman" w:hAnsi="Times New Roman" w:eastAsia="宋体" w:cs="Times New Roman"/>
          <w:i w:val="0"/>
          <w:iCs w:val="0"/>
          <w:caps w:val="0"/>
          <w:color w:val="auto"/>
          <w:spacing w:val="0"/>
          <w:kern w:val="2"/>
          <w:sz w:val="24"/>
          <w:szCs w:val="24"/>
          <w:highlight w:val="none"/>
          <w:shd w:val="clear"/>
          <w:lang w:bidi="ar"/>
        </w:rPr>
        <w:t>采用增强聚丙烯（PP）或聚四氟乙烯（PTFE）</w:t>
      </w:r>
      <w:r>
        <w:rPr>
          <w:rFonts w:hint="default" w:ascii="Times New Roman" w:hAnsi="Times New Roman" w:eastAsia="宋体" w:cs="Times New Roman"/>
          <w:i w:val="0"/>
          <w:iCs w:val="0"/>
          <w:caps w:val="0"/>
          <w:color w:val="auto"/>
          <w:spacing w:val="0"/>
          <w:kern w:val="2"/>
          <w:sz w:val="24"/>
          <w:szCs w:val="24"/>
          <w:highlight w:val="none"/>
          <w:shd w:val="clear"/>
          <w:lang w:eastAsia="zh-CN" w:bidi="ar"/>
        </w:rPr>
        <w:t>，</w:t>
      </w:r>
      <w:r>
        <w:rPr>
          <w:rFonts w:hint="default" w:ascii="Times New Roman" w:hAnsi="Times New Roman" w:eastAsia="宋体" w:cs="Times New Roman"/>
          <w:i w:val="0"/>
          <w:iCs w:val="0"/>
          <w:caps w:val="0"/>
          <w:color w:val="auto"/>
          <w:spacing w:val="0"/>
          <w:kern w:val="2"/>
          <w:sz w:val="24"/>
          <w:szCs w:val="24"/>
          <w:highlight w:val="none"/>
          <w:shd w:val="clear"/>
          <w:lang w:bidi="ar"/>
        </w:rPr>
        <w:t>常温下耐pH</w:t>
      </w:r>
      <w:r>
        <w:rPr>
          <w:rFonts w:hint="eastAsia" w:cs="Times New Roman"/>
          <w:i w:val="0"/>
          <w:iCs w:val="0"/>
          <w:caps w:val="0"/>
          <w:color w:val="auto"/>
          <w:spacing w:val="0"/>
          <w:kern w:val="2"/>
          <w:sz w:val="24"/>
          <w:szCs w:val="24"/>
          <w:highlight w:val="none"/>
          <w:shd w:val="clear"/>
          <w:lang w:val="en-US" w:eastAsia="zh-CN" w:bidi="ar"/>
        </w:rPr>
        <w:t>值</w:t>
      </w:r>
      <w:r>
        <w:rPr>
          <w:rFonts w:hint="default" w:ascii="Times New Roman" w:hAnsi="Times New Roman" w:eastAsia="宋体" w:cs="Times New Roman"/>
          <w:i w:val="0"/>
          <w:iCs w:val="0"/>
          <w:caps w:val="0"/>
          <w:color w:val="auto"/>
          <w:spacing w:val="0"/>
          <w:kern w:val="2"/>
          <w:sz w:val="24"/>
          <w:szCs w:val="24"/>
          <w:highlight w:val="none"/>
          <w:shd w:val="clear"/>
          <w:lang w:bidi="ar"/>
        </w:rPr>
        <w:t>2-12介质腐蚀，拉伸强度≥30MPa，弯曲强</w:t>
      </w:r>
      <w:r>
        <w:rPr>
          <w:rFonts w:hint="default" w:ascii="Times New Roman" w:hAnsi="Times New Roman" w:eastAsia="宋体" w:cs="Times New Roman"/>
          <w:i w:val="0"/>
          <w:iCs w:val="0"/>
          <w:caps w:val="0"/>
          <w:color w:val="auto"/>
          <w:spacing w:val="0"/>
          <w:kern w:val="2"/>
          <w:sz w:val="24"/>
          <w:szCs w:val="24"/>
          <w:highlight w:val="none"/>
          <w:shd w:val="clear"/>
          <w:lang w:bidi="ar"/>
        </w:rPr>
        <w:t>度≥45MPa，避免锈蚀污染浆液。</w:t>
      </w:r>
      <w:r>
        <w:rPr>
          <w:rFonts w:hint="default" w:ascii="Times New Roman" w:hAnsi="Times New Roman" w:eastAsia="宋体" w:cs="Times New Roman"/>
          <w:i w:val="0"/>
          <w:iCs w:val="0"/>
          <w:caps w:val="0"/>
          <w:color w:val="auto"/>
          <w:spacing w:val="0"/>
          <w:kern w:val="2"/>
          <w:sz w:val="24"/>
          <w:szCs w:val="24"/>
          <w:highlight w:val="none"/>
          <w:shd w:val="clear"/>
          <w:lang w:val="en-US" w:eastAsia="zh-CN" w:bidi="ar"/>
        </w:rPr>
        <w:t>滤布</w:t>
      </w:r>
      <w:r>
        <w:rPr>
          <w:rFonts w:hint="default" w:ascii="Times New Roman" w:hAnsi="Times New Roman" w:eastAsia="宋体" w:cs="Times New Roman"/>
          <w:i w:val="0"/>
          <w:iCs w:val="0"/>
          <w:caps w:val="0"/>
          <w:color w:val="auto"/>
          <w:spacing w:val="0"/>
          <w:kern w:val="2"/>
          <w:sz w:val="24"/>
          <w:szCs w:val="24"/>
          <w:highlight w:val="none"/>
          <w:shd w:val="clear"/>
          <w:lang w:bidi="ar"/>
        </w:rPr>
        <w:t>选用耐酸、耐磨涤纶针刺毡或丙纶滤布，目数 800-1200 目，断裂强力（经向）≥1800N/5cm，断裂强力（纬向）≥1600N/5cm，截留石膏颗粒同时保证透水性。齿轮、链条采用</w:t>
      </w:r>
      <w:r>
        <w:rPr>
          <w:rFonts w:hint="default" w:ascii="Times New Roman" w:hAnsi="Times New Roman" w:eastAsia="宋体" w:cs="Times New Roman"/>
          <w:i w:val="0"/>
          <w:iCs w:val="0"/>
          <w:caps w:val="0"/>
          <w:color w:val="auto"/>
          <w:spacing w:val="0"/>
          <w:kern w:val="2"/>
          <w:sz w:val="24"/>
          <w:szCs w:val="24"/>
          <w:highlight w:val="none"/>
          <w:shd w:val="clear"/>
          <w:lang w:val="en-US" w:eastAsia="zh-CN" w:bidi="ar"/>
        </w:rPr>
        <w:t>316L材质，</w:t>
      </w:r>
      <w:r>
        <w:rPr>
          <w:rFonts w:hint="default" w:ascii="Times New Roman" w:hAnsi="Times New Roman" w:eastAsia="宋体" w:cs="Times New Roman"/>
          <w:i w:val="0"/>
          <w:iCs w:val="0"/>
          <w:caps w:val="0"/>
          <w:color w:val="auto"/>
          <w:spacing w:val="0"/>
          <w:kern w:val="2"/>
          <w:sz w:val="24"/>
          <w:szCs w:val="24"/>
          <w:highlight w:val="none"/>
          <w:shd w:val="clear"/>
          <w:lang w:bidi="ar"/>
        </w:rPr>
        <w:t>保证传动稳定性。</w:t>
      </w:r>
      <w:r>
        <w:rPr>
          <w:rFonts w:hint="default" w:ascii="Times New Roman" w:hAnsi="Times New Roman" w:eastAsia="宋体" w:cs="Times New Roman"/>
          <w:i w:val="0"/>
          <w:iCs w:val="0"/>
          <w:caps w:val="0"/>
          <w:color w:val="auto"/>
          <w:spacing w:val="0"/>
          <w:kern w:val="2"/>
          <w:sz w:val="24"/>
          <w:szCs w:val="24"/>
          <w:highlight w:val="none"/>
          <w:shd w:val="clear"/>
          <w:lang w:val="en-US" w:eastAsia="zh-CN" w:bidi="ar"/>
        </w:rPr>
        <w:t>管路系统</w:t>
      </w:r>
      <w:r>
        <w:rPr>
          <w:rFonts w:hint="default" w:ascii="Times New Roman" w:hAnsi="Times New Roman" w:eastAsia="宋体" w:cs="Times New Roman"/>
          <w:i w:val="0"/>
          <w:iCs w:val="0"/>
          <w:caps w:val="0"/>
          <w:color w:val="auto"/>
          <w:spacing w:val="0"/>
          <w:kern w:val="2"/>
          <w:sz w:val="24"/>
          <w:szCs w:val="24"/>
          <w:highlight w:val="none"/>
          <w:shd w:val="clear"/>
          <w:lang w:bidi="ar"/>
        </w:rPr>
        <w:t>耐氯离子腐蚀（氯离子浓度≤</w:t>
      </w:r>
      <w:r>
        <w:rPr>
          <w:rFonts w:hint="default" w:ascii="Times New Roman" w:hAnsi="Times New Roman" w:eastAsia="宋体" w:cs="Times New Roman"/>
          <w:i w:val="0"/>
          <w:iCs w:val="0"/>
          <w:caps w:val="0"/>
          <w:color w:val="auto"/>
          <w:spacing w:val="0"/>
          <w:kern w:val="2"/>
          <w:sz w:val="24"/>
          <w:szCs w:val="24"/>
          <w:highlight w:val="none"/>
          <w:shd w:val="clear"/>
          <w:lang w:val="en-US" w:eastAsia="zh-CN" w:bidi="ar"/>
        </w:rPr>
        <w:t>4</w:t>
      </w:r>
      <w:r>
        <w:rPr>
          <w:rFonts w:hint="default" w:ascii="Times New Roman" w:hAnsi="Times New Roman" w:eastAsia="宋体" w:cs="Times New Roman"/>
          <w:i w:val="0"/>
          <w:iCs w:val="0"/>
          <w:caps w:val="0"/>
          <w:color w:val="auto"/>
          <w:spacing w:val="0"/>
          <w:kern w:val="2"/>
          <w:sz w:val="24"/>
          <w:szCs w:val="24"/>
          <w:highlight w:val="none"/>
          <w:shd w:val="clear"/>
          <w:lang w:bidi="ar"/>
        </w:rPr>
        <w:t>000</w:t>
      </w:r>
      <w:r>
        <w:rPr>
          <w:rFonts w:hint="default" w:ascii="Times New Roman" w:hAnsi="Times New Roman" w:eastAsia="宋体" w:cs="Times New Roman"/>
          <w:i w:val="0"/>
          <w:iCs w:val="0"/>
          <w:caps w:val="0"/>
          <w:color w:val="auto"/>
          <w:spacing w:val="0"/>
          <w:kern w:val="2"/>
          <w:sz w:val="24"/>
          <w:szCs w:val="24"/>
          <w:highlight w:val="none"/>
          <w:shd w:val="clear"/>
          <w:lang w:val="en-US" w:eastAsia="zh-CN" w:bidi="ar"/>
        </w:rPr>
        <w:t>0</w:t>
      </w:r>
      <w:r>
        <w:rPr>
          <w:rFonts w:hint="default" w:ascii="Times New Roman" w:hAnsi="Times New Roman" w:eastAsia="宋体" w:cs="Times New Roman"/>
          <w:i w:val="0"/>
          <w:iCs w:val="0"/>
          <w:caps w:val="0"/>
          <w:color w:val="auto"/>
          <w:spacing w:val="0"/>
          <w:kern w:val="2"/>
          <w:sz w:val="24"/>
          <w:szCs w:val="24"/>
          <w:highlight w:val="none"/>
          <w:shd w:val="clear"/>
          <w:lang w:bidi="ar"/>
        </w:rPr>
        <w:t>mg/L时无明显腐蚀）</w:t>
      </w:r>
      <w:r>
        <w:rPr>
          <w:rFonts w:hint="default" w:ascii="Times New Roman" w:hAnsi="Times New Roman" w:eastAsia="宋体" w:cs="Times New Roman"/>
          <w:i w:val="0"/>
          <w:iCs w:val="0"/>
          <w:caps w:val="0"/>
          <w:color w:val="auto"/>
          <w:spacing w:val="0"/>
          <w:kern w:val="2"/>
          <w:sz w:val="24"/>
          <w:szCs w:val="24"/>
          <w:highlight w:val="none"/>
          <w:shd w:val="clear"/>
          <w:lang w:eastAsia="zh-CN" w:bidi="ar"/>
        </w:rPr>
        <w:t>。</w:t>
      </w:r>
      <w:r>
        <w:rPr>
          <w:rFonts w:hint="default" w:ascii="Times New Roman" w:hAnsi="Times New Roman" w:eastAsia="宋体" w:cs="Times New Roman"/>
          <w:i w:val="0"/>
          <w:iCs w:val="0"/>
          <w:caps w:val="0"/>
          <w:color w:val="auto"/>
          <w:spacing w:val="0"/>
          <w:kern w:val="2"/>
          <w:sz w:val="24"/>
          <w:szCs w:val="24"/>
          <w:highlight w:val="none"/>
          <w:shd w:val="clear"/>
          <w:lang w:bidi="ar"/>
        </w:rPr>
        <w:t>滤板密封面采用耐酸弹性橡胶垫（材质为丁腈橡胶或氟橡胶），在0.8MPa压力下无渗漏</w:t>
      </w:r>
      <w:r>
        <w:rPr>
          <w:rFonts w:hint="default" w:ascii="Times New Roman" w:hAnsi="Times New Roman" w:eastAsia="宋体" w:cs="Times New Roman"/>
          <w:i w:val="0"/>
          <w:iCs w:val="0"/>
          <w:caps w:val="0"/>
          <w:color w:val="auto"/>
          <w:spacing w:val="0"/>
          <w:kern w:val="2"/>
          <w:sz w:val="24"/>
          <w:szCs w:val="24"/>
          <w:highlight w:val="none"/>
          <w:shd w:val="clear"/>
          <w:lang w:eastAsia="zh-CN" w:bidi="ar"/>
        </w:rPr>
        <w:t>。</w:t>
      </w:r>
      <w:r>
        <w:rPr>
          <w:rFonts w:hint="default" w:ascii="Times New Roman" w:hAnsi="Times New Roman" w:eastAsia="宋体" w:cs="Times New Roman"/>
          <w:i w:val="0"/>
          <w:iCs w:val="0"/>
          <w:caps w:val="0"/>
          <w:color w:val="auto"/>
          <w:spacing w:val="0"/>
          <w:kern w:val="2"/>
          <w:sz w:val="24"/>
          <w:szCs w:val="24"/>
          <w:highlight w:val="none"/>
          <w:shd w:val="clear"/>
          <w:lang w:bidi="ar"/>
        </w:rPr>
        <w:t>配备高压水冲洗装置，冲洗覆盖率100%，可在线清洗滤布，清除残留石膏颗粒，恢复过滤通量</w:t>
      </w:r>
      <w:r>
        <w:rPr>
          <w:rFonts w:hint="default" w:ascii="Times New Roman" w:hAnsi="Times New Roman" w:eastAsia="宋体" w:cs="Times New Roman"/>
          <w:i w:val="0"/>
          <w:iCs w:val="0"/>
          <w:caps w:val="0"/>
          <w:color w:val="auto"/>
          <w:spacing w:val="0"/>
          <w:kern w:val="2"/>
          <w:sz w:val="24"/>
          <w:szCs w:val="24"/>
          <w:highlight w:val="none"/>
          <w:shd w:val="clear"/>
          <w:lang w:eastAsia="zh-CN" w:bidi="ar"/>
        </w:rPr>
        <w:t>。</w:t>
      </w:r>
      <w:r>
        <w:rPr>
          <w:rFonts w:hint="default" w:ascii="Times New Roman" w:hAnsi="Times New Roman" w:eastAsia="宋体" w:cs="Times New Roman"/>
          <w:i w:val="0"/>
          <w:iCs w:val="0"/>
          <w:caps w:val="0"/>
          <w:color w:val="auto"/>
          <w:spacing w:val="0"/>
          <w:kern w:val="2"/>
          <w:sz w:val="24"/>
          <w:szCs w:val="24"/>
          <w:highlight w:val="none"/>
          <w:shd w:val="clear"/>
          <w:lang w:bidi="ar"/>
        </w:rPr>
        <w:t>设置自动卸料，卸料效率≥95%，避免滤饼残留堵塞滤布</w:t>
      </w:r>
      <w:r>
        <w:rPr>
          <w:rFonts w:hint="default" w:ascii="Times New Roman" w:hAnsi="Times New Roman" w:eastAsia="宋体" w:cs="Times New Roman"/>
          <w:i w:val="0"/>
          <w:iCs w:val="0"/>
          <w:caps w:val="0"/>
          <w:color w:val="auto"/>
          <w:spacing w:val="0"/>
          <w:kern w:val="2"/>
          <w:sz w:val="24"/>
          <w:szCs w:val="24"/>
          <w:highlight w:val="none"/>
          <w:shd w:val="clear"/>
          <w:lang w:eastAsia="zh-CN" w:bidi="ar"/>
        </w:rPr>
        <w:t>。</w:t>
      </w:r>
      <w:r>
        <w:rPr>
          <w:rFonts w:hint="default" w:ascii="Times New Roman" w:hAnsi="Times New Roman" w:eastAsia="宋体" w:cs="Times New Roman"/>
          <w:i w:val="0"/>
          <w:iCs w:val="0"/>
          <w:caps w:val="0"/>
          <w:color w:val="auto"/>
          <w:spacing w:val="0"/>
          <w:kern w:val="2"/>
          <w:sz w:val="24"/>
          <w:szCs w:val="24"/>
          <w:highlight w:val="none"/>
          <w:shd w:val="clear"/>
          <w:lang w:bidi="ar"/>
        </w:rPr>
        <w:t>支持“自动进料-加压过滤-保压-泄压-自动拉板-滤饼卸料-滤布冲洗”全流程自动化，减少人工干预</w:t>
      </w:r>
      <w:r>
        <w:rPr>
          <w:rFonts w:hint="default" w:ascii="Times New Roman" w:hAnsi="Times New Roman" w:eastAsia="宋体" w:cs="Times New Roman"/>
          <w:i w:val="0"/>
          <w:iCs w:val="0"/>
          <w:caps w:val="0"/>
          <w:color w:val="auto"/>
          <w:spacing w:val="0"/>
          <w:kern w:val="2"/>
          <w:sz w:val="24"/>
          <w:szCs w:val="24"/>
          <w:highlight w:val="none"/>
          <w:shd w:val="clear"/>
          <w:lang w:eastAsia="zh-CN" w:bidi="ar"/>
        </w:rPr>
        <w:t>。</w:t>
      </w:r>
    </w:p>
    <w:p w14:paraId="038EC8EB">
      <w:pPr>
        <w:widowControl/>
        <w:spacing w:line="360" w:lineRule="auto"/>
        <w:ind w:firstLine="420" w:firstLineChars="175"/>
        <w:jc w:val="left"/>
        <w:rPr>
          <w:rFonts w:hint="default" w:eastAsia="宋体"/>
          <w:color w:val="auto"/>
          <w:sz w:val="24"/>
          <w:highlight w:val="none"/>
          <w:lang w:val="en-US" w:eastAsia="zh-CN" w:bidi="ar"/>
        </w:rPr>
      </w:pPr>
      <w:r>
        <w:rPr>
          <w:rFonts w:hint="default"/>
          <w:color w:val="auto"/>
          <w:sz w:val="24"/>
          <w:highlight w:val="none"/>
          <w:lang w:val="en-US" w:eastAsia="zh-CN" w:bidi="ar"/>
        </w:rPr>
        <w:t>板框压滤机系统与废水或泥接触的部位、设备平台均需防高氯防腐处理或选用2205及以上材质。</w:t>
      </w:r>
    </w:p>
    <w:p w14:paraId="700D7DCB">
      <w:pPr>
        <w:spacing w:line="360" w:lineRule="auto"/>
        <w:outlineLvl w:val="2"/>
        <w:rPr>
          <w:rFonts w:hint="eastAsia" w:ascii="宋体" w:hAnsi="宋体" w:cs="宋体"/>
          <w:color w:val="auto"/>
          <w:sz w:val="24"/>
          <w:highlight w:val="none"/>
        </w:rPr>
      </w:pPr>
      <w:r>
        <w:rPr>
          <w:rFonts w:hint="eastAsia" w:ascii="宋体" w:hAnsi="宋体" w:cs="宋体"/>
          <w:b/>
          <w:color w:val="auto"/>
          <w:sz w:val="24"/>
          <w:highlight w:val="none"/>
        </w:rPr>
        <w:t>2.9 厂用气和仪用压缩空气系统</w:t>
      </w:r>
    </w:p>
    <w:p w14:paraId="059BCD20">
      <w:pPr>
        <w:adjustRightInd w:val="0"/>
        <w:snapToGrid w:val="0"/>
        <w:spacing w:line="360" w:lineRule="auto"/>
        <w:ind w:firstLine="480" w:firstLineChars="200"/>
        <w:rPr>
          <w:rFonts w:hint="eastAsia" w:eastAsia="宋体"/>
          <w:color w:val="auto"/>
          <w:sz w:val="24"/>
          <w:highlight w:val="none"/>
          <w:lang w:val="en-US" w:eastAsia="zh-CN"/>
        </w:rPr>
      </w:pPr>
      <w:r>
        <w:rPr>
          <w:color w:val="auto"/>
          <w:sz w:val="24"/>
          <w:highlight w:val="none"/>
        </w:rPr>
        <w:t>脱硫岛厂用气和仪表用气</w:t>
      </w:r>
      <w:r>
        <w:rPr>
          <w:rFonts w:hint="eastAsia"/>
          <w:color w:val="auto"/>
          <w:sz w:val="24"/>
          <w:highlight w:val="none"/>
          <w:lang w:val="en-US" w:eastAsia="zh-CN"/>
        </w:rPr>
        <w:t>利用原有</w:t>
      </w:r>
      <w:r>
        <w:rPr>
          <w:color w:val="auto"/>
          <w:sz w:val="24"/>
          <w:highlight w:val="none"/>
        </w:rPr>
        <w:t>压缩空气系统供给。</w:t>
      </w:r>
      <w:r>
        <w:rPr>
          <w:rFonts w:hint="eastAsia"/>
          <w:color w:val="auto"/>
          <w:sz w:val="24"/>
          <w:highlight w:val="none"/>
          <w:lang w:val="en-US" w:eastAsia="zh-CN"/>
        </w:rPr>
        <w:t>新增一只1m</w:t>
      </w:r>
      <w:r>
        <w:rPr>
          <w:rFonts w:hint="eastAsia"/>
          <w:color w:val="auto"/>
          <w:sz w:val="24"/>
          <w:highlight w:val="none"/>
          <w:vertAlign w:val="superscript"/>
          <w:lang w:val="en-US" w:eastAsia="zh-CN"/>
        </w:rPr>
        <w:t>3</w:t>
      </w:r>
      <w:r>
        <w:rPr>
          <w:rFonts w:hint="eastAsia"/>
          <w:color w:val="auto"/>
          <w:sz w:val="24"/>
          <w:highlight w:val="none"/>
          <w:lang w:val="en-US" w:eastAsia="zh-CN"/>
        </w:rPr>
        <w:t>压缩空气储罐。</w:t>
      </w:r>
    </w:p>
    <w:p w14:paraId="5D8AECF1">
      <w:pPr>
        <w:adjustRightInd w:val="0"/>
        <w:snapToGrid w:val="0"/>
        <w:spacing w:line="360" w:lineRule="auto"/>
        <w:ind w:firstLine="480" w:firstLineChars="200"/>
        <w:rPr>
          <w:color w:val="auto"/>
          <w:sz w:val="24"/>
          <w:highlight w:val="none"/>
        </w:rPr>
      </w:pPr>
      <w:r>
        <w:rPr>
          <w:color w:val="auto"/>
          <w:sz w:val="24"/>
          <w:highlight w:val="none"/>
        </w:rPr>
        <w:t>输送管道、阀门及附件的技术要求符合章节2.10的要求。</w:t>
      </w:r>
    </w:p>
    <w:p w14:paraId="42F051CB">
      <w:pPr>
        <w:spacing w:line="360" w:lineRule="auto"/>
        <w:outlineLvl w:val="2"/>
        <w:rPr>
          <w:b/>
          <w:color w:val="auto"/>
          <w:sz w:val="24"/>
          <w:highlight w:val="none"/>
        </w:rPr>
      </w:pPr>
      <w:r>
        <w:rPr>
          <w:b/>
          <w:color w:val="auto"/>
          <w:sz w:val="24"/>
          <w:highlight w:val="none"/>
        </w:rPr>
        <w:t>2.10管道和阀门</w:t>
      </w:r>
    </w:p>
    <w:p w14:paraId="579E1210">
      <w:pPr>
        <w:adjustRightInd w:val="0"/>
        <w:snapToGrid w:val="0"/>
        <w:spacing w:line="360" w:lineRule="auto"/>
        <w:rPr>
          <w:color w:val="auto"/>
          <w:sz w:val="24"/>
          <w:highlight w:val="none"/>
        </w:rPr>
      </w:pPr>
      <w:r>
        <w:rPr>
          <w:color w:val="auto"/>
          <w:sz w:val="24"/>
          <w:highlight w:val="none"/>
        </w:rPr>
        <w:t>2.10.1管道</w:t>
      </w:r>
    </w:p>
    <w:p w14:paraId="6F023144">
      <w:pPr>
        <w:adjustRightInd w:val="0"/>
        <w:snapToGrid w:val="0"/>
        <w:spacing w:line="360" w:lineRule="auto"/>
        <w:rPr>
          <w:color w:val="auto"/>
          <w:sz w:val="24"/>
          <w:highlight w:val="none"/>
        </w:rPr>
      </w:pPr>
      <w:r>
        <w:rPr>
          <w:color w:val="auto"/>
          <w:sz w:val="24"/>
          <w:highlight w:val="none"/>
        </w:rPr>
        <w:t>2.10.1.1设计原则</w:t>
      </w:r>
    </w:p>
    <w:p w14:paraId="3BABD2E2">
      <w:pPr>
        <w:adjustRightInd w:val="0"/>
        <w:snapToGrid w:val="0"/>
        <w:spacing w:line="360" w:lineRule="auto"/>
        <w:ind w:firstLine="480" w:firstLineChars="200"/>
        <w:rPr>
          <w:color w:val="auto"/>
          <w:sz w:val="24"/>
          <w:highlight w:val="none"/>
        </w:rPr>
      </w:pPr>
      <w:r>
        <w:rPr>
          <w:color w:val="auto"/>
          <w:sz w:val="24"/>
          <w:highlight w:val="none"/>
        </w:rPr>
        <w:t>管道设计应符合中国电力行业标准的要求，或根据由</w:t>
      </w:r>
      <w:r>
        <w:rPr>
          <w:rFonts w:hint="eastAsia"/>
          <w:color w:val="auto"/>
          <w:sz w:val="24"/>
          <w:highlight w:val="none"/>
          <w:lang w:eastAsia="zh-CN"/>
        </w:rPr>
        <w:t>招标方</w:t>
      </w:r>
      <w:r>
        <w:rPr>
          <w:color w:val="auto"/>
          <w:sz w:val="24"/>
          <w:highlight w:val="none"/>
        </w:rPr>
        <w:t>认可的其他最新版本的标准进行设计, 包括所有管道、管件和管道支吊架。</w:t>
      </w:r>
    </w:p>
    <w:p w14:paraId="5912CFEB">
      <w:pPr>
        <w:adjustRightInd w:val="0"/>
        <w:snapToGrid w:val="0"/>
        <w:spacing w:line="360" w:lineRule="auto"/>
        <w:ind w:firstLine="480" w:firstLineChars="200"/>
        <w:rPr>
          <w:color w:val="auto"/>
          <w:sz w:val="24"/>
          <w:highlight w:val="none"/>
        </w:rPr>
      </w:pPr>
      <w:r>
        <w:rPr>
          <w:color w:val="auto"/>
          <w:sz w:val="24"/>
          <w:highlight w:val="none"/>
        </w:rPr>
        <w:t>管道设计时应充分考虑工作介质对管道系统的腐蚀与磨损，应借鉴以前应用于类似装置上的成功经验，选用恰当的管材(如碳钢管、衬胶钢管、</w:t>
      </w:r>
      <w:r>
        <w:rPr>
          <w:rFonts w:hint="eastAsia"/>
          <w:color w:val="auto"/>
          <w:sz w:val="24"/>
          <w:highlight w:val="none"/>
        </w:rPr>
        <w:t>衬陶瓷钢管、</w:t>
      </w:r>
      <w:r>
        <w:rPr>
          <w:color w:val="auto"/>
          <w:sz w:val="24"/>
          <w:highlight w:val="none"/>
        </w:rPr>
        <w:t>不锈钢钢管、合金钢钢管和玻璃钢管道等)、阀门和附件，并且征得</w:t>
      </w:r>
      <w:r>
        <w:rPr>
          <w:rFonts w:hint="eastAsia"/>
          <w:color w:val="auto"/>
          <w:sz w:val="24"/>
          <w:highlight w:val="none"/>
          <w:lang w:eastAsia="zh-CN"/>
        </w:rPr>
        <w:t>招标方</w:t>
      </w:r>
      <w:r>
        <w:rPr>
          <w:color w:val="auto"/>
          <w:sz w:val="24"/>
          <w:highlight w:val="none"/>
        </w:rPr>
        <w:t>的同意。</w:t>
      </w:r>
    </w:p>
    <w:p w14:paraId="6813FAD6">
      <w:pPr>
        <w:adjustRightInd w:val="0"/>
        <w:snapToGrid w:val="0"/>
        <w:spacing w:line="360" w:lineRule="auto"/>
        <w:ind w:firstLine="480" w:firstLineChars="200"/>
        <w:rPr>
          <w:color w:val="auto"/>
          <w:sz w:val="24"/>
          <w:highlight w:val="none"/>
        </w:rPr>
      </w:pPr>
      <w:r>
        <w:rPr>
          <w:color w:val="auto"/>
          <w:sz w:val="24"/>
          <w:highlight w:val="none"/>
        </w:rPr>
        <w:t>管道系统应全面而合理布置冲洗水系统，及时冲洗停运的设备和管道，防止腐蚀结垢，对于泵的入口端、低点及实在无法避免的死角段，应设置排放，并对于无压、自流管和排放管道还要采取足够的布置坡度，防止沉积发生。阀门尽量布置在高位，止回阀前应设置排放，蝶阀安装时，应使阀板的轴处于水平位置，并开5度安装，孔板及调节阀前后冲刷较大处的管件采用合金耐磨材料。</w:t>
      </w:r>
    </w:p>
    <w:p w14:paraId="69846342">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应按设计标准，合理确定各管道系统的设计参数(如压力温度、流量、流速)等。</w:t>
      </w:r>
    </w:p>
    <w:p w14:paraId="22CBFE6D">
      <w:pPr>
        <w:adjustRightInd w:val="0"/>
        <w:snapToGrid w:val="0"/>
        <w:spacing w:line="360" w:lineRule="auto"/>
        <w:ind w:firstLine="480" w:firstLineChars="200"/>
        <w:rPr>
          <w:color w:val="auto"/>
          <w:sz w:val="24"/>
          <w:highlight w:val="none"/>
        </w:rPr>
      </w:pPr>
      <w:r>
        <w:rPr>
          <w:color w:val="auto"/>
          <w:sz w:val="24"/>
          <w:highlight w:val="none"/>
        </w:rPr>
        <w:t>介质流速的选择既要考虑避免浆液沉淀，同时又要考虑管道的磨损和压力损失尽可能小。</w:t>
      </w:r>
    </w:p>
    <w:p w14:paraId="648F23E3">
      <w:pPr>
        <w:adjustRightInd w:val="0"/>
        <w:snapToGrid w:val="0"/>
        <w:spacing w:line="360" w:lineRule="auto"/>
        <w:ind w:firstLine="480" w:firstLineChars="200"/>
        <w:rPr>
          <w:color w:val="auto"/>
          <w:sz w:val="24"/>
          <w:highlight w:val="none"/>
        </w:rPr>
      </w:pPr>
      <w:r>
        <w:rPr>
          <w:color w:val="auto"/>
          <w:sz w:val="24"/>
          <w:highlight w:val="none"/>
        </w:rPr>
        <w:t>管道及附件的布置设计必须满足脱硫装置施工及运行维护的要求, 并应避免与其它设施发生碰撞。</w:t>
      </w:r>
    </w:p>
    <w:p w14:paraId="14AF03F2">
      <w:pPr>
        <w:adjustRightInd w:val="0"/>
        <w:snapToGrid w:val="0"/>
        <w:spacing w:line="360" w:lineRule="auto"/>
        <w:ind w:firstLine="480" w:firstLineChars="200"/>
        <w:rPr>
          <w:color w:val="auto"/>
          <w:sz w:val="24"/>
          <w:highlight w:val="none"/>
        </w:rPr>
      </w:pPr>
      <w:r>
        <w:rPr>
          <w:color w:val="auto"/>
          <w:sz w:val="24"/>
          <w:highlight w:val="none"/>
        </w:rPr>
        <w:t>管道的保温设计按符合章节2.17中的要求。</w:t>
      </w:r>
    </w:p>
    <w:p w14:paraId="54A6C4B0">
      <w:pPr>
        <w:adjustRightInd w:val="0"/>
        <w:snapToGrid w:val="0"/>
        <w:spacing w:line="360" w:lineRule="auto"/>
        <w:ind w:right="57"/>
        <w:rPr>
          <w:color w:val="auto"/>
          <w:sz w:val="24"/>
          <w:highlight w:val="none"/>
        </w:rPr>
      </w:pPr>
      <w:r>
        <w:rPr>
          <w:color w:val="auto"/>
          <w:sz w:val="24"/>
          <w:highlight w:val="none"/>
        </w:rPr>
        <w:t>2.10.1.2 技术要求</w:t>
      </w:r>
    </w:p>
    <w:p w14:paraId="0588AB78">
      <w:pPr>
        <w:adjustRightInd w:val="0"/>
        <w:snapToGrid w:val="0"/>
        <w:spacing w:line="360" w:lineRule="auto"/>
        <w:ind w:firstLine="480" w:firstLineChars="200"/>
        <w:rPr>
          <w:color w:val="auto"/>
          <w:sz w:val="24"/>
          <w:highlight w:val="none"/>
        </w:rPr>
      </w:pPr>
      <w:r>
        <w:rPr>
          <w:color w:val="auto"/>
          <w:sz w:val="24"/>
          <w:highlight w:val="none"/>
        </w:rPr>
        <w:t>（1）概述</w:t>
      </w:r>
    </w:p>
    <w:p w14:paraId="2F121050">
      <w:pPr>
        <w:adjustRightInd w:val="0"/>
        <w:snapToGrid w:val="0"/>
        <w:spacing w:line="360" w:lineRule="auto"/>
        <w:ind w:firstLine="480" w:firstLineChars="200"/>
        <w:rPr>
          <w:color w:val="auto"/>
          <w:sz w:val="24"/>
          <w:highlight w:val="none"/>
        </w:rPr>
      </w:pPr>
      <w:r>
        <w:rPr>
          <w:color w:val="auto"/>
          <w:sz w:val="24"/>
          <w:highlight w:val="none"/>
        </w:rPr>
        <w:t>管道系统的布置设计(包括合理设置各种支吊架)应能承受各种荷载和应力。</w:t>
      </w:r>
    </w:p>
    <w:p w14:paraId="0908CFE8">
      <w:pPr>
        <w:adjustRightInd w:val="0"/>
        <w:snapToGrid w:val="0"/>
        <w:spacing w:line="360" w:lineRule="auto"/>
        <w:ind w:firstLine="480" w:firstLineChars="200"/>
        <w:rPr>
          <w:color w:val="auto"/>
          <w:sz w:val="24"/>
          <w:highlight w:val="none"/>
        </w:rPr>
      </w:pPr>
      <w:r>
        <w:rPr>
          <w:color w:val="auto"/>
          <w:sz w:val="24"/>
          <w:highlight w:val="none"/>
        </w:rPr>
        <w:t>管道系统应合理设计排气和排水等措施。</w:t>
      </w:r>
    </w:p>
    <w:p w14:paraId="08240D68">
      <w:pPr>
        <w:adjustRightInd w:val="0"/>
        <w:snapToGrid w:val="0"/>
        <w:spacing w:line="360" w:lineRule="auto"/>
        <w:ind w:firstLine="480" w:firstLineChars="200"/>
        <w:rPr>
          <w:color w:val="auto"/>
          <w:sz w:val="24"/>
          <w:highlight w:val="none"/>
        </w:rPr>
      </w:pPr>
      <w:r>
        <w:rPr>
          <w:color w:val="auto"/>
          <w:sz w:val="24"/>
          <w:highlight w:val="none"/>
        </w:rPr>
        <w:t>无内衬管道用焊接连接, 内衬管道用法兰连接。</w:t>
      </w:r>
    </w:p>
    <w:p w14:paraId="2C24CEE0">
      <w:pPr>
        <w:adjustRightInd w:val="0"/>
        <w:snapToGrid w:val="0"/>
        <w:spacing w:line="360" w:lineRule="auto"/>
        <w:ind w:firstLine="480" w:firstLineChars="200"/>
        <w:rPr>
          <w:color w:val="auto"/>
          <w:sz w:val="24"/>
          <w:highlight w:val="none"/>
        </w:rPr>
      </w:pPr>
      <w:r>
        <w:rPr>
          <w:color w:val="auto"/>
          <w:sz w:val="24"/>
          <w:highlight w:val="none"/>
        </w:rPr>
        <w:t>以下给出了用于不同介质的管道材料，作为供设计选择的最低要求。选择的管材最终应经</w:t>
      </w:r>
      <w:r>
        <w:rPr>
          <w:rFonts w:hint="eastAsia"/>
          <w:color w:val="auto"/>
          <w:sz w:val="24"/>
          <w:highlight w:val="none"/>
          <w:lang w:eastAsia="zh-CN"/>
        </w:rPr>
        <w:t>招标方</w:t>
      </w:r>
      <w:r>
        <w:rPr>
          <w:color w:val="auto"/>
          <w:sz w:val="24"/>
          <w:highlight w:val="none"/>
        </w:rPr>
        <w:t>确认：</w:t>
      </w:r>
    </w:p>
    <w:p w14:paraId="4C5FA1F9">
      <w:pPr>
        <w:numPr>
          <w:ilvl w:val="0"/>
          <w:numId w:val="13"/>
        </w:numPr>
        <w:adjustRightInd w:val="0"/>
        <w:snapToGrid w:val="0"/>
        <w:spacing w:line="360" w:lineRule="auto"/>
        <w:rPr>
          <w:color w:val="auto"/>
          <w:sz w:val="24"/>
          <w:highlight w:val="none"/>
        </w:rPr>
      </w:pPr>
      <w:r>
        <w:rPr>
          <w:color w:val="auto"/>
          <w:sz w:val="24"/>
          <w:highlight w:val="none"/>
        </w:rPr>
        <w:t>浆液和含氯液体:</w:t>
      </w:r>
      <w:r>
        <w:rPr>
          <w:rFonts w:hint="eastAsia"/>
          <w:color w:val="auto"/>
          <w:sz w:val="24"/>
          <w:highlight w:val="none"/>
        </w:rPr>
        <w:t xml:space="preserve"> 衬</w:t>
      </w:r>
      <w:r>
        <w:rPr>
          <w:rFonts w:hint="eastAsia"/>
          <w:color w:val="auto"/>
          <w:sz w:val="24"/>
          <w:highlight w:val="none"/>
          <w:lang w:val="en-US" w:eastAsia="zh-CN"/>
        </w:rPr>
        <w:t>塑或</w:t>
      </w:r>
      <w:r>
        <w:rPr>
          <w:color w:val="auto"/>
          <w:sz w:val="24"/>
          <w:highlight w:val="none"/>
        </w:rPr>
        <w:t>FRP</w:t>
      </w:r>
      <w:r>
        <w:rPr>
          <w:rFonts w:hint="eastAsia"/>
          <w:color w:val="auto"/>
          <w:sz w:val="24"/>
          <w:highlight w:val="none"/>
        </w:rPr>
        <w:t>；</w:t>
      </w:r>
    </w:p>
    <w:p w14:paraId="46F9DA22">
      <w:pPr>
        <w:numPr>
          <w:ilvl w:val="0"/>
          <w:numId w:val="13"/>
        </w:numPr>
        <w:adjustRightInd w:val="0"/>
        <w:snapToGrid w:val="0"/>
        <w:spacing w:line="360" w:lineRule="auto"/>
        <w:rPr>
          <w:color w:val="auto"/>
          <w:sz w:val="24"/>
          <w:highlight w:val="none"/>
        </w:rPr>
      </w:pPr>
      <w:r>
        <w:rPr>
          <w:color w:val="auto"/>
          <w:sz w:val="24"/>
          <w:highlight w:val="none"/>
        </w:rPr>
        <w:t>吸收塔循环管</w:t>
      </w:r>
      <w:r>
        <w:rPr>
          <w:rFonts w:hint="eastAsia"/>
          <w:color w:val="auto"/>
          <w:sz w:val="24"/>
          <w:highlight w:val="none"/>
        </w:rPr>
        <w:t>：衬</w:t>
      </w:r>
      <w:r>
        <w:rPr>
          <w:rFonts w:hint="eastAsia"/>
          <w:color w:val="auto"/>
          <w:sz w:val="24"/>
          <w:highlight w:val="none"/>
          <w:lang w:val="en-US" w:eastAsia="zh-CN"/>
        </w:rPr>
        <w:t>胶</w:t>
      </w:r>
      <w:r>
        <w:rPr>
          <w:rFonts w:hint="eastAsia"/>
          <w:color w:val="auto"/>
          <w:sz w:val="24"/>
          <w:highlight w:val="none"/>
        </w:rPr>
        <w:t>钢管</w:t>
      </w:r>
      <w:r>
        <w:rPr>
          <w:color w:val="auto"/>
          <w:sz w:val="24"/>
          <w:highlight w:val="none"/>
        </w:rPr>
        <w:t>，塔内FRP</w:t>
      </w:r>
      <w:r>
        <w:rPr>
          <w:rFonts w:hint="eastAsia"/>
          <w:color w:val="auto"/>
          <w:sz w:val="24"/>
          <w:highlight w:val="none"/>
        </w:rPr>
        <w:t>；</w:t>
      </w:r>
    </w:p>
    <w:p w14:paraId="13E17AD9">
      <w:pPr>
        <w:numPr>
          <w:ilvl w:val="0"/>
          <w:numId w:val="13"/>
        </w:numPr>
        <w:adjustRightInd w:val="0"/>
        <w:snapToGrid w:val="0"/>
        <w:spacing w:line="360" w:lineRule="auto"/>
        <w:rPr>
          <w:color w:val="auto"/>
          <w:sz w:val="24"/>
          <w:highlight w:val="none"/>
        </w:rPr>
      </w:pPr>
      <w:r>
        <w:rPr>
          <w:color w:val="auto"/>
          <w:sz w:val="24"/>
          <w:highlight w:val="none"/>
        </w:rPr>
        <w:t>工艺水管</w:t>
      </w:r>
      <w:r>
        <w:rPr>
          <w:rFonts w:hint="eastAsia"/>
          <w:color w:val="auto"/>
          <w:sz w:val="24"/>
          <w:highlight w:val="none"/>
          <w:lang w:eastAsia="zh-CN"/>
        </w:rPr>
        <w:t>、</w:t>
      </w:r>
      <w:r>
        <w:rPr>
          <w:color w:val="auto"/>
          <w:sz w:val="24"/>
          <w:highlight w:val="none"/>
        </w:rPr>
        <w:t>除</w:t>
      </w:r>
      <w:r>
        <w:rPr>
          <w:rFonts w:hint="eastAsia"/>
          <w:color w:val="auto"/>
          <w:sz w:val="24"/>
          <w:highlight w:val="none"/>
          <w:lang w:val="en-US" w:eastAsia="zh-CN"/>
        </w:rPr>
        <w:t>雾器</w:t>
      </w:r>
      <w:r>
        <w:rPr>
          <w:color w:val="auto"/>
          <w:sz w:val="24"/>
          <w:highlight w:val="none"/>
        </w:rPr>
        <w:t>冲洗</w:t>
      </w:r>
      <w:r>
        <w:rPr>
          <w:rFonts w:hint="eastAsia"/>
          <w:color w:val="auto"/>
          <w:sz w:val="24"/>
          <w:highlight w:val="none"/>
        </w:rPr>
        <w:t>水；</w:t>
      </w:r>
      <w:r>
        <w:rPr>
          <w:rFonts w:hint="eastAsia"/>
          <w:color w:val="auto"/>
          <w:sz w:val="24"/>
          <w:highlight w:val="none"/>
          <w:lang w:val="en-US" w:eastAsia="zh-CN"/>
        </w:rPr>
        <w:t>阀前碳钢，阀后碳钢</w:t>
      </w:r>
      <w:r>
        <w:rPr>
          <w:rFonts w:hint="eastAsia"/>
          <w:color w:val="auto"/>
          <w:sz w:val="24"/>
          <w:highlight w:val="none"/>
        </w:rPr>
        <w:t>衬</w:t>
      </w:r>
      <w:r>
        <w:rPr>
          <w:rFonts w:hint="eastAsia"/>
          <w:color w:val="auto"/>
          <w:sz w:val="24"/>
          <w:highlight w:val="none"/>
          <w:lang w:val="en-US" w:eastAsia="zh-CN"/>
        </w:rPr>
        <w:t>胶</w:t>
      </w:r>
      <w:r>
        <w:rPr>
          <w:color w:val="auto"/>
          <w:sz w:val="24"/>
          <w:highlight w:val="none"/>
        </w:rPr>
        <w:t>；</w:t>
      </w:r>
    </w:p>
    <w:p w14:paraId="598B7442">
      <w:pPr>
        <w:numPr>
          <w:ilvl w:val="0"/>
          <w:numId w:val="13"/>
        </w:numPr>
        <w:adjustRightInd w:val="0"/>
        <w:snapToGrid w:val="0"/>
        <w:spacing w:line="360" w:lineRule="auto"/>
        <w:rPr>
          <w:color w:val="auto"/>
          <w:sz w:val="24"/>
          <w:highlight w:val="none"/>
        </w:rPr>
      </w:pPr>
      <w:r>
        <w:rPr>
          <w:color w:val="auto"/>
          <w:sz w:val="24"/>
          <w:highlight w:val="none"/>
        </w:rPr>
        <w:t>氧化空气管：</w:t>
      </w:r>
      <w:r>
        <w:rPr>
          <w:rStyle w:val="54"/>
          <w:rFonts w:ascii="Times New Roman" w:hAnsi="Times New Roman" w:eastAsia="宋体" w:cs="Times New Roman"/>
          <w:color w:val="auto"/>
          <w:sz w:val="24"/>
          <w:highlight w:val="none"/>
        </w:rPr>
        <w:t>风机出口至氧化空气增湿处碳钢；</w:t>
      </w:r>
      <w:r>
        <w:rPr>
          <w:rStyle w:val="54"/>
          <w:rFonts w:hint="eastAsia" w:ascii="Times New Roman" w:hAnsi="Times New Roman" w:eastAsia="宋体" w:cs="Times New Roman"/>
          <w:color w:val="auto"/>
          <w:sz w:val="24"/>
          <w:highlight w:val="none"/>
        </w:rPr>
        <w:t>氧化空气管（增湿后）</w:t>
      </w:r>
      <w:r>
        <w:rPr>
          <w:rStyle w:val="54"/>
          <w:rFonts w:hint="eastAsia" w:cs="Times New Roman"/>
          <w:color w:val="auto"/>
          <w:sz w:val="24"/>
          <w:highlight w:val="none"/>
          <w:lang w:val="en-US" w:eastAsia="zh-CN"/>
        </w:rPr>
        <w:t>1.4529</w:t>
      </w:r>
      <w:r>
        <w:rPr>
          <w:rStyle w:val="54"/>
          <w:rFonts w:hint="eastAsia" w:ascii="Times New Roman" w:hAnsi="Times New Roman" w:eastAsia="宋体" w:cs="Times New Roman"/>
          <w:color w:val="auto"/>
          <w:sz w:val="24"/>
          <w:highlight w:val="none"/>
          <w:lang w:val="en-US" w:eastAsia="zh-CN"/>
        </w:rPr>
        <w:t>材质</w:t>
      </w:r>
      <w:r>
        <w:rPr>
          <w:rStyle w:val="54"/>
          <w:rFonts w:ascii="Times New Roman" w:hAnsi="Times New Roman" w:eastAsia="宋体" w:cs="Times New Roman"/>
          <w:color w:val="auto"/>
          <w:sz w:val="24"/>
          <w:highlight w:val="none"/>
        </w:rPr>
        <w:t>；</w:t>
      </w:r>
    </w:p>
    <w:p w14:paraId="1832CE01">
      <w:pPr>
        <w:pStyle w:val="176"/>
        <w:ind w:left="0" w:firstLine="0" w:firstLineChars="0"/>
        <w:rPr>
          <w:color w:val="auto"/>
          <w:sz w:val="24"/>
          <w:highlight w:val="none"/>
        </w:rPr>
      </w:pPr>
    </w:p>
    <w:p w14:paraId="72BA1D02">
      <w:pPr>
        <w:numPr>
          <w:ilvl w:val="0"/>
          <w:numId w:val="13"/>
        </w:numPr>
        <w:adjustRightInd w:val="0"/>
        <w:snapToGrid w:val="0"/>
        <w:spacing w:line="360" w:lineRule="auto"/>
        <w:rPr>
          <w:color w:val="auto"/>
          <w:sz w:val="24"/>
          <w:highlight w:val="none"/>
        </w:rPr>
      </w:pPr>
      <w:r>
        <w:rPr>
          <w:color w:val="auto"/>
          <w:sz w:val="24"/>
          <w:highlight w:val="none"/>
        </w:rPr>
        <w:t xml:space="preserve">冷却水: </w:t>
      </w:r>
      <w:r>
        <w:rPr>
          <w:rFonts w:hint="eastAsia"/>
          <w:color w:val="auto"/>
          <w:sz w:val="24"/>
          <w:highlight w:val="none"/>
          <w:lang w:val="en-US" w:eastAsia="zh-CN"/>
        </w:rPr>
        <w:t>碳钢</w:t>
      </w:r>
    </w:p>
    <w:p w14:paraId="617E309B">
      <w:pPr>
        <w:numPr>
          <w:ilvl w:val="0"/>
          <w:numId w:val="13"/>
        </w:numPr>
        <w:adjustRightInd w:val="0"/>
        <w:snapToGrid w:val="0"/>
        <w:spacing w:line="360" w:lineRule="auto"/>
        <w:rPr>
          <w:color w:val="auto"/>
          <w:sz w:val="24"/>
          <w:highlight w:val="none"/>
        </w:rPr>
      </w:pPr>
      <w:r>
        <w:rPr>
          <w:color w:val="auto"/>
          <w:sz w:val="24"/>
          <w:highlight w:val="none"/>
        </w:rPr>
        <w:t xml:space="preserve">杂用空气: </w:t>
      </w:r>
      <w:r>
        <w:rPr>
          <w:rStyle w:val="54"/>
          <w:rFonts w:ascii="Times New Roman" w:hAnsi="Times New Roman" w:eastAsia="宋体" w:cs="Times New Roman"/>
          <w:color w:val="auto"/>
          <w:sz w:val="24"/>
          <w:highlight w:val="none"/>
        </w:rPr>
        <w:t>碳钢</w:t>
      </w:r>
    </w:p>
    <w:p w14:paraId="5C5110E2">
      <w:pPr>
        <w:numPr>
          <w:ilvl w:val="0"/>
          <w:numId w:val="13"/>
        </w:numPr>
        <w:adjustRightInd w:val="0"/>
        <w:snapToGrid w:val="0"/>
        <w:spacing w:line="360" w:lineRule="auto"/>
        <w:rPr>
          <w:color w:val="auto"/>
          <w:sz w:val="24"/>
          <w:highlight w:val="none"/>
        </w:rPr>
      </w:pPr>
      <w:r>
        <w:rPr>
          <w:color w:val="auto"/>
          <w:sz w:val="24"/>
          <w:highlight w:val="none"/>
        </w:rPr>
        <w:t>仪用空气</w:t>
      </w:r>
      <w:r>
        <w:rPr>
          <w:rFonts w:hint="eastAsia"/>
          <w:color w:val="auto"/>
          <w:sz w:val="24"/>
          <w:highlight w:val="none"/>
          <w:lang w:eastAsia="zh-CN"/>
        </w:rPr>
        <w:t>：</w:t>
      </w:r>
      <w:r>
        <w:rPr>
          <w:rFonts w:hint="eastAsia"/>
          <w:color w:val="auto"/>
          <w:sz w:val="24"/>
          <w:highlight w:val="none"/>
          <w:lang w:val="en-US" w:eastAsia="zh-CN"/>
        </w:rPr>
        <w:t>304不锈钢</w:t>
      </w:r>
    </w:p>
    <w:p w14:paraId="62A9F5B4">
      <w:pPr>
        <w:adjustRightInd w:val="0"/>
        <w:snapToGrid w:val="0"/>
        <w:spacing w:line="360" w:lineRule="auto"/>
        <w:ind w:firstLine="480" w:firstLineChars="200"/>
        <w:rPr>
          <w:color w:val="auto"/>
          <w:sz w:val="24"/>
          <w:highlight w:val="none"/>
        </w:rPr>
      </w:pPr>
      <w:r>
        <w:rPr>
          <w:color w:val="auto"/>
          <w:sz w:val="24"/>
          <w:highlight w:val="none"/>
        </w:rPr>
        <w:t>（2）浆液管道</w:t>
      </w:r>
    </w:p>
    <w:p w14:paraId="0EC2AB92">
      <w:pPr>
        <w:adjustRightInd w:val="0"/>
        <w:snapToGrid w:val="0"/>
        <w:spacing w:line="360" w:lineRule="auto"/>
        <w:ind w:firstLine="480" w:firstLineChars="200"/>
        <w:rPr>
          <w:color w:val="auto"/>
          <w:sz w:val="24"/>
          <w:highlight w:val="none"/>
        </w:rPr>
      </w:pPr>
      <w:r>
        <w:rPr>
          <w:color w:val="auto"/>
          <w:sz w:val="24"/>
          <w:highlight w:val="none"/>
        </w:rPr>
        <w:t>浆液管道应防止磨损和腐蚀，防止浆液沉淀的形成。</w:t>
      </w:r>
    </w:p>
    <w:p w14:paraId="494E49B0">
      <w:pPr>
        <w:adjustRightInd w:val="0"/>
        <w:snapToGrid w:val="0"/>
        <w:spacing w:line="360" w:lineRule="auto"/>
        <w:ind w:firstLine="480" w:firstLineChars="200"/>
        <w:rPr>
          <w:color w:val="auto"/>
          <w:sz w:val="24"/>
          <w:highlight w:val="none"/>
        </w:rPr>
      </w:pPr>
      <w:r>
        <w:rPr>
          <w:color w:val="auto"/>
          <w:sz w:val="24"/>
          <w:highlight w:val="none"/>
        </w:rPr>
        <w:t>浆液管应配备冲洗、排水和排气装置，排水用管道输送到排水坑或排水沟。在装置关闭和停运期间，对浆液管道系统的各个设施必须进行排水和冲洗，频繁启闭的浆液管应配备自动冲洗、排水和排气装置。输送浆液管道的布置应尽可能避免浆液在管道中沉淀。</w:t>
      </w:r>
    </w:p>
    <w:p w14:paraId="43FBF284">
      <w:pPr>
        <w:adjustRightInd w:val="0"/>
        <w:snapToGrid w:val="0"/>
        <w:spacing w:line="360" w:lineRule="auto"/>
        <w:ind w:firstLine="480" w:firstLineChars="200"/>
        <w:rPr>
          <w:color w:val="auto"/>
          <w:sz w:val="24"/>
          <w:highlight w:val="none"/>
        </w:rPr>
      </w:pPr>
      <w:r>
        <w:rPr>
          <w:color w:val="auto"/>
          <w:sz w:val="24"/>
          <w:highlight w:val="none"/>
        </w:rPr>
        <w:t>为了避免在漏时喷出，输送高浓度有害物质流体的管道（即石灰石浆、酸液、化学药品等）在法兰处配备透明的护环（保护罩）。</w:t>
      </w:r>
    </w:p>
    <w:p w14:paraId="01AE984C">
      <w:pPr>
        <w:adjustRightInd w:val="0"/>
        <w:snapToGrid w:val="0"/>
        <w:spacing w:line="360" w:lineRule="auto"/>
        <w:ind w:firstLine="480" w:firstLineChars="200"/>
        <w:rPr>
          <w:color w:val="auto"/>
          <w:sz w:val="24"/>
          <w:highlight w:val="none"/>
        </w:rPr>
      </w:pPr>
      <w:r>
        <w:rPr>
          <w:color w:val="auto"/>
          <w:sz w:val="24"/>
          <w:highlight w:val="none"/>
        </w:rPr>
        <w:t>（</w:t>
      </w:r>
      <w:r>
        <w:rPr>
          <w:rFonts w:hint="eastAsia"/>
          <w:color w:val="auto"/>
          <w:sz w:val="24"/>
          <w:highlight w:val="none"/>
        </w:rPr>
        <w:t>3</w:t>
      </w:r>
      <w:r>
        <w:rPr>
          <w:color w:val="auto"/>
          <w:sz w:val="24"/>
          <w:highlight w:val="none"/>
        </w:rPr>
        <w:t>）玻璃钢管道(FRP)</w:t>
      </w:r>
    </w:p>
    <w:p w14:paraId="4FBC16A5">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设计采用FRP管时应征求</w:t>
      </w:r>
      <w:r>
        <w:rPr>
          <w:rFonts w:hint="eastAsia"/>
          <w:color w:val="auto"/>
          <w:sz w:val="24"/>
          <w:highlight w:val="none"/>
          <w:lang w:eastAsia="zh-CN"/>
        </w:rPr>
        <w:t>招标方</w:t>
      </w:r>
      <w:r>
        <w:rPr>
          <w:color w:val="auto"/>
          <w:sz w:val="24"/>
          <w:highlight w:val="none"/>
        </w:rPr>
        <w:t>同意。</w:t>
      </w:r>
    </w:p>
    <w:p w14:paraId="5E40D2BE">
      <w:pPr>
        <w:adjustRightInd w:val="0"/>
        <w:snapToGrid w:val="0"/>
        <w:spacing w:line="360" w:lineRule="auto"/>
        <w:ind w:firstLine="480" w:firstLineChars="200"/>
        <w:rPr>
          <w:color w:val="auto"/>
          <w:sz w:val="24"/>
          <w:highlight w:val="none"/>
        </w:rPr>
      </w:pPr>
      <w:r>
        <w:rPr>
          <w:color w:val="auto"/>
          <w:sz w:val="24"/>
          <w:highlight w:val="none"/>
        </w:rPr>
        <w:t>吸收塔内部喷</w:t>
      </w:r>
      <w:r>
        <w:rPr>
          <w:rFonts w:hint="eastAsia"/>
          <w:color w:val="auto"/>
          <w:sz w:val="24"/>
          <w:highlight w:val="none"/>
          <w:lang w:val="en-US" w:eastAsia="zh-CN"/>
        </w:rPr>
        <w:t>淋</w:t>
      </w:r>
      <w:r>
        <w:rPr>
          <w:color w:val="auto"/>
          <w:sz w:val="24"/>
          <w:highlight w:val="none"/>
        </w:rPr>
        <w:t>系统的FRP管道和配件通过手工压层工艺制造，在管道和配件的内外表面至少有2.5mm厚的耐磨衬垫。在支管接头及改变方向处，其内表面至少应有2.5cm的弯曲半径。</w:t>
      </w:r>
    </w:p>
    <w:p w14:paraId="71E569F5">
      <w:pPr>
        <w:adjustRightInd w:val="0"/>
        <w:snapToGrid w:val="0"/>
        <w:spacing w:line="360" w:lineRule="auto"/>
        <w:ind w:firstLine="480" w:firstLineChars="200"/>
        <w:rPr>
          <w:color w:val="auto"/>
          <w:sz w:val="24"/>
          <w:highlight w:val="none"/>
        </w:rPr>
      </w:pPr>
      <w:r>
        <w:rPr>
          <w:color w:val="auto"/>
          <w:sz w:val="24"/>
          <w:highlight w:val="none"/>
        </w:rPr>
        <w:t>当安装FRP管道时，供货商应进行施工监督和技术指导。</w:t>
      </w:r>
    </w:p>
    <w:p w14:paraId="59987333">
      <w:pPr>
        <w:pStyle w:val="176"/>
        <w:adjustRightInd w:val="0"/>
        <w:snapToGrid w:val="0"/>
        <w:spacing w:line="360" w:lineRule="auto"/>
        <w:ind w:firstLine="480" w:firstLineChars="200"/>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w:t>
      </w:r>
      <w:r>
        <w:rPr>
          <w:rStyle w:val="54"/>
          <w:rFonts w:hint="eastAsia" w:cs="Times New Roman"/>
          <w:color w:val="auto"/>
          <w:sz w:val="24"/>
          <w:highlight w:val="none"/>
          <w:lang w:val="en-US" w:eastAsia="zh-CN"/>
        </w:rPr>
        <w:t>4</w:t>
      </w:r>
      <w:r>
        <w:rPr>
          <w:rStyle w:val="54"/>
          <w:rFonts w:ascii="Times New Roman" w:hAnsi="Times New Roman" w:eastAsia="宋体" w:cs="Times New Roman"/>
          <w:color w:val="auto"/>
          <w:sz w:val="24"/>
          <w:highlight w:val="none"/>
        </w:rPr>
        <w:t>）衬胶管道</w:t>
      </w:r>
    </w:p>
    <w:p w14:paraId="29BBDB97">
      <w:pPr>
        <w:pStyle w:val="176"/>
        <w:adjustRightInd w:val="0"/>
        <w:snapToGrid w:val="0"/>
        <w:spacing w:line="360" w:lineRule="auto"/>
        <w:ind w:firstLine="480" w:firstLineChars="200"/>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衬胶管和配件</w:t>
      </w:r>
      <w:r>
        <w:rPr>
          <w:rStyle w:val="54"/>
          <w:rFonts w:hint="eastAsia" w:ascii="Times New Roman" w:hAnsi="Times New Roman" w:eastAsia="宋体" w:cs="Times New Roman"/>
          <w:color w:val="auto"/>
          <w:sz w:val="24"/>
          <w:highlight w:val="none"/>
        </w:rPr>
        <w:t>应</w:t>
      </w:r>
      <w:r>
        <w:rPr>
          <w:rStyle w:val="54"/>
          <w:rFonts w:ascii="Times New Roman" w:hAnsi="Times New Roman" w:eastAsia="宋体" w:cs="Times New Roman"/>
          <w:color w:val="auto"/>
          <w:sz w:val="24"/>
          <w:highlight w:val="none"/>
        </w:rPr>
        <w:t>采用法兰连接。与管道连接的垫片应是齐平密封，防止固体物在垫圈缝内积累。</w:t>
      </w:r>
    </w:p>
    <w:p w14:paraId="4A9CC293">
      <w:pPr>
        <w:adjustRightInd w:val="0"/>
        <w:snapToGrid w:val="0"/>
        <w:spacing w:line="360" w:lineRule="auto"/>
        <w:ind w:firstLine="480" w:firstLineChars="200"/>
        <w:rPr>
          <w:color w:val="auto"/>
          <w:sz w:val="24"/>
          <w:highlight w:val="none"/>
        </w:rPr>
      </w:pPr>
      <w:r>
        <w:rPr>
          <w:rStyle w:val="54"/>
          <w:rFonts w:ascii="Times New Roman" w:hAnsi="Times New Roman" w:eastAsia="宋体" w:cs="Times New Roman"/>
          <w:color w:val="auto"/>
          <w:sz w:val="24"/>
          <w:highlight w:val="none"/>
        </w:rPr>
        <w:t>衬胶管和配件的内衬方式要能完全防止流体接触金属表面，衬胶应伸出管道端部至法兰面的外径。DN50以上的衬胶管，橡胶衬里的厚度至少是4mm。</w:t>
      </w:r>
    </w:p>
    <w:p w14:paraId="27D17E86">
      <w:pPr>
        <w:adjustRightInd w:val="0"/>
        <w:snapToGrid w:val="0"/>
        <w:spacing w:line="360" w:lineRule="auto"/>
        <w:rPr>
          <w:color w:val="auto"/>
          <w:sz w:val="24"/>
          <w:highlight w:val="none"/>
        </w:rPr>
      </w:pPr>
      <w:r>
        <w:rPr>
          <w:color w:val="auto"/>
          <w:sz w:val="24"/>
          <w:highlight w:val="none"/>
        </w:rPr>
        <w:t>2.10.2阀门</w:t>
      </w:r>
    </w:p>
    <w:p w14:paraId="50BEEC55">
      <w:pPr>
        <w:adjustRightInd w:val="0"/>
        <w:snapToGrid w:val="0"/>
        <w:spacing w:line="360" w:lineRule="auto"/>
        <w:ind w:firstLine="480" w:firstLineChars="200"/>
        <w:rPr>
          <w:color w:val="auto"/>
          <w:sz w:val="24"/>
          <w:highlight w:val="none"/>
        </w:rPr>
      </w:pPr>
      <w:r>
        <w:rPr>
          <w:color w:val="auto"/>
          <w:sz w:val="24"/>
          <w:highlight w:val="none"/>
        </w:rPr>
        <w:t>阀门的设计、制造、试验及安装将采用中国最新的标准和相当的国际标准</w:t>
      </w:r>
    </w:p>
    <w:p w14:paraId="176E3DE3">
      <w:pPr>
        <w:adjustRightInd w:val="0"/>
        <w:snapToGrid w:val="0"/>
        <w:spacing w:line="360" w:lineRule="auto"/>
        <w:ind w:firstLine="480" w:firstLineChars="200"/>
        <w:rPr>
          <w:color w:val="auto"/>
          <w:sz w:val="24"/>
          <w:highlight w:val="none"/>
        </w:rPr>
      </w:pPr>
      <w:r>
        <w:rPr>
          <w:color w:val="auto"/>
          <w:sz w:val="24"/>
          <w:highlight w:val="none"/>
        </w:rPr>
        <w:t>所有阀门设计选型应适合于介质特性和使用条件。浆液系统的阀门必须考虑介质的磨损和腐蚀</w:t>
      </w:r>
      <w:r>
        <w:rPr>
          <w:rFonts w:hint="eastAsia"/>
          <w:color w:val="auto"/>
          <w:sz w:val="24"/>
          <w:highlight w:val="none"/>
          <w:lang w:eastAsia="zh-CN"/>
        </w:rPr>
        <w:t>，</w:t>
      </w:r>
      <w:r>
        <w:rPr>
          <w:rFonts w:hint="eastAsia"/>
          <w:color w:val="auto"/>
          <w:sz w:val="24"/>
          <w:highlight w:val="none"/>
          <w:lang w:val="en-US" w:eastAsia="zh-CN"/>
        </w:rPr>
        <w:t>阀瓣材质不低于1.4529</w:t>
      </w:r>
      <w:r>
        <w:rPr>
          <w:color w:val="auto"/>
          <w:sz w:val="24"/>
          <w:highlight w:val="none"/>
        </w:rPr>
        <w:t>。</w:t>
      </w:r>
    </w:p>
    <w:p w14:paraId="215EADA8">
      <w:pPr>
        <w:adjustRightInd w:val="0"/>
        <w:snapToGrid w:val="0"/>
        <w:spacing w:line="360" w:lineRule="auto"/>
        <w:ind w:firstLine="480" w:firstLineChars="200"/>
        <w:rPr>
          <w:color w:val="auto"/>
          <w:sz w:val="24"/>
          <w:highlight w:val="none"/>
        </w:rPr>
      </w:pPr>
      <w:r>
        <w:rPr>
          <w:color w:val="auto"/>
          <w:sz w:val="24"/>
          <w:highlight w:val="none"/>
        </w:rPr>
        <w:t>功能相同、运行条件相同的阀门将能够互换，阀门的规格应尽量统一，尽量减少阀门的种类和厂家数量。</w:t>
      </w:r>
    </w:p>
    <w:p w14:paraId="4235FDD0">
      <w:pPr>
        <w:adjustRightInd w:val="0"/>
        <w:snapToGrid w:val="0"/>
        <w:spacing w:line="360" w:lineRule="auto"/>
        <w:ind w:firstLine="480" w:firstLineChars="200"/>
        <w:rPr>
          <w:color w:val="auto"/>
          <w:sz w:val="24"/>
          <w:highlight w:val="none"/>
        </w:rPr>
      </w:pPr>
      <w:r>
        <w:rPr>
          <w:color w:val="auto"/>
          <w:sz w:val="24"/>
          <w:highlight w:val="none"/>
        </w:rPr>
        <w:t>所有阀门遵从以下规范：</w:t>
      </w:r>
    </w:p>
    <w:p w14:paraId="7FE72A38">
      <w:pPr>
        <w:adjustRightInd w:val="0"/>
        <w:snapToGrid w:val="0"/>
        <w:spacing w:line="360" w:lineRule="auto"/>
        <w:ind w:firstLine="480"/>
        <w:rPr>
          <w:color w:val="auto"/>
          <w:sz w:val="24"/>
          <w:highlight w:val="none"/>
        </w:rPr>
      </w:pPr>
      <w:r>
        <w:rPr>
          <w:color w:val="auto"/>
          <w:sz w:val="24"/>
          <w:highlight w:val="none"/>
        </w:rPr>
        <w:t>（1）在关闭位置，所有阀门设计成在满负荷工作压力下都是密封的。且还应考虑到泵启动时的冲击对阀门所造成的影响。</w:t>
      </w:r>
    </w:p>
    <w:p w14:paraId="77194331">
      <w:pPr>
        <w:adjustRightInd w:val="0"/>
        <w:snapToGrid w:val="0"/>
        <w:spacing w:line="360" w:lineRule="auto"/>
        <w:ind w:firstLine="480"/>
        <w:rPr>
          <w:color w:val="auto"/>
          <w:sz w:val="24"/>
          <w:highlight w:val="none"/>
        </w:rPr>
      </w:pPr>
      <w:r>
        <w:rPr>
          <w:color w:val="auto"/>
          <w:sz w:val="24"/>
          <w:highlight w:val="none"/>
        </w:rPr>
        <w:t>（2）调节阀及下列条件下工作的阀门应装设电动驱动装置。</w:t>
      </w:r>
    </w:p>
    <w:p w14:paraId="7A2F04F7">
      <w:pPr>
        <w:numPr>
          <w:ilvl w:val="0"/>
          <w:numId w:val="14"/>
        </w:numPr>
        <w:adjustRightInd w:val="0"/>
        <w:snapToGrid w:val="0"/>
        <w:spacing w:line="360" w:lineRule="auto"/>
        <w:rPr>
          <w:color w:val="auto"/>
          <w:sz w:val="24"/>
          <w:highlight w:val="none"/>
        </w:rPr>
      </w:pPr>
      <w:r>
        <w:rPr>
          <w:color w:val="auto"/>
          <w:sz w:val="24"/>
          <w:highlight w:val="none"/>
        </w:rPr>
        <w:t>按工艺系统的控制要求，需频繁操作或远方操作时；</w:t>
      </w:r>
    </w:p>
    <w:p w14:paraId="4CC69E36">
      <w:pPr>
        <w:numPr>
          <w:ilvl w:val="0"/>
          <w:numId w:val="14"/>
        </w:numPr>
        <w:adjustRightInd w:val="0"/>
        <w:snapToGrid w:val="0"/>
        <w:spacing w:line="360" w:lineRule="auto"/>
        <w:rPr>
          <w:color w:val="auto"/>
          <w:sz w:val="24"/>
          <w:highlight w:val="none"/>
        </w:rPr>
      </w:pPr>
      <w:r>
        <w:rPr>
          <w:color w:val="auto"/>
          <w:sz w:val="24"/>
          <w:highlight w:val="none"/>
        </w:rPr>
        <w:t>阀门装设在手动不能实现的位置，或必须在两个以上的地方操作时；</w:t>
      </w:r>
    </w:p>
    <w:p w14:paraId="696467F9">
      <w:pPr>
        <w:numPr>
          <w:ilvl w:val="0"/>
          <w:numId w:val="14"/>
        </w:numPr>
        <w:adjustRightInd w:val="0"/>
        <w:snapToGrid w:val="0"/>
        <w:spacing w:line="360" w:lineRule="auto"/>
        <w:rPr>
          <w:color w:val="auto"/>
          <w:sz w:val="24"/>
          <w:highlight w:val="none"/>
        </w:rPr>
      </w:pPr>
      <w:r>
        <w:rPr>
          <w:color w:val="auto"/>
          <w:sz w:val="24"/>
          <w:highlight w:val="none"/>
        </w:rPr>
        <w:t>扭转力矩太大，或开关阀门时间较长时。</w:t>
      </w:r>
    </w:p>
    <w:p w14:paraId="090CF376">
      <w:pPr>
        <w:adjustRightInd w:val="0"/>
        <w:snapToGrid w:val="0"/>
        <w:spacing w:line="360" w:lineRule="auto"/>
        <w:ind w:firstLine="480"/>
        <w:rPr>
          <w:color w:val="auto"/>
          <w:sz w:val="24"/>
          <w:highlight w:val="none"/>
        </w:rPr>
      </w:pPr>
      <w:r>
        <w:rPr>
          <w:color w:val="auto"/>
          <w:sz w:val="24"/>
          <w:highlight w:val="none"/>
        </w:rPr>
        <w:t>（3）布置在户外的阀门，其电动执行机构应适应户外露天布置的要求。</w:t>
      </w:r>
    </w:p>
    <w:p w14:paraId="18763DDD">
      <w:pPr>
        <w:adjustRightInd w:val="0"/>
        <w:snapToGrid w:val="0"/>
        <w:spacing w:line="360" w:lineRule="auto"/>
        <w:ind w:firstLine="480"/>
        <w:rPr>
          <w:color w:val="auto"/>
          <w:sz w:val="24"/>
          <w:highlight w:val="none"/>
        </w:rPr>
      </w:pPr>
      <w:r>
        <w:rPr>
          <w:color w:val="auto"/>
          <w:sz w:val="24"/>
          <w:highlight w:val="none"/>
        </w:rPr>
        <w:t>（4）所有阀门不允许采用灰铸铁制作。</w:t>
      </w:r>
    </w:p>
    <w:p w14:paraId="119540A0">
      <w:pPr>
        <w:adjustRightInd w:val="0"/>
        <w:snapToGrid w:val="0"/>
        <w:spacing w:line="360" w:lineRule="auto"/>
        <w:ind w:firstLine="480"/>
        <w:rPr>
          <w:color w:val="auto"/>
          <w:sz w:val="24"/>
          <w:highlight w:val="none"/>
        </w:rPr>
      </w:pPr>
      <w:r>
        <w:rPr>
          <w:color w:val="auto"/>
          <w:sz w:val="24"/>
          <w:highlight w:val="none"/>
        </w:rPr>
        <w:t>（5）直径大于65mm的真空阀采用水封，不超过65mm直径的真空阀用聚四氟乙烯密封。</w:t>
      </w:r>
    </w:p>
    <w:p w14:paraId="271900E7">
      <w:pPr>
        <w:adjustRightInd w:val="0"/>
        <w:snapToGrid w:val="0"/>
        <w:spacing w:line="360" w:lineRule="auto"/>
        <w:ind w:firstLine="480"/>
        <w:rPr>
          <w:color w:val="auto"/>
          <w:sz w:val="24"/>
          <w:highlight w:val="none"/>
        </w:rPr>
      </w:pPr>
      <w:r>
        <w:rPr>
          <w:color w:val="auto"/>
          <w:sz w:val="24"/>
          <w:highlight w:val="none"/>
        </w:rPr>
        <w:t>（6）重要的和浆液浓度高的调节阀和减压阀均设置旁路阀门。</w:t>
      </w:r>
    </w:p>
    <w:p w14:paraId="76478CF3">
      <w:pPr>
        <w:adjustRightInd w:val="0"/>
        <w:snapToGrid w:val="0"/>
        <w:spacing w:line="360" w:lineRule="auto"/>
        <w:ind w:firstLine="480"/>
        <w:rPr>
          <w:color w:val="auto"/>
          <w:sz w:val="24"/>
          <w:highlight w:val="none"/>
        </w:rPr>
      </w:pPr>
      <w:r>
        <w:rPr>
          <w:color w:val="auto"/>
          <w:sz w:val="24"/>
          <w:highlight w:val="none"/>
        </w:rPr>
        <w:t>（7）使用的材料必须符合应用标准，而且必须与管道材料和运行温度要求一致。浆液管道的阀门其阀板为合金钢，阀体为衬胶阀体。</w:t>
      </w:r>
    </w:p>
    <w:p w14:paraId="10080E5C">
      <w:pPr>
        <w:adjustRightInd w:val="0"/>
        <w:snapToGrid w:val="0"/>
        <w:spacing w:line="360" w:lineRule="auto"/>
        <w:ind w:firstLine="480"/>
        <w:rPr>
          <w:color w:val="auto"/>
          <w:sz w:val="24"/>
          <w:highlight w:val="none"/>
        </w:rPr>
      </w:pPr>
      <w:r>
        <w:rPr>
          <w:color w:val="auto"/>
          <w:sz w:val="24"/>
          <w:highlight w:val="none"/>
        </w:rPr>
        <w:t>（8）所有阀门应能在不超过相应平台1.5m高处进行操作。</w:t>
      </w:r>
    </w:p>
    <w:p w14:paraId="414F3000">
      <w:pPr>
        <w:adjustRightInd w:val="0"/>
        <w:snapToGrid w:val="0"/>
        <w:spacing w:line="360" w:lineRule="auto"/>
        <w:ind w:firstLine="480"/>
        <w:rPr>
          <w:color w:val="auto"/>
          <w:sz w:val="24"/>
          <w:highlight w:val="none"/>
        </w:rPr>
      </w:pPr>
      <w:r>
        <w:rPr>
          <w:color w:val="auto"/>
          <w:sz w:val="24"/>
          <w:highlight w:val="none"/>
        </w:rPr>
        <w:t>（9）所有自动阀门选用电动执行机构。电动阀门配备电动执行器，包括驱动电机、齿轮、限位开关，位置指示器（开、关）等。</w:t>
      </w:r>
    </w:p>
    <w:p w14:paraId="41220751">
      <w:pPr>
        <w:adjustRightInd w:val="0"/>
        <w:snapToGrid w:val="0"/>
        <w:spacing w:line="360" w:lineRule="auto"/>
        <w:ind w:firstLine="480"/>
        <w:rPr>
          <w:color w:val="auto"/>
          <w:sz w:val="24"/>
          <w:highlight w:val="none"/>
        </w:rPr>
      </w:pPr>
      <w:r>
        <w:rPr>
          <w:color w:val="auto"/>
          <w:sz w:val="24"/>
          <w:highlight w:val="none"/>
        </w:rPr>
        <w:t>（10）所有电动执行机构在满负荷的非平衡压力下应能顺利开关阀门，对于闸阀开关速度不小于300mm/min，对于球阀速度为100mm/min。全部电动阀门装配有手轮，以便在满负荷的非平衡压力下进行紧急手动操作。</w:t>
      </w:r>
    </w:p>
    <w:p w14:paraId="0164EA38">
      <w:pPr>
        <w:adjustRightInd w:val="0"/>
        <w:snapToGrid w:val="0"/>
        <w:spacing w:line="360" w:lineRule="auto"/>
        <w:ind w:firstLine="480"/>
        <w:rPr>
          <w:color w:val="auto"/>
          <w:sz w:val="24"/>
          <w:highlight w:val="none"/>
        </w:rPr>
      </w:pPr>
      <w:r>
        <w:rPr>
          <w:color w:val="auto"/>
          <w:sz w:val="24"/>
          <w:highlight w:val="none"/>
        </w:rPr>
        <w:t>（11）电动执行器应适于各自运行环境。防护等级至少达到IP67。</w:t>
      </w:r>
    </w:p>
    <w:p w14:paraId="377EBBD2">
      <w:pPr>
        <w:adjustRightInd w:val="0"/>
        <w:snapToGrid w:val="0"/>
        <w:spacing w:line="360" w:lineRule="auto"/>
        <w:ind w:firstLine="480"/>
        <w:rPr>
          <w:color w:val="auto"/>
          <w:sz w:val="24"/>
          <w:highlight w:val="none"/>
        </w:rPr>
      </w:pPr>
      <w:r>
        <w:rPr>
          <w:color w:val="auto"/>
          <w:sz w:val="24"/>
          <w:highlight w:val="none"/>
        </w:rPr>
        <w:t>（12）安装在室外的全部阀门应尽可能集中布置，</w:t>
      </w:r>
      <w:r>
        <w:rPr>
          <w:rFonts w:hint="eastAsia"/>
          <w:color w:val="auto"/>
          <w:sz w:val="24"/>
          <w:highlight w:val="none"/>
          <w:lang w:val="en-US" w:eastAsia="zh-CN"/>
        </w:rPr>
        <w:t>电动执行机构</w:t>
      </w:r>
      <w:r>
        <w:rPr>
          <w:color w:val="auto"/>
          <w:sz w:val="24"/>
          <w:highlight w:val="none"/>
        </w:rPr>
        <w:t>设有防雨设施。防雨设施应不需要工具打开便能够进行阀门的就地操作和检查。</w:t>
      </w:r>
    </w:p>
    <w:p w14:paraId="22D3BDD8">
      <w:pPr>
        <w:adjustRightInd w:val="0"/>
        <w:snapToGrid w:val="0"/>
        <w:spacing w:line="360" w:lineRule="auto"/>
        <w:ind w:firstLine="480"/>
        <w:rPr>
          <w:color w:val="auto"/>
          <w:sz w:val="24"/>
          <w:highlight w:val="none"/>
        </w:rPr>
      </w:pPr>
      <w:r>
        <w:rPr>
          <w:color w:val="auto"/>
          <w:sz w:val="24"/>
          <w:highlight w:val="none"/>
        </w:rPr>
        <w:t>（13）从手轮面看：所有阀门以顺时针方向旋转关闭手轮，每个手轮面上清楚标有“开”和“关”记号，并以箭头指示各个术语代表的旋转方向。所有阀门均应有耐用的带不锈线的不锈钢标签，标明阀门编号、名称等。</w:t>
      </w:r>
    </w:p>
    <w:p w14:paraId="13CC0A52">
      <w:pPr>
        <w:tabs>
          <w:tab w:val="left" w:pos="409"/>
        </w:tabs>
        <w:adjustRightInd w:val="0"/>
        <w:snapToGrid w:val="0"/>
        <w:spacing w:line="360" w:lineRule="auto"/>
        <w:ind w:firstLine="480"/>
        <w:rPr>
          <w:color w:val="auto"/>
          <w:sz w:val="24"/>
          <w:highlight w:val="none"/>
        </w:rPr>
      </w:pPr>
      <w:r>
        <w:rPr>
          <w:color w:val="auto"/>
          <w:sz w:val="24"/>
          <w:highlight w:val="none"/>
        </w:rPr>
        <w:t>（14）接触石灰石浆液/石膏浆液的管道阀门必须适于酸洗。</w:t>
      </w:r>
    </w:p>
    <w:p w14:paraId="45B2D1B6">
      <w:pPr>
        <w:adjustRightInd w:val="0"/>
        <w:snapToGrid w:val="0"/>
        <w:spacing w:line="360" w:lineRule="auto"/>
        <w:ind w:firstLine="480"/>
        <w:rPr>
          <w:color w:val="auto"/>
          <w:sz w:val="24"/>
          <w:highlight w:val="none"/>
        </w:rPr>
      </w:pPr>
      <w:r>
        <w:rPr>
          <w:color w:val="auto"/>
          <w:sz w:val="24"/>
          <w:highlight w:val="none"/>
        </w:rPr>
        <w:t>（15）除非阀门功能有另外要求，阀体内部横断面与连接管的公称通径应一致。。</w:t>
      </w:r>
    </w:p>
    <w:p w14:paraId="647FAEFA">
      <w:pPr>
        <w:adjustRightInd w:val="0"/>
        <w:snapToGrid w:val="0"/>
        <w:spacing w:line="360" w:lineRule="auto"/>
        <w:ind w:firstLine="480"/>
        <w:rPr>
          <w:color w:val="auto"/>
          <w:sz w:val="24"/>
          <w:highlight w:val="none"/>
        </w:rPr>
      </w:pPr>
      <w:r>
        <w:rPr>
          <w:color w:val="auto"/>
          <w:sz w:val="24"/>
          <w:highlight w:val="none"/>
        </w:rPr>
        <w:t>（1</w:t>
      </w:r>
      <w:r>
        <w:rPr>
          <w:rFonts w:hint="eastAsia"/>
          <w:color w:val="auto"/>
          <w:sz w:val="24"/>
          <w:highlight w:val="none"/>
        </w:rPr>
        <w:t>6</w:t>
      </w:r>
      <w:r>
        <w:rPr>
          <w:color w:val="auto"/>
          <w:sz w:val="24"/>
          <w:highlight w:val="none"/>
        </w:rPr>
        <w:t>）在用金属密封元件时，阀座和密封件之间必须有硬度差别，密封件的硬度值更高。</w:t>
      </w:r>
    </w:p>
    <w:p w14:paraId="265A0BC0">
      <w:pPr>
        <w:spacing w:line="360" w:lineRule="auto"/>
        <w:outlineLvl w:val="2"/>
        <w:rPr>
          <w:b/>
          <w:color w:val="auto"/>
          <w:sz w:val="24"/>
          <w:highlight w:val="none"/>
        </w:rPr>
      </w:pPr>
      <w:r>
        <w:rPr>
          <w:b/>
          <w:color w:val="auto"/>
          <w:sz w:val="24"/>
          <w:highlight w:val="none"/>
        </w:rPr>
        <w:t>2.11 箱罐和容器</w:t>
      </w:r>
    </w:p>
    <w:p w14:paraId="182B440A">
      <w:pPr>
        <w:spacing w:line="360" w:lineRule="auto"/>
        <w:ind w:firstLine="480"/>
        <w:rPr>
          <w:color w:val="auto"/>
          <w:sz w:val="24"/>
          <w:highlight w:val="none"/>
        </w:rPr>
      </w:pPr>
      <w:r>
        <w:rPr>
          <w:color w:val="auto"/>
          <w:sz w:val="24"/>
          <w:highlight w:val="none"/>
        </w:rPr>
        <w:t>所有箱罐和容器的设计应包括必需的连接件，包括仪表与测量装置、人孔门的排水/排空要求、溢流要求，以及运行和维护必需的通道楼梯和栏杆。需要防腐的箱罐按至少30年的腐蚀余量设计。</w:t>
      </w:r>
    </w:p>
    <w:p w14:paraId="7E1DC99B">
      <w:pPr>
        <w:spacing w:line="360" w:lineRule="auto"/>
        <w:ind w:firstLine="480"/>
        <w:rPr>
          <w:color w:val="auto"/>
          <w:sz w:val="24"/>
          <w:highlight w:val="none"/>
        </w:rPr>
      </w:pPr>
      <w:r>
        <w:rPr>
          <w:color w:val="auto"/>
          <w:sz w:val="24"/>
          <w:highlight w:val="none"/>
        </w:rPr>
        <w:t>对于有一定的真空度的压力容器或箱罐即使在容器上安装了真空安全阀也应按全真空容器设计。</w:t>
      </w:r>
    </w:p>
    <w:p w14:paraId="0441DA46">
      <w:pPr>
        <w:spacing w:line="360" w:lineRule="auto"/>
        <w:ind w:firstLine="480"/>
        <w:rPr>
          <w:color w:val="auto"/>
          <w:sz w:val="24"/>
          <w:highlight w:val="none"/>
        </w:rPr>
      </w:pPr>
      <w:r>
        <w:rPr>
          <w:color w:val="auto"/>
          <w:sz w:val="24"/>
          <w:highlight w:val="none"/>
        </w:rPr>
        <w:t>要采取安全措施防止箱罐和容器的过压。所有的箱罐和容器设计应包含最少有下列各项要求：</w:t>
      </w:r>
    </w:p>
    <w:p w14:paraId="742F39BD">
      <w:pPr>
        <w:spacing w:line="360" w:lineRule="auto"/>
        <w:ind w:firstLine="480"/>
        <w:rPr>
          <w:color w:val="auto"/>
          <w:sz w:val="24"/>
          <w:highlight w:val="none"/>
        </w:rPr>
      </w:pPr>
      <w:r>
        <w:rPr>
          <w:color w:val="auto"/>
          <w:sz w:val="24"/>
          <w:highlight w:val="none"/>
        </w:rPr>
        <w:t>（1）对于≥1.0m直径容器设置1个人孔门（最小孔径600mm）。</w:t>
      </w:r>
    </w:p>
    <w:p w14:paraId="579D07C9">
      <w:pPr>
        <w:spacing w:line="360" w:lineRule="auto"/>
        <w:ind w:firstLine="480"/>
        <w:rPr>
          <w:color w:val="auto"/>
          <w:sz w:val="24"/>
          <w:highlight w:val="none"/>
        </w:rPr>
      </w:pPr>
      <w:r>
        <w:rPr>
          <w:color w:val="auto"/>
          <w:sz w:val="24"/>
          <w:highlight w:val="none"/>
        </w:rPr>
        <w:t>（2）对于&lt;1.0m直径的容器设置2个手孔（最小尺寸200mm）。</w:t>
      </w:r>
    </w:p>
    <w:p w14:paraId="3371A4E5">
      <w:pPr>
        <w:spacing w:line="360" w:lineRule="auto"/>
        <w:ind w:firstLine="480"/>
        <w:rPr>
          <w:color w:val="auto"/>
          <w:sz w:val="24"/>
          <w:highlight w:val="none"/>
        </w:rPr>
      </w:pPr>
      <w:r>
        <w:rPr>
          <w:color w:val="auto"/>
          <w:sz w:val="24"/>
          <w:highlight w:val="none"/>
        </w:rPr>
        <w:t>（3）2个备用管接口。</w:t>
      </w:r>
    </w:p>
    <w:p w14:paraId="4FA8E084">
      <w:pPr>
        <w:spacing w:line="360" w:lineRule="auto"/>
        <w:ind w:firstLine="480"/>
        <w:rPr>
          <w:color w:val="auto"/>
          <w:sz w:val="24"/>
          <w:highlight w:val="none"/>
        </w:rPr>
      </w:pPr>
      <w:r>
        <w:rPr>
          <w:color w:val="auto"/>
          <w:sz w:val="24"/>
          <w:highlight w:val="none"/>
        </w:rPr>
        <w:t>（4）1个排水管接口。</w:t>
      </w:r>
    </w:p>
    <w:p w14:paraId="6CD1ADA8">
      <w:pPr>
        <w:spacing w:line="360" w:lineRule="auto"/>
        <w:ind w:firstLine="480"/>
        <w:rPr>
          <w:color w:val="auto"/>
          <w:sz w:val="24"/>
          <w:highlight w:val="none"/>
        </w:rPr>
      </w:pPr>
      <w:r>
        <w:rPr>
          <w:color w:val="auto"/>
          <w:sz w:val="24"/>
          <w:highlight w:val="none"/>
        </w:rPr>
        <w:t>（5）1个溢流接口。</w:t>
      </w:r>
    </w:p>
    <w:p w14:paraId="50634562">
      <w:pPr>
        <w:spacing w:line="360" w:lineRule="auto"/>
        <w:ind w:firstLine="480"/>
        <w:rPr>
          <w:color w:val="auto"/>
          <w:sz w:val="24"/>
          <w:highlight w:val="none"/>
        </w:rPr>
      </w:pPr>
      <w:r>
        <w:rPr>
          <w:color w:val="auto"/>
          <w:sz w:val="24"/>
          <w:highlight w:val="none"/>
        </w:rPr>
        <w:t>内装石膏浆液、石灰石浆液或其它浆液箱罐材料可选用碳钢(内衬橡胶)。</w:t>
      </w:r>
    </w:p>
    <w:p w14:paraId="1DF54D86">
      <w:pPr>
        <w:spacing w:line="360" w:lineRule="auto"/>
        <w:outlineLvl w:val="2"/>
        <w:rPr>
          <w:b/>
          <w:color w:val="auto"/>
          <w:sz w:val="24"/>
          <w:highlight w:val="none"/>
        </w:rPr>
      </w:pPr>
      <w:r>
        <w:rPr>
          <w:b/>
          <w:color w:val="auto"/>
          <w:sz w:val="24"/>
          <w:highlight w:val="none"/>
        </w:rPr>
        <w:t>2.12 泵</w:t>
      </w:r>
    </w:p>
    <w:p w14:paraId="1DD46920">
      <w:pPr>
        <w:spacing w:line="360" w:lineRule="auto"/>
        <w:ind w:firstLine="480"/>
        <w:rPr>
          <w:color w:val="auto"/>
          <w:sz w:val="24"/>
          <w:highlight w:val="none"/>
        </w:rPr>
      </w:pPr>
      <w:r>
        <w:rPr>
          <w:color w:val="auto"/>
          <w:sz w:val="24"/>
          <w:highlight w:val="none"/>
        </w:rPr>
        <w:t>泵的设计、生产和安装应符合最新有效的标准。</w:t>
      </w:r>
    </w:p>
    <w:p w14:paraId="0B33143E">
      <w:pPr>
        <w:spacing w:line="360" w:lineRule="auto"/>
        <w:ind w:firstLine="480"/>
        <w:rPr>
          <w:color w:val="auto"/>
          <w:sz w:val="24"/>
          <w:highlight w:val="none"/>
        </w:rPr>
      </w:pPr>
      <w:r>
        <w:rPr>
          <w:color w:val="auto"/>
          <w:sz w:val="24"/>
          <w:highlight w:val="none"/>
        </w:rPr>
        <w:t>所有泵应设计为能连续运行。</w:t>
      </w:r>
    </w:p>
    <w:p w14:paraId="2EA8F4E3">
      <w:pPr>
        <w:spacing w:line="360" w:lineRule="auto"/>
        <w:ind w:firstLine="480"/>
        <w:rPr>
          <w:color w:val="auto"/>
          <w:sz w:val="24"/>
          <w:highlight w:val="none"/>
        </w:rPr>
      </w:pPr>
      <w:r>
        <w:rPr>
          <w:color w:val="auto"/>
          <w:sz w:val="24"/>
          <w:highlight w:val="none"/>
        </w:rPr>
        <w:t>每台泵及其附属设备的布置应便于操作、维护和拆卸。</w:t>
      </w:r>
      <w:r>
        <w:rPr>
          <w:rFonts w:hint="eastAsia"/>
          <w:color w:val="auto"/>
          <w:sz w:val="24"/>
          <w:highlight w:val="none"/>
          <w:lang w:eastAsia="zh-CN"/>
        </w:rPr>
        <w:t>投标方</w:t>
      </w:r>
      <w:r>
        <w:rPr>
          <w:color w:val="auto"/>
          <w:sz w:val="24"/>
          <w:highlight w:val="none"/>
        </w:rPr>
        <w:t>应确保在维修更换期间不需要断开和拆卸主管道或其它装置重要部件。</w:t>
      </w:r>
    </w:p>
    <w:p w14:paraId="17E7C6FA">
      <w:pPr>
        <w:spacing w:line="360" w:lineRule="auto"/>
        <w:ind w:firstLine="480"/>
        <w:rPr>
          <w:color w:val="auto"/>
          <w:sz w:val="24"/>
          <w:highlight w:val="none"/>
        </w:rPr>
      </w:pPr>
      <w:r>
        <w:rPr>
          <w:color w:val="auto"/>
          <w:sz w:val="24"/>
          <w:highlight w:val="none"/>
        </w:rPr>
        <w:t>并列运行或备用泵应尽量采用同种型号，以使其具有可更换性。运行泵故障时，备用泵应能立即投入运行，防止装置的停运。</w:t>
      </w:r>
    </w:p>
    <w:p w14:paraId="5BD06858">
      <w:pPr>
        <w:spacing w:line="360" w:lineRule="auto"/>
        <w:ind w:firstLine="480"/>
        <w:rPr>
          <w:color w:val="auto"/>
          <w:sz w:val="24"/>
          <w:highlight w:val="none"/>
        </w:rPr>
      </w:pPr>
      <w:r>
        <w:rPr>
          <w:color w:val="auto"/>
          <w:sz w:val="24"/>
          <w:highlight w:val="none"/>
        </w:rPr>
        <w:t>为方便泵的维修，泵体应设计检修起吊装置（如吊耳/吊环等）。</w:t>
      </w:r>
    </w:p>
    <w:p w14:paraId="3D990FFF">
      <w:pPr>
        <w:spacing w:line="360" w:lineRule="auto"/>
        <w:ind w:firstLine="480"/>
        <w:rPr>
          <w:color w:val="auto"/>
          <w:sz w:val="24"/>
          <w:highlight w:val="none"/>
        </w:rPr>
      </w:pPr>
      <w:r>
        <w:rPr>
          <w:color w:val="auto"/>
          <w:sz w:val="24"/>
          <w:highlight w:val="none"/>
        </w:rPr>
        <w:t>设计中尽量采用适合运行特性的标准型泵。泵及附件的设计必须满足系统运行要求。尽可能采用离心泵。</w:t>
      </w:r>
    </w:p>
    <w:p w14:paraId="5C0DE612">
      <w:pPr>
        <w:spacing w:line="360" w:lineRule="auto"/>
        <w:ind w:firstLine="480"/>
        <w:rPr>
          <w:color w:val="auto"/>
          <w:sz w:val="24"/>
          <w:highlight w:val="none"/>
        </w:rPr>
      </w:pPr>
      <w:r>
        <w:rPr>
          <w:color w:val="auto"/>
          <w:sz w:val="24"/>
          <w:highlight w:val="none"/>
        </w:rPr>
        <w:t>泵的试验压力是最大入口压力下的水泵最大关闭压力的1.5倍。如果泵在低于大气压的吸入条件下运行，整台泵将按全真空设计。</w:t>
      </w:r>
    </w:p>
    <w:p w14:paraId="648AA675">
      <w:pPr>
        <w:spacing w:line="360" w:lineRule="auto"/>
        <w:ind w:firstLine="480"/>
        <w:rPr>
          <w:color w:val="auto"/>
          <w:sz w:val="24"/>
          <w:highlight w:val="none"/>
        </w:rPr>
      </w:pPr>
      <w:r>
        <w:rPr>
          <w:color w:val="auto"/>
          <w:sz w:val="24"/>
          <w:highlight w:val="none"/>
        </w:rPr>
        <w:t>性能试验应根据相关的标准执行，采用标准应提供给</w:t>
      </w:r>
      <w:r>
        <w:rPr>
          <w:rFonts w:hint="eastAsia"/>
          <w:color w:val="auto"/>
          <w:sz w:val="24"/>
          <w:highlight w:val="none"/>
          <w:lang w:eastAsia="zh-CN"/>
        </w:rPr>
        <w:t>招标方</w:t>
      </w:r>
      <w:r>
        <w:rPr>
          <w:color w:val="auto"/>
          <w:sz w:val="24"/>
          <w:highlight w:val="none"/>
        </w:rPr>
        <w:t>确认。</w:t>
      </w:r>
    </w:p>
    <w:p w14:paraId="19FFD904">
      <w:pPr>
        <w:spacing w:line="360" w:lineRule="auto"/>
        <w:ind w:firstLine="480"/>
        <w:rPr>
          <w:color w:val="auto"/>
          <w:sz w:val="24"/>
          <w:highlight w:val="none"/>
        </w:rPr>
      </w:pPr>
      <w:r>
        <w:rPr>
          <w:color w:val="auto"/>
          <w:sz w:val="24"/>
          <w:highlight w:val="none"/>
        </w:rPr>
        <w:t>泵壳应能拆开，叶轮和轴应能从机壳内退出来，并且不影响主要管道和阀门的连接。所有能抽出转子的卧式泵都应配有联轴器以方便维修，而不需拆卸电机。对立式地坑泵的设计也应考虑维修时能够抽出转子。</w:t>
      </w:r>
    </w:p>
    <w:p w14:paraId="4CAC2C09">
      <w:pPr>
        <w:spacing w:line="360" w:lineRule="auto"/>
        <w:ind w:firstLine="480"/>
        <w:rPr>
          <w:color w:val="auto"/>
          <w:sz w:val="24"/>
          <w:highlight w:val="none"/>
        </w:rPr>
      </w:pPr>
      <w:r>
        <w:rPr>
          <w:color w:val="auto"/>
          <w:sz w:val="24"/>
          <w:highlight w:val="none"/>
        </w:rPr>
        <w:t>每台卧式泵与电机共同安装在一个刚性结构的底板上。</w:t>
      </w:r>
    </w:p>
    <w:p w14:paraId="6A392469">
      <w:pPr>
        <w:spacing w:line="360" w:lineRule="auto"/>
        <w:ind w:firstLine="480"/>
        <w:rPr>
          <w:color w:val="auto"/>
          <w:sz w:val="24"/>
          <w:highlight w:val="none"/>
        </w:rPr>
      </w:pPr>
      <w:r>
        <w:rPr>
          <w:color w:val="auto"/>
          <w:sz w:val="24"/>
          <w:highlight w:val="none"/>
        </w:rPr>
        <w:t>立式泵应配有基础框架。立式地坑泵应有不进池中就能抽出泵的措施。</w:t>
      </w:r>
    </w:p>
    <w:p w14:paraId="25568752">
      <w:pPr>
        <w:spacing w:line="360" w:lineRule="auto"/>
        <w:ind w:firstLine="480"/>
        <w:rPr>
          <w:color w:val="auto"/>
          <w:sz w:val="24"/>
          <w:highlight w:val="none"/>
        </w:rPr>
      </w:pPr>
      <w:r>
        <w:rPr>
          <w:color w:val="auto"/>
          <w:sz w:val="24"/>
          <w:highlight w:val="none"/>
        </w:rPr>
        <w:t>泵的布置应确保在所有运行条件下满足汽蚀余量(NPSH)的要求，如果没有另外指出，要求最大的NPSH值应留有0.5m的安全余量。</w:t>
      </w:r>
    </w:p>
    <w:p w14:paraId="02F613E1">
      <w:pPr>
        <w:spacing w:line="360" w:lineRule="auto"/>
        <w:ind w:firstLine="480"/>
        <w:rPr>
          <w:color w:val="auto"/>
          <w:sz w:val="24"/>
          <w:highlight w:val="none"/>
        </w:rPr>
      </w:pPr>
      <w:r>
        <w:rPr>
          <w:color w:val="auto"/>
          <w:sz w:val="24"/>
          <w:highlight w:val="none"/>
        </w:rPr>
        <w:t>作为单个部件和组装后的整泵，在所有离心水泵的转动构件上将进行静平衡和动平衡试验。</w:t>
      </w:r>
    </w:p>
    <w:p w14:paraId="08982574">
      <w:pPr>
        <w:spacing w:line="360" w:lineRule="auto"/>
        <w:ind w:firstLine="480"/>
        <w:rPr>
          <w:color w:val="auto"/>
          <w:sz w:val="24"/>
          <w:highlight w:val="none"/>
        </w:rPr>
      </w:pPr>
      <w:r>
        <w:rPr>
          <w:color w:val="auto"/>
          <w:sz w:val="24"/>
          <w:highlight w:val="none"/>
        </w:rPr>
        <w:t>在泵速度升高至运行速度的过程中，水泵应平稳运行。第一阶临界转速至少高于泵最大运转速度20%。</w:t>
      </w:r>
    </w:p>
    <w:p w14:paraId="25D6EB3E">
      <w:pPr>
        <w:spacing w:line="360" w:lineRule="auto"/>
        <w:ind w:firstLine="480"/>
        <w:rPr>
          <w:color w:val="auto"/>
          <w:sz w:val="24"/>
          <w:highlight w:val="none"/>
        </w:rPr>
      </w:pPr>
      <w:r>
        <w:rPr>
          <w:color w:val="auto"/>
          <w:sz w:val="24"/>
          <w:highlight w:val="none"/>
        </w:rPr>
        <w:t>在必要的地方（如箱罐出口的泵），泵应按最小安全流量设置再循环系统。</w:t>
      </w:r>
    </w:p>
    <w:p w14:paraId="304E0785">
      <w:pPr>
        <w:spacing w:line="360" w:lineRule="auto"/>
        <w:ind w:firstLine="480"/>
        <w:rPr>
          <w:color w:val="auto"/>
          <w:sz w:val="24"/>
          <w:highlight w:val="none"/>
        </w:rPr>
      </w:pPr>
      <w:r>
        <w:rPr>
          <w:color w:val="auto"/>
          <w:sz w:val="24"/>
          <w:highlight w:val="none"/>
        </w:rPr>
        <w:t>所有输送石灰石/石膏浆液的泵及部件的设计选材必须考虑磨损和腐蚀。叶轮采用合金钢。</w:t>
      </w:r>
    </w:p>
    <w:p w14:paraId="4A2A66B5">
      <w:pPr>
        <w:spacing w:line="360" w:lineRule="auto"/>
        <w:ind w:firstLine="480"/>
        <w:rPr>
          <w:color w:val="auto"/>
          <w:sz w:val="24"/>
          <w:highlight w:val="none"/>
        </w:rPr>
      </w:pPr>
      <w:r>
        <w:rPr>
          <w:color w:val="auto"/>
          <w:sz w:val="24"/>
          <w:highlight w:val="none"/>
        </w:rPr>
        <w:t>设计中选用的材料应满足运行时介质温度和压力的变化，不会造成过度的腐蚀、变形、老化或疲劳以及堵塞等，而且也不能影响脱硫系统的效率和可靠性。</w:t>
      </w:r>
    </w:p>
    <w:p w14:paraId="1FCD736B">
      <w:pPr>
        <w:spacing w:line="360" w:lineRule="auto"/>
        <w:ind w:firstLine="480"/>
        <w:rPr>
          <w:color w:val="auto"/>
          <w:sz w:val="24"/>
          <w:highlight w:val="none"/>
        </w:rPr>
      </w:pPr>
      <w:r>
        <w:rPr>
          <w:color w:val="auto"/>
          <w:sz w:val="24"/>
          <w:highlight w:val="none"/>
        </w:rPr>
        <w:t>所有选用的材料与采用的标准，包括热化学和机械性能的全部资料必须提交给</w:t>
      </w:r>
      <w:r>
        <w:rPr>
          <w:rFonts w:hint="eastAsia"/>
          <w:color w:val="auto"/>
          <w:sz w:val="24"/>
          <w:highlight w:val="none"/>
          <w:lang w:eastAsia="zh-CN"/>
        </w:rPr>
        <w:t>招标方</w:t>
      </w:r>
      <w:r>
        <w:rPr>
          <w:color w:val="auto"/>
          <w:sz w:val="24"/>
          <w:highlight w:val="none"/>
        </w:rPr>
        <w:t>。</w:t>
      </w:r>
    </w:p>
    <w:p w14:paraId="7EB8E00E">
      <w:pPr>
        <w:spacing w:line="360" w:lineRule="auto"/>
        <w:ind w:firstLine="480"/>
        <w:rPr>
          <w:color w:val="auto"/>
          <w:sz w:val="24"/>
          <w:highlight w:val="none"/>
        </w:rPr>
      </w:pPr>
      <w:r>
        <w:rPr>
          <w:color w:val="auto"/>
          <w:sz w:val="24"/>
          <w:highlight w:val="none"/>
        </w:rPr>
        <w:t>所有接触石膏浆液的泵，设计应考虑浆液中至少含有40g/l氯离子浓度。</w:t>
      </w:r>
    </w:p>
    <w:p w14:paraId="2661F77B">
      <w:pPr>
        <w:spacing w:line="360" w:lineRule="auto"/>
        <w:ind w:firstLine="480"/>
        <w:rPr>
          <w:color w:val="auto"/>
          <w:sz w:val="24"/>
          <w:highlight w:val="none"/>
        </w:rPr>
      </w:pPr>
      <w:r>
        <w:rPr>
          <w:color w:val="auto"/>
          <w:sz w:val="24"/>
          <w:highlight w:val="none"/>
        </w:rPr>
        <w:t>工艺水泵、冲洗水泵等离心泵叶轮等过流件采用3</w:t>
      </w:r>
      <w:r>
        <w:rPr>
          <w:rFonts w:hint="eastAsia"/>
          <w:color w:val="auto"/>
          <w:sz w:val="24"/>
          <w:highlight w:val="none"/>
          <w:lang w:val="en-US" w:eastAsia="zh-CN"/>
        </w:rPr>
        <w:t>04</w:t>
      </w:r>
      <w:r>
        <w:rPr>
          <w:color w:val="auto"/>
          <w:sz w:val="24"/>
          <w:highlight w:val="none"/>
        </w:rPr>
        <w:t>材质。</w:t>
      </w:r>
    </w:p>
    <w:p w14:paraId="55F6B987">
      <w:pPr>
        <w:spacing w:line="360" w:lineRule="auto"/>
        <w:ind w:firstLine="480"/>
        <w:rPr>
          <w:color w:val="auto"/>
          <w:sz w:val="24"/>
          <w:highlight w:val="none"/>
        </w:rPr>
      </w:pPr>
      <w:r>
        <w:rPr>
          <w:color w:val="auto"/>
          <w:sz w:val="24"/>
          <w:highlight w:val="none"/>
        </w:rPr>
        <w:t>除非另外规定，泵的轴承应是自润滑型，立式泵的轴承设计选型应防止在各种运行方式下轴的振动。</w:t>
      </w:r>
    </w:p>
    <w:p w14:paraId="1D925AF1">
      <w:pPr>
        <w:spacing w:line="360" w:lineRule="auto"/>
        <w:ind w:firstLine="480"/>
        <w:rPr>
          <w:color w:val="auto"/>
          <w:sz w:val="24"/>
          <w:highlight w:val="none"/>
        </w:rPr>
      </w:pPr>
      <w:r>
        <w:rPr>
          <w:color w:val="auto"/>
          <w:sz w:val="24"/>
          <w:highlight w:val="none"/>
        </w:rPr>
        <w:t>卧式泵的轴承封盖设计应能使轴承容易更换，而不需把泵或电机从台板上拆卸下来。轴承封盖通过适当的遮挡装置，应有效防止水和灰尘的进入。设计为无压油润滑的轴承应配备固定的加油器，所有轴承油箱都应装设可见油位指示器。设计应考虑轴承套的排油措施。</w:t>
      </w:r>
    </w:p>
    <w:p w14:paraId="11E66D09">
      <w:pPr>
        <w:spacing w:line="360" w:lineRule="auto"/>
        <w:ind w:firstLine="480"/>
        <w:rPr>
          <w:color w:val="auto"/>
          <w:sz w:val="24"/>
          <w:highlight w:val="none"/>
        </w:rPr>
      </w:pPr>
      <w:r>
        <w:rPr>
          <w:color w:val="auto"/>
          <w:sz w:val="24"/>
          <w:highlight w:val="none"/>
        </w:rPr>
        <w:t>设计为压力油润滑的轴承，使用的油应具有润滑和冷却两种作用，设计润滑和冷却系统要防止泵运行期间轴承润滑油的损失，而且要能防止污染物侵入轴承。</w:t>
      </w:r>
    </w:p>
    <w:p w14:paraId="00EDF350">
      <w:pPr>
        <w:spacing w:line="360" w:lineRule="auto"/>
        <w:ind w:firstLine="480"/>
        <w:rPr>
          <w:color w:val="auto"/>
          <w:sz w:val="24"/>
          <w:highlight w:val="none"/>
        </w:rPr>
      </w:pPr>
      <w:r>
        <w:rPr>
          <w:color w:val="auto"/>
          <w:sz w:val="24"/>
          <w:highlight w:val="none"/>
        </w:rPr>
        <w:t>所有泵都应安装有进/出口隔离阀。联轴器应提供有可拆卸的防护罩。</w:t>
      </w:r>
    </w:p>
    <w:p w14:paraId="6CC0557C">
      <w:pPr>
        <w:spacing w:line="360" w:lineRule="auto"/>
        <w:ind w:firstLine="480"/>
        <w:rPr>
          <w:color w:val="auto"/>
          <w:sz w:val="24"/>
          <w:highlight w:val="none"/>
        </w:rPr>
      </w:pPr>
      <w:r>
        <w:rPr>
          <w:color w:val="auto"/>
          <w:sz w:val="24"/>
          <w:highlight w:val="none"/>
        </w:rPr>
        <w:t>所有泵壳体的适当位置安装排气阀。</w:t>
      </w:r>
    </w:p>
    <w:p w14:paraId="387E858A">
      <w:pPr>
        <w:spacing w:line="360" w:lineRule="auto"/>
        <w:outlineLvl w:val="2"/>
        <w:rPr>
          <w:b/>
          <w:color w:val="auto"/>
          <w:sz w:val="24"/>
          <w:highlight w:val="none"/>
        </w:rPr>
      </w:pPr>
      <w:r>
        <w:rPr>
          <w:b/>
          <w:color w:val="auto"/>
          <w:sz w:val="24"/>
          <w:highlight w:val="none"/>
        </w:rPr>
        <w:t>2.13 搅拌设备</w:t>
      </w:r>
    </w:p>
    <w:p w14:paraId="444A5E03">
      <w:pPr>
        <w:spacing w:line="360" w:lineRule="auto"/>
        <w:ind w:firstLine="480"/>
        <w:rPr>
          <w:color w:val="auto"/>
          <w:sz w:val="24"/>
          <w:highlight w:val="none"/>
        </w:rPr>
      </w:pPr>
      <w:r>
        <w:rPr>
          <w:color w:val="auto"/>
          <w:sz w:val="24"/>
          <w:highlight w:val="none"/>
        </w:rPr>
        <w:t>吸收塔浆池及其所有储存浆液的箱罐和容器应配有搅拌设备，以防止浆液沉降结块，</w:t>
      </w:r>
      <w:r>
        <w:rPr>
          <w:rFonts w:hint="eastAsia"/>
          <w:color w:val="auto"/>
          <w:sz w:val="24"/>
          <w:highlight w:val="none"/>
          <w:lang w:eastAsia="zh-CN"/>
        </w:rPr>
        <w:t>投标方</w:t>
      </w:r>
      <w:r>
        <w:rPr>
          <w:color w:val="auto"/>
          <w:sz w:val="24"/>
          <w:highlight w:val="none"/>
        </w:rPr>
        <w:t>应提供搅拌设备的设计标准。</w:t>
      </w:r>
    </w:p>
    <w:p w14:paraId="67059B9D">
      <w:pPr>
        <w:spacing w:line="360" w:lineRule="auto"/>
        <w:ind w:firstLine="480"/>
        <w:rPr>
          <w:color w:val="auto"/>
          <w:sz w:val="24"/>
          <w:highlight w:val="none"/>
        </w:rPr>
      </w:pPr>
      <w:r>
        <w:rPr>
          <w:color w:val="auto"/>
          <w:sz w:val="24"/>
          <w:highlight w:val="none"/>
        </w:rPr>
        <w:t>吸收塔及事故浆液箱搅拌器应为侧入式</w:t>
      </w:r>
      <w:r>
        <w:rPr>
          <w:color w:val="auto"/>
          <w:sz w:val="24"/>
          <w:highlight w:val="none"/>
          <w:lang w:val="zh-CN"/>
        </w:rPr>
        <w:t>。</w:t>
      </w:r>
    </w:p>
    <w:p w14:paraId="33EF2ACB">
      <w:pPr>
        <w:spacing w:line="360" w:lineRule="auto"/>
        <w:ind w:firstLine="480"/>
        <w:rPr>
          <w:color w:val="auto"/>
          <w:sz w:val="24"/>
          <w:highlight w:val="none"/>
        </w:rPr>
      </w:pPr>
      <w:r>
        <w:rPr>
          <w:color w:val="auto"/>
          <w:sz w:val="24"/>
          <w:highlight w:val="none"/>
        </w:rPr>
        <w:t>搅拌器主体保证使用寿命不低于 50000 h。</w:t>
      </w:r>
    </w:p>
    <w:p w14:paraId="7525FE78">
      <w:pPr>
        <w:spacing w:line="360" w:lineRule="auto"/>
        <w:ind w:firstLine="480"/>
        <w:rPr>
          <w:color w:val="auto"/>
          <w:sz w:val="24"/>
          <w:highlight w:val="none"/>
        </w:rPr>
      </w:pPr>
      <w:r>
        <w:rPr>
          <w:rFonts w:hint="eastAsia"/>
          <w:color w:val="auto"/>
          <w:sz w:val="24"/>
          <w:highlight w:val="none"/>
          <w:lang w:eastAsia="zh-CN"/>
        </w:rPr>
        <w:t>投标方</w:t>
      </w:r>
      <w:r>
        <w:rPr>
          <w:color w:val="auto"/>
          <w:sz w:val="24"/>
          <w:highlight w:val="none"/>
        </w:rPr>
        <w:t>应保证搅拌器正常工作时箱或池内的沉积物不超过箱或池体积的 1%。且在停运不超过 24 h后搅拌机能使浆液颗粒再次悬浮而不沉积。</w:t>
      </w:r>
    </w:p>
    <w:p w14:paraId="6E1F6C40">
      <w:pPr>
        <w:spacing w:line="360" w:lineRule="auto"/>
        <w:ind w:firstLine="480"/>
        <w:rPr>
          <w:color w:val="auto"/>
          <w:sz w:val="24"/>
          <w:highlight w:val="none"/>
        </w:rPr>
      </w:pPr>
      <w:r>
        <w:rPr>
          <w:color w:val="auto"/>
          <w:sz w:val="24"/>
          <w:highlight w:val="none"/>
        </w:rPr>
        <w:t>在设计中尽可能采用标准型搅拌器，所有搅拌器能长期连续运行。</w:t>
      </w:r>
    </w:p>
    <w:p w14:paraId="76D849CD">
      <w:pPr>
        <w:spacing w:line="360" w:lineRule="auto"/>
        <w:ind w:firstLine="480"/>
        <w:rPr>
          <w:rFonts w:hint="eastAsia"/>
          <w:color w:val="auto"/>
          <w:sz w:val="24"/>
          <w:highlight w:val="none"/>
        </w:rPr>
      </w:pPr>
      <w:r>
        <w:rPr>
          <w:color w:val="auto"/>
          <w:sz w:val="24"/>
          <w:highlight w:val="none"/>
        </w:rPr>
        <w:t>搅拌器应采用全金属结构，所有接触被搅拌流体的搅拌器部件，必须选用适应被搅拌流体的特性的材料，包括具有耐磨损和腐蚀的性能。</w:t>
      </w:r>
    </w:p>
    <w:p w14:paraId="15A4EC41">
      <w:pPr>
        <w:spacing w:line="360" w:lineRule="auto"/>
        <w:ind w:firstLine="480"/>
        <w:rPr>
          <w:color w:val="auto"/>
          <w:sz w:val="24"/>
          <w:highlight w:val="none"/>
        </w:rPr>
      </w:pPr>
      <w:r>
        <w:rPr>
          <w:color w:val="auto"/>
          <w:sz w:val="24"/>
          <w:highlight w:val="none"/>
        </w:rPr>
        <w:t>吸收塔搅拌器及其附属设备的布置方式应能便于进行操作，维修和拆卸等工作，而且不中断有关装置的运行，机械密封能在线进行更换。</w:t>
      </w:r>
    </w:p>
    <w:p w14:paraId="0B919BAB">
      <w:pPr>
        <w:spacing w:line="360" w:lineRule="auto"/>
        <w:ind w:firstLine="480"/>
        <w:rPr>
          <w:color w:val="auto"/>
          <w:sz w:val="24"/>
          <w:highlight w:val="none"/>
        </w:rPr>
      </w:pPr>
      <w:r>
        <w:rPr>
          <w:color w:val="auto"/>
          <w:sz w:val="24"/>
          <w:highlight w:val="none"/>
        </w:rPr>
        <w:t>吸收塔浆池搅拌器的设计和布置应考虑氧化空气的最佳分布。</w:t>
      </w:r>
    </w:p>
    <w:p w14:paraId="528FDAA2">
      <w:pPr>
        <w:spacing w:line="360" w:lineRule="auto"/>
        <w:ind w:firstLine="480"/>
        <w:rPr>
          <w:color w:val="auto"/>
          <w:kern w:val="0"/>
          <w:sz w:val="24"/>
          <w:highlight w:val="none"/>
        </w:rPr>
      </w:pPr>
      <w:r>
        <w:rPr>
          <w:color w:val="auto"/>
          <w:kern w:val="0"/>
          <w:sz w:val="24"/>
          <w:highlight w:val="none"/>
        </w:rPr>
        <w:t>为防止侧壁插入式搅拌器停机一段时间后装置再起动的机械堵塞，应提供人工冲洗用喷嘴</w:t>
      </w:r>
      <w:r>
        <w:rPr>
          <w:color w:val="auto"/>
          <w:sz w:val="24"/>
          <w:highlight w:val="none"/>
        </w:rPr>
        <w:t>(水源为工艺水)</w:t>
      </w:r>
      <w:r>
        <w:rPr>
          <w:color w:val="auto"/>
          <w:kern w:val="0"/>
          <w:sz w:val="24"/>
          <w:highlight w:val="none"/>
        </w:rPr>
        <w:t>。</w:t>
      </w:r>
    </w:p>
    <w:p w14:paraId="7BAAA5CF">
      <w:pPr>
        <w:spacing w:line="360" w:lineRule="auto"/>
        <w:ind w:firstLine="480"/>
        <w:rPr>
          <w:color w:val="auto"/>
          <w:sz w:val="24"/>
          <w:highlight w:val="none"/>
        </w:rPr>
      </w:pPr>
      <w:r>
        <w:rPr>
          <w:rFonts w:hint="eastAsia"/>
          <w:color w:val="auto"/>
          <w:sz w:val="24"/>
          <w:highlight w:val="none"/>
          <w:lang w:eastAsia="zh-CN"/>
        </w:rPr>
        <w:t>投标方</w:t>
      </w:r>
      <w:r>
        <w:rPr>
          <w:color w:val="auto"/>
          <w:sz w:val="24"/>
          <w:highlight w:val="none"/>
        </w:rPr>
        <w:t>应保证在所提供设备外壳 1 m处的噪声不超过 85 dB(A)。</w:t>
      </w:r>
    </w:p>
    <w:p w14:paraId="014CD59A">
      <w:pPr>
        <w:spacing w:line="360" w:lineRule="auto"/>
        <w:outlineLvl w:val="2"/>
        <w:rPr>
          <w:b/>
          <w:color w:val="auto"/>
          <w:sz w:val="24"/>
          <w:highlight w:val="none"/>
        </w:rPr>
      </w:pPr>
      <w:r>
        <w:rPr>
          <w:b/>
          <w:color w:val="auto"/>
          <w:sz w:val="24"/>
          <w:highlight w:val="none"/>
        </w:rPr>
        <w:t>2.14 防腐衬里</w:t>
      </w:r>
    </w:p>
    <w:p w14:paraId="7A46713A">
      <w:pPr>
        <w:adjustRightInd w:val="0"/>
        <w:spacing w:line="360" w:lineRule="auto"/>
        <w:textAlignment w:val="baseline"/>
        <w:rPr>
          <w:rFonts w:hint="eastAsia" w:eastAsia="宋体"/>
          <w:color w:val="auto"/>
          <w:sz w:val="24"/>
          <w:highlight w:val="none"/>
          <w:lang w:eastAsia="zh-CN"/>
        </w:rPr>
      </w:pPr>
      <w:r>
        <w:rPr>
          <w:color w:val="auto"/>
          <w:sz w:val="24"/>
          <w:highlight w:val="none"/>
        </w:rPr>
        <w:t>2.14.1 橡胶内衬</w:t>
      </w:r>
    </w:p>
    <w:p w14:paraId="5C7D7719">
      <w:pPr>
        <w:spacing w:line="360" w:lineRule="auto"/>
        <w:ind w:firstLine="480"/>
        <w:rPr>
          <w:color w:val="auto"/>
          <w:sz w:val="24"/>
          <w:highlight w:val="none"/>
        </w:rPr>
      </w:pPr>
      <w:r>
        <w:rPr>
          <w:color w:val="auto"/>
          <w:sz w:val="24"/>
          <w:highlight w:val="none"/>
        </w:rPr>
        <w:t>橡胶内衬材料包括橡胶、粘接剂、底漆等，橡胶的原材料采用</w:t>
      </w:r>
      <w:r>
        <w:rPr>
          <w:rFonts w:hint="default"/>
          <w:color w:val="auto"/>
          <w:sz w:val="24"/>
          <w:highlight w:val="none"/>
          <w:lang w:val="en-US" w:eastAsia="zh-CN"/>
        </w:rPr>
        <w:t>圣辉橡塑、上海富晨化工、顺豪新材料等</w:t>
      </w:r>
      <w:r>
        <w:rPr>
          <w:color w:val="auto"/>
          <w:sz w:val="24"/>
          <w:highlight w:val="none"/>
        </w:rPr>
        <w:t>品牌。如</w:t>
      </w:r>
      <w:r>
        <w:rPr>
          <w:rFonts w:hint="eastAsia"/>
          <w:color w:val="auto"/>
          <w:sz w:val="24"/>
          <w:highlight w:val="none"/>
        </w:rPr>
        <w:t>协议</w:t>
      </w:r>
      <w:r>
        <w:rPr>
          <w:color w:val="auto"/>
          <w:sz w:val="24"/>
          <w:highlight w:val="none"/>
        </w:rPr>
        <w:t>无特殊要求，需要防腐的钢制箱罐和容器应使用至少4m</w:t>
      </w:r>
      <w:r>
        <w:rPr>
          <w:rFonts w:hint="default"/>
          <w:color w:val="auto"/>
          <w:sz w:val="24"/>
          <w:highlight w:val="none"/>
          <w:lang w:val="en-US"/>
        </w:rPr>
        <w:t>m</w:t>
      </w:r>
      <w:r>
        <w:rPr>
          <w:color w:val="auto"/>
          <w:sz w:val="24"/>
          <w:highlight w:val="none"/>
        </w:rPr>
        <w:t>厚的丁基橡胶衬里。</w:t>
      </w:r>
    </w:p>
    <w:p w14:paraId="1325B3F1">
      <w:pPr>
        <w:spacing w:line="360" w:lineRule="auto"/>
        <w:ind w:firstLine="480"/>
        <w:rPr>
          <w:color w:val="auto"/>
          <w:sz w:val="24"/>
          <w:highlight w:val="none"/>
        </w:rPr>
      </w:pPr>
      <w:r>
        <w:rPr>
          <w:color w:val="auto"/>
          <w:sz w:val="24"/>
          <w:highlight w:val="none"/>
        </w:rPr>
        <w:t>在内衬工作全部完成后将进行检查，包括必要的维修和干层厚度检验，电火花检验和整个内衬表面的视觉检查。</w:t>
      </w:r>
    </w:p>
    <w:p w14:paraId="7EED1C0E">
      <w:pPr>
        <w:spacing w:line="360" w:lineRule="auto"/>
        <w:ind w:firstLine="480"/>
        <w:rPr>
          <w:color w:val="auto"/>
          <w:sz w:val="24"/>
          <w:highlight w:val="none"/>
        </w:rPr>
      </w:pPr>
      <w:r>
        <w:rPr>
          <w:color w:val="auto"/>
          <w:sz w:val="24"/>
          <w:highlight w:val="none"/>
        </w:rPr>
        <w:t>内衬材料必须具有抗化学腐蚀性，极好的粘附性等。</w:t>
      </w:r>
    </w:p>
    <w:p w14:paraId="029BD9BD">
      <w:pPr>
        <w:spacing w:line="360" w:lineRule="auto"/>
        <w:ind w:firstLine="480"/>
        <w:rPr>
          <w:color w:val="auto"/>
          <w:sz w:val="24"/>
          <w:highlight w:val="none"/>
        </w:rPr>
      </w:pPr>
      <w:r>
        <w:rPr>
          <w:color w:val="auto"/>
          <w:sz w:val="24"/>
          <w:highlight w:val="none"/>
        </w:rPr>
        <w:t>对合金钢和需要橡胶内衬的碳钢间接触面应保证没有防腐间隙。</w:t>
      </w:r>
    </w:p>
    <w:p w14:paraId="78266BCD">
      <w:pPr>
        <w:spacing w:line="360" w:lineRule="auto"/>
        <w:ind w:firstLine="480"/>
        <w:rPr>
          <w:color w:val="auto"/>
          <w:sz w:val="24"/>
          <w:highlight w:val="none"/>
        </w:rPr>
      </w:pPr>
      <w:r>
        <w:rPr>
          <w:color w:val="auto"/>
          <w:sz w:val="24"/>
          <w:highlight w:val="none"/>
        </w:rPr>
        <w:t>箱罐、烟道和浆坑的内衬工作在现场施工，其他所有需要内衬的设备和部件都应设计为在工厂进行内衬。</w:t>
      </w:r>
    </w:p>
    <w:p w14:paraId="7C6EE894">
      <w:pPr>
        <w:spacing w:line="360" w:lineRule="auto"/>
        <w:ind w:firstLine="480"/>
        <w:rPr>
          <w:color w:val="auto"/>
          <w:sz w:val="24"/>
          <w:highlight w:val="none"/>
        </w:rPr>
      </w:pPr>
      <w:r>
        <w:rPr>
          <w:color w:val="auto"/>
          <w:sz w:val="24"/>
          <w:highlight w:val="none"/>
        </w:rPr>
        <w:t>所有需要内衬的设备/管道都应设计成易于进行衬胶的准备和施工。</w:t>
      </w:r>
    </w:p>
    <w:p w14:paraId="34BC4B69">
      <w:pPr>
        <w:spacing w:line="360" w:lineRule="auto"/>
        <w:ind w:firstLine="480"/>
        <w:rPr>
          <w:color w:val="auto"/>
          <w:sz w:val="24"/>
          <w:highlight w:val="none"/>
        </w:rPr>
      </w:pPr>
      <w:r>
        <w:rPr>
          <w:color w:val="auto"/>
          <w:sz w:val="24"/>
          <w:highlight w:val="none"/>
        </w:rPr>
        <w:t>所有的接口均采用法兰连接。</w:t>
      </w:r>
    </w:p>
    <w:p w14:paraId="694965C0">
      <w:pPr>
        <w:spacing w:line="360" w:lineRule="auto"/>
        <w:ind w:firstLine="480"/>
        <w:rPr>
          <w:color w:val="auto"/>
          <w:sz w:val="24"/>
          <w:highlight w:val="none"/>
        </w:rPr>
      </w:pPr>
      <w:r>
        <w:rPr>
          <w:color w:val="auto"/>
          <w:sz w:val="24"/>
          <w:highlight w:val="none"/>
        </w:rPr>
        <w:t>所有衬胶的部件应清除尖锐的边角，并根据使用的橡胶材料调整拐角处的半径。孔边缘必须修整，并给橡胶内衬厚度留下余量。</w:t>
      </w:r>
    </w:p>
    <w:p w14:paraId="6DC67EB1">
      <w:pPr>
        <w:spacing w:line="360" w:lineRule="auto"/>
        <w:ind w:firstLine="480"/>
        <w:rPr>
          <w:color w:val="auto"/>
          <w:sz w:val="24"/>
          <w:highlight w:val="none"/>
        </w:rPr>
      </w:pPr>
      <w:r>
        <w:rPr>
          <w:color w:val="auto"/>
          <w:sz w:val="24"/>
          <w:highlight w:val="none"/>
        </w:rPr>
        <w:t>不允许对加衬后的任何设备进行焊接。在设备壳体衬胶边界加上标记，并且在边界的醒目位置加上至少150mm高的如下语句“衬胶，不允许焊接”。箱罐和容器在未通过水压试验之前，不允许进行衬胶。</w:t>
      </w:r>
    </w:p>
    <w:p w14:paraId="1324E2FD">
      <w:pPr>
        <w:spacing w:line="360" w:lineRule="auto"/>
        <w:ind w:firstLine="480"/>
        <w:rPr>
          <w:color w:val="auto"/>
          <w:sz w:val="24"/>
          <w:highlight w:val="none"/>
        </w:rPr>
      </w:pPr>
      <w:r>
        <w:rPr>
          <w:color w:val="auto"/>
          <w:sz w:val="24"/>
          <w:highlight w:val="none"/>
        </w:rPr>
        <w:t>在喷砂打磨后，衬胶的表面必须没有间隙、焊接毛刺、小孔、渣夹杂物，喷砂后的迭层和其它缺陷，</w:t>
      </w:r>
      <w:r>
        <w:rPr>
          <w:rFonts w:hint="eastAsia"/>
          <w:color w:val="auto"/>
          <w:sz w:val="24"/>
          <w:highlight w:val="none"/>
          <w:lang w:eastAsia="zh-CN"/>
        </w:rPr>
        <w:t>投标方</w:t>
      </w:r>
      <w:r>
        <w:rPr>
          <w:color w:val="auto"/>
          <w:sz w:val="24"/>
          <w:highlight w:val="none"/>
        </w:rPr>
        <w:t>应确认是否达到衬胶要求。</w:t>
      </w:r>
    </w:p>
    <w:p w14:paraId="1CF86B80">
      <w:pPr>
        <w:spacing w:line="360" w:lineRule="auto"/>
        <w:ind w:firstLine="480"/>
        <w:rPr>
          <w:color w:val="auto"/>
          <w:sz w:val="24"/>
          <w:highlight w:val="none"/>
        </w:rPr>
      </w:pPr>
      <w:r>
        <w:rPr>
          <w:color w:val="auto"/>
          <w:sz w:val="24"/>
          <w:highlight w:val="none"/>
        </w:rPr>
        <w:t>所需衬胶管件的表面应打磨光滑无附着物，边缘应圆滑。</w:t>
      </w:r>
    </w:p>
    <w:p w14:paraId="033B3B45">
      <w:pPr>
        <w:spacing w:line="360" w:lineRule="auto"/>
        <w:ind w:firstLine="480"/>
        <w:rPr>
          <w:color w:val="auto"/>
          <w:sz w:val="24"/>
          <w:highlight w:val="none"/>
        </w:rPr>
      </w:pPr>
      <w:r>
        <w:rPr>
          <w:color w:val="auto"/>
          <w:sz w:val="24"/>
          <w:highlight w:val="none"/>
        </w:rPr>
        <w:t>不允许在需加橡胶材料的区域作加工标记。</w:t>
      </w:r>
    </w:p>
    <w:p w14:paraId="41880A47">
      <w:pPr>
        <w:spacing w:line="360" w:lineRule="auto"/>
        <w:ind w:firstLine="480"/>
        <w:rPr>
          <w:color w:val="auto"/>
          <w:sz w:val="24"/>
          <w:highlight w:val="none"/>
        </w:rPr>
      </w:pPr>
      <w:r>
        <w:rPr>
          <w:color w:val="auto"/>
          <w:sz w:val="24"/>
          <w:highlight w:val="none"/>
        </w:rPr>
        <w:t>对于衬胶焊缝钢管，只允许纵向焊接，不接受螺旋形焊接管。</w:t>
      </w:r>
    </w:p>
    <w:p w14:paraId="6ACEFBD3">
      <w:pPr>
        <w:spacing w:line="360" w:lineRule="auto"/>
        <w:ind w:firstLine="480"/>
        <w:rPr>
          <w:color w:val="auto"/>
          <w:sz w:val="24"/>
          <w:highlight w:val="none"/>
        </w:rPr>
      </w:pPr>
      <w:r>
        <w:rPr>
          <w:color w:val="auto"/>
          <w:sz w:val="24"/>
          <w:highlight w:val="none"/>
        </w:rPr>
        <w:t>衬胶法兰之间直管最大长度应符合相关标准。管道，配件和法兰不能有油脂或其它粘性层，平端管在内外侧都应设计有45°的倒角。</w:t>
      </w:r>
    </w:p>
    <w:p w14:paraId="78F438ED">
      <w:pPr>
        <w:spacing w:line="360" w:lineRule="auto"/>
        <w:ind w:firstLine="480"/>
        <w:rPr>
          <w:color w:val="auto"/>
          <w:sz w:val="24"/>
          <w:highlight w:val="none"/>
        </w:rPr>
      </w:pPr>
      <w:r>
        <w:rPr>
          <w:color w:val="auto"/>
          <w:sz w:val="24"/>
          <w:highlight w:val="none"/>
        </w:rPr>
        <w:t>对于脱硫系统部件的内衬材料，只能选用优质的具有使用业绩的材料（如丁基橡胶）。</w:t>
      </w:r>
    </w:p>
    <w:p w14:paraId="07ADF0F3">
      <w:pPr>
        <w:spacing w:line="360" w:lineRule="auto"/>
        <w:ind w:firstLine="480"/>
        <w:rPr>
          <w:color w:val="auto"/>
          <w:sz w:val="24"/>
          <w:highlight w:val="none"/>
        </w:rPr>
      </w:pPr>
      <w:r>
        <w:rPr>
          <w:color w:val="auto"/>
          <w:sz w:val="24"/>
          <w:highlight w:val="none"/>
        </w:rPr>
        <w:t>通过在衬胶期间从每一批产品中取样品，根据设计标准对粘接剂和底漆作以下检查：密度，粘度，附着力。</w:t>
      </w:r>
    </w:p>
    <w:p w14:paraId="2464649F">
      <w:pPr>
        <w:spacing w:line="360" w:lineRule="auto"/>
        <w:ind w:firstLine="480"/>
        <w:rPr>
          <w:color w:val="auto"/>
          <w:sz w:val="24"/>
          <w:highlight w:val="none"/>
        </w:rPr>
      </w:pPr>
      <w:r>
        <w:rPr>
          <w:color w:val="auto"/>
          <w:sz w:val="24"/>
          <w:highlight w:val="none"/>
        </w:rPr>
        <w:t>在工厂衬胶的部件应根据有关规定进行运输准备，包括贴标签、包装、材料保存。</w:t>
      </w:r>
    </w:p>
    <w:p w14:paraId="0095DA35">
      <w:pPr>
        <w:spacing w:line="360" w:lineRule="auto"/>
        <w:ind w:firstLine="480"/>
        <w:rPr>
          <w:color w:val="auto"/>
          <w:sz w:val="24"/>
          <w:highlight w:val="none"/>
        </w:rPr>
      </w:pPr>
      <w:r>
        <w:rPr>
          <w:color w:val="auto"/>
          <w:sz w:val="24"/>
          <w:highlight w:val="none"/>
        </w:rPr>
        <w:t>工厂进行衬胶的部件在衬胶后加热加压进行硫化，硫化后通过打磨和碾磨机械将法兰表面的硬橡胶加工成同法兰表面平行，在硫化前应避免在管道等的外表面涂漆。</w:t>
      </w:r>
    </w:p>
    <w:p w14:paraId="10C2005A">
      <w:pPr>
        <w:spacing w:line="360" w:lineRule="auto"/>
        <w:ind w:firstLine="480"/>
        <w:rPr>
          <w:color w:val="auto"/>
          <w:sz w:val="24"/>
          <w:highlight w:val="none"/>
        </w:rPr>
      </w:pPr>
      <w:r>
        <w:rPr>
          <w:color w:val="auto"/>
          <w:sz w:val="24"/>
          <w:highlight w:val="none"/>
        </w:rPr>
        <w:t>在衬胶准备和施工期间，需要衬胶的表面不应有水份。</w:t>
      </w:r>
    </w:p>
    <w:p w14:paraId="2226FA25">
      <w:pPr>
        <w:spacing w:line="360" w:lineRule="auto"/>
        <w:ind w:firstLine="480"/>
        <w:rPr>
          <w:color w:val="auto"/>
          <w:sz w:val="24"/>
          <w:highlight w:val="none"/>
        </w:rPr>
      </w:pPr>
      <w:r>
        <w:rPr>
          <w:color w:val="auto"/>
          <w:sz w:val="24"/>
          <w:highlight w:val="none"/>
        </w:rPr>
        <w:t>所有油脂和其它污染物将在喷砂之前用溶剂或乳化液清除。</w:t>
      </w:r>
    </w:p>
    <w:p w14:paraId="58472C6B">
      <w:pPr>
        <w:spacing w:line="360" w:lineRule="auto"/>
        <w:ind w:firstLine="480"/>
        <w:rPr>
          <w:color w:val="auto"/>
          <w:sz w:val="24"/>
          <w:highlight w:val="none"/>
        </w:rPr>
      </w:pPr>
      <w:r>
        <w:rPr>
          <w:color w:val="auto"/>
          <w:sz w:val="24"/>
          <w:highlight w:val="none"/>
        </w:rPr>
        <w:t>加工和干燥期间应对衬底温度、环境温度、空气相对湿度和空气露点进行连续的测量和记录，所有测量值将记录在备忘录中。从喷砂开始到衬胶完成，空气的相对湿度应保持在65%以下，衬底温度应保持在至少高于露点3℃，</w:t>
      </w:r>
      <w:r>
        <w:rPr>
          <w:rFonts w:hint="eastAsia"/>
          <w:color w:val="auto"/>
          <w:sz w:val="24"/>
          <w:highlight w:val="none"/>
          <w:lang w:eastAsia="zh-CN"/>
        </w:rPr>
        <w:t>投标方</w:t>
      </w:r>
      <w:r>
        <w:rPr>
          <w:color w:val="auto"/>
          <w:sz w:val="24"/>
          <w:highlight w:val="none"/>
        </w:rPr>
        <w:t>应提供喷砂处理的设计标准，所有将衬胶的表面应根据要求进行喷砂处理，以去除铁锈、铁屑、焊迹或其它异物，所有用于喷吹的砂或其它材料应无水分。</w:t>
      </w:r>
    </w:p>
    <w:p w14:paraId="2279DBA5">
      <w:pPr>
        <w:spacing w:line="360" w:lineRule="auto"/>
        <w:ind w:firstLine="480"/>
        <w:rPr>
          <w:color w:val="auto"/>
          <w:sz w:val="24"/>
          <w:highlight w:val="none"/>
        </w:rPr>
      </w:pPr>
      <w:r>
        <w:rPr>
          <w:color w:val="auto"/>
          <w:sz w:val="24"/>
          <w:highlight w:val="none"/>
        </w:rPr>
        <w:t>在喷吹之后，钢表面应首先用毛刷清洁所有磨粉和残留灰尘、最后用真空吸尘器处理。</w:t>
      </w:r>
    </w:p>
    <w:p w14:paraId="1563DFFD">
      <w:pPr>
        <w:spacing w:line="360" w:lineRule="auto"/>
        <w:ind w:firstLine="480"/>
        <w:rPr>
          <w:color w:val="auto"/>
          <w:sz w:val="24"/>
          <w:highlight w:val="none"/>
        </w:rPr>
      </w:pPr>
      <w:r>
        <w:rPr>
          <w:color w:val="auto"/>
          <w:sz w:val="24"/>
          <w:highlight w:val="none"/>
        </w:rPr>
        <w:t>喷吹介质由使用者选择并在备忘录中陈述，喷吹介质应是清洁和干燥的，喷吹用压缩空气不应有油、污物和水，在喷砂之后，表面将进行彻底的检查而且是否适合开始衬胶工作，将由</w:t>
      </w:r>
      <w:r>
        <w:rPr>
          <w:rFonts w:hint="eastAsia"/>
          <w:color w:val="auto"/>
          <w:sz w:val="24"/>
          <w:highlight w:val="none"/>
          <w:lang w:eastAsia="zh-CN"/>
        </w:rPr>
        <w:t>投标方</w:t>
      </w:r>
      <w:r>
        <w:rPr>
          <w:color w:val="auto"/>
          <w:sz w:val="24"/>
          <w:highlight w:val="none"/>
        </w:rPr>
        <w:t>确认并将结果写入备忘录。</w:t>
      </w:r>
    </w:p>
    <w:p w14:paraId="4D17A120">
      <w:pPr>
        <w:spacing w:line="360" w:lineRule="auto"/>
        <w:ind w:firstLine="480"/>
        <w:rPr>
          <w:color w:val="auto"/>
          <w:sz w:val="24"/>
          <w:highlight w:val="none"/>
        </w:rPr>
      </w:pPr>
      <w:r>
        <w:rPr>
          <w:color w:val="auto"/>
          <w:sz w:val="24"/>
          <w:highlight w:val="none"/>
        </w:rPr>
        <w:t>在衬胶部件和非衬胶部件的接合处采用法兰连接，接缝也应由橡胶材料加以保护，保证在缝口区域充分的粘附性，设计和加工应得到</w:t>
      </w:r>
      <w:r>
        <w:rPr>
          <w:rFonts w:hint="eastAsia"/>
          <w:color w:val="auto"/>
          <w:sz w:val="24"/>
          <w:highlight w:val="none"/>
          <w:lang w:eastAsia="zh-CN"/>
        </w:rPr>
        <w:t>招标方</w:t>
      </w:r>
      <w:r>
        <w:rPr>
          <w:color w:val="auto"/>
          <w:sz w:val="24"/>
          <w:highlight w:val="none"/>
        </w:rPr>
        <w:t>的同意。</w:t>
      </w:r>
    </w:p>
    <w:p w14:paraId="00277BC3">
      <w:pPr>
        <w:spacing w:line="360" w:lineRule="auto"/>
        <w:ind w:firstLine="480" w:firstLineChars="200"/>
        <w:rPr>
          <w:color w:val="auto"/>
          <w:sz w:val="24"/>
          <w:highlight w:val="none"/>
        </w:rPr>
      </w:pPr>
      <w:r>
        <w:rPr>
          <w:color w:val="auto"/>
          <w:sz w:val="24"/>
          <w:highlight w:val="none"/>
        </w:rPr>
        <w:t>法兰的内衬必须覆盖法兰表面上的管道口，以保证未加工的边缘不与工作介质接触。</w:t>
      </w:r>
    </w:p>
    <w:p w14:paraId="7488147C">
      <w:pPr>
        <w:spacing w:line="360" w:lineRule="auto"/>
        <w:ind w:firstLine="425"/>
        <w:rPr>
          <w:color w:val="auto"/>
          <w:sz w:val="24"/>
          <w:highlight w:val="none"/>
        </w:rPr>
      </w:pPr>
      <w:r>
        <w:rPr>
          <w:color w:val="auto"/>
          <w:sz w:val="24"/>
          <w:highlight w:val="none"/>
        </w:rPr>
        <w:t>工厂加工的配件、泵等在到达现场后，应贮存在密封区域以保证表面无水或与污物接触，最好储存在木板上，并注意除非有木板分离，否则不允许产品层叠堆放。</w:t>
      </w:r>
    </w:p>
    <w:p w14:paraId="1E673F8A">
      <w:pPr>
        <w:spacing w:line="360" w:lineRule="auto"/>
        <w:ind w:firstLine="425"/>
        <w:rPr>
          <w:color w:val="auto"/>
          <w:sz w:val="24"/>
          <w:highlight w:val="none"/>
        </w:rPr>
      </w:pPr>
      <w:r>
        <w:rPr>
          <w:color w:val="auto"/>
          <w:sz w:val="24"/>
          <w:highlight w:val="none"/>
        </w:rPr>
        <w:t>到需要最终安装时，才能拆除衬胶设备的包装。</w:t>
      </w:r>
    </w:p>
    <w:p w14:paraId="2E7A4348">
      <w:pPr>
        <w:tabs>
          <w:tab w:val="left" w:pos="851"/>
        </w:tabs>
        <w:adjustRightInd w:val="0"/>
        <w:spacing w:line="360" w:lineRule="auto"/>
        <w:textAlignment w:val="baseline"/>
        <w:rPr>
          <w:color w:val="auto"/>
          <w:sz w:val="24"/>
          <w:highlight w:val="none"/>
        </w:rPr>
      </w:pPr>
      <w:r>
        <w:rPr>
          <w:color w:val="auto"/>
          <w:sz w:val="24"/>
          <w:highlight w:val="none"/>
        </w:rPr>
        <w:t>2.14.2 玻璃钢（FRP）</w:t>
      </w:r>
    </w:p>
    <w:p w14:paraId="6902A045">
      <w:pPr>
        <w:spacing w:line="360" w:lineRule="auto"/>
        <w:ind w:firstLine="425"/>
        <w:rPr>
          <w:color w:val="auto"/>
          <w:sz w:val="24"/>
          <w:highlight w:val="none"/>
        </w:rPr>
      </w:pPr>
      <w:r>
        <w:rPr>
          <w:color w:val="auto"/>
          <w:sz w:val="24"/>
          <w:highlight w:val="none"/>
        </w:rPr>
        <w:t>本章节是FRP的设计、制造和质量控制的最低要求。</w:t>
      </w:r>
    </w:p>
    <w:p w14:paraId="34947E35">
      <w:pPr>
        <w:spacing w:line="360" w:lineRule="auto"/>
        <w:ind w:firstLine="425"/>
        <w:rPr>
          <w:color w:val="auto"/>
          <w:sz w:val="24"/>
          <w:highlight w:val="none"/>
        </w:rPr>
      </w:pPr>
      <w:r>
        <w:rPr>
          <w:color w:val="auto"/>
          <w:sz w:val="24"/>
          <w:highlight w:val="none"/>
        </w:rPr>
        <w:t>对于在此没明确指定的条款，</w:t>
      </w:r>
      <w:r>
        <w:rPr>
          <w:rFonts w:hint="eastAsia"/>
          <w:color w:val="auto"/>
          <w:sz w:val="24"/>
          <w:highlight w:val="none"/>
          <w:lang w:eastAsia="zh-CN"/>
        </w:rPr>
        <w:t>投标方</w:t>
      </w:r>
      <w:r>
        <w:rPr>
          <w:color w:val="auto"/>
          <w:sz w:val="24"/>
          <w:highlight w:val="none"/>
        </w:rPr>
        <w:t>的设计应严格遵守制造和检查的规定和标准。管道系统设计应考虑：</w:t>
      </w:r>
    </w:p>
    <w:p w14:paraId="49D203B1">
      <w:pPr>
        <w:spacing w:line="360" w:lineRule="auto"/>
        <w:ind w:firstLine="520" w:firstLineChars="217"/>
        <w:rPr>
          <w:color w:val="auto"/>
          <w:sz w:val="24"/>
          <w:highlight w:val="none"/>
        </w:rPr>
      </w:pPr>
      <w:r>
        <w:rPr>
          <w:color w:val="auto"/>
          <w:sz w:val="24"/>
          <w:highlight w:val="none"/>
        </w:rPr>
        <w:t>(1)</w:t>
      </w:r>
      <w:r>
        <w:rPr>
          <w:rFonts w:hint="eastAsia"/>
          <w:color w:val="auto"/>
          <w:sz w:val="24"/>
          <w:highlight w:val="none"/>
          <w:lang w:eastAsia="zh-CN"/>
        </w:rPr>
        <w:t>投标方</w:t>
      </w:r>
      <w:r>
        <w:rPr>
          <w:color w:val="auto"/>
          <w:sz w:val="24"/>
          <w:highlight w:val="none"/>
        </w:rPr>
        <w:t>基于以往经验的推荐</w:t>
      </w:r>
    </w:p>
    <w:p w14:paraId="541F6602">
      <w:pPr>
        <w:spacing w:line="360" w:lineRule="auto"/>
        <w:ind w:firstLine="520" w:firstLineChars="217"/>
        <w:rPr>
          <w:color w:val="auto"/>
          <w:sz w:val="24"/>
          <w:highlight w:val="none"/>
        </w:rPr>
      </w:pPr>
      <w:r>
        <w:rPr>
          <w:color w:val="auto"/>
          <w:sz w:val="24"/>
          <w:highlight w:val="none"/>
        </w:rPr>
        <w:t>(2)本项目的设计条件（液体、温度、压力，安装条件，气候等）</w:t>
      </w:r>
    </w:p>
    <w:p w14:paraId="3652D8CE">
      <w:pPr>
        <w:spacing w:line="360" w:lineRule="auto"/>
        <w:ind w:firstLine="520" w:firstLineChars="217"/>
        <w:rPr>
          <w:color w:val="auto"/>
          <w:sz w:val="24"/>
          <w:highlight w:val="none"/>
        </w:rPr>
      </w:pPr>
      <w:r>
        <w:rPr>
          <w:color w:val="auto"/>
          <w:sz w:val="24"/>
          <w:highlight w:val="none"/>
        </w:rPr>
        <w:t>(3)</w:t>
      </w:r>
      <w:r>
        <w:rPr>
          <w:rFonts w:hint="eastAsia"/>
          <w:color w:val="auto"/>
          <w:sz w:val="24"/>
          <w:highlight w:val="none"/>
          <w:lang w:eastAsia="zh-CN"/>
        </w:rPr>
        <w:t>投标方</w:t>
      </w:r>
      <w:r>
        <w:rPr>
          <w:color w:val="auto"/>
          <w:sz w:val="24"/>
          <w:highlight w:val="none"/>
        </w:rPr>
        <w:t>应提供FRP的设计和制造标准。</w:t>
      </w:r>
    </w:p>
    <w:p w14:paraId="44E0E023">
      <w:pPr>
        <w:spacing w:line="360" w:lineRule="auto"/>
        <w:ind w:firstLine="425"/>
        <w:rPr>
          <w:color w:val="auto"/>
          <w:sz w:val="24"/>
          <w:highlight w:val="none"/>
        </w:rPr>
      </w:pPr>
      <w:r>
        <w:rPr>
          <w:color w:val="auto"/>
          <w:sz w:val="24"/>
          <w:highlight w:val="none"/>
        </w:rPr>
        <w:t>管道应用树脂热浸玻璃纤维线卷绕工艺制造。</w:t>
      </w:r>
    </w:p>
    <w:p w14:paraId="6EDF3D52">
      <w:pPr>
        <w:spacing w:line="360" w:lineRule="auto"/>
        <w:ind w:firstLine="425"/>
        <w:rPr>
          <w:color w:val="auto"/>
          <w:sz w:val="24"/>
          <w:highlight w:val="none"/>
        </w:rPr>
      </w:pPr>
      <w:r>
        <w:rPr>
          <w:color w:val="auto"/>
          <w:sz w:val="24"/>
          <w:highlight w:val="none"/>
        </w:rPr>
        <w:t>管道每段长度设计为6 m~12m。</w:t>
      </w:r>
    </w:p>
    <w:p w14:paraId="3C5C921B">
      <w:pPr>
        <w:spacing w:line="360" w:lineRule="auto"/>
        <w:ind w:firstLine="425"/>
        <w:rPr>
          <w:color w:val="auto"/>
          <w:sz w:val="24"/>
          <w:highlight w:val="none"/>
        </w:rPr>
      </w:pPr>
      <w:r>
        <w:rPr>
          <w:color w:val="auto"/>
          <w:sz w:val="24"/>
          <w:highlight w:val="none"/>
        </w:rPr>
        <w:t>为减少连接数量（特别是在现场安装时），</w:t>
      </w:r>
      <w:r>
        <w:rPr>
          <w:rFonts w:hint="eastAsia"/>
          <w:color w:val="auto"/>
          <w:sz w:val="24"/>
          <w:highlight w:val="none"/>
          <w:lang w:eastAsia="zh-CN"/>
        </w:rPr>
        <w:t>投标方</w:t>
      </w:r>
      <w:r>
        <w:rPr>
          <w:color w:val="auto"/>
          <w:sz w:val="24"/>
          <w:highlight w:val="none"/>
        </w:rPr>
        <w:t>应设计为每段最大可能长度的直管。直管段长度的确定应考虑运输问题（海运或公路、铁路运输）。应保证接口和附件的机械和化学性质的连续性。</w:t>
      </w:r>
    </w:p>
    <w:p w14:paraId="604AD184">
      <w:pPr>
        <w:spacing w:line="360" w:lineRule="auto"/>
        <w:ind w:firstLine="425"/>
        <w:rPr>
          <w:color w:val="auto"/>
          <w:sz w:val="24"/>
          <w:highlight w:val="none"/>
        </w:rPr>
      </w:pPr>
      <w:r>
        <w:rPr>
          <w:color w:val="auto"/>
          <w:sz w:val="24"/>
          <w:highlight w:val="none"/>
        </w:rPr>
        <w:t>接头和附件应保持额定管径。</w:t>
      </w:r>
    </w:p>
    <w:p w14:paraId="3BA3896C">
      <w:pPr>
        <w:spacing w:line="360" w:lineRule="auto"/>
        <w:ind w:firstLine="425"/>
        <w:rPr>
          <w:color w:val="auto"/>
          <w:sz w:val="24"/>
          <w:highlight w:val="none"/>
        </w:rPr>
      </w:pPr>
      <w:r>
        <w:rPr>
          <w:color w:val="auto"/>
          <w:sz w:val="24"/>
          <w:highlight w:val="none"/>
        </w:rPr>
        <w:t>所有FRP部件都有外层树脂保护，以防止紫外线和大气的影响。</w:t>
      </w:r>
    </w:p>
    <w:p w14:paraId="21F28D18">
      <w:pPr>
        <w:spacing w:line="360" w:lineRule="auto"/>
        <w:ind w:firstLine="425"/>
        <w:rPr>
          <w:color w:val="auto"/>
          <w:sz w:val="24"/>
          <w:highlight w:val="none"/>
        </w:rPr>
      </w:pPr>
      <w:r>
        <w:rPr>
          <w:color w:val="auto"/>
          <w:sz w:val="24"/>
          <w:highlight w:val="none"/>
        </w:rPr>
        <w:t>管道和配件的装配将由经过正规技术培训和测试的、持有效证书的工人完成。</w:t>
      </w:r>
    </w:p>
    <w:p w14:paraId="6CB3BA77">
      <w:pPr>
        <w:spacing w:line="360" w:lineRule="auto"/>
        <w:ind w:firstLine="425"/>
        <w:rPr>
          <w:color w:val="auto"/>
          <w:sz w:val="24"/>
          <w:highlight w:val="none"/>
        </w:rPr>
      </w:pPr>
      <w:r>
        <w:rPr>
          <w:color w:val="auto"/>
          <w:sz w:val="24"/>
          <w:highlight w:val="none"/>
        </w:rPr>
        <w:t>FRP管道系统中的阀门和较重的部件应单独悬吊或支撑，以使管道不承受过度的转矩，弯曲和纵向应力。在管道穿墙壁的地方应提供直径至少比管道大50mm的套筒。管道和套筒间的空隙将用在干燥时是坚固而柔软的防水化合物填塞。</w:t>
      </w:r>
    </w:p>
    <w:p w14:paraId="34985500">
      <w:pPr>
        <w:spacing w:line="360" w:lineRule="auto"/>
        <w:ind w:firstLine="425"/>
        <w:rPr>
          <w:color w:val="auto"/>
          <w:sz w:val="24"/>
          <w:highlight w:val="none"/>
        </w:rPr>
      </w:pPr>
      <w:r>
        <w:rPr>
          <w:rFonts w:hint="eastAsia"/>
          <w:color w:val="auto"/>
          <w:sz w:val="24"/>
          <w:highlight w:val="none"/>
          <w:lang w:eastAsia="zh-CN"/>
        </w:rPr>
        <w:t>投标方</w:t>
      </w:r>
      <w:r>
        <w:rPr>
          <w:color w:val="auto"/>
          <w:sz w:val="24"/>
          <w:highlight w:val="none"/>
        </w:rPr>
        <w:t>在进行了管道、接头和附件的设计后，还应为现场安装和连接设计恰当的施工工序。</w:t>
      </w:r>
    </w:p>
    <w:p w14:paraId="0D9AE9A9">
      <w:pPr>
        <w:spacing w:line="360" w:lineRule="auto"/>
        <w:ind w:firstLine="425"/>
        <w:rPr>
          <w:color w:val="auto"/>
          <w:sz w:val="24"/>
          <w:highlight w:val="none"/>
        </w:rPr>
      </w:pPr>
      <w:r>
        <w:rPr>
          <w:rFonts w:hint="eastAsia"/>
          <w:color w:val="auto"/>
          <w:sz w:val="24"/>
          <w:highlight w:val="none"/>
          <w:lang w:eastAsia="zh-CN"/>
        </w:rPr>
        <w:t>投标方</w:t>
      </w:r>
      <w:r>
        <w:rPr>
          <w:color w:val="auto"/>
          <w:sz w:val="24"/>
          <w:highlight w:val="none"/>
        </w:rPr>
        <w:t>应协调现场安装工作，并检查是否按设计的施工工序执行。</w:t>
      </w:r>
    </w:p>
    <w:p w14:paraId="3682463D">
      <w:pPr>
        <w:spacing w:line="360" w:lineRule="auto"/>
        <w:ind w:firstLine="425"/>
        <w:rPr>
          <w:color w:val="auto"/>
          <w:sz w:val="24"/>
          <w:highlight w:val="none"/>
        </w:rPr>
      </w:pPr>
      <w:r>
        <w:rPr>
          <w:rFonts w:hint="eastAsia"/>
          <w:color w:val="auto"/>
          <w:sz w:val="24"/>
          <w:highlight w:val="none"/>
          <w:lang w:eastAsia="zh-CN"/>
        </w:rPr>
        <w:t>投标方</w:t>
      </w:r>
      <w:r>
        <w:rPr>
          <w:color w:val="auto"/>
          <w:sz w:val="24"/>
          <w:highlight w:val="none"/>
        </w:rPr>
        <w:t>应负责对由于错误的工艺或材料引起的所有泄漏和其它缺陷进行修补。无论什么原因引起的管道泄漏或接头的修补，都应去掉包含了缺陷的管段。不允许用任何补块或是其它材料捆绑缺陷部分。如果接口在铺设操作中被损伤，应将其切除，并且连接切掉部分末端，并铺设于此管线中的接头应是标准的管道接头。</w:t>
      </w:r>
    </w:p>
    <w:p w14:paraId="7450DD02">
      <w:pPr>
        <w:tabs>
          <w:tab w:val="left" w:pos="851"/>
        </w:tabs>
        <w:adjustRightInd w:val="0"/>
        <w:spacing w:line="360" w:lineRule="auto"/>
        <w:textAlignment w:val="baseline"/>
        <w:rPr>
          <w:color w:val="auto"/>
          <w:sz w:val="24"/>
          <w:highlight w:val="none"/>
        </w:rPr>
      </w:pPr>
      <w:r>
        <w:rPr>
          <w:color w:val="auto"/>
          <w:sz w:val="24"/>
          <w:highlight w:val="none"/>
        </w:rPr>
        <w:t>2.14.3鳞片树脂内衬</w:t>
      </w:r>
    </w:p>
    <w:p w14:paraId="1AE5C3A7">
      <w:pPr>
        <w:spacing w:line="360" w:lineRule="auto"/>
        <w:ind w:firstLine="480" w:firstLineChars="200"/>
        <w:rPr>
          <w:color w:val="auto"/>
          <w:sz w:val="24"/>
          <w:highlight w:val="none"/>
        </w:rPr>
      </w:pPr>
      <w:r>
        <w:rPr>
          <w:color w:val="auto"/>
          <w:sz w:val="24"/>
          <w:highlight w:val="none"/>
        </w:rPr>
        <w:t>本章节包含了在钢结构表面上进行鳞片内衬的最低要求，但并没有包含内衬的所有技术规范。</w:t>
      </w:r>
      <w:r>
        <w:rPr>
          <w:rFonts w:hint="eastAsia"/>
          <w:color w:val="auto"/>
          <w:sz w:val="24"/>
          <w:highlight w:val="none"/>
          <w:lang w:eastAsia="zh-CN"/>
        </w:rPr>
        <w:t>投标方</w:t>
      </w:r>
      <w:r>
        <w:rPr>
          <w:color w:val="auto"/>
          <w:sz w:val="24"/>
          <w:highlight w:val="none"/>
        </w:rPr>
        <w:t>应使用最新工业标准和提供最好的工艺设计。</w:t>
      </w:r>
    </w:p>
    <w:p w14:paraId="45E07220">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应提供采用的标准和制定质量保证计划并经过</w:t>
      </w:r>
      <w:r>
        <w:rPr>
          <w:rFonts w:hint="eastAsia"/>
          <w:color w:val="auto"/>
          <w:sz w:val="24"/>
          <w:highlight w:val="none"/>
          <w:lang w:eastAsia="zh-CN"/>
        </w:rPr>
        <w:t>招标方</w:t>
      </w:r>
      <w:r>
        <w:rPr>
          <w:color w:val="auto"/>
          <w:sz w:val="24"/>
          <w:highlight w:val="none"/>
        </w:rPr>
        <w:t>同意，以保证根据设计要求正确施工。检查备忘录包括以下内容：</w:t>
      </w:r>
    </w:p>
    <w:p w14:paraId="43AF7591">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ab/>
      </w:r>
      <w:r>
        <w:rPr>
          <w:rFonts w:ascii="Times New Roman"/>
          <w:color w:val="auto"/>
          <w:szCs w:val="24"/>
          <w:highlight w:val="none"/>
        </w:rPr>
        <w:t>表面检查</w:t>
      </w:r>
    </w:p>
    <w:p w14:paraId="1D891740">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ab/>
      </w:r>
      <w:r>
        <w:rPr>
          <w:rFonts w:ascii="Times New Roman"/>
          <w:color w:val="auto"/>
          <w:szCs w:val="24"/>
          <w:highlight w:val="none"/>
        </w:rPr>
        <w:t>内衬记录（温度等）</w:t>
      </w:r>
    </w:p>
    <w:p w14:paraId="4684858F">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ab/>
      </w:r>
      <w:r>
        <w:rPr>
          <w:rFonts w:ascii="Times New Roman"/>
          <w:color w:val="auto"/>
          <w:szCs w:val="24"/>
          <w:highlight w:val="none"/>
        </w:rPr>
        <w:t>内衬检查</w:t>
      </w:r>
    </w:p>
    <w:p w14:paraId="6D7F94A3">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ab/>
      </w:r>
      <w:r>
        <w:rPr>
          <w:rFonts w:ascii="Times New Roman"/>
          <w:color w:val="auto"/>
          <w:szCs w:val="24"/>
          <w:highlight w:val="none"/>
        </w:rPr>
        <w:t>验收报告</w:t>
      </w:r>
    </w:p>
    <w:p w14:paraId="605B5D18">
      <w:pPr>
        <w:spacing w:line="360" w:lineRule="auto"/>
        <w:ind w:firstLine="480" w:firstLineChars="200"/>
        <w:rPr>
          <w:color w:val="auto"/>
          <w:sz w:val="24"/>
          <w:highlight w:val="none"/>
        </w:rPr>
      </w:pPr>
      <w:r>
        <w:rPr>
          <w:color w:val="auto"/>
          <w:sz w:val="24"/>
          <w:highlight w:val="none"/>
        </w:rPr>
        <w:t>在内衬完成后不允许任何种类的焊接。</w:t>
      </w:r>
    </w:p>
    <w:p w14:paraId="5D3AE5AD">
      <w:pPr>
        <w:spacing w:line="360" w:lineRule="auto"/>
        <w:ind w:firstLine="480" w:firstLineChars="200"/>
        <w:rPr>
          <w:color w:val="auto"/>
          <w:sz w:val="24"/>
          <w:highlight w:val="none"/>
        </w:rPr>
      </w:pPr>
      <w:r>
        <w:rPr>
          <w:color w:val="auto"/>
          <w:sz w:val="24"/>
          <w:highlight w:val="none"/>
        </w:rPr>
        <w:t>部件倒角和边的焊接应被加工成圆弧形，所有将内衬的焊缝应是连续的，并同相接表面保持平滑。</w:t>
      </w:r>
    </w:p>
    <w:p w14:paraId="74C72645">
      <w:pPr>
        <w:spacing w:line="360" w:lineRule="auto"/>
        <w:ind w:firstLine="480" w:firstLineChars="200"/>
        <w:rPr>
          <w:color w:val="auto"/>
          <w:sz w:val="24"/>
          <w:highlight w:val="none"/>
        </w:rPr>
      </w:pPr>
      <w:r>
        <w:rPr>
          <w:color w:val="auto"/>
          <w:sz w:val="24"/>
          <w:highlight w:val="none"/>
        </w:rPr>
        <w:t>表面焊接缺陷如裂缝和凹陷应通过重新焊接加以填补，应同邻近表面保持平滑。</w:t>
      </w:r>
    </w:p>
    <w:p w14:paraId="23138B00">
      <w:pPr>
        <w:spacing w:line="360" w:lineRule="auto"/>
        <w:ind w:firstLine="480" w:firstLineChars="200"/>
        <w:rPr>
          <w:color w:val="auto"/>
          <w:sz w:val="24"/>
          <w:highlight w:val="none"/>
        </w:rPr>
      </w:pPr>
      <w:r>
        <w:rPr>
          <w:color w:val="auto"/>
          <w:sz w:val="24"/>
          <w:highlight w:val="none"/>
        </w:rPr>
        <w:t>应清除表面上所有焊接污迹，可采用切削的方式，最后打磨至平滑。</w:t>
      </w:r>
    </w:p>
    <w:p w14:paraId="09FA0115">
      <w:pPr>
        <w:spacing w:line="360" w:lineRule="auto"/>
        <w:ind w:firstLine="480" w:firstLineChars="200"/>
        <w:rPr>
          <w:color w:val="auto"/>
          <w:sz w:val="24"/>
          <w:highlight w:val="none"/>
        </w:rPr>
      </w:pPr>
      <w:r>
        <w:rPr>
          <w:color w:val="auto"/>
          <w:sz w:val="24"/>
          <w:highlight w:val="none"/>
        </w:rPr>
        <w:t>所有内、外的加固件，吊环、支撑和夹子都将在内衬施工开始前焊接到容器或管道上。临时性的夹子或吊环等应在施工前去掉，并且将该区域打磨平滑，所有将内衬的拐角和边应加工成圆弧形。</w:t>
      </w:r>
    </w:p>
    <w:p w14:paraId="4CCF0894">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对需要内衬的金属表面应根据规范进行喷吹处理设计，以获得“白色金属”表面。</w:t>
      </w:r>
    </w:p>
    <w:p w14:paraId="4C71D0A9">
      <w:pPr>
        <w:spacing w:line="360" w:lineRule="auto"/>
        <w:ind w:firstLine="480" w:firstLineChars="200"/>
        <w:rPr>
          <w:color w:val="auto"/>
          <w:sz w:val="24"/>
          <w:highlight w:val="none"/>
        </w:rPr>
      </w:pPr>
      <w:r>
        <w:rPr>
          <w:color w:val="auto"/>
          <w:sz w:val="24"/>
          <w:highlight w:val="none"/>
        </w:rPr>
        <w:t>喷吹介质应由使用者选择并在备忘录中说明。喷吹介质应清洁干燥。压缩空气应没有油、污物和水份。</w:t>
      </w:r>
    </w:p>
    <w:p w14:paraId="59802F4B">
      <w:pPr>
        <w:spacing w:line="360" w:lineRule="auto"/>
        <w:ind w:firstLine="480" w:firstLineChars="200"/>
        <w:rPr>
          <w:color w:val="auto"/>
          <w:sz w:val="24"/>
          <w:highlight w:val="none"/>
        </w:rPr>
      </w:pPr>
      <w:r>
        <w:rPr>
          <w:color w:val="auto"/>
          <w:sz w:val="24"/>
          <w:highlight w:val="none"/>
        </w:rPr>
        <w:t>邻近表面已上了底漆时，附近区域不能进行喷吹，直到上底漆的区域不粘手并得到了保护。</w:t>
      </w:r>
    </w:p>
    <w:p w14:paraId="13BB4D97">
      <w:pPr>
        <w:spacing w:line="360" w:lineRule="auto"/>
        <w:ind w:firstLine="480" w:firstLineChars="200"/>
        <w:rPr>
          <w:color w:val="auto"/>
          <w:sz w:val="24"/>
          <w:highlight w:val="none"/>
        </w:rPr>
      </w:pPr>
      <w:r>
        <w:rPr>
          <w:color w:val="auto"/>
          <w:sz w:val="24"/>
          <w:highlight w:val="none"/>
        </w:rPr>
        <w:t>当存在以下情况时，喷吹不能进行：</w:t>
      </w:r>
    </w:p>
    <w:p w14:paraId="0071DFB9">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——工作区域的相对湿度高于90%；</w:t>
      </w:r>
    </w:p>
    <w:p w14:paraId="5A884172">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——表面温度未超过工作区域空气露点温度3</w:t>
      </w:r>
      <w:r>
        <w:rPr>
          <w:rFonts w:ascii="Times New Roman"/>
          <w:color w:val="auto"/>
          <w:szCs w:val="24"/>
          <w:highlight w:val="none"/>
          <w:vertAlign w:val="superscript"/>
        </w:rPr>
        <w:t>o</w:t>
      </w:r>
      <w:r>
        <w:rPr>
          <w:rFonts w:ascii="Times New Roman"/>
          <w:color w:val="auto"/>
          <w:szCs w:val="24"/>
          <w:highlight w:val="none"/>
        </w:rPr>
        <w:t>C。</w:t>
      </w:r>
    </w:p>
    <w:p w14:paraId="6F3C77D0">
      <w:pPr>
        <w:spacing w:line="360" w:lineRule="auto"/>
        <w:ind w:firstLine="480" w:firstLineChars="200"/>
        <w:rPr>
          <w:color w:val="auto"/>
          <w:sz w:val="24"/>
          <w:highlight w:val="none"/>
        </w:rPr>
      </w:pPr>
      <w:r>
        <w:rPr>
          <w:color w:val="auto"/>
          <w:sz w:val="24"/>
          <w:highlight w:val="none"/>
        </w:rPr>
        <w:t>每次轮班至少测试三次衬底温度，环境温度，空气的相对湿度和空气的露点温度，应进行连续的测量和记录，在施工和干燥期所有测量值将记录在备忘录中。</w:t>
      </w:r>
    </w:p>
    <w:p w14:paraId="4BB7A2A4">
      <w:pPr>
        <w:tabs>
          <w:tab w:val="bar" w:pos="-2400"/>
        </w:tabs>
        <w:spacing w:line="360" w:lineRule="auto"/>
        <w:ind w:firstLine="480" w:firstLineChars="200"/>
        <w:rPr>
          <w:color w:val="auto"/>
          <w:sz w:val="24"/>
          <w:highlight w:val="none"/>
        </w:rPr>
      </w:pPr>
      <w:r>
        <w:rPr>
          <w:color w:val="auto"/>
          <w:sz w:val="24"/>
          <w:highlight w:val="none"/>
        </w:rPr>
        <w:t>所有灰尘和渣将在上底漆前用刷、空气喷吹或真空法进行清除。如果</w:t>
      </w:r>
      <w:r>
        <w:rPr>
          <w:rFonts w:hint="eastAsia"/>
          <w:color w:val="auto"/>
          <w:sz w:val="24"/>
          <w:highlight w:val="none"/>
          <w:lang w:eastAsia="zh-CN"/>
        </w:rPr>
        <w:t>投标方</w:t>
      </w:r>
      <w:r>
        <w:rPr>
          <w:color w:val="auto"/>
          <w:sz w:val="24"/>
          <w:highlight w:val="none"/>
        </w:rPr>
        <w:t>的要求更加严格，则应保留更严格的要求。</w:t>
      </w:r>
    </w:p>
    <w:p w14:paraId="316D3BF3">
      <w:pPr>
        <w:spacing w:line="360" w:lineRule="auto"/>
        <w:ind w:firstLine="480" w:firstLineChars="200"/>
        <w:rPr>
          <w:color w:val="auto"/>
          <w:sz w:val="24"/>
          <w:highlight w:val="none"/>
        </w:rPr>
      </w:pPr>
      <w:r>
        <w:rPr>
          <w:color w:val="auto"/>
          <w:sz w:val="24"/>
          <w:highlight w:val="none"/>
        </w:rPr>
        <w:t>喷吹后表面应在产生可见的表面锈斑之前加底漆，如果发生表面生锈，生锈区域将根据以上要求重新喷吹。可以通过喷、刷或滚动上底漆。</w:t>
      </w:r>
    </w:p>
    <w:p w14:paraId="59B0A1F8">
      <w:pPr>
        <w:spacing w:line="360" w:lineRule="auto"/>
        <w:ind w:firstLine="480" w:firstLineChars="200"/>
        <w:rPr>
          <w:color w:val="auto"/>
          <w:sz w:val="24"/>
          <w:highlight w:val="none"/>
        </w:rPr>
      </w:pPr>
      <w:r>
        <w:rPr>
          <w:color w:val="auto"/>
          <w:sz w:val="24"/>
          <w:highlight w:val="none"/>
        </w:rPr>
        <w:t>当以下任何情况存在时不允许上底漆：</w:t>
      </w:r>
    </w:p>
    <w:p w14:paraId="487C3E06">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——工作区域的相对湿度大于90%；</w:t>
      </w:r>
    </w:p>
    <w:p w14:paraId="778EABCB">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——金属表面的温度未超过工作区域空气露点温度3</w:t>
      </w:r>
      <w:r>
        <w:rPr>
          <w:rFonts w:ascii="Times New Roman"/>
          <w:color w:val="auto"/>
          <w:szCs w:val="24"/>
          <w:highlight w:val="none"/>
          <w:vertAlign w:val="superscript"/>
        </w:rPr>
        <w:t>o</w:t>
      </w:r>
      <w:r>
        <w:rPr>
          <w:rFonts w:ascii="Times New Roman"/>
          <w:color w:val="auto"/>
          <w:szCs w:val="24"/>
          <w:highlight w:val="none"/>
        </w:rPr>
        <w:t>C；</w:t>
      </w:r>
    </w:p>
    <w:p w14:paraId="1AF32537">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——金属表面的温度或工作区域空气的温度高于32</w:t>
      </w:r>
      <w:r>
        <w:rPr>
          <w:rFonts w:ascii="Times New Roman"/>
          <w:color w:val="auto"/>
          <w:szCs w:val="24"/>
          <w:highlight w:val="none"/>
          <w:vertAlign w:val="superscript"/>
        </w:rPr>
        <w:t>o</w:t>
      </w:r>
      <w:r>
        <w:rPr>
          <w:rFonts w:ascii="Times New Roman"/>
          <w:color w:val="auto"/>
          <w:szCs w:val="24"/>
          <w:highlight w:val="none"/>
        </w:rPr>
        <w:t>C或低于10</w:t>
      </w:r>
      <w:r>
        <w:rPr>
          <w:rFonts w:ascii="Times New Roman"/>
          <w:color w:val="auto"/>
          <w:szCs w:val="24"/>
          <w:highlight w:val="none"/>
          <w:vertAlign w:val="superscript"/>
        </w:rPr>
        <w:t>o</w:t>
      </w:r>
      <w:r>
        <w:rPr>
          <w:rFonts w:ascii="Times New Roman"/>
          <w:color w:val="auto"/>
          <w:szCs w:val="24"/>
          <w:highlight w:val="none"/>
        </w:rPr>
        <w:t>C时；</w:t>
      </w:r>
    </w:p>
    <w:p w14:paraId="3B31F8A8">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——金属表面有灰尘、污迹或水分。</w:t>
      </w:r>
    </w:p>
    <w:p w14:paraId="05E3CF6F">
      <w:pPr>
        <w:spacing w:line="360" w:lineRule="auto"/>
        <w:ind w:firstLine="480" w:firstLineChars="200"/>
        <w:rPr>
          <w:color w:val="auto"/>
          <w:sz w:val="24"/>
          <w:highlight w:val="none"/>
        </w:rPr>
      </w:pPr>
      <w:r>
        <w:rPr>
          <w:color w:val="auto"/>
          <w:sz w:val="24"/>
          <w:highlight w:val="none"/>
        </w:rPr>
        <w:t>在进行底层内衬施工之前，上的底漆将不超过2星期（在直接阳光照射下1星期）。在底层内衬施工以前底漆应不粘手。</w:t>
      </w:r>
    </w:p>
    <w:p w14:paraId="298254E8">
      <w:pPr>
        <w:spacing w:line="360" w:lineRule="auto"/>
        <w:ind w:firstLine="480" w:firstLineChars="200"/>
        <w:rPr>
          <w:color w:val="auto"/>
          <w:sz w:val="24"/>
          <w:highlight w:val="none"/>
        </w:rPr>
      </w:pPr>
      <w:r>
        <w:rPr>
          <w:color w:val="auto"/>
          <w:sz w:val="24"/>
          <w:highlight w:val="none"/>
        </w:rPr>
        <w:t>当存在以下任何情况则不能进行施工：</w:t>
      </w:r>
    </w:p>
    <w:p w14:paraId="39E472CF">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——工作区域的相对湿度超过90%；</w:t>
      </w:r>
    </w:p>
    <w:p w14:paraId="28CE2B61">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——表面温度未超过工作区域空气露点温度3</w:t>
      </w:r>
      <w:r>
        <w:rPr>
          <w:rFonts w:ascii="Times New Roman"/>
          <w:color w:val="auto"/>
          <w:szCs w:val="24"/>
          <w:highlight w:val="none"/>
          <w:vertAlign w:val="superscript"/>
        </w:rPr>
        <w:t>o</w:t>
      </w:r>
      <w:r>
        <w:rPr>
          <w:rFonts w:ascii="Times New Roman"/>
          <w:color w:val="auto"/>
          <w:szCs w:val="24"/>
          <w:highlight w:val="none"/>
        </w:rPr>
        <w:t>C；</w:t>
      </w:r>
    </w:p>
    <w:p w14:paraId="74613C37">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——表面的温度或工作区域空气的温度高于32</w:t>
      </w:r>
      <w:r>
        <w:rPr>
          <w:rFonts w:ascii="Times New Roman"/>
          <w:color w:val="auto"/>
          <w:szCs w:val="24"/>
          <w:highlight w:val="none"/>
          <w:vertAlign w:val="superscript"/>
        </w:rPr>
        <w:t>o</w:t>
      </w:r>
      <w:r>
        <w:rPr>
          <w:rFonts w:ascii="Times New Roman"/>
          <w:color w:val="auto"/>
          <w:szCs w:val="24"/>
          <w:highlight w:val="none"/>
        </w:rPr>
        <w:t>C或低于10</w:t>
      </w:r>
      <w:r>
        <w:rPr>
          <w:rFonts w:ascii="Times New Roman"/>
          <w:color w:val="auto"/>
          <w:szCs w:val="24"/>
          <w:highlight w:val="none"/>
          <w:vertAlign w:val="superscript"/>
        </w:rPr>
        <w:t>o</w:t>
      </w:r>
      <w:r>
        <w:rPr>
          <w:rFonts w:ascii="Times New Roman"/>
          <w:color w:val="auto"/>
          <w:szCs w:val="24"/>
          <w:highlight w:val="none"/>
        </w:rPr>
        <w:t>C。</w:t>
      </w:r>
    </w:p>
    <w:p w14:paraId="42DF8A87">
      <w:pPr>
        <w:spacing w:line="360" w:lineRule="auto"/>
        <w:ind w:firstLine="480" w:firstLineChars="200"/>
        <w:rPr>
          <w:color w:val="auto"/>
          <w:sz w:val="24"/>
          <w:highlight w:val="none"/>
        </w:rPr>
      </w:pPr>
      <w:r>
        <w:rPr>
          <w:color w:val="auto"/>
          <w:sz w:val="24"/>
          <w:highlight w:val="none"/>
        </w:rPr>
        <w:t>内衬工作通过用平滑的滚刷来完成。</w:t>
      </w:r>
    </w:p>
    <w:p w14:paraId="4D2F29B9">
      <w:pPr>
        <w:spacing w:line="360" w:lineRule="auto"/>
        <w:ind w:firstLine="480" w:firstLineChars="200"/>
        <w:rPr>
          <w:color w:val="auto"/>
          <w:sz w:val="24"/>
          <w:highlight w:val="none"/>
        </w:rPr>
      </w:pPr>
      <w:r>
        <w:rPr>
          <w:color w:val="auto"/>
          <w:sz w:val="24"/>
          <w:highlight w:val="none"/>
        </w:rPr>
        <w:t>在内衬工作全部完成后将进行检查，包括必要的维修和干层厚度检验，电火花检验和整个内衬表面的视觉检查，可拒绝接收的条款包括：</w:t>
      </w:r>
    </w:p>
    <w:p w14:paraId="7AEB492B">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（1）涂层极度的不均匀。</w:t>
      </w:r>
    </w:p>
    <w:p w14:paraId="7BE07D52">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（2）水泡，气泡，开裂，埋入了颗粒，不一致的颜色或剥落。</w:t>
      </w:r>
    </w:p>
    <w:p w14:paraId="0ADF0824">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（3）涂层里有异物。</w:t>
      </w:r>
    </w:p>
    <w:p w14:paraId="20F9BF5F">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（4）机械损伤和切割。</w:t>
      </w:r>
    </w:p>
    <w:p w14:paraId="1B6F5DB3">
      <w:pPr>
        <w:pStyle w:val="134"/>
        <w:spacing w:line="360" w:lineRule="auto"/>
        <w:ind w:firstLine="480" w:firstLineChars="200"/>
        <w:rPr>
          <w:rFonts w:ascii="Times New Roman"/>
          <w:color w:val="auto"/>
          <w:highlight w:val="none"/>
        </w:rPr>
      </w:pPr>
      <w:r>
        <w:rPr>
          <w:rFonts w:ascii="Times New Roman"/>
          <w:color w:val="auto"/>
          <w:highlight w:val="none"/>
        </w:rPr>
        <w:t>（5）顶层明显见到了底层。</w:t>
      </w:r>
    </w:p>
    <w:p w14:paraId="74BC2EAB">
      <w:pPr>
        <w:pStyle w:val="134"/>
        <w:spacing w:line="360" w:lineRule="auto"/>
        <w:ind w:firstLine="480" w:firstLineChars="200"/>
        <w:rPr>
          <w:rFonts w:hint="eastAsia" w:ascii="Times New Roman"/>
          <w:color w:val="auto"/>
          <w:highlight w:val="none"/>
        </w:rPr>
      </w:pPr>
      <w:r>
        <w:rPr>
          <w:rFonts w:ascii="Times New Roman"/>
          <w:color w:val="auto"/>
          <w:highlight w:val="none"/>
        </w:rPr>
        <w:t>（</w:t>
      </w:r>
      <w:r>
        <w:rPr>
          <w:rFonts w:hint="eastAsia" w:ascii="Times New Roman"/>
          <w:color w:val="auto"/>
          <w:highlight w:val="none"/>
        </w:rPr>
        <w:t>6</w:t>
      </w:r>
      <w:r>
        <w:rPr>
          <w:rFonts w:ascii="Times New Roman"/>
          <w:color w:val="auto"/>
          <w:highlight w:val="none"/>
        </w:rPr>
        <w:t>）电火花检验不合格；</w:t>
      </w:r>
    </w:p>
    <w:p w14:paraId="17E94696">
      <w:pPr>
        <w:spacing w:line="360" w:lineRule="auto"/>
        <w:ind w:firstLine="480" w:firstLineChars="200"/>
        <w:rPr>
          <w:color w:val="auto"/>
          <w:sz w:val="24"/>
          <w:highlight w:val="none"/>
        </w:rPr>
      </w:pPr>
      <w:r>
        <w:rPr>
          <w:color w:val="auto"/>
          <w:sz w:val="24"/>
          <w:highlight w:val="none"/>
        </w:rPr>
        <w:t>在视觉检查完成之后，在整个内衬区域进行衬树脂外层，以增加平滑度，树脂外层材料的选择设计应由</w:t>
      </w:r>
      <w:r>
        <w:rPr>
          <w:rFonts w:hint="eastAsia"/>
          <w:color w:val="auto"/>
          <w:sz w:val="24"/>
          <w:highlight w:val="none"/>
          <w:lang w:eastAsia="zh-CN"/>
        </w:rPr>
        <w:t>投标方</w:t>
      </w:r>
      <w:r>
        <w:rPr>
          <w:color w:val="auto"/>
          <w:sz w:val="24"/>
          <w:highlight w:val="none"/>
        </w:rPr>
        <w:t>进行。</w:t>
      </w:r>
    </w:p>
    <w:p w14:paraId="704EB9A7">
      <w:pPr>
        <w:spacing w:line="360" w:lineRule="auto"/>
        <w:ind w:firstLine="480" w:firstLineChars="200"/>
        <w:rPr>
          <w:color w:val="auto"/>
          <w:sz w:val="24"/>
          <w:highlight w:val="none"/>
        </w:rPr>
      </w:pPr>
      <w:r>
        <w:rPr>
          <w:color w:val="auto"/>
          <w:sz w:val="24"/>
          <w:highlight w:val="none"/>
        </w:rPr>
        <w:t>从内衬外层至底层的所有涂层应具有不同的颜色或有对比度，涂刷应根据</w:t>
      </w:r>
      <w:r>
        <w:rPr>
          <w:rFonts w:hint="eastAsia"/>
          <w:color w:val="auto"/>
          <w:sz w:val="24"/>
          <w:highlight w:val="none"/>
          <w:lang w:eastAsia="zh-CN"/>
        </w:rPr>
        <w:t>投标方</w:t>
      </w:r>
      <w:r>
        <w:rPr>
          <w:color w:val="auto"/>
          <w:sz w:val="24"/>
          <w:highlight w:val="none"/>
        </w:rPr>
        <w:t>的设计要求进行。</w:t>
      </w:r>
    </w:p>
    <w:p w14:paraId="68355B68">
      <w:pPr>
        <w:spacing w:line="360" w:lineRule="auto"/>
        <w:ind w:firstLine="480" w:firstLineChars="200"/>
        <w:rPr>
          <w:color w:val="auto"/>
          <w:sz w:val="24"/>
          <w:highlight w:val="none"/>
        </w:rPr>
      </w:pPr>
      <w:r>
        <w:rPr>
          <w:color w:val="auto"/>
          <w:sz w:val="24"/>
          <w:highlight w:val="none"/>
        </w:rPr>
        <w:t>在树脂的外层施工完后，在脚手架拆除前，由</w:t>
      </w:r>
      <w:r>
        <w:rPr>
          <w:rFonts w:hint="eastAsia"/>
          <w:color w:val="auto"/>
          <w:sz w:val="24"/>
          <w:highlight w:val="none"/>
          <w:lang w:eastAsia="zh-CN"/>
        </w:rPr>
        <w:t>投标方</w:t>
      </w:r>
      <w:r>
        <w:rPr>
          <w:color w:val="auto"/>
          <w:sz w:val="24"/>
          <w:highlight w:val="none"/>
        </w:rPr>
        <w:t>和</w:t>
      </w:r>
      <w:r>
        <w:rPr>
          <w:rFonts w:hint="eastAsia"/>
          <w:color w:val="auto"/>
          <w:sz w:val="24"/>
          <w:highlight w:val="none"/>
          <w:lang w:eastAsia="zh-CN"/>
        </w:rPr>
        <w:t>招标方</w:t>
      </w:r>
      <w:r>
        <w:rPr>
          <w:color w:val="auto"/>
          <w:sz w:val="24"/>
          <w:highlight w:val="none"/>
        </w:rPr>
        <w:t>进行内衬的最终视觉检查。可拒绝接收的条款同内衬层底层检查列出的情况一样。</w:t>
      </w:r>
    </w:p>
    <w:p w14:paraId="1AAEA5D0">
      <w:pPr>
        <w:spacing w:line="360" w:lineRule="auto"/>
        <w:ind w:firstLine="480" w:firstLineChars="200"/>
        <w:rPr>
          <w:rFonts w:hint="eastAsia"/>
          <w:color w:val="auto"/>
          <w:sz w:val="24"/>
          <w:highlight w:val="none"/>
        </w:rPr>
      </w:pPr>
      <w:r>
        <w:rPr>
          <w:color w:val="auto"/>
          <w:sz w:val="24"/>
          <w:highlight w:val="none"/>
        </w:rPr>
        <w:t>鳞片内衬的原材料须进口。</w:t>
      </w:r>
    </w:p>
    <w:p w14:paraId="2BEF5C80">
      <w:pPr>
        <w:spacing w:line="360" w:lineRule="auto"/>
        <w:outlineLvl w:val="2"/>
        <w:rPr>
          <w:b/>
          <w:color w:val="auto"/>
          <w:sz w:val="24"/>
          <w:highlight w:val="none"/>
        </w:rPr>
      </w:pPr>
      <w:r>
        <w:rPr>
          <w:b/>
          <w:color w:val="auto"/>
          <w:sz w:val="24"/>
          <w:highlight w:val="none"/>
        </w:rPr>
        <w:t>2.15检修起吊设施</w:t>
      </w:r>
    </w:p>
    <w:p w14:paraId="5FF9C375">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应设计脱硫装置检修和维护用的全部固定式和移动式起吊设施。</w:t>
      </w:r>
    </w:p>
    <w:p w14:paraId="26E58D18">
      <w:pPr>
        <w:adjustRightInd w:val="0"/>
        <w:snapToGrid w:val="0"/>
        <w:spacing w:line="360" w:lineRule="auto"/>
        <w:ind w:firstLine="480" w:firstLineChars="200"/>
        <w:rPr>
          <w:color w:val="auto"/>
          <w:sz w:val="24"/>
          <w:highlight w:val="none"/>
        </w:rPr>
      </w:pPr>
      <w:r>
        <w:rPr>
          <w:color w:val="auto"/>
          <w:sz w:val="24"/>
          <w:highlight w:val="none"/>
        </w:rPr>
        <w:t>至少对于大型的泵及电机、风机更替部件应提供起吊设施。</w:t>
      </w:r>
    </w:p>
    <w:p w14:paraId="6316D403">
      <w:pPr>
        <w:adjustRightInd w:val="0"/>
        <w:snapToGrid w:val="0"/>
        <w:spacing w:line="360" w:lineRule="auto"/>
        <w:ind w:firstLine="480" w:firstLineChars="200"/>
        <w:rPr>
          <w:color w:val="auto"/>
          <w:sz w:val="24"/>
          <w:highlight w:val="none"/>
        </w:rPr>
      </w:pPr>
      <w:r>
        <w:rPr>
          <w:color w:val="auto"/>
          <w:sz w:val="24"/>
          <w:highlight w:val="none"/>
        </w:rPr>
        <w:t>应设置单轨使起吊设备能从安装地点移到卡车上或检修场地，而不需更换吊车。</w:t>
      </w:r>
    </w:p>
    <w:p w14:paraId="2FB443B4">
      <w:pPr>
        <w:adjustRightInd w:val="0"/>
        <w:snapToGrid w:val="0"/>
        <w:spacing w:line="360" w:lineRule="auto"/>
        <w:ind w:firstLine="480" w:firstLineChars="200"/>
        <w:rPr>
          <w:color w:val="auto"/>
          <w:sz w:val="24"/>
          <w:highlight w:val="none"/>
        </w:rPr>
      </w:pPr>
      <w:r>
        <w:rPr>
          <w:color w:val="auto"/>
          <w:sz w:val="24"/>
          <w:highlight w:val="none"/>
        </w:rPr>
        <w:t>起重设施包括电动葫芦（吊车）和/或手动链式葫芦，安装于I字轨道上的或固定物上的，以及永久性的和可移动的。</w:t>
      </w:r>
    </w:p>
    <w:p w14:paraId="5CA88047">
      <w:pPr>
        <w:adjustRightInd w:val="0"/>
        <w:snapToGrid w:val="0"/>
        <w:spacing w:line="360" w:lineRule="auto"/>
        <w:ind w:firstLine="480" w:firstLineChars="200"/>
        <w:rPr>
          <w:color w:val="auto"/>
          <w:sz w:val="24"/>
          <w:highlight w:val="none"/>
        </w:rPr>
      </w:pPr>
      <w:r>
        <w:rPr>
          <w:color w:val="auto"/>
          <w:sz w:val="24"/>
          <w:highlight w:val="none"/>
        </w:rPr>
        <w:t>电动葫芦应是永久安装，提升能力为2t及以上，提升高度超过3m。</w:t>
      </w:r>
    </w:p>
    <w:p w14:paraId="1C97F855">
      <w:pPr>
        <w:adjustRightInd w:val="0"/>
        <w:snapToGrid w:val="0"/>
        <w:spacing w:line="360" w:lineRule="auto"/>
        <w:ind w:firstLine="480" w:firstLineChars="200"/>
        <w:rPr>
          <w:color w:val="auto"/>
          <w:sz w:val="24"/>
          <w:highlight w:val="none"/>
        </w:rPr>
      </w:pPr>
      <w:r>
        <w:rPr>
          <w:color w:val="auto"/>
          <w:sz w:val="24"/>
          <w:highlight w:val="none"/>
        </w:rPr>
        <w:t>可移动手动链式葫芦仅用于2t重量以内和提升高度最大为5m的情况，在所有使用可移动手动链式葫芦的地方应提供永久性固定的轨道。</w:t>
      </w:r>
    </w:p>
    <w:p w14:paraId="3FB6CD7D">
      <w:pPr>
        <w:adjustRightInd w:val="0"/>
        <w:snapToGrid w:val="0"/>
        <w:spacing w:line="360" w:lineRule="auto"/>
        <w:ind w:firstLine="480" w:firstLineChars="200"/>
        <w:rPr>
          <w:color w:val="auto"/>
          <w:sz w:val="24"/>
          <w:highlight w:val="none"/>
        </w:rPr>
      </w:pPr>
      <w:r>
        <w:rPr>
          <w:color w:val="auto"/>
          <w:sz w:val="24"/>
          <w:highlight w:val="none"/>
        </w:rPr>
        <w:t>如果一般的起吊设施不能保证相关组件安全提升时，应配备特殊装置。</w:t>
      </w:r>
    </w:p>
    <w:p w14:paraId="30629205">
      <w:pPr>
        <w:adjustRightInd w:val="0"/>
        <w:snapToGrid w:val="0"/>
        <w:spacing w:line="360" w:lineRule="auto"/>
        <w:jc w:val="center"/>
        <w:rPr>
          <w:color w:val="auto"/>
          <w:sz w:val="24"/>
          <w:highlight w:val="none"/>
        </w:rPr>
      </w:pPr>
      <w:r>
        <w:rPr>
          <w:color w:val="auto"/>
          <w:sz w:val="24"/>
          <w:highlight w:val="none"/>
        </w:rPr>
        <w:t>表1-2-2</w:t>
      </w:r>
      <w:r>
        <w:rPr>
          <w:rFonts w:hint="eastAsia"/>
          <w:color w:val="auto"/>
          <w:sz w:val="24"/>
          <w:highlight w:val="none"/>
          <w:lang w:eastAsia="zh-CN"/>
        </w:rPr>
        <w:t>投标方</w:t>
      </w:r>
      <w:r>
        <w:rPr>
          <w:color w:val="auto"/>
          <w:sz w:val="24"/>
          <w:highlight w:val="none"/>
        </w:rPr>
        <w:t>提供的设备起吊设施详细清单（</w:t>
      </w:r>
      <w:r>
        <w:rPr>
          <w:rFonts w:hint="eastAsia"/>
          <w:color w:val="auto"/>
          <w:sz w:val="24"/>
          <w:highlight w:val="none"/>
          <w:lang w:eastAsia="zh-CN"/>
        </w:rPr>
        <w:t>投标方</w:t>
      </w:r>
      <w:r>
        <w:rPr>
          <w:color w:val="auto"/>
          <w:sz w:val="24"/>
          <w:highlight w:val="none"/>
        </w:rPr>
        <w:t>细化详列出）</w:t>
      </w:r>
      <w:r>
        <w:rPr>
          <w:rFonts w:hint="eastAsia"/>
          <w:color w:val="auto"/>
          <w:sz w:val="24"/>
          <w:highlight w:val="none"/>
          <w:lang w:val="en-US" w:eastAsia="zh-CN"/>
        </w:rPr>
        <w:t>可考虑共用，但少于3台</w:t>
      </w:r>
      <w:r>
        <w:rPr>
          <w:color w:val="auto"/>
          <w:sz w:val="24"/>
          <w:highlight w:val="none"/>
        </w:rPr>
        <w:t>：</w:t>
      </w:r>
    </w:p>
    <w:tbl>
      <w:tblPr>
        <w:tblStyle w:val="52"/>
        <w:tblW w:w="0" w:type="auto"/>
        <w:tblInd w:w="-24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2871"/>
        <w:gridCol w:w="1245"/>
        <w:gridCol w:w="1125"/>
        <w:gridCol w:w="775"/>
        <w:gridCol w:w="1686"/>
      </w:tblGrid>
      <w:tr w14:paraId="626FE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61" w:type="dxa"/>
            <w:noWrap w:val="0"/>
            <w:vAlign w:val="top"/>
          </w:tcPr>
          <w:p w14:paraId="1BAC0AE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序号</w:t>
            </w:r>
          </w:p>
        </w:tc>
        <w:tc>
          <w:tcPr>
            <w:tcW w:w="2871" w:type="dxa"/>
            <w:noWrap w:val="0"/>
            <w:vAlign w:val="top"/>
          </w:tcPr>
          <w:p w14:paraId="07BE077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起吊设施名称</w:t>
            </w:r>
          </w:p>
        </w:tc>
        <w:tc>
          <w:tcPr>
            <w:tcW w:w="1245" w:type="dxa"/>
            <w:noWrap w:val="0"/>
            <w:vAlign w:val="top"/>
          </w:tcPr>
          <w:p w14:paraId="617253D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规格型号</w:t>
            </w:r>
          </w:p>
        </w:tc>
        <w:tc>
          <w:tcPr>
            <w:tcW w:w="1125" w:type="dxa"/>
            <w:noWrap w:val="0"/>
            <w:vAlign w:val="top"/>
          </w:tcPr>
          <w:p w14:paraId="0DD5F8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提升高度</w:t>
            </w:r>
          </w:p>
        </w:tc>
        <w:tc>
          <w:tcPr>
            <w:tcW w:w="775" w:type="dxa"/>
            <w:noWrap w:val="0"/>
            <w:vAlign w:val="top"/>
          </w:tcPr>
          <w:p w14:paraId="6B2DFA1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数量</w:t>
            </w:r>
          </w:p>
        </w:tc>
        <w:tc>
          <w:tcPr>
            <w:tcW w:w="1686" w:type="dxa"/>
            <w:noWrap w:val="0"/>
            <w:vAlign w:val="top"/>
          </w:tcPr>
          <w:p w14:paraId="096B56E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安装地点</w:t>
            </w:r>
          </w:p>
        </w:tc>
      </w:tr>
      <w:tr w14:paraId="41DF49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61" w:type="dxa"/>
            <w:noWrap w:val="0"/>
            <w:vAlign w:val="top"/>
          </w:tcPr>
          <w:p w14:paraId="6067232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2871" w:type="dxa"/>
            <w:noWrap w:val="0"/>
            <w:vAlign w:val="top"/>
          </w:tcPr>
          <w:p w14:paraId="29B42469">
            <w:pPr>
              <w:keepNext w:val="0"/>
              <w:keepLines w:val="0"/>
              <w:suppressLineNumbers w:val="0"/>
              <w:adjustRightInd w:val="0"/>
              <w:snapToGrid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循环泵电动葫芦</w:t>
            </w:r>
          </w:p>
        </w:tc>
        <w:tc>
          <w:tcPr>
            <w:tcW w:w="1245" w:type="dxa"/>
            <w:noWrap w:val="0"/>
            <w:vAlign w:val="top"/>
          </w:tcPr>
          <w:p w14:paraId="3543B6D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125" w:type="dxa"/>
            <w:noWrap w:val="0"/>
            <w:vAlign w:val="top"/>
          </w:tcPr>
          <w:p w14:paraId="4146821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75" w:type="dxa"/>
            <w:noWrap w:val="0"/>
            <w:vAlign w:val="top"/>
          </w:tcPr>
          <w:p w14:paraId="5BBDDD4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686" w:type="dxa"/>
            <w:noWrap w:val="0"/>
            <w:vAlign w:val="top"/>
          </w:tcPr>
          <w:p w14:paraId="4A5CFA09">
            <w:pPr>
              <w:keepNext w:val="0"/>
              <w:keepLines w:val="0"/>
              <w:suppressLineNumbers w:val="0"/>
              <w:adjustRightInd w:val="0"/>
              <w:snapToGrid w:val="0"/>
              <w:spacing w:before="0" w:beforeAutospacing="0" w:after="0" w:afterAutospacing="0" w:line="360" w:lineRule="auto"/>
              <w:ind w:left="0" w:right="0"/>
              <w:jc w:val="left"/>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循环泵上方</w:t>
            </w:r>
          </w:p>
        </w:tc>
      </w:tr>
      <w:tr w14:paraId="646C59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61" w:type="dxa"/>
            <w:noWrap w:val="0"/>
            <w:vAlign w:val="top"/>
          </w:tcPr>
          <w:p w14:paraId="0F1AA9D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2871" w:type="dxa"/>
            <w:noWrap w:val="0"/>
            <w:vAlign w:val="top"/>
          </w:tcPr>
          <w:p w14:paraId="2943B15D">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氧化风机电动葫芦</w:t>
            </w:r>
          </w:p>
        </w:tc>
        <w:tc>
          <w:tcPr>
            <w:tcW w:w="1245" w:type="dxa"/>
            <w:noWrap w:val="0"/>
            <w:vAlign w:val="top"/>
          </w:tcPr>
          <w:p w14:paraId="4E8ABC5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125" w:type="dxa"/>
            <w:noWrap w:val="0"/>
            <w:vAlign w:val="top"/>
          </w:tcPr>
          <w:p w14:paraId="1D6A196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75" w:type="dxa"/>
            <w:noWrap w:val="0"/>
            <w:vAlign w:val="top"/>
          </w:tcPr>
          <w:p w14:paraId="44A4C57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686" w:type="dxa"/>
            <w:noWrap w:val="0"/>
            <w:vAlign w:val="top"/>
          </w:tcPr>
          <w:p w14:paraId="76A4A937">
            <w:pPr>
              <w:keepNext w:val="0"/>
              <w:keepLines w:val="0"/>
              <w:suppressLineNumbers w:val="0"/>
              <w:adjustRightInd w:val="0"/>
              <w:snapToGrid w:val="0"/>
              <w:spacing w:before="0" w:beforeAutospacing="0" w:after="0" w:afterAutospacing="0" w:line="360" w:lineRule="auto"/>
              <w:ind w:left="0" w:right="0"/>
              <w:jc w:val="left"/>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氧化风机房内</w:t>
            </w:r>
          </w:p>
        </w:tc>
      </w:tr>
      <w:tr w14:paraId="0E48A7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61" w:type="dxa"/>
            <w:noWrap w:val="0"/>
            <w:vAlign w:val="top"/>
          </w:tcPr>
          <w:p w14:paraId="67061C2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w:t>
            </w:r>
          </w:p>
        </w:tc>
        <w:tc>
          <w:tcPr>
            <w:tcW w:w="2871" w:type="dxa"/>
            <w:noWrap w:val="0"/>
            <w:vAlign w:val="top"/>
          </w:tcPr>
          <w:p w14:paraId="6A26E284">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真空皮带机电动葫芦</w:t>
            </w:r>
          </w:p>
        </w:tc>
        <w:tc>
          <w:tcPr>
            <w:tcW w:w="1245" w:type="dxa"/>
            <w:noWrap w:val="0"/>
            <w:vAlign w:val="top"/>
          </w:tcPr>
          <w:p w14:paraId="2E9D534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125" w:type="dxa"/>
            <w:noWrap w:val="0"/>
            <w:vAlign w:val="top"/>
          </w:tcPr>
          <w:p w14:paraId="029AABA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75" w:type="dxa"/>
            <w:noWrap w:val="0"/>
            <w:vAlign w:val="top"/>
          </w:tcPr>
          <w:p w14:paraId="10678CC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686" w:type="dxa"/>
            <w:noWrap w:val="0"/>
            <w:vAlign w:val="top"/>
          </w:tcPr>
          <w:p w14:paraId="4B9B11E1">
            <w:pPr>
              <w:keepNext w:val="0"/>
              <w:keepLines w:val="0"/>
              <w:suppressLineNumbers w:val="0"/>
              <w:adjustRightInd w:val="0"/>
              <w:snapToGrid w:val="0"/>
              <w:spacing w:before="0" w:beforeAutospacing="0" w:after="0" w:afterAutospacing="0" w:line="360" w:lineRule="auto"/>
              <w:ind w:left="0" w:right="0"/>
              <w:jc w:val="left"/>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脱硫综合楼内</w:t>
            </w:r>
          </w:p>
        </w:tc>
      </w:tr>
      <w:tr w14:paraId="07F803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61" w:type="dxa"/>
            <w:noWrap w:val="0"/>
            <w:vAlign w:val="top"/>
          </w:tcPr>
          <w:p w14:paraId="360D49A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4</w:t>
            </w:r>
          </w:p>
        </w:tc>
        <w:tc>
          <w:tcPr>
            <w:tcW w:w="2871" w:type="dxa"/>
            <w:noWrap w:val="0"/>
            <w:vAlign w:val="top"/>
          </w:tcPr>
          <w:p w14:paraId="6A132329">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综合楼检修电动葫芦</w:t>
            </w:r>
          </w:p>
        </w:tc>
        <w:tc>
          <w:tcPr>
            <w:tcW w:w="1245" w:type="dxa"/>
            <w:noWrap w:val="0"/>
            <w:vAlign w:val="top"/>
          </w:tcPr>
          <w:p w14:paraId="4A38E4E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125" w:type="dxa"/>
            <w:noWrap w:val="0"/>
            <w:vAlign w:val="top"/>
          </w:tcPr>
          <w:p w14:paraId="6E1CCF6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75" w:type="dxa"/>
            <w:noWrap w:val="0"/>
            <w:vAlign w:val="top"/>
          </w:tcPr>
          <w:p w14:paraId="63E87B9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686" w:type="dxa"/>
            <w:noWrap w:val="0"/>
            <w:vAlign w:val="top"/>
          </w:tcPr>
          <w:p w14:paraId="3C4C65E0">
            <w:pPr>
              <w:keepNext w:val="0"/>
              <w:keepLines w:val="0"/>
              <w:suppressLineNumbers w:val="0"/>
              <w:adjustRightInd w:val="0"/>
              <w:snapToGrid w:val="0"/>
              <w:spacing w:before="0" w:beforeAutospacing="0" w:after="0" w:afterAutospacing="0" w:line="360" w:lineRule="auto"/>
              <w:ind w:left="0" w:right="0"/>
              <w:jc w:val="left"/>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脱硫综合楼内</w:t>
            </w:r>
          </w:p>
        </w:tc>
      </w:tr>
      <w:tr w14:paraId="5464F4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61" w:type="dxa"/>
            <w:noWrap w:val="0"/>
            <w:vAlign w:val="top"/>
          </w:tcPr>
          <w:p w14:paraId="5283BCF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5</w:t>
            </w:r>
          </w:p>
        </w:tc>
        <w:tc>
          <w:tcPr>
            <w:tcW w:w="2871" w:type="dxa"/>
            <w:noWrap w:val="0"/>
            <w:vAlign w:val="top"/>
          </w:tcPr>
          <w:p w14:paraId="5C2004BE">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cs="Times New Roman"/>
                <w:color w:val="auto"/>
                <w:sz w:val="24"/>
                <w:highlight w:val="none"/>
              </w:rPr>
            </w:pPr>
            <w:r>
              <w:rPr>
                <w:rFonts w:hint="eastAsia" w:ascii="Times New Roman" w:hAnsi="Times New Roman" w:cs="Times New Roman"/>
                <w:bCs w:val="0"/>
                <w:color w:val="auto"/>
                <w:sz w:val="24"/>
                <w:highlight w:val="none"/>
                <w:lang w:bidi="ar"/>
              </w:rPr>
              <w:t>真空泵电动葫芦</w:t>
            </w:r>
          </w:p>
        </w:tc>
        <w:tc>
          <w:tcPr>
            <w:tcW w:w="1245" w:type="dxa"/>
            <w:noWrap w:val="0"/>
            <w:vAlign w:val="top"/>
          </w:tcPr>
          <w:p w14:paraId="61EBD36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125" w:type="dxa"/>
            <w:noWrap w:val="0"/>
            <w:vAlign w:val="top"/>
          </w:tcPr>
          <w:p w14:paraId="1493503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75" w:type="dxa"/>
            <w:noWrap w:val="0"/>
            <w:vAlign w:val="top"/>
          </w:tcPr>
          <w:p w14:paraId="388B1E6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686" w:type="dxa"/>
            <w:noWrap w:val="0"/>
            <w:vAlign w:val="top"/>
          </w:tcPr>
          <w:p w14:paraId="43B8C759">
            <w:pPr>
              <w:keepNext w:val="0"/>
              <w:keepLines w:val="0"/>
              <w:suppressLineNumbers w:val="0"/>
              <w:adjustRightInd w:val="0"/>
              <w:snapToGrid w:val="0"/>
              <w:spacing w:before="0" w:beforeAutospacing="0" w:after="0" w:afterAutospacing="0" w:line="360" w:lineRule="auto"/>
              <w:ind w:left="0" w:right="0"/>
              <w:jc w:val="left"/>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脱硫综合楼内</w:t>
            </w:r>
          </w:p>
        </w:tc>
      </w:tr>
      <w:tr w14:paraId="2132F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61" w:type="dxa"/>
            <w:noWrap w:val="0"/>
            <w:vAlign w:val="top"/>
          </w:tcPr>
          <w:p w14:paraId="38C4DF7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6</w:t>
            </w:r>
          </w:p>
        </w:tc>
        <w:tc>
          <w:tcPr>
            <w:tcW w:w="2871" w:type="dxa"/>
            <w:noWrap w:val="0"/>
            <w:vAlign w:val="center"/>
          </w:tcPr>
          <w:p w14:paraId="7E12E984">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废水加药用电动葫芦</w:t>
            </w:r>
          </w:p>
        </w:tc>
        <w:tc>
          <w:tcPr>
            <w:tcW w:w="1245" w:type="dxa"/>
            <w:noWrap w:val="0"/>
            <w:vAlign w:val="top"/>
          </w:tcPr>
          <w:p w14:paraId="0577A64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125" w:type="dxa"/>
            <w:noWrap w:val="0"/>
            <w:vAlign w:val="top"/>
          </w:tcPr>
          <w:p w14:paraId="222A015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75" w:type="dxa"/>
            <w:noWrap w:val="0"/>
            <w:vAlign w:val="top"/>
          </w:tcPr>
          <w:p w14:paraId="51409F6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686" w:type="dxa"/>
            <w:noWrap w:val="0"/>
            <w:vAlign w:val="top"/>
          </w:tcPr>
          <w:p w14:paraId="119A1396">
            <w:pPr>
              <w:keepNext w:val="0"/>
              <w:keepLines w:val="0"/>
              <w:suppressLineNumbers w:val="0"/>
              <w:adjustRightInd w:val="0"/>
              <w:snapToGrid w:val="0"/>
              <w:spacing w:before="0" w:beforeAutospacing="0" w:after="0" w:afterAutospacing="0" w:line="360" w:lineRule="auto"/>
              <w:ind w:left="0" w:right="0"/>
              <w:jc w:val="left"/>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脱硫综合楼内</w:t>
            </w:r>
          </w:p>
        </w:tc>
      </w:tr>
      <w:tr w14:paraId="2843C0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61" w:type="dxa"/>
            <w:noWrap w:val="0"/>
            <w:vAlign w:val="top"/>
          </w:tcPr>
          <w:p w14:paraId="27F326D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7</w:t>
            </w:r>
          </w:p>
        </w:tc>
        <w:tc>
          <w:tcPr>
            <w:tcW w:w="2871" w:type="dxa"/>
            <w:noWrap w:val="0"/>
            <w:vAlign w:val="center"/>
          </w:tcPr>
          <w:p w14:paraId="3BBB62D5">
            <w:pPr>
              <w:keepNext w:val="0"/>
              <w:keepLines w:val="0"/>
              <w:suppressLineNumbers w:val="0"/>
              <w:adjustRightInd w:val="0"/>
              <w:snapToGrid w:val="0"/>
              <w:spacing w:before="0" w:beforeAutospacing="0" w:after="0" w:afterAutospacing="0" w:line="360" w:lineRule="auto"/>
              <w:ind w:left="0" w:right="0"/>
              <w:rPr>
                <w:rFonts w:hint="eastAsia"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板框压滤机</w:t>
            </w:r>
            <w:r>
              <w:rPr>
                <w:rFonts w:hint="eastAsia" w:ascii="Times New Roman" w:hAnsi="Times New Roman" w:cs="Times New Roman"/>
                <w:color w:val="auto"/>
                <w:sz w:val="24"/>
                <w:highlight w:val="none"/>
              </w:rPr>
              <w:t>检修电动葫芦</w:t>
            </w:r>
          </w:p>
        </w:tc>
        <w:tc>
          <w:tcPr>
            <w:tcW w:w="1245" w:type="dxa"/>
            <w:noWrap w:val="0"/>
            <w:vAlign w:val="top"/>
          </w:tcPr>
          <w:p w14:paraId="7D541CF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125" w:type="dxa"/>
            <w:noWrap w:val="0"/>
            <w:vAlign w:val="top"/>
          </w:tcPr>
          <w:p w14:paraId="14A18F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75" w:type="dxa"/>
            <w:noWrap w:val="0"/>
            <w:vAlign w:val="top"/>
          </w:tcPr>
          <w:p w14:paraId="0E90F59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686" w:type="dxa"/>
            <w:noWrap w:val="0"/>
            <w:vAlign w:val="top"/>
          </w:tcPr>
          <w:p w14:paraId="16AF021C">
            <w:pPr>
              <w:keepNext w:val="0"/>
              <w:keepLines w:val="0"/>
              <w:suppressLineNumbers w:val="0"/>
              <w:adjustRightInd w:val="0"/>
              <w:snapToGrid w:val="0"/>
              <w:spacing w:before="0" w:beforeAutospacing="0" w:after="0" w:afterAutospacing="0" w:line="360" w:lineRule="auto"/>
              <w:ind w:left="0" w:right="0"/>
              <w:jc w:val="left"/>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脱硫综合楼内</w:t>
            </w:r>
          </w:p>
        </w:tc>
      </w:tr>
    </w:tbl>
    <w:p w14:paraId="1E033313">
      <w:pPr>
        <w:spacing w:line="360" w:lineRule="auto"/>
        <w:outlineLvl w:val="2"/>
        <w:rPr>
          <w:b/>
          <w:color w:val="auto"/>
          <w:sz w:val="24"/>
          <w:highlight w:val="none"/>
        </w:rPr>
      </w:pPr>
      <w:r>
        <w:rPr>
          <w:b/>
          <w:color w:val="auto"/>
          <w:sz w:val="24"/>
          <w:highlight w:val="none"/>
        </w:rPr>
        <w:t>2.16 钢结构，平台和扶梯</w:t>
      </w:r>
    </w:p>
    <w:p w14:paraId="6206E62A">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应设计全部设备检修和维护平台、使检修和维护工作能够顺利进行。设计时要考虑系统与设备的热膨胀，以及平台、扶梯和栏杆协调性（如型式、色彩）。</w:t>
      </w:r>
    </w:p>
    <w:p w14:paraId="26918011">
      <w:pPr>
        <w:adjustRightInd w:val="0"/>
        <w:snapToGrid w:val="0"/>
        <w:spacing w:line="360" w:lineRule="auto"/>
        <w:ind w:firstLine="480" w:firstLineChars="200"/>
        <w:rPr>
          <w:color w:val="auto"/>
          <w:sz w:val="24"/>
          <w:highlight w:val="none"/>
        </w:rPr>
      </w:pPr>
      <w:r>
        <w:rPr>
          <w:color w:val="auto"/>
          <w:sz w:val="24"/>
          <w:highlight w:val="none"/>
        </w:rPr>
        <w:t>所有设备检修和维护平台、扶梯采用钢结构。非场地制约时不采用直爬梯。</w:t>
      </w:r>
    </w:p>
    <w:p w14:paraId="1B793A3E">
      <w:pPr>
        <w:adjustRightInd w:val="0"/>
        <w:snapToGrid w:val="0"/>
        <w:spacing w:line="360" w:lineRule="auto"/>
        <w:ind w:firstLine="480" w:firstLineChars="200"/>
        <w:rPr>
          <w:color w:val="auto"/>
          <w:sz w:val="24"/>
          <w:highlight w:val="none"/>
        </w:rPr>
      </w:pPr>
      <w:r>
        <w:rPr>
          <w:color w:val="auto"/>
          <w:sz w:val="24"/>
          <w:highlight w:val="none"/>
        </w:rPr>
        <w:t>同一平台不同荷重的特定区域应作上永久标记。</w:t>
      </w:r>
    </w:p>
    <w:p w14:paraId="71AB1EA9">
      <w:pPr>
        <w:adjustRightInd w:val="0"/>
        <w:snapToGrid w:val="0"/>
        <w:spacing w:line="360" w:lineRule="auto"/>
        <w:ind w:firstLine="480" w:firstLineChars="200"/>
        <w:rPr>
          <w:color w:val="auto"/>
          <w:sz w:val="24"/>
          <w:highlight w:val="none"/>
        </w:rPr>
      </w:pPr>
      <w:r>
        <w:rPr>
          <w:color w:val="auto"/>
          <w:sz w:val="24"/>
          <w:highlight w:val="none"/>
        </w:rPr>
        <w:t>钢结构设计应采用《固定式钢梯及平台安全要求》（GB4053.1~3）《</w:t>
      </w:r>
      <w:bookmarkStart w:id="63" w:name="OLE_LINK3"/>
      <w:r>
        <w:rPr>
          <w:color w:val="auto"/>
          <w:sz w:val="24"/>
          <w:highlight w:val="none"/>
        </w:rPr>
        <w:t>钢制平台扶梯设计规范</w:t>
      </w:r>
      <w:bookmarkEnd w:id="63"/>
      <w:r>
        <w:rPr>
          <w:color w:val="auto"/>
          <w:sz w:val="24"/>
          <w:highlight w:val="none"/>
        </w:rPr>
        <w:t>》（DLGJ158），《烟风煤粉管道设计技术规定》（DL/T5121），《火力发电厂汽水管道设计技术规定》(DL/T5054)，但不限于此。</w:t>
      </w:r>
    </w:p>
    <w:p w14:paraId="5FB6C953">
      <w:pPr>
        <w:spacing w:line="360" w:lineRule="auto"/>
        <w:ind w:firstLine="480" w:firstLineChars="200"/>
        <w:rPr>
          <w:rFonts w:hint="default" w:ascii="Times New Roman" w:hAnsi="Times New Roman" w:cs="Times New Roman"/>
          <w:color w:val="auto"/>
          <w:kern w:val="2"/>
          <w:sz w:val="24"/>
          <w:szCs w:val="24"/>
          <w:highlight w:val="none"/>
        </w:rPr>
      </w:pPr>
      <w:r>
        <w:rPr>
          <w:rFonts w:hint="default" w:ascii="Times New Roman" w:hAnsi="Times New Roman" w:cs="Times New Roman"/>
          <w:color w:val="auto"/>
          <w:kern w:val="2"/>
          <w:sz w:val="24"/>
          <w:szCs w:val="24"/>
          <w:highlight w:val="none"/>
        </w:rPr>
        <w:t>平台、步道和扶梯应有足够的强度和刚度。平台采用防滑镀锌栅格。平台主通道的宽度不小于</w:t>
      </w:r>
      <w:r>
        <w:rPr>
          <w:rFonts w:hint="eastAsia" w:cs="Times New Roman"/>
          <w:color w:val="auto"/>
          <w:kern w:val="2"/>
          <w:sz w:val="24"/>
          <w:szCs w:val="24"/>
          <w:highlight w:val="none"/>
          <w:lang w:val="en-US" w:eastAsia="zh-CN"/>
        </w:rPr>
        <w:t>800m</w:t>
      </w:r>
      <w:r>
        <w:rPr>
          <w:rFonts w:hint="default" w:ascii="Times New Roman" w:hAnsi="Times New Roman" w:cs="Times New Roman"/>
          <w:color w:val="auto"/>
          <w:kern w:val="2"/>
          <w:sz w:val="24"/>
          <w:szCs w:val="24"/>
          <w:highlight w:val="none"/>
        </w:rPr>
        <w:t>m，平台和步道之间的净高尺寸大于2m。栏杆的高度按现行国家标准规定，挡脚板的高度不小于120mm。主扶梯净宽度800mm，同地面夹角不大于45°，踏步采用防滑格栅板，扶手高度等同所连接平台栏杆高度。平台栏杆高度20m以下净高（平台格栅板顶面至栏杆扶手中心线高度）为1.1m，20m以上净高（平台格栅板顶面至栏杆扶手中心线高度）为1.2m。平台楼梯的扶手和立柱采用外径不小于直径33.5mm的钢管制造；平台、走道和扶梯采用格栅热镀锌。所有平台应设有挡板，挡板应采用120×3的扁钢。平台扶梯的设计应不低于《火力发电厂钢制平台扶梯设计技术规定》（DLGJ158）的要求。平台及扶梯格栅板厚度≮4 mm。双面镀铝锌量不低于200g/㎡。镀层元素含量：铝（Al）55%，锌（Zn）43.5%，硅（Si）1.5%。</w:t>
      </w:r>
    </w:p>
    <w:p w14:paraId="4B09E50E">
      <w:pPr>
        <w:adjustRightInd w:val="0"/>
        <w:snapToGrid w:val="0"/>
        <w:spacing w:line="360" w:lineRule="auto"/>
        <w:ind w:firstLine="480" w:firstLineChars="200"/>
        <w:rPr>
          <w:color w:val="auto"/>
          <w:sz w:val="24"/>
          <w:highlight w:val="none"/>
        </w:rPr>
      </w:pPr>
      <w:r>
        <w:rPr>
          <w:rFonts w:hint="default" w:ascii="Times New Roman" w:hAnsi="Times New Roman" w:cs="Times New Roman"/>
          <w:color w:val="auto"/>
          <w:kern w:val="2"/>
          <w:sz w:val="24"/>
          <w:szCs w:val="24"/>
          <w:highlight w:val="none"/>
        </w:rPr>
        <w:t>平台、步道和扶梯有足够的强度和刚度，运转层平台的活荷载为10kN/㎡（不包括平台自重）；检修平台的活荷载为6kN/㎡；其余各层平台的活荷载</w:t>
      </w:r>
      <w:r>
        <w:rPr>
          <w:rFonts w:hint="eastAsia" w:ascii="宋体" w:hAnsi="宋体" w:cs="宋体"/>
          <w:color w:val="auto"/>
          <w:kern w:val="28"/>
          <w:sz w:val="24"/>
          <w:szCs w:val="24"/>
          <w:highlight w:val="none"/>
        </w:rPr>
        <w:t>为2.5kN/㎡；扶梯的活荷载为2kN/㎡。</w:t>
      </w:r>
    </w:p>
    <w:p w14:paraId="5685C695">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应至少在下列位置提供钢结构平台，并不限于：</w:t>
      </w:r>
    </w:p>
    <w:p w14:paraId="7740FA33">
      <w:pPr>
        <w:adjustRightInd w:val="0"/>
        <w:snapToGrid w:val="0"/>
        <w:spacing w:line="360" w:lineRule="auto"/>
        <w:ind w:firstLine="480" w:firstLineChars="200"/>
        <w:rPr>
          <w:color w:val="auto"/>
          <w:sz w:val="24"/>
          <w:highlight w:val="none"/>
        </w:rPr>
      </w:pPr>
      <w:r>
        <w:rPr>
          <w:color w:val="auto"/>
          <w:sz w:val="24"/>
          <w:highlight w:val="none"/>
        </w:rPr>
        <w:t>真空皮带机检修平台、吸收塔运行检修平台、原烟气测试检修平台、净烟气测试</w:t>
      </w:r>
      <w:r>
        <w:rPr>
          <w:rFonts w:hint="default"/>
          <w:color w:val="auto"/>
          <w:sz w:val="24"/>
          <w:highlight w:val="none"/>
          <w:lang w:val="en-US" w:eastAsia="zh-CN"/>
        </w:rPr>
        <w:t>检修</w:t>
      </w:r>
      <w:r>
        <w:rPr>
          <w:color w:val="auto"/>
          <w:sz w:val="24"/>
          <w:highlight w:val="none"/>
        </w:rPr>
        <w:t>平台。</w:t>
      </w:r>
    </w:p>
    <w:p w14:paraId="68DB0F2A">
      <w:pPr>
        <w:spacing w:line="360" w:lineRule="auto"/>
        <w:outlineLvl w:val="2"/>
        <w:rPr>
          <w:b/>
          <w:color w:val="auto"/>
          <w:sz w:val="24"/>
          <w:highlight w:val="none"/>
        </w:rPr>
      </w:pPr>
      <w:r>
        <w:rPr>
          <w:b/>
          <w:color w:val="auto"/>
          <w:sz w:val="24"/>
          <w:highlight w:val="none"/>
        </w:rPr>
        <w:t>2.17 保温、油漆和隔音</w:t>
      </w:r>
    </w:p>
    <w:p w14:paraId="0E4FCA4C">
      <w:pPr>
        <w:adjustRightInd w:val="0"/>
        <w:snapToGrid w:val="0"/>
        <w:spacing w:line="360" w:lineRule="auto"/>
        <w:rPr>
          <w:color w:val="auto"/>
          <w:sz w:val="24"/>
          <w:highlight w:val="none"/>
        </w:rPr>
      </w:pPr>
      <w:r>
        <w:rPr>
          <w:color w:val="auto"/>
          <w:sz w:val="24"/>
          <w:highlight w:val="none"/>
        </w:rPr>
        <w:t>2.17.1 保温与隔音</w:t>
      </w:r>
    </w:p>
    <w:p w14:paraId="7327338D">
      <w:pPr>
        <w:spacing w:line="360" w:lineRule="auto"/>
        <w:ind w:firstLine="480" w:firstLineChars="200"/>
        <w:rPr>
          <w:color w:val="auto"/>
          <w:sz w:val="24"/>
          <w:highlight w:val="none"/>
        </w:rPr>
      </w:pPr>
      <w:r>
        <w:rPr>
          <w:color w:val="auto"/>
          <w:sz w:val="24"/>
          <w:highlight w:val="none"/>
        </w:rPr>
        <w:t>具有下列情况之一的设备、管道及附件必须按不同的要求进行保温或隔音：</w:t>
      </w:r>
    </w:p>
    <w:p w14:paraId="43CDF2CB">
      <w:pPr>
        <w:spacing w:line="360" w:lineRule="auto"/>
        <w:rPr>
          <w:color w:val="auto"/>
          <w:sz w:val="24"/>
          <w:highlight w:val="none"/>
        </w:rPr>
      </w:pPr>
      <w:r>
        <w:rPr>
          <w:color w:val="auto"/>
          <w:sz w:val="24"/>
          <w:highlight w:val="none"/>
        </w:rPr>
        <w:t>（1）外表温度高于50℃，且需要减少热损失者；</w:t>
      </w:r>
    </w:p>
    <w:p w14:paraId="4F2A253E">
      <w:pPr>
        <w:spacing w:line="360" w:lineRule="auto"/>
        <w:rPr>
          <w:color w:val="auto"/>
          <w:sz w:val="24"/>
          <w:highlight w:val="none"/>
        </w:rPr>
      </w:pPr>
      <w:r>
        <w:rPr>
          <w:color w:val="auto"/>
          <w:sz w:val="24"/>
          <w:highlight w:val="none"/>
        </w:rPr>
        <w:t>（2）要求防冻、防凝露或延迟介质凝结者；</w:t>
      </w:r>
    </w:p>
    <w:p w14:paraId="55E660AB">
      <w:pPr>
        <w:spacing w:line="360" w:lineRule="auto"/>
        <w:ind w:left="720" w:hanging="720"/>
        <w:rPr>
          <w:color w:val="auto"/>
          <w:sz w:val="24"/>
          <w:highlight w:val="none"/>
        </w:rPr>
      </w:pPr>
      <w:r>
        <w:rPr>
          <w:color w:val="auto"/>
          <w:sz w:val="24"/>
          <w:highlight w:val="none"/>
        </w:rPr>
        <w:t>（3）工艺生产不需要保温的，其外表面温度超过50℃，而又无法采取其他措施防止烫伤人员的地方；</w:t>
      </w:r>
    </w:p>
    <w:p w14:paraId="48F49B57">
      <w:pPr>
        <w:spacing w:line="360" w:lineRule="auto"/>
        <w:rPr>
          <w:color w:val="auto"/>
          <w:sz w:val="24"/>
          <w:highlight w:val="none"/>
        </w:rPr>
      </w:pPr>
      <w:r>
        <w:rPr>
          <w:color w:val="auto"/>
          <w:sz w:val="24"/>
          <w:highlight w:val="none"/>
        </w:rPr>
        <w:t>（4）为了减少设备噪声，需要进行隔音处理设备。</w:t>
      </w:r>
    </w:p>
    <w:p w14:paraId="03522C31">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应提供保温和隔音的设计标准。</w:t>
      </w:r>
    </w:p>
    <w:p w14:paraId="5B9103A5">
      <w:pPr>
        <w:spacing w:line="360" w:lineRule="auto"/>
        <w:ind w:firstLine="480" w:firstLineChars="200"/>
        <w:rPr>
          <w:color w:val="auto"/>
          <w:sz w:val="24"/>
          <w:highlight w:val="none"/>
        </w:rPr>
      </w:pPr>
      <w:r>
        <w:rPr>
          <w:color w:val="auto"/>
          <w:sz w:val="24"/>
          <w:highlight w:val="none"/>
        </w:rPr>
        <w:t>对维护时需要拆卸的设备，要求其保温也能拆卸。</w:t>
      </w:r>
    </w:p>
    <w:p w14:paraId="1BA17FF9">
      <w:pPr>
        <w:spacing w:line="360" w:lineRule="auto"/>
        <w:ind w:firstLine="480"/>
        <w:rPr>
          <w:color w:val="auto"/>
          <w:sz w:val="24"/>
          <w:highlight w:val="none"/>
        </w:rPr>
      </w:pPr>
      <w:r>
        <w:rPr>
          <w:color w:val="auto"/>
          <w:sz w:val="24"/>
          <w:highlight w:val="none"/>
        </w:rPr>
        <w:t>在保温材料第一次加热到正常工作温度时，保温层产生的烟气必须是无毒的，并在适当时间内消退。</w:t>
      </w:r>
    </w:p>
    <w:p w14:paraId="53FE5BEB">
      <w:pPr>
        <w:snapToGrid w:val="0"/>
        <w:spacing w:line="360" w:lineRule="auto"/>
        <w:ind w:firstLine="480" w:firstLineChars="200"/>
        <w:rPr>
          <w:color w:val="auto"/>
          <w:sz w:val="24"/>
          <w:highlight w:val="none"/>
        </w:rPr>
      </w:pPr>
      <w:r>
        <w:rPr>
          <w:color w:val="auto"/>
          <w:sz w:val="24"/>
          <w:highlight w:val="none"/>
        </w:rPr>
        <w:t>保温与油漆设计遵循“火力发电厂保温油漆设计规程”（DL/T5072）。</w:t>
      </w:r>
    </w:p>
    <w:p w14:paraId="2CD87AB5">
      <w:pPr>
        <w:spacing w:line="360" w:lineRule="auto"/>
        <w:ind w:firstLine="523" w:firstLineChars="218"/>
        <w:rPr>
          <w:color w:val="auto"/>
          <w:sz w:val="24"/>
          <w:highlight w:val="none"/>
        </w:rPr>
      </w:pPr>
      <w:r>
        <w:rPr>
          <w:color w:val="auto"/>
          <w:sz w:val="24"/>
          <w:highlight w:val="none"/>
        </w:rPr>
        <w:t>对运行温度低于最大酸露点温度的设备，应采取防止凝结的保温。</w:t>
      </w:r>
    </w:p>
    <w:p w14:paraId="2F30809C">
      <w:pPr>
        <w:spacing w:line="360" w:lineRule="auto"/>
        <w:rPr>
          <w:color w:val="auto"/>
          <w:sz w:val="24"/>
          <w:highlight w:val="none"/>
        </w:rPr>
      </w:pPr>
      <w:r>
        <w:rPr>
          <w:color w:val="auto"/>
          <w:sz w:val="24"/>
          <w:highlight w:val="none"/>
        </w:rPr>
        <w:t>如果设备噪音水平超出标准，应配备隔音措施。计算按中国现行标准进行。</w:t>
      </w:r>
    </w:p>
    <w:p w14:paraId="4A724988">
      <w:pPr>
        <w:spacing w:line="360" w:lineRule="auto"/>
        <w:ind w:firstLine="480" w:firstLineChars="200"/>
        <w:rPr>
          <w:color w:val="auto"/>
          <w:sz w:val="24"/>
          <w:highlight w:val="none"/>
        </w:rPr>
      </w:pPr>
      <w:r>
        <w:rPr>
          <w:color w:val="auto"/>
          <w:sz w:val="24"/>
          <w:highlight w:val="none"/>
        </w:rPr>
        <w:t>对于防烫伤保温，保温结构外表面温度不应超过50℃。</w:t>
      </w:r>
    </w:p>
    <w:p w14:paraId="3DC2DE89">
      <w:pPr>
        <w:numPr>
          <w:ilvl w:val="0"/>
          <w:numId w:val="15"/>
        </w:numPr>
        <w:spacing w:line="360" w:lineRule="auto"/>
        <w:ind w:firstLine="480"/>
        <w:rPr>
          <w:color w:val="auto"/>
          <w:sz w:val="24"/>
          <w:highlight w:val="none"/>
        </w:rPr>
      </w:pPr>
      <w:r>
        <w:rPr>
          <w:rFonts w:hint="eastAsia"/>
          <w:color w:val="auto"/>
          <w:sz w:val="24"/>
          <w:highlight w:val="none"/>
        </w:rPr>
        <w:t>烟道等的外护板采用</w:t>
      </w:r>
      <w:r>
        <w:rPr>
          <w:rFonts w:hint="eastAsia"/>
          <w:color w:val="auto"/>
          <w:sz w:val="24"/>
          <w:highlight w:val="none"/>
          <w:lang w:val="en-US" w:eastAsia="zh-CN"/>
        </w:rPr>
        <w:t>0.6</w:t>
      </w:r>
      <w:r>
        <w:rPr>
          <w:rFonts w:hint="eastAsia"/>
          <w:color w:val="auto"/>
          <w:sz w:val="24"/>
          <w:highlight w:val="none"/>
        </w:rPr>
        <w:t>mm厚的</w:t>
      </w:r>
      <w:bookmarkStart w:id="64" w:name="OLE_LINK23"/>
      <w:r>
        <w:rPr>
          <w:rFonts w:hint="eastAsia"/>
          <w:color w:val="auto"/>
          <w:sz w:val="24"/>
          <w:highlight w:val="none"/>
        </w:rPr>
        <w:t>压型彩钢板</w:t>
      </w:r>
      <w:bookmarkEnd w:id="64"/>
      <w:r>
        <w:rPr>
          <w:rFonts w:hint="eastAsia"/>
          <w:color w:val="auto"/>
          <w:sz w:val="24"/>
          <w:highlight w:val="none"/>
        </w:rPr>
        <w:t>，管径219mm以上管道外护板采用</w:t>
      </w:r>
      <w:r>
        <w:rPr>
          <w:rFonts w:hint="eastAsia"/>
          <w:color w:val="auto"/>
          <w:sz w:val="24"/>
          <w:highlight w:val="none"/>
          <w:lang w:val="en-US" w:eastAsia="zh-CN"/>
        </w:rPr>
        <w:t>0.6</w:t>
      </w:r>
      <w:r>
        <w:rPr>
          <w:rFonts w:hint="eastAsia"/>
          <w:color w:val="auto"/>
          <w:sz w:val="24"/>
          <w:highlight w:val="none"/>
        </w:rPr>
        <w:t>mm厚的彩钢板，其他管道采用0.5mm厚的彩钢板。彩钢板</w:t>
      </w:r>
      <w:r>
        <w:rPr>
          <w:rFonts w:hint="eastAsia"/>
          <w:color w:val="auto"/>
          <w:sz w:val="24"/>
          <w:highlight w:val="none"/>
          <w:lang w:val="en-US" w:eastAsia="zh-CN"/>
        </w:rPr>
        <w:t>品牌选用宝钢、马钢、鞍钢，并提供质量证明。</w:t>
      </w:r>
      <w:r>
        <w:rPr>
          <w:rFonts w:hint="eastAsia"/>
          <w:color w:val="auto"/>
          <w:sz w:val="24"/>
          <w:highlight w:val="none"/>
        </w:rPr>
        <w:t>压型彩钢板</w:t>
      </w:r>
      <w:r>
        <w:rPr>
          <w:rFonts w:hint="eastAsia"/>
          <w:color w:val="auto"/>
          <w:sz w:val="24"/>
          <w:highlight w:val="none"/>
          <w:lang w:val="en-US" w:eastAsia="zh-CN"/>
        </w:rPr>
        <w:t>由投标方供货。</w:t>
      </w:r>
      <w:r>
        <w:rPr>
          <w:rFonts w:hint="eastAsia"/>
          <w:color w:val="auto"/>
          <w:sz w:val="24"/>
          <w:highlight w:val="none"/>
        </w:rPr>
        <w:t>保温材料采用</w:t>
      </w:r>
      <w:r>
        <w:rPr>
          <w:rFonts w:hint="eastAsia"/>
          <w:color w:val="auto"/>
          <w:sz w:val="24"/>
          <w:highlight w:val="none"/>
          <w:lang w:val="en-US" w:eastAsia="zh-CN"/>
        </w:rPr>
        <w:t>密度不小于120kg/m</w:t>
      </w:r>
      <w:r>
        <w:rPr>
          <w:rFonts w:hint="eastAsia"/>
          <w:color w:val="auto"/>
          <w:sz w:val="24"/>
          <w:highlight w:val="none"/>
          <w:vertAlign w:val="superscript"/>
          <w:lang w:val="en-US" w:eastAsia="zh-CN"/>
        </w:rPr>
        <w:t>3</w:t>
      </w:r>
      <w:r>
        <w:rPr>
          <w:rFonts w:hint="eastAsia"/>
          <w:color w:val="auto"/>
          <w:sz w:val="24"/>
          <w:highlight w:val="none"/>
        </w:rPr>
        <w:t>硅酸铝保温材料。</w:t>
      </w:r>
    </w:p>
    <w:p w14:paraId="02EDA96E">
      <w:pPr>
        <w:numPr>
          <w:ilvl w:val="0"/>
          <w:numId w:val="15"/>
        </w:numPr>
        <w:spacing w:line="360" w:lineRule="auto"/>
        <w:ind w:firstLine="480"/>
        <w:rPr>
          <w:rFonts w:hint="eastAsia"/>
          <w:color w:val="auto"/>
          <w:sz w:val="24"/>
          <w:highlight w:val="none"/>
        </w:rPr>
      </w:pPr>
      <w:r>
        <w:rPr>
          <w:rFonts w:hint="eastAsia"/>
          <w:color w:val="auto"/>
          <w:sz w:val="24"/>
          <w:highlight w:val="none"/>
        </w:rPr>
        <w:t>保温材料（铁丝、铁丝网</w:t>
      </w:r>
      <w:r>
        <w:rPr>
          <w:rFonts w:hint="eastAsia"/>
          <w:color w:val="auto"/>
          <w:sz w:val="24"/>
          <w:highlight w:val="none"/>
          <w:lang w:eastAsia="zh-CN"/>
        </w:rPr>
        <w:t>、</w:t>
      </w:r>
      <w:r>
        <w:rPr>
          <w:rFonts w:hint="eastAsia"/>
          <w:color w:val="auto"/>
          <w:sz w:val="24"/>
          <w:highlight w:val="none"/>
          <w:lang w:val="en-US" w:eastAsia="zh-CN"/>
        </w:rPr>
        <w:t>410不锈钢螺钉等</w:t>
      </w:r>
      <w:r>
        <w:rPr>
          <w:rFonts w:hint="eastAsia"/>
          <w:color w:val="auto"/>
          <w:sz w:val="24"/>
          <w:highlight w:val="none"/>
        </w:rPr>
        <w:t>）</w:t>
      </w:r>
      <w:r>
        <w:rPr>
          <w:rFonts w:hint="eastAsia"/>
          <w:color w:val="auto"/>
          <w:sz w:val="24"/>
          <w:highlight w:val="none"/>
          <w:lang w:val="en-US" w:eastAsia="zh-CN"/>
        </w:rPr>
        <w:t>均由投</w:t>
      </w:r>
      <w:r>
        <w:rPr>
          <w:rFonts w:hint="eastAsia"/>
          <w:color w:val="auto"/>
          <w:sz w:val="24"/>
          <w:highlight w:val="none"/>
          <w:lang w:eastAsia="zh-CN"/>
        </w:rPr>
        <w:t>标方</w:t>
      </w:r>
      <w:r>
        <w:rPr>
          <w:rFonts w:hint="eastAsia"/>
          <w:color w:val="auto"/>
          <w:sz w:val="24"/>
          <w:highlight w:val="none"/>
          <w:lang w:val="en-US" w:eastAsia="zh-CN"/>
        </w:rPr>
        <w:t>负责</w:t>
      </w:r>
      <w:r>
        <w:rPr>
          <w:rFonts w:hint="eastAsia"/>
          <w:color w:val="auto"/>
          <w:sz w:val="24"/>
          <w:highlight w:val="none"/>
        </w:rPr>
        <w:t>。</w:t>
      </w:r>
    </w:p>
    <w:p w14:paraId="68ACD604">
      <w:pPr>
        <w:adjustRightInd w:val="0"/>
        <w:snapToGrid w:val="0"/>
        <w:spacing w:line="360" w:lineRule="auto"/>
        <w:rPr>
          <w:rFonts w:hint="eastAsia" w:eastAsia="宋体"/>
          <w:color w:val="auto"/>
          <w:sz w:val="24"/>
          <w:highlight w:val="none"/>
          <w:lang w:val="en-US" w:eastAsia="zh-CN"/>
        </w:rPr>
      </w:pPr>
      <w:r>
        <w:rPr>
          <w:color w:val="auto"/>
          <w:sz w:val="24"/>
          <w:highlight w:val="none"/>
        </w:rPr>
        <w:t>2.17.2 油漆</w:t>
      </w:r>
    </w:p>
    <w:p w14:paraId="4785BAC9">
      <w:pPr>
        <w:snapToGrid w:val="0"/>
        <w:spacing w:line="360" w:lineRule="auto"/>
        <w:ind w:firstLine="480" w:firstLineChars="200"/>
        <w:rPr>
          <w:color w:val="auto"/>
          <w:sz w:val="24"/>
          <w:szCs w:val="21"/>
          <w:highlight w:val="none"/>
        </w:rPr>
      </w:pPr>
      <w:r>
        <w:rPr>
          <w:color w:val="auto"/>
          <w:sz w:val="24"/>
          <w:highlight w:val="none"/>
        </w:rPr>
        <w:t>（1）</w:t>
      </w:r>
      <w:r>
        <w:rPr>
          <w:color w:val="auto"/>
          <w:sz w:val="24"/>
          <w:szCs w:val="21"/>
          <w:highlight w:val="none"/>
        </w:rPr>
        <w:t>涂装程序为：表面处理、底漆、中间层漆、面漆。</w:t>
      </w:r>
    </w:p>
    <w:p w14:paraId="1C79FBDF">
      <w:pPr>
        <w:snapToGrid w:val="0"/>
        <w:spacing w:line="360" w:lineRule="auto"/>
        <w:ind w:firstLine="480" w:firstLineChars="200"/>
        <w:rPr>
          <w:color w:val="auto"/>
          <w:sz w:val="24"/>
          <w:szCs w:val="21"/>
          <w:highlight w:val="none"/>
        </w:rPr>
      </w:pPr>
      <w:r>
        <w:rPr>
          <w:color w:val="auto"/>
          <w:sz w:val="24"/>
          <w:highlight w:val="none"/>
        </w:rPr>
        <w:t>（2）</w:t>
      </w:r>
      <w:r>
        <w:rPr>
          <w:color w:val="auto"/>
          <w:sz w:val="24"/>
          <w:szCs w:val="21"/>
          <w:highlight w:val="none"/>
        </w:rPr>
        <w:t>表面处理、底漆、中间层漆及面漆应在室内完成。在运输或安装过程中损坏的漆膜应进行修补，恢复至出厂时完整漆膜的状况。最后一层面漆待设备安装完成后在现场涂装，涂装工作由</w:t>
      </w:r>
      <w:r>
        <w:rPr>
          <w:rFonts w:hint="eastAsia"/>
          <w:color w:val="auto"/>
          <w:sz w:val="24"/>
          <w:szCs w:val="21"/>
          <w:highlight w:val="none"/>
          <w:lang w:val="en-US" w:eastAsia="zh-CN"/>
        </w:rPr>
        <w:t>投标方</w:t>
      </w:r>
      <w:r>
        <w:rPr>
          <w:color w:val="auto"/>
          <w:sz w:val="24"/>
          <w:szCs w:val="21"/>
          <w:highlight w:val="none"/>
        </w:rPr>
        <w:t>完成。面漆的颜色由</w:t>
      </w:r>
      <w:r>
        <w:rPr>
          <w:rFonts w:hint="eastAsia"/>
          <w:color w:val="auto"/>
          <w:sz w:val="24"/>
          <w:szCs w:val="21"/>
          <w:highlight w:val="none"/>
          <w:lang w:eastAsia="zh-CN"/>
        </w:rPr>
        <w:t>招标方</w:t>
      </w:r>
      <w:r>
        <w:rPr>
          <w:color w:val="auto"/>
          <w:sz w:val="24"/>
          <w:szCs w:val="21"/>
          <w:highlight w:val="none"/>
        </w:rPr>
        <w:t>决定。</w:t>
      </w:r>
    </w:p>
    <w:p w14:paraId="4B88A336">
      <w:pPr>
        <w:snapToGrid w:val="0"/>
        <w:spacing w:line="360" w:lineRule="auto"/>
        <w:ind w:firstLine="480" w:firstLineChars="200"/>
        <w:rPr>
          <w:color w:val="auto"/>
          <w:sz w:val="24"/>
          <w:szCs w:val="21"/>
          <w:highlight w:val="none"/>
        </w:rPr>
      </w:pPr>
      <w:r>
        <w:rPr>
          <w:color w:val="auto"/>
          <w:sz w:val="24"/>
          <w:highlight w:val="none"/>
        </w:rPr>
        <w:t>（3）</w:t>
      </w:r>
      <w:r>
        <w:rPr>
          <w:color w:val="auto"/>
          <w:sz w:val="24"/>
          <w:szCs w:val="21"/>
          <w:highlight w:val="none"/>
        </w:rPr>
        <w:t>油漆材料</w:t>
      </w:r>
    </w:p>
    <w:p w14:paraId="5EFE9A19">
      <w:pPr>
        <w:snapToGrid w:val="0"/>
        <w:spacing w:line="360" w:lineRule="auto"/>
        <w:ind w:firstLine="480" w:firstLineChars="200"/>
        <w:rPr>
          <w:color w:val="auto"/>
          <w:sz w:val="24"/>
          <w:highlight w:val="none"/>
        </w:rPr>
      </w:pPr>
      <w:r>
        <w:rPr>
          <w:color w:val="auto"/>
          <w:sz w:val="24"/>
          <w:highlight w:val="none"/>
        </w:rPr>
        <w:t>油漆应采用国内先进的高级防腐涂料，并应能满足当地的环境条件。面漆颜色由</w:t>
      </w:r>
      <w:r>
        <w:rPr>
          <w:rFonts w:hint="eastAsia"/>
          <w:color w:val="auto"/>
          <w:sz w:val="24"/>
          <w:highlight w:val="none"/>
          <w:lang w:eastAsia="zh-CN"/>
        </w:rPr>
        <w:t>招标方</w:t>
      </w:r>
      <w:r>
        <w:rPr>
          <w:color w:val="auto"/>
          <w:sz w:val="24"/>
          <w:highlight w:val="none"/>
        </w:rPr>
        <w:t>确定。</w:t>
      </w:r>
    </w:p>
    <w:p w14:paraId="04F21752">
      <w:pPr>
        <w:snapToGrid w:val="0"/>
        <w:spacing w:line="360" w:lineRule="auto"/>
        <w:ind w:firstLine="480" w:firstLineChars="200"/>
        <w:rPr>
          <w:color w:val="auto"/>
          <w:sz w:val="24"/>
          <w:highlight w:val="none"/>
        </w:rPr>
      </w:pPr>
      <w:r>
        <w:rPr>
          <w:color w:val="auto"/>
          <w:sz w:val="24"/>
          <w:szCs w:val="21"/>
          <w:highlight w:val="none"/>
        </w:rPr>
        <w:t>底漆采用环氧富锌漆，中间漆应采用</w:t>
      </w:r>
      <w:r>
        <w:rPr>
          <w:color w:val="auto"/>
          <w:sz w:val="24"/>
          <w:highlight w:val="none"/>
        </w:rPr>
        <w:t>环氧树脂云母氧化铁漆</w:t>
      </w:r>
      <w:r>
        <w:rPr>
          <w:color w:val="auto"/>
          <w:sz w:val="24"/>
          <w:szCs w:val="21"/>
          <w:highlight w:val="none"/>
        </w:rPr>
        <w:t>，面漆应采用</w:t>
      </w:r>
      <w:r>
        <w:rPr>
          <w:color w:val="auto"/>
          <w:sz w:val="24"/>
          <w:highlight w:val="none"/>
        </w:rPr>
        <w:t>聚氨酯耐风化的优质面漆</w:t>
      </w:r>
      <w:r>
        <w:rPr>
          <w:color w:val="auto"/>
          <w:sz w:val="24"/>
          <w:szCs w:val="21"/>
          <w:highlight w:val="none"/>
        </w:rPr>
        <w:t>。</w:t>
      </w:r>
    </w:p>
    <w:p w14:paraId="2830E5B8">
      <w:pPr>
        <w:snapToGrid w:val="0"/>
        <w:spacing w:line="360" w:lineRule="auto"/>
        <w:ind w:firstLine="480" w:firstLineChars="200"/>
        <w:rPr>
          <w:color w:val="auto"/>
          <w:sz w:val="24"/>
          <w:szCs w:val="21"/>
          <w:highlight w:val="none"/>
        </w:rPr>
      </w:pPr>
      <w:r>
        <w:rPr>
          <w:color w:val="auto"/>
          <w:sz w:val="24"/>
          <w:highlight w:val="none"/>
        </w:rPr>
        <w:t>（4）</w:t>
      </w:r>
      <w:r>
        <w:rPr>
          <w:color w:val="auto"/>
          <w:sz w:val="24"/>
          <w:szCs w:val="21"/>
          <w:highlight w:val="none"/>
        </w:rPr>
        <w:t>漆膜厚度要求</w:t>
      </w:r>
    </w:p>
    <w:p w14:paraId="06B571A2">
      <w:pPr>
        <w:snapToGrid w:val="0"/>
        <w:spacing w:line="360" w:lineRule="auto"/>
        <w:ind w:firstLine="480" w:firstLineChars="200"/>
        <w:rPr>
          <w:color w:val="auto"/>
          <w:sz w:val="24"/>
          <w:szCs w:val="21"/>
          <w:highlight w:val="none"/>
        </w:rPr>
      </w:pPr>
      <w:r>
        <w:rPr>
          <w:color w:val="auto"/>
          <w:sz w:val="24"/>
          <w:szCs w:val="21"/>
          <w:highlight w:val="none"/>
        </w:rPr>
        <w:t>一般部位保护性涂层漆膜厚度应保证有150～200μm（干膜）。</w:t>
      </w:r>
    </w:p>
    <w:p w14:paraId="0FC9EFEE">
      <w:pPr>
        <w:snapToGrid w:val="0"/>
        <w:spacing w:line="360" w:lineRule="auto"/>
        <w:ind w:firstLine="480" w:firstLineChars="200"/>
        <w:rPr>
          <w:color w:val="auto"/>
          <w:sz w:val="24"/>
          <w:szCs w:val="21"/>
          <w:highlight w:val="none"/>
        </w:rPr>
      </w:pPr>
      <w:r>
        <w:rPr>
          <w:color w:val="auto"/>
          <w:sz w:val="24"/>
          <w:szCs w:val="21"/>
          <w:highlight w:val="none"/>
        </w:rPr>
        <w:t>重要部位耐磨损涂层漆膜厚度应保证有250～350μm（干膜）。</w:t>
      </w:r>
    </w:p>
    <w:p w14:paraId="06B7D99A">
      <w:pPr>
        <w:snapToGrid w:val="0"/>
        <w:spacing w:line="360" w:lineRule="auto"/>
        <w:ind w:firstLine="480" w:firstLineChars="200"/>
        <w:rPr>
          <w:color w:val="auto"/>
          <w:sz w:val="24"/>
          <w:szCs w:val="21"/>
          <w:highlight w:val="none"/>
        </w:rPr>
      </w:pPr>
      <w:r>
        <w:rPr>
          <w:color w:val="auto"/>
          <w:sz w:val="24"/>
          <w:szCs w:val="21"/>
          <w:highlight w:val="none"/>
        </w:rPr>
        <w:t>内表面保护性涂层漆膜厚度应保证有100～120μm（干膜）。</w:t>
      </w:r>
    </w:p>
    <w:p w14:paraId="0F37904A">
      <w:pPr>
        <w:spacing w:line="360" w:lineRule="auto"/>
        <w:outlineLvl w:val="2"/>
        <w:rPr>
          <w:b/>
          <w:color w:val="auto"/>
          <w:sz w:val="24"/>
          <w:highlight w:val="none"/>
        </w:rPr>
      </w:pPr>
      <w:bookmarkStart w:id="65" w:name="_Toc167894345"/>
      <w:bookmarkStart w:id="66" w:name="_Toc294709021"/>
      <w:r>
        <w:rPr>
          <w:b/>
          <w:color w:val="auto"/>
          <w:sz w:val="24"/>
          <w:highlight w:val="none"/>
        </w:rPr>
        <w:t>2.18材料、铸件和锻件</w:t>
      </w:r>
      <w:bookmarkEnd w:id="65"/>
      <w:bookmarkEnd w:id="66"/>
    </w:p>
    <w:p w14:paraId="714F0148">
      <w:pPr>
        <w:adjustRightInd w:val="0"/>
        <w:spacing w:line="360" w:lineRule="auto"/>
        <w:textAlignment w:val="baseline"/>
        <w:rPr>
          <w:color w:val="auto"/>
          <w:sz w:val="24"/>
          <w:highlight w:val="none"/>
        </w:rPr>
      </w:pPr>
      <w:r>
        <w:rPr>
          <w:color w:val="auto"/>
          <w:sz w:val="24"/>
          <w:highlight w:val="none"/>
        </w:rPr>
        <w:t>2.18.1材料</w:t>
      </w:r>
    </w:p>
    <w:p w14:paraId="2953E45D">
      <w:pPr>
        <w:spacing w:line="360" w:lineRule="auto"/>
        <w:ind w:firstLine="480" w:firstLineChars="200"/>
        <w:rPr>
          <w:color w:val="auto"/>
          <w:sz w:val="24"/>
          <w:highlight w:val="none"/>
        </w:rPr>
      </w:pPr>
      <w:r>
        <w:rPr>
          <w:color w:val="auto"/>
          <w:sz w:val="24"/>
          <w:highlight w:val="none"/>
        </w:rPr>
        <w:t>所有设备的材料应是新型的和具有应用业绩的，在FDG装置设计运行期限内的各种工况（如温度、压力及污染物含量的变化等），不会造成超过设计标准的老化、疲劳和腐蚀，而且在任何部件产生的应力和应变不能对脱硫系统的效率和可靠性产生影响。</w:t>
      </w:r>
    </w:p>
    <w:p w14:paraId="1E06BFAB">
      <w:pPr>
        <w:spacing w:line="360" w:lineRule="auto"/>
        <w:ind w:firstLine="480" w:firstLineChars="200"/>
        <w:rPr>
          <w:color w:val="auto"/>
          <w:sz w:val="24"/>
          <w:highlight w:val="none"/>
        </w:rPr>
      </w:pPr>
      <w:r>
        <w:rPr>
          <w:color w:val="auto"/>
          <w:sz w:val="24"/>
          <w:highlight w:val="none"/>
        </w:rPr>
        <w:t>所有使用的材料应与</w:t>
      </w:r>
      <w:r>
        <w:rPr>
          <w:rFonts w:hint="eastAsia"/>
          <w:color w:val="auto"/>
          <w:sz w:val="24"/>
          <w:highlight w:val="none"/>
          <w:lang w:eastAsia="zh-CN"/>
        </w:rPr>
        <w:t>招标方</w:t>
      </w:r>
      <w:r>
        <w:rPr>
          <w:color w:val="auto"/>
          <w:sz w:val="24"/>
          <w:highlight w:val="none"/>
        </w:rPr>
        <w:t>认可的标准一致。</w:t>
      </w:r>
    </w:p>
    <w:p w14:paraId="0C298DB1">
      <w:pPr>
        <w:spacing w:line="360" w:lineRule="auto"/>
        <w:ind w:firstLine="480" w:firstLineChars="200"/>
        <w:rPr>
          <w:color w:val="auto"/>
          <w:sz w:val="24"/>
          <w:highlight w:val="none"/>
        </w:rPr>
      </w:pPr>
      <w:r>
        <w:rPr>
          <w:color w:val="auto"/>
          <w:sz w:val="24"/>
          <w:highlight w:val="none"/>
        </w:rPr>
        <w:t>应特别注意消除由于电镀作用而引起腐蚀的可能性。</w:t>
      </w:r>
    </w:p>
    <w:p w14:paraId="5AEACD24">
      <w:pPr>
        <w:adjustRightInd w:val="0"/>
        <w:spacing w:line="360" w:lineRule="auto"/>
        <w:textAlignment w:val="baseline"/>
        <w:rPr>
          <w:color w:val="auto"/>
          <w:sz w:val="24"/>
          <w:highlight w:val="none"/>
        </w:rPr>
      </w:pPr>
      <w:r>
        <w:rPr>
          <w:color w:val="auto"/>
          <w:sz w:val="24"/>
          <w:highlight w:val="none"/>
        </w:rPr>
        <w:t>2.18.2铸件和锻件</w:t>
      </w:r>
    </w:p>
    <w:p w14:paraId="5950A7E4">
      <w:pPr>
        <w:spacing w:line="360" w:lineRule="auto"/>
        <w:ind w:firstLine="480" w:firstLineChars="200"/>
        <w:rPr>
          <w:color w:val="auto"/>
          <w:sz w:val="24"/>
          <w:highlight w:val="none"/>
        </w:rPr>
      </w:pPr>
      <w:r>
        <w:rPr>
          <w:color w:val="auto"/>
          <w:sz w:val="24"/>
          <w:highlight w:val="none"/>
        </w:rPr>
        <w:t>所有铸件和锻件都应满足标准要求，中国标准应视为最低要求。</w:t>
      </w:r>
    </w:p>
    <w:p w14:paraId="704C8820">
      <w:pPr>
        <w:spacing w:line="360" w:lineRule="auto"/>
        <w:ind w:firstLine="480" w:firstLineChars="200"/>
        <w:rPr>
          <w:b/>
          <w:color w:val="auto"/>
          <w:sz w:val="24"/>
          <w:highlight w:val="none"/>
        </w:rPr>
      </w:pPr>
      <w:r>
        <w:rPr>
          <w:color w:val="auto"/>
          <w:sz w:val="24"/>
          <w:highlight w:val="none"/>
        </w:rPr>
        <w:t>铸铁件的使用应征得</w:t>
      </w:r>
      <w:r>
        <w:rPr>
          <w:rFonts w:hint="eastAsia"/>
          <w:color w:val="auto"/>
          <w:sz w:val="24"/>
          <w:highlight w:val="none"/>
          <w:lang w:eastAsia="zh-CN"/>
        </w:rPr>
        <w:t>招标方</w:t>
      </w:r>
      <w:r>
        <w:rPr>
          <w:color w:val="auto"/>
          <w:sz w:val="24"/>
          <w:highlight w:val="none"/>
        </w:rPr>
        <w:t>的同意。</w:t>
      </w:r>
    </w:p>
    <w:p w14:paraId="68728C4D">
      <w:pPr>
        <w:spacing w:line="360" w:lineRule="auto"/>
        <w:ind w:firstLine="480" w:firstLineChars="200"/>
        <w:rPr>
          <w:color w:val="auto"/>
          <w:sz w:val="24"/>
          <w:highlight w:val="none"/>
        </w:rPr>
      </w:pPr>
      <w:r>
        <w:rPr>
          <w:color w:val="auto"/>
          <w:sz w:val="24"/>
          <w:highlight w:val="none"/>
        </w:rPr>
        <w:t>所有锻件的内外不能有裂缝，不能含过多非金属成份，并且在表面不应有后续加工去除不掉的缺陷。</w:t>
      </w:r>
    </w:p>
    <w:p w14:paraId="4C766268">
      <w:pPr>
        <w:spacing w:line="360" w:lineRule="auto"/>
        <w:outlineLvl w:val="2"/>
        <w:rPr>
          <w:b/>
          <w:color w:val="auto"/>
          <w:sz w:val="24"/>
          <w:highlight w:val="none"/>
        </w:rPr>
      </w:pPr>
      <w:bookmarkStart w:id="67" w:name="_Toc294709022"/>
      <w:bookmarkStart w:id="68" w:name="_Toc167894346"/>
      <w:r>
        <w:rPr>
          <w:b/>
          <w:color w:val="auto"/>
          <w:sz w:val="24"/>
          <w:highlight w:val="none"/>
        </w:rPr>
        <w:t>2.</w:t>
      </w:r>
      <w:r>
        <w:rPr>
          <w:rFonts w:hint="eastAsia"/>
          <w:b/>
          <w:color w:val="auto"/>
          <w:sz w:val="24"/>
          <w:highlight w:val="none"/>
        </w:rPr>
        <w:t>1</w:t>
      </w:r>
      <w:r>
        <w:rPr>
          <w:b/>
          <w:color w:val="auto"/>
          <w:sz w:val="24"/>
          <w:highlight w:val="none"/>
        </w:rPr>
        <w:t>9润滑</w:t>
      </w:r>
      <w:bookmarkEnd w:id="67"/>
      <w:bookmarkEnd w:id="68"/>
    </w:p>
    <w:p w14:paraId="1755928C">
      <w:pPr>
        <w:spacing w:line="360" w:lineRule="auto"/>
        <w:ind w:firstLine="480" w:firstLineChars="200"/>
        <w:rPr>
          <w:color w:val="auto"/>
          <w:sz w:val="24"/>
          <w:highlight w:val="none"/>
        </w:rPr>
      </w:pPr>
      <w:r>
        <w:rPr>
          <w:color w:val="auto"/>
          <w:sz w:val="24"/>
          <w:highlight w:val="none"/>
        </w:rPr>
        <w:t>需要润滑的部件应有一定的安全余量，以防止偶然的润滑系统故障或设备维修周期拖延的情况下也应能无损害运行，拖延时间最多为维修期的5%。</w:t>
      </w:r>
    </w:p>
    <w:p w14:paraId="40AD3C24">
      <w:pPr>
        <w:spacing w:line="360" w:lineRule="auto"/>
        <w:ind w:firstLine="480" w:firstLineChars="200"/>
        <w:rPr>
          <w:color w:val="auto"/>
          <w:sz w:val="24"/>
          <w:highlight w:val="none"/>
        </w:rPr>
      </w:pPr>
      <w:r>
        <w:rPr>
          <w:color w:val="auto"/>
          <w:sz w:val="24"/>
          <w:highlight w:val="none"/>
        </w:rPr>
        <w:t>同一种机械设备在各种气候条件下宜采用同一种润滑剂，尽可能减少润滑剂的种类。</w:t>
      </w:r>
    </w:p>
    <w:p w14:paraId="6FDAF644">
      <w:pPr>
        <w:spacing w:line="360" w:lineRule="auto"/>
        <w:ind w:firstLine="480" w:firstLineChars="200"/>
        <w:rPr>
          <w:color w:val="auto"/>
          <w:sz w:val="24"/>
          <w:highlight w:val="none"/>
        </w:rPr>
      </w:pPr>
      <w:r>
        <w:rPr>
          <w:color w:val="auto"/>
          <w:sz w:val="24"/>
          <w:highlight w:val="none"/>
        </w:rPr>
        <w:t>在轴承箱，收集箱等处的润滑剂应有液位控制，并考虑简便的清扫及放空设施。</w:t>
      </w:r>
    </w:p>
    <w:p w14:paraId="7C410FFF">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应列出所需润滑剂特性，包括：</w:t>
      </w:r>
    </w:p>
    <w:p w14:paraId="00041D44">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ab/>
      </w:r>
      <w:r>
        <w:rPr>
          <w:rFonts w:ascii="Times New Roman"/>
          <w:color w:val="auto"/>
          <w:szCs w:val="24"/>
          <w:highlight w:val="none"/>
        </w:rPr>
        <w:t>润滑剂的名称及成份</w:t>
      </w:r>
    </w:p>
    <w:p w14:paraId="42CB3AAD">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ab/>
      </w:r>
      <w:r>
        <w:rPr>
          <w:rFonts w:ascii="Times New Roman"/>
          <w:color w:val="auto"/>
          <w:szCs w:val="24"/>
          <w:highlight w:val="none"/>
        </w:rPr>
        <w:t>润滑剂的使用位置</w:t>
      </w:r>
    </w:p>
    <w:p w14:paraId="17881E99">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ab/>
      </w:r>
      <w:r>
        <w:rPr>
          <w:rFonts w:ascii="Times New Roman"/>
          <w:color w:val="auto"/>
          <w:szCs w:val="24"/>
          <w:highlight w:val="none"/>
        </w:rPr>
        <w:t>类型及制造商</w:t>
      </w:r>
    </w:p>
    <w:p w14:paraId="594085F9">
      <w:pPr>
        <w:pStyle w:val="134"/>
        <w:spacing w:line="360" w:lineRule="auto"/>
        <w:ind w:firstLine="480" w:firstLineChars="200"/>
        <w:rPr>
          <w:rFonts w:ascii="Times New Roman"/>
          <w:color w:val="auto"/>
          <w:szCs w:val="24"/>
          <w:highlight w:val="none"/>
        </w:rPr>
      </w:pPr>
      <w:r>
        <w:rPr>
          <w:rFonts w:ascii="Times New Roman"/>
          <w:color w:val="auto"/>
          <w:szCs w:val="24"/>
          <w:highlight w:val="none"/>
        </w:rPr>
        <w:tab/>
      </w:r>
      <w:r>
        <w:rPr>
          <w:rFonts w:ascii="Times New Roman"/>
          <w:color w:val="auto"/>
          <w:szCs w:val="24"/>
          <w:highlight w:val="none"/>
        </w:rPr>
        <w:t>耗量</w:t>
      </w:r>
      <w:bookmarkEnd w:id="51"/>
      <w:bookmarkStart w:id="69" w:name="_Toc482189940"/>
    </w:p>
    <w:p w14:paraId="456489EB">
      <w:pPr>
        <w:spacing w:line="360" w:lineRule="auto"/>
        <w:outlineLvl w:val="2"/>
        <w:rPr>
          <w:b/>
          <w:color w:val="auto"/>
          <w:sz w:val="24"/>
          <w:highlight w:val="none"/>
        </w:rPr>
      </w:pPr>
      <w:r>
        <w:rPr>
          <w:b/>
          <w:color w:val="auto"/>
          <w:sz w:val="24"/>
          <w:highlight w:val="none"/>
        </w:rPr>
        <w:t>2.20电动机</w:t>
      </w:r>
      <w:bookmarkEnd w:id="69"/>
    </w:p>
    <w:p w14:paraId="7D5779BC">
      <w:pPr>
        <w:spacing w:line="360" w:lineRule="auto"/>
        <w:rPr>
          <w:color w:val="auto"/>
          <w:sz w:val="24"/>
          <w:highlight w:val="none"/>
        </w:rPr>
      </w:pPr>
      <w:r>
        <w:rPr>
          <w:color w:val="auto"/>
          <w:sz w:val="24"/>
          <w:highlight w:val="none"/>
        </w:rPr>
        <w:t>2.20.1电动机的电压</w:t>
      </w:r>
    </w:p>
    <w:p w14:paraId="188F0583">
      <w:pPr>
        <w:spacing w:line="360" w:lineRule="auto"/>
        <w:ind w:firstLine="480" w:firstLineChars="200"/>
        <w:rPr>
          <w:color w:val="auto"/>
          <w:sz w:val="24"/>
          <w:highlight w:val="none"/>
        </w:rPr>
      </w:pPr>
      <w:r>
        <w:rPr>
          <w:color w:val="auto"/>
          <w:sz w:val="24"/>
          <w:highlight w:val="none"/>
        </w:rPr>
        <w:t>电动机的电压规定如下：</w:t>
      </w:r>
    </w:p>
    <w:p w14:paraId="6709AE50">
      <w:pPr>
        <w:spacing w:line="360" w:lineRule="auto"/>
        <w:ind w:firstLine="480" w:firstLineChars="200"/>
        <w:rPr>
          <w:color w:val="auto"/>
          <w:sz w:val="24"/>
          <w:highlight w:val="none"/>
        </w:rPr>
      </w:pPr>
      <w:r>
        <w:rPr>
          <w:color w:val="auto"/>
          <w:sz w:val="24"/>
          <w:highlight w:val="none"/>
        </w:rPr>
        <w:t>额定功率为2</w:t>
      </w:r>
      <w:r>
        <w:rPr>
          <w:rFonts w:hint="eastAsia"/>
          <w:color w:val="auto"/>
          <w:sz w:val="24"/>
          <w:highlight w:val="none"/>
          <w:lang w:val="en-US" w:eastAsia="zh-CN"/>
        </w:rPr>
        <w:t>5</w:t>
      </w:r>
      <w:r>
        <w:rPr>
          <w:color w:val="auto"/>
          <w:sz w:val="24"/>
          <w:highlight w:val="none"/>
        </w:rPr>
        <w:t>0kW以下电动机的电压为380V；</w:t>
      </w:r>
    </w:p>
    <w:p w14:paraId="0254D7E6">
      <w:pPr>
        <w:spacing w:line="360" w:lineRule="auto"/>
        <w:ind w:firstLine="480" w:firstLineChars="200"/>
        <w:rPr>
          <w:color w:val="auto"/>
          <w:sz w:val="24"/>
          <w:highlight w:val="none"/>
        </w:rPr>
      </w:pPr>
      <w:r>
        <w:rPr>
          <w:color w:val="auto"/>
          <w:sz w:val="24"/>
          <w:highlight w:val="none"/>
        </w:rPr>
        <w:t>额定功率为2</w:t>
      </w:r>
      <w:r>
        <w:rPr>
          <w:rFonts w:hint="default"/>
          <w:color w:val="auto"/>
          <w:sz w:val="24"/>
          <w:highlight w:val="none"/>
          <w:lang w:val="en-US" w:eastAsia="zh-CN"/>
        </w:rPr>
        <w:t>5</w:t>
      </w:r>
      <w:r>
        <w:rPr>
          <w:color w:val="auto"/>
          <w:sz w:val="24"/>
          <w:highlight w:val="none"/>
        </w:rPr>
        <w:t>0kW及以上电动机的电压为</w:t>
      </w:r>
      <w:r>
        <w:rPr>
          <w:rFonts w:hint="default"/>
          <w:color w:val="auto"/>
          <w:sz w:val="24"/>
          <w:highlight w:val="none"/>
        </w:rPr>
        <w:t>10</w:t>
      </w:r>
      <w:r>
        <w:rPr>
          <w:color w:val="auto"/>
          <w:sz w:val="24"/>
          <w:highlight w:val="none"/>
        </w:rPr>
        <w:t>kV。</w:t>
      </w:r>
    </w:p>
    <w:p w14:paraId="6E62E55D">
      <w:pPr>
        <w:spacing w:line="360" w:lineRule="auto"/>
        <w:rPr>
          <w:color w:val="auto"/>
          <w:sz w:val="24"/>
          <w:highlight w:val="none"/>
        </w:rPr>
      </w:pPr>
      <w:r>
        <w:rPr>
          <w:color w:val="auto"/>
          <w:sz w:val="24"/>
          <w:highlight w:val="none"/>
        </w:rPr>
        <w:t>2.20.2 规范和标准</w:t>
      </w:r>
    </w:p>
    <w:p w14:paraId="0163641A">
      <w:pPr>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所提供的电动机应满足1.3条所列规范和标准的要求，但不限于此。</w:t>
      </w:r>
    </w:p>
    <w:p w14:paraId="1265CD9C">
      <w:pPr>
        <w:spacing w:line="360" w:lineRule="auto"/>
        <w:rPr>
          <w:color w:val="auto"/>
          <w:sz w:val="24"/>
          <w:highlight w:val="none"/>
        </w:rPr>
      </w:pPr>
      <w:r>
        <w:rPr>
          <w:color w:val="auto"/>
          <w:sz w:val="24"/>
          <w:highlight w:val="none"/>
        </w:rPr>
        <w:t>2.20.3 技术性能要求</w:t>
      </w:r>
    </w:p>
    <w:p w14:paraId="5838518F">
      <w:pPr>
        <w:pStyle w:val="176"/>
        <w:spacing w:line="360" w:lineRule="auto"/>
        <w:rPr>
          <w:rFonts w:hint="eastAsia"/>
          <w:color w:val="auto"/>
          <w:highlight w:val="none"/>
          <w:lang w:eastAsia="zh-CN"/>
        </w:rPr>
      </w:pPr>
      <w:r>
        <w:rPr>
          <w:color w:val="auto"/>
          <w:sz w:val="24"/>
          <w:highlight w:val="none"/>
        </w:rPr>
        <w:t>2.20.3.1电动机的设计与构造，必须与它所驱动设备的运行条件和维护要求一致。0.5kW及以下的电动机应适用于单相、220V。电机需提供型式试验报告。电源频率为50Hz。</w:t>
      </w:r>
      <w:r>
        <w:rPr>
          <w:rStyle w:val="54"/>
          <w:color w:val="auto"/>
          <w:highlight w:val="none"/>
        </w:rPr>
        <w:t>低压电机达到《电动机能效限定值及能效等级》（</w:t>
      </w:r>
      <w:r>
        <w:rPr>
          <w:rStyle w:val="54"/>
          <w:rFonts w:hint="eastAsia"/>
          <w:color w:val="auto"/>
          <w:highlight w:val="none"/>
        </w:rPr>
        <w:t>GB 18613-2020</w:t>
      </w:r>
      <w:r>
        <w:rPr>
          <w:rStyle w:val="54"/>
          <w:color w:val="auto"/>
          <w:highlight w:val="none"/>
        </w:rPr>
        <w:t>）中</w:t>
      </w:r>
      <w:r>
        <w:rPr>
          <w:rStyle w:val="54"/>
          <w:rFonts w:hint="eastAsia"/>
          <w:color w:val="auto"/>
          <w:highlight w:val="none"/>
        </w:rPr>
        <w:t>2</w:t>
      </w:r>
      <w:r>
        <w:rPr>
          <w:rStyle w:val="54"/>
          <w:color w:val="auto"/>
          <w:highlight w:val="none"/>
        </w:rPr>
        <w:t>级及以上能效水平。</w:t>
      </w:r>
      <w:r>
        <w:rPr>
          <w:rStyle w:val="54"/>
          <w:rFonts w:hint="eastAsia" w:ascii="Times New Roman" w:hAnsi="Times New Roman" w:eastAsia="宋体" w:cs="Times New Roman"/>
          <w:color w:val="auto"/>
          <w:sz w:val="24"/>
          <w:highlight w:val="none"/>
          <w:lang w:bidi="ar"/>
        </w:rPr>
        <w:t>高压电机达到《高压三相笼型异步电动机能效限定值及能效等级》</w:t>
      </w:r>
      <w:r>
        <w:rPr>
          <w:rStyle w:val="54"/>
          <w:rFonts w:ascii="Times New Roman" w:hAnsi="Times New Roman" w:eastAsia="宋体" w:cs="Times New Roman"/>
          <w:color w:val="auto"/>
          <w:sz w:val="24"/>
          <w:highlight w:val="none"/>
          <w:lang w:bidi="ar"/>
        </w:rPr>
        <w:t>(GB30254-2013)</w:t>
      </w:r>
      <w:r>
        <w:rPr>
          <w:rStyle w:val="54"/>
          <w:rFonts w:hint="eastAsia" w:ascii="Times New Roman" w:hAnsi="Times New Roman" w:eastAsia="宋体" w:cs="Times New Roman"/>
          <w:color w:val="auto"/>
          <w:sz w:val="24"/>
          <w:highlight w:val="none"/>
          <w:lang w:bidi="ar"/>
        </w:rPr>
        <w:t>中</w:t>
      </w:r>
      <w:r>
        <w:rPr>
          <w:rStyle w:val="54"/>
          <w:rFonts w:hint="eastAsia" w:cs="Times New Roman"/>
          <w:color w:val="auto"/>
          <w:sz w:val="24"/>
          <w:highlight w:val="none"/>
          <w:lang w:val="en-US" w:eastAsia="zh-CN" w:bidi="ar"/>
        </w:rPr>
        <w:t>2</w:t>
      </w:r>
      <w:r>
        <w:rPr>
          <w:rStyle w:val="54"/>
          <w:rFonts w:hint="eastAsia" w:ascii="Times New Roman" w:hAnsi="Times New Roman" w:eastAsia="宋体" w:cs="Times New Roman"/>
          <w:color w:val="auto"/>
          <w:sz w:val="24"/>
          <w:highlight w:val="none"/>
          <w:lang w:bidi="ar"/>
        </w:rPr>
        <w:t>级及以上能效水平。变频电源供电的电机应采用变频专用电机。电机需提供型式试验报告。</w:t>
      </w:r>
    </w:p>
    <w:p w14:paraId="656BE7ED">
      <w:pPr>
        <w:spacing w:line="360" w:lineRule="auto"/>
        <w:rPr>
          <w:color w:val="auto"/>
          <w:sz w:val="24"/>
          <w:highlight w:val="none"/>
        </w:rPr>
      </w:pPr>
      <w:r>
        <w:rPr>
          <w:color w:val="auto"/>
          <w:sz w:val="24"/>
          <w:highlight w:val="none"/>
        </w:rPr>
        <w:t>2.20.3.2电动机应为异步电动机。当频率为额定，且电源电压与额定值的偏差不超过</w:t>
      </w:r>
      <w:r>
        <w:rPr>
          <w:color w:val="auto"/>
          <w:sz w:val="24"/>
          <w:highlight w:val="none"/>
        </w:rPr>
        <w:sym w:font="Symbol" w:char="F0B1"/>
      </w:r>
      <w:r>
        <w:rPr>
          <w:color w:val="auto"/>
          <w:sz w:val="24"/>
          <w:highlight w:val="none"/>
        </w:rPr>
        <w:t>10%时，电动机应能输出额定功率；当电压为额定，且电源频率与额定值的偏差不超过</w:t>
      </w:r>
      <w:r>
        <w:rPr>
          <w:color w:val="auto"/>
          <w:sz w:val="24"/>
          <w:highlight w:val="none"/>
        </w:rPr>
        <w:sym w:font="Symbol" w:char="F0B1"/>
      </w:r>
      <w:r>
        <w:rPr>
          <w:color w:val="auto"/>
          <w:sz w:val="24"/>
          <w:highlight w:val="none"/>
        </w:rPr>
        <w:t>2%时，电动机应能输出额定功率。当电压和频率同时变化，两者变化分别不超过</w:t>
      </w:r>
      <w:r>
        <w:rPr>
          <w:color w:val="auto"/>
          <w:sz w:val="24"/>
          <w:highlight w:val="none"/>
        </w:rPr>
        <w:sym w:font="Symbol" w:char="F0B1"/>
      </w:r>
      <w:r>
        <w:rPr>
          <w:color w:val="auto"/>
          <w:sz w:val="24"/>
          <w:highlight w:val="none"/>
        </w:rPr>
        <w:t>10%和</w:t>
      </w:r>
      <w:r>
        <w:rPr>
          <w:color w:val="auto"/>
          <w:sz w:val="24"/>
          <w:highlight w:val="none"/>
        </w:rPr>
        <w:sym w:font="Symbol" w:char="F0B1"/>
      </w:r>
      <w:r>
        <w:rPr>
          <w:color w:val="auto"/>
          <w:sz w:val="24"/>
          <w:highlight w:val="none"/>
        </w:rPr>
        <w:t>2%时，电动机性能应满足GB 755的要求。</w:t>
      </w:r>
    </w:p>
    <w:p w14:paraId="3D7CDACF">
      <w:pPr>
        <w:spacing w:line="360" w:lineRule="auto"/>
        <w:rPr>
          <w:color w:val="auto"/>
          <w:sz w:val="24"/>
          <w:highlight w:val="none"/>
        </w:rPr>
      </w:pPr>
      <w:r>
        <w:rPr>
          <w:color w:val="auto"/>
          <w:sz w:val="24"/>
          <w:highlight w:val="none"/>
        </w:rPr>
        <w:t>2.20.3.3在额定电压和频率下，电动机的转矩应与所驱动的负载相匹配。电动机的铭牌容量不小于拖动设备最大运行工况下所需功率的115%。</w:t>
      </w:r>
    </w:p>
    <w:p w14:paraId="7BCDBC42">
      <w:pPr>
        <w:spacing w:line="360" w:lineRule="auto"/>
        <w:rPr>
          <w:color w:val="auto"/>
          <w:sz w:val="24"/>
          <w:highlight w:val="none"/>
        </w:rPr>
      </w:pPr>
      <w:r>
        <w:rPr>
          <w:color w:val="auto"/>
          <w:sz w:val="24"/>
          <w:highlight w:val="none"/>
        </w:rPr>
        <w:t>2.20.3.4电动机必须能在80-100%的额定电压和额定功率下平稳启动，并加速所启动的设备。380V电动机应能在55%额定电压下自启动，电动机制造厂应能保证满足自启动电压要求。电动机在满载运行时，应能承受电源快速切换过程而不损坏。</w:t>
      </w:r>
    </w:p>
    <w:p w14:paraId="24D73C5F">
      <w:pPr>
        <w:spacing w:line="360" w:lineRule="auto"/>
        <w:rPr>
          <w:color w:val="auto"/>
          <w:sz w:val="24"/>
          <w:highlight w:val="none"/>
        </w:rPr>
      </w:pPr>
      <w:r>
        <w:rPr>
          <w:color w:val="auto"/>
          <w:sz w:val="24"/>
          <w:highlight w:val="none"/>
        </w:rPr>
        <w:t>2.20.3.5电动机的最高噪音水平应符合所列规范和标准的要求。距外壳1米远处，电动机的平均声压级不得大于85dB（A声级）。如果预计设备的最大音级超过规定的容许极限，</w:t>
      </w:r>
      <w:r>
        <w:rPr>
          <w:rFonts w:hint="eastAsia"/>
          <w:color w:val="auto"/>
          <w:sz w:val="24"/>
          <w:highlight w:val="none"/>
          <w:lang w:eastAsia="zh-CN"/>
        </w:rPr>
        <w:t>投标方</w:t>
      </w:r>
      <w:r>
        <w:rPr>
          <w:color w:val="auto"/>
          <w:sz w:val="24"/>
          <w:highlight w:val="none"/>
        </w:rPr>
        <w:t>应采取措施降低噪音，以满足要求。具体采取的措施应经</w:t>
      </w:r>
      <w:r>
        <w:rPr>
          <w:rFonts w:hint="eastAsia"/>
          <w:color w:val="auto"/>
          <w:sz w:val="24"/>
          <w:highlight w:val="none"/>
          <w:lang w:eastAsia="zh-CN"/>
        </w:rPr>
        <w:t>招标方</w:t>
      </w:r>
      <w:r>
        <w:rPr>
          <w:color w:val="auto"/>
          <w:sz w:val="24"/>
          <w:highlight w:val="none"/>
        </w:rPr>
        <w:t>审查认可。</w:t>
      </w:r>
    </w:p>
    <w:p w14:paraId="51EB886B">
      <w:pPr>
        <w:spacing w:line="360" w:lineRule="auto"/>
        <w:rPr>
          <w:color w:val="auto"/>
          <w:sz w:val="24"/>
          <w:highlight w:val="none"/>
        </w:rPr>
      </w:pPr>
      <w:r>
        <w:rPr>
          <w:color w:val="auto"/>
          <w:sz w:val="24"/>
          <w:highlight w:val="none"/>
        </w:rPr>
        <w:t>2.20.3.6电动机应能满足在冷态下连续启动不少于二次，热态下连续启动不少于一次。</w:t>
      </w:r>
      <w:r>
        <w:rPr>
          <w:rFonts w:hint="eastAsia"/>
          <w:color w:val="auto"/>
          <w:sz w:val="24"/>
          <w:highlight w:val="none"/>
          <w:lang w:eastAsia="zh-CN"/>
        </w:rPr>
        <w:t>投标方</w:t>
      </w:r>
      <w:r>
        <w:rPr>
          <w:color w:val="auto"/>
          <w:sz w:val="24"/>
          <w:highlight w:val="none"/>
        </w:rPr>
        <w:t>应提供两次热态启动之间允许的最短时间间隔。</w:t>
      </w:r>
    </w:p>
    <w:p w14:paraId="56A0DE5E">
      <w:pPr>
        <w:spacing w:line="360" w:lineRule="auto"/>
        <w:rPr>
          <w:color w:val="auto"/>
          <w:sz w:val="24"/>
          <w:highlight w:val="none"/>
        </w:rPr>
      </w:pPr>
      <w:r>
        <w:rPr>
          <w:color w:val="auto"/>
          <w:sz w:val="24"/>
          <w:highlight w:val="none"/>
        </w:rPr>
        <w:t>2.20.3.7在设计环境温度下，电动机应能承受所有热应力和机械应力，并要求端电压保持在额定值时，电动机能达到设计的运转性能。</w:t>
      </w:r>
    </w:p>
    <w:p w14:paraId="36F31A92">
      <w:pPr>
        <w:spacing w:line="360" w:lineRule="auto"/>
        <w:rPr>
          <w:color w:val="auto"/>
          <w:sz w:val="24"/>
          <w:highlight w:val="none"/>
        </w:rPr>
      </w:pPr>
      <w:r>
        <w:rPr>
          <w:color w:val="auto"/>
          <w:sz w:val="24"/>
          <w:highlight w:val="none"/>
        </w:rPr>
        <w:t>2.20.3.8电动机的起动电流，应达到与满足其应用要求的良好性能与经济设计一致的最低电流值。在额定电压下，对于200kW以下电动机的最大起动电流倍数应小于6.5倍额定电流；对于200kW～2000kW的电动机，其起动电流倍数应小于6.0倍额定电流；大于等于2000kW的电动机起动电流倍数小于5.5倍额定电流。潜水泵电动机启动电流应不超过满载电流的2.5倍。</w:t>
      </w:r>
    </w:p>
    <w:p w14:paraId="20FBEC56">
      <w:pPr>
        <w:spacing w:line="360" w:lineRule="auto"/>
        <w:rPr>
          <w:color w:val="auto"/>
          <w:sz w:val="24"/>
          <w:highlight w:val="none"/>
        </w:rPr>
      </w:pPr>
      <w:r>
        <w:rPr>
          <w:color w:val="auto"/>
          <w:sz w:val="24"/>
          <w:highlight w:val="none"/>
        </w:rPr>
        <w:t>2.20.3.9电动机防护等级为IP5</w:t>
      </w:r>
      <w:r>
        <w:rPr>
          <w:rFonts w:hint="eastAsia"/>
          <w:color w:val="auto"/>
          <w:sz w:val="24"/>
          <w:highlight w:val="none"/>
        </w:rPr>
        <w:t>6</w:t>
      </w:r>
      <w:r>
        <w:rPr>
          <w:color w:val="auto"/>
          <w:sz w:val="24"/>
          <w:highlight w:val="none"/>
        </w:rPr>
        <w:t>（户外）/ IP54（户内），其绝缘等级为F级(温升按B级考核)。电机绕组经真空浸渍处理（VPI）。所有电动机的使用寿命在现场规定的工作制下不小于30年。电动机的连接线与绕线的绝缘具有相同的绝缘等级。电动机接线盒内的支承绝缘子应进行环氧树脂浸渍处理；电动机接线盒内连接端子的外包绝缘工艺应充分考虑防潮。户外电动机的暴露部件均需涂上一层适用于屋外设备的防腐层，铁芯冲片和其他内部部件也需涂一层保护层以防止腐蚀。潜水泵电动机所有绕组的绝缘应足以承受全部浸没在自然状态水中的条件。</w:t>
      </w:r>
    </w:p>
    <w:p w14:paraId="2ADC025F">
      <w:pPr>
        <w:spacing w:line="360" w:lineRule="auto"/>
        <w:rPr>
          <w:color w:val="auto"/>
          <w:sz w:val="24"/>
          <w:highlight w:val="none"/>
        </w:rPr>
      </w:pPr>
      <w:r>
        <w:rPr>
          <w:color w:val="auto"/>
          <w:sz w:val="24"/>
          <w:highlight w:val="none"/>
        </w:rPr>
        <w:t>2.20.3.10电动机应有固定接地导线的合适位置。若采用螺栓连接，在金属垫片或是电动机的底座上，应有足够数量的螺栓保证连接牢固，直径不小于12mm。</w:t>
      </w:r>
    </w:p>
    <w:p w14:paraId="47535D8A">
      <w:pPr>
        <w:spacing w:line="360" w:lineRule="auto"/>
        <w:rPr>
          <w:color w:val="auto"/>
          <w:sz w:val="24"/>
          <w:highlight w:val="none"/>
        </w:rPr>
      </w:pPr>
      <w:r>
        <w:rPr>
          <w:color w:val="auto"/>
          <w:sz w:val="24"/>
          <w:highlight w:val="none"/>
        </w:rPr>
        <w:t>2.20.3.11出线盒的方位，面对轴伸端看电动机,一般在电动机右侧。动力接线盒尺寸、开孔尺寸以及端子排尺寸应考虑到电缆因降压和敷设温升效应需比按电动机额定电流选择的截面要大，应考虑将有关尺寸至少放大一档。</w:t>
      </w:r>
    </w:p>
    <w:p w14:paraId="244CCF91">
      <w:pPr>
        <w:tabs>
          <w:tab w:val="left" w:pos="0"/>
          <w:tab w:val="left" w:pos="1200"/>
        </w:tabs>
        <w:spacing w:line="360" w:lineRule="auto"/>
        <w:textAlignment w:val="baseline"/>
        <w:rPr>
          <w:color w:val="auto"/>
          <w:sz w:val="24"/>
          <w:highlight w:val="none"/>
        </w:rPr>
      </w:pPr>
      <w:r>
        <w:rPr>
          <w:color w:val="auto"/>
          <w:sz w:val="24"/>
          <w:highlight w:val="none"/>
        </w:rPr>
        <w:t>2.20.3.12电动机接地装置应设置在电动机的两侧。</w:t>
      </w:r>
    </w:p>
    <w:p w14:paraId="5455EE0A">
      <w:pPr>
        <w:tabs>
          <w:tab w:val="left" w:pos="0"/>
          <w:tab w:val="left" w:pos="1200"/>
        </w:tabs>
        <w:spacing w:line="360" w:lineRule="auto"/>
        <w:ind w:firstLine="480" w:firstLineChars="200"/>
        <w:textAlignment w:val="baseline"/>
        <w:rPr>
          <w:rFonts w:hint="eastAsia" w:eastAsia="宋体"/>
          <w:color w:val="auto"/>
          <w:sz w:val="24"/>
          <w:highlight w:val="none"/>
          <w:lang w:val="en-US" w:eastAsia="zh-CN"/>
        </w:rPr>
      </w:pPr>
      <w:r>
        <w:rPr>
          <w:color w:val="auto"/>
          <w:sz w:val="24"/>
          <w:highlight w:val="none"/>
        </w:rPr>
        <w:t>380V电机轴承采用。</w:t>
      </w:r>
      <w:r>
        <w:rPr>
          <w:rFonts w:hint="eastAsia"/>
          <w:color w:val="auto"/>
          <w:sz w:val="24"/>
          <w:highlight w:val="none"/>
          <w:lang w:val="en-US" w:eastAsia="zh-CN"/>
        </w:rPr>
        <w:t>哈瓦洛产品</w:t>
      </w:r>
      <w:r>
        <w:rPr>
          <w:rStyle w:val="54"/>
          <w:rFonts w:hint="eastAsia" w:ascii="Times New Roman" w:hAnsi="Times New Roman" w:eastAsia="宋体" w:cs="Times New Roman"/>
          <w:color w:val="auto"/>
          <w:sz w:val="24"/>
          <w:highlight w:val="none"/>
        </w:rPr>
        <w:t>或“相当于”</w:t>
      </w:r>
      <w:r>
        <w:rPr>
          <w:rStyle w:val="54"/>
          <w:rFonts w:ascii="Times New Roman" w:hAnsi="Times New Roman" w:eastAsia="宋体" w:cs="Times New Roman"/>
          <w:color w:val="auto"/>
          <w:sz w:val="24"/>
          <w:highlight w:val="none"/>
        </w:rPr>
        <w:t>正常工作温度不大于70℃，最高温度不得超过90℃，并要求设置90℃以上的报警措施，每个轴承处设测温装置</w:t>
      </w:r>
      <w:r>
        <w:rPr>
          <w:rStyle w:val="54"/>
          <w:rFonts w:hint="eastAsia" w:ascii="Times New Roman" w:hAnsi="Times New Roman" w:eastAsia="宋体" w:cs="Times New Roman"/>
          <w:color w:val="auto"/>
          <w:sz w:val="24"/>
          <w:highlight w:val="none"/>
          <w:lang w:eastAsia="zh-CN"/>
        </w:rPr>
        <w:t>。</w:t>
      </w:r>
    </w:p>
    <w:p w14:paraId="41993216">
      <w:pPr>
        <w:spacing w:line="360" w:lineRule="auto"/>
        <w:rPr>
          <w:color w:val="auto"/>
          <w:sz w:val="24"/>
          <w:highlight w:val="none"/>
        </w:rPr>
      </w:pPr>
      <w:r>
        <w:rPr>
          <w:color w:val="auto"/>
          <w:sz w:val="24"/>
          <w:highlight w:val="none"/>
        </w:rPr>
        <w:t>2.20.3.14如电机调速采用变频器，电机的选型和性能设计应能适应和满足变频设备各种运行状态的工况要求。</w:t>
      </w:r>
    </w:p>
    <w:p w14:paraId="57255802">
      <w:pPr>
        <w:pStyle w:val="176"/>
        <w:spacing w:line="360" w:lineRule="auto"/>
        <w:rPr>
          <w:color w:val="auto"/>
          <w:sz w:val="24"/>
          <w:highlight w:val="none"/>
        </w:rPr>
      </w:pPr>
      <w:r>
        <w:rPr>
          <w:rStyle w:val="54"/>
          <w:rFonts w:ascii="Times New Roman" w:hAnsi="Times New Roman" w:eastAsia="宋体" w:cs="Times New Roman"/>
          <w:color w:val="auto"/>
          <w:sz w:val="24"/>
          <w:highlight w:val="none"/>
        </w:rPr>
        <w:t>2.20.3.15户外电机的加热器接线盒应具有防雨水功能，防护等级为IP56。</w:t>
      </w:r>
    </w:p>
    <w:p w14:paraId="7CF139F0">
      <w:pPr>
        <w:spacing w:line="360" w:lineRule="auto"/>
        <w:rPr>
          <w:color w:val="auto"/>
          <w:sz w:val="24"/>
          <w:highlight w:val="none"/>
        </w:rPr>
      </w:pPr>
      <w:r>
        <w:rPr>
          <w:color w:val="auto"/>
          <w:sz w:val="24"/>
          <w:highlight w:val="none"/>
        </w:rPr>
        <w:t>2.20.3.1</w:t>
      </w:r>
      <w:r>
        <w:rPr>
          <w:rFonts w:hint="eastAsia"/>
          <w:color w:val="auto"/>
          <w:sz w:val="24"/>
          <w:highlight w:val="none"/>
          <w:lang w:val="en-US" w:eastAsia="zh-CN"/>
        </w:rPr>
        <w:t>6</w:t>
      </w:r>
      <w:r>
        <w:rPr>
          <w:color w:val="auto"/>
          <w:sz w:val="24"/>
          <w:highlight w:val="none"/>
        </w:rPr>
        <w:t>在现场和规定的环境中完全符合规范地运行条件下，电动机的设计应能保证其使用寿命不低于30年。</w:t>
      </w:r>
    </w:p>
    <w:p w14:paraId="771D684E">
      <w:pPr>
        <w:spacing w:line="360" w:lineRule="auto"/>
        <w:rPr>
          <w:color w:val="auto"/>
          <w:sz w:val="24"/>
          <w:highlight w:val="none"/>
        </w:rPr>
      </w:pPr>
      <w:r>
        <w:rPr>
          <w:color w:val="auto"/>
          <w:sz w:val="24"/>
          <w:highlight w:val="none"/>
        </w:rPr>
        <w:t>2.20.3.1</w:t>
      </w:r>
      <w:r>
        <w:rPr>
          <w:rFonts w:hint="eastAsia"/>
          <w:color w:val="auto"/>
          <w:sz w:val="24"/>
          <w:highlight w:val="none"/>
          <w:lang w:val="en-US" w:eastAsia="zh-CN"/>
        </w:rPr>
        <w:t>7</w:t>
      </w:r>
      <w:r>
        <w:rPr>
          <w:color w:val="auto"/>
          <w:sz w:val="24"/>
          <w:highlight w:val="none"/>
        </w:rPr>
        <w:t>配套电机的外壳上除了详细的电机铭牌外，必须带有详细的电机“加油指示牌”，电机“加油指示牌”的数量为2个（电机的轴伸端和非轴伸端各1个），电机“加油指示牌”的具体内容为：轴承型号、加油周期、加油量、油脂牌号等。</w:t>
      </w:r>
    </w:p>
    <w:p w14:paraId="64DB8FD9">
      <w:pPr>
        <w:spacing w:line="360" w:lineRule="auto"/>
        <w:rPr>
          <w:color w:val="auto"/>
          <w:sz w:val="24"/>
          <w:highlight w:val="none"/>
        </w:rPr>
      </w:pPr>
      <w:r>
        <w:rPr>
          <w:color w:val="auto"/>
          <w:sz w:val="24"/>
          <w:highlight w:val="none"/>
        </w:rPr>
        <w:t>2.20.3.</w:t>
      </w:r>
      <w:r>
        <w:rPr>
          <w:rFonts w:hint="eastAsia"/>
          <w:color w:val="auto"/>
          <w:sz w:val="24"/>
          <w:highlight w:val="none"/>
          <w:lang w:val="en-US" w:eastAsia="zh-CN"/>
        </w:rPr>
        <w:t>18</w:t>
      </w:r>
      <w:r>
        <w:rPr>
          <w:color w:val="auto"/>
          <w:sz w:val="24"/>
          <w:highlight w:val="none"/>
        </w:rPr>
        <w:t>带电加热器的配套电机，电机的外壳上必须带有“加热器铭牌”，“加热器铭牌”的具体内容为：功率、电压、相数、频率等。</w:t>
      </w:r>
    </w:p>
    <w:p w14:paraId="355AFC62">
      <w:pPr>
        <w:spacing w:line="360" w:lineRule="auto"/>
        <w:rPr>
          <w:color w:val="auto"/>
          <w:sz w:val="24"/>
          <w:highlight w:val="none"/>
        </w:rPr>
      </w:pPr>
      <w:r>
        <w:rPr>
          <w:color w:val="auto"/>
          <w:sz w:val="24"/>
          <w:highlight w:val="none"/>
        </w:rPr>
        <w:t>2.20.3.</w:t>
      </w:r>
      <w:r>
        <w:rPr>
          <w:rFonts w:hint="eastAsia"/>
          <w:color w:val="auto"/>
          <w:sz w:val="24"/>
          <w:highlight w:val="none"/>
          <w:lang w:val="en-US" w:eastAsia="zh-CN"/>
        </w:rPr>
        <w:t>19</w:t>
      </w:r>
      <w:r>
        <w:rPr>
          <w:color w:val="auto"/>
          <w:sz w:val="24"/>
          <w:highlight w:val="none"/>
        </w:rPr>
        <w:t>电动机旋转方向应有明显的标识。电动机允许空载时反转。</w:t>
      </w:r>
    </w:p>
    <w:p w14:paraId="5D035BB3">
      <w:pPr>
        <w:spacing w:line="360" w:lineRule="auto"/>
        <w:rPr>
          <w:color w:val="auto"/>
          <w:sz w:val="24"/>
          <w:highlight w:val="none"/>
        </w:rPr>
      </w:pPr>
      <w:r>
        <w:rPr>
          <w:color w:val="auto"/>
          <w:sz w:val="24"/>
          <w:highlight w:val="none"/>
        </w:rPr>
        <w:t>2.20.3.2</w:t>
      </w:r>
      <w:r>
        <w:rPr>
          <w:rFonts w:hint="eastAsia"/>
          <w:color w:val="auto"/>
          <w:sz w:val="24"/>
          <w:highlight w:val="none"/>
          <w:lang w:val="en-US" w:eastAsia="zh-CN"/>
        </w:rPr>
        <w:t>0</w:t>
      </w:r>
      <w:r>
        <w:rPr>
          <w:color w:val="auto"/>
          <w:sz w:val="24"/>
          <w:highlight w:val="none"/>
        </w:rPr>
        <w:t>电动机为额定功率输出，电压﹑频率均为额定值时，电动机的功率因数为0.85时，效率的保证值为_______%以上。</w:t>
      </w:r>
    </w:p>
    <w:p w14:paraId="794D1D1F">
      <w:pPr>
        <w:spacing w:line="360" w:lineRule="auto"/>
        <w:rPr>
          <w:color w:val="auto"/>
          <w:sz w:val="24"/>
          <w:highlight w:val="none"/>
        </w:rPr>
      </w:pPr>
      <w:r>
        <w:rPr>
          <w:color w:val="auto"/>
          <w:sz w:val="24"/>
          <w:highlight w:val="none"/>
        </w:rPr>
        <w:t>2.20.3.2</w:t>
      </w:r>
      <w:r>
        <w:rPr>
          <w:rFonts w:hint="eastAsia"/>
          <w:color w:val="auto"/>
          <w:sz w:val="24"/>
          <w:highlight w:val="none"/>
          <w:lang w:val="en-US" w:eastAsia="zh-CN"/>
        </w:rPr>
        <w:t>1</w:t>
      </w:r>
      <w:r>
        <w:rPr>
          <w:color w:val="auto"/>
          <w:sz w:val="24"/>
          <w:highlight w:val="none"/>
        </w:rPr>
        <w:t>电动机应有固定接地导线的合适位置。若采用螺栓连接，在金属垫片或是电动机的底座上，应有足够数量的螺栓保证连接牢固，直径不小于</w:t>
      </w:r>
      <w:r>
        <w:rPr>
          <w:color w:val="auto"/>
          <w:sz w:val="24"/>
          <w:highlight w:val="none"/>
        </w:rPr>
        <w:sym w:font="Symbol" w:char="F066"/>
      </w:r>
      <w:r>
        <w:rPr>
          <w:color w:val="auto"/>
          <w:sz w:val="24"/>
          <w:highlight w:val="none"/>
        </w:rPr>
        <w:t>12mm。</w:t>
      </w:r>
    </w:p>
    <w:p w14:paraId="017C3FAA">
      <w:pPr>
        <w:spacing w:line="360" w:lineRule="auto"/>
        <w:rPr>
          <w:color w:val="auto"/>
          <w:sz w:val="24"/>
          <w:highlight w:val="none"/>
        </w:rPr>
      </w:pPr>
      <w:r>
        <w:rPr>
          <w:color w:val="auto"/>
          <w:sz w:val="24"/>
          <w:highlight w:val="none"/>
        </w:rPr>
        <w:t>2.20.3.2</w:t>
      </w:r>
      <w:r>
        <w:rPr>
          <w:rFonts w:hint="eastAsia"/>
          <w:color w:val="auto"/>
          <w:sz w:val="24"/>
          <w:highlight w:val="none"/>
          <w:lang w:val="en-US" w:eastAsia="zh-CN"/>
        </w:rPr>
        <w:t>2</w:t>
      </w:r>
      <w:r>
        <w:rPr>
          <w:color w:val="auto"/>
          <w:sz w:val="24"/>
          <w:highlight w:val="none"/>
        </w:rPr>
        <w:t>温度检测元件的引线应能与动力线分开，引向单独的接线盒并便于维护检修。</w:t>
      </w:r>
    </w:p>
    <w:p w14:paraId="6E2A9604">
      <w:pPr>
        <w:spacing w:line="360" w:lineRule="auto"/>
        <w:rPr>
          <w:color w:val="auto"/>
          <w:sz w:val="24"/>
          <w:highlight w:val="none"/>
        </w:rPr>
      </w:pPr>
      <w:r>
        <w:rPr>
          <w:color w:val="auto"/>
          <w:sz w:val="24"/>
          <w:highlight w:val="none"/>
        </w:rPr>
        <w:t>2.20.3.2</w:t>
      </w:r>
      <w:r>
        <w:rPr>
          <w:rFonts w:hint="eastAsia"/>
          <w:color w:val="auto"/>
          <w:sz w:val="24"/>
          <w:highlight w:val="none"/>
          <w:lang w:val="en-US" w:eastAsia="zh-CN"/>
        </w:rPr>
        <w:t>3</w:t>
      </w:r>
      <w:r>
        <w:rPr>
          <w:color w:val="auto"/>
          <w:sz w:val="24"/>
          <w:highlight w:val="none"/>
        </w:rPr>
        <w:t>在接线盒内标明电动机的相序，接线端子相间、相对地有足够的安全距离，并有电缆固定措施。</w:t>
      </w:r>
    </w:p>
    <w:p w14:paraId="45FBEE2F">
      <w:pPr>
        <w:spacing w:line="360" w:lineRule="auto"/>
        <w:rPr>
          <w:color w:val="auto"/>
          <w:sz w:val="24"/>
          <w:highlight w:val="none"/>
        </w:rPr>
      </w:pPr>
      <w:r>
        <w:rPr>
          <w:color w:val="auto"/>
          <w:sz w:val="24"/>
          <w:highlight w:val="none"/>
        </w:rPr>
        <w:t>2.20.3.2</w:t>
      </w:r>
      <w:r>
        <w:rPr>
          <w:rFonts w:hint="eastAsia"/>
          <w:color w:val="auto"/>
          <w:sz w:val="24"/>
          <w:highlight w:val="none"/>
          <w:lang w:val="en-US" w:eastAsia="zh-CN"/>
        </w:rPr>
        <w:t>4</w:t>
      </w:r>
      <w:r>
        <w:rPr>
          <w:color w:val="auto"/>
          <w:sz w:val="24"/>
          <w:highlight w:val="none"/>
        </w:rPr>
        <w:t>电动机的振动值符合国际有关标准。</w:t>
      </w:r>
    </w:p>
    <w:p w14:paraId="3882E28C">
      <w:pPr>
        <w:spacing w:line="360" w:lineRule="auto"/>
        <w:rPr>
          <w:color w:val="auto"/>
          <w:sz w:val="24"/>
          <w:highlight w:val="none"/>
        </w:rPr>
      </w:pPr>
      <w:r>
        <w:rPr>
          <w:color w:val="auto"/>
          <w:sz w:val="24"/>
          <w:highlight w:val="none"/>
        </w:rPr>
        <w:t>2.20.3.2</w:t>
      </w:r>
      <w:r>
        <w:rPr>
          <w:rFonts w:hint="eastAsia"/>
          <w:color w:val="auto"/>
          <w:sz w:val="24"/>
          <w:highlight w:val="none"/>
          <w:lang w:val="en-US" w:eastAsia="zh-CN"/>
        </w:rPr>
        <w:t>5</w:t>
      </w:r>
      <w:r>
        <w:rPr>
          <w:color w:val="auto"/>
          <w:sz w:val="24"/>
          <w:highlight w:val="none"/>
        </w:rPr>
        <w:t>每台电动机应装有起吊环、起吊钩或其它便于安全起吊电动机的装置。</w:t>
      </w:r>
    </w:p>
    <w:p w14:paraId="0E2DF3B7">
      <w:pPr>
        <w:spacing w:line="360" w:lineRule="auto"/>
        <w:rPr>
          <w:color w:val="auto"/>
          <w:sz w:val="24"/>
          <w:highlight w:val="none"/>
        </w:rPr>
      </w:pPr>
      <w:r>
        <w:rPr>
          <w:color w:val="auto"/>
          <w:sz w:val="24"/>
          <w:highlight w:val="none"/>
        </w:rPr>
        <w:t>2.20.3.2</w:t>
      </w:r>
      <w:r>
        <w:rPr>
          <w:rFonts w:hint="eastAsia"/>
          <w:color w:val="auto"/>
          <w:sz w:val="24"/>
          <w:highlight w:val="none"/>
          <w:lang w:val="en-US" w:eastAsia="zh-CN"/>
        </w:rPr>
        <w:t>6</w:t>
      </w:r>
      <w:r>
        <w:rPr>
          <w:color w:val="auto"/>
          <w:sz w:val="24"/>
          <w:highlight w:val="none"/>
        </w:rPr>
        <w:t>电动机本体及其附件均应满足电厂高潮湿、高盐雾等特殊气候的要求。</w:t>
      </w:r>
    </w:p>
    <w:p w14:paraId="7F2F1877">
      <w:pPr>
        <w:spacing w:line="360" w:lineRule="auto"/>
        <w:rPr>
          <w:color w:val="auto"/>
          <w:sz w:val="24"/>
          <w:highlight w:val="none"/>
        </w:rPr>
      </w:pPr>
      <w:r>
        <w:rPr>
          <w:color w:val="auto"/>
          <w:sz w:val="24"/>
          <w:highlight w:val="none"/>
        </w:rPr>
        <w:t>2.20.4</w:t>
      </w:r>
      <w:r>
        <w:rPr>
          <w:color w:val="auto"/>
          <w:sz w:val="24"/>
          <w:highlight w:val="none"/>
        </w:rPr>
        <w:tab/>
      </w:r>
      <w:r>
        <w:rPr>
          <w:color w:val="auto"/>
          <w:sz w:val="24"/>
          <w:highlight w:val="none"/>
        </w:rPr>
        <w:t>设计与结构要求</w:t>
      </w:r>
    </w:p>
    <w:p w14:paraId="681241D3">
      <w:pPr>
        <w:spacing w:line="360" w:lineRule="auto"/>
        <w:rPr>
          <w:color w:val="auto"/>
          <w:sz w:val="24"/>
          <w:highlight w:val="none"/>
        </w:rPr>
      </w:pPr>
      <w:r>
        <w:rPr>
          <w:color w:val="auto"/>
          <w:sz w:val="24"/>
          <w:highlight w:val="none"/>
        </w:rPr>
        <w:t>2.20.4.1外壳的通风与保护</w:t>
      </w:r>
    </w:p>
    <w:p w14:paraId="449D84B7">
      <w:pPr>
        <w:spacing w:line="360" w:lineRule="auto"/>
        <w:rPr>
          <w:color w:val="auto"/>
          <w:sz w:val="24"/>
          <w:highlight w:val="none"/>
        </w:rPr>
      </w:pPr>
      <w:r>
        <w:rPr>
          <w:color w:val="auto"/>
          <w:sz w:val="24"/>
          <w:highlight w:val="none"/>
        </w:rPr>
        <w:t>2.20.4.1.1电动机应为全封闭空冷结构。</w:t>
      </w:r>
    </w:p>
    <w:p w14:paraId="7A44160A">
      <w:pPr>
        <w:spacing w:line="360" w:lineRule="auto"/>
        <w:rPr>
          <w:color w:val="auto"/>
          <w:sz w:val="24"/>
          <w:highlight w:val="none"/>
        </w:rPr>
      </w:pPr>
      <w:r>
        <w:rPr>
          <w:color w:val="auto"/>
          <w:sz w:val="24"/>
          <w:highlight w:val="none"/>
        </w:rPr>
        <w:t>2.20.4.1.2当通风要求设立隔栅时，这类隔栅应符合适用的标准，并应能够耐腐蚀。对于通风隔栅，应进行和电动机机座及外壳的油漆部分同样的防腐处理。为了检查和清扫电动机绕组和气隙，隔栅应能方便的拆卸。如果提供灰尘过滤器，应满足实用的标准和预防腐蚀。</w:t>
      </w:r>
    </w:p>
    <w:p w14:paraId="34B3A9A3">
      <w:pPr>
        <w:spacing w:line="360" w:lineRule="auto"/>
        <w:rPr>
          <w:color w:val="auto"/>
          <w:sz w:val="24"/>
          <w:highlight w:val="none"/>
        </w:rPr>
      </w:pPr>
      <w:r>
        <w:rPr>
          <w:color w:val="auto"/>
          <w:sz w:val="24"/>
          <w:highlight w:val="none"/>
        </w:rPr>
        <w:t>2.20.4.1.3除了防爆电动机外，电动机应设有排放口。防爆电动机应设有一种经过安全认可的排放塞。</w:t>
      </w:r>
    </w:p>
    <w:p w14:paraId="45A84F46">
      <w:pPr>
        <w:spacing w:line="360" w:lineRule="auto"/>
        <w:rPr>
          <w:color w:val="auto"/>
          <w:sz w:val="24"/>
          <w:highlight w:val="none"/>
        </w:rPr>
      </w:pPr>
      <w:r>
        <w:rPr>
          <w:color w:val="auto"/>
          <w:sz w:val="24"/>
          <w:highlight w:val="none"/>
        </w:rPr>
        <w:t>2.20.4.1.4防爆电动机的防爆级别和类别，应符合所列标准的规定。</w:t>
      </w:r>
    </w:p>
    <w:p w14:paraId="10D50F03">
      <w:pPr>
        <w:spacing w:line="360" w:lineRule="auto"/>
        <w:rPr>
          <w:color w:val="auto"/>
          <w:sz w:val="24"/>
          <w:highlight w:val="none"/>
        </w:rPr>
      </w:pPr>
      <w:r>
        <w:rPr>
          <w:color w:val="auto"/>
          <w:sz w:val="24"/>
          <w:highlight w:val="none"/>
        </w:rPr>
        <w:t>2.20.4.2</w:t>
      </w:r>
      <w:r>
        <w:rPr>
          <w:color w:val="auto"/>
          <w:sz w:val="24"/>
          <w:highlight w:val="none"/>
        </w:rPr>
        <w:tab/>
      </w:r>
      <w:r>
        <w:rPr>
          <w:color w:val="auto"/>
          <w:sz w:val="24"/>
          <w:highlight w:val="none"/>
        </w:rPr>
        <w:t>对于装有防滴式外壳的电动机，应采用弹性耐磨涂层对定子绕组的端部线匝和通风槽片进行处理。</w:t>
      </w:r>
    </w:p>
    <w:p w14:paraId="4B440813">
      <w:pPr>
        <w:spacing w:line="360" w:lineRule="auto"/>
        <w:rPr>
          <w:color w:val="auto"/>
          <w:sz w:val="24"/>
          <w:highlight w:val="none"/>
        </w:rPr>
      </w:pPr>
      <w:r>
        <w:rPr>
          <w:color w:val="auto"/>
          <w:sz w:val="24"/>
          <w:highlight w:val="none"/>
        </w:rPr>
        <w:t>2.20.4.3</w:t>
      </w:r>
      <w:r>
        <w:rPr>
          <w:color w:val="auto"/>
          <w:sz w:val="24"/>
          <w:highlight w:val="none"/>
        </w:rPr>
        <w:tab/>
      </w:r>
      <w:r>
        <w:rPr>
          <w:color w:val="auto"/>
          <w:sz w:val="24"/>
          <w:highlight w:val="none"/>
        </w:rPr>
        <w:t>轴承和轴承盖</w:t>
      </w:r>
    </w:p>
    <w:p w14:paraId="32A92FA5">
      <w:pPr>
        <w:spacing w:line="360" w:lineRule="auto"/>
        <w:rPr>
          <w:color w:val="auto"/>
          <w:sz w:val="24"/>
          <w:highlight w:val="none"/>
        </w:rPr>
      </w:pPr>
      <w:r>
        <w:rPr>
          <w:color w:val="auto"/>
          <w:sz w:val="24"/>
          <w:highlight w:val="none"/>
        </w:rPr>
        <w:t>电动机和轴承的结构应能排除尘垢和水份的侵入，并防止润滑剂到达电动机绕组。所有电动机轴承通常应与下列要求保持一致。</w:t>
      </w:r>
    </w:p>
    <w:p w14:paraId="726C07C8">
      <w:pPr>
        <w:spacing w:line="360" w:lineRule="auto"/>
        <w:rPr>
          <w:color w:val="auto"/>
          <w:sz w:val="24"/>
          <w:highlight w:val="none"/>
        </w:rPr>
      </w:pPr>
      <w:r>
        <w:rPr>
          <w:color w:val="auto"/>
          <w:sz w:val="24"/>
          <w:highlight w:val="none"/>
        </w:rPr>
        <w:t>2.20.4.3.1在可以满足规定的用途、操作条件和外壳等项要求时，卧式电动机可装有套筒式轴承。立式电动机应装备带护罩的推力式轴承。</w:t>
      </w:r>
    </w:p>
    <w:p w14:paraId="70639CAC">
      <w:pPr>
        <w:spacing w:line="360" w:lineRule="auto"/>
        <w:rPr>
          <w:color w:val="auto"/>
          <w:sz w:val="24"/>
          <w:highlight w:val="none"/>
        </w:rPr>
      </w:pPr>
      <w:r>
        <w:rPr>
          <w:color w:val="auto"/>
          <w:sz w:val="24"/>
          <w:highlight w:val="none"/>
        </w:rPr>
        <w:t>2.20.4.3.2除了压力润滑油以外，套筒式轴承应为油环式套筒轴承。装有套筒式轴承的电动机应具有容易拆卸的轴承、轴承箱、端罩或底座，以便检查和更换轴承时不必拆卸电动机或拆下电动机的联轴器。制造轴承的巴氏合金应符合相关标准。油环应为单片固定结构。应提供用于检查油环的装置。</w:t>
      </w:r>
    </w:p>
    <w:p w14:paraId="0BBA89BD">
      <w:pPr>
        <w:spacing w:line="360" w:lineRule="auto"/>
        <w:rPr>
          <w:color w:val="auto"/>
          <w:sz w:val="24"/>
          <w:highlight w:val="none"/>
        </w:rPr>
      </w:pPr>
      <w:r>
        <w:rPr>
          <w:color w:val="auto"/>
          <w:sz w:val="24"/>
          <w:highlight w:val="none"/>
        </w:rPr>
        <w:t>2.20.4.3.3套筒式轴承应有接近气隙的简便方法，以便在不拆下轴承盖的情况下利用气隙测量仪检测轴承的磨损。气隙的尺寸应适当，以弥补因轴承磨损和转子与定子的有些膨胀两者综合因素所导致的转子位移，从而使转子与定子两者互不接触。</w:t>
      </w:r>
    </w:p>
    <w:p w14:paraId="29FCDED6">
      <w:pPr>
        <w:spacing w:line="360" w:lineRule="auto"/>
        <w:rPr>
          <w:color w:val="auto"/>
          <w:sz w:val="24"/>
          <w:highlight w:val="none"/>
        </w:rPr>
      </w:pPr>
      <w:r>
        <w:rPr>
          <w:color w:val="auto"/>
          <w:sz w:val="24"/>
          <w:highlight w:val="none"/>
        </w:rPr>
        <w:t>2.20.4.3.4提供的所有油位观察仪均应带有标志，以显示电动机在停用状态和运行状态的正确油位。如果两种状态下的油位之差是明显的。应提供检查正常轴承滑油流动的方法。</w:t>
      </w:r>
    </w:p>
    <w:p w14:paraId="6E9AFF86">
      <w:pPr>
        <w:spacing w:line="360" w:lineRule="auto"/>
        <w:rPr>
          <w:color w:val="auto"/>
          <w:sz w:val="24"/>
          <w:highlight w:val="none"/>
        </w:rPr>
      </w:pPr>
      <w:r>
        <w:rPr>
          <w:color w:val="auto"/>
          <w:sz w:val="24"/>
          <w:highlight w:val="none"/>
        </w:rPr>
        <w:t>2.20.4.3.5当采用压力油润滑的卧式电动机时，电动机轴承应为套筒式，压力油来自供起动和紧急操作用的、具有油环装置的被驱动设备的润滑系统。当压力油系统不工作时，油环装置应足以满足电动机起动和至少1.5h的连续运行要求。电机制造厂应提供润滑油流动指示计来指示每个电动机轴承流出的油流方向。</w:t>
      </w:r>
    </w:p>
    <w:p w14:paraId="2D8911B1">
      <w:pPr>
        <w:spacing w:line="360" w:lineRule="auto"/>
        <w:rPr>
          <w:color w:val="auto"/>
          <w:sz w:val="24"/>
          <w:highlight w:val="none"/>
        </w:rPr>
      </w:pPr>
      <w:r>
        <w:rPr>
          <w:color w:val="auto"/>
          <w:sz w:val="24"/>
          <w:highlight w:val="none"/>
        </w:rPr>
        <w:t>2.20.4.3.6具有轴架式轴承的电动机应配有两个与基座绝缘的轴承轴架，并应在驱动端（联轴器端）的轴架上提供一个可拆卸的接地搭接片。</w:t>
      </w:r>
    </w:p>
    <w:p w14:paraId="4086551F">
      <w:pPr>
        <w:spacing w:line="360" w:lineRule="auto"/>
        <w:rPr>
          <w:color w:val="auto"/>
          <w:sz w:val="24"/>
          <w:highlight w:val="none"/>
        </w:rPr>
      </w:pPr>
      <w:r>
        <w:rPr>
          <w:color w:val="auto"/>
          <w:sz w:val="24"/>
          <w:highlight w:val="none"/>
        </w:rPr>
        <w:t>2.20.4.3.7具有耐磨轴承的电动机应配备润滑油加油嘴，这样不必拆卸电机便可将润滑油通过轴承箱注入轴承。电动机在装运时，应正确地将轴承箱包装或加注制造厂商允许的润滑油，并应在电动机上配备排泄装置和写有在将电动机投入运转之前需要完成的调整的固定说明标牌。</w:t>
      </w:r>
    </w:p>
    <w:p w14:paraId="5BF32E96">
      <w:pPr>
        <w:spacing w:line="360" w:lineRule="auto"/>
        <w:rPr>
          <w:color w:val="auto"/>
          <w:sz w:val="24"/>
          <w:highlight w:val="none"/>
        </w:rPr>
      </w:pPr>
      <w:r>
        <w:rPr>
          <w:color w:val="auto"/>
          <w:sz w:val="24"/>
          <w:highlight w:val="none"/>
        </w:rPr>
        <w:t>2.20.4.3.8具有耐磨轴承的电动机应在固定于电动机壳的铭牌上明确标示。耐磨轴承应达到150000h的最低额定使用寿命。</w:t>
      </w:r>
      <w:r>
        <w:rPr>
          <w:rFonts w:hint="eastAsia"/>
          <w:color w:val="auto"/>
          <w:sz w:val="24"/>
          <w:highlight w:val="none"/>
          <w:lang w:eastAsia="zh-CN"/>
        </w:rPr>
        <w:t>投标方</w:t>
      </w:r>
      <w:r>
        <w:rPr>
          <w:color w:val="auto"/>
          <w:sz w:val="24"/>
          <w:highlight w:val="none"/>
        </w:rPr>
        <w:t>应提供阐述确定轴承额定使用寿命所依据的资料以及这类实际使用条件下的电动机性能记录。</w:t>
      </w:r>
    </w:p>
    <w:p w14:paraId="7F119078">
      <w:pPr>
        <w:spacing w:line="360" w:lineRule="auto"/>
        <w:rPr>
          <w:color w:val="auto"/>
          <w:sz w:val="24"/>
          <w:highlight w:val="none"/>
        </w:rPr>
      </w:pPr>
      <w:r>
        <w:rPr>
          <w:color w:val="auto"/>
          <w:sz w:val="24"/>
          <w:highlight w:val="none"/>
        </w:rPr>
        <w:t>2.20.4.3.9</w:t>
      </w:r>
      <w:r>
        <w:rPr>
          <w:rFonts w:hint="eastAsia"/>
          <w:color w:val="auto"/>
          <w:sz w:val="24"/>
          <w:highlight w:val="none"/>
          <w:lang w:eastAsia="zh-CN"/>
        </w:rPr>
        <w:t>投标方</w:t>
      </w:r>
      <w:r>
        <w:rPr>
          <w:color w:val="auto"/>
          <w:sz w:val="24"/>
          <w:highlight w:val="none"/>
        </w:rPr>
        <w:t>应在设备使用说明书中提供一份完整的推荐使用并完全适用的润滑油清单，包括其商标牌号和油品名称，并在电动机设备铭牌（可以使用单独的设备铭牌）上标明。</w:t>
      </w:r>
    </w:p>
    <w:p w14:paraId="43E171E1">
      <w:pPr>
        <w:spacing w:line="360" w:lineRule="auto"/>
        <w:rPr>
          <w:color w:val="auto"/>
          <w:sz w:val="24"/>
          <w:highlight w:val="none"/>
        </w:rPr>
      </w:pPr>
      <w:r>
        <w:rPr>
          <w:color w:val="auto"/>
          <w:sz w:val="24"/>
          <w:highlight w:val="none"/>
        </w:rPr>
        <w:t>2.20.4.4</w:t>
      </w:r>
      <w:r>
        <w:rPr>
          <w:color w:val="auto"/>
          <w:sz w:val="24"/>
          <w:highlight w:val="none"/>
        </w:rPr>
        <w:tab/>
      </w:r>
      <w:r>
        <w:rPr>
          <w:color w:val="auto"/>
          <w:sz w:val="24"/>
          <w:highlight w:val="none"/>
        </w:rPr>
        <w:t>联轴器</w:t>
      </w:r>
    </w:p>
    <w:p w14:paraId="2CD0A505">
      <w:pPr>
        <w:spacing w:line="360" w:lineRule="auto"/>
        <w:rPr>
          <w:color w:val="auto"/>
          <w:sz w:val="24"/>
          <w:highlight w:val="none"/>
        </w:rPr>
      </w:pPr>
      <w:r>
        <w:rPr>
          <w:color w:val="auto"/>
          <w:sz w:val="24"/>
          <w:highlight w:val="none"/>
        </w:rPr>
        <w:t>2.20.4.4.1套筒式轴承的电动机的设计应采用带有限制轴端浮动的联轴器，以防止被驱动设备应轴向推力传递给电动机轴承。电动机和联轴器的端部浮动应符合所列标准中的有关的规定。</w:t>
      </w:r>
    </w:p>
    <w:p w14:paraId="54C94430">
      <w:pPr>
        <w:spacing w:line="360" w:lineRule="auto"/>
        <w:rPr>
          <w:color w:val="auto"/>
          <w:sz w:val="24"/>
          <w:highlight w:val="none"/>
        </w:rPr>
      </w:pPr>
      <w:r>
        <w:rPr>
          <w:color w:val="auto"/>
          <w:sz w:val="24"/>
          <w:highlight w:val="none"/>
        </w:rPr>
        <w:t>2.20.4.4.2实心轴的立式电动机应具有一个符合被驱动设备制造厂商提供的尺寸要求的延伸轴。</w:t>
      </w:r>
    </w:p>
    <w:p w14:paraId="435B9D4D">
      <w:pPr>
        <w:spacing w:line="360" w:lineRule="auto"/>
        <w:rPr>
          <w:color w:val="auto"/>
          <w:sz w:val="24"/>
          <w:highlight w:val="none"/>
        </w:rPr>
      </w:pPr>
      <w:r>
        <w:rPr>
          <w:color w:val="auto"/>
          <w:sz w:val="24"/>
          <w:highlight w:val="none"/>
        </w:rPr>
        <w:t>2.20.4.5</w:t>
      </w:r>
      <w:r>
        <w:rPr>
          <w:color w:val="auto"/>
          <w:sz w:val="24"/>
          <w:highlight w:val="none"/>
        </w:rPr>
        <w:tab/>
      </w:r>
      <w:r>
        <w:rPr>
          <w:color w:val="auto"/>
          <w:sz w:val="24"/>
          <w:highlight w:val="none"/>
        </w:rPr>
        <w:t>转子拆卸</w:t>
      </w:r>
    </w:p>
    <w:p w14:paraId="6F250204">
      <w:pPr>
        <w:spacing w:line="360" w:lineRule="auto"/>
        <w:ind w:firstLine="480" w:firstLineChars="200"/>
        <w:rPr>
          <w:color w:val="auto"/>
          <w:sz w:val="24"/>
          <w:highlight w:val="none"/>
        </w:rPr>
      </w:pPr>
      <w:r>
        <w:rPr>
          <w:color w:val="auto"/>
          <w:sz w:val="24"/>
          <w:highlight w:val="none"/>
        </w:rPr>
        <w:t>带套筒轴承的卧式电动机的设计应便于转子的拆卸，即在拆卸转子时不必拆下联轴器，也不必起吊或用千斤顶顶起电动机机座或定子。</w:t>
      </w:r>
    </w:p>
    <w:p w14:paraId="7859E774">
      <w:pPr>
        <w:spacing w:line="360" w:lineRule="auto"/>
        <w:rPr>
          <w:color w:val="auto"/>
          <w:sz w:val="24"/>
          <w:highlight w:val="none"/>
        </w:rPr>
      </w:pPr>
      <w:r>
        <w:rPr>
          <w:color w:val="auto"/>
          <w:sz w:val="24"/>
          <w:highlight w:val="none"/>
        </w:rPr>
        <w:t>2.20.4.7</w:t>
      </w:r>
      <w:r>
        <w:rPr>
          <w:color w:val="auto"/>
          <w:sz w:val="24"/>
          <w:highlight w:val="none"/>
        </w:rPr>
        <w:tab/>
      </w:r>
      <w:r>
        <w:rPr>
          <w:color w:val="auto"/>
          <w:sz w:val="24"/>
          <w:highlight w:val="none"/>
        </w:rPr>
        <w:t>安装与装定位销</w:t>
      </w:r>
    </w:p>
    <w:p w14:paraId="2644EE1D">
      <w:pPr>
        <w:spacing w:line="360" w:lineRule="auto"/>
        <w:rPr>
          <w:color w:val="auto"/>
          <w:sz w:val="24"/>
          <w:highlight w:val="none"/>
        </w:rPr>
      </w:pPr>
      <w:r>
        <w:rPr>
          <w:color w:val="auto"/>
          <w:sz w:val="24"/>
          <w:highlight w:val="none"/>
        </w:rPr>
        <w:t>2.20.4.7.1除特殊应用外，卧式电动机应采用底脚安装方式，立式电动机应采用底座安装方式。</w:t>
      </w:r>
      <w:r>
        <w:rPr>
          <w:rFonts w:hint="eastAsia"/>
          <w:color w:val="auto"/>
          <w:sz w:val="24"/>
          <w:highlight w:val="none"/>
          <w:lang w:eastAsia="zh-CN"/>
        </w:rPr>
        <w:t>投标方</w:t>
      </w:r>
      <w:r>
        <w:rPr>
          <w:color w:val="auto"/>
          <w:sz w:val="24"/>
          <w:highlight w:val="none"/>
        </w:rPr>
        <w:t>应与被驱动设备制造厂商协调安装的细节。</w:t>
      </w:r>
    </w:p>
    <w:p w14:paraId="2A826BB4">
      <w:pPr>
        <w:spacing w:line="360" w:lineRule="auto"/>
        <w:rPr>
          <w:color w:val="auto"/>
          <w:sz w:val="24"/>
          <w:highlight w:val="none"/>
        </w:rPr>
      </w:pPr>
      <w:r>
        <w:rPr>
          <w:color w:val="auto"/>
          <w:sz w:val="24"/>
          <w:highlight w:val="none"/>
        </w:rPr>
        <w:t>2.20.4.7.2电动机的设计应便于通过电动机底座或安装法兰钻孔（最好是垂直钻孔），以便电动机与被驱动设备安装好后装入定位销钉。</w:t>
      </w:r>
    </w:p>
    <w:p w14:paraId="7AF7C2EA">
      <w:pPr>
        <w:spacing w:line="360" w:lineRule="auto"/>
        <w:rPr>
          <w:color w:val="auto"/>
          <w:sz w:val="24"/>
          <w:highlight w:val="none"/>
        </w:rPr>
      </w:pPr>
      <w:r>
        <w:rPr>
          <w:color w:val="auto"/>
          <w:sz w:val="24"/>
          <w:highlight w:val="none"/>
        </w:rPr>
        <w:t>2.20.4.7.3当因电动机结构的限制而使垂直销钉无法安装时，电动机底座与轴垂直方向应加工或浇注为一个按销钉允许最小的角度，并提供一个导向角。</w:t>
      </w:r>
    </w:p>
    <w:p w14:paraId="56C4790B">
      <w:pPr>
        <w:spacing w:line="360" w:lineRule="auto"/>
        <w:rPr>
          <w:color w:val="auto"/>
          <w:sz w:val="24"/>
          <w:highlight w:val="none"/>
        </w:rPr>
      </w:pPr>
      <w:r>
        <w:rPr>
          <w:color w:val="auto"/>
          <w:sz w:val="24"/>
          <w:highlight w:val="none"/>
          <w:lang w:bidi="ar"/>
        </w:rPr>
        <w:t>2.20.5.2</w:t>
      </w:r>
      <w:r>
        <w:rPr>
          <w:rFonts w:hint="eastAsia" w:cs="宋体"/>
          <w:color w:val="auto"/>
          <w:sz w:val="24"/>
          <w:highlight w:val="none"/>
          <w:lang w:bidi="ar"/>
        </w:rPr>
        <w:t>变频装置</w:t>
      </w:r>
    </w:p>
    <w:p w14:paraId="7E332CC8">
      <w:pPr>
        <w:spacing w:line="360" w:lineRule="auto"/>
        <w:rPr>
          <w:color w:val="auto"/>
          <w:sz w:val="24"/>
          <w:highlight w:val="none"/>
        </w:rPr>
      </w:pPr>
      <w:r>
        <w:rPr>
          <w:color w:val="auto"/>
          <w:sz w:val="24"/>
          <w:highlight w:val="none"/>
          <w:lang w:bidi="ar"/>
        </w:rPr>
        <w:t>2.20.5.2.l</w:t>
      </w:r>
      <w:r>
        <w:rPr>
          <w:rFonts w:hint="eastAsia" w:cs="宋体"/>
          <w:color w:val="auto"/>
          <w:sz w:val="24"/>
          <w:highlight w:val="none"/>
          <w:lang w:bidi="ar"/>
        </w:rPr>
        <w:t>为保证变频器的高可靠性，变频器结构应简单。在</w:t>
      </w:r>
      <w:r>
        <w:rPr>
          <w:color w:val="auto"/>
          <w:sz w:val="24"/>
          <w:highlight w:val="none"/>
          <w:lang w:bidi="ar"/>
        </w:rPr>
        <w:t>0</w:t>
      </w:r>
      <w:r>
        <w:rPr>
          <w:rFonts w:hint="eastAsia" w:cs="宋体"/>
          <w:color w:val="auto"/>
          <w:sz w:val="24"/>
          <w:highlight w:val="none"/>
          <w:lang w:bidi="ar"/>
        </w:rPr>
        <w:t>℃－</w:t>
      </w:r>
      <w:r>
        <w:rPr>
          <w:color w:val="auto"/>
          <w:sz w:val="24"/>
          <w:highlight w:val="none"/>
          <w:lang w:bidi="ar"/>
        </w:rPr>
        <w:t>45</w:t>
      </w:r>
      <w:r>
        <w:rPr>
          <w:rFonts w:hint="eastAsia" w:cs="宋体"/>
          <w:color w:val="auto"/>
          <w:sz w:val="24"/>
          <w:highlight w:val="none"/>
          <w:lang w:bidi="ar"/>
        </w:rPr>
        <w:t>℃环境温度下应能保持额定功率长期运行。</w:t>
      </w:r>
    </w:p>
    <w:p w14:paraId="37DDAFD3">
      <w:pPr>
        <w:spacing w:line="360" w:lineRule="auto"/>
        <w:rPr>
          <w:color w:val="auto"/>
          <w:sz w:val="24"/>
          <w:highlight w:val="none"/>
        </w:rPr>
      </w:pPr>
      <w:r>
        <w:rPr>
          <w:color w:val="auto"/>
          <w:sz w:val="24"/>
          <w:highlight w:val="none"/>
          <w:lang w:bidi="ar"/>
        </w:rPr>
        <w:t>2.20.5.2.2</w:t>
      </w:r>
      <w:r>
        <w:rPr>
          <w:rFonts w:hint="eastAsia" w:cs="宋体"/>
          <w:color w:val="auto"/>
          <w:sz w:val="24"/>
          <w:highlight w:val="none"/>
          <w:lang w:bidi="ar"/>
        </w:rPr>
        <w:t>变频装置选用成熟优质的产品。</w:t>
      </w:r>
    </w:p>
    <w:p w14:paraId="1BEFD71F">
      <w:pPr>
        <w:spacing w:line="360" w:lineRule="auto"/>
        <w:rPr>
          <w:color w:val="auto"/>
          <w:sz w:val="24"/>
          <w:highlight w:val="none"/>
        </w:rPr>
      </w:pPr>
      <w:r>
        <w:rPr>
          <w:color w:val="auto"/>
          <w:sz w:val="24"/>
          <w:highlight w:val="none"/>
          <w:lang w:bidi="ar"/>
        </w:rPr>
        <w:t>2.20.5.2.3</w:t>
      </w:r>
      <w:r>
        <w:rPr>
          <w:rFonts w:hint="eastAsia" w:cs="宋体"/>
          <w:color w:val="auto"/>
          <w:sz w:val="24"/>
          <w:highlight w:val="none"/>
          <w:lang w:eastAsia="zh-CN" w:bidi="ar"/>
        </w:rPr>
        <w:t>投标方</w:t>
      </w:r>
      <w:r>
        <w:rPr>
          <w:rFonts w:hint="eastAsia" w:cs="宋体"/>
          <w:color w:val="auto"/>
          <w:sz w:val="24"/>
          <w:highlight w:val="none"/>
          <w:lang w:bidi="ar"/>
        </w:rPr>
        <w:t>应根据运转设备运行特点和与之配套的电动机参数选择合适的变频装置。额定运行工况下，使用变频装置后电动机不降容。</w:t>
      </w:r>
    </w:p>
    <w:p w14:paraId="45704F29">
      <w:pPr>
        <w:spacing w:line="360" w:lineRule="auto"/>
        <w:rPr>
          <w:color w:val="auto"/>
          <w:sz w:val="24"/>
          <w:highlight w:val="none"/>
        </w:rPr>
      </w:pPr>
      <w:r>
        <w:rPr>
          <w:color w:val="auto"/>
          <w:sz w:val="24"/>
          <w:highlight w:val="none"/>
          <w:lang w:bidi="ar"/>
        </w:rPr>
        <w:t>2.20.5.2.4</w:t>
      </w:r>
      <w:r>
        <w:rPr>
          <w:rFonts w:hint="eastAsia" w:cs="宋体"/>
          <w:color w:val="auto"/>
          <w:sz w:val="24"/>
          <w:highlight w:val="none"/>
          <w:lang w:bidi="ar"/>
        </w:rPr>
        <w:t>变频调速装置应具有良好的调节性能，能根据负荷的变化及时有效地实现调节，在负荷从</w:t>
      </w:r>
      <w:r>
        <w:rPr>
          <w:color w:val="auto"/>
          <w:sz w:val="24"/>
          <w:highlight w:val="none"/>
          <w:lang w:bidi="ar"/>
        </w:rPr>
        <w:t>40%</w:t>
      </w:r>
      <w:r>
        <w:rPr>
          <w:rFonts w:hint="eastAsia" w:cs="宋体"/>
          <w:color w:val="auto"/>
          <w:sz w:val="24"/>
          <w:highlight w:val="none"/>
          <w:lang w:bidi="ar"/>
        </w:rPr>
        <w:t>调节到</w:t>
      </w:r>
      <w:r>
        <w:rPr>
          <w:color w:val="auto"/>
          <w:sz w:val="24"/>
          <w:highlight w:val="none"/>
          <w:lang w:bidi="ar"/>
        </w:rPr>
        <w:t>100%</w:t>
      </w:r>
      <w:r>
        <w:rPr>
          <w:rFonts w:hint="eastAsia" w:cs="宋体"/>
          <w:color w:val="auto"/>
          <w:sz w:val="24"/>
          <w:highlight w:val="none"/>
          <w:lang w:bidi="ar"/>
        </w:rPr>
        <w:t>的过程及从</w:t>
      </w:r>
      <w:r>
        <w:rPr>
          <w:color w:val="auto"/>
          <w:sz w:val="24"/>
          <w:highlight w:val="none"/>
          <w:lang w:bidi="ar"/>
        </w:rPr>
        <w:t>100%</w:t>
      </w:r>
      <w:r>
        <w:rPr>
          <w:rFonts w:hint="eastAsia" w:cs="宋体"/>
          <w:color w:val="auto"/>
          <w:sz w:val="24"/>
          <w:highlight w:val="none"/>
          <w:lang w:bidi="ar"/>
        </w:rPr>
        <w:t>调节到</w:t>
      </w:r>
      <w:r>
        <w:rPr>
          <w:color w:val="auto"/>
          <w:sz w:val="24"/>
          <w:highlight w:val="none"/>
          <w:lang w:bidi="ar"/>
        </w:rPr>
        <w:t>40%</w:t>
      </w:r>
      <w:r>
        <w:rPr>
          <w:rFonts w:hint="eastAsia" w:cs="宋体"/>
          <w:color w:val="auto"/>
          <w:sz w:val="24"/>
          <w:highlight w:val="none"/>
          <w:lang w:bidi="ar"/>
        </w:rPr>
        <w:t>的过程所需时间均须小于</w:t>
      </w:r>
      <w:r>
        <w:rPr>
          <w:color w:val="auto"/>
          <w:sz w:val="24"/>
          <w:highlight w:val="none"/>
          <w:lang w:bidi="ar"/>
        </w:rPr>
        <w:t>30s</w:t>
      </w:r>
      <w:r>
        <w:rPr>
          <w:rFonts w:hint="eastAsia" w:cs="宋体"/>
          <w:color w:val="auto"/>
          <w:sz w:val="24"/>
          <w:highlight w:val="none"/>
          <w:lang w:bidi="ar"/>
        </w:rPr>
        <w:t>。（现场</w:t>
      </w:r>
      <w:r>
        <w:rPr>
          <w:color w:val="auto"/>
          <w:sz w:val="24"/>
          <w:highlight w:val="none"/>
          <w:lang w:bidi="ar"/>
        </w:rPr>
        <w:t>1s~3600s</w:t>
      </w:r>
      <w:r>
        <w:rPr>
          <w:rFonts w:hint="eastAsia" w:cs="宋体"/>
          <w:color w:val="auto"/>
          <w:sz w:val="24"/>
          <w:highlight w:val="none"/>
          <w:lang w:bidi="ar"/>
        </w:rPr>
        <w:t>可调）</w:t>
      </w:r>
    </w:p>
    <w:p w14:paraId="3B168816">
      <w:pPr>
        <w:spacing w:line="360" w:lineRule="auto"/>
        <w:rPr>
          <w:color w:val="auto"/>
          <w:sz w:val="24"/>
          <w:highlight w:val="none"/>
        </w:rPr>
      </w:pPr>
      <w:r>
        <w:rPr>
          <w:color w:val="auto"/>
          <w:sz w:val="24"/>
          <w:highlight w:val="none"/>
          <w:lang w:bidi="ar"/>
        </w:rPr>
        <w:t>2.20.5.2.5</w:t>
      </w:r>
      <w:r>
        <w:rPr>
          <w:rFonts w:hint="eastAsia" w:cs="宋体"/>
          <w:color w:val="auto"/>
          <w:sz w:val="24"/>
          <w:highlight w:val="none"/>
          <w:lang w:bidi="ar"/>
        </w:rPr>
        <w:t>变频调速系统产生的谐波应满足中国“</w:t>
      </w:r>
      <w:r>
        <w:rPr>
          <w:color w:val="auto"/>
          <w:sz w:val="24"/>
          <w:highlight w:val="none"/>
          <w:lang w:bidi="ar"/>
        </w:rPr>
        <w:t xml:space="preserve">GB/T 14549 </w:t>
      </w:r>
      <w:r>
        <w:rPr>
          <w:rFonts w:hint="eastAsia" w:cs="宋体"/>
          <w:color w:val="auto"/>
          <w:sz w:val="24"/>
          <w:highlight w:val="none"/>
          <w:lang w:bidi="ar"/>
        </w:rPr>
        <w:t>电能质量</w:t>
      </w:r>
      <w:r>
        <w:rPr>
          <w:color w:val="auto"/>
          <w:sz w:val="24"/>
          <w:highlight w:val="none"/>
          <w:lang w:bidi="ar"/>
        </w:rPr>
        <w:t xml:space="preserve">  </w:t>
      </w:r>
      <w:r>
        <w:rPr>
          <w:rFonts w:hint="eastAsia" w:cs="宋体"/>
          <w:color w:val="auto"/>
          <w:sz w:val="24"/>
          <w:highlight w:val="none"/>
          <w:lang w:bidi="ar"/>
        </w:rPr>
        <w:t>公用电网谐波”</w:t>
      </w:r>
      <w:r>
        <w:rPr>
          <w:color w:val="auto"/>
          <w:sz w:val="24"/>
          <w:highlight w:val="none"/>
          <w:lang w:bidi="ar"/>
        </w:rPr>
        <w:t xml:space="preserve"> </w:t>
      </w:r>
      <w:r>
        <w:rPr>
          <w:rFonts w:hint="eastAsia" w:cs="宋体"/>
          <w:color w:val="auto"/>
          <w:sz w:val="24"/>
          <w:highlight w:val="none"/>
          <w:lang w:bidi="ar"/>
        </w:rPr>
        <w:t>以及</w:t>
      </w:r>
      <w:r>
        <w:rPr>
          <w:color w:val="auto"/>
          <w:sz w:val="24"/>
          <w:highlight w:val="none"/>
          <w:lang w:bidi="ar"/>
        </w:rPr>
        <w:t>IEEE519</w:t>
      </w:r>
      <w:r>
        <w:rPr>
          <w:rFonts w:hint="eastAsia" w:cs="宋体"/>
          <w:color w:val="auto"/>
          <w:sz w:val="24"/>
          <w:highlight w:val="none"/>
          <w:lang w:bidi="ar"/>
        </w:rPr>
        <w:t>国际标准的规定。变频装置应考虑将对电网谐波影响减至最小的措施，并在协议中说明。变频装置应对本体控制系统就地控制柜无谐波影响。如使用多脉冲整流器，整流桥脉冲数宜</w:t>
      </w:r>
      <w:r>
        <w:rPr>
          <w:color w:val="auto"/>
          <w:sz w:val="24"/>
          <w:highlight w:val="none"/>
          <w:lang w:bidi="ar"/>
        </w:rPr>
        <w:t>30</w:t>
      </w:r>
      <w:r>
        <w:rPr>
          <w:rFonts w:hint="eastAsia" w:cs="宋体"/>
          <w:color w:val="auto"/>
          <w:sz w:val="24"/>
          <w:highlight w:val="none"/>
          <w:lang w:bidi="ar"/>
        </w:rPr>
        <w:t>脉冲以上。</w:t>
      </w:r>
    </w:p>
    <w:p w14:paraId="40FB77F3">
      <w:pPr>
        <w:spacing w:line="360" w:lineRule="auto"/>
        <w:rPr>
          <w:color w:val="auto"/>
          <w:sz w:val="24"/>
          <w:highlight w:val="none"/>
        </w:rPr>
      </w:pPr>
      <w:r>
        <w:rPr>
          <w:color w:val="auto"/>
          <w:sz w:val="24"/>
          <w:highlight w:val="none"/>
          <w:lang w:bidi="ar"/>
        </w:rPr>
        <w:t>2.20.5.3.2</w:t>
      </w:r>
      <w:r>
        <w:rPr>
          <w:rFonts w:hint="eastAsia" w:cs="宋体"/>
          <w:color w:val="auto"/>
          <w:sz w:val="24"/>
          <w:highlight w:val="none"/>
          <w:lang w:bidi="ar"/>
        </w:rPr>
        <w:t>变频装置应设以下保护：过电压、过电流、欠电压、缺相保护、短路保护、超频保护、失速保护、变频器过载、电机过载保护、半导体器件的过热保护、瞬时停电保护等。保护的性能应符合国家有关标准的规定。所有定值可现场修改，保护功能可现场投退。</w:t>
      </w:r>
    </w:p>
    <w:p w14:paraId="5B5BC3E3">
      <w:pPr>
        <w:spacing w:line="360" w:lineRule="auto"/>
        <w:rPr>
          <w:color w:val="auto"/>
          <w:sz w:val="24"/>
          <w:highlight w:val="none"/>
        </w:rPr>
      </w:pPr>
      <w:r>
        <w:rPr>
          <w:color w:val="auto"/>
          <w:sz w:val="24"/>
          <w:highlight w:val="none"/>
          <w:lang w:bidi="ar"/>
        </w:rPr>
        <w:t>2.20.5.3.3</w:t>
      </w:r>
      <w:r>
        <w:rPr>
          <w:rFonts w:hint="eastAsia" w:cs="宋体"/>
          <w:color w:val="auto"/>
          <w:sz w:val="24"/>
          <w:highlight w:val="none"/>
          <w:lang w:bidi="ar"/>
        </w:rPr>
        <w:t>变频装置控制系统应可靠，重要元器件应冗余配置。变频器电容应使用高性能高耐压的电解电容或更高品质的薄膜电容。变频装置控制系统应采用数字微处理器控制器，具有就地监控方式和远方监控方式。在就地监控方式下，通过变频装置上的触摸式键盘和</w:t>
      </w:r>
      <w:r>
        <w:rPr>
          <w:color w:val="auto"/>
          <w:sz w:val="24"/>
          <w:highlight w:val="none"/>
          <w:lang w:bidi="ar"/>
        </w:rPr>
        <w:t>LCD/LED</w:t>
      </w:r>
      <w:r>
        <w:rPr>
          <w:rFonts w:hint="eastAsia" w:cs="宋体"/>
          <w:color w:val="auto"/>
          <w:sz w:val="24"/>
          <w:highlight w:val="none"/>
          <w:lang w:bidi="ar"/>
        </w:rPr>
        <w:t>显示，可进行就地人工启动、停止变频装置，可以调整转速、频率；就地控制窗口宜采用中文操作界面，功能设定、参数设定等均宜采用中文。</w:t>
      </w:r>
      <w:r>
        <w:rPr>
          <w:rFonts w:hint="eastAsia" w:cs="宋体"/>
          <w:color w:val="auto"/>
          <w:sz w:val="24"/>
          <w:highlight w:val="none"/>
          <w:lang w:eastAsia="zh-CN" w:bidi="ar"/>
        </w:rPr>
        <w:t>投标方</w:t>
      </w:r>
      <w:r>
        <w:rPr>
          <w:rFonts w:hint="eastAsia" w:cs="宋体"/>
          <w:color w:val="auto"/>
          <w:sz w:val="24"/>
          <w:highlight w:val="none"/>
          <w:lang w:bidi="ar"/>
        </w:rPr>
        <w:t>提供的变频装置支撑软件宜为汉化的最新的正版软件。</w:t>
      </w:r>
      <w:r>
        <w:rPr>
          <w:rFonts w:hint="eastAsia" w:cs="宋体"/>
          <w:color w:val="auto"/>
          <w:sz w:val="24"/>
          <w:highlight w:val="none"/>
          <w:lang w:eastAsia="zh-CN" w:bidi="ar"/>
        </w:rPr>
        <w:t>投标方</w:t>
      </w:r>
      <w:r>
        <w:rPr>
          <w:rFonts w:hint="eastAsia" w:cs="宋体"/>
          <w:color w:val="auto"/>
          <w:sz w:val="24"/>
          <w:highlight w:val="none"/>
          <w:lang w:bidi="ar"/>
        </w:rPr>
        <w:t>应提供变频装置软件的终身免费升级。</w:t>
      </w:r>
    </w:p>
    <w:p w14:paraId="10CBAD60">
      <w:pPr>
        <w:spacing w:line="360" w:lineRule="auto"/>
        <w:rPr>
          <w:color w:val="auto"/>
          <w:sz w:val="24"/>
          <w:highlight w:val="none"/>
        </w:rPr>
      </w:pPr>
      <w:r>
        <w:rPr>
          <w:color w:val="auto"/>
          <w:sz w:val="24"/>
          <w:highlight w:val="none"/>
          <w:lang w:bidi="ar"/>
        </w:rPr>
        <w:t>2.20.5.3.4</w:t>
      </w:r>
      <w:r>
        <w:rPr>
          <w:rFonts w:hint="eastAsia" w:cs="宋体"/>
          <w:color w:val="auto"/>
          <w:sz w:val="24"/>
          <w:highlight w:val="none"/>
          <w:lang w:bidi="ar"/>
        </w:rPr>
        <w:t>变频装置应带故障自诊断功能和黑匣子功能，能对所发生的故障类型及故障位置提供中文指示，能在就地显示并远方报警至</w:t>
      </w:r>
      <w:r>
        <w:rPr>
          <w:color w:val="auto"/>
          <w:sz w:val="24"/>
          <w:highlight w:val="none"/>
          <w:lang w:bidi="ar"/>
        </w:rPr>
        <w:t>DCS</w:t>
      </w:r>
      <w:r>
        <w:rPr>
          <w:rFonts w:hint="eastAsia" w:cs="宋体"/>
          <w:color w:val="auto"/>
          <w:sz w:val="24"/>
          <w:highlight w:val="none"/>
          <w:lang w:bidi="ar"/>
        </w:rPr>
        <w:t>，便于运行人员和检修人员能辨别和解决所出现的问题。另外还可以记录故障发生前后的内部各个参数的波形，便于厂家分析故障发生的原因。</w:t>
      </w:r>
    </w:p>
    <w:p w14:paraId="4F4790BF">
      <w:pPr>
        <w:spacing w:line="360" w:lineRule="auto"/>
        <w:rPr>
          <w:color w:val="auto"/>
          <w:sz w:val="24"/>
          <w:highlight w:val="none"/>
        </w:rPr>
      </w:pPr>
      <w:r>
        <w:rPr>
          <w:color w:val="auto"/>
          <w:sz w:val="24"/>
          <w:highlight w:val="none"/>
          <w:lang w:bidi="ar"/>
        </w:rPr>
        <w:t>2.20.5.3.</w:t>
      </w:r>
      <w:r>
        <w:rPr>
          <w:rFonts w:hint="eastAsia"/>
          <w:color w:val="auto"/>
          <w:sz w:val="24"/>
          <w:highlight w:val="none"/>
          <w:lang w:val="en-US" w:eastAsia="zh-CN" w:bidi="ar"/>
        </w:rPr>
        <w:t>5</w:t>
      </w:r>
      <w:r>
        <w:rPr>
          <w:color w:val="auto"/>
          <w:sz w:val="24"/>
          <w:highlight w:val="none"/>
          <w:lang w:bidi="ar"/>
        </w:rPr>
        <w:t xml:space="preserve"> </w:t>
      </w:r>
      <w:r>
        <w:rPr>
          <w:rFonts w:hint="eastAsia" w:cs="宋体"/>
          <w:color w:val="auto"/>
          <w:sz w:val="24"/>
          <w:highlight w:val="none"/>
          <w:lang w:bidi="ar"/>
        </w:rPr>
        <w:t>变频装置应能接受</w:t>
      </w:r>
      <w:r>
        <w:rPr>
          <w:rFonts w:hint="eastAsia" w:cs="宋体"/>
          <w:color w:val="auto"/>
          <w:sz w:val="24"/>
          <w:highlight w:val="none"/>
          <w:lang w:val="en-US" w:eastAsia="zh-CN" w:bidi="ar"/>
        </w:rPr>
        <w:t>热</w:t>
      </w:r>
      <w:r>
        <w:rPr>
          <w:rFonts w:hint="eastAsia" w:cs="宋体"/>
          <w:color w:val="auto"/>
          <w:sz w:val="24"/>
          <w:highlight w:val="none"/>
          <w:lang w:bidi="ar"/>
        </w:rPr>
        <w:t>电厂机组分散控制系统</w:t>
      </w:r>
      <w:r>
        <w:rPr>
          <w:color w:val="auto"/>
          <w:sz w:val="24"/>
          <w:highlight w:val="none"/>
          <w:lang w:bidi="ar"/>
        </w:rPr>
        <w:t>DCS</w:t>
      </w:r>
      <w:r>
        <w:rPr>
          <w:rFonts w:hint="eastAsia" w:cs="宋体"/>
          <w:color w:val="auto"/>
          <w:sz w:val="24"/>
          <w:highlight w:val="none"/>
          <w:lang w:bidi="ar"/>
        </w:rPr>
        <w:t>或其它控制系统的控制指令，并反馈变频装置的主要状态信号和故障报警信号。变频装置同</w:t>
      </w:r>
      <w:r>
        <w:rPr>
          <w:color w:val="auto"/>
          <w:sz w:val="24"/>
          <w:highlight w:val="none"/>
          <w:lang w:bidi="ar"/>
        </w:rPr>
        <w:t>DCS</w:t>
      </w:r>
      <w:r>
        <w:rPr>
          <w:rFonts w:hint="eastAsia" w:cs="宋体"/>
          <w:color w:val="auto"/>
          <w:sz w:val="24"/>
          <w:highlight w:val="none"/>
          <w:lang w:bidi="ar"/>
        </w:rPr>
        <w:t>接口采用硬接线方式。变频器柜顶风机的出口温度检测信号输出至</w:t>
      </w:r>
      <w:r>
        <w:rPr>
          <w:color w:val="auto"/>
          <w:sz w:val="24"/>
          <w:highlight w:val="none"/>
          <w:lang w:bidi="ar"/>
        </w:rPr>
        <w:t>DCS</w:t>
      </w:r>
      <w:r>
        <w:rPr>
          <w:rFonts w:hint="eastAsia" w:cs="宋体"/>
          <w:color w:val="auto"/>
          <w:sz w:val="24"/>
          <w:highlight w:val="none"/>
          <w:lang w:bidi="ar"/>
        </w:rPr>
        <w:t>。</w:t>
      </w:r>
    </w:p>
    <w:p w14:paraId="1AC7C502">
      <w:pPr>
        <w:spacing w:line="360" w:lineRule="auto"/>
        <w:rPr>
          <w:color w:val="auto"/>
          <w:sz w:val="24"/>
          <w:highlight w:val="none"/>
        </w:rPr>
      </w:pPr>
      <w:r>
        <w:rPr>
          <w:color w:val="auto"/>
          <w:sz w:val="24"/>
          <w:highlight w:val="none"/>
          <w:lang w:bidi="ar"/>
        </w:rPr>
        <w:t>2.20.5.3.</w:t>
      </w:r>
      <w:r>
        <w:rPr>
          <w:rFonts w:hint="eastAsia"/>
          <w:color w:val="auto"/>
          <w:sz w:val="24"/>
          <w:highlight w:val="none"/>
          <w:lang w:val="en-US" w:eastAsia="zh-CN" w:bidi="ar"/>
        </w:rPr>
        <w:t>6</w:t>
      </w:r>
      <w:r>
        <w:rPr>
          <w:rFonts w:hint="eastAsia" w:cs="宋体"/>
          <w:color w:val="auto"/>
          <w:sz w:val="24"/>
          <w:highlight w:val="none"/>
          <w:lang w:bidi="ar"/>
        </w:rPr>
        <w:t>变频装置应具有与机组分散控制系统</w:t>
      </w:r>
      <w:r>
        <w:rPr>
          <w:color w:val="auto"/>
          <w:sz w:val="24"/>
          <w:highlight w:val="none"/>
          <w:lang w:bidi="ar"/>
        </w:rPr>
        <w:t>DCS</w:t>
      </w:r>
      <w:r>
        <w:rPr>
          <w:rFonts w:hint="eastAsia" w:cs="宋体"/>
          <w:color w:val="auto"/>
          <w:sz w:val="24"/>
          <w:highlight w:val="none"/>
          <w:lang w:bidi="ar"/>
        </w:rPr>
        <w:t>或其它控制系统的通讯接口，通讯接口应支持以太网、</w:t>
      </w:r>
      <w:r>
        <w:rPr>
          <w:color w:val="auto"/>
          <w:sz w:val="24"/>
          <w:highlight w:val="none"/>
          <w:lang w:bidi="ar"/>
        </w:rPr>
        <w:t>MODBUS</w:t>
      </w:r>
      <w:r>
        <w:rPr>
          <w:rFonts w:hint="eastAsia" w:cs="宋体"/>
          <w:color w:val="auto"/>
          <w:sz w:val="24"/>
          <w:highlight w:val="none"/>
          <w:lang w:bidi="ar"/>
        </w:rPr>
        <w:t>等通讯协议，具体协议将在技术协议或详细设计阶段确定；</w:t>
      </w:r>
      <w:r>
        <w:rPr>
          <w:rFonts w:hint="eastAsia" w:cs="宋体"/>
          <w:color w:val="auto"/>
          <w:sz w:val="24"/>
          <w:highlight w:val="none"/>
          <w:lang w:eastAsia="zh-CN" w:bidi="ar"/>
        </w:rPr>
        <w:t>投标方</w:t>
      </w:r>
      <w:r>
        <w:rPr>
          <w:rFonts w:hint="eastAsia" w:cs="宋体"/>
          <w:color w:val="auto"/>
          <w:sz w:val="24"/>
          <w:highlight w:val="none"/>
          <w:lang w:bidi="ar"/>
        </w:rPr>
        <w:t>应提供通讯模件和所供设备之间的通讯电缆（采用光纤或同轴电缆）及全部通讯附件。</w:t>
      </w:r>
    </w:p>
    <w:p w14:paraId="000C9D8C">
      <w:pPr>
        <w:spacing w:line="360" w:lineRule="auto"/>
        <w:rPr>
          <w:color w:val="auto"/>
          <w:sz w:val="24"/>
          <w:highlight w:val="none"/>
        </w:rPr>
      </w:pPr>
      <w:r>
        <w:rPr>
          <w:color w:val="auto"/>
          <w:sz w:val="24"/>
          <w:highlight w:val="none"/>
          <w:lang w:bidi="ar"/>
        </w:rPr>
        <w:t>2.20.5.3.</w:t>
      </w:r>
      <w:r>
        <w:rPr>
          <w:rFonts w:hint="eastAsia"/>
          <w:color w:val="auto"/>
          <w:sz w:val="24"/>
          <w:highlight w:val="none"/>
          <w:lang w:val="en-US" w:eastAsia="zh-CN" w:bidi="ar"/>
        </w:rPr>
        <w:t>7</w:t>
      </w:r>
      <w:r>
        <w:rPr>
          <w:rFonts w:hint="eastAsia" w:cs="宋体"/>
          <w:color w:val="auto"/>
          <w:sz w:val="24"/>
          <w:highlight w:val="none"/>
          <w:lang w:eastAsia="zh-CN" w:bidi="ar"/>
        </w:rPr>
        <w:t>投标方</w:t>
      </w:r>
      <w:r>
        <w:rPr>
          <w:rFonts w:hint="eastAsia" w:cs="宋体"/>
          <w:color w:val="auto"/>
          <w:sz w:val="24"/>
          <w:highlight w:val="none"/>
          <w:lang w:bidi="ar"/>
        </w:rPr>
        <w:t>应配合分散控制系统</w:t>
      </w:r>
      <w:r>
        <w:rPr>
          <w:color w:val="auto"/>
          <w:sz w:val="24"/>
          <w:highlight w:val="none"/>
          <w:lang w:bidi="ar"/>
        </w:rPr>
        <w:t>DCS</w:t>
      </w:r>
      <w:r>
        <w:rPr>
          <w:rFonts w:hint="eastAsia" w:cs="宋体"/>
          <w:color w:val="auto"/>
          <w:sz w:val="24"/>
          <w:highlight w:val="none"/>
          <w:lang w:bidi="ar"/>
        </w:rPr>
        <w:t>或其它控制系统承包商共同完成两系统间的通讯连接，并按照分散控制系统</w:t>
      </w:r>
      <w:r>
        <w:rPr>
          <w:color w:val="auto"/>
          <w:sz w:val="24"/>
          <w:highlight w:val="none"/>
          <w:lang w:bidi="ar"/>
        </w:rPr>
        <w:t>DCS</w:t>
      </w:r>
      <w:r>
        <w:rPr>
          <w:rFonts w:hint="eastAsia" w:cs="宋体"/>
          <w:color w:val="auto"/>
          <w:sz w:val="24"/>
          <w:highlight w:val="none"/>
          <w:lang w:bidi="ar"/>
        </w:rPr>
        <w:t>或其它控制系统承包商的通讯格式要求提供通讯点清单。</w:t>
      </w:r>
    </w:p>
    <w:p w14:paraId="0B8749F2">
      <w:pPr>
        <w:spacing w:line="360" w:lineRule="auto"/>
        <w:rPr>
          <w:color w:val="auto"/>
          <w:sz w:val="24"/>
          <w:highlight w:val="none"/>
        </w:rPr>
      </w:pPr>
      <w:r>
        <w:rPr>
          <w:color w:val="auto"/>
          <w:sz w:val="24"/>
          <w:highlight w:val="none"/>
          <w:lang w:bidi="ar"/>
        </w:rPr>
        <w:t>2.20.5.3.</w:t>
      </w:r>
      <w:r>
        <w:rPr>
          <w:rFonts w:hint="eastAsia"/>
          <w:color w:val="auto"/>
          <w:sz w:val="24"/>
          <w:highlight w:val="none"/>
          <w:lang w:val="en-US" w:eastAsia="zh-CN" w:bidi="ar"/>
        </w:rPr>
        <w:t>8</w:t>
      </w:r>
      <w:r>
        <w:rPr>
          <w:rFonts w:hint="eastAsia" w:cs="宋体"/>
          <w:color w:val="auto"/>
          <w:sz w:val="24"/>
          <w:highlight w:val="none"/>
          <w:lang w:bidi="ar"/>
        </w:rPr>
        <w:t>变频装置应对本体控制系统的就地控制柜无谐波影响。应有效地抑制共模电压，不应危及电动机及电缆绝缘。</w:t>
      </w:r>
    </w:p>
    <w:p w14:paraId="1A34F54D">
      <w:pPr>
        <w:spacing w:line="360" w:lineRule="auto"/>
        <w:rPr>
          <w:color w:val="auto"/>
          <w:sz w:val="24"/>
          <w:highlight w:val="none"/>
        </w:rPr>
      </w:pPr>
      <w:r>
        <w:rPr>
          <w:color w:val="auto"/>
          <w:sz w:val="24"/>
          <w:highlight w:val="none"/>
          <w:lang w:bidi="ar"/>
        </w:rPr>
        <w:t xml:space="preserve">2.20.5.4 </w:t>
      </w:r>
      <w:r>
        <w:rPr>
          <w:rFonts w:hint="eastAsia" w:cs="宋体"/>
          <w:color w:val="auto"/>
          <w:sz w:val="24"/>
          <w:highlight w:val="none"/>
          <w:lang w:bidi="ar"/>
        </w:rPr>
        <w:t>切换柜</w:t>
      </w:r>
    </w:p>
    <w:p w14:paraId="5876EBFF">
      <w:pPr>
        <w:spacing w:line="360" w:lineRule="auto"/>
        <w:rPr>
          <w:color w:val="auto"/>
          <w:sz w:val="24"/>
          <w:highlight w:val="none"/>
        </w:rPr>
      </w:pPr>
      <w:r>
        <w:rPr>
          <w:rFonts w:hint="eastAsia" w:cs="宋体"/>
          <w:color w:val="auto"/>
          <w:sz w:val="24"/>
          <w:highlight w:val="none"/>
          <w:lang w:bidi="ar"/>
        </w:rPr>
        <w:t>切换柜内包括隔离开关等其他必要的元器件。</w:t>
      </w:r>
    </w:p>
    <w:p w14:paraId="2AF9FCCD">
      <w:pPr>
        <w:spacing w:line="360" w:lineRule="auto"/>
        <w:rPr>
          <w:color w:val="auto"/>
          <w:sz w:val="24"/>
          <w:highlight w:val="none"/>
        </w:rPr>
      </w:pPr>
      <w:r>
        <w:rPr>
          <w:rFonts w:hint="eastAsia" w:cs="宋体"/>
          <w:color w:val="auto"/>
          <w:sz w:val="24"/>
          <w:highlight w:val="none"/>
          <w:lang w:bidi="ar"/>
        </w:rPr>
        <w:t>切换柜防护等级</w:t>
      </w:r>
      <w:r>
        <w:rPr>
          <w:color w:val="auto"/>
          <w:sz w:val="24"/>
          <w:highlight w:val="none"/>
          <w:lang w:bidi="ar"/>
        </w:rPr>
        <w:t>IP41</w:t>
      </w:r>
      <w:r>
        <w:rPr>
          <w:rFonts w:hint="eastAsia" w:cs="宋体"/>
          <w:color w:val="auto"/>
          <w:sz w:val="24"/>
          <w:highlight w:val="none"/>
          <w:lang w:bidi="ar"/>
        </w:rPr>
        <w:t>。柜体板材应采用敷铝锌钢板，板厚应不小于</w:t>
      </w:r>
      <w:r>
        <w:rPr>
          <w:color w:val="auto"/>
          <w:sz w:val="24"/>
          <w:highlight w:val="none"/>
          <w:lang w:bidi="ar"/>
        </w:rPr>
        <w:t>2mm</w:t>
      </w:r>
      <w:r>
        <w:rPr>
          <w:rFonts w:hint="eastAsia" w:cs="宋体"/>
          <w:color w:val="auto"/>
          <w:sz w:val="24"/>
          <w:highlight w:val="none"/>
          <w:lang w:bidi="ar"/>
        </w:rPr>
        <w:t>，外壳喷塑，柜内设防凝露加热器。</w:t>
      </w:r>
    </w:p>
    <w:p w14:paraId="34C613F1">
      <w:pPr>
        <w:spacing w:line="360" w:lineRule="auto"/>
        <w:rPr>
          <w:color w:val="auto"/>
          <w:sz w:val="24"/>
          <w:highlight w:val="none"/>
        </w:rPr>
      </w:pPr>
      <w:r>
        <w:rPr>
          <w:rFonts w:hint="eastAsia" w:cs="宋体"/>
          <w:color w:val="auto"/>
          <w:sz w:val="24"/>
          <w:highlight w:val="none"/>
          <w:lang w:bidi="ar"/>
        </w:rPr>
        <w:t>（</w:t>
      </w:r>
      <w:r>
        <w:rPr>
          <w:color w:val="auto"/>
          <w:sz w:val="24"/>
          <w:highlight w:val="none"/>
          <w:lang w:bidi="ar"/>
        </w:rPr>
        <w:t>1</w:t>
      </w:r>
      <w:r>
        <w:rPr>
          <w:rFonts w:hint="eastAsia" w:cs="宋体"/>
          <w:color w:val="auto"/>
          <w:sz w:val="24"/>
          <w:highlight w:val="none"/>
          <w:lang w:bidi="ar"/>
        </w:rPr>
        <w:t>）隔离开关技术参数的最低要求为（</w:t>
      </w:r>
      <w:r>
        <w:rPr>
          <w:rFonts w:hint="eastAsia" w:cs="宋体"/>
          <w:color w:val="auto"/>
          <w:sz w:val="24"/>
          <w:highlight w:val="none"/>
          <w:lang w:eastAsia="zh-CN" w:bidi="ar"/>
        </w:rPr>
        <w:t>投标方</w:t>
      </w:r>
      <w:r>
        <w:rPr>
          <w:rFonts w:hint="eastAsia" w:cs="宋体"/>
          <w:color w:val="auto"/>
          <w:sz w:val="24"/>
          <w:highlight w:val="none"/>
          <w:lang w:bidi="ar"/>
        </w:rPr>
        <w:t>填写）：</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4"/>
        <w:gridCol w:w="3470"/>
      </w:tblGrid>
      <w:tr w14:paraId="367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994" w:type="dxa"/>
            <w:tcBorders>
              <w:top w:val="single" w:color="auto" w:sz="4" w:space="0"/>
              <w:left w:val="single" w:color="auto" w:sz="4" w:space="0"/>
              <w:bottom w:val="single" w:color="auto" w:sz="4" w:space="0"/>
              <w:right w:val="single" w:color="auto" w:sz="4" w:space="0"/>
            </w:tcBorders>
            <w:noWrap w:val="0"/>
            <w:vAlign w:val="top"/>
          </w:tcPr>
          <w:p w14:paraId="38A14940">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宋体"/>
                <w:color w:val="auto"/>
                <w:sz w:val="24"/>
                <w:highlight w:val="none"/>
                <w:lang w:bidi="ar"/>
              </w:rPr>
              <w:t>内容</w:t>
            </w:r>
          </w:p>
        </w:tc>
        <w:tc>
          <w:tcPr>
            <w:tcW w:w="3470" w:type="dxa"/>
            <w:tcBorders>
              <w:top w:val="single" w:color="auto" w:sz="4" w:space="0"/>
              <w:left w:val="single" w:color="auto" w:sz="4" w:space="0"/>
              <w:bottom w:val="single" w:color="auto" w:sz="4" w:space="0"/>
              <w:right w:val="single" w:color="auto" w:sz="4" w:space="0"/>
            </w:tcBorders>
            <w:noWrap w:val="0"/>
            <w:vAlign w:val="top"/>
          </w:tcPr>
          <w:p w14:paraId="71C4406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宋体"/>
                <w:color w:val="auto"/>
                <w:sz w:val="24"/>
                <w:highlight w:val="none"/>
                <w:lang w:bidi="ar"/>
              </w:rPr>
              <w:t>规格参数</w:t>
            </w:r>
          </w:p>
        </w:tc>
      </w:tr>
      <w:tr w14:paraId="43F26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94" w:type="dxa"/>
            <w:tcBorders>
              <w:top w:val="single" w:color="auto" w:sz="4" w:space="0"/>
              <w:left w:val="single" w:color="auto" w:sz="4" w:space="0"/>
              <w:bottom w:val="single" w:color="auto" w:sz="4" w:space="0"/>
              <w:right w:val="single" w:color="auto" w:sz="4" w:space="0"/>
            </w:tcBorders>
            <w:noWrap w:val="0"/>
            <w:vAlign w:val="top"/>
          </w:tcPr>
          <w:p w14:paraId="5DCE1A5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宋体"/>
                <w:color w:val="auto"/>
                <w:sz w:val="24"/>
                <w:highlight w:val="none"/>
                <w:lang w:bidi="ar"/>
              </w:rPr>
              <w:t>额定电流（</w:t>
            </w:r>
            <w:r>
              <w:rPr>
                <w:rFonts w:hint="default" w:ascii="Times New Roman" w:hAnsi="Times New Roman" w:cs="Times New Roman"/>
                <w:color w:val="auto"/>
                <w:sz w:val="24"/>
                <w:highlight w:val="none"/>
                <w:lang w:bidi="ar"/>
              </w:rPr>
              <w:t>A</w:t>
            </w:r>
            <w:r>
              <w:rPr>
                <w:rFonts w:hint="eastAsia" w:ascii="Times New Roman" w:hAnsi="Times New Roman" w:cs="宋体"/>
                <w:color w:val="auto"/>
                <w:sz w:val="24"/>
                <w:highlight w:val="none"/>
                <w:lang w:bidi="ar"/>
              </w:rPr>
              <w:t>）：</w:t>
            </w:r>
          </w:p>
        </w:tc>
        <w:tc>
          <w:tcPr>
            <w:tcW w:w="3470" w:type="dxa"/>
            <w:tcBorders>
              <w:top w:val="single" w:color="auto" w:sz="4" w:space="0"/>
              <w:left w:val="single" w:color="auto" w:sz="4" w:space="0"/>
              <w:bottom w:val="single" w:color="auto" w:sz="4" w:space="0"/>
              <w:right w:val="single" w:color="auto" w:sz="4" w:space="0"/>
            </w:tcBorders>
            <w:noWrap w:val="0"/>
            <w:vAlign w:val="top"/>
          </w:tcPr>
          <w:p w14:paraId="3DCC6DE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r>
      <w:tr w14:paraId="418A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94" w:type="dxa"/>
            <w:tcBorders>
              <w:top w:val="single" w:color="auto" w:sz="4" w:space="0"/>
              <w:left w:val="single" w:color="auto" w:sz="4" w:space="0"/>
              <w:bottom w:val="single" w:color="auto" w:sz="4" w:space="0"/>
              <w:right w:val="single" w:color="auto" w:sz="4" w:space="0"/>
            </w:tcBorders>
            <w:noWrap w:val="0"/>
            <w:vAlign w:val="top"/>
          </w:tcPr>
          <w:p w14:paraId="6D671824">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宋体"/>
                <w:color w:val="auto"/>
                <w:sz w:val="24"/>
                <w:highlight w:val="none"/>
                <w:lang w:bidi="ar"/>
              </w:rPr>
              <w:t>额定频率（</w:t>
            </w:r>
            <w:r>
              <w:rPr>
                <w:rFonts w:hint="default" w:ascii="Times New Roman" w:hAnsi="Times New Roman" w:cs="Times New Roman"/>
                <w:color w:val="auto"/>
                <w:sz w:val="24"/>
                <w:highlight w:val="none"/>
                <w:lang w:bidi="ar"/>
              </w:rPr>
              <w:t>Hz</w:t>
            </w:r>
            <w:r>
              <w:rPr>
                <w:rFonts w:hint="eastAsia" w:ascii="Times New Roman" w:hAnsi="Times New Roman" w:cs="宋体"/>
                <w:color w:val="auto"/>
                <w:sz w:val="24"/>
                <w:highlight w:val="none"/>
                <w:lang w:bidi="ar"/>
              </w:rPr>
              <w:t>）：</w:t>
            </w:r>
          </w:p>
        </w:tc>
        <w:tc>
          <w:tcPr>
            <w:tcW w:w="3470" w:type="dxa"/>
            <w:tcBorders>
              <w:top w:val="single" w:color="auto" w:sz="4" w:space="0"/>
              <w:left w:val="single" w:color="auto" w:sz="4" w:space="0"/>
              <w:bottom w:val="single" w:color="auto" w:sz="4" w:space="0"/>
              <w:right w:val="single" w:color="auto" w:sz="4" w:space="0"/>
            </w:tcBorders>
            <w:noWrap w:val="0"/>
            <w:vAlign w:val="top"/>
          </w:tcPr>
          <w:p w14:paraId="107D4AF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lang w:bidi="ar"/>
              </w:rPr>
              <w:t>50</w:t>
            </w:r>
          </w:p>
        </w:tc>
      </w:tr>
      <w:tr w14:paraId="171C1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94" w:type="dxa"/>
            <w:tcBorders>
              <w:top w:val="single" w:color="auto" w:sz="4" w:space="0"/>
              <w:left w:val="single" w:color="auto" w:sz="4" w:space="0"/>
              <w:bottom w:val="single" w:color="auto" w:sz="4" w:space="0"/>
              <w:right w:val="single" w:color="auto" w:sz="4" w:space="0"/>
            </w:tcBorders>
            <w:noWrap w:val="0"/>
            <w:vAlign w:val="top"/>
          </w:tcPr>
          <w:p w14:paraId="1C773B57">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宋体"/>
                <w:color w:val="auto"/>
                <w:sz w:val="24"/>
                <w:highlight w:val="none"/>
                <w:lang w:bidi="ar"/>
              </w:rPr>
              <w:t>额定热稳定电流（方均根值</w:t>
            </w:r>
            <w:r>
              <w:rPr>
                <w:rFonts w:hint="default" w:ascii="Times New Roman" w:hAnsi="Times New Roman" w:cs="Times New Roman"/>
                <w:color w:val="auto"/>
                <w:sz w:val="24"/>
                <w:highlight w:val="none"/>
                <w:lang w:bidi="ar"/>
              </w:rPr>
              <w:t>kA</w:t>
            </w:r>
            <w:r>
              <w:rPr>
                <w:rFonts w:hint="eastAsia" w:ascii="Times New Roman" w:hAnsi="Times New Roman" w:cs="宋体"/>
                <w:color w:val="auto"/>
                <w:sz w:val="24"/>
                <w:highlight w:val="none"/>
                <w:lang w:bidi="ar"/>
              </w:rPr>
              <w:t>）：</w:t>
            </w:r>
            <w:r>
              <w:rPr>
                <w:rFonts w:hint="default" w:ascii="Times New Roman" w:hAnsi="Times New Roman" w:cs="Times New Roman"/>
                <w:color w:val="auto"/>
                <w:sz w:val="24"/>
                <w:highlight w:val="none"/>
                <w:lang w:bidi="ar"/>
              </w:rPr>
              <w:t>3</w:t>
            </w:r>
            <w:r>
              <w:rPr>
                <w:rFonts w:hint="eastAsia" w:ascii="Times New Roman" w:hAnsi="Times New Roman" w:cs="宋体"/>
                <w:color w:val="auto"/>
                <w:sz w:val="24"/>
                <w:highlight w:val="none"/>
                <w:lang w:bidi="ar"/>
              </w:rPr>
              <w:t>秒</w:t>
            </w:r>
          </w:p>
        </w:tc>
        <w:tc>
          <w:tcPr>
            <w:tcW w:w="3470" w:type="dxa"/>
            <w:tcBorders>
              <w:top w:val="single" w:color="auto" w:sz="4" w:space="0"/>
              <w:left w:val="single" w:color="auto" w:sz="4" w:space="0"/>
              <w:bottom w:val="single" w:color="auto" w:sz="4" w:space="0"/>
              <w:right w:val="single" w:color="auto" w:sz="4" w:space="0"/>
            </w:tcBorders>
            <w:noWrap w:val="0"/>
            <w:vAlign w:val="top"/>
          </w:tcPr>
          <w:p w14:paraId="4473A52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r>
      <w:tr w14:paraId="5349B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94" w:type="dxa"/>
            <w:tcBorders>
              <w:top w:val="single" w:color="auto" w:sz="4" w:space="0"/>
              <w:left w:val="single" w:color="auto" w:sz="4" w:space="0"/>
              <w:bottom w:val="single" w:color="auto" w:sz="4" w:space="0"/>
              <w:right w:val="single" w:color="auto" w:sz="4" w:space="0"/>
            </w:tcBorders>
            <w:noWrap w:val="0"/>
            <w:vAlign w:val="top"/>
          </w:tcPr>
          <w:p w14:paraId="43923944">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宋体"/>
                <w:color w:val="auto"/>
                <w:sz w:val="24"/>
                <w:highlight w:val="none"/>
                <w:lang w:bidi="ar"/>
              </w:rPr>
              <w:t>额定动稳定电流（峰值</w:t>
            </w:r>
            <w:r>
              <w:rPr>
                <w:rFonts w:hint="default" w:ascii="Times New Roman" w:hAnsi="Times New Roman" w:cs="Times New Roman"/>
                <w:color w:val="auto"/>
                <w:sz w:val="24"/>
                <w:highlight w:val="none"/>
                <w:lang w:bidi="ar"/>
              </w:rPr>
              <w:t>kA</w:t>
            </w:r>
            <w:r>
              <w:rPr>
                <w:rFonts w:hint="eastAsia" w:ascii="Times New Roman" w:hAnsi="Times New Roman" w:cs="宋体"/>
                <w:color w:val="auto"/>
                <w:sz w:val="24"/>
                <w:highlight w:val="none"/>
                <w:lang w:bidi="ar"/>
              </w:rPr>
              <w:t>）：</w:t>
            </w:r>
          </w:p>
        </w:tc>
        <w:tc>
          <w:tcPr>
            <w:tcW w:w="3470" w:type="dxa"/>
            <w:tcBorders>
              <w:top w:val="single" w:color="auto" w:sz="4" w:space="0"/>
              <w:left w:val="single" w:color="auto" w:sz="4" w:space="0"/>
              <w:bottom w:val="single" w:color="auto" w:sz="4" w:space="0"/>
              <w:right w:val="single" w:color="auto" w:sz="4" w:space="0"/>
            </w:tcBorders>
            <w:noWrap w:val="0"/>
            <w:vAlign w:val="top"/>
          </w:tcPr>
          <w:p w14:paraId="41A8B0E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r>
      <w:tr w14:paraId="0C39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94" w:type="dxa"/>
            <w:tcBorders>
              <w:top w:val="single" w:color="auto" w:sz="4" w:space="0"/>
              <w:left w:val="single" w:color="auto" w:sz="4" w:space="0"/>
              <w:bottom w:val="single" w:color="auto" w:sz="4" w:space="0"/>
              <w:right w:val="single" w:color="auto" w:sz="4" w:space="0"/>
            </w:tcBorders>
            <w:noWrap w:val="0"/>
            <w:vAlign w:val="top"/>
          </w:tcPr>
          <w:p w14:paraId="2C6A546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宋体"/>
                <w:color w:val="auto"/>
                <w:sz w:val="24"/>
                <w:highlight w:val="none"/>
                <w:lang w:bidi="ar"/>
              </w:rPr>
              <w:t>雷电冲击耐压（峰值</w:t>
            </w:r>
            <w:r>
              <w:rPr>
                <w:rFonts w:hint="default" w:ascii="Times New Roman" w:hAnsi="Times New Roman" w:cs="Times New Roman"/>
                <w:color w:val="auto"/>
                <w:sz w:val="24"/>
                <w:highlight w:val="none"/>
                <w:lang w:bidi="ar"/>
              </w:rPr>
              <w:t>kV</w:t>
            </w:r>
            <w:r>
              <w:rPr>
                <w:rFonts w:hint="eastAsia" w:ascii="Times New Roman" w:hAnsi="Times New Roman" w:cs="宋体"/>
                <w:color w:val="auto"/>
                <w:sz w:val="24"/>
                <w:highlight w:val="none"/>
                <w:lang w:bidi="ar"/>
              </w:rPr>
              <w:t>）：</w:t>
            </w:r>
          </w:p>
        </w:tc>
        <w:tc>
          <w:tcPr>
            <w:tcW w:w="3470" w:type="dxa"/>
            <w:tcBorders>
              <w:top w:val="single" w:color="auto" w:sz="4" w:space="0"/>
              <w:left w:val="single" w:color="auto" w:sz="4" w:space="0"/>
              <w:bottom w:val="single" w:color="auto" w:sz="4" w:space="0"/>
              <w:right w:val="single" w:color="auto" w:sz="4" w:space="0"/>
            </w:tcBorders>
            <w:noWrap w:val="0"/>
            <w:vAlign w:val="top"/>
          </w:tcPr>
          <w:p w14:paraId="5E004A5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r>
      <w:tr w14:paraId="25E03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94" w:type="dxa"/>
            <w:tcBorders>
              <w:top w:val="single" w:color="auto" w:sz="4" w:space="0"/>
              <w:left w:val="single" w:color="auto" w:sz="4" w:space="0"/>
              <w:bottom w:val="single" w:color="auto" w:sz="4" w:space="0"/>
              <w:right w:val="single" w:color="auto" w:sz="4" w:space="0"/>
            </w:tcBorders>
            <w:noWrap w:val="0"/>
            <w:vAlign w:val="top"/>
          </w:tcPr>
          <w:p w14:paraId="5F00405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lang w:bidi="ar"/>
              </w:rPr>
              <w:t>1</w:t>
            </w:r>
            <w:r>
              <w:rPr>
                <w:rFonts w:hint="eastAsia" w:ascii="Times New Roman" w:hAnsi="Times New Roman" w:cs="宋体"/>
                <w:color w:val="auto"/>
                <w:sz w:val="24"/>
                <w:highlight w:val="none"/>
                <w:lang w:bidi="ar"/>
              </w:rPr>
              <w:t>分钟工频耐压（方均根值</w:t>
            </w:r>
            <w:r>
              <w:rPr>
                <w:rFonts w:hint="default" w:ascii="Times New Roman" w:hAnsi="Times New Roman" w:cs="Times New Roman"/>
                <w:color w:val="auto"/>
                <w:sz w:val="24"/>
                <w:highlight w:val="none"/>
                <w:lang w:bidi="ar"/>
              </w:rPr>
              <w:t>kV</w:t>
            </w:r>
            <w:r>
              <w:rPr>
                <w:rFonts w:hint="eastAsia" w:ascii="Times New Roman" w:hAnsi="Times New Roman" w:cs="宋体"/>
                <w:color w:val="auto"/>
                <w:sz w:val="24"/>
                <w:highlight w:val="none"/>
                <w:lang w:bidi="ar"/>
              </w:rPr>
              <w:t>）：</w:t>
            </w:r>
          </w:p>
        </w:tc>
        <w:tc>
          <w:tcPr>
            <w:tcW w:w="3470" w:type="dxa"/>
            <w:tcBorders>
              <w:top w:val="single" w:color="auto" w:sz="4" w:space="0"/>
              <w:left w:val="single" w:color="auto" w:sz="4" w:space="0"/>
              <w:bottom w:val="single" w:color="auto" w:sz="4" w:space="0"/>
              <w:right w:val="single" w:color="auto" w:sz="4" w:space="0"/>
            </w:tcBorders>
            <w:noWrap w:val="0"/>
            <w:vAlign w:val="top"/>
          </w:tcPr>
          <w:p w14:paraId="39C1BF5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r>
    </w:tbl>
    <w:p w14:paraId="72EAD44F">
      <w:pPr>
        <w:spacing w:line="360" w:lineRule="auto"/>
        <w:rPr>
          <w:color w:val="auto"/>
          <w:sz w:val="24"/>
          <w:highlight w:val="none"/>
        </w:rPr>
      </w:pPr>
      <w:r>
        <w:rPr>
          <w:rFonts w:hint="eastAsia" w:cs="宋体"/>
          <w:color w:val="auto"/>
          <w:sz w:val="24"/>
          <w:highlight w:val="none"/>
          <w:lang w:bidi="ar"/>
        </w:rPr>
        <w:t>（</w:t>
      </w:r>
      <w:r>
        <w:rPr>
          <w:color w:val="auto"/>
          <w:sz w:val="24"/>
          <w:highlight w:val="none"/>
          <w:lang w:bidi="ar"/>
        </w:rPr>
        <w:t>2</w:t>
      </w:r>
      <w:r>
        <w:rPr>
          <w:rFonts w:hint="eastAsia" w:cs="宋体"/>
          <w:color w:val="auto"/>
          <w:sz w:val="24"/>
          <w:highlight w:val="none"/>
          <w:lang w:bidi="ar"/>
        </w:rPr>
        <w:t>）隔离开关应符合</w:t>
      </w:r>
      <w:r>
        <w:rPr>
          <w:color w:val="auto"/>
          <w:sz w:val="24"/>
          <w:highlight w:val="none"/>
          <w:lang w:bidi="ar"/>
        </w:rPr>
        <w:t>GB</w:t>
      </w:r>
      <w:r>
        <w:rPr>
          <w:rFonts w:hint="eastAsia" w:cs="宋体"/>
          <w:color w:val="auto"/>
          <w:sz w:val="24"/>
          <w:highlight w:val="none"/>
          <w:lang w:bidi="ar"/>
        </w:rPr>
        <w:t>、</w:t>
      </w:r>
      <w:r>
        <w:rPr>
          <w:color w:val="auto"/>
          <w:sz w:val="24"/>
          <w:highlight w:val="none"/>
          <w:lang w:bidi="ar"/>
        </w:rPr>
        <w:t>DL</w:t>
      </w:r>
      <w:r>
        <w:rPr>
          <w:rFonts w:hint="eastAsia" w:cs="宋体"/>
          <w:color w:val="auto"/>
          <w:sz w:val="24"/>
          <w:highlight w:val="none"/>
          <w:lang w:bidi="ar"/>
        </w:rPr>
        <w:t>、</w:t>
      </w:r>
      <w:r>
        <w:rPr>
          <w:color w:val="auto"/>
          <w:sz w:val="24"/>
          <w:highlight w:val="none"/>
          <w:lang w:bidi="ar"/>
        </w:rPr>
        <w:t>SD</w:t>
      </w:r>
      <w:r>
        <w:rPr>
          <w:rFonts w:hint="eastAsia" w:cs="宋体"/>
          <w:color w:val="auto"/>
          <w:sz w:val="24"/>
          <w:highlight w:val="none"/>
          <w:lang w:bidi="ar"/>
        </w:rPr>
        <w:t>、</w:t>
      </w:r>
      <w:r>
        <w:rPr>
          <w:color w:val="auto"/>
          <w:sz w:val="24"/>
          <w:highlight w:val="none"/>
          <w:lang w:bidi="ar"/>
        </w:rPr>
        <w:t>IEC</w:t>
      </w:r>
      <w:r>
        <w:rPr>
          <w:rFonts w:hint="eastAsia" w:cs="宋体"/>
          <w:color w:val="auto"/>
          <w:sz w:val="24"/>
          <w:highlight w:val="none"/>
          <w:lang w:bidi="ar"/>
        </w:rPr>
        <w:t>和制造厂所在国的有关标准。由</w:t>
      </w:r>
      <w:r>
        <w:rPr>
          <w:rFonts w:hint="eastAsia" w:cs="宋体"/>
          <w:color w:val="auto"/>
          <w:sz w:val="24"/>
          <w:highlight w:val="none"/>
          <w:lang w:eastAsia="zh-CN" w:bidi="ar"/>
        </w:rPr>
        <w:t>招标方</w:t>
      </w:r>
      <w:r>
        <w:rPr>
          <w:rFonts w:hint="eastAsia" w:cs="宋体"/>
          <w:color w:val="auto"/>
          <w:sz w:val="24"/>
          <w:highlight w:val="none"/>
          <w:lang w:bidi="ar"/>
        </w:rPr>
        <w:t>确定选型。</w:t>
      </w:r>
    </w:p>
    <w:p w14:paraId="01CC9099">
      <w:pPr>
        <w:spacing w:line="360" w:lineRule="auto"/>
        <w:rPr>
          <w:color w:val="auto"/>
          <w:sz w:val="24"/>
          <w:highlight w:val="none"/>
        </w:rPr>
      </w:pPr>
      <w:r>
        <w:rPr>
          <w:rFonts w:hint="eastAsia" w:cs="宋体"/>
          <w:color w:val="auto"/>
          <w:sz w:val="24"/>
          <w:highlight w:val="none"/>
          <w:lang w:bidi="ar"/>
        </w:rPr>
        <w:t>（</w:t>
      </w:r>
      <w:r>
        <w:rPr>
          <w:color w:val="auto"/>
          <w:sz w:val="24"/>
          <w:highlight w:val="none"/>
          <w:lang w:bidi="ar"/>
        </w:rPr>
        <w:t>3</w:t>
      </w:r>
      <w:r>
        <w:rPr>
          <w:rFonts w:hint="eastAsia" w:cs="宋体"/>
          <w:color w:val="auto"/>
          <w:sz w:val="24"/>
          <w:highlight w:val="none"/>
          <w:lang w:bidi="ar"/>
        </w:rPr>
        <w:t>）柜内相间、对地的空气间隙应不小于</w:t>
      </w:r>
      <w:r>
        <w:rPr>
          <w:color w:val="auto"/>
          <w:sz w:val="24"/>
          <w:highlight w:val="none"/>
          <w:lang w:bidi="ar"/>
        </w:rPr>
        <w:t>125mm</w:t>
      </w:r>
      <w:r>
        <w:rPr>
          <w:rFonts w:hint="eastAsia" w:cs="宋体"/>
          <w:color w:val="auto"/>
          <w:sz w:val="24"/>
          <w:highlight w:val="none"/>
          <w:lang w:bidi="ar"/>
        </w:rPr>
        <w:t>，如达不到应采取措施加强绝缘，若采用隔板隔离，其隔板必须具有优质的防潮耐电弧阻燃性能。</w:t>
      </w:r>
    </w:p>
    <w:p w14:paraId="7F5D2D85">
      <w:pPr>
        <w:spacing w:line="360" w:lineRule="auto"/>
        <w:rPr>
          <w:color w:val="auto"/>
          <w:sz w:val="24"/>
          <w:highlight w:val="none"/>
        </w:rPr>
      </w:pPr>
      <w:r>
        <w:rPr>
          <w:rFonts w:hint="eastAsia" w:cs="宋体"/>
          <w:color w:val="auto"/>
          <w:sz w:val="24"/>
          <w:highlight w:val="none"/>
          <w:lang w:bidi="ar"/>
        </w:rPr>
        <w:t>（</w:t>
      </w:r>
      <w:r>
        <w:rPr>
          <w:color w:val="auto"/>
          <w:sz w:val="24"/>
          <w:highlight w:val="none"/>
          <w:lang w:bidi="ar"/>
        </w:rPr>
        <w:t>4</w:t>
      </w:r>
      <w:r>
        <w:rPr>
          <w:rFonts w:hint="eastAsia" w:cs="宋体"/>
          <w:color w:val="auto"/>
          <w:sz w:val="24"/>
          <w:highlight w:val="none"/>
          <w:lang w:bidi="ar"/>
        </w:rPr>
        <w:t>）母线应标明相别的颜色，</w:t>
      </w:r>
      <w:r>
        <w:rPr>
          <w:color w:val="auto"/>
          <w:sz w:val="24"/>
          <w:highlight w:val="none"/>
          <w:lang w:bidi="ar"/>
        </w:rPr>
        <w:t>A</w:t>
      </w:r>
      <w:r>
        <w:rPr>
          <w:rFonts w:hint="eastAsia" w:cs="宋体"/>
          <w:color w:val="auto"/>
          <w:sz w:val="24"/>
          <w:highlight w:val="none"/>
          <w:lang w:bidi="ar"/>
        </w:rPr>
        <w:t>、</w:t>
      </w:r>
      <w:r>
        <w:rPr>
          <w:color w:val="auto"/>
          <w:sz w:val="24"/>
          <w:highlight w:val="none"/>
          <w:lang w:bidi="ar"/>
        </w:rPr>
        <w:t>B</w:t>
      </w:r>
      <w:r>
        <w:rPr>
          <w:rFonts w:hint="eastAsia" w:cs="宋体"/>
          <w:color w:val="auto"/>
          <w:sz w:val="24"/>
          <w:highlight w:val="none"/>
          <w:lang w:bidi="ar"/>
        </w:rPr>
        <w:t>、</w:t>
      </w:r>
      <w:r>
        <w:rPr>
          <w:color w:val="auto"/>
          <w:sz w:val="24"/>
          <w:highlight w:val="none"/>
          <w:lang w:bidi="ar"/>
        </w:rPr>
        <w:t>C</w:t>
      </w:r>
      <w:r>
        <w:rPr>
          <w:rFonts w:hint="eastAsia" w:cs="宋体"/>
          <w:color w:val="auto"/>
          <w:sz w:val="24"/>
          <w:highlight w:val="none"/>
          <w:lang w:bidi="ar"/>
        </w:rPr>
        <w:t>相分别为黄、绿、红色。母线需加装进口热缩套。</w:t>
      </w:r>
    </w:p>
    <w:p w14:paraId="40C0D782">
      <w:pPr>
        <w:spacing w:line="360" w:lineRule="auto"/>
        <w:rPr>
          <w:color w:val="auto"/>
          <w:sz w:val="24"/>
          <w:highlight w:val="none"/>
        </w:rPr>
      </w:pPr>
      <w:r>
        <w:rPr>
          <w:rFonts w:hint="eastAsia" w:cs="宋体"/>
          <w:color w:val="auto"/>
          <w:sz w:val="24"/>
          <w:highlight w:val="none"/>
          <w:lang w:bidi="ar"/>
        </w:rPr>
        <w:t>（</w:t>
      </w:r>
      <w:r>
        <w:rPr>
          <w:color w:val="auto"/>
          <w:sz w:val="24"/>
          <w:highlight w:val="none"/>
          <w:lang w:bidi="ar"/>
        </w:rPr>
        <w:t>5</w:t>
      </w:r>
      <w:r>
        <w:rPr>
          <w:rFonts w:hint="eastAsia" w:cs="宋体"/>
          <w:color w:val="auto"/>
          <w:sz w:val="24"/>
          <w:highlight w:val="none"/>
          <w:lang w:bidi="ar"/>
        </w:rPr>
        <w:t>）高压开关柜中各组件及其支持绝缘件的绝缘爬电比距应按凝露型有机绝缘考虑，不小于</w:t>
      </w:r>
      <w:r>
        <w:rPr>
          <w:color w:val="auto"/>
          <w:sz w:val="24"/>
          <w:highlight w:val="none"/>
          <w:lang w:bidi="ar"/>
        </w:rPr>
        <w:t>20mm/kV</w:t>
      </w:r>
      <w:r>
        <w:rPr>
          <w:rFonts w:hint="eastAsia" w:cs="宋体"/>
          <w:color w:val="auto"/>
          <w:sz w:val="24"/>
          <w:highlight w:val="none"/>
          <w:lang w:bidi="ar"/>
        </w:rPr>
        <w:t>（按最高工作电压</w:t>
      </w:r>
      <w:r>
        <w:rPr>
          <w:color w:val="auto"/>
          <w:sz w:val="24"/>
          <w:highlight w:val="none"/>
          <w:lang w:bidi="ar"/>
        </w:rPr>
        <w:t>12kV</w:t>
      </w:r>
      <w:r>
        <w:rPr>
          <w:rFonts w:hint="eastAsia" w:cs="宋体"/>
          <w:color w:val="auto"/>
          <w:sz w:val="24"/>
          <w:highlight w:val="none"/>
          <w:lang w:bidi="ar"/>
        </w:rPr>
        <w:t>考虑）。</w:t>
      </w:r>
    </w:p>
    <w:p w14:paraId="6A4C1ED9">
      <w:pPr>
        <w:spacing w:line="360" w:lineRule="auto"/>
        <w:rPr>
          <w:color w:val="auto"/>
          <w:sz w:val="24"/>
          <w:highlight w:val="none"/>
        </w:rPr>
      </w:pPr>
      <w:r>
        <w:rPr>
          <w:rFonts w:hint="eastAsia" w:cs="宋体"/>
          <w:color w:val="auto"/>
          <w:sz w:val="24"/>
          <w:highlight w:val="none"/>
          <w:lang w:bidi="ar"/>
        </w:rPr>
        <w:t>（</w:t>
      </w:r>
      <w:r>
        <w:rPr>
          <w:color w:val="auto"/>
          <w:sz w:val="24"/>
          <w:highlight w:val="none"/>
          <w:lang w:bidi="ar"/>
        </w:rPr>
        <w:t>6</w:t>
      </w:r>
      <w:r>
        <w:rPr>
          <w:rFonts w:hint="eastAsia" w:cs="宋体"/>
          <w:color w:val="auto"/>
          <w:sz w:val="24"/>
          <w:highlight w:val="none"/>
          <w:lang w:bidi="ar"/>
        </w:rPr>
        <w:t>）开关柜中的接地母线应能满足该回路动热稳定的影响。接地母线应为最小截面为</w:t>
      </w:r>
      <w:r>
        <w:rPr>
          <w:color w:val="auto"/>
          <w:sz w:val="24"/>
          <w:highlight w:val="none"/>
          <w:lang w:bidi="ar"/>
        </w:rPr>
        <w:t>50</w:t>
      </w:r>
      <w:r>
        <w:rPr>
          <w:rFonts w:hint="eastAsia" w:cs="宋体"/>
          <w:color w:val="auto"/>
          <w:sz w:val="24"/>
          <w:highlight w:val="none"/>
          <w:lang w:bidi="ar"/>
        </w:rPr>
        <w:t>×</w:t>
      </w:r>
      <w:r>
        <w:rPr>
          <w:color w:val="auto"/>
          <w:sz w:val="24"/>
          <w:highlight w:val="none"/>
          <w:lang w:bidi="ar"/>
        </w:rPr>
        <w:t>5mm</w:t>
      </w:r>
      <w:r>
        <w:rPr>
          <w:rFonts w:hint="eastAsia" w:cs="宋体"/>
          <w:color w:val="auto"/>
          <w:sz w:val="24"/>
          <w:highlight w:val="none"/>
          <w:lang w:bidi="ar"/>
        </w:rPr>
        <w:t>的铜排。</w:t>
      </w:r>
    </w:p>
    <w:p w14:paraId="11A1A50E">
      <w:pPr>
        <w:spacing w:line="360" w:lineRule="auto"/>
        <w:rPr>
          <w:color w:val="auto"/>
          <w:sz w:val="24"/>
          <w:highlight w:val="none"/>
        </w:rPr>
      </w:pPr>
      <w:r>
        <w:rPr>
          <w:rFonts w:hint="eastAsia" w:cs="宋体"/>
          <w:color w:val="auto"/>
          <w:sz w:val="24"/>
          <w:highlight w:val="none"/>
          <w:lang w:bidi="ar"/>
        </w:rPr>
        <w:t>（</w:t>
      </w:r>
      <w:r>
        <w:rPr>
          <w:color w:val="auto"/>
          <w:sz w:val="24"/>
          <w:highlight w:val="none"/>
          <w:lang w:bidi="ar"/>
        </w:rPr>
        <w:t>7</w:t>
      </w:r>
      <w:r>
        <w:rPr>
          <w:rFonts w:hint="eastAsia" w:cs="宋体"/>
          <w:color w:val="auto"/>
          <w:sz w:val="24"/>
          <w:highlight w:val="none"/>
          <w:lang w:bidi="ar"/>
        </w:rPr>
        <w:t>）开关柜前门上应设有隔离开关机械的或电气的位置指示装置，在不开门的情况下应能方便地监视隔离开关的分合闸状态。</w:t>
      </w:r>
    </w:p>
    <w:p w14:paraId="25C2FB54">
      <w:pPr>
        <w:spacing w:line="360" w:lineRule="auto"/>
        <w:rPr>
          <w:color w:val="auto"/>
          <w:sz w:val="24"/>
          <w:highlight w:val="none"/>
        </w:rPr>
      </w:pPr>
      <w:r>
        <w:rPr>
          <w:rFonts w:hint="eastAsia" w:cs="宋体"/>
          <w:color w:val="auto"/>
          <w:sz w:val="24"/>
          <w:highlight w:val="none"/>
          <w:lang w:bidi="ar"/>
        </w:rPr>
        <w:t>（</w:t>
      </w:r>
      <w:r>
        <w:rPr>
          <w:color w:val="auto"/>
          <w:sz w:val="24"/>
          <w:highlight w:val="none"/>
          <w:lang w:bidi="ar"/>
        </w:rPr>
        <w:t>8</w:t>
      </w:r>
      <w:r>
        <w:rPr>
          <w:rFonts w:hint="eastAsia" w:cs="宋体"/>
          <w:color w:val="auto"/>
          <w:sz w:val="24"/>
          <w:highlight w:val="none"/>
          <w:lang w:bidi="ar"/>
        </w:rPr>
        <w:t>）切换开关柜均应符合五防要求：</w:t>
      </w:r>
    </w:p>
    <w:p w14:paraId="6C50A99A">
      <w:pPr>
        <w:spacing w:line="360" w:lineRule="auto"/>
        <w:rPr>
          <w:color w:val="auto"/>
          <w:sz w:val="24"/>
          <w:highlight w:val="none"/>
        </w:rPr>
      </w:pPr>
      <w:r>
        <w:rPr>
          <w:rFonts w:hint="eastAsia" w:cs="宋体"/>
          <w:color w:val="auto"/>
          <w:sz w:val="24"/>
          <w:highlight w:val="none"/>
          <w:lang w:bidi="ar"/>
        </w:rPr>
        <w:t>具有可靠的联锁装置，完全满足</w:t>
      </w:r>
      <w:r>
        <w:rPr>
          <w:color w:val="auto"/>
          <w:sz w:val="24"/>
          <w:highlight w:val="none"/>
          <w:lang w:bidi="ar"/>
        </w:rPr>
        <w:t xml:space="preserve"> </w:t>
      </w:r>
      <w:r>
        <w:rPr>
          <w:rFonts w:hint="eastAsia" w:cs="宋体"/>
          <w:color w:val="auto"/>
          <w:sz w:val="24"/>
          <w:highlight w:val="none"/>
          <w:lang w:bidi="ar"/>
        </w:rPr>
        <w:t>“五防”要求，并符合</w:t>
      </w:r>
      <w:r>
        <w:rPr>
          <w:color w:val="auto"/>
          <w:sz w:val="24"/>
          <w:highlight w:val="none"/>
          <w:lang w:bidi="ar"/>
        </w:rPr>
        <w:t>DL/T5153</w:t>
      </w:r>
      <w:r>
        <w:rPr>
          <w:rFonts w:hint="eastAsia" w:cs="宋体"/>
          <w:color w:val="auto"/>
          <w:sz w:val="24"/>
          <w:highlight w:val="none"/>
          <w:lang w:bidi="ar"/>
        </w:rPr>
        <w:t>和</w:t>
      </w:r>
      <w:r>
        <w:rPr>
          <w:color w:val="auto"/>
          <w:sz w:val="24"/>
          <w:highlight w:val="none"/>
          <w:lang w:bidi="ar"/>
        </w:rPr>
        <w:t>SD318</w:t>
      </w:r>
      <w:r>
        <w:rPr>
          <w:rFonts w:hint="eastAsia" w:cs="宋体"/>
          <w:color w:val="auto"/>
          <w:sz w:val="24"/>
          <w:highlight w:val="none"/>
          <w:lang w:bidi="ar"/>
        </w:rPr>
        <w:t>的要求，为操作人员与设备提供可靠的安全性保护，即：防断路器合闸状态下误拉、误推入手车；防误入带电间隔；防带电合地刀；防带地刀合闸；防带负荷抽插一次隔离触头。</w:t>
      </w:r>
    </w:p>
    <w:p w14:paraId="3AA7553A">
      <w:pPr>
        <w:spacing w:line="360" w:lineRule="auto"/>
        <w:rPr>
          <w:color w:val="auto"/>
          <w:sz w:val="24"/>
          <w:highlight w:val="none"/>
        </w:rPr>
      </w:pPr>
      <w:r>
        <w:rPr>
          <w:rFonts w:hint="eastAsia" w:cs="宋体"/>
          <w:color w:val="auto"/>
          <w:sz w:val="24"/>
          <w:highlight w:val="none"/>
          <w:lang w:bidi="ar"/>
        </w:rPr>
        <w:t>切换柜不设地刀，但</w:t>
      </w:r>
      <w:r>
        <w:rPr>
          <w:rFonts w:hint="eastAsia" w:cs="宋体"/>
          <w:color w:val="auto"/>
          <w:sz w:val="24"/>
          <w:highlight w:val="none"/>
          <w:lang w:eastAsia="zh-CN" w:bidi="ar"/>
        </w:rPr>
        <w:t>投标方</w:t>
      </w:r>
      <w:r>
        <w:rPr>
          <w:rFonts w:hint="eastAsia" w:cs="宋体"/>
          <w:color w:val="auto"/>
          <w:sz w:val="24"/>
          <w:highlight w:val="none"/>
          <w:lang w:bidi="ar"/>
        </w:rPr>
        <w:t>需考虑方便挂设临时接地线的位置。旁路隔离开关应与出线隔离开关有机械闭锁。</w:t>
      </w:r>
    </w:p>
    <w:p w14:paraId="320FE118">
      <w:pPr>
        <w:spacing w:line="360" w:lineRule="auto"/>
        <w:rPr>
          <w:color w:val="auto"/>
          <w:sz w:val="24"/>
          <w:highlight w:val="none"/>
        </w:rPr>
      </w:pPr>
      <w:r>
        <w:rPr>
          <w:rFonts w:hint="eastAsia" w:cs="宋体"/>
          <w:color w:val="auto"/>
          <w:sz w:val="24"/>
          <w:highlight w:val="none"/>
          <w:lang w:bidi="ar"/>
        </w:rPr>
        <w:t>（</w:t>
      </w:r>
      <w:r>
        <w:rPr>
          <w:color w:val="auto"/>
          <w:sz w:val="24"/>
          <w:highlight w:val="none"/>
          <w:lang w:bidi="ar"/>
        </w:rPr>
        <w:t>9</w:t>
      </w:r>
      <w:r>
        <w:rPr>
          <w:rFonts w:hint="eastAsia" w:cs="宋体"/>
          <w:color w:val="auto"/>
          <w:sz w:val="24"/>
          <w:highlight w:val="none"/>
          <w:lang w:bidi="ar"/>
        </w:rPr>
        <w:t>）隔离开关的操作需提供就地带电闭锁，还需与远方电源断路器状态进行联锁。隔离开关状态要提供接点信号送</w:t>
      </w:r>
      <w:r>
        <w:rPr>
          <w:color w:val="auto"/>
          <w:sz w:val="24"/>
          <w:highlight w:val="none"/>
          <w:lang w:bidi="ar"/>
        </w:rPr>
        <w:t>DCS</w:t>
      </w:r>
      <w:r>
        <w:rPr>
          <w:rFonts w:hint="eastAsia" w:cs="宋体"/>
          <w:color w:val="auto"/>
          <w:sz w:val="24"/>
          <w:highlight w:val="none"/>
          <w:lang w:bidi="ar"/>
        </w:rPr>
        <w:t>。</w:t>
      </w:r>
    </w:p>
    <w:p w14:paraId="1A0962BA">
      <w:pPr>
        <w:spacing w:line="360" w:lineRule="auto"/>
        <w:rPr>
          <w:color w:val="auto"/>
          <w:sz w:val="24"/>
          <w:highlight w:val="none"/>
        </w:rPr>
      </w:pPr>
      <w:r>
        <w:rPr>
          <w:rFonts w:hint="eastAsia" w:cs="宋体"/>
          <w:color w:val="auto"/>
          <w:sz w:val="24"/>
          <w:highlight w:val="none"/>
          <w:lang w:bidi="ar"/>
        </w:rPr>
        <w:t>（</w:t>
      </w:r>
      <w:r>
        <w:rPr>
          <w:color w:val="auto"/>
          <w:sz w:val="24"/>
          <w:highlight w:val="none"/>
          <w:lang w:bidi="ar"/>
        </w:rPr>
        <w:t>1</w:t>
      </w:r>
      <w:r>
        <w:rPr>
          <w:rFonts w:hint="eastAsia"/>
          <w:color w:val="auto"/>
          <w:sz w:val="24"/>
          <w:highlight w:val="none"/>
          <w:lang w:val="en-US" w:eastAsia="zh-CN" w:bidi="ar"/>
        </w:rPr>
        <w:t>0</w:t>
      </w:r>
      <w:r>
        <w:rPr>
          <w:rFonts w:hint="eastAsia" w:cs="宋体"/>
          <w:color w:val="auto"/>
          <w:sz w:val="24"/>
          <w:highlight w:val="none"/>
          <w:lang w:bidi="ar"/>
        </w:rPr>
        <w:t>）按钮及信号灯红色表示运行，绿色表示停止，所有电气柜内各电气元器件均要有正式名称和编号标示牌，端子采用阻燃端子，采用机打标号牌，端子和电缆上标示牌清晰正确，门与柜体间应有连接软导线。</w:t>
      </w:r>
    </w:p>
    <w:p w14:paraId="31D8A400">
      <w:pPr>
        <w:pStyle w:val="3"/>
        <w:spacing w:before="120" w:after="120"/>
        <w:rPr>
          <w:rFonts w:hint="default" w:ascii="Times New Roman" w:hAnsi="Times New Roman" w:eastAsia="宋体"/>
          <w:color w:val="auto"/>
          <w:sz w:val="28"/>
          <w:szCs w:val="28"/>
          <w:highlight w:val="none"/>
        </w:rPr>
      </w:pPr>
      <w:bookmarkStart w:id="70" w:name="_Toc25033"/>
      <w:bookmarkStart w:id="71" w:name="_Toc23809"/>
      <w:bookmarkStart w:id="72" w:name="_Toc16681"/>
      <w:bookmarkStart w:id="73" w:name="_Toc28073"/>
      <w:bookmarkStart w:id="74" w:name="_Toc23993"/>
      <w:bookmarkStart w:id="75" w:name="_Toc41298038"/>
      <w:bookmarkStart w:id="76" w:name="_Toc482189941"/>
      <w:bookmarkStart w:id="77" w:name="_Toc27566843"/>
      <w:bookmarkStart w:id="78" w:name="_Toc21797"/>
      <w:r>
        <w:rPr>
          <w:rFonts w:hint="default" w:ascii="Times New Roman" w:hAnsi="Times New Roman" w:eastAsia="宋体"/>
          <w:color w:val="auto"/>
          <w:sz w:val="28"/>
          <w:szCs w:val="28"/>
          <w:highlight w:val="none"/>
        </w:rPr>
        <w:t>3仪表及控制</w:t>
      </w:r>
      <w:bookmarkEnd w:id="70"/>
      <w:bookmarkEnd w:id="71"/>
      <w:bookmarkEnd w:id="72"/>
      <w:bookmarkEnd w:id="73"/>
      <w:bookmarkEnd w:id="74"/>
    </w:p>
    <w:p w14:paraId="2E5F4FE2">
      <w:pPr>
        <w:spacing w:line="360" w:lineRule="auto"/>
        <w:outlineLvl w:val="2"/>
        <w:rPr>
          <w:b/>
          <w:color w:val="auto"/>
          <w:sz w:val="24"/>
          <w:highlight w:val="none"/>
        </w:rPr>
      </w:pPr>
      <w:r>
        <w:rPr>
          <w:b/>
          <w:color w:val="auto"/>
          <w:sz w:val="24"/>
          <w:highlight w:val="none"/>
        </w:rPr>
        <w:t>3.1总则</w:t>
      </w:r>
    </w:p>
    <w:p w14:paraId="352A0B3A">
      <w:pPr>
        <w:adjustRightInd w:val="0"/>
        <w:snapToGrid w:val="0"/>
        <w:spacing w:before="48" w:beforeLines="20" w:after="48" w:afterLines="20" w:line="360" w:lineRule="auto"/>
        <w:rPr>
          <w:color w:val="auto"/>
          <w:sz w:val="24"/>
          <w:highlight w:val="none"/>
        </w:rPr>
      </w:pPr>
      <w:r>
        <w:rPr>
          <w:color w:val="auto"/>
          <w:sz w:val="24"/>
          <w:highlight w:val="none"/>
        </w:rPr>
        <w:t>3.1.1无论本技术协议是否作出了详细规定，</w:t>
      </w:r>
      <w:r>
        <w:rPr>
          <w:rFonts w:hint="eastAsia"/>
          <w:color w:val="auto"/>
          <w:sz w:val="24"/>
          <w:highlight w:val="none"/>
          <w:lang w:eastAsia="zh-CN"/>
        </w:rPr>
        <w:t>投标方</w:t>
      </w:r>
      <w:r>
        <w:rPr>
          <w:color w:val="auto"/>
          <w:sz w:val="24"/>
          <w:highlight w:val="none"/>
        </w:rPr>
        <w:t>都应设计并提供能够满足整个工程安全、经济运行和监视、控制、经济核算的要求，并满足国家和国际相关规范的安全、先进、完整的仪表和控制系统。</w:t>
      </w:r>
    </w:p>
    <w:p w14:paraId="199EBAB2">
      <w:pPr>
        <w:spacing w:line="360" w:lineRule="auto"/>
        <w:rPr>
          <w:color w:val="auto"/>
          <w:sz w:val="24"/>
          <w:highlight w:val="none"/>
        </w:rPr>
      </w:pPr>
      <w:r>
        <w:rPr>
          <w:color w:val="auto"/>
          <w:sz w:val="24"/>
          <w:highlight w:val="none"/>
        </w:rPr>
        <w:t xml:space="preserve">3.1.2 </w:t>
      </w:r>
      <w:r>
        <w:rPr>
          <w:rFonts w:hint="eastAsia"/>
          <w:color w:val="auto"/>
          <w:sz w:val="24"/>
          <w:highlight w:val="none"/>
          <w:lang w:eastAsia="zh-CN"/>
        </w:rPr>
        <w:t>投标方</w:t>
      </w:r>
      <w:r>
        <w:rPr>
          <w:color w:val="auto"/>
          <w:sz w:val="24"/>
          <w:highlight w:val="none"/>
        </w:rPr>
        <w:t>应负责脱硫工程范围内仪表控制系统的系统设计，并负责工程范围内仪表设备与备品备件供货、</w:t>
      </w:r>
      <w:r>
        <w:rPr>
          <w:rFonts w:hint="eastAsia"/>
          <w:color w:val="auto"/>
          <w:sz w:val="24"/>
          <w:highlight w:val="none"/>
          <w:lang w:val="en-US" w:eastAsia="zh-CN"/>
        </w:rPr>
        <w:t>施工、运输、装卸、</w:t>
      </w:r>
      <w:r>
        <w:rPr>
          <w:color w:val="auto"/>
          <w:sz w:val="24"/>
          <w:highlight w:val="none"/>
        </w:rPr>
        <w:t>配合调试及用户培训。</w:t>
      </w:r>
    </w:p>
    <w:p w14:paraId="1408456E">
      <w:pPr>
        <w:adjustRightInd w:val="0"/>
        <w:snapToGrid w:val="0"/>
        <w:spacing w:before="48" w:beforeLines="20" w:after="48" w:afterLines="20" w:line="360" w:lineRule="auto"/>
        <w:rPr>
          <w:rFonts w:hint="eastAsia" w:eastAsia="宋体"/>
          <w:color w:val="auto"/>
          <w:sz w:val="24"/>
          <w:highlight w:val="none"/>
          <w:lang w:eastAsia="zh-CN"/>
        </w:rPr>
      </w:pPr>
      <w:r>
        <w:rPr>
          <w:color w:val="auto"/>
          <w:sz w:val="24"/>
          <w:highlight w:val="none"/>
        </w:rPr>
        <w:t>3.1.3仪表和控制设备应考虑最大限度的可用性、可靠性、可控性和可维修性。所有部件应在规定的条件下安全运行</w:t>
      </w:r>
      <w:r>
        <w:rPr>
          <w:rFonts w:hint="eastAsia"/>
          <w:color w:val="auto"/>
          <w:sz w:val="24"/>
          <w:highlight w:val="none"/>
          <w:lang w:eastAsia="zh-CN"/>
        </w:rPr>
        <w:t>。</w:t>
      </w:r>
    </w:p>
    <w:p w14:paraId="480D820C">
      <w:pPr>
        <w:adjustRightInd w:val="0"/>
        <w:snapToGrid w:val="0"/>
        <w:spacing w:before="48" w:beforeLines="20" w:after="48" w:afterLines="20" w:line="360" w:lineRule="auto"/>
        <w:rPr>
          <w:color w:val="auto"/>
          <w:sz w:val="24"/>
          <w:highlight w:val="none"/>
        </w:rPr>
      </w:pPr>
      <w:r>
        <w:rPr>
          <w:color w:val="auto"/>
          <w:sz w:val="24"/>
          <w:highlight w:val="none"/>
        </w:rPr>
        <w:t>3.1.4对于脱硫工艺系统及其公用系统的启/停控制、正常运行的监视和调整以及异常与事故工况的处理应通过主体DCS操作员站来完成，任何就地操作手段只能作为DCS启动前的准备或完全故障或就地巡检人员发现事故时的紧急操作手段。</w:t>
      </w:r>
    </w:p>
    <w:p w14:paraId="175CC814">
      <w:pPr>
        <w:adjustRightInd w:val="0"/>
        <w:snapToGrid w:val="0"/>
        <w:spacing w:before="48" w:beforeLines="20" w:after="48" w:afterLines="20" w:line="360" w:lineRule="auto"/>
        <w:rPr>
          <w:color w:val="auto"/>
          <w:sz w:val="24"/>
          <w:highlight w:val="none"/>
        </w:rPr>
      </w:pPr>
      <w:r>
        <w:rPr>
          <w:color w:val="auto"/>
          <w:sz w:val="24"/>
          <w:highlight w:val="none"/>
        </w:rPr>
        <w:t>3.1.5在烟气脱硫装置的控制系统设计中，应充分考虑无旁路脱硫对锅炉的影响。</w:t>
      </w:r>
    </w:p>
    <w:p w14:paraId="0E1F113D">
      <w:pPr>
        <w:adjustRightInd w:val="0"/>
        <w:snapToGrid w:val="0"/>
        <w:spacing w:line="360" w:lineRule="auto"/>
        <w:rPr>
          <w:color w:val="auto"/>
          <w:sz w:val="24"/>
          <w:highlight w:val="none"/>
        </w:rPr>
      </w:pPr>
      <w:r>
        <w:rPr>
          <w:color w:val="auto"/>
          <w:sz w:val="24"/>
          <w:highlight w:val="none"/>
        </w:rPr>
        <w:t>3.1.6脱硫系统内的仪表控制系统及装置不设置单独的接地网，DCS系统接地采用分区域单点接地方式，所有接地应能接至脱硫系统内与整个电厂相连的电气接地网上。</w:t>
      </w:r>
    </w:p>
    <w:p w14:paraId="65B6A267">
      <w:pPr>
        <w:adjustRightInd w:val="0"/>
        <w:snapToGrid w:val="0"/>
        <w:spacing w:line="360" w:lineRule="auto"/>
        <w:rPr>
          <w:rFonts w:hint="eastAsia"/>
          <w:color w:val="auto"/>
          <w:sz w:val="24"/>
          <w:highlight w:val="none"/>
          <w:lang w:val="en-US" w:eastAsia="zh-CN"/>
        </w:rPr>
      </w:pPr>
      <w:r>
        <w:rPr>
          <w:rFonts w:hint="eastAsia"/>
          <w:color w:val="auto"/>
          <w:sz w:val="24"/>
          <w:highlight w:val="none"/>
        </w:rPr>
        <w:t>3.1.</w:t>
      </w:r>
      <w:r>
        <w:rPr>
          <w:rFonts w:hint="eastAsia"/>
          <w:color w:val="auto"/>
          <w:sz w:val="24"/>
          <w:highlight w:val="none"/>
          <w:lang w:val="en-US" w:eastAsia="zh-CN"/>
        </w:rPr>
        <w:t>7吸收塔前后需各设置一套烟气检测系统及性能检测口。</w:t>
      </w:r>
    </w:p>
    <w:p w14:paraId="48B25225">
      <w:pPr>
        <w:adjustRightInd w:val="0"/>
        <w:snapToGrid w:val="0"/>
        <w:spacing w:line="360" w:lineRule="auto"/>
        <w:rPr>
          <w:rFonts w:hint="default"/>
          <w:color w:val="auto"/>
          <w:sz w:val="24"/>
          <w:highlight w:val="none"/>
          <w:lang w:val="en-US" w:eastAsia="zh-CN"/>
        </w:rPr>
      </w:pPr>
      <w:r>
        <w:rPr>
          <w:rFonts w:hint="eastAsia"/>
          <w:color w:val="auto"/>
          <w:sz w:val="24"/>
          <w:highlight w:val="none"/>
          <w:lang w:val="en-US" w:eastAsia="zh-CN"/>
        </w:rPr>
        <w:t>3.1.8各系统尽可能自动化，以减少人员工作量。所有冲洗水系统均实现自动程控。吸收塔内PH必须实现自动控制。</w:t>
      </w:r>
    </w:p>
    <w:p w14:paraId="52203DBE">
      <w:pPr>
        <w:spacing w:line="360" w:lineRule="auto"/>
        <w:outlineLvl w:val="2"/>
        <w:rPr>
          <w:b/>
          <w:color w:val="auto"/>
          <w:sz w:val="24"/>
          <w:highlight w:val="none"/>
        </w:rPr>
      </w:pPr>
      <w:r>
        <w:rPr>
          <w:b/>
          <w:color w:val="auto"/>
          <w:sz w:val="24"/>
          <w:highlight w:val="none"/>
        </w:rPr>
        <w:t>3.2主控制系统</w:t>
      </w:r>
    </w:p>
    <w:p w14:paraId="4269ED95">
      <w:pPr>
        <w:pStyle w:val="174"/>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default" w:eastAsia="宋体"/>
          <w:b/>
          <w:color w:val="auto"/>
          <w:sz w:val="24"/>
          <w:highlight w:val="none"/>
          <w:lang w:val="en-US" w:eastAsia="zh-CN"/>
        </w:rPr>
      </w:pPr>
      <w:r>
        <w:rPr>
          <w:rFonts w:hint="eastAsia"/>
          <w:bCs w:val="0"/>
          <w:color w:val="auto"/>
          <w:sz w:val="24"/>
          <w:szCs w:val="24"/>
          <w:highlight w:val="none"/>
        </w:rPr>
        <w:t>脱硫DCS采用与主机一体化设计，相关设备由</w:t>
      </w:r>
      <w:r>
        <w:rPr>
          <w:rFonts w:hint="eastAsia"/>
          <w:bCs w:val="0"/>
          <w:color w:val="auto"/>
          <w:sz w:val="24"/>
          <w:szCs w:val="24"/>
          <w:highlight w:val="none"/>
          <w:lang w:val="en-US" w:eastAsia="zh-CN"/>
        </w:rPr>
        <w:t>招</w:t>
      </w:r>
      <w:r>
        <w:rPr>
          <w:rFonts w:hint="eastAsia"/>
          <w:bCs w:val="0"/>
          <w:color w:val="auto"/>
          <w:sz w:val="24"/>
          <w:szCs w:val="24"/>
          <w:highlight w:val="none"/>
          <w:lang w:eastAsia="zh-CN"/>
        </w:rPr>
        <w:t>标方</w:t>
      </w:r>
      <w:r>
        <w:rPr>
          <w:rFonts w:hint="eastAsia"/>
          <w:bCs w:val="0"/>
          <w:color w:val="auto"/>
          <w:sz w:val="24"/>
          <w:szCs w:val="24"/>
          <w:highlight w:val="none"/>
          <w:lang w:val="en-US" w:eastAsia="zh-CN"/>
        </w:rPr>
        <w:t>统一</w:t>
      </w:r>
      <w:r>
        <w:rPr>
          <w:rFonts w:hint="eastAsia"/>
          <w:bCs w:val="0"/>
          <w:color w:val="auto"/>
          <w:sz w:val="24"/>
          <w:szCs w:val="24"/>
          <w:highlight w:val="none"/>
        </w:rPr>
        <w:t>供货。</w:t>
      </w:r>
      <w:r>
        <w:rPr>
          <w:rFonts w:hint="eastAsia" w:ascii="Times New Roman" w:hAnsi="Times New Roman" w:eastAsia="宋体" w:cs="Times New Roman"/>
          <w:snapToGrid/>
          <w:color w:val="auto"/>
          <w:kern w:val="2"/>
          <w:sz w:val="24"/>
          <w:szCs w:val="24"/>
          <w:highlight w:val="none"/>
          <w:lang w:val="en-US" w:eastAsia="zh-CN"/>
        </w:rPr>
        <w:t>控制策略和DCS点数由</w:t>
      </w:r>
      <w:r>
        <w:rPr>
          <w:rFonts w:hint="eastAsia" w:ascii="Times New Roman" w:hAnsi="Times New Roman" w:cs="Times New Roman"/>
          <w:snapToGrid/>
          <w:color w:val="auto"/>
          <w:kern w:val="2"/>
          <w:sz w:val="24"/>
          <w:szCs w:val="24"/>
          <w:highlight w:val="none"/>
          <w:lang w:val="en-US" w:eastAsia="zh-CN"/>
        </w:rPr>
        <w:t>投标</w:t>
      </w:r>
      <w:r>
        <w:rPr>
          <w:rFonts w:hint="eastAsia" w:ascii="Times New Roman" w:hAnsi="Times New Roman" w:eastAsia="宋体" w:cs="Times New Roman"/>
          <w:snapToGrid/>
          <w:color w:val="auto"/>
          <w:kern w:val="2"/>
          <w:sz w:val="24"/>
          <w:szCs w:val="24"/>
          <w:highlight w:val="none"/>
          <w:lang w:val="en-US" w:eastAsia="zh-CN"/>
        </w:rPr>
        <w:t>方提资。</w:t>
      </w:r>
    </w:p>
    <w:p w14:paraId="1CC8C274">
      <w:pPr>
        <w:snapToGrid w:val="0"/>
        <w:spacing w:line="360" w:lineRule="auto"/>
        <w:ind w:left="-57" w:right="57" w:firstLine="480" w:firstLineChars="200"/>
        <w:rPr>
          <w:color w:val="auto"/>
          <w:sz w:val="24"/>
          <w:highlight w:val="none"/>
        </w:rPr>
      </w:pPr>
      <w:r>
        <w:rPr>
          <w:color w:val="auto"/>
          <w:sz w:val="24"/>
          <w:highlight w:val="none"/>
        </w:rPr>
        <w:t>本工程机组脱硫装置采用分散控制系统（DCS）进行监视和控制。本工程的脱硫及公用系统不设单独的运行人员监控室，与主机公用操作员站及工程师站等设备。在脱硫电子室内布置脱硫DCS机柜、热控380VAC/220VAC电源分配柜</w:t>
      </w:r>
      <w:r>
        <w:rPr>
          <w:rFonts w:hint="eastAsia"/>
          <w:color w:val="auto"/>
          <w:sz w:val="24"/>
          <w:highlight w:val="none"/>
          <w:lang w:eastAsia="zh-CN"/>
        </w:rPr>
        <w:t>、</w:t>
      </w:r>
      <w:r>
        <w:rPr>
          <w:rStyle w:val="54"/>
          <w:rFonts w:hint="eastAsia" w:ascii="Times New Roman" w:hAnsi="Times New Roman" w:eastAsia="宋体" w:cs="Times New Roman"/>
          <w:color w:val="auto"/>
          <w:sz w:val="24"/>
          <w:highlight w:val="none"/>
        </w:rPr>
        <w:t>仪表电源柜</w:t>
      </w:r>
      <w:r>
        <w:rPr>
          <w:color w:val="auto"/>
          <w:sz w:val="24"/>
          <w:highlight w:val="none"/>
        </w:rPr>
        <w:t>以及场景监视机柜、火灾报警机柜等。本工程机组脱硫在集中控制室内进行运行与监控。脱硫DCS的操作员站和工程师站由机组DCS统一设置。在集中控制室内，运行人员将能在少量就地操作和巡检人员的配合下，通过操作员站对脱硫系统进行启/停控制、正常运行的监视和调整、以及异常与事故工况的处理。</w:t>
      </w:r>
    </w:p>
    <w:p w14:paraId="79A88A5D">
      <w:pPr>
        <w:snapToGrid w:val="0"/>
        <w:spacing w:line="360" w:lineRule="auto"/>
        <w:ind w:left="-57" w:right="57" w:firstLine="480" w:firstLineChars="200"/>
        <w:rPr>
          <w:color w:val="auto"/>
          <w:sz w:val="24"/>
          <w:highlight w:val="none"/>
        </w:rPr>
      </w:pPr>
      <w:r>
        <w:rPr>
          <w:color w:val="auto"/>
          <w:sz w:val="24"/>
          <w:highlight w:val="none"/>
        </w:rPr>
        <w:t>脱硫DCS的监控范围包括（但不限于）：</w:t>
      </w:r>
    </w:p>
    <w:p w14:paraId="1B1E1DDB">
      <w:pPr>
        <w:snapToGrid w:val="0"/>
        <w:spacing w:line="360" w:lineRule="auto"/>
        <w:ind w:left="-57" w:right="57" w:firstLine="480" w:firstLineChars="200"/>
        <w:rPr>
          <w:color w:val="auto"/>
          <w:sz w:val="24"/>
          <w:highlight w:val="none"/>
        </w:rPr>
      </w:pPr>
      <w:r>
        <w:rPr>
          <w:color w:val="auto"/>
          <w:sz w:val="24"/>
          <w:highlight w:val="none"/>
        </w:rPr>
        <w:t>--脱硫装置(烟气系统、SO</w:t>
      </w:r>
      <w:r>
        <w:rPr>
          <w:color w:val="auto"/>
          <w:sz w:val="24"/>
          <w:highlight w:val="none"/>
          <w:vertAlign w:val="subscript"/>
        </w:rPr>
        <w:t>2</w:t>
      </w:r>
      <w:r>
        <w:rPr>
          <w:color w:val="auto"/>
          <w:sz w:val="24"/>
          <w:highlight w:val="none"/>
        </w:rPr>
        <w:t>吸收系统等)；</w:t>
      </w:r>
    </w:p>
    <w:p w14:paraId="3C6CEC7A">
      <w:pPr>
        <w:snapToGrid w:val="0"/>
        <w:spacing w:line="360" w:lineRule="auto"/>
        <w:ind w:left="-57" w:right="57" w:firstLine="480" w:firstLineChars="200"/>
        <w:rPr>
          <w:color w:val="auto"/>
          <w:sz w:val="24"/>
          <w:highlight w:val="none"/>
        </w:rPr>
      </w:pPr>
      <w:r>
        <w:rPr>
          <w:color w:val="auto"/>
          <w:sz w:val="24"/>
          <w:highlight w:val="none"/>
        </w:rPr>
        <w:t>--脱硫辅助系统（石灰石浆液系统、石膏排出系统、石膏脱水系统、事故浆液系统、工艺水系统、脱硫废水</w:t>
      </w:r>
      <w:r>
        <w:rPr>
          <w:rFonts w:hint="eastAsia"/>
          <w:color w:val="auto"/>
          <w:sz w:val="24"/>
          <w:highlight w:val="none"/>
          <w:lang w:val="en-US" w:eastAsia="zh-CN"/>
        </w:rPr>
        <w:t>三联箱</w:t>
      </w:r>
      <w:r>
        <w:rPr>
          <w:color w:val="auto"/>
          <w:sz w:val="24"/>
          <w:highlight w:val="none"/>
        </w:rPr>
        <w:t>处理系统等）；</w:t>
      </w:r>
    </w:p>
    <w:p w14:paraId="42E995C5">
      <w:pPr>
        <w:snapToGrid w:val="0"/>
        <w:spacing w:line="360" w:lineRule="auto"/>
        <w:ind w:left="-57" w:right="57" w:firstLine="480" w:firstLineChars="200"/>
        <w:rPr>
          <w:color w:val="auto"/>
          <w:sz w:val="24"/>
          <w:highlight w:val="none"/>
        </w:rPr>
      </w:pPr>
      <w:r>
        <w:rPr>
          <w:color w:val="auto"/>
          <w:sz w:val="24"/>
          <w:highlight w:val="none"/>
        </w:rPr>
        <w:t>--脱硫电气系统</w:t>
      </w:r>
      <w:r>
        <w:rPr>
          <w:rStyle w:val="54"/>
          <w:rFonts w:ascii="Times New Roman" w:hAnsi="Times New Roman" w:eastAsia="宋体" w:cs="Times New Roman"/>
          <w:color w:val="auto"/>
          <w:sz w:val="24"/>
          <w:highlight w:val="none"/>
        </w:rPr>
        <w:t>（包括变压器、高低压电源</w:t>
      </w:r>
      <w:r>
        <w:rPr>
          <w:rStyle w:val="54"/>
          <w:rFonts w:hint="eastAsia" w:ascii="Times New Roman" w:hAnsi="Times New Roman" w:eastAsia="宋体" w:cs="Times New Roman"/>
          <w:color w:val="auto"/>
          <w:sz w:val="24"/>
          <w:highlight w:val="none"/>
          <w:lang w:eastAsia="zh-CN"/>
        </w:rPr>
        <w:t>等控制进入招标方案电气综合自动化系统</w:t>
      </w:r>
      <w:r>
        <w:rPr>
          <w:rStyle w:val="54"/>
          <w:rFonts w:ascii="Times New Roman" w:hAnsi="Times New Roman" w:eastAsia="宋体" w:cs="Times New Roman"/>
          <w:color w:val="auto"/>
          <w:sz w:val="24"/>
          <w:highlight w:val="none"/>
        </w:rPr>
        <w:t>控制</w:t>
      </w:r>
      <w:r>
        <w:rPr>
          <w:rStyle w:val="54"/>
          <w:rFonts w:hint="eastAsia" w:ascii="Times New Roman" w:hAnsi="Times New Roman" w:eastAsia="宋体" w:cs="Times New Roman"/>
          <w:color w:val="auto"/>
          <w:sz w:val="24"/>
          <w:highlight w:val="none"/>
          <w:lang w:eastAsia="zh-CN"/>
        </w:rPr>
        <w:t>和监视</w:t>
      </w:r>
      <w:r>
        <w:rPr>
          <w:rStyle w:val="54"/>
          <w:rFonts w:ascii="Times New Roman" w:hAnsi="Times New Roman" w:eastAsia="宋体" w:cs="Times New Roman"/>
          <w:color w:val="auto"/>
          <w:sz w:val="24"/>
          <w:highlight w:val="none"/>
        </w:rPr>
        <w:t>）</w:t>
      </w:r>
      <w:r>
        <w:rPr>
          <w:color w:val="auto"/>
          <w:sz w:val="24"/>
          <w:highlight w:val="none"/>
        </w:rPr>
        <w:t>，具体以电气部分相关要求为准。</w:t>
      </w:r>
    </w:p>
    <w:p w14:paraId="42096CFB">
      <w:pPr>
        <w:snapToGrid w:val="0"/>
        <w:spacing w:line="360" w:lineRule="auto"/>
        <w:ind w:left="-57" w:right="57" w:firstLine="480" w:firstLineChars="200"/>
        <w:rPr>
          <w:rFonts w:hint="eastAsia"/>
          <w:color w:val="auto"/>
          <w:sz w:val="24"/>
          <w:highlight w:val="none"/>
        </w:rPr>
      </w:pPr>
      <w:r>
        <w:rPr>
          <w:color w:val="auto"/>
          <w:sz w:val="24"/>
          <w:highlight w:val="none"/>
        </w:rPr>
        <w:t>脱硫控制系统主要调节及控制回路有：</w:t>
      </w:r>
    </w:p>
    <w:p w14:paraId="55B9A4A3">
      <w:pPr>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应在施工图阶段详细列出现场脱硫DCS的I/O点数如下：</w:t>
      </w:r>
    </w:p>
    <w:tbl>
      <w:tblPr>
        <w:tblStyle w:val="52"/>
        <w:tblW w:w="84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901"/>
        <w:gridCol w:w="2024"/>
        <w:gridCol w:w="1979"/>
        <w:gridCol w:w="1847"/>
      </w:tblGrid>
      <w:tr w14:paraId="0E72B5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24" w:type="dxa"/>
            <w:tcBorders>
              <w:top w:val="single" w:color="auto" w:sz="12" w:space="0"/>
              <w:left w:val="single" w:color="auto" w:sz="12" w:space="0"/>
              <w:bottom w:val="single" w:color="auto" w:sz="6" w:space="0"/>
              <w:right w:val="single" w:color="auto" w:sz="6" w:space="0"/>
            </w:tcBorders>
            <w:noWrap w:val="0"/>
            <w:vAlign w:val="center"/>
          </w:tcPr>
          <w:p w14:paraId="74FA91AA">
            <w:pPr>
              <w:keepNext w:val="0"/>
              <w:keepLines w:val="0"/>
              <w:suppressLineNumbers w:val="0"/>
              <w:spacing w:before="0" w:beforeAutospacing="0" w:after="0" w:afterAutospacing="0"/>
              <w:ind w:left="0" w:right="0"/>
              <w:jc w:val="center"/>
              <w:rPr>
                <w:rFonts w:hint="default" w:ascii="Times New Roman" w:hAnsi="Times New Roman" w:cs="Times New Roman"/>
                <w:b/>
                <w:color w:val="auto"/>
                <w:sz w:val="24"/>
                <w:highlight w:val="none"/>
              </w:rPr>
            </w:pPr>
          </w:p>
        </w:tc>
        <w:tc>
          <w:tcPr>
            <w:tcW w:w="1901" w:type="dxa"/>
            <w:tcBorders>
              <w:top w:val="single" w:color="auto" w:sz="12" w:space="0"/>
              <w:left w:val="single" w:color="auto" w:sz="6" w:space="0"/>
              <w:bottom w:val="single" w:color="auto" w:sz="6" w:space="0"/>
              <w:right w:val="single" w:color="auto" w:sz="6" w:space="0"/>
            </w:tcBorders>
            <w:noWrap w:val="0"/>
            <w:vAlign w:val="center"/>
          </w:tcPr>
          <w:p w14:paraId="7EEC741C">
            <w:pPr>
              <w:keepNext w:val="0"/>
              <w:keepLines w:val="0"/>
              <w:suppressLineNumbers w:val="0"/>
              <w:spacing w:before="0" w:beforeAutospacing="0" w:after="0" w:afterAutospacing="0"/>
              <w:ind w:left="0" w:right="0"/>
              <w:jc w:val="center"/>
              <w:rPr>
                <w:rFonts w:hint="default" w:ascii="Times New Roman" w:hAnsi="Times New Roman" w:cs="Times New Roman"/>
                <w:b/>
                <w:color w:val="auto"/>
                <w:sz w:val="24"/>
                <w:highlight w:val="none"/>
              </w:rPr>
            </w:pPr>
          </w:p>
        </w:tc>
        <w:tc>
          <w:tcPr>
            <w:tcW w:w="2024" w:type="dxa"/>
            <w:tcBorders>
              <w:top w:val="single" w:color="auto" w:sz="12" w:space="0"/>
              <w:left w:val="single" w:color="auto" w:sz="6" w:space="0"/>
              <w:bottom w:val="single" w:color="auto" w:sz="6" w:space="0"/>
              <w:right w:val="single" w:color="auto" w:sz="6" w:space="0"/>
            </w:tcBorders>
            <w:noWrap w:val="0"/>
            <w:vAlign w:val="center"/>
          </w:tcPr>
          <w:p w14:paraId="3D9097B3">
            <w:pPr>
              <w:keepNext w:val="0"/>
              <w:keepLines w:val="0"/>
              <w:suppressLineNumbers w:val="0"/>
              <w:snapToGrid w:val="0"/>
              <w:spacing w:before="0" w:beforeAutospacing="0" w:after="0" w:afterAutospacing="0"/>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脱硫DCS系统</w:t>
            </w:r>
          </w:p>
        </w:tc>
        <w:tc>
          <w:tcPr>
            <w:tcW w:w="1979" w:type="dxa"/>
            <w:tcBorders>
              <w:top w:val="single" w:color="auto" w:sz="12" w:space="0"/>
              <w:left w:val="single" w:color="auto" w:sz="6" w:space="0"/>
              <w:bottom w:val="single" w:color="auto" w:sz="6" w:space="0"/>
              <w:right w:val="single" w:color="auto" w:sz="12" w:space="0"/>
            </w:tcBorders>
            <w:noWrap w:val="0"/>
            <w:vAlign w:val="center"/>
          </w:tcPr>
          <w:p w14:paraId="4B6AE7E8">
            <w:pPr>
              <w:keepNext w:val="0"/>
              <w:keepLines w:val="0"/>
              <w:suppressLineNumbers w:val="0"/>
              <w:snapToGrid w:val="0"/>
              <w:spacing w:before="0" w:beforeAutospacing="0" w:after="0" w:afterAutospacing="0"/>
              <w:ind w:left="0" w:right="0"/>
              <w:jc w:val="center"/>
              <w:rPr>
                <w:rFonts w:hint="default" w:ascii="Times New Roman" w:hAnsi="Times New Roman" w:cs="Times New Roman"/>
                <w:b/>
                <w:color w:val="auto"/>
                <w:sz w:val="24"/>
                <w:highlight w:val="none"/>
              </w:rPr>
            </w:pPr>
          </w:p>
        </w:tc>
        <w:tc>
          <w:tcPr>
            <w:tcW w:w="1847" w:type="dxa"/>
            <w:tcBorders>
              <w:top w:val="single" w:color="auto" w:sz="12" w:space="0"/>
              <w:left w:val="single" w:color="auto" w:sz="6" w:space="0"/>
              <w:bottom w:val="single" w:color="auto" w:sz="6" w:space="0"/>
              <w:right w:val="single" w:color="auto" w:sz="12" w:space="0"/>
            </w:tcBorders>
            <w:noWrap w:val="0"/>
            <w:vAlign w:val="center"/>
          </w:tcPr>
          <w:p w14:paraId="3BF60EBA">
            <w:pPr>
              <w:keepNext w:val="0"/>
              <w:keepLines w:val="0"/>
              <w:suppressLineNumbers w:val="0"/>
              <w:snapToGrid w:val="0"/>
              <w:spacing w:before="0" w:beforeAutospacing="0" w:after="0" w:afterAutospacing="0"/>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公用系统</w:t>
            </w:r>
          </w:p>
        </w:tc>
      </w:tr>
      <w:tr w14:paraId="5FD30A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24" w:type="dxa"/>
            <w:tcBorders>
              <w:top w:val="single" w:color="auto" w:sz="6" w:space="0"/>
              <w:left w:val="single" w:color="auto" w:sz="12" w:space="0"/>
              <w:bottom w:val="single" w:color="auto" w:sz="6" w:space="0"/>
              <w:right w:val="single" w:color="auto" w:sz="6" w:space="0"/>
            </w:tcBorders>
            <w:noWrap w:val="0"/>
            <w:vAlign w:val="center"/>
          </w:tcPr>
          <w:p w14:paraId="08B15839">
            <w:pPr>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一</w:t>
            </w:r>
          </w:p>
        </w:tc>
        <w:tc>
          <w:tcPr>
            <w:tcW w:w="1901" w:type="dxa"/>
            <w:tcBorders>
              <w:top w:val="single" w:color="auto" w:sz="6" w:space="0"/>
              <w:left w:val="single" w:color="auto" w:sz="6" w:space="0"/>
              <w:bottom w:val="single" w:color="auto" w:sz="6" w:space="0"/>
              <w:right w:val="single" w:color="auto" w:sz="6" w:space="0"/>
            </w:tcBorders>
            <w:noWrap w:val="0"/>
            <w:vAlign w:val="center"/>
          </w:tcPr>
          <w:p w14:paraId="353728D2">
            <w:pPr>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硬接线点数</w:t>
            </w:r>
          </w:p>
        </w:tc>
        <w:tc>
          <w:tcPr>
            <w:tcW w:w="2024" w:type="dxa"/>
            <w:tcBorders>
              <w:top w:val="single" w:color="auto" w:sz="6" w:space="0"/>
              <w:left w:val="single" w:color="auto" w:sz="6" w:space="0"/>
              <w:bottom w:val="single" w:color="auto" w:sz="6" w:space="0"/>
              <w:right w:val="single" w:color="auto" w:sz="6" w:space="0"/>
            </w:tcBorders>
            <w:noWrap w:val="0"/>
            <w:vAlign w:val="center"/>
          </w:tcPr>
          <w:p w14:paraId="67781779">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979" w:type="dxa"/>
            <w:tcBorders>
              <w:top w:val="single" w:color="auto" w:sz="6" w:space="0"/>
              <w:left w:val="single" w:color="auto" w:sz="6" w:space="0"/>
              <w:bottom w:val="single" w:color="auto" w:sz="6" w:space="0"/>
              <w:right w:val="single" w:color="auto" w:sz="12" w:space="0"/>
            </w:tcBorders>
            <w:noWrap w:val="0"/>
            <w:vAlign w:val="center"/>
          </w:tcPr>
          <w:p w14:paraId="7961AB24">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847" w:type="dxa"/>
            <w:tcBorders>
              <w:top w:val="single" w:color="auto" w:sz="6" w:space="0"/>
              <w:left w:val="single" w:color="auto" w:sz="6" w:space="0"/>
              <w:bottom w:val="single" w:color="auto" w:sz="6" w:space="0"/>
              <w:right w:val="single" w:color="auto" w:sz="12" w:space="0"/>
            </w:tcBorders>
            <w:noWrap w:val="0"/>
            <w:vAlign w:val="center"/>
          </w:tcPr>
          <w:p w14:paraId="61195A1D">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695F4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24" w:type="dxa"/>
            <w:vMerge w:val="restart"/>
            <w:tcBorders>
              <w:top w:val="single" w:color="auto" w:sz="6" w:space="0"/>
              <w:left w:val="single" w:color="auto" w:sz="12" w:space="0"/>
              <w:bottom w:val="single" w:color="auto" w:sz="6" w:space="0"/>
              <w:right w:val="single" w:color="auto" w:sz="6" w:space="0"/>
            </w:tcBorders>
            <w:noWrap w:val="0"/>
            <w:vAlign w:val="center"/>
          </w:tcPr>
          <w:p w14:paraId="23F15517">
            <w:pPr>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AI：</w:t>
            </w:r>
          </w:p>
        </w:tc>
        <w:tc>
          <w:tcPr>
            <w:tcW w:w="1901" w:type="dxa"/>
            <w:tcBorders>
              <w:top w:val="single" w:color="auto" w:sz="6" w:space="0"/>
              <w:left w:val="single" w:color="auto" w:sz="6" w:space="0"/>
              <w:bottom w:val="single" w:color="auto" w:sz="6" w:space="0"/>
              <w:right w:val="single" w:color="auto" w:sz="6" w:space="0"/>
            </w:tcBorders>
            <w:noWrap w:val="0"/>
            <w:vAlign w:val="center"/>
          </w:tcPr>
          <w:p w14:paraId="72AF69C3">
            <w:pPr>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4～20mA</w:t>
            </w:r>
          </w:p>
        </w:tc>
        <w:tc>
          <w:tcPr>
            <w:tcW w:w="2024" w:type="dxa"/>
            <w:tcBorders>
              <w:top w:val="single" w:color="auto" w:sz="6" w:space="0"/>
              <w:left w:val="single" w:color="auto" w:sz="6" w:space="0"/>
              <w:bottom w:val="single" w:color="auto" w:sz="6" w:space="0"/>
              <w:right w:val="single" w:color="auto" w:sz="6" w:space="0"/>
            </w:tcBorders>
            <w:noWrap w:val="0"/>
            <w:vAlign w:val="center"/>
          </w:tcPr>
          <w:p w14:paraId="67301FA9">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979" w:type="dxa"/>
            <w:tcBorders>
              <w:top w:val="single" w:color="auto" w:sz="6" w:space="0"/>
              <w:left w:val="single" w:color="auto" w:sz="6" w:space="0"/>
              <w:bottom w:val="single" w:color="auto" w:sz="6" w:space="0"/>
              <w:right w:val="single" w:color="auto" w:sz="12" w:space="0"/>
            </w:tcBorders>
            <w:noWrap w:val="0"/>
            <w:vAlign w:val="center"/>
          </w:tcPr>
          <w:p w14:paraId="3694AFB3">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847" w:type="dxa"/>
            <w:tcBorders>
              <w:top w:val="single" w:color="auto" w:sz="6" w:space="0"/>
              <w:left w:val="single" w:color="auto" w:sz="6" w:space="0"/>
              <w:bottom w:val="single" w:color="auto" w:sz="6" w:space="0"/>
              <w:right w:val="single" w:color="auto" w:sz="12" w:space="0"/>
            </w:tcBorders>
            <w:noWrap w:val="0"/>
            <w:vAlign w:val="top"/>
          </w:tcPr>
          <w:p w14:paraId="738283CF">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3F842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24" w:type="dxa"/>
            <w:vMerge w:val="continue"/>
            <w:tcBorders>
              <w:top w:val="single" w:color="auto" w:sz="6" w:space="0"/>
              <w:left w:val="single" w:color="auto" w:sz="12" w:space="0"/>
              <w:bottom w:val="single" w:color="auto" w:sz="6" w:space="0"/>
              <w:right w:val="single" w:color="auto" w:sz="6" w:space="0"/>
            </w:tcBorders>
            <w:noWrap w:val="0"/>
            <w:vAlign w:val="center"/>
          </w:tcPr>
          <w:p w14:paraId="70ECF4B6">
            <w:pPr>
              <w:keepNext w:val="0"/>
              <w:keepLines w:val="0"/>
              <w:widowControl/>
              <w:suppressLineNumbers w:val="0"/>
              <w:spacing w:before="0" w:beforeAutospacing="0" w:after="0" w:afterAutospacing="0"/>
              <w:ind w:left="0" w:right="0"/>
              <w:jc w:val="left"/>
              <w:rPr>
                <w:rFonts w:hint="default" w:ascii="Times New Roman" w:hAnsi="Times New Roman" w:cs="Times New Roman"/>
                <w:color w:val="auto"/>
                <w:sz w:val="24"/>
                <w:highlight w:val="none"/>
              </w:rPr>
            </w:pPr>
          </w:p>
        </w:tc>
        <w:tc>
          <w:tcPr>
            <w:tcW w:w="1901" w:type="dxa"/>
            <w:tcBorders>
              <w:top w:val="single" w:color="auto" w:sz="6" w:space="0"/>
              <w:left w:val="single" w:color="auto" w:sz="6" w:space="0"/>
              <w:bottom w:val="single" w:color="auto" w:sz="6" w:space="0"/>
              <w:right w:val="single" w:color="auto" w:sz="6" w:space="0"/>
            </w:tcBorders>
            <w:noWrap w:val="0"/>
            <w:vAlign w:val="center"/>
          </w:tcPr>
          <w:p w14:paraId="6253B641">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T/C（热电偶）</w:t>
            </w:r>
          </w:p>
        </w:tc>
        <w:tc>
          <w:tcPr>
            <w:tcW w:w="2024" w:type="dxa"/>
            <w:tcBorders>
              <w:top w:val="single" w:color="auto" w:sz="6" w:space="0"/>
              <w:left w:val="single" w:color="auto" w:sz="6" w:space="0"/>
              <w:bottom w:val="single" w:color="auto" w:sz="6" w:space="0"/>
              <w:right w:val="single" w:color="auto" w:sz="6" w:space="0"/>
            </w:tcBorders>
            <w:noWrap w:val="0"/>
            <w:vAlign w:val="center"/>
          </w:tcPr>
          <w:p w14:paraId="5845C7D8">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979" w:type="dxa"/>
            <w:tcBorders>
              <w:top w:val="single" w:color="auto" w:sz="6" w:space="0"/>
              <w:left w:val="single" w:color="auto" w:sz="6" w:space="0"/>
              <w:bottom w:val="single" w:color="auto" w:sz="6" w:space="0"/>
              <w:right w:val="single" w:color="auto" w:sz="12" w:space="0"/>
            </w:tcBorders>
            <w:noWrap w:val="0"/>
            <w:vAlign w:val="center"/>
          </w:tcPr>
          <w:p w14:paraId="6F4C6368">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847" w:type="dxa"/>
            <w:tcBorders>
              <w:top w:val="single" w:color="auto" w:sz="6" w:space="0"/>
              <w:left w:val="single" w:color="auto" w:sz="6" w:space="0"/>
              <w:bottom w:val="single" w:color="auto" w:sz="6" w:space="0"/>
              <w:right w:val="single" w:color="auto" w:sz="12" w:space="0"/>
            </w:tcBorders>
            <w:noWrap w:val="0"/>
            <w:vAlign w:val="center"/>
          </w:tcPr>
          <w:p w14:paraId="5906B715">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0CABA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24" w:type="dxa"/>
            <w:vMerge w:val="continue"/>
            <w:tcBorders>
              <w:top w:val="single" w:color="auto" w:sz="6" w:space="0"/>
              <w:left w:val="single" w:color="auto" w:sz="12" w:space="0"/>
              <w:bottom w:val="single" w:color="auto" w:sz="6" w:space="0"/>
              <w:right w:val="single" w:color="auto" w:sz="6" w:space="0"/>
            </w:tcBorders>
            <w:noWrap w:val="0"/>
            <w:vAlign w:val="center"/>
          </w:tcPr>
          <w:p w14:paraId="4896F910">
            <w:pPr>
              <w:keepNext w:val="0"/>
              <w:keepLines w:val="0"/>
              <w:widowControl/>
              <w:suppressLineNumbers w:val="0"/>
              <w:spacing w:before="0" w:beforeAutospacing="0" w:after="0" w:afterAutospacing="0"/>
              <w:ind w:left="0" w:right="0"/>
              <w:jc w:val="left"/>
              <w:rPr>
                <w:rFonts w:hint="default" w:ascii="Times New Roman" w:hAnsi="Times New Roman" w:cs="Times New Roman"/>
                <w:color w:val="auto"/>
                <w:sz w:val="24"/>
                <w:highlight w:val="none"/>
              </w:rPr>
            </w:pPr>
          </w:p>
        </w:tc>
        <w:tc>
          <w:tcPr>
            <w:tcW w:w="1901" w:type="dxa"/>
            <w:tcBorders>
              <w:top w:val="single" w:color="auto" w:sz="6" w:space="0"/>
              <w:left w:val="single" w:color="auto" w:sz="6" w:space="0"/>
              <w:bottom w:val="single" w:color="auto" w:sz="6" w:space="0"/>
              <w:right w:val="single" w:color="auto" w:sz="6" w:space="0"/>
            </w:tcBorders>
            <w:noWrap w:val="0"/>
            <w:vAlign w:val="center"/>
          </w:tcPr>
          <w:p w14:paraId="033C1AC4">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RTD（热电阻）</w:t>
            </w:r>
          </w:p>
        </w:tc>
        <w:tc>
          <w:tcPr>
            <w:tcW w:w="2024" w:type="dxa"/>
            <w:tcBorders>
              <w:top w:val="single" w:color="auto" w:sz="6" w:space="0"/>
              <w:left w:val="single" w:color="auto" w:sz="6" w:space="0"/>
              <w:bottom w:val="single" w:color="auto" w:sz="6" w:space="0"/>
              <w:right w:val="single" w:color="auto" w:sz="6" w:space="0"/>
            </w:tcBorders>
            <w:noWrap w:val="0"/>
            <w:vAlign w:val="center"/>
          </w:tcPr>
          <w:p w14:paraId="7C707752">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979" w:type="dxa"/>
            <w:tcBorders>
              <w:top w:val="single" w:color="auto" w:sz="6" w:space="0"/>
              <w:left w:val="single" w:color="auto" w:sz="6" w:space="0"/>
              <w:bottom w:val="single" w:color="auto" w:sz="6" w:space="0"/>
              <w:right w:val="single" w:color="auto" w:sz="12" w:space="0"/>
            </w:tcBorders>
            <w:noWrap w:val="0"/>
            <w:vAlign w:val="center"/>
          </w:tcPr>
          <w:p w14:paraId="70449703">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847" w:type="dxa"/>
            <w:tcBorders>
              <w:top w:val="single" w:color="auto" w:sz="6" w:space="0"/>
              <w:left w:val="single" w:color="auto" w:sz="6" w:space="0"/>
              <w:bottom w:val="single" w:color="auto" w:sz="6" w:space="0"/>
              <w:right w:val="single" w:color="auto" w:sz="12" w:space="0"/>
            </w:tcBorders>
            <w:noWrap w:val="0"/>
            <w:vAlign w:val="center"/>
          </w:tcPr>
          <w:p w14:paraId="7E1A93F8">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4DA48D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25" w:type="dxa"/>
            <w:gridSpan w:val="2"/>
            <w:tcBorders>
              <w:top w:val="single" w:color="auto" w:sz="6" w:space="0"/>
              <w:left w:val="single" w:color="auto" w:sz="12" w:space="0"/>
              <w:bottom w:val="single" w:color="auto" w:sz="6" w:space="0"/>
              <w:right w:val="single" w:color="auto" w:sz="6" w:space="0"/>
            </w:tcBorders>
            <w:noWrap w:val="0"/>
            <w:vAlign w:val="center"/>
          </w:tcPr>
          <w:p w14:paraId="43BA8DB1">
            <w:pPr>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AO：</w:t>
            </w:r>
          </w:p>
        </w:tc>
        <w:tc>
          <w:tcPr>
            <w:tcW w:w="2024" w:type="dxa"/>
            <w:tcBorders>
              <w:top w:val="single" w:color="auto" w:sz="6" w:space="0"/>
              <w:left w:val="single" w:color="auto" w:sz="6" w:space="0"/>
              <w:bottom w:val="single" w:color="auto" w:sz="6" w:space="0"/>
              <w:right w:val="single" w:color="auto" w:sz="6" w:space="0"/>
            </w:tcBorders>
            <w:noWrap w:val="0"/>
            <w:vAlign w:val="center"/>
          </w:tcPr>
          <w:p w14:paraId="0DEDD9D9">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979" w:type="dxa"/>
            <w:tcBorders>
              <w:top w:val="single" w:color="auto" w:sz="6" w:space="0"/>
              <w:left w:val="single" w:color="auto" w:sz="6" w:space="0"/>
              <w:bottom w:val="single" w:color="auto" w:sz="6" w:space="0"/>
              <w:right w:val="single" w:color="auto" w:sz="12" w:space="0"/>
            </w:tcBorders>
            <w:noWrap w:val="0"/>
            <w:vAlign w:val="center"/>
          </w:tcPr>
          <w:p w14:paraId="01F65C6F">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847" w:type="dxa"/>
            <w:tcBorders>
              <w:top w:val="single" w:color="auto" w:sz="6" w:space="0"/>
              <w:left w:val="single" w:color="auto" w:sz="6" w:space="0"/>
              <w:bottom w:val="single" w:color="auto" w:sz="6" w:space="0"/>
              <w:right w:val="single" w:color="auto" w:sz="12" w:space="0"/>
            </w:tcBorders>
            <w:noWrap w:val="0"/>
            <w:vAlign w:val="center"/>
          </w:tcPr>
          <w:p w14:paraId="4B869D20">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3F9848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25" w:type="dxa"/>
            <w:gridSpan w:val="2"/>
            <w:tcBorders>
              <w:top w:val="single" w:color="auto" w:sz="6" w:space="0"/>
              <w:left w:val="single" w:color="auto" w:sz="12" w:space="0"/>
              <w:bottom w:val="single" w:color="auto" w:sz="6" w:space="0"/>
              <w:right w:val="single" w:color="auto" w:sz="6" w:space="0"/>
            </w:tcBorders>
            <w:noWrap w:val="0"/>
            <w:vAlign w:val="center"/>
          </w:tcPr>
          <w:p w14:paraId="3F0F6915">
            <w:pPr>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DI：</w:t>
            </w:r>
          </w:p>
        </w:tc>
        <w:tc>
          <w:tcPr>
            <w:tcW w:w="2024" w:type="dxa"/>
            <w:tcBorders>
              <w:top w:val="single" w:color="auto" w:sz="6" w:space="0"/>
              <w:left w:val="single" w:color="auto" w:sz="6" w:space="0"/>
              <w:bottom w:val="single" w:color="auto" w:sz="6" w:space="0"/>
              <w:right w:val="single" w:color="auto" w:sz="6" w:space="0"/>
            </w:tcBorders>
            <w:noWrap w:val="0"/>
            <w:vAlign w:val="center"/>
          </w:tcPr>
          <w:p w14:paraId="1F215FF6">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979" w:type="dxa"/>
            <w:tcBorders>
              <w:top w:val="single" w:color="auto" w:sz="6" w:space="0"/>
              <w:left w:val="single" w:color="auto" w:sz="6" w:space="0"/>
              <w:bottom w:val="single" w:color="auto" w:sz="6" w:space="0"/>
              <w:right w:val="single" w:color="auto" w:sz="12" w:space="0"/>
            </w:tcBorders>
            <w:noWrap w:val="0"/>
            <w:vAlign w:val="center"/>
          </w:tcPr>
          <w:p w14:paraId="1B9AC068">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847" w:type="dxa"/>
            <w:tcBorders>
              <w:top w:val="single" w:color="auto" w:sz="6" w:space="0"/>
              <w:left w:val="single" w:color="auto" w:sz="6" w:space="0"/>
              <w:bottom w:val="single" w:color="auto" w:sz="6" w:space="0"/>
              <w:right w:val="single" w:color="auto" w:sz="12" w:space="0"/>
            </w:tcBorders>
            <w:noWrap w:val="0"/>
            <w:vAlign w:val="center"/>
          </w:tcPr>
          <w:p w14:paraId="0109A5B3">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4194FF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25" w:type="dxa"/>
            <w:gridSpan w:val="2"/>
            <w:tcBorders>
              <w:top w:val="single" w:color="auto" w:sz="6" w:space="0"/>
              <w:left w:val="single" w:color="auto" w:sz="12" w:space="0"/>
              <w:bottom w:val="single" w:color="auto" w:sz="6" w:space="0"/>
              <w:right w:val="single" w:color="auto" w:sz="6" w:space="0"/>
            </w:tcBorders>
            <w:noWrap w:val="0"/>
            <w:vAlign w:val="center"/>
          </w:tcPr>
          <w:p w14:paraId="7A8D38FC">
            <w:pPr>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SOE：</w:t>
            </w:r>
          </w:p>
        </w:tc>
        <w:tc>
          <w:tcPr>
            <w:tcW w:w="2024" w:type="dxa"/>
            <w:tcBorders>
              <w:top w:val="single" w:color="auto" w:sz="6" w:space="0"/>
              <w:left w:val="single" w:color="auto" w:sz="6" w:space="0"/>
              <w:bottom w:val="single" w:color="auto" w:sz="6" w:space="0"/>
              <w:right w:val="single" w:color="auto" w:sz="6" w:space="0"/>
            </w:tcBorders>
            <w:noWrap w:val="0"/>
            <w:vAlign w:val="center"/>
          </w:tcPr>
          <w:p w14:paraId="58D8D6D4">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979" w:type="dxa"/>
            <w:tcBorders>
              <w:top w:val="single" w:color="auto" w:sz="6" w:space="0"/>
              <w:left w:val="single" w:color="auto" w:sz="6" w:space="0"/>
              <w:bottom w:val="single" w:color="auto" w:sz="6" w:space="0"/>
              <w:right w:val="single" w:color="auto" w:sz="12" w:space="0"/>
            </w:tcBorders>
            <w:noWrap w:val="0"/>
            <w:vAlign w:val="center"/>
          </w:tcPr>
          <w:p w14:paraId="24610D63">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847" w:type="dxa"/>
            <w:tcBorders>
              <w:top w:val="single" w:color="auto" w:sz="6" w:space="0"/>
              <w:left w:val="single" w:color="auto" w:sz="6" w:space="0"/>
              <w:bottom w:val="single" w:color="auto" w:sz="6" w:space="0"/>
              <w:right w:val="single" w:color="auto" w:sz="12" w:space="0"/>
            </w:tcBorders>
            <w:noWrap w:val="0"/>
            <w:vAlign w:val="center"/>
          </w:tcPr>
          <w:p w14:paraId="432A771E">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4140C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25" w:type="dxa"/>
            <w:gridSpan w:val="2"/>
            <w:tcBorders>
              <w:top w:val="single" w:color="auto" w:sz="6" w:space="0"/>
              <w:left w:val="single" w:color="auto" w:sz="12" w:space="0"/>
              <w:bottom w:val="single" w:color="auto" w:sz="6" w:space="0"/>
              <w:right w:val="single" w:color="auto" w:sz="6" w:space="0"/>
            </w:tcBorders>
            <w:noWrap w:val="0"/>
            <w:vAlign w:val="center"/>
          </w:tcPr>
          <w:p w14:paraId="7B33A320">
            <w:pPr>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PI：</w:t>
            </w:r>
          </w:p>
        </w:tc>
        <w:tc>
          <w:tcPr>
            <w:tcW w:w="2024" w:type="dxa"/>
            <w:tcBorders>
              <w:top w:val="single" w:color="auto" w:sz="6" w:space="0"/>
              <w:left w:val="single" w:color="auto" w:sz="6" w:space="0"/>
              <w:bottom w:val="single" w:color="auto" w:sz="6" w:space="0"/>
              <w:right w:val="single" w:color="auto" w:sz="6" w:space="0"/>
            </w:tcBorders>
            <w:noWrap w:val="0"/>
            <w:vAlign w:val="center"/>
          </w:tcPr>
          <w:p w14:paraId="339FD7E3">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979" w:type="dxa"/>
            <w:tcBorders>
              <w:top w:val="single" w:color="auto" w:sz="6" w:space="0"/>
              <w:left w:val="single" w:color="auto" w:sz="6" w:space="0"/>
              <w:bottom w:val="single" w:color="auto" w:sz="6" w:space="0"/>
              <w:right w:val="single" w:color="auto" w:sz="12" w:space="0"/>
            </w:tcBorders>
            <w:noWrap w:val="0"/>
            <w:vAlign w:val="center"/>
          </w:tcPr>
          <w:p w14:paraId="2A14CEF0">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847" w:type="dxa"/>
            <w:tcBorders>
              <w:top w:val="single" w:color="auto" w:sz="6" w:space="0"/>
              <w:left w:val="single" w:color="auto" w:sz="6" w:space="0"/>
              <w:bottom w:val="single" w:color="auto" w:sz="6" w:space="0"/>
              <w:right w:val="single" w:color="auto" w:sz="12" w:space="0"/>
            </w:tcBorders>
            <w:noWrap w:val="0"/>
            <w:vAlign w:val="center"/>
          </w:tcPr>
          <w:p w14:paraId="2E04DC01">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44A92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25" w:type="dxa"/>
            <w:gridSpan w:val="2"/>
            <w:tcBorders>
              <w:top w:val="single" w:color="auto" w:sz="6" w:space="0"/>
              <w:left w:val="single" w:color="auto" w:sz="12" w:space="0"/>
              <w:bottom w:val="single" w:color="auto" w:sz="6" w:space="0"/>
              <w:right w:val="single" w:color="auto" w:sz="6" w:space="0"/>
            </w:tcBorders>
            <w:noWrap w:val="0"/>
            <w:vAlign w:val="center"/>
          </w:tcPr>
          <w:p w14:paraId="4E1943FC">
            <w:pPr>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DO：</w:t>
            </w:r>
          </w:p>
        </w:tc>
        <w:tc>
          <w:tcPr>
            <w:tcW w:w="2024" w:type="dxa"/>
            <w:tcBorders>
              <w:top w:val="single" w:color="auto" w:sz="6" w:space="0"/>
              <w:left w:val="single" w:color="auto" w:sz="6" w:space="0"/>
              <w:bottom w:val="single" w:color="auto" w:sz="6" w:space="0"/>
              <w:right w:val="single" w:color="auto" w:sz="6" w:space="0"/>
            </w:tcBorders>
            <w:noWrap w:val="0"/>
            <w:vAlign w:val="center"/>
          </w:tcPr>
          <w:p w14:paraId="72524B15">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979" w:type="dxa"/>
            <w:tcBorders>
              <w:top w:val="single" w:color="auto" w:sz="6" w:space="0"/>
              <w:left w:val="single" w:color="auto" w:sz="6" w:space="0"/>
              <w:bottom w:val="single" w:color="auto" w:sz="6" w:space="0"/>
              <w:right w:val="single" w:color="auto" w:sz="12" w:space="0"/>
            </w:tcBorders>
            <w:noWrap w:val="0"/>
            <w:vAlign w:val="center"/>
          </w:tcPr>
          <w:p w14:paraId="456E4DBD">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847" w:type="dxa"/>
            <w:tcBorders>
              <w:top w:val="single" w:color="auto" w:sz="6" w:space="0"/>
              <w:left w:val="single" w:color="auto" w:sz="6" w:space="0"/>
              <w:bottom w:val="single" w:color="auto" w:sz="6" w:space="0"/>
              <w:right w:val="single" w:color="auto" w:sz="12" w:space="0"/>
            </w:tcBorders>
            <w:noWrap w:val="0"/>
            <w:vAlign w:val="center"/>
          </w:tcPr>
          <w:p w14:paraId="69052984">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3DA284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2625" w:type="dxa"/>
            <w:gridSpan w:val="2"/>
            <w:tcBorders>
              <w:top w:val="single" w:color="auto" w:sz="6" w:space="0"/>
              <w:left w:val="single" w:color="auto" w:sz="12" w:space="0"/>
              <w:bottom w:val="single" w:color="auto" w:sz="12" w:space="0"/>
              <w:right w:val="single" w:color="auto" w:sz="6" w:space="0"/>
            </w:tcBorders>
            <w:noWrap w:val="0"/>
            <w:vAlign w:val="center"/>
          </w:tcPr>
          <w:p w14:paraId="738570E6">
            <w:pPr>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总计</w:t>
            </w:r>
          </w:p>
        </w:tc>
        <w:tc>
          <w:tcPr>
            <w:tcW w:w="2024" w:type="dxa"/>
            <w:tcBorders>
              <w:top w:val="single" w:color="auto" w:sz="6" w:space="0"/>
              <w:left w:val="single" w:color="auto" w:sz="6" w:space="0"/>
              <w:bottom w:val="single" w:color="auto" w:sz="12" w:space="0"/>
              <w:right w:val="single" w:color="auto" w:sz="6" w:space="0"/>
            </w:tcBorders>
            <w:noWrap w:val="0"/>
            <w:vAlign w:val="center"/>
          </w:tcPr>
          <w:p w14:paraId="15A5050D">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979" w:type="dxa"/>
            <w:tcBorders>
              <w:top w:val="single" w:color="auto" w:sz="6" w:space="0"/>
              <w:left w:val="single" w:color="auto" w:sz="6" w:space="0"/>
              <w:bottom w:val="single" w:color="auto" w:sz="12" w:space="0"/>
              <w:right w:val="single" w:color="auto" w:sz="12" w:space="0"/>
            </w:tcBorders>
            <w:noWrap w:val="0"/>
            <w:vAlign w:val="center"/>
          </w:tcPr>
          <w:p w14:paraId="20A28473">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c>
          <w:tcPr>
            <w:tcW w:w="1847" w:type="dxa"/>
            <w:tcBorders>
              <w:top w:val="single" w:color="auto" w:sz="6" w:space="0"/>
              <w:left w:val="single" w:color="auto" w:sz="6" w:space="0"/>
              <w:bottom w:val="single" w:color="auto" w:sz="12" w:space="0"/>
              <w:right w:val="single" w:color="auto" w:sz="12" w:space="0"/>
            </w:tcBorders>
            <w:noWrap w:val="0"/>
            <w:vAlign w:val="center"/>
          </w:tcPr>
          <w:p w14:paraId="20E0989B">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bl>
    <w:p w14:paraId="7A135343">
      <w:pPr>
        <w:snapToGrid w:val="0"/>
        <w:spacing w:line="360" w:lineRule="auto"/>
        <w:ind w:firstLine="480" w:firstLineChars="200"/>
        <w:rPr>
          <w:color w:val="auto"/>
          <w:sz w:val="24"/>
          <w:highlight w:val="none"/>
        </w:rPr>
      </w:pPr>
      <w:r>
        <w:rPr>
          <w:color w:val="auto"/>
          <w:sz w:val="24"/>
          <w:highlight w:val="none"/>
        </w:rPr>
        <w:t>上列I/O数量不包括备用点数。</w:t>
      </w:r>
    </w:p>
    <w:p w14:paraId="47C4DF22">
      <w:pPr>
        <w:snapToGrid w:val="0"/>
        <w:spacing w:line="360" w:lineRule="auto"/>
        <w:ind w:firstLine="480" w:firstLineChars="200"/>
        <w:rPr>
          <w:color w:val="auto"/>
          <w:sz w:val="24"/>
          <w:highlight w:val="none"/>
        </w:rPr>
      </w:pPr>
      <w:r>
        <w:rPr>
          <w:color w:val="auto"/>
          <w:sz w:val="24"/>
          <w:highlight w:val="none"/>
        </w:rPr>
        <w:t>在统计被控对象I/O点数时，不同类别的被控对象I/O点数按下表原则进行统计：</w:t>
      </w:r>
    </w:p>
    <w:tbl>
      <w:tblPr>
        <w:tblStyle w:val="52"/>
        <w:tblW w:w="0" w:type="auto"/>
        <w:tblInd w:w="-12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2"/>
        <w:gridCol w:w="3855"/>
        <w:gridCol w:w="976"/>
        <w:gridCol w:w="972"/>
        <w:gridCol w:w="545"/>
        <w:gridCol w:w="609"/>
        <w:gridCol w:w="804"/>
      </w:tblGrid>
      <w:tr w14:paraId="684271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trPr>
        <w:tc>
          <w:tcPr>
            <w:tcW w:w="702" w:type="dxa"/>
            <w:noWrap w:val="0"/>
            <w:vAlign w:val="center"/>
          </w:tcPr>
          <w:p w14:paraId="5E601B93">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序号</w:t>
            </w:r>
          </w:p>
        </w:tc>
        <w:tc>
          <w:tcPr>
            <w:tcW w:w="3855" w:type="dxa"/>
            <w:noWrap w:val="0"/>
            <w:vAlign w:val="center"/>
          </w:tcPr>
          <w:p w14:paraId="0F75A46A">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被控对象型式</w:t>
            </w:r>
          </w:p>
        </w:tc>
        <w:tc>
          <w:tcPr>
            <w:tcW w:w="976" w:type="dxa"/>
            <w:noWrap w:val="0"/>
            <w:vAlign w:val="center"/>
          </w:tcPr>
          <w:p w14:paraId="18E95160">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DI</w:t>
            </w:r>
          </w:p>
        </w:tc>
        <w:tc>
          <w:tcPr>
            <w:tcW w:w="972" w:type="dxa"/>
            <w:noWrap w:val="0"/>
            <w:vAlign w:val="center"/>
          </w:tcPr>
          <w:p w14:paraId="6E64C615">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DO</w:t>
            </w:r>
          </w:p>
        </w:tc>
        <w:tc>
          <w:tcPr>
            <w:tcW w:w="545" w:type="dxa"/>
            <w:noWrap w:val="0"/>
            <w:vAlign w:val="center"/>
          </w:tcPr>
          <w:p w14:paraId="0A2F8CC4">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AI</w:t>
            </w:r>
          </w:p>
        </w:tc>
        <w:tc>
          <w:tcPr>
            <w:tcW w:w="609" w:type="dxa"/>
            <w:noWrap w:val="0"/>
            <w:vAlign w:val="center"/>
          </w:tcPr>
          <w:p w14:paraId="29EAA2EF">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AO</w:t>
            </w:r>
          </w:p>
        </w:tc>
        <w:tc>
          <w:tcPr>
            <w:tcW w:w="804" w:type="dxa"/>
            <w:noWrap w:val="0"/>
            <w:vAlign w:val="center"/>
          </w:tcPr>
          <w:p w14:paraId="6D009738">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PI</w:t>
            </w:r>
          </w:p>
        </w:tc>
      </w:tr>
      <w:tr w14:paraId="2E5724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02" w:type="dxa"/>
            <w:noWrap w:val="0"/>
            <w:vAlign w:val="center"/>
          </w:tcPr>
          <w:p w14:paraId="44867F2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3855" w:type="dxa"/>
            <w:noWrap w:val="0"/>
            <w:vAlign w:val="center"/>
          </w:tcPr>
          <w:p w14:paraId="32F01DB2">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电动装置</w:t>
            </w:r>
          </w:p>
        </w:tc>
        <w:tc>
          <w:tcPr>
            <w:tcW w:w="976" w:type="dxa"/>
            <w:noWrap w:val="0"/>
            <w:vAlign w:val="center"/>
          </w:tcPr>
          <w:p w14:paraId="28A04245">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551D385E">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1D27515A">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688CEEF1">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78B2AE88">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3F5B6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702" w:type="dxa"/>
            <w:noWrap w:val="0"/>
            <w:vAlign w:val="center"/>
          </w:tcPr>
          <w:p w14:paraId="6247AB10">
            <w:pPr>
              <w:keepNext w:val="0"/>
              <w:keepLines w:val="0"/>
              <w:suppressLineNumbers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2</w:t>
            </w:r>
          </w:p>
        </w:tc>
        <w:tc>
          <w:tcPr>
            <w:tcW w:w="3855" w:type="dxa"/>
            <w:noWrap w:val="0"/>
            <w:vAlign w:val="center"/>
          </w:tcPr>
          <w:p w14:paraId="176C599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380V电动机（大于75kW或保安负荷电机)</w:t>
            </w:r>
          </w:p>
        </w:tc>
        <w:tc>
          <w:tcPr>
            <w:tcW w:w="976" w:type="dxa"/>
            <w:noWrap w:val="0"/>
            <w:vAlign w:val="center"/>
          </w:tcPr>
          <w:p w14:paraId="3F3BBD7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42C04A84">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6A11F837">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7B8A995E">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76DE64AC">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58EA8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02" w:type="dxa"/>
            <w:noWrap w:val="0"/>
            <w:vAlign w:val="center"/>
          </w:tcPr>
          <w:p w14:paraId="3A896436">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3</w:t>
            </w:r>
          </w:p>
        </w:tc>
        <w:tc>
          <w:tcPr>
            <w:tcW w:w="3855" w:type="dxa"/>
            <w:noWrap w:val="0"/>
            <w:vAlign w:val="center"/>
          </w:tcPr>
          <w:p w14:paraId="59E00599">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380V电动机（小于75kW)</w:t>
            </w:r>
          </w:p>
        </w:tc>
        <w:tc>
          <w:tcPr>
            <w:tcW w:w="976" w:type="dxa"/>
            <w:noWrap w:val="0"/>
            <w:vAlign w:val="center"/>
          </w:tcPr>
          <w:p w14:paraId="0284DC69">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7810704C">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3D21E8B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4B8D6D41">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33ECA71A">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D1982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02" w:type="dxa"/>
            <w:noWrap w:val="0"/>
            <w:vAlign w:val="center"/>
          </w:tcPr>
          <w:p w14:paraId="58AC0740">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4</w:t>
            </w:r>
          </w:p>
        </w:tc>
        <w:tc>
          <w:tcPr>
            <w:tcW w:w="3855" w:type="dxa"/>
            <w:noWrap w:val="0"/>
            <w:vAlign w:val="center"/>
          </w:tcPr>
          <w:p w14:paraId="351A75F9">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调节型气动执行机构</w:t>
            </w:r>
          </w:p>
        </w:tc>
        <w:tc>
          <w:tcPr>
            <w:tcW w:w="976" w:type="dxa"/>
            <w:noWrap w:val="0"/>
            <w:vAlign w:val="center"/>
          </w:tcPr>
          <w:p w14:paraId="6B980B95">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362A5283">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44995797">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177863EE">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29F3EDC2">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B38B9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02" w:type="dxa"/>
            <w:noWrap w:val="0"/>
            <w:vAlign w:val="center"/>
          </w:tcPr>
          <w:p w14:paraId="2A0822E7">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5</w:t>
            </w:r>
          </w:p>
        </w:tc>
        <w:tc>
          <w:tcPr>
            <w:tcW w:w="3855" w:type="dxa"/>
            <w:noWrap w:val="0"/>
            <w:vAlign w:val="center"/>
          </w:tcPr>
          <w:p w14:paraId="57CF5C8E">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开关型气动执行机构（双控）</w:t>
            </w:r>
          </w:p>
        </w:tc>
        <w:tc>
          <w:tcPr>
            <w:tcW w:w="976" w:type="dxa"/>
            <w:noWrap w:val="0"/>
            <w:vAlign w:val="center"/>
          </w:tcPr>
          <w:p w14:paraId="2D637F46">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33905D60">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40A0517D">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65986F9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5319C567">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478E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02" w:type="dxa"/>
            <w:noWrap w:val="0"/>
            <w:vAlign w:val="center"/>
          </w:tcPr>
          <w:p w14:paraId="75DAC4A8">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6</w:t>
            </w:r>
          </w:p>
        </w:tc>
        <w:tc>
          <w:tcPr>
            <w:tcW w:w="3855" w:type="dxa"/>
            <w:noWrap w:val="0"/>
            <w:vAlign w:val="center"/>
          </w:tcPr>
          <w:p w14:paraId="5FFAC074">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开关型气动执行机构（单控）</w:t>
            </w:r>
          </w:p>
        </w:tc>
        <w:tc>
          <w:tcPr>
            <w:tcW w:w="976" w:type="dxa"/>
            <w:noWrap w:val="0"/>
            <w:vAlign w:val="center"/>
          </w:tcPr>
          <w:p w14:paraId="5854F427">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50E0C3EE">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78AB2DD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6DECBEB0">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2D18A34F">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B8E48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02" w:type="dxa"/>
            <w:noWrap w:val="0"/>
            <w:vAlign w:val="center"/>
          </w:tcPr>
          <w:p w14:paraId="2BE4D3D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7</w:t>
            </w:r>
          </w:p>
        </w:tc>
        <w:tc>
          <w:tcPr>
            <w:tcW w:w="3855" w:type="dxa"/>
            <w:noWrap w:val="0"/>
            <w:vAlign w:val="center"/>
          </w:tcPr>
          <w:p w14:paraId="0C264D48">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调节型电动执行机构（模拟量控制）</w:t>
            </w:r>
          </w:p>
        </w:tc>
        <w:tc>
          <w:tcPr>
            <w:tcW w:w="976" w:type="dxa"/>
            <w:noWrap w:val="0"/>
            <w:vAlign w:val="center"/>
          </w:tcPr>
          <w:p w14:paraId="7D70ECC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32243EF6">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7E28F934">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7358642E">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32D3FA71">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BA188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02" w:type="dxa"/>
            <w:noWrap w:val="0"/>
            <w:vAlign w:val="center"/>
          </w:tcPr>
          <w:p w14:paraId="03032EA6">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8</w:t>
            </w:r>
          </w:p>
        </w:tc>
        <w:tc>
          <w:tcPr>
            <w:tcW w:w="3855" w:type="dxa"/>
            <w:noWrap w:val="0"/>
            <w:vAlign w:val="center"/>
          </w:tcPr>
          <w:p w14:paraId="2C5DD73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调节型电动执行机构（开关量控制）</w:t>
            </w:r>
          </w:p>
        </w:tc>
        <w:tc>
          <w:tcPr>
            <w:tcW w:w="976" w:type="dxa"/>
            <w:noWrap w:val="0"/>
            <w:vAlign w:val="center"/>
          </w:tcPr>
          <w:p w14:paraId="51DF5F6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0A91E674">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3728F186">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599EDA6F">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3EE094D4">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9177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02" w:type="dxa"/>
            <w:noWrap w:val="0"/>
            <w:vAlign w:val="center"/>
          </w:tcPr>
          <w:p w14:paraId="5E0151F8">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9</w:t>
            </w:r>
          </w:p>
        </w:tc>
        <w:tc>
          <w:tcPr>
            <w:tcW w:w="3855" w:type="dxa"/>
            <w:noWrap w:val="0"/>
            <w:vAlign w:val="center"/>
          </w:tcPr>
          <w:p w14:paraId="263216DD">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开关型电动执行机构</w:t>
            </w:r>
          </w:p>
        </w:tc>
        <w:tc>
          <w:tcPr>
            <w:tcW w:w="976" w:type="dxa"/>
            <w:noWrap w:val="0"/>
            <w:vAlign w:val="center"/>
          </w:tcPr>
          <w:p w14:paraId="112348B5">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7531F3B6">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35A14318">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35B0197F">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1EB458D6">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6D0F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02" w:type="dxa"/>
            <w:noWrap w:val="0"/>
            <w:vAlign w:val="center"/>
          </w:tcPr>
          <w:p w14:paraId="7678669F">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10</w:t>
            </w:r>
          </w:p>
        </w:tc>
        <w:tc>
          <w:tcPr>
            <w:tcW w:w="3855" w:type="dxa"/>
            <w:noWrap w:val="0"/>
            <w:vAlign w:val="center"/>
          </w:tcPr>
          <w:p w14:paraId="117B6C02">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开关型电动执行机构（带阀位反馈）</w:t>
            </w:r>
          </w:p>
        </w:tc>
        <w:tc>
          <w:tcPr>
            <w:tcW w:w="976" w:type="dxa"/>
            <w:noWrap w:val="0"/>
            <w:vAlign w:val="center"/>
          </w:tcPr>
          <w:p w14:paraId="3770A23D">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07903E30">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16B3526A">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12FE052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4A323BE8">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5C392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02" w:type="dxa"/>
            <w:noWrap w:val="0"/>
            <w:vAlign w:val="center"/>
          </w:tcPr>
          <w:p w14:paraId="019355DE">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11</w:t>
            </w:r>
          </w:p>
        </w:tc>
        <w:tc>
          <w:tcPr>
            <w:tcW w:w="3855" w:type="dxa"/>
            <w:noWrap w:val="0"/>
            <w:vAlign w:val="center"/>
          </w:tcPr>
          <w:p w14:paraId="25D2722C">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变频器</w:t>
            </w:r>
          </w:p>
        </w:tc>
        <w:tc>
          <w:tcPr>
            <w:tcW w:w="976" w:type="dxa"/>
            <w:noWrap w:val="0"/>
            <w:vAlign w:val="center"/>
          </w:tcPr>
          <w:p w14:paraId="4CF1B016">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72" w:type="dxa"/>
            <w:noWrap w:val="0"/>
            <w:vAlign w:val="center"/>
          </w:tcPr>
          <w:p w14:paraId="2AF7B7C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545" w:type="dxa"/>
            <w:noWrap w:val="0"/>
            <w:vAlign w:val="center"/>
          </w:tcPr>
          <w:p w14:paraId="36B0401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609" w:type="dxa"/>
            <w:noWrap w:val="0"/>
            <w:vAlign w:val="center"/>
          </w:tcPr>
          <w:p w14:paraId="37B893A4">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804" w:type="dxa"/>
            <w:noWrap w:val="0"/>
            <w:vAlign w:val="center"/>
          </w:tcPr>
          <w:p w14:paraId="0A50EA6E">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bl>
    <w:p w14:paraId="756D4F18">
      <w:pPr>
        <w:spacing w:line="360" w:lineRule="auto"/>
        <w:outlineLvl w:val="2"/>
        <w:rPr>
          <w:b/>
          <w:color w:val="auto"/>
          <w:sz w:val="24"/>
          <w:highlight w:val="none"/>
        </w:rPr>
      </w:pPr>
      <w:r>
        <w:rPr>
          <w:b/>
          <w:color w:val="auto"/>
          <w:sz w:val="24"/>
          <w:highlight w:val="none"/>
        </w:rPr>
        <w:t>3.3 技术要求</w:t>
      </w:r>
    </w:p>
    <w:p w14:paraId="6CB5BD12">
      <w:pPr>
        <w:adjustRightInd w:val="0"/>
        <w:snapToGrid w:val="0"/>
        <w:spacing w:before="48" w:beforeLines="20" w:after="48" w:afterLines="20" w:line="360" w:lineRule="auto"/>
        <w:rPr>
          <w:color w:val="auto"/>
          <w:sz w:val="24"/>
          <w:highlight w:val="none"/>
        </w:rPr>
      </w:pPr>
      <w:r>
        <w:rPr>
          <w:color w:val="auto"/>
          <w:sz w:val="24"/>
          <w:highlight w:val="none"/>
        </w:rPr>
        <w:t>3.3.1一般要求</w:t>
      </w:r>
    </w:p>
    <w:p w14:paraId="178D93B1">
      <w:pPr>
        <w:adjustRightInd w:val="0"/>
        <w:snapToGrid w:val="0"/>
        <w:spacing w:before="48" w:beforeLines="20" w:after="48" w:afterLines="20" w:line="360" w:lineRule="auto"/>
        <w:rPr>
          <w:color w:val="auto"/>
          <w:sz w:val="24"/>
          <w:highlight w:val="none"/>
        </w:rPr>
      </w:pPr>
      <w:r>
        <w:rPr>
          <w:color w:val="auto"/>
          <w:sz w:val="24"/>
          <w:highlight w:val="none"/>
        </w:rPr>
        <w:t>3.3.1.1仪表和控制设备应考虑最大限度的可用性、可靠性、可控性和可维修性，所有部件应在规定的条件下安全运行。</w:t>
      </w:r>
    </w:p>
    <w:p w14:paraId="36DBD6DD">
      <w:pPr>
        <w:adjustRightInd w:val="0"/>
        <w:snapToGrid w:val="0"/>
        <w:spacing w:before="48" w:beforeLines="20" w:after="48" w:afterLines="20" w:line="360" w:lineRule="auto"/>
        <w:rPr>
          <w:color w:val="auto"/>
          <w:sz w:val="24"/>
          <w:highlight w:val="none"/>
        </w:rPr>
      </w:pPr>
      <w:r>
        <w:rPr>
          <w:color w:val="auto"/>
          <w:sz w:val="24"/>
          <w:highlight w:val="none"/>
        </w:rPr>
        <w:t>3.3.1.2所供的控制和监测设备应有良好的性能以便于整个装置安全无故障运行和监视。并应符合相关的防腐、防爆要求。</w:t>
      </w:r>
    </w:p>
    <w:p w14:paraId="21C4741B">
      <w:pPr>
        <w:adjustRightInd w:val="0"/>
        <w:snapToGrid w:val="0"/>
        <w:spacing w:before="48" w:beforeLines="20" w:after="48" w:afterLines="20" w:line="360" w:lineRule="auto"/>
        <w:rPr>
          <w:color w:val="auto"/>
          <w:sz w:val="24"/>
          <w:highlight w:val="none"/>
        </w:rPr>
      </w:pPr>
      <w:r>
        <w:rPr>
          <w:color w:val="auto"/>
          <w:sz w:val="24"/>
          <w:highlight w:val="none"/>
        </w:rPr>
        <w:t>3.3.1.3在烟气脱硫装置的控制系统设计中，应考虑脱硫系统对锅炉的影响。烟气脱硫热工自动可靠性应与机组的一致，涉及与主机有联锁保护的测点应至少采用3重冗余设置，在设计上应尽量减少因脱硫装置故障对主机的影响。</w:t>
      </w:r>
      <w:r>
        <w:rPr>
          <w:color w:val="auto"/>
          <w:sz w:val="24"/>
          <w:highlight w:val="none"/>
          <w:u w:val="wave"/>
        </w:rPr>
        <w:t>脱硫</w:t>
      </w:r>
      <w:r>
        <w:rPr>
          <w:color w:val="auto"/>
          <w:sz w:val="24"/>
          <w:highlight w:val="none"/>
        </w:rPr>
        <w:t>DCS和主机DCS系统进行信号交换所需的输入/输出信号应由</w:t>
      </w:r>
      <w:r>
        <w:rPr>
          <w:rFonts w:hint="eastAsia"/>
          <w:color w:val="auto"/>
          <w:sz w:val="24"/>
          <w:highlight w:val="none"/>
          <w:lang w:eastAsia="zh-CN"/>
        </w:rPr>
        <w:t>投标方</w:t>
      </w:r>
      <w:r>
        <w:rPr>
          <w:color w:val="auto"/>
          <w:sz w:val="24"/>
          <w:highlight w:val="none"/>
        </w:rPr>
        <w:t>设计，并由</w:t>
      </w:r>
      <w:r>
        <w:rPr>
          <w:rFonts w:hint="eastAsia"/>
          <w:color w:val="auto"/>
          <w:sz w:val="24"/>
          <w:highlight w:val="none"/>
          <w:lang w:eastAsia="zh-CN"/>
        </w:rPr>
        <w:t>招标方</w:t>
      </w:r>
      <w:r>
        <w:rPr>
          <w:color w:val="auto"/>
          <w:sz w:val="24"/>
          <w:highlight w:val="none"/>
        </w:rPr>
        <w:t>审核确认。</w:t>
      </w:r>
    </w:p>
    <w:p w14:paraId="145BEF2F">
      <w:pPr>
        <w:adjustRightInd w:val="0"/>
        <w:snapToGrid w:val="0"/>
        <w:spacing w:before="48" w:beforeLines="20" w:after="48" w:afterLines="20" w:line="360" w:lineRule="auto"/>
        <w:rPr>
          <w:color w:val="auto"/>
          <w:sz w:val="24"/>
          <w:highlight w:val="none"/>
        </w:rPr>
      </w:pPr>
      <w:r>
        <w:rPr>
          <w:color w:val="auto"/>
          <w:sz w:val="24"/>
          <w:highlight w:val="none"/>
        </w:rPr>
        <w:t>3.3.2就地设备</w:t>
      </w:r>
    </w:p>
    <w:p w14:paraId="69DB92BD">
      <w:pPr>
        <w:snapToGrid w:val="0"/>
        <w:spacing w:before="48" w:after="48" w:line="360" w:lineRule="auto"/>
        <w:ind w:left="-57" w:right="57" w:firstLine="480" w:firstLineChars="200"/>
        <w:rPr>
          <w:color w:val="auto"/>
          <w:sz w:val="24"/>
          <w:highlight w:val="none"/>
        </w:rPr>
      </w:pPr>
      <w:r>
        <w:rPr>
          <w:color w:val="auto"/>
          <w:sz w:val="24"/>
          <w:highlight w:val="none"/>
        </w:rPr>
        <w:t>所有仪控设备品牌要求详见附件</w:t>
      </w:r>
      <w:r>
        <w:rPr>
          <w:rFonts w:hint="eastAsia"/>
          <w:color w:val="auto"/>
          <w:sz w:val="24"/>
          <w:highlight w:val="none"/>
          <w:lang w:val="en-US" w:eastAsia="zh-CN"/>
        </w:rPr>
        <w:t>7</w:t>
      </w:r>
      <w:r>
        <w:rPr>
          <w:color w:val="auto"/>
          <w:sz w:val="24"/>
          <w:highlight w:val="none"/>
        </w:rPr>
        <w:t>表格8-2-2 “热控设备的品牌要求”，并提供厂家证明,最终型号由</w:t>
      </w:r>
      <w:r>
        <w:rPr>
          <w:rFonts w:hint="eastAsia"/>
          <w:color w:val="auto"/>
          <w:sz w:val="24"/>
          <w:highlight w:val="none"/>
          <w:lang w:eastAsia="zh-CN"/>
        </w:rPr>
        <w:t>招标方</w:t>
      </w:r>
      <w:r>
        <w:rPr>
          <w:color w:val="auto"/>
          <w:sz w:val="24"/>
          <w:highlight w:val="none"/>
        </w:rPr>
        <w:t>确认。</w:t>
      </w:r>
    </w:p>
    <w:p w14:paraId="5CB96E2B">
      <w:pPr>
        <w:adjustRightInd w:val="0"/>
        <w:spacing w:line="360" w:lineRule="auto"/>
        <w:textAlignment w:val="baseline"/>
        <w:rPr>
          <w:color w:val="auto"/>
          <w:sz w:val="24"/>
          <w:highlight w:val="none"/>
        </w:rPr>
      </w:pPr>
      <w:r>
        <w:rPr>
          <w:color w:val="auto"/>
          <w:sz w:val="24"/>
          <w:highlight w:val="none"/>
        </w:rPr>
        <w:t>3.3.2.1设计要求</w:t>
      </w:r>
    </w:p>
    <w:p w14:paraId="5DFC5773">
      <w:pPr>
        <w:snapToGrid w:val="0"/>
        <w:spacing w:line="360" w:lineRule="auto"/>
        <w:ind w:left="-57" w:right="57" w:firstLine="480" w:firstLineChars="200"/>
        <w:rPr>
          <w:color w:val="auto"/>
          <w:sz w:val="24"/>
          <w:highlight w:val="none"/>
        </w:rPr>
      </w:pPr>
      <w:r>
        <w:rPr>
          <w:color w:val="auto"/>
          <w:sz w:val="24"/>
          <w:highlight w:val="none"/>
        </w:rPr>
        <w:t>(1)在巡检人员需监视的工艺系统中，应设有就地指示仪表。就地仪表应采用法定计量单位，压力指示仪表的精度至少为1.</w:t>
      </w:r>
      <w:r>
        <w:rPr>
          <w:rFonts w:hint="eastAsia"/>
          <w:color w:val="auto"/>
          <w:sz w:val="24"/>
          <w:highlight w:val="none"/>
          <w:lang w:val="en-US" w:eastAsia="zh-CN"/>
        </w:rPr>
        <w:t>6</w:t>
      </w:r>
      <w:r>
        <w:rPr>
          <w:color w:val="auto"/>
          <w:sz w:val="24"/>
          <w:highlight w:val="none"/>
        </w:rPr>
        <w:t>级，盘面直径不小于1</w:t>
      </w:r>
      <w:r>
        <w:rPr>
          <w:rFonts w:hint="eastAsia"/>
          <w:color w:val="auto"/>
          <w:sz w:val="24"/>
          <w:highlight w:val="none"/>
        </w:rPr>
        <w:t>0</w:t>
      </w:r>
      <w:r>
        <w:rPr>
          <w:color w:val="auto"/>
          <w:sz w:val="24"/>
          <w:highlight w:val="none"/>
        </w:rPr>
        <w:t>0mm，仪表的机芯、表壳、螺纹接口都应是不锈钢材质，如直接接触酸、碱等腐蚀介质，仪表材质必须为相应的耐腐蚀材料（或采用防腐隔膜式）；螺纹接口M20X1.5，通常情况下，表计的量程选择使其正常运行时指针处在1/2—2/3量程位置。就地温度计采用万向型可抽芯式双金属温度计，安装管道内应有保护套管，产品选用不锈钢型，不采用水银温度计。安装在振动和泵出口场合的就地指示表为防振型，同类型仪控设备的接头类型尽量做到统一，以减小维护成本。就地仪表应安装应在容易观察和操作的位置，或成组安装在就地表盘上，就地仪表盘应有防尘和防水护罩。</w:t>
      </w:r>
      <w:r>
        <w:rPr>
          <w:rFonts w:hint="eastAsia"/>
          <w:color w:val="auto"/>
          <w:sz w:val="24"/>
          <w:highlight w:val="none"/>
        </w:rPr>
        <w:t>就地压力表及温度计应采用三色标志，三分之一以下黄色，三分之一到三分之二绿色，三分之二以上红色，还需保证正常运行时表计指针位于绿色区域</w:t>
      </w:r>
    </w:p>
    <w:p w14:paraId="45F05AC1">
      <w:pPr>
        <w:snapToGrid w:val="0"/>
        <w:spacing w:line="360" w:lineRule="auto"/>
        <w:ind w:left="-57" w:right="57" w:firstLine="480" w:firstLineChars="200"/>
        <w:rPr>
          <w:color w:val="auto"/>
          <w:sz w:val="24"/>
          <w:highlight w:val="none"/>
        </w:rPr>
      </w:pPr>
      <w:r>
        <w:rPr>
          <w:color w:val="auto"/>
          <w:sz w:val="24"/>
          <w:highlight w:val="none"/>
        </w:rPr>
        <w:t>(2)FGD系统中的调节阀应有开度指示，送至DCS系统的信号为4～20 mA  DC；用于二位式控制(ON-OFF)的阀门开关方向均应有必要的限位开关和力矩开关。</w:t>
      </w:r>
    </w:p>
    <w:p w14:paraId="3BA69A58">
      <w:pPr>
        <w:snapToGrid w:val="0"/>
        <w:spacing w:line="360" w:lineRule="auto"/>
        <w:ind w:left="-57" w:right="57" w:firstLine="480" w:firstLineChars="200"/>
        <w:rPr>
          <w:color w:val="auto"/>
          <w:sz w:val="24"/>
          <w:highlight w:val="none"/>
        </w:rPr>
      </w:pPr>
      <w:r>
        <w:rPr>
          <w:color w:val="auto"/>
          <w:sz w:val="24"/>
          <w:highlight w:val="none"/>
        </w:rPr>
        <w:t>(3)就地设备、装置与DCS的信号类型如下： 4～20mA DC模拟量为两线制；热电阻采用双支三线制，Pt100；热电偶采用双支K分度；开关量信号为无源接点。信号电缆屏蔽层接地统一在DCS机柜侧。</w:t>
      </w:r>
    </w:p>
    <w:p w14:paraId="23EBD84A">
      <w:pPr>
        <w:snapToGrid w:val="0"/>
        <w:spacing w:line="360" w:lineRule="auto"/>
        <w:ind w:left="-57" w:right="57" w:firstLine="480" w:firstLineChars="200"/>
        <w:rPr>
          <w:color w:val="auto"/>
          <w:sz w:val="24"/>
          <w:highlight w:val="none"/>
        </w:rPr>
      </w:pPr>
      <w:r>
        <w:rPr>
          <w:color w:val="auto"/>
          <w:sz w:val="24"/>
          <w:highlight w:val="none"/>
        </w:rPr>
        <w:t>（4）用于保护、控制联锁与报警的仪表选用变送器，开关量仪表应选用质量好、动作准确与可靠的优质过程逻辑开关(如温度、压力、流量、差压及液位开关量仪表等)，其精度至少为0.5级，切换差值能满足控制要求，能在被测参数正常变化范围内实现信号自动复归；其外壳防护等级应至少达到IP65标准，并具有不小于13mm的螺纹电缆接口，提供的接点输出应为SPDT(单刀双掷)型。用于保护的重要信号如烟气温度、吸收塔液位应三重冗余配置，用于控制的重要信号如吸收塔浆液pH计应二重冗余配置，多重测点的取样应为独立取样点，压力、差压还应设置独立的仪表阀门。多重信号应配置在不同的DCS卡件。</w:t>
      </w:r>
    </w:p>
    <w:p w14:paraId="3CA04BC6">
      <w:pPr>
        <w:snapToGrid w:val="0"/>
        <w:spacing w:line="360" w:lineRule="auto"/>
        <w:ind w:left="-57" w:right="57" w:firstLine="480" w:firstLineChars="200"/>
        <w:rPr>
          <w:color w:val="auto"/>
          <w:sz w:val="24"/>
          <w:highlight w:val="none"/>
        </w:rPr>
      </w:pPr>
      <w:r>
        <w:rPr>
          <w:color w:val="auto"/>
          <w:sz w:val="24"/>
          <w:highlight w:val="none"/>
        </w:rPr>
        <w:t>（5）仪表和控制设备的安装位置和配备数量应满足</w:t>
      </w:r>
      <w:r>
        <w:rPr>
          <w:rFonts w:hint="eastAsia"/>
          <w:color w:val="auto"/>
          <w:sz w:val="24"/>
          <w:highlight w:val="none"/>
          <w:lang w:eastAsia="zh-CN"/>
        </w:rPr>
        <w:t>招标方</w:t>
      </w:r>
      <w:r>
        <w:rPr>
          <w:color w:val="auto"/>
          <w:sz w:val="24"/>
          <w:highlight w:val="none"/>
        </w:rPr>
        <w:t>对于整个脱硫系统进行远方监视、运行调整、事故处理和经济核算的要求。</w:t>
      </w:r>
    </w:p>
    <w:p w14:paraId="453621F6">
      <w:pPr>
        <w:snapToGrid w:val="0"/>
        <w:spacing w:line="360" w:lineRule="auto"/>
        <w:ind w:right="57" w:firstLine="360" w:firstLineChars="150"/>
        <w:rPr>
          <w:color w:val="auto"/>
          <w:sz w:val="24"/>
          <w:highlight w:val="none"/>
        </w:rPr>
      </w:pPr>
      <w:r>
        <w:rPr>
          <w:color w:val="auto"/>
          <w:sz w:val="24"/>
          <w:highlight w:val="none"/>
        </w:rPr>
        <w:t>（6）室外安装的就地控制箱及就地仪表接线箱、端子箱采用具有防水功能户外型结构。材料采用316L不锈钢拉丝板制作，厚度不小于2.5mm。柜内加上不锈钢骨架，以提高整个柜体的强度。控制箱/柜正面开启门，控制箱/柜内板前接线，安装部分必须攻丝或焊螺母，柜门采用专用钥匙开启，宽度大于800 mm的控制柜需采用双门双密封。</w:t>
      </w:r>
    </w:p>
    <w:p w14:paraId="3C6DCC4F">
      <w:pPr>
        <w:snapToGrid w:val="0"/>
        <w:spacing w:line="360" w:lineRule="auto"/>
        <w:ind w:left="-57" w:right="57" w:firstLine="480" w:firstLineChars="200"/>
        <w:rPr>
          <w:color w:val="auto"/>
          <w:sz w:val="24"/>
          <w:highlight w:val="none"/>
        </w:rPr>
      </w:pPr>
      <w:r>
        <w:rPr>
          <w:color w:val="auto"/>
          <w:sz w:val="24"/>
          <w:highlight w:val="none"/>
        </w:rPr>
        <w:t>（7）所有变送器能对应零到满量程的测量范围，输出信号要求详见3.3.2.1 (3)。</w:t>
      </w:r>
    </w:p>
    <w:p w14:paraId="3372F2A9">
      <w:pPr>
        <w:snapToGrid w:val="0"/>
        <w:spacing w:line="360" w:lineRule="auto"/>
        <w:ind w:left="-57" w:right="57" w:firstLine="480" w:firstLineChars="200"/>
        <w:rPr>
          <w:color w:val="auto"/>
          <w:sz w:val="24"/>
          <w:highlight w:val="none"/>
        </w:rPr>
      </w:pPr>
      <w:r>
        <w:rPr>
          <w:color w:val="auto"/>
          <w:sz w:val="24"/>
          <w:highlight w:val="none"/>
        </w:rPr>
        <w:t>（8）所有就地安装远传仪表和执行机构的电子部分，其防护等级应至少为IP67；就地盘箱柜等，其防护等级应至少为IP56。</w:t>
      </w:r>
    </w:p>
    <w:p w14:paraId="0C94B7ED">
      <w:pPr>
        <w:snapToGrid w:val="0"/>
        <w:spacing w:line="360" w:lineRule="auto"/>
        <w:ind w:left="-57" w:leftChars="-27" w:right="57" w:firstLine="480" w:firstLineChars="200"/>
        <w:rPr>
          <w:color w:val="auto"/>
          <w:sz w:val="24"/>
          <w:highlight w:val="none"/>
        </w:rPr>
      </w:pPr>
      <w:r>
        <w:rPr>
          <w:color w:val="auto"/>
          <w:sz w:val="24"/>
          <w:highlight w:val="none"/>
        </w:rPr>
        <w:t>（9）测量点至一次隔离阀门采用的材料应符合在安全运行条件下测量介质的要求。与仪表及变送器连接的仪表管材质特性应与工质相适应，不得出现腐蚀或污染的现象。含尘量较高的风烟系统的压力、差压、流量应设置、防堵反吹扫装置，吹扫装置应配</w:t>
      </w:r>
      <w:r>
        <w:rPr>
          <w:rFonts w:hint="eastAsia"/>
          <w:color w:val="auto"/>
          <w:sz w:val="24"/>
          <w:highlight w:val="none"/>
        </w:rPr>
        <w:t>全金属外壳</w:t>
      </w:r>
      <w:r>
        <w:rPr>
          <w:color w:val="auto"/>
          <w:sz w:val="24"/>
          <w:highlight w:val="none"/>
        </w:rPr>
        <w:t>过滤减压装置、Y型取样头，Y型取样头采用</w:t>
      </w:r>
      <w:r>
        <w:rPr>
          <w:rFonts w:hint="eastAsia"/>
          <w:color w:val="auto"/>
          <w:sz w:val="24"/>
          <w:highlight w:val="none"/>
        </w:rPr>
        <w:t>316L</w:t>
      </w:r>
      <w:r>
        <w:rPr>
          <w:color w:val="auto"/>
          <w:sz w:val="24"/>
          <w:highlight w:val="none"/>
        </w:rPr>
        <w:t>材质、内筒抛光，其他取样管护套应采取耐磨、防堵、防冷凝、防酸腐蚀等措施。接触浆液的压力变送器、差压变送器（如除雾器差压、吸收塔液位等）应具有反冲洗功能。</w:t>
      </w:r>
    </w:p>
    <w:p w14:paraId="4E4F1086">
      <w:pPr>
        <w:snapToGrid w:val="0"/>
        <w:spacing w:line="360" w:lineRule="auto"/>
        <w:ind w:left="-57" w:leftChars="-27" w:right="57" w:firstLine="480" w:firstLineChars="200"/>
        <w:rPr>
          <w:color w:val="auto"/>
          <w:sz w:val="24"/>
          <w:highlight w:val="none"/>
        </w:rPr>
      </w:pPr>
      <w:r>
        <w:rPr>
          <w:color w:val="auto"/>
          <w:sz w:val="24"/>
          <w:highlight w:val="none"/>
        </w:rPr>
        <w:t>（10）除有特殊要求外，本工程仪表管路的防冻采用保温方式。</w:t>
      </w:r>
    </w:p>
    <w:p w14:paraId="4DDA10E4">
      <w:pPr>
        <w:adjustRightInd w:val="0"/>
        <w:spacing w:line="360" w:lineRule="auto"/>
        <w:textAlignment w:val="baseline"/>
        <w:rPr>
          <w:color w:val="auto"/>
          <w:sz w:val="24"/>
          <w:highlight w:val="none"/>
        </w:rPr>
      </w:pPr>
      <w:r>
        <w:rPr>
          <w:color w:val="auto"/>
          <w:sz w:val="24"/>
          <w:highlight w:val="none"/>
        </w:rPr>
        <w:t>3.3.2.2 温度测量</w:t>
      </w:r>
    </w:p>
    <w:p w14:paraId="041D3D01">
      <w:pPr>
        <w:snapToGrid w:val="0"/>
        <w:spacing w:line="360" w:lineRule="auto"/>
        <w:ind w:left="-57" w:right="57" w:firstLine="480" w:firstLineChars="200"/>
        <w:rPr>
          <w:color w:val="auto"/>
          <w:sz w:val="24"/>
          <w:highlight w:val="none"/>
        </w:rPr>
      </w:pPr>
      <w:r>
        <w:rPr>
          <w:rFonts w:hint="eastAsia"/>
          <w:color w:val="auto"/>
          <w:sz w:val="24"/>
          <w:highlight w:val="none"/>
          <w:lang w:eastAsia="zh-CN"/>
        </w:rPr>
        <w:t>投标方</w:t>
      </w:r>
      <w:r>
        <w:rPr>
          <w:color w:val="auto"/>
          <w:sz w:val="24"/>
          <w:highlight w:val="none"/>
        </w:rPr>
        <w:t>提供的热电偶、热电阻应选用五部委认证的国产优质成熟产品。热电偶应采用双支K分度，热电阻应采用双支Pt100。热电偶和热电阻的精度应满足以下要求：热电偶的精度：I级（±0.4%）；热电阻精度：A级（0.15±0.2%）；热响应时间能满足τ0.5&lt;30S。轴承轴瓦温度选用轴瓦专用双支Pt100防振型热电阻，电机线圈温度选用电机专用双支Pt100防振型预埋热电阻。热电阻的信号-信号、信号-接地的绝缘电阻应≥100MΩ；采用绝缘型的铠装热电偶，信号-信号、信号-接地的绝缘电阻应≥1000MΩ·m。</w:t>
      </w:r>
    </w:p>
    <w:p w14:paraId="602AAC61">
      <w:pPr>
        <w:snapToGrid w:val="0"/>
        <w:spacing w:line="360" w:lineRule="auto"/>
        <w:ind w:left="-57" w:right="57" w:firstLine="480" w:firstLineChars="200"/>
        <w:rPr>
          <w:color w:val="auto"/>
          <w:sz w:val="24"/>
          <w:highlight w:val="none"/>
        </w:rPr>
      </w:pPr>
      <w:r>
        <w:rPr>
          <w:color w:val="auto"/>
          <w:sz w:val="24"/>
          <w:highlight w:val="none"/>
        </w:rPr>
        <w:t>热电偶、热电阻保护套管选用不锈钢保护套管，引出线应配防水、防尘式接线盒；对于烟气测量，测温元件护套应具有防酸腐蚀和耐磨措施，材质为</w:t>
      </w:r>
      <w:r>
        <w:rPr>
          <w:rFonts w:hint="eastAsia"/>
          <w:color w:val="auto"/>
          <w:sz w:val="24"/>
          <w:highlight w:val="none"/>
          <w:u w:val="wave"/>
        </w:rPr>
        <w:t>2205，</w:t>
      </w:r>
      <w:r>
        <w:rPr>
          <w:rFonts w:hint="eastAsia"/>
          <w:color w:val="auto"/>
          <w:sz w:val="24"/>
          <w:highlight w:val="none"/>
        </w:rPr>
        <w:t>烟气冲刷部位加喷耐磨涂层。</w:t>
      </w:r>
    </w:p>
    <w:p w14:paraId="6F0EF2BF">
      <w:pPr>
        <w:snapToGrid w:val="0"/>
        <w:spacing w:line="360" w:lineRule="auto"/>
        <w:ind w:left="-57" w:right="57" w:firstLine="480" w:firstLineChars="200"/>
        <w:rPr>
          <w:color w:val="auto"/>
          <w:sz w:val="24"/>
          <w:highlight w:val="none"/>
        </w:rPr>
      </w:pPr>
      <w:r>
        <w:rPr>
          <w:color w:val="auto"/>
          <w:sz w:val="24"/>
          <w:highlight w:val="none"/>
        </w:rPr>
        <w:t>测温元件安装的插入深度应符合相应的标准，并根据安装管路、部件来选择法兰式或者螺纹连接型。</w:t>
      </w:r>
    </w:p>
    <w:p w14:paraId="38F2D355">
      <w:pPr>
        <w:snapToGrid w:val="0"/>
        <w:spacing w:line="360" w:lineRule="auto"/>
        <w:ind w:left="-57" w:right="57" w:firstLine="480" w:firstLineChars="200"/>
        <w:rPr>
          <w:color w:val="auto"/>
          <w:sz w:val="24"/>
          <w:highlight w:val="none"/>
        </w:rPr>
      </w:pPr>
      <w:r>
        <w:rPr>
          <w:color w:val="auto"/>
          <w:sz w:val="24"/>
          <w:highlight w:val="none"/>
        </w:rPr>
        <w:t>试验测点应预留。烟道上测温装置布置应尽可能开孔倾斜向下，暂未使用的测点应安装护套并有保护盖。</w:t>
      </w:r>
    </w:p>
    <w:p w14:paraId="28B56932">
      <w:pPr>
        <w:spacing w:line="360" w:lineRule="auto"/>
        <w:ind w:firstLine="480" w:firstLineChars="200"/>
        <w:rPr>
          <w:color w:val="auto"/>
          <w:sz w:val="24"/>
          <w:highlight w:val="none"/>
        </w:rPr>
      </w:pPr>
      <w:r>
        <w:rPr>
          <w:color w:val="auto"/>
          <w:sz w:val="24"/>
          <w:highlight w:val="none"/>
        </w:rPr>
        <w:t>就地温度计采用万向型可抽芯式双金属温度计，安装管道内应有保护套管，产品选用不锈钢型，不采用水银温度计。测温元件直径为Φ6。应为无振动安装，使显示仪表远离振动场所。</w:t>
      </w:r>
    </w:p>
    <w:p w14:paraId="771F6B61">
      <w:pPr>
        <w:adjustRightInd w:val="0"/>
        <w:spacing w:line="360" w:lineRule="auto"/>
        <w:textAlignment w:val="baseline"/>
        <w:rPr>
          <w:color w:val="auto"/>
          <w:sz w:val="24"/>
          <w:highlight w:val="none"/>
        </w:rPr>
      </w:pPr>
      <w:r>
        <w:rPr>
          <w:color w:val="auto"/>
          <w:sz w:val="24"/>
          <w:highlight w:val="none"/>
        </w:rPr>
        <w:t>3.3.2.3压力/差压测量</w:t>
      </w:r>
    </w:p>
    <w:p w14:paraId="239B9A00">
      <w:pPr>
        <w:spacing w:line="360" w:lineRule="auto"/>
        <w:ind w:firstLine="480"/>
        <w:rPr>
          <w:color w:val="auto"/>
          <w:sz w:val="24"/>
          <w:highlight w:val="none"/>
        </w:rPr>
      </w:pPr>
      <w:r>
        <w:rPr>
          <w:color w:val="auto"/>
          <w:sz w:val="24"/>
          <w:highlight w:val="none"/>
        </w:rPr>
        <w:t>（1）就地压力指示仪表的精度至少为1级，盘面直径不小于100mm，仪表的机芯、表壳、螺纹接口都应是不锈钢材质，如直接接触酸、碱等腐蚀介质，仪表材质必须为相应的耐腐蚀材料（或采用防腐隔膜式）；螺纹接口M20×1.5。</w:t>
      </w:r>
    </w:p>
    <w:p w14:paraId="4C53733C">
      <w:pPr>
        <w:spacing w:line="360" w:lineRule="auto"/>
        <w:ind w:firstLine="480"/>
        <w:rPr>
          <w:color w:val="auto"/>
          <w:sz w:val="24"/>
          <w:highlight w:val="none"/>
        </w:rPr>
      </w:pPr>
      <w:r>
        <w:rPr>
          <w:color w:val="auto"/>
          <w:sz w:val="24"/>
          <w:highlight w:val="none"/>
        </w:rPr>
        <w:t>（2）DCS系统监视与控制用回路的压力和差压信号，应采用压力/差压变送器测量。压力/差压测点位置应根据相应管路或容器的规范要求确定。</w:t>
      </w:r>
    </w:p>
    <w:p w14:paraId="5F520900">
      <w:pPr>
        <w:spacing w:line="360" w:lineRule="auto"/>
        <w:ind w:firstLine="480"/>
        <w:rPr>
          <w:color w:val="auto"/>
          <w:sz w:val="24"/>
          <w:highlight w:val="none"/>
        </w:rPr>
      </w:pPr>
      <w:r>
        <w:rPr>
          <w:color w:val="auto"/>
          <w:sz w:val="24"/>
          <w:highlight w:val="none"/>
        </w:rPr>
        <w:t>（3）所有压力/差压测量应根据被测介质的参数设计以下部件：</w:t>
      </w:r>
    </w:p>
    <w:p w14:paraId="11E0D8AB">
      <w:pPr>
        <w:spacing w:line="360" w:lineRule="auto"/>
        <w:ind w:firstLine="960" w:firstLineChars="400"/>
        <w:rPr>
          <w:color w:val="auto"/>
          <w:sz w:val="24"/>
          <w:highlight w:val="none"/>
        </w:rPr>
      </w:pPr>
      <w:r>
        <w:rPr>
          <w:color w:val="auto"/>
          <w:sz w:val="24"/>
          <w:highlight w:val="none"/>
        </w:rPr>
        <w:t>一次隔离阀、二次阀与平衡阀；</w:t>
      </w:r>
    </w:p>
    <w:p w14:paraId="35F0D746">
      <w:pPr>
        <w:spacing w:line="360" w:lineRule="auto"/>
        <w:ind w:firstLine="960" w:firstLineChars="400"/>
        <w:rPr>
          <w:color w:val="auto"/>
          <w:sz w:val="24"/>
          <w:highlight w:val="none"/>
        </w:rPr>
      </w:pPr>
      <w:r>
        <w:rPr>
          <w:color w:val="auto"/>
          <w:sz w:val="24"/>
          <w:highlight w:val="none"/>
        </w:rPr>
        <w:t>用于清洁压力管道的排污阀；</w:t>
      </w:r>
    </w:p>
    <w:p w14:paraId="051DD840">
      <w:pPr>
        <w:spacing w:line="360" w:lineRule="auto"/>
        <w:ind w:firstLine="960" w:firstLineChars="400"/>
        <w:rPr>
          <w:color w:val="auto"/>
          <w:sz w:val="24"/>
          <w:highlight w:val="none"/>
        </w:rPr>
      </w:pPr>
      <w:r>
        <w:rPr>
          <w:color w:val="auto"/>
          <w:sz w:val="24"/>
          <w:highlight w:val="none"/>
        </w:rPr>
        <w:t>测量所需的仪表管路，仪表管材质采用316L不锈钢。</w:t>
      </w:r>
    </w:p>
    <w:p w14:paraId="5B151BEE">
      <w:pPr>
        <w:spacing w:line="360" w:lineRule="auto"/>
        <w:ind w:firstLine="480"/>
        <w:rPr>
          <w:color w:val="auto"/>
          <w:sz w:val="24"/>
          <w:highlight w:val="none"/>
        </w:rPr>
      </w:pPr>
      <w:r>
        <w:rPr>
          <w:color w:val="auto"/>
          <w:sz w:val="24"/>
          <w:highlight w:val="none"/>
        </w:rPr>
        <w:t>（4）测量管路系统的阀门应为焊接式或外螺纹连接，阀体材质采用316L不锈钢。用于浆液测量管路系统的阀门应防腐，采用衬胶阀门，法兰连接。</w:t>
      </w:r>
    </w:p>
    <w:p w14:paraId="065B4540">
      <w:pPr>
        <w:spacing w:line="360" w:lineRule="auto"/>
        <w:ind w:firstLine="480"/>
        <w:rPr>
          <w:color w:val="auto"/>
          <w:sz w:val="24"/>
          <w:highlight w:val="none"/>
        </w:rPr>
      </w:pPr>
      <w:r>
        <w:rPr>
          <w:color w:val="auto"/>
          <w:sz w:val="24"/>
          <w:highlight w:val="none"/>
        </w:rPr>
        <w:t>（5）室外安装的变送器（法兰式压力变送器除外）应就近集中安装在测点附近的仪表保温保护箱内。</w:t>
      </w:r>
      <w:r>
        <w:rPr>
          <w:rFonts w:hint="eastAsia"/>
          <w:color w:val="auto"/>
          <w:sz w:val="24"/>
          <w:highlight w:val="none"/>
          <w:lang w:eastAsia="zh-CN"/>
        </w:rPr>
        <w:t>投标方</w:t>
      </w:r>
      <w:r>
        <w:rPr>
          <w:color w:val="auto"/>
          <w:sz w:val="24"/>
          <w:highlight w:val="none"/>
        </w:rPr>
        <w:t>应提供所需的仪表保温保护箱。</w:t>
      </w:r>
    </w:p>
    <w:p w14:paraId="5F695172">
      <w:pPr>
        <w:spacing w:line="360" w:lineRule="auto"/>
        <w:ind w:firstLine="480"/>
        <w:rPr>
          <w:color w:val="auto"/>
          <w:sz w:val="24"/>
          <w:highlight w:val="none"/>
        </w:rPr>
      </w:pPr>
      <w:r>
        <w:rPr>
          <w:color w:val="auto"/>
          <w:sz w:val="24"/>
          <w:highlight w:val="none"/>
        </w:rPr>
        <w:t>（6）压力/差压变送器应是二线制的，输出4～20mA DC信号。</w:t>
      </w:r>
    </w:p>
    <w:p w14:paraId="107EACF2">
      <w:pPr>
        <w:spacing w:line="360" w:lineRule="auto"/>
        <w:ind w:firstLine="480"/>
        <w:rPr>
          <w:color w:val="auto"/>
          <w:sz w:val="24"/>
          <w:highlight w:val="none"/>
        </w:rPr>
      </w:pPr>
      <w:r>
        <w:rPr>
          <w:color w:val="auto"/>
          <w:sz w:val="24"/>
          <w:highlight w:val="none"/>
        </w:rPr>
        <w:t>（7）如果仪表取样管路中是液体，压力变送器应考虑静压头对测量值的影响。</w:t>
      </w:r>
    </w:p>
    <w:p w14:paraId="2167AEDF">
      <w:pPr>
        <w:spacing w:line="360" w:lineRule="auto"/>
        <w:ind w:firstLine="480"/>
        <w:rPr>
          <w:color w:val="auto"/>
          <w:sz w:val="24"/>
          <w:highlight w:val="none"/>
        </w:rPr>
      </w:pPr>
      <w:r>
        <w:rPr>
          <w:color w:val="auto"/>
          <w:sz w:val="24"/>
          <w:highlight w:val="none"/>
        </w:rPr>
        <w:t>（8）变送器应为具有就地液晶指示的智能变送器，精度达到0.075级。提供的外部负载至少为500欧姆，螺纹接口为采用1/2NPT阴螺纹，配供不锈钢焊接接头；过程逻辑开关精度至少为0.5级，螺纹接口为采用1/2</w:t>
      </w:r>
      <w:r>
        <w:rPr>
          <w:color w:val="auto"/>
          <w:sz w:val="24"/>
          <w:highlight w:val="none"/>
        </w:rPr>
        <w:sym w:font="Wingdings" w:char="F0B2"/>
      </w:r>
      <w:r>
        <w:rPr>
          <w:color w:val="auto"/>
          <w:sz w:val="24"/>
          <w:highlight w:val="none"/>
        </w:rPr>
        <w:t>NPT阴螺纹（差压过程逻辑开关可选用1/4</w:t>
      </w:r>
      <w:r>
        <w:rPr>
          <w:color w:val="auto"/>
          <w:sz w:val="24"/>
          <w:highlight w:val="none"/>
        </w:rPr>
        <w:sym w:font="Wingdings" w:char="F0B2"/>
      </w:r>
      <w:r>
        <w:rPr>
          <w:color w:val="auto"/>
          <w:sz w:val="24"/>
          <w:highlight w:val="none"/>
        </w:rPr>
        <w:t>NPT阴螺纹），配供不锈钢焊接接头；变送器和过程逻辑开关与仪表管采用焊接连接方式。所有不使用的连接口应予以封堵。</w:t>
      </w:r>
    </w:p>
    <w:p w14:paraId="0C377FC7">
      <w:pPr>
        <w:spacing w:line="360" w:lineRule="auto"/>
        <w:ind w:firstLine="480"/>
        <w:rPr>
          <w:color w:val="auto"/>
          <w:sz w:val="24"/>
          <w:highlight w:val="none"/>
        </w:rPr>
      </w:pPr>
      <w:r>
        <w:rPr>
          <w:color w:val="auto"/>
          <w:sz w:val="24"/>
          <w:highlight w:val="none"/>
        </w:rPr>
        <w:t>（9）差压型变送器应能过压保护来防止一侧的压力故障对其产生的损害。</w:t>
      </w:r>
    </w:p>
    <w:p w14:paraId="39DE5A2E">
      <w:pPr>
        <w:spacing w:line="360" w:lineRule="auto"/>
        <w:ind w:firstLine="480"/>
        <w:rPr>
          <w:color w:val="auto"/>
          <w:sz w:val="24"/>
          <w:highlight w:val="none"/>
        </w:rPr>
      </w:pPr>
      <w:r>
        <w:rPr>
          <w:color w:val="auto"/>
          <w:sz w:val="24"/>
          <w:highlight w:val="none"/>
        </w:rPr>
        <w:t>（10）通常情况下，表计的量程选择使其正常运行时指针处在1/2～2/3量程位置。</w:t>
      </w:r>
    </w:p>
    <w:p w14:paraId="2BDC1724">
      <w:pPr>
        <w:tabs>
          <w:tab w:val="left" w:pos="480"/>
        </w:tabs>
        <w:spacing w:line="360" w:lineRule="auto"/>
        <w:ind w:firstLine="480" w:firstLineChars="200"/>
        <w:rPr>
          <w:color w:val="auto"/>
          <w:sz w:val="24"/>
          <w:highlight w:val="none"/>
        </w:rPr>
      </w:pPr>
      <w:r>
        <w:rPr>
          <w:color w:val="auto"/>
          <w:sz w:val="24"/>
          <w:highlight w:val="none"/>
        </w:rPr>
        <w:t>（11）所有接触浆液的压力表、压力变送器均采用隔膜式压力表、压力变送器，接触浆液的隔膜材质应为哈氏合金或钛合金。</w:t>
      </w:r>
    </w:p>
    <w:p w14:paraId="6E5EFB3E">
      <w:pPr>
        <w:tabs>
          <w:tab w:val="left" w:pos="480"/>
        </w:tabs>
        <w:spacing w:line="360" w:lineRule="auto"/>
        <w:ind w:firstLine="480" w:firstLineChars="200"/>
        <w:rPr>
          <w:color w:val="auto"/>
          <w:sz w:val="24"/>
          <w:highlight w:val="none"/>
        </w:rPr>
      </w:pPr>
      <w:r>
        <w:rPr>
          <w:color w:val="auto"/>
          <w:sz w:val="24"/>
          <w:highlight w:val="none"/>
        </w:rPr>
        <w:t>（12）就地压力表应选用五部委认证的国产优质成熟产品。</w:t>
      </w:r>
    </w:p>
    <w:p w14:paraId="35FDF50A">
      <w:pPr>
        <w:adjustRightInd w:val="0"/>
        <w:spacing w:line="360" w:lineRule="auto"/>
        <w:textAlignment w:val="baseline"/>
        <w:rPr>
          <w:color w:val="auto"/>
          <w:sz w:val="24"/>
          <w:highlight w:val="none"/>
        </w:rPr>
      </w:pPr>
      <w:r>
        <w:rPr>
          <w:color w:val="auto"/>
          <w:sz w:val="24"/>
          <w:highlight w:val="none"/>
        </w:rPr>
        <w:t>3.3.2.4 流量测量</w:t>
      </w:r>
    </w:p>
    <w:p w14:paraId="7A55C575">
      <w:pPr>
        <w:snapToGrid w:val="0"/>
        <w:spacing w:line="360" w:lineRule="auto"/>
        <w:ind w:left="-57" w:right="57" w:firstLine="480" w:firstLineChars="200"/>
        <w:rPr>
          <w:color w:val="auto"/>
          <w:sz w:val="24"/>
          <w:highlight w:val="none"/>
        </w:rPr>
      </w:pPr>
      <w:r>
        <w:rPr>
          <w:color w:val="auto"/>
          <w:sz w:val="24"/>
          <w:highlight w:val="none"/>
        </w:rPr>
        <w:t>（1）用于远传的流量测量传感器应带有4～20mADC两线制信号输出。</w:t>
      </w:r>
    </w:p>
    <w:p w14:paraId="57427CDA">
      <w:pPr>
        <w:snapToGrid w:val="0"/>
        <w:spacing w:line="360" w:lineRule="auto"/>
        <w:ind w:left="-57" w:right="57" w:firstLine="480" w:firstLineChars="200"/>
        <w:rPr>
          <w:color w:val="auto"/>
          <w:sz w:val="24"/>
          <w:highlight w:val="none"/>
        </w:rPr>
      </w:pPr>
      <w:r>
        <w:rPr>
          <w:color w:val="auto"/>
          <w:sz w:val="24"/>
          <w:highlight w:val="none"/>
        </w:rPr>
        <w:t>（2）采用节流方式测量流量时应采用环室取样方式。应带有引出管以便于与差压测量管路连接。节流装置的前后的直管段长度应符合要求。</w:t>
      </w:r>
      <w:r>
        <w:rPr>
          <w:rFonts w:hint="eastAsia"/>
          <w:color w:val="auto"/>
          <w:sz w:val="24"/>
          <w:highlight w:val="none"/>
          <w:lang w:eastAsia="zh-CN"/>
        </w:rPr>
        <w:t>投标方</w:t>
      </w:r>
      <w:r>
        <w:rPr>
          <w:color w:val="auto"/>
          <w:sz w:val="24"/>
          <w:highlight w:val="none"/>
        </w:rPr>
        <w:t>所供的标准角接式取压流量孔板应选用五部委认证的国产优质成熟产品。</w:t>
      </w:r>
    </w:p>
    <w:p w14:paraId="0CD34BF9">
      <w:pPr>
        <w:snapToGrid w:val="0"/>
        <w:spacing w:line="360" w:lineRule="auto"/>
        <w:ind w:left="-57" w:right="57" w:firstLine="480" w:firstLineChars="200"/>
        <w:rPr>
          <w:color w:val="auto"/>
          <w:sz w:val="24"/>
          <w:highlight w:val="none"/>
        </w:rPr>
      </w:pPr>
      <w:r>
        <w:rPr>
          <w:color w:val="auto"/>
          <w:sz w:val="24"/>
          <w:highlight w:val="none"/>
        </w:rPr>
        <w:t>（3）介质流向应用箭头准确标志在测量孔板或喷嘴上。</w:t>
      </w:r>
    </w:p>
    <w:p w14:paraId="4DA3F691">
      <w:pPr>
        <w:snapToGrid w:val="0"/>
        <w:spacing w:line="360" w:lineRule="auto"/>
        <w:ind w:left="-57" w:right="57" w:firstLine="480" w:firstLineChars="200"/>
        <w:rPr>
          <w:color w:val="auto"/>
          <w:sz w:val="24"/>
          <w:highlight w:val="none"/>
        </w:rPr>
      </w:pPr>
      <w:r>
        <w:rPr>
          <w:color w:val="auto"/>
          <w:sz w:val="24"/>
          <w:highlight w:val="none"/>
        </w:rPr>
        <w:t>（4）一个节流装置上安装2个或以上变送器时, 取样孔的对数应与之相适应。</w:t>
      </w:r>
    </w:p>
    <w:p w14:paraId="51F44777">
      <w:pPr>
        <w:snapToGrid w:val="0"/>
        <w:spacing w:line="360" w:lineRule="auto"/>
        <w:ind w:left="-57" w:right="57" w:firstLine="480" w:firstLineChars="200"/>
        <w:rPr>
          <w:color w:val="auto"/>
          <w:sz w:val="24"/>
          <w:highlight w:val="none"/>
        </w:rPr>
      </w:pPr>
      <w:r>
        <w:rPr>
          <w:color w:val="auto"/>
          <w:sz w:val="24"/>
          <w:highlight w:val="none"/>
        </w:rPr>
        <w:t>（5）流量测量孔板、喷嘴和测点位置的安装应根据其所在管路的规范要求确定。</w:t>
      </w:r>
    </w:p>
    <w:p w14:paraId="3C2094B5">
      <w:pPr>
        <w:snapToGrid w:val="0"/>
        <w:spacing w:line="360" w:lineRule="auto"/>
        <w:ind w:left="-57" w:firstLine="480" w:firstLineChars="200"/>
        <w:rPr>
          <w:color w:val="auto"/>
          <w:sz w:val="24"/>
          <w:highlight w:val="none"/>
        </w:rPr>
      </w:pPr>
      <w:r>
        <w:rPr>
          <w:color w:val="auto"/>
          <w:sz w:val="24"/>
          <w:highlight w:val="none"/>
        </w:rPr>
        <w:t>（6）特殊悬浮物、含颗粒或含腐蚀的液体的流量测量使用电磁流量计，能同时提供瞬时流量和累积流量远传信号，精度不小于0.5%,防护等级IP67；测量腐蚀介质的电极材质应选用防腐材料；</w:t>
      </w:r>
      <w:r>
        <w:rPr>
          <w:rFonts w:hint="eastAsia"/>
          <w:color w:val="auto"/>
          <w:sz w:val="24"/>
          <w:highlight w:val="none"/>
          <w:lang w:eastAsia="zh-CN"/>
        </w:rPr>
        <w:t>投标方</w:t>
      </w:r>
      <w:r>
        <w:rPr>
          <w:color w:val="auto"/>
          <w:sz w:val="24"/>
          <w:highlight w:val="none"/>
        </w:rPr>
        <w:t>提供的电磁流量计应有市级以上计量单位出具的检定合格证以及检定报告。</w:t>
      </w:r>
    </w:p>
    <w:p w14:paraId="301ED2E9">
      <w:pPr>
        <w:snapToGrid w:val="0"/>
        <w:spacing w:line="360" w:lineRule="auto"/>
        <w:ind w:left="-57" w:firstLine="480" w:firstLineChars="200"/>
        <w:rPr>
          <w:color w:val="auto"/>
          <w:sz w:val="24"/>
          <w:highlight w:val="none"/>
        </w:rPr>
      </w:pPr>
      <w:r>
        <w:rPr>
          <w:color w:val="auto"/>
          <w:sz w:val="24"/>
          <w:highlight w:val="none"/>
        </w:rPr>
        <w:t>（7）为保证烟气量的测量精度，安装位置的直管段要求应满足HJ 75《固定污染源烟气（SO</w:t>
      </w:r>
      <w:r>
        <w:rPr>
          <w:color w:val="auto"/>
          <w:sz w:val="24"/>
          <w:highlight w:val="none"/>
          <w:vertAlign w:val="subscript"/>
        </w:rPr>
        <w:t>2</w:t>
      </w:r>
      <w:r>
        <w:rPr>
          <w:color w:val="auto"/>
          <w:sz w:val="24"/>
          <w:highlight w:val="none"/>
        </w:rPr>
        <w:t>、NO</w:t>
      </w:r>
      <w:r>
        <w:rPr>
          <w:color w:val="auto"/>
          <w:sz w:val="24"/>
          <w:highlight w:val="none"/>
          <w:vertAlign w:val="subscript"/>
        </w:rPr>
        <w:t>X</w:t>
      </w:r>
      <w:r>
        <w:rPr>
          <w:color w:val="auto"/>
          <w:sz w:val="24"/>
          <w:highlight w:val="none"/>
        </w:rPr>
        <w:t>、颗粒物）排放连续监测系统技术规范》和HJ 76《固定污染源烟气（SO</w:t>
      </w:r>
      <w:r>
        <w:rPr>
          <w:color w:val="auto"/>
          <w:sz w:val="24"/>
          <w:highlight w:val="none"/>
          <w:vertAlign w:val="subscript"/>
        </w:rPr>
        <w:t>2</w:t>
      </w:r>
      <w:r>
        <w:rPr>
          <w:color w:val="auto"/>
          <w:sz w:val="24"/>
          <w:highlight w:val="none"/>
        </w:rPr>
        <w:t>、NO</w:t>
      </w:r>
      <w:r>
        <w:rPr>
          <w:color w:val="auto"/>
          <w:sz w:val="24"/>
          <w:highlight w:val="none"/>
          <w:vertAlign w:val="subscript"/>
        </w:rPr>
        <w:t>X</w:t>
      </w:r>
      <w:r>
        <w:rPr>
          <w:color w:val="auto"/>
          <w:sz w:val="24"/>
          <w:highlight w:val="none"/>
        </w:rPr>
        <w:t>、颗粒物）排放连续监测系统技术要求及检测方法》相关条款中的要求。若直管段要求无法满足上述标准则应采用多点测量方式。</w:t>
      </w:r>
    </w:p>
    <w:p w14:paraId="29BFEB39">
      <w:pPr>
        <w:snapToGrid w:val="0"/>
        <w:spacing w:line="360" w:lineRule="auto"/>
        <w:ind w:left="-57" w:firstLine="480" w:firstLineChars="200"/>
        <w:rPr>
          <w:color w:val="auto"/>
          <w:sz w:val="24"/>
          <w:highlight w:val="none"/>
        </w:rPr>
      </w:pPr>
      <w:r>
        <w:rPr>
          <w:color w:val="auto"/>
          <w:sz w:val="24"/>
          <w:highlight w:val="none"/>
        </w:rPr>
        <w:t>（8）流量计（壳体）、工厂化预制管段要求按照锅炉部件实施制造过程监督检验。（《市场监管总局办公厅关于开展电站锅炉范围内管道隐患专项排查整治的通知（市监特函【2018】515号）》）</w:t>
      </w:r>
    </w:p>
    <w:p w14:paraId="03A4D71D">
      <w:pPr>
        <w:adjustRightInd w:val="0"/>
        <w:spacing w:line="360" w:lineRule="auto"/>
        <w:textAlignment w:val="baseline"/>
        <w:rPr>
          <w:color w:val="auto"/>
          <w:sz w:val="24"/>
          <w:highlight w:val="none"/>
        </w:rPr>
      </w:pPr>
      <w:r>
        <w:rPr>
          <w:color w:val="auto"/>
          <w:sz w:val="24"/>
          <w:highlight w:val="none"/>
        </w:rPr>
        <w:t>3.3.2.5物位测量</w:t>
      </w:r>
    </w:p>
    <w:p w14:paraId="4FC336BA">
      <w:pPr>
        <w:snapToGrid w:val="0"/>
        <w:spacing w:line="360" w:lineRule="auto"/>
        <w:ind w:firstLine="480" w:firstLineChars="200"/>
        <w:rPr>
          <w:color w:val="auto"/>
          <w:sz w:val="24"/>
          <w:highlight w:val="none"/>
        </w:rPr>
      </w:pPr>
      <w:r>
        <w:rPr>
          <w:color w:val="auto"/>
          <w:sz w:val="24"/>
          <w:highlight w:val="none"/>
        </w:rPr>
        <w:t>用于集中控制与监视用的水位、液位、料位信号，所采用的变送器应具有4～20mADC信号输出。</w:t>
      </w:r>
    </w:p>
    <w:p w14:paraId="584BC598">
      <w:pPr>
        <w:snapToGrid w:val="0"/>
        <w:spacing w:line="360" w:lineRule="auto"/>
        <w:ind w:left="-57" w:right="57" w:firstLine="480" w:firstLineChars="200"/>
        <w:rPr>
          <w:color w:val="auto"/>
          <w:sz w:val="24"/>
          <w:highlight w:val="none"/>
        </w:rPr>
      </w:pPr>
      <w:r>
        <w:rPr>
          <w:color w:val="auto"/>
          <w:sz w:val="24"/>
          <w:highlight w:val="none"/>
        </w:rPr>
        <w:t>就地水位测量不应采用玻璃管水位计，而应采用磁翻板水位计。</w:t>
      </w:r>
    </w:p>
    <w:p w14:paraId="673CBAC9">
      <w:pPr>
        <w:snapToGrid w:val="0"/>
        <w:spacing w:line="360" w:lineRule="auto"/>
        <w:ind w:left="-57" w:right="57" w:firstLine="480" w:firstLineChars="200"/>
        <w:rPr>
          <w:color w:val="auto"/>
          <w:sz w:val="24"/>
          <w:highlight w:val="none"/>
        </w:rPr>
      </w:pPr>
      <w:r>
        <w:rPr>
          <w:color w:val="auto"/>
          <w:sz w:val="24"/>
          <w:highlight w:val="none"/>
        </w:rPr>
        <w:t>筒仓内料（固体）位测量应采用带抛物线型固体雷达料位仪（就地带液晶显示），测量应不受温度，高粉尘影响，具有防尘罩或气体吹扫连接设计，量程满足要求。</w:t>
      </w:r>
    </w:p>
    <w:p w14:paraId="7B07B341">
      <w:pPr>
        <w:snapToGrid w:val="0"/>
        <w:spacing w:line="360" w:lineRule="auto"/>
        <w:ind w:firstLine="480" w:firstLineChars="200"/>
        <w:rPr>
          <w:color w:val="auto"/>
          <w:sz w:val="24"/>
          <w:highlight w:val="none"/>
        </w:rPr>
      </w:pPr>
      <w:r>
        <w:rPr>
          <w:color w:val="auto"/>
          <w:sz w:val="24"/>
          <w:highlight w:val="none"/>
        </w:rPr>
        <w:t>对于浆池及废水池的液位测量应使用超声波或雷达波液位计（带就地液晶显示），测量范围满足要求,波束角应满足安装要求，输出信号4~20mA DC，外壳防护等级IP67，并具有不小于13mm的螺纹电缆接口。</w:t>
      </w:r>
    </w:p>
    <w:p w14:paraId="7E7D1A98">
      <w:pPr>
        <w:snapToGrid w:val="0"/>
        <w:spacing w:line="360" w:lineRule="auto"/>
        <w:ind w:firstLine="480" w:firstLineChars="200"/>
        <w:rPr>
          <w:color w:val="auto"/>
          <w:sz w:val="24"/>
          <w:highlight w:val="none"/>
        </w:rPr>
      </w:pPr>
      <w:r>
        <w:rPr>
          <w:color w:val="auto"/>
          <w:sz w:val="24"/>
          <w:highlight w:val="none"/>
        </w:rPr>
        <w:t>对于有悬浮物介质的箱罐液位、料位测量，可根据悬浮物介质浓度、粘附性及凝结性程度适当选用超声波、雷达波液位计或法兰式液位变送器。</w:t>
      </w:r>
    </w:p>
    <w:p w14:paraId="3205F944">
      <w:pPr>
        <w:snapToGrid w:val="0"/>
        <w:spacing w:line="360" w:lineRule="auto"/>
        <w:ind w:firstLine="480" w:firstLineChars="200"/>
        <w:rPr>
          <w:color w:val="auto"/>
          <w:sz w:val="24"/>
          <w:highlight w:val="none"/>
        </w:rPr>
      </w:pPr>
      <w:r>
        <w:rPr>
          <w:color w:val="auto"/>
          <w:sz w:val="24"/>
          <w:highlight w:val="none"/>
        </w:rPr>
        <w:t>吸收塔液位配置3台法兰式液位变送器。每台变送器的安装应与浆液循环泵入口有一定的距离，每台变送器都应具有</w:t>
      </w:r>
      <w:r>
        <w:rPr>
          <w:rFonts w:hint="eastAsia"/>
          <w:color w:val="auto"/>
          <w:sz w:val="24"/>
          <w:highlight w:val="none"/>
          <w:lang w:val="en-US" w:eastAsia="zh-CN"/>
        </w:rPr>
        <w:t>手动</w:t>
      </w:r>
      <w:r>
        <w:rPr>
          <w:color w:val="auto"/>
          <w:sz w:val="24"/>
          <w:highlight w:val="none"/>
        </w:rPr>
        <w:t>反冲洗功能。</w:t>
      </w:r>
    </w:p>
    <w:p w14:paraId="1889BBC0">
      <w:pPr>
        <w:spacing w:line="360" w:lineRule="auto"/>
        <w:ind w:firstLine="480" w:firstLineChars="200"/>
        <w:rPr>
          <w:color w:val="auto"/>
          <w:sz w:val="24"/>
          <w:highlight w:val="none"/>
        </w:rPr>
      </w:pPr>
      <w:r>
        <w:rPr>
          <w:color w:val="auto"/>
          <w:sz w:val="24"/>
          <w:highlight w:val="none"/>
        </w:rPr>
        <w:t>液位计的连接法兰应根据测量工质是否具有腐蚀、挥发等特性来选择材质，同时要保证连接法兰的严密性。</w:t>
      </w:r>
    </w:p>
    <w:p w14:paraId="080384E6">
      <w:pPr>
        <w:adjustRightInd w:val="0"/>
        <w:spacing w:line="360" w:lineRule="auto"/>
        <w:textAlignment w:val="baseline"/>
        <w:rPr>
          <w:color w:val="auto"/>
          <w:sz w:val="24"/>
          <w:highlight w:val="none"/>
        </w:rPr>
      </w:pPr>
      <w:r>
        <w:rPr>
          <w:color w:val="auto"/>
          <w:sz w:val="24"/>
          <w:highlight w:val="none"/>
        </w:rPr>
        <w:t>3.3.2.6分析仪表</w:t>
      </w:r>
    </w:p>
    <w:p w14:paraId="56A9D2A6">
      <w:pPr>
        <w:snapToGrid w:val="0"/>
        <w:spacing w:line="360" w:lineRule="auto"/>
        <w:ind w:right="57" w:firstLine="480" w:firstLineChars="200"/>
        <w:rPr>
          <w:color w:val="auto"/>
          <w:sz w:val="24"/>
          <w:highlight w:val="none"/>
        </w:rPr>
      </w:pPr>
      <w:r>
        <w:rPr>
          <w:color w:val="auto"/>
          <w:sz w:val="24"/>
          <w:highlight w:val="none"/>
        </w:rPr>
        <w:t>取样管的材质和结构应充分考虑测量介质的压力、温度、腐蚀性。对于水的取样，为不锈钢材质，如果需要试样冷却器，其外壳应防锈、防化学腐蚀。</w:t>
      </w:r>
    </w:p>
    <w:p w14:paraId="615D7E97">
      <w:pPr>
        <w:adjustRightInd w:val="0"/>
        <w:spacing w:line="360" w:lineRule="auto"/>
        <w:ind w:firstLine="480" w:firstLineChars="200"/>
        <w:textAlignment w:val="baseline"/>
        <w:rPr>
          <w:color w:val="auto"/>
          <w:sz w:val="24"/>
          <w:highlight w:val="none"/>
        </w:rPr>
      </w:pPr>
      <w:r>
        <w:rPr>
          <w:color w:val="auto"/>
          <w:sz w:val="24"/>
          <w:highlight w:val="none"/>
        </w:rPr>
        <w:t>分析仪表宜成组布置，采用合适的防护措施防止腐蚀，每台分析仪表的二次表必须配置316L不锈钢拉丝板保护箱。</w:t>
      </w:r>
    </w:p>
    <w:p w14:paraId="58F8F8D1">
      <w:pPr>
        <w:snapToGrid w:val="0"/>
        <w:spacing w:line="360" w:lineRule="auto"/>
        <w:ind w:left="-57" w:right="57" w:firstLine="480" w:firstLineChars="200"/>
        <w:rPr>
          <w:color w:val="auto"/>
          <w:sz w:val="24"/>
          <w:highlight w:val="none"/>
        </w:rPr>
      </w:pPr>
      <w:r>
        <w:rPr>
          <w:color w:val="auto"/>
          <w:sz w:val="24"/>
          <w:highlight w:val="none"/>
        </w:rPr>
        <w:t>（1）pH值测量</w:t>
      </w:r>
    </w:p>
    <w:p w14:paraId="7083E583">
      <w:pPr>
        <w:snapToGrid w:val="0"/>
        <w:spacing w:line="360" w:lineRule="auto"/>
        <w:ind w:left="-57" w:right="57" w:firstLine="480" w:firstLineChars="200"/>
        <w:rPr>
          <w:color w:val="auto"/>
          <w:sz w:val="24"/>
          <w:highlight w:val="none"/>
        </w:rPr>
      </w:pPr>
      <w:r>
        <w:rPr>
          <w:color w:val="auto"/>
          <w:sz w:val="24"/>
          <w:highlight w:val="none"/>
        </w:rPr>
        <w:t>pH值测量仪精度范围不低于±0.1 pH。吸收塔浆液pH值的测量冗余配置，且应具有在线冲洗功能。</w:t>
      </w:r>
    </w:p>
    <w:p w14:paraId="3F29CF3B">
      <w:pPr>
        <w:snapToGrid w:val="0"/>
        <w:spacing w:line="360" w:lineRule="auto"/>
        <w:ind w:left="-57" w:right="57" w:firstLine="480" w:firstLineChars="200"/>
        <w:rPr>
          <w:color w:val="auto"/>
          <w:sz w:val="24"/>
          <w:highlight w:val="none"/>
        </w:rPr>
      </w:pPr>
      <w:r>
        <w:rPr>
          <w:color w:val="auto"/>
          <w:sz w:val="24"/>
          <w:highlight w:val="none"/>
        </w:rPr>
        <w:t>若工质压力和温度较低，则pH等的测量变送器可以直接安装在管道，变送器的防护等级至少为IP65。</w:t>
      </w:r>
    </w:p>
    <w:p w14:paraId="0C837674">
      <w:pPr>
        <w:snapToGrid w:val="0"/>
        <w:spacing w:line="360" w:lineRule="auto"/>
        <w:ind w:left="-57" w:right="57" w:firstLine="480" w:firstLineChars="200"/>
        <w:rPr>
          <w:color w:val="auto"/>
          <w:sz w:val="24"/>
          <w:highlight w:val="none"/>
        </w:rPr>
      </w:pPr>
      <w:r>
        <w:rPr>
          <w:color w:val="auto"/>
          <w:sz w:val="24"/>
          <w:highlight w:val="none"/>
        </w:rPr>
        <w:t>（2）烟气排放连续监测</w:t>
      </w:r>
    </w:p>
    <w:p w14:paraId="7FE2318A">
      <w:pPr>
        <w:snapToGrid w:val="0"/>
        <w:spacing w:line="360" w:lineRule="auto"/>
        <w:ind w:left="-57" w:right="57" w:firstLine="480" w:firstLineChars="200"/>
        <w:rPr>
          <w:color w:val="auto"/>
          <w:sz w:val="24"/>
          <w:highlight w:val="none"/>
        </w:rPr>
      </w:pPr>
      <w:r>
        <w:rPr>
          <w:color w:val="auto"/>
          <w:sz w:val="24"/>
          <w:highlight w:val="none"/>
        </w:rPr>
        <w:t>烟气脱硫原烟</w:t>
      </w:r>
      <w:r>
        <w:rPr>
          <w:rFonts w:hint="default"/>
          <w:color w:val="auto"/>
          <w:sz w:val="24"/>
          <w:highlight w:val="none"/>
          <w:lang w:val="en-US" w:eastAsia="zh-CN"/>
        </w:rPr>
        <w:t>道</w:t>
      </w:r>
      <w:r>
        <w:rPr>
          <w:color w:val="auto"/>
          <w:sz w:val="24"/>
          <w:highlight w:val="none"/>
        </w:rPr>
        <w:t>和净烟</w:t>
      </w:r>
      <w:r>
        <w:rPr>
          <w:rFonts w:hint="default"/>
          <w:color w:val="auto"/>
          <w:sz w:val="24"/>
          <w:highlight w:val="none"/>
          <w:lang w:val="en-US" w:eastAsia="zh-CN"/>
        </w:rPr>
        <w:t>道</w:t>
      </w:r>
      <w:r>
        <w:rPr>
          <w:color w:val="auto"/>
          <w:sz w:val="24"/>
          <w:highlight w:val="none"/>
        </w:rPr>
        <w:t>各设置一套CEMS的数据采集处理系统</w:t>
      </w:r>
      <w:r>
        <w:rPr>
          <w:rFonts w:hint="default"/>
          <w:color w:val="auto"/>
          <w:sz w:val="24"/>
          <w:highlight w:val="none"/>
          <w:lang w:eastAsia="zh-CN"/>
        </w:rPr>
        <w:t>。</w:t>
      </w:r>
      <w:r>
        <w:rPr>
          <w:rFonts w:hint="default"/>
          <w:color w:val="auto"/>
          <w:sz w:val="24"/>
          <w:highlight w:val="none"/>
          <w:lang w:val="en-US" w:eastAsia="zh-CN"/>
        </w:rPr>
        <w:t>原烟道烟气</w:t>
      </w:r>
      <w:r>
        <w:rPr>
          <w:color w:val="auto"/>
          <w:sz w:val="24"/>
          <w:highlight w:val="none"/>
        </w:rPr>
        <w:t>监测参数</w:t>
      </w:r>
      <w:r>
        <w:rPr>
          <w:rFonts w:hint="default"/>
          <w:color w:val="auto"/>
          <w:sz w:val="24"/>
          <w:highlight w:val="none"/>
          <w:lang w:val="en-US" w:eastAsia="zh-CN"/>
        </w:rPr>
        <w:t>SO</w:t>
      </w:r>
      <w:r>
        <w:rPr>
          <w:rFonts w:hint="default"/>
          <w:color w:val="auto"/>
          <w:sz w:val="24"/>
          <w:highlight w:val="none"/>
          <w:vertAlign w:val="baseline"/>
          <w:lang w:val="en-US" w:eastAsia="zh-CN"/>
        </w:rPr>
        <w:t>2、</w:t>
      </w:r>
      <w:r>
        <w:rPr>
          <w:rFonts w:hint="default"/>
          <w:color w:val="auto"/>
          <w:sz w:val="24"/>
          <w:highlight w:val="none"/>
          <w:lang w:val="en-US" w:eastAsia="zh-CN"/>
        </w:rPr>
        <w:t>烟尘、O</w:t>
      </w:r>
      <w:r>
        <w:rPr>
          <w:rFonts w:hint="default"/>
          <w:color w:val="auto"/>
          <w:sz w:val="24"/>
          <w:highlight w:val="none"/>
          <w:vertAlign w:val="baseline"/>
          <w:lang w:val="en-US" w:eastAsia="zh-CN"/>
        </w:rPr>
        <w:t>2等</w:t>
      </w:r>
      <w:r>
        <w:rPr>
          <w:rFonts w:hint="default"/>
          <w:color w:val="auto"/>
          <w:sz w:val="24"/>
          <w:highlight w:val="none"/>
          <w:lang w:val="en-US" w:eastAsia="zh-CN"/>
        </w:rPr>
        <w:t>，</w:t>
      </w:r>
      <w:r>
        <w:rPr>
          <w:color w:val="auto"/>
          <w:sz w:val="24"/>
          <w:highlight w:val="none"/>
        </w:rPr>
        <w:t>同时CEMS系统的各监测项目通过硬接线全部进入脱硫DCS进行监控与记录。</w:t>
      </w:r>
    </w:p>
    <w:p w14:paraId="723BD8DF">
      <w:pPr>
        <w:snapToGrid w:val="0"/>
        <w:spacing w:line="360" w:lineRule="auto"/>
        <w:ind w:left="-57" w:right="57" w:firstLine="480" w:firstLineChars="200"/>
        <w:rPr>
          <w:color w:val="auto"/>
          <w:sz w:val="24"/>
          <w:highlight w:val="none"/>
        </w:rPr>
      </w:pPr>
      <w:r>
        <w:rPr>
          <w:rFonts w:hint="default"/>
          <w:color w:val="auto"/>
          <w:sz w:val="24"/>
          <w:highlight w:val="none"/>
          <w:lang w:eastAsia="zh-CN"/>
        </w:rPr>
        <w:t>投标方</w:t>
      </w:r>
      <w:r>
        <w:rPr>
          <w:color w:val="auto"/>
          <w:sz w:val="24"/>
          <w:highlight w:val="none"/>
        </w:rPr>
        <w:t>提供的烟气分析系统应是技术先进、长期稳定运行的产品。烟气分析仪表应有制造计量器具CMC标志（进口设备应取得我国质量技术监督部门的计量器具型式批准证书）和产品铭牌，系统集成商应为国家环保部CEMS认证检测合格厂家。所有直接接触烟气或冷凝液的设备，当采用金属材料时，其材质不低于316L。所有接头、密封等相关配件应采用耐腐蚀材料。</w:t>
      </w:r>
    </w:p>
    <w:p w14:paraId="534B6CE7">
      <w:pPr>
        <w:snapToGrid w:val="0"/>
        <w:spacing w:line="360" w:lineRule="auto"/>
        <w:ind w:left="-57" w:right="57" w:firstLine="480" w:firstLineChars="200"/>
        <w:rPr>
          <w:color w:val="auto"/>
          <w:sz w:val="24"/>
          <w:highlight w:val="none"/>
        </w:rPr>
      </w:pPr>
      <w:r>
        <w:rPr>
          <w:color w:val="auto"/>
          <w:sz w:val="24"/>
          <w:highlight w:val="none"/>
        </w:rPr>
        <w:t>烟气连续监测系统监测参数至少包括如下内容：</w:t>
      </w:r>
    </w:p>
    <w:p w14:paraId="407CC851">
      <w:pPr>
        <w:snapToGrid w:val="0"/>
        <w:spacing w:line="360" w:lineRule="auto"/>
        <w:ind w:left="-57" w:right="57" w:firstLine="480" w:firstLineChars="200"/>
        <w:rPr>
          <w:color w:val="auto"/>
          <w:sz w:val="24"/>
          <w:highlight w:val="none"/>
        </w:rPr>
      </w:pPr>
      <w:r>
        <w:rPr>
          <w:color w:val="auto"/>
          <w:sz w:val="24"/>
          <w:highlight w:val="none"/>
        </w:rPr>
        <w:t>烟气脱硫原烟气侧监测参数为SO</w:t>
      </w:r>
      <w:r>
        <w:rPr>
          <w:color w:val="auto"/>
          <w:sz w:val="24"/>
          <w:highlight w:val="none"/>
          <w:vertAlign w:val="baseline"/>
        </w:rPr>
        <w:t>2</w:t>
      </w:r>
      <w:r>
        <w:rPr>
          <w:color w:val="auto"/>
          <w:sz w:val="24"/>
          <w:highlight w:val="none"/>
        </w:rPr>
        <w:t>、O</w:t>
      </w:r>
      <w:r>
        <w:rPr>
          <w:color w:val="auto"/>
          <w:sz w:val="24"/>
          <w:highlight w:val="none"/>
          <w:vertAlign w:val="baseline"/>
        </w:rPr>
        <w:t>2</w:t>
      </w:r>
      <w:r>
        <w:rPr>
          <w:color w:val="auto"/>
          <w:sz w:val="24"/>
          <w:highlight w:val="none"/>
        </w:rPr>
        <w:t>、压力、</w:t>
      </w:r>
      <w:r>
        <w:rPr>
          <w:rFonts w:hint="default"/>
          <w:color w:val="auto"/>
          <w:sz w:val="24"/>
          <w:highlight w:val="none"/>
          <w:lang w:val="en-US" w:eastAsia="zh-CN"/>
        </w:rPr>
        <w:t>流量、</w:t>
      </w:r>
      <w:r>
        <w:rPr>
          <w:color w:val="auto"/>
          <w:sz w:val="24"/>
          <w:highlight w:val="none"/>
        </w:rPr>
        <w:t>温度、烟尘等。</w:t>
      </w:r>
    </w:p>
    <w:p w14:paraId="70335495">
      <w:pPr>
        <w:snapToGrid w:val="0"/>
        <w:spacing w:line="360" w:lineRule="auto"/>
        <w:ind w:left="-57" w:right="57" w:firstLine="480" w:firstLineChars="200"/>
        <w:rPr>
          <w:color w:val="auto"/>
          <w:sz w:val="24"/>
          <w:highlight w:val="none"/>
        </w:rPr>
      </w:pPr>
      <w:r>
        <w:rPr>
          <w:color w:val="auto"/>
          <w:sz w:val="24"/>
          <w:highlight w:val="none"/>
        </w:rPr>
        <w:t>烟气脱硫净烟气侧监测参数为SO</w:t>
      </w:r>
      <w:r>
        <w:rPr>
          <w:color w:val="auto"/>
          <w:sz w:val="24"/>
          <w:highlight w:val="none"/>
          <w:vertAlign w:val="baseline"/>
        </w:rPr>
        <w:t>2</w:t>
      </w:r>
      <w:r>
        <w:rPr>
          <w:color w:val="auto"/>
          <w:sz w:val="24"/>
          <w:highlight w:val="none"/>
        </w:rPr>
        <w:t>、O</w:t>
      </w:r>
      <w:r>
        <w:rPr>
          <w:color w:val="auto"/>
          <w:sz w:val="24"/>
          <w:highlight w:val="none"/>
          <w:vertAlign w:val="baseline"/>
        </w:rPr>
        <w:t>2</w:t>
      </w:r>
      <w:r>
        <w:rPr>
          <w:color w:val="auto"/>
          <w:sz w:val="24"/>
          <w:highlight w:val="none"/>
        </w:rPr>
        <w:t>、压力、温度、烟尘等。</w:t>
      </w:r>
    </w:p>
    <w:p w14:paraId="4933E521">
      <w:pPr>
        <w:snapToGrid w:val="0"/>
        <w:spacing w:line="360" w:lineRule="auto"/>
        <w:ind w:left="-57" w:right="57" w:firstLine="480" w:firstLineChars="200"/>
        <w:rPr>
          <w:color w:val="auto"/>
          <w:sz w:val="24"/>
          <w:highlight w:val="none"/>
        </w:rPr>
      </w:pPr>
      <w:r>
        <w:rPr>
          <w:color w:val="auto"/>
          <w:sz w:val="24"/>
          <w:highlight w:val="none"/>
        </w:rPr>
        <w:t>烟气连续监测系统中SO</w:t>
      </w:r>
      <w:r>
        <w:rPr>
          <w:color w:val="auto"/>
          <w:sz w:val="24"/>
          <w:highlight w:val="none"/>
          <w:vertAlign w:val="subscript"/>
        </w:rPr>
        <w:t>2</w:t>
      </w:r>
      <w:r>
        <w:rPr>
          <w:color w:val="auto"/>
          <w:sz w:val="24"/>
          <w:highlight w:val="none"/>
        </w:rPr>
        <w:t>参数测量选用稀释法或直接加热抽取法，并配备预处理系统。系统应具有防堵反吹扫系统。当采用稀释法时零气系统应对厂用仪表风进一步除尘、除水、除油，必要时除去CO</w:t>
      </w:r>
      <w:r>
        <w:rPr>
          <w:color w:val="auto"/>
          <w:sz w:val="24"/>
          <w:highlight w:val="none"/>
          <w:vertAlign w:val="subscript"/>
        </w:rPr>
        <w:t>2</w:t>
      </w:r>
      <w:r>
        <w:rPr>
          <w:color w:val="auto"/>
          <w:sz w:val="24"/>
          <w:highlight w:val="none"/>
        </w:rPr>
        <w:t>和浓度过高的空气本底中的SO</w:t>
      </w:r>
      <w:r>
        <w:rPr>
          <w:color w:val="auto"/>
          <w:sz w:val="24"/>
          <w:highlight w:val="none"/>
          <w:vertAlign w:val="subscript"/>
        </w:rPr>
        <w:t>2</w:t>
      </w:r>
      <w:r>
        <w:rPr>
          <w:color w:val="auto"/>
          <w:sz w:val="24"/>
          <w:highlight w:val="none"/>
        </w:rPr>
        <w:t>。采样探头采用防腐蚀材质，系统故障或重要部件故障时向脱硫DCS系统发出报警信息。烟气分析仪须具备大小量程切换功能，以满足系统不同工况下的测量需求。</w:t>
      </w:r>
    </w:p>
    <w:p w14:paraId="17504BAA">
      <w:pPr>
        <w:snapToGrid w:val="0"/>
        <w:spacing w:line="360" w:lineRule="auto"/>
        <w:ind w:left="-57" w:right="57" w:firstLine="480" w:firstLineChars="200"/>
        <w:rPr>
          <w:color w:val="auto"/>
          <w:sz w:val="24"/>
          <w:highlight w:val="none"/>
        </w:rPr>
      </w:pPr>
      <w:r>
        <w:rPr>
          <w:color w:val="auto"/>
          <w:sz w:val="24"/>
          <w:highlight w:val="none"/>
        </w:rPr>
        <w:t>就地设置分析小屋</w:t>
      </w:r>
      <w:r>
        <w:rPr>
          <w:rFonts w:hint="eastAsia"/>
          <w:color w:val="auto"/>
          <w:sz w:val="24"/>
          <w:highlight w:val="none"/>
          <w:lang w:val="en-US" w:eastAsia="zh-CN"/>
        </w:rPr>
        <w:t>采用砖混结构，</w:t>
      </w:r>
      <w:r>
        <w:rPr>
          <w:color w:val="auto"/>
          <w:sz w:val="24"/>
          <w:highlight w:val="none"/>
        </w:rPr>
        <w:t>用于布置烟气连续监测系统设备，小屋面积应满足环保相关文件要求。分析小屋内设置不锈钢调试气瓶固定架，小屋的空间应满足现场调试以及放置调试气瓶的要求，设置空调（空调在外部电源重新上电时应能自动工作）以及排风扇。</w:t>
      </w:r>
    </w:p>
    <w:p w14:paraId="67392C44">
      <w:pPr>
        <w:snapToGrid w:val="0"/>
        <w:spacing w:line="360" w:lineRule="auto"/>
        <w:ind w:left="-57" w:right="57" w:firstLine="480" w:firstLineChars="200"/>
        <w:rPr>
          <w:color w:val="auto"/>
          <w:sz w:val="24"/>
          <w:highlight w:val="none"/>
        </w:rPr>
      </w:pPr>
      <w:r>
        <w:rPr>
          <w:color w:val="auto"/>
          <w:sz w:val="24"/>
          <w:highlight w:val="none"/>
        </w:rPr>
        <w:t>分析柜应装设温度检测开关，当温度过高时可向DCS系统输出报警信号，机柜内的端子排布置在易于安装接线的地方，即为离柜底300mm以上和距柜顶150mm以下，除了接线必须使用的端子排以外，还应留有端子总数15％的空端子排，以供现场可能的接线修改使用，柜内设备和接线端子标识清晰、完整。</w:t>
      </w:r>
    </w:p>
    <w:p w14:paraId="73123AAE">
      <w:pPr>
        <w:snapToGrid w:val="0"/>
        <w:spacing w:line="360" w:lineRule="auto"/>
        <w:ind w:left="-57" w:right="57" w:firstLine="480" w:firstLineChars="200"/>
        <w:rPr>
          <w:color w:val="auto"/>
          <w:sz w:val="24"/>
          <w:highlight w:val="none"/>
        </w:rPr>
      </w:pPr>
      <w:r>
        <w:rPr>
          <w:color w:val="auto"/>
          <w:sz w:val="24"/>
          <w:highlight w:val="none"/>
        </w:rPr>
        <w:t>烟尘仪测量采用激光散射原理，非对穿式测量方式，最小分辨率0.5mg/m</w:t>
      </w:r>
      <w:r>
        <w:rPr>
          <w:color w:val="auto"/>
          <w:sz w:val="24"/>
          <w:highlight w:val="none"/>
          <w:vertAlign w:val="superscript"/>
        </w:rPr>
        <w:t>3</w:t>
      </w:r>
      <w:r>
        <w:rPr>
          <w:color w:val="auto"/>
          <w:sz w:val="24"/>
          <w:highlight w:val="none"/>
        </w:rPr>
        <w:t>，具有自动校正功能，插入深度满足要求，防护等级至少IP65。</w:t>
      </w:r>
    </w:p>
    <w:p w14:paraId="667B2DA2">
      <w:pPr>
        <w:snapToGrid w:val="0"/>
        <w:spacing w:line="360" w:lineRule="auto"/>
        <w:ind w:left="-57" w:right="57" w:firstLine="480" w:firstLineChars="200"/>
        <w:rPr>
          <w:color w:val="auto"/>
          <w:sz w:val="24"/>
          <w:highlight w:val="none"/>
        </w:rPr>
      </w:pPr>
      <w:r>
        <w:rPr>
          <w:color w:val="auto"/>
          <w:sz w:val="24"/>
          <w:highlight w:val="none"/>
        </w:rPr>
        <w:t>烟气连续监测系统的各取样点除应满足技术要求外，应同时满足利于平时检修维护的位置，当不能满足时应设计、安装维修平台。</w:t>
      </w:r>
    </w:p>
    <w:p w14:paraId="046D9753">
      <w:pPr>
        <w:snapToGrid w:val="0"/>
        <w:spacing w:line="360" w:lineRule="auto"/>
        <w:ind w:left="-57" w:right="57" w:firstLine="480" w:firstLineChars="200"/>
        <w:rPr>
          <w:color w:val="auto"/>
          <w:sz w:val="24"/>
          <w:highlight w:val="none"/>
        </w:rPr>
      </w:pPr>
      <w:r>
        <w:rPr>
          <w:color w:val="auto"/>
          <w:sz w:val="24"/>
          <w:highlight w:val="none"/>
        </w:rPr>
        <w:t>烟气连续监测系统应满足《固定污染源烟气（SO</w:t>
      </w:r>
      <w:r>
        <w:rPr>
          <w:color w:val="auto"/>
          <w:sz w:val="24"/>
          <w:highlight w:val="none"/>
          <w:vertAlign w:val="subscript"/>
        </w:rPr>
        <w:t>2</w:t>
      </w:r>
      <w:r>
        <w:rPr>
          <w:color w:val="auto"/>
          <w:sz w:val="24"/>
          <w:highlight w:val="none"/>
        </w:rPr>
        <w:t>、NO</w:t>
      </w:r>
      <w:r>
        <w:rPr>
          <w:color w:val="auto"/>
          <w:sz w:val="24"/>
          <w:highlight w:val="none"/>
          <w:vertAlign w:val="subscript"/>
        </w:rPr>
        <w:t>X</w:t>
      </w:r>
      <w:r>
        <w:rPr>
          <w:color w:val="auto"/>
          <w:sz w:val="24"/>
          <w:highlight w:val="none"/>
        </w:rPr>
        <w:t>、颗粒物）排放连续监测技术规范》（HJ 75）、《固定污染源烟气（SO</w:t>
      </w:r>
      <w:r>
        <w:rPr>
          <w:color w:val="auto"/>
          <w:sz w:val="24"/>
          <w:highlight w:val="none"/>
          <w:vertAlign w:val="subscript"/>
        </w:rPr>
        <w:t>2</w:t>
      </w:r>
      <w:r>
        <w:rPr>
          <w:color w:val="auto"/>
          <w:sz w:val="24"/>
          <w:highlight w:val="none"/>
        </w:rPr>
        <w:t>、NO</w:t>
      </w:r>
      <w:r>
        <w:rPr>
          <w:color w:val="auto"/>
          <w:sz w:val="24"/>
          <w:highlight w:val="none"/>
          <w:vertAlign w:val="subscript"/>
        </w:rPr>
        <w:t>X</w:t>
      </w:r>
      <w:r>
        <w:rPr>
          <w:color w:val="auto"/>
          <w:sz w:val="24"/>
          <w:highlight w:val="none"/>
        </w:rPr>
        <w:t>、颗粒物）排放连续监测系统技术要求及检测方法》（HJ 76）的要求。同时的SO2精确度应满足脱硫率控制的要求。</w:t>
      </w:r>
    </w:p>
    <w:p w14:paraId="65C1DEC4">
      <w:pPr>
        <w:snapToGrid w:val="0"/>
        <w:spacing w:line="360" w:lineRule="auto"/>
        <w:ind w:left="-57" w:right="57" w:firstLine="480" w:firstLineChars="200"/>
        <w:rPr>
          <w:color w:val="auto"/>
          <w:sz w:val="24"/>
          <w:highlight w:val="none"/>
        </w:rPr>
      </w:pPr>
      <w:r>
        <w:rPr>
          <w:color w:val="auto"/>
          <w:sz w:val="24"/>
          <w:highlight w:val="none"/>
        </w:rPr>
        <w:t>烟囱总排口污染物排放自动监测数据标记系统在电厂原有自动监测数据标记系统内扩容改造。</w:t>
      </w:r>
    </w:p>
    <w:p w14:paraId="359386D1">
      <w:pPr>
        <w:adjustRightInd w:val="0"/>
        <w:spacing w:line="360" w:lineRule="auto"/>
        <w:textAlignment w:val="baseline"/>
        <w:rPr>
          <w:color w:val="auto"/>
          <w:sz w:val="24"/>
          <w:highlight w:val="none"/>
        </w:rPr>
      </w:pPr>
      <w:r>
        <w:rPr>
          <w:color w:val="auto"/>
          <w:sz w:val="24"/>
          <w:highlight w:val="none"/>
        </w:rPr>
        <w:t>3.3.2.7质量流量计(密度计)</w:t>
      </w:r>
    </w:p>
    <w:p w14:paraId="16676F7F">
      <w:pPr>
        <w:adjustRightInd w:val="0"/>
        <w:spacing w:line="360" w:lineRule="auto"/>
        <w:ind w:firstLine="360" w:firstLineChars="150"/>
        <w:textAlignment w:val="baseline"/>
        <w:rPr>
          <w:color w:val="auto"/>
          <w:sz w:val="24"/>
          <w:highlight w:val="none"/>
        </w:rPr>
      </w:pPr>
      <w:r>
        <w:rPr>
          <w:rFonts w:hint="eastAsia"/>
          <w:color w:val="auto"/>
          <w:sz w:val="24"/>
          <w:highlight w:val="none"/>
          <w:lang w:eastAsia="zh-CN"/>
        </w:rPr>
        <w:t>投标方</w:t>
      </w:r>
      <w:r>
        <w:rPr>
          <w:color w:val="auto"/>
          <w:sz w:val="24"/>
          <w:highlight w:val="none"/>
        </w:rPr>
        <w:t>所供的质量流量计(密度计)应为优质一体化产品，含固浆液采用直管型结构，适合户外安装，防护等级至少为IP65，含固浆液测量管内径不少于DN40，以防止介质堵塞、淤积或挂壁现象；并且进入质量流量计流速应得以控制，以提高仪表的测量准确性和减少对仪表测量管的磨损，测量管的壁厚以及整套仪表使用寿命至少不低于一个大修周期（8年）。</w:t>
      </w:r>
    </w:p>
    <w:p w14:paraId="73543631">
      <w:pPr>
        <w:spacing w:line="360" w:lineRule="auto"/>
        <w:ind w:firstLine="480" w:firstLineChars="200"/>
        <w:rPr>
          <w:color w:val="auto"/>
          <w:sz w:val="24"/>
          <w:highlight w:val="none"/>
        </w:rPr>
      </w:pPr>
      <w:r>
        <w:rPr>
          <w:color w:val="auto"/>
          <w:sz w:val="24"/>
          <w:highlight w:val="none"/>
        </w:rPr>
        <w:t>密度测量精度至少应达到±0.002g/cm</w:t>
      </w:r>
      <w:r>
        <w:rPr>
          <w:color w:val="auto"/>
          <w:sz w:val="24"/>
          <w:highlight w:val="none"/>
          <w:vertAlign w:val="superscript"/>
        </w:rPr>
        <w:t>3</w:t>
      </w:r>
      <w:r>
        <w:rPr>
          <w:color w:val="auto"/>
          <w:sz w:val="24"/>
          <w:highlight w:val="none"/>
        </w:rPr>
        <w:t>，仪表模拟量输出信号输出应为标准的4～20mA DC信号。过程连接采用法兰连接形式，含固浆液采用旁路管的安装方式，质量流量计前后直管段应满足测量要求。</w:t>
      </w:r>
    </w:p>
    <w:p w14:paraId="6164A7BF">
      <w:pPr>
        <w:spacing w:line="360" w:lineRule="auto"/>
        <w:ind w:firstLine="480" w:firstLineChars="200"/>
        <w:rPr>
          <w:color w:val="auto"/>
          <w:sz w:val="24"/>
          <w:highlight w:val="none"/>
        </w:rPr>
      </w:pPr>
      <w:r>
        <w:rPr>
          <w:color w:val="auto"/>
          <w:sz w:val="24"/>
          <w:highlight w:val="none"/>
        </w:rPr>
        <w:t>质量流量计(密度计)不得采用核辐射产品，应</w:t>
      </w:r>
      <w:r>
        <w:rPr>
          <w:rFonts w:hint="eastAsia"/>
          <w:color w:val="auto"/>
          <w:sz w:val="24"/>
          <w:highlight w:val="none"/>
        </w:rPr>
        <w:t>设计有冲洗回路，</w:t>
      </w:r>
      <w:r>
        <w:rPr>
          <w:color w:val="auto"/>
          <w:sz w:val="24"/>
          <w:highlight w:val="none"/>
        </w:rPr>
        <w:t>应具有在线或离线冲洗功能。</w:t>
      </w:r>
    </w:p>
    <w:p w14:paraId="7F5AD126">
      <w:pPr>
        <w:spacing w:line="360" w:lineRule="auto"/>
        <w:rPr>
          <w:color w:val="auto"/>
          <w:sz w:val="24"/>
          <w:highlight w:val="none"/>
        </w:rPr>
      </w:pPr>
      <w:r>
        <w:rPr>
          <w:color w:val="auto"/>
          <w:sz w:val="24"/>
          <w:highlight w:val="none"/>
        </w:rPr>
        <w:t>3.3.2.</w:t>
      </w:r>
      <w:r>
        <w:rPr>
          <w:rFonts w:hint="eastAsia"/>
          <w:color w:val="auto"/>
          <w:sz w:val="24"/>
          <w:highlight w:val="none"/>
          <w:lang w:val="en-US" w:eastAsia="zh-CN"/>
        </w:rPr>
        <w:t>8</w:t>
      </w:r>
      <w:r>
        <w:rPr>
          <w:color w:val="auto"/>
          <w:sz w:val="24"/>
          <w:highlight w:val="none"/>
        </w:rPr>
        <w:t>低压变频器防护等级IP54，每台变频器应设独立的变频柜，低压变频器柜内变频器进、出线应设置隔离开关，便于电机及电缆绝缘测试。</w:t>
      </w:r>
    </w:p>
    <w:p w14:paraId="665F083F">
      <w:pPr>
        <w:adjustRightInd w:val="0"/>
        <w:spacing w:line="360" w:lineRule="auto"/>
        <w:textAlignment w:val="baseline"/>
        <w:rPr>
          <w:color w:val="auto"/>
          <w:sz w:val="24"/>
          <w:highlight w:val="none"/>
        </w:rPr>
      </w:pPr>
      <w:r>
        <w:rPr>
          <w:color w:val="auto"/>
          <w:sz w:val="24"/>
          <w:highlight w:val="none"/>
        </w:rPr>
        <w:t>3.3.3执行机构</w:t>
      </w:r>
    </w:p>
    <w:p w14:paraId="04AE32A2">
      <w:pPr>
        <w:spacing w:line="360" w:lineRule="auto"/>
        <w:ind w:right="57"/>
        <w:rPr>
          <w:color w:val="auto"/>
          <w:sz w:val="24"/>
          <w:highlight w:val="none"/>
        </w:rPr>
      </w:pPr>
      <w:r>
        <w:rPr>
          <w:color w:val="auto"/>
          <w:sz w:val="24"/>
          <w:highlight w:val="none"/>
        </w:rPr>
        <w:t>3.3.3.1总的要求</w:t>
      </w:r>
    </w:p>
    <w:p w14:paraId="66DA64E1">
      <w:pPr>
        <w:adjustRightInd w:val="0"/>
        <w:snapToGrid w:val="0"/>
        <w:spacing w:line="360" w:lineRule="auto"/>
        <w:ind w:firstLine="480" w:firstLineChars="200"/>
        <w:jc w:val="left"/>
        <w:rPr>
          <w:color w:val="auto"/>
          <w:sz w:val="24"/>
          <w:highlight w:val="none"/>
        </w:rPr>
      </w:pPr>
      <w:r>
        <w:rPr>
          <w:color w:val="auto"/>
          <w:sz w:val="24"/>
          <w:highlight w:val="none"/>
        </w:rPr>
        <w:t>（1）所有执行机构的力矩、全行程时间、精度、回差等性能指标应能满足热态运行时工艺系统的要求和DL/T 641-2015电站阀门电动执行机构要求。</w:t>
      </w:r>
    </w:p>
    <w:p w14:paraId="6126D1E9">
      <w:pPr>
        <w:adjustRightInd w:val="0"/>
        <w:snapToGrid w:val="0"/>
        <w:spacing w:line="360" w:lineRule="auto"/>
        <w:ind w:firstLine="480" w:firstLineChars="200"/>
        <w:rPr>
          <w:color w:val="auto"/>
          <w:sz w:val="24"/>
          <w:highlight w:val="none"/>
        </w:rPr>
      </w:pPr>
      <w:r>
        <w:rPr>
          <w:color w:val="auto"/>
          <w:sz w:val="24"/>
          <w:highlight w:val="none"/>
        </w:rPr>
        <w:t>（2）电动执行机构的电动机额定持续工作负荷，至少比驱动阀门所要求的功率最大值高30%。</w:t>
      </w:r>
    </w:p>
    <w:p w14:paraId="48ED7C39">
      <w:pPr>
        <w:adjustRightInd w:val="0"/>
        <w:snapToGrid w:val="0"/>
        <w:spacing w:line="360" w:lineRule="auto"/>
        <w:ind w:firstLine="480" w:firstLineChars="200"/>
        <w:rPr>
          <w:color w:val="auto"/>
          <w:sz w:val="24"/>
          <w:highlight w:val="none"/>
        </w:rPr>
      </w:pPr>
      <w:r>
        <w:rPr>
          <w:color w:val="auto"/>
          <w:sz w:val="24"/>
          <w:highlight w:val="none"/>
        </w:rPr>
        <w:t>（3）执行机构的工作制为可逆断续工作制，当接通持续率为25％时，每小时接通次数一般为60次，但应允许接通次数达每小时600次。</w:t>
      </w:r>
    </w:p>
    <w:p w14:paraId="39C7277B">
      <w:pPr>
        <w:adjustRightInd w:val="0"/>
        <w:snapToGrid w:val="0"/>
        <w:spacing w:line="360" w:lineRule="auto"/>
        <w:ind w:firstLine="480" w:firstLineChars="200"/>
        <w:rPr>
          <w:color w:val="auto"/>
          <w:sz w:val="24"/>
          <w:highlight w:val="none"/>
        </w:rPr>
      </w:pPr>
      <w:r>
        <w:rPr>
          <w:color w:val="auto"/>
          <w:sz w:val="24"/>
          <w:highlight w:val="none"/>
        </w:rPr>
        <w:t>（4）执行机构的齿轮和驱动设备的设计安全系数至少为1.5。</w:t>
      </w:r>
    </w:p>
    <w:p w14:paraId="530A0AA5">
      <w:pPr>
        <w:adjustRightInd w:val="0"/>
        <w:snapToGrid w:val="0"/>
        <w:spacing w:line="360" w:lineRule="auto"/>
        <w:ind w:firstLine="480" w:firstLineChars="200"/>
        <w:rPr>
          <w:color w:val="auto"/>
          <w:sz w:val="24"/>
          <w:highlight w:val="none"/>
        </w:rPr>
      </w:pPr>
      <w:r>
        <w:rPr>
          <w:color w:val="auto"/>
          <w:sz w:val="24"/>
          <w:highlight w:val="none"/>
        </w:rPr>
        <w:t>（5）电动执行器应能满足其工作环境的温度、湿度等要求，其保护等级至少为IEC标准IP67，包括电动机和接线盒。</w:t>
      </w:r>
    </w:p>
    <w:p w14:paraId="5BC567DA">
      <w:pPr>
        <w:adjustRightInd w:val="0"/>
        <w:snapToGrid w:val="0"/>
        <w:spacing w:line="360" w:lineRule="auto"/>
        <w:ind w:firstLine="480" w:firstLineChars="200"/>
        <w:rPr>
          <w:color w:val="auto"/>
          <w:sz w:val="24"/>
          <w:highlight w:val="none"/>
        </w:rPr>
      </w:pPr>
      <w:r>
        <w:rPr>
          <w:color w:val="auto"/>
          <w:sz w:val="24"/>
          <w:highlight w:val="none"/>
        </w:rPr>
        <w:t>（6）电动执行器应能通过手轮，对执行机构实行就地手动操作。应在执行机构上安装就地位置指示仪。</w:t>
      </w:r>
    </w:p>
    <w:p w14:paraId="1C45152E">
      <w:pPr>
        <w:adjustRightInd w:val="0"/>
        <w:snapToGrid w:val="0"/>
        <w:spacing w:line="360" w:lineRule="auto"/>
        <w:ind w:firstLine="480" w:firstLineChars="200"/>
        <w:rPr>
          <w:color w:val="auto"/>
          <w:sz w:val="24"/>
          <w:highlight w:val="none"/>
        </w:rPr>
      </w:pPr>
      <w:r>
        <w:rPr>
          <w:color w:val="auto"/>
          <w:sz w:val="24"/>
          <w:highlight w:val="none"/>
        </w:rPr>
        <w:t>（7）所有的执行机构应带有接线端子或插座与电力电缆和控制电缆相连。这些插头将按照IEC309，或等同标准，制造完好。</w:t>
      </w:r>
    </w:p>
    <w:p w14:paraId="7BDA0BC1">
      <w:pPr>
        <w:adjustRightInd w:val="0"/>
        <w:snapToGrid w:val="0"/>
        <w:spacing w:line="360" w:lineRule="auto"/>
        <w:ind w:firstLine="480" w:firstLineChars="200"/>
        <w:rPr>
          <w:color w:val="auto"/>
          <w:sz w:val="24"/>
          <w:highlight w:val="none"/>
        </w:rPr>
      </w:pPr>
      <w:r>
        <w:rPr>
          <w:color w:val="auto"/>
          <w:sz w:val="24"/>
          <w:highlight w:val="none"/>
        </w:rPr>
        <w:t>（8）电动执行机构的齿轮设计应符合ISO5210标准，减速传动、承载能力系数（即服务系数）为：1.8~2.0，齿轮材料应具有很高的硬度和良好的耐磨性能，轴承材料的寿命应大于8万小时。</w:t>
      </w:r>
    </w:p>
    <w:p w14:paraId="3147A9E4">
      <w:pPr>
        <w:adjustRightInd w:val="0"/>
        <w:snapToGrid w:val="0"/>
        <w:spacing w:line="360" w:lineRule="auto"/>
        <w:ind w:firstLine="480" w:firstLineChars="200"/>
        <w:rPr>
          <w:color w:val="auto"/>
          <w:sz w:val="24"/>
          <w:highlight w:val="none"/>
        </w:rPr>
      </w:pPr>
      <w:r>
        <w:rPr>
          <w:color w:val="auto"/>
          <w:sz w:val="24"/>
          <w:highlight w:val="none"/>
        </w:rPr>
        <w:t>（9）驱动装置的齿轮箱应为全封闭油浴润滑型，手轮的启闭力最大应不超过110Nm，用于浆液管路的阀门电动执行机构应能保证阀门在阀门内有浆液沉积时正常启闭。</w:t>
      </w:r>
    </w:p>
    <w:p w14:paraId="05B336F3">
      <w:pPr>
        <w:adjustRightInd w:val="0"/>
        <w:snapToGrid w:val="0"/>
        <w:spacing w:line="360" w:lineRule="auto"/>
        <w:ind w:firstLine="480" w:firstLineChars="200"/>
        <w:rPr>
          <w:color w:val="auto"/>
          <w:sz w:val="24"/>
          <w:highlight w:val="none"/>
        </w:rPr>
      </w:pPr>
      <w:r>
        <w:rPr>
          <w:color w:val="auto"/>
          <w:sz w:val="24"/>
          <w:highlight w:val="none"/>
        </w:rPr>
        <w:t>（10）所有阀门均应提供装置的接线图和特性曲线。</w:t>
      </w:r>
    </w:p>
    <w:p w14:paraId="5D766F0A">
      <w:pPr>
        <w:spacing w:line="360" w:lineRule="auto"/>
        <w:ind w:right="57"/>
        <w:rPr>
          <w:color w:val="auto"/>
          <w:sz w:val="24"/>
          <w:highlight w:val="none"/>
        </w:rPr>
      </w:pPr>
      <w:r>
        <w:rPr>
          <w:color w:val="auto"/>
          <w:sz w:val="24"/>
          <w:highlight w:val="none"/>
        </w:rPr>
        <w:t>3.3.3.2 开关型电动执行机构</w:t>
      </w:r>
    </w:p>
    <w:p w14:paraId="358BD7A2">
      <w:pPr>
        <w:adjustRightInd w:val="0"/>
        <w:snapToGrid w:val="0"/>
        <w:spacing w:line="360" w:lineRule="auto"/>
        <w:ind w:firstLine="480" w:firstLineChars="200"/>
        <w:rPr>
          <w:color w:val="auto"/>
          <w:sz w:val="24"/>
          <w:highlight w:val="none"/>
        </w:rPr>
      </w:pPr>
      <w:r>
        <w:rPr>
          <w:color w:val="auto"/>
          <w:sz w:val="24"/>
          <w:highlight w:val="none"/>
        </w:rPr>
        <w:t>开关型电动阀门的电动装置采用智能型一体化产品，防护等级IP67，电动装置内装设有接触器、热继电器等配电设备，只需提供三相三线380VAC动力电源和开/关信号就可驱动阀门。所有阀门均提供装置的接线图和特性曲线。执行机构的工作制为可逆断续工作制，当接通持续率为25％时，每小时接通次数一般为60次，但应允许接通次数达每小时600次。</w:t>
      </w:r>
    </w:p>
    <w:p w14:paraId="2F7E18CE">
      <w:pPr>
        <w:widowControl/>
        <w:autoSpaceDE w:val="0"/>
        <w:autoSpaceDN w:val="0"/>
        <w:spacing w:line="360" w:lineRule="auto"/>
        <w:ind w:firstLine="480" w:firstLineChars="200"/>
        <w:textAlignment w:val="bottom"/>
        <w:rPr>
          <w:color w:val="auto"/>
          <w:sz w:val="24"/>
          <w:highlight w:val="none"/>
        </w:rPr>
      </w:pPr>
      <w:r>
        <w:rPr>
          <w:color w:val="auto"/>
          <w:sz w:val="24"/>
          <w:highlight w:val="none"/>
        </w:rPr>
        <w:t>全开全关位置应至少配有两开两闭接点输出的行程开关。所有开关型电动执行机构应至少提供全开、全关、就地/远方切换、故障报警等信号输出，输出信号为无源接点（AC220V 3A镀银接点）。</w:t>
      </w:r>
    </w:p>
    <w:p w14:paraId="16839670">
      <w:pPr>
        <w:spacing w:line="360" w:lineRule="auto"/>
        <w:ind w:right="57"/>
        <w:rPr>
          <w:color w:val="auto"/>
          <w:sz w:val="24"/>
          <w:highlight w:val="none"/>
        </w:rPr>
      </w:pPr>
      <w:r>
        <w:rPr>
          <w:color w:val="auto"/>
          <w:sz w:val="24"/>
          <w:highlight w:val="none"/>
        </w:rPr>
        <w:t>3.3.3.3调节型电动执行机构</w:t>
      </w:r>
    </w:p>
    <w:p w14:paraId="45BD4C7C">
      <w:pPr>
        <w:snapToGrid w:val="0"/>
        <w:spacing w:line="360" w:lineRule="auto"/>
        <w:ind w:left="-57" w:right="57" w:firstLine="480" w:firstLineChars="200"/>
        <w:rPr>
          <w:color w:val="auto"/>
          <w:sz w:val="24"/>
          <w:highlight w:val="none"/>
        </w:rPr>
      </w:pPr>
      <w:r>
        <w:rPr>
          <w:color w:val="auto"/>
          <w:sz w:val="24"/>
          <w:highlight w:val="none"/>
        </w:rPr>
        <w:t>调节型电动执行器应是智能一体化产品，电源等级三相三线380VAC，防护等级IP67，能接收4～20mA DC的控制信号控制信号，输出4～20mA DC的位置反馈信号，具有断信号保持的功能，并有开关量限位开关、故障报警输出信号，触点数量应满足系统设计需要。执行机构负载持续率10%-80%，每小时接通次数1200次。</w:t>
      </w:r>
    </w:p>
    <w:p w14:paraId="3EBDE5D2">
      <w:pPr>
        <w:adjustRightInd w:val="0"/>
        <w:snapToGrid w:val="0"/>
        <w:spacing w:line="360" w:lineRule="auto"/>
        <w:ind w:firstLine="480" w:firstLineChars="200"/>
        <w:rPr>
          <w:color w:val="auto"/>
          <w:sz w:val="24"/>
          <w:highlight w:val="none"/>
        </w:rPr>
      </w:pPr>
      <w:r>
        <w:rPr>
          <w:color w:val="auto"/>
          <w:sz w:val="24"/>
          <w:highlight w:val="none"/>
        </w:rPr>
        <w:t>执行机构负载持续率10%-80%，每小时接通次数1200次。且具有断信号保持的功能。并配有0～100%标度的就地位置指示器。</w:t>
      </w:r>
    </w:p>
    <w:p w14:paraId="15690E52">
      <w:pPr>
        <w:adjustRightInd w:val="0"/>
        <w:snapToGrid w:val="0"/>
        <w:spacing w:line="360" w:lineRule="auto"/>
        <w:ind w:firstLine="480" w:firstLineChars="200"/>
        <w:rPr>
          <w:color w:val="auto"/>
          <w:sz w:val="24"/>
          <w:highlight w:val="none"/>
        </w:rPr>
      </w:pPr>
      <w:r>
        <w:rPr>
          <w:color w:val="auto"/>
          <w:sz w:val="24"/>
          <w:highlight w:val="none"/>
        </w:rPr>
        <w:t>调节型电动执行机构基本误差：≤±1.0%，死区：0.5～3％可调。</w:t>
      </w:r>
    </w:p>
    <w:p w14:paraId="7BF35D9A">
      <w:pPr>
        <w:adjustRightInd w:val="0"/>
        <w:snapToGrid w:val="0"/>
        <w:spacing w:line="360" w:lineRule="auto"/>
        <w:ind w:firstLine="480" w:firstLineChars="200"/>
        <w:rPr>
          <w:color w:val="auto"/>
          <w:sz w:val="24"/>
          <w:highlight w:val="none"/>
        </w:rPr>
      </w:pPr>
      <w:r>
        <w:rPr>
          <w:color w:val="auto"/>
          <w:sz w:val="24"/>
          <w:highlight w:val="none"/>
        </w:rPr>
        <w:t>调节型电动执行机构还应配置智能定位器，智能定位器具有三断保护功能。</w:t>
      </w:r>
    </w:p>
    <w:p w14:paraId="51A6076D">
      <w:pPr>
        <w:adjustRightInd w:val="0"/>
        <w:snapToGrid w:val="0"/>
        <w:spacing w:line="360" w:lineRule="auto"/>
        <w:ind w:firstLine="480" w:firstLineChars="200"/>
        <w:rPr>
          <w:rFonts w:hint="eastAsia"/>
          <w:color w:val="auto"/>
          <w:sz w:val="24"/>
          <w:highlight w:val="none"/>
        </w:rPr>
      </w:pPr>
      <w:r>
        <w:rPr>
          <w:color w:val="auto"/>
          <w:sz w:val="24"/>
          <w:highlight w:val="none"/>
        </w:rPr>
        <w:t>调节型电动执行机构减速装置应与执行器集成，不得外置减速装置。</w:t>
      </w:r>
    </w:p>
    <w:p w14:paraId="76A63879">
      <w:pPr>
        <w:adjustRightInd w:val="0"/>
        <w:snapToGrid w:val="0"/>
        <w:spacing w:before="48" w:beforeLines="20" w:after="48" w:afterLines="20" w:line="360" w:lineRule="auto"/>
        <w:rPr>
          <w:color w:val="auto"/>
          <w:sz w:val="24"/>
          <w:highlight w:val="none"/>
        </w:rPr>
      </w:pPr>
      <w:r>
        <w:rPr>
          <w:color w:val="auto"/>
          <w:sz w:val="24"/>
          <w:highlight w:val="none"/>
        </w:rPr>
        <w:t>3.3.3.4</w:t>
      </w:r>
      <w:r>
        <w:rPr>
          <w:rFonts w:hint="eastAsia"/>
          <w:color w:val="auto"/>
          <w:sz w:val="24"/>
          <w:highlight w:val="none"/>
          <w:lang w:eastAsia="zh-CN"/>
        </w:rPr>
        <w:t>投标方</w:t>
      </w:r>
      <w:r>
        <w:rPr>
          <w:color w:val="auto"/>
          <w:sz w:val="24"/>
          <w:highlight w:val="none"/>
        </w:rPr>
        <w:t>提供的浆液循环泵进口阀所配的电动执行机构采用开关型电动执行机构；除上述外的其它开关型电动执行机构选用国产引进技术执行机构。</w:t>
      </w:r>
    </w:p>
    <w:p w14:paraId="03725B5C">
      <w:pPr>
        <w:adjustRightInd w:val="0"/>
        <w:snapToGrid w:val="0"/>
        <w:spacing w:line="360" w:lineRule="auto"/>
        <w:rPr>
          <w:color w:val="auto"/>
          <w:sz w:val="24"/>
          <w:highlight w:val="none"/>
        </w:rPr>
      </w:pPr>
      <w:r>
        <w:rPr>
          <w:color w:val="auto"/>
          <w:sz w:val="24"/>
          <w:highlight w:val="none"/>
        </w:rPr>
        <w:t>3.3.3.5当选用气动执行器时，将配位置开关（开关方向各一个SPDT），</w:t>
      </w:r>
      <w:r>
        <w:rPr>
          <w:rFonts w:hint="eastAsia"/>
          <w:color w:val="auto"/>
          <w:sz w:val="24"/>
          <w:highlight w:val="none"/>
        </w:rPr>
        <w:t>全金属外壳</w:t>
      </w:r>
      <w:r>
        <w:rPr>
          <w:color w:val="auto"/>
          <w:sz w:val="24"/>
          <w:highlight w:val="none"/>
        </w:rPr>
        <w:t>空气过滤减压阀，</w:t>
      </w:r>
      <w:r>
        <w:rPr>
          <w:color w:val="auto"/>
          <w:sz w:val="24"/>
          <w:highlight w:val="none"/>
          <w:lang w:val="zh-CN"/>
        </w:rPr>
        <w:t>压力表、</w:t>
      </w:r>
      <w:r>
        <w:rPr>
          <w:color w:val="auto"/>
          <w:sz w:val="24"/>
          <w:highlight w:val="none"/>
        </w:rPr>
        <w:t>电磁阀等附件，电磁阀为220VAC或24VDC供电。对于全开和全关之间要求保持中间位置的气动执行机构将配位置发送器，阀位开度信号应能输出，信号输出要求详见3.3.2.1 (3)。对于有故障保位要求的气动执行机构，将配置保位阀。对于调节型气动执行机构应配置智能定位器，智能定位器具有三断保护功能。</w:t>
      </w:r>
    </w:p>
    <w:p w14:paraId="7071421C">
      <w:pPr>
        <w:pStyle w:val="176"/>
        <w:adjustRightInd w:val="0"/>
        <w:snapToGrid w:val="0"/>
        <w:spacing w:before="62" w:beforeLines="20" w:after="62" w:afterLines="20" w:line="360" w:lineRule="auto"/>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3.3.4场景监视系统</w:t>
      </w:r>
    </w:p>
    <w:p w14:paraId="5A0C196B">
      <w:pPr>
        <w:pStyle w:val="176"/>
        <w:adjustRightInd w:val="0"/>
        <w:snapToGrid w:val="0"/>
        <w:spacing w:before="62" w:beforeLines="20" w:after="62" w:afterLines="20" w:line="360" w:lineRule="auto"/>
        <w:ind w:firstLine="480" w:firstLineChars="200"/>
        <w:rPr>
          <w:rStyle w:val="54"/>
          <w:rFonts w:ascii="Times New Roman" w:hAnsi="Times New Roman" w:eastAsia="宋体" w:cs="Times New Roman"/>
          <w:color w:val="auto"/>
          <w:sz w:val="24"/>
          <w:highlight w:val="none"/>
        </w:rPr>
      </w:pPr>
      <w:r>
        <w:rPr>
          <w:rStyle w:val="54"/>
          <w:rFonts w:ascii="Times New Roman" w:hAnsi="Times New Roman" w:eastAsia="宋体" w:cs="Times New Roman"/>
          <w:color w:val="auto"/>
          <w:sz w:val="24"/>
          <w:highlight w:val="none"/>
        </w:rPr>
        <w:t>为了便于对脱硫现场运行环境的监视，本工程相应区域应设置必要的场景监视点，并纳入到全厂场景监视系统中进行监视。</w:t>
      </w:r>
      <w:r>
        <w:rPr>
          <w:rStyle w:val="54"/>
          <w:rFonts w:hint="eastAsia" w:ascii="Times New Roman" w:hAnsi="Times New Roman" w:eastAsia="宋体" w:cs="Times New Roman"/>
          <w:color w:val="auto"/>
          <w:sz w:val="24"/>
          <w:highlight w:val="none"/>
        </w:rPr>
        <w:t>投标人</w:t>
      </w:r>
      <w:r>
        <w:rPr>
          <w:rStyle w:val="54"/>
          <w:rFonts w:ascii="Times New Roman" w:hAnsi="Times New Roman" w:eastAsia="宋体" w:cs="Times New Roman"/>
          <w:color w:val="auto"/>
          <w:sz w:val="24"/>
          <w:highlight w:val="none"/>
        </w:rPr>
        <w:t>应提供脱硫区域的场景监视点清单，场景监视点设置应满足运行人员在控制室内对生产现场的主要设备运行情况、安全情况和条件恶劣，巡检人员难以到达的场所进行监视的要求。</w:t>
      </w:r>
      <w:r>
        <w:rPr>
          <w:rStyle w:val="54"/>
          <w:rFonts w:ascii="Times New Roman" w:hAnsi="Times New Roman" w:eastAsia="宋体" w:cs="Times New Roman"/>
          <w:color w:val="auto"/>
          <w:sz w:val="24"/>
          <w:highlight w:val="none"/>
          <w:shd w:val="clear" w:color="auto" w:fill="FFFFFF"/>
        </w:rPr>
        <w:t>脱硫场景监视系统设备（含设备间内部联络电缆）由</w:t>
      </w:r>
      <w:r>
        <w:rPr>
          <w:rStyle w:val="54"/>
          <w:rFonts w:hint="eastAsia" w:ascii="Times New Roman" w:hAnsi="Times New Roman" w:eastAsia="宋体" w:cs="Times New Roman"/>
          <w:color w:val="auto"/>
          <w:sz w:val="24"/>
          <w:highlight w:val="none"/>
          <w:shd w:val="clear" w:color="auto" w:fill="FFFFFF"/>
        </w:rPr>
        <w:t>招标人</w:t>
      </w:r>
      <w:r>
        <w:rPr>
          <w:rStyle w:val="54"/>
          <w:rFonts w:ascii="Times New Roman" w:hAnsi="Times New Roman" w:eastAsia="宋体" w:cs="Times New Roman"/>
          <w:color w:val="auto"/>
          <w:sz w:val="24"/>
          <w:highlight w:val="none"/>
          <w:shd w:val="clear" w:color="auto" w:fill="FFFFFF"/>
        </w:rPr>
        <w:t>统一负责供货、安装、调试，</w:t>
      </w:r>
      <w:r>
        <w:rPr>
          <w:rStyle w:val="54"/>
          <w:rFonts w:hint="eastAsia" w:ascii="Times New Roman" w:hAnsi="Times New Roman" w:eastAsia="宋体" w:cs="Times New Roman"/>
          <w:color w:val="auto"/>
          <w:sz w:val="24"/>
          <w:highlight w:val="none"/>
          <w:shd w:val="clear" w:color="auto" w:fill="FFFFFF"/>
        </w:rPr>
        <w:t>投标人</w:t>
      </w:r>
      <w:r>
        <w:rPr>
          <w:rStyle w:val="54"/>
          <w:rFonts w:ascii="Times New Roman" w:hAnsi="Times New Roman" w:eastAsia="宋体" w:cs="Times New Roman"/>
          <w:color w:val="auto"/>
          <w:sz w:val="24"/>
          <w:highlight w:val="none"/>
          <w:shd w:val="clear" w:color="auto" w:fill="FFFFFF"/>
        </w:rPr>
        <w:t>配合</w:t>
      </w:r>
      <w:r>
        <w:rPr>
          <w:rStyle w:val="54"/>
          <w:rFonts w:hint="eastAsia" w:ascii="Times New Roman" w:hAnsi="Times New Roman" w:eastAsia="宋体" w:cs="Times New Roman"/>
          <w:color w:val="auto"/>
          <w:sz w:val="24"/>
          <w:highlight w:val="none"/>
          <w:shd w:val="clear" w:color="auto" w:fill="FFFFFF"/>
        </w:rPr>
        <w:t>设计并提供监视点配置清单</w:t>
      </w:r>
      <w:r>
        <w:rPr>
          <w:rStyle w:val="54"/>
          <w:rFonts w:ascii="Times New Roman" w:hAnsi="Times New Roman" w:eastAsia="宋体" w:cs="Times New Roman"/>
          <w:color w:val="auto"/>
          <w:sz w:val="24"/>
          <w:highlight w:val="none"/>
          <w:shd w:val="clear" w:color="auto" w:fill="FFFFFF"/>
        </w:rPr>
        <w:t>。</w:t>
      </w:r>
    </w:p>
    <w:p w14:paraId="70274246">
      <w:pPr>
        <w:pStyle w:val="176"/>
        <w:adjustRightInd w:val="0"/>
        <w:snapToGrid w:val="0"/>
        <w:spacing w:before="62" w:beforeLines="20" w:after="62" w:afterLines="20" w:line="360" w:lineRule="auto"/>
        <w:ind w:firstLine="480" w:firstLineChars="200"/>
        <w:rPr>
          <w:rStyle w:val="54"/>
          <w:rFonts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投标人在投标阶段提供</w:t>
      </w:r>
      <w:r>
        <w:rPr>
          <w:rStyle w:val="54"/>
          <w:rFonts w:ascii="Times New Roman" w:hAnsi="Times New Roman" w:eastAsia="宋体" w:cs="Times New Roman"/>
          <w:color w:val="auto"/>
          <w:sz w:val="24"/>
          <w:highlight w:val="none"/>
        </w:rPr>
        <w:t>场景监视系统监视点</w:t>
      </w:r>
      <w:r>
        <w:rPr>
          <w:rStyle w:val="54"/>
          <w:rFonts w:hint="eastAsia" w:ascii="Times New Roman" w:hAnsi="Times New Roman" w:eastAsia="宋体" w:cs="Times New Roman"/>
          <w:color w:val="auto"/>
          <w:sz w:val="24"/>
          <w:highlight w:val="none"/>
        </w:rPr>
        <w:t>初步</w:t>
      </w:r>
      <w:r>
        <w:rPr>
          <w:rStyle w:val="54"/>
          <w:rFonts w:ascii="Times New Roman" w:hAnsi="Times New Roman" w:eastAsia="宋体" w:cs="Times New Roman"/>
          <w:color w:val="auto"/>
          <w:sz w:val="24"/>
          <w:highlight w:val="none"/>
        </w:rPr>
        <w:t>配置清单：</w:t>
      </w:r>
    </w:p>
    <w:tbl>
      <w:tblPr>
        <w:tblStyle w:val="5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2853"/>
        <w:gridCol w:w="2000"/>
        <w:gridCol w:w="723"/>
        <w:gridCol w:w="997"/>
        <w:gridCol w:w="1274"/>
      </w:tblGrid>
      <w:tr w14:paraId="25454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14" w:type="dxa"/>
            <w:noWrap w:val="0"/>
            <w:vAlign w:val="center"/>
          </w:tcPr>
          <w:p w14:paraId="10996F4C">
            <w:pPr>
              <w:pStyle w:val="176"/>
              <w:keepNext w:val="0"/>
              <w:keepLines w:val="0"/>
              <w:suppressLineNumbers w:val="0"/>
              <w:tabs>
                <w:tab w:val="left" w:pos="288"/>
              </w:tabs>
              <w:snapToGrid w:val="0"/>
              <w:spacing w:before="0" w:beforeAutospacing="0" w:after="0" w:afterAutospacing="0"/>
              <w:ind w:left="0" w:right="57"/>
              <w:jc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sz w:val="24"/>
                <w:highlight w:val="none"/>
              </w:rPr>
              <w:t>序号</w:t>
            </w:r>
          </w:p>
        </w:tc>
        <w:tc>
          <w:tcPr>
            <w:tcW w:w="2853" w:type="dxa"/>
            <w:noWrap w:val="0"/>
            <w:vAlign w:val="center"/>
          </w:tcPr>
          <w:p w14:paraId="4FE4509C">
            <w:pPr>
              <w:pStyle w:val="176"/>
              <w:keepNext w:val="0"/>
              <w:keepLines w:val="0"/>
              <w:widowControl/>
              <w:suppressLineNumbers w:val="0"/>
              <w:tabs>
                <w:tab w:val="left" w:pos="288"/>
              </w:tabs>
              <w:overflowPunct w:val="0"/>
              <w:adjustRightInd w:val="0"/>
              <w:snapToGrid w:val="0"/>
              <w:spacing w:before="120" w:beforeAutospacing="0" w:after="0" w:afterAutospacing="0"/>
              <w:ind w:left="0" w:right="0"/>
              <w:jc w:val="center"/>
              <w:textAlignment w:val="bottom"/>
              <w:rPr>
                <w:rStyle w:val="54"/>
                <w:rFonts w:hint="default" w:ascii="Times New Roman" w:hAnsi="Times New Roman" w:eastAsia="宋体" w:cs="Times New Roman"/>
                <w:color w:val="auto"/>
                <w:kern w:val="0"/>
                <w:sz w:val="24"/>
                <w:highlight w:val="none"/>
              </w:rPr>
            </w:pPr>
            <w:r>
              <w:rPr>
                <w:rStyle w:val="54"/>
                <w:rFonts w:hint="default" w:ascii="Times New Roman" w:hAnsi="Times New Roman" w:eastAsia="宋体" w:cs="Times New Roman"/>
                <w:color w:val="auto"/>
                <w:kern w:val="0"/>
                <w:sz w:val="24"/>
                <w:highlight w:val="none"/>
              </w:rPr>
              <w:t>安装地点、监视目标</w:t>
            </w:r>
          </w:p>
        </w:tc>
        <w:tc>
          <w:tcPr>
            <w:tcW w:w="2000" w:type="dxa"/>
            <w:noWrap w:val="0"/>
            <w:vAlign w:val="center"/>
          </w:tcPr>
          <w:p w14:paraId="067E02A4">
            <w:pPr>
              <w:pStyle w:val="176"/>
              <w:keepNext w:val="0"/>
              <w:keepLines w:val="0"/>
              <w:widowControl/>
              <w:suppressLineNumbers w:val="0"/>
              <w:tabs>
                <w:tab w:val="left" w:pos="288"/>
              </w:tabs>
              <w:snapToGrid w:val="0"/>
              <w:spacing w:before="0" w:beforeAutospacing="0" w:after="0" w:afterAutospacing="0"/>
              <w:ind w:left="0" w:right="0"/>
              <w:jc w:val="center"/>
              <w:textAlignment w:val="bottom"/>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sz w:val="24"/>
                <w:highlight w:val="none"/>
              </w:rPr>
              <w:t>摄像机配置</w:t>
            </w:r>
          </w:p>
        </w:tc>
        <w:tc>
          <w:tcPr>
            <w:tcW w:w="723" w:type="dxa"/>
            <w:noWrap w:val="0"/>
            <w:vAlign w:val="center"/>
          </w:tcPr>
          <w:p w14:paraId="77FAF10E">
            <w:pPr>
              <w:pStyle w:val="176"/>
              <w:keepNext w:val="0"/>
              <w:keepLines w:val="0"/>
              <w:widowControl/>
              <w:suppressLineNumbers w:val="0"/>
              <w:tabs>
                <w:tab w:val="left" w:pos="288"/>
              </w:tabs>
              <w:snapToGrid w:val="0"/>
              <w:spacing w:before="0" w:beforeAutospacing="0" w:after="0" w:afterAutospacing="0"/>
              <w:ind w:left="0" w:right="0"/>
              <w:jc w:val="center"/>
              <w:textAlignment w:val="bottom"/>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sz w:val="24"/>
                <w:highlight w:val="none"/>
              </w:rPr>
              <w:t>数量(台)</w:t>
            </w:r>
          </w:p>
        </w:tc>
        <w:tc>
          <w:tcPr>
            <w:tcW w:w="997" w:type="dxa"/>
            <w:noWrap w:val="0"/>
            <w:vAlign w:val="center"/>
          </w:tcPr>
          <w:p w14:paraId="58BF164A">
            <w:pPr>
              <w:pStyle w:val="176"/>
              <w:keepNext w:val="0"/>
              <w:keepLines w:val="0"/>
              <w:widowControl/>
              <w:suppressLineNumbers w:val="0"/>
              <w:tabs>
                <w:tab w:val="left" w:pos="288"/>
              </w:tabs>
              <w:snapToGrid w:val="0"/>
              <w:spacing w:before="0" w:beforeAutospacing="0" w:after="0" w:afterAutospacing="0"/>
              <w:ind w:left="0" w:right="0"/>
              <w:jc w:val="center"/>
              <w:textAlignment w:val="bottom"/>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sz w:val="24"/>
                <w:highlight w:val="none"/>
              </w:rPr>
              <w:t>防护</w:t>
            </w:r>
          </w:p>
          <w:p w14:paraId="45E59A56">
            <w:pPr>
              <w:pStyle w:val="176"/>
              <w:keepNext w:val="0"/>
              <w:keepLines w:val="0"/>
              <w:widowControl/>
              <w:suppressLineNumbers w:val="0"/>
              <w:tabs>
                <w:tab w:val="left" w:pos="288"/>
              </w:tabs>
              <w:snapToGrid w:val="0"/>
              <w:spacing w:before="0" w:beforeAutospacing="0" w:after="0" w:afterAutospacing="0"/>
              <w:ind w:left="0" w:right="0"/>
              <w:jc w:val="center"/>
              <w:textAlignment w:val="bottom"/>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sz w:val="24"/>
                <w:highlight w:val="none"/>
              </w:rPr>
              <w:t>要求</w:t>
            </w:r>
          </w:p>
        </w:tc>
        <w:tc>
          <w:tcPr>
            <w:tcW w:w="1274" w:type="dxa"/>
            <w:noWrap w:val="0"/>
            <w:vAlign w:val="top"/>
          </w:tcPr>
          <w:p w14:paraId="1B6C7906">
            <w:pPr>
              <w:pStyle w:val="176"/>
              <w:keepNext w:val="0"/>
              <w:keepLines w:val="0"/>
              <w:widowControl/>
              <w:suppressLineNumbers w:val="0"/>
              <w:tabs>
                <w:tab w:val="left" w:pos="288"/>
              </w:tabs>
              <w:snapToGrid w:val="0"/>
              <w:spacing w:before="0" w:beforeAutospacing="0" w:after="0" w:afterAutospacing="0"/>
              <w:ind w:left="0" w:right="0"/>
              <w:jc w:val="center"/>
              <w:textAlignment w:val="bottom"/>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sz w:val="24"/>
                <w:highlight w:val="none"/>
              </w:rPr>
              <w:t>备注</w:t>
            </w:r>
          </w:p>
        </w:tc>
      </w:tr>
      <w:tr w14:paraId="4425C8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4" w:type="dxa"/>
            <w:noWrap w:val="0"/>
            <w:vAlign w:val="center"/>
          </w:tcPr>
          <w:p w14:paraId="73135E19">
            <w:pPr>
              <w:pStyle w:val="176"/>
              <w:keepNext w:val="0"/>
              <w:keepLines w:val="0"/>
              <w:widowControl/>
              <w:suppressLineNumbers w:val="0"/>
              <w:tabs>
                <w:tab w:val="left" w:pos="288"/>
              </w:tabs>
              <w:snapToGrid w:val="0"/>
              <w:spacing w:before="0" w:beforeAutospacing="0" w:after="0" w:afterAutospacing="0"/>
              <w:ind w:left="0" w:right="0"/>
              <w:jc w:val="center"/>
              <w:textAlignment w:val="bottom"/>
              <w:rPr>
                <w:rStyle w:val="54"/>
                <w:rFonts w:hint="default" w:ascii="Times New Roman" w:hAnsi="Times New Roman" w:eastAsia="宋体" w:cs="Times New Roman"/>
                <w:color w:val="auto"/>
                <w:sz w:val="24"/>
                <w:highlight w:val="none"/>
              </w:rPr>
            </w:pPr>
          </w:p>
        </w:tc>
        <w:tc>
          <w:tcPr>
            <w:tcW w:w="2853" w:type="dxa"/>
            <w:noWrap w:val="0"/>
            <w:vAlign w:val="center"/>
          </w:tcPr>
          <w:p w14:paraId="1035F9DF">
            <w:pPr>
              <w:pStyle w:val="176"/>
              <w:keepNext w:val="0"/>
              <w:keepLines w:val="0"/>
              <w:widowControl/>
              <w:suppressLineNumbers w:val="0"/>
              <w:tabs>
                <w:tab w:val="left" w:pos="288"/>
              </w:tabs>
              <w:overflowPunct w:val="0"/>
              <w:adjustRightInd w:val="0"/>
              <w:snapToGrid w:val="0"/>
              <w:spacing w:before="120" w:beforeAutospacing="0" w:after="0" w:afterAutospacing="0"/>
              <w:ind w:left="0" w:right="0"/>
              <w:jc w:val="center"/>
              <w:textAlignment w:val="bottom"/>
              <w:rPr>
                <w:rStyle w:val="54"/>
                <w:rFonts w:hint="default" w:ascii="Times New Roman" w:hAnsi="Times New Roman" w:eastAsia="宋体" w:cs="Times New Roman"/>
                <w:color w:val="auto"/>
                <w:kern w:val="0"/>
                <w:sz w:val="24"/>
                <w:highlight w:val="none"/>
              </w:rPr>
            </w:pPr>
          </w:p>
        </w:tc>
        <w:tc>
          <w:tcPr>
            <w:tcW w:w="2000" w:type="dxa"/>
            <w:noWrap w:val="0"/>
            <w:vAlign w:val="center"/>
          </w:tcPr>
          <w:p w14:paraId="60AE7DBD">
            <w:pPr>
              <w:pStyle w:val="176"/>
              <w:keepNext w:val="0"/>
              <w:keepLines w:val="0"/>
              <w:widowControl/>
              <w:suppressLineNumbers w:val="0"/>
              <w:tabs>
                <w:tab w:val="left" w:pos="288"/>
              </w:tabs>
              <w:spacing w:before="0" w:beforeAutospacing="0" w:after="0" w:afterAutospacing="0"/>
              <w:ind w:left="0" w:right="0"/>
              <w:contextualSpacing/>
              <w:jc w:val="center"/>
              <w:rPr>
                <w:rStyle w:val="54"/>
                <w:rFonts w:hint="default" w:ascii="Times New Roman" w:hAnsi="Times New Roman" w:eastAsia="宋体" w:cs="Times New Roman"/>
                <w:color w:val="auto"/>
                <w:sz w:val="24"/>
                <w:highlight w:val="none"/>
              </w:rPr>
            </w:pPr>
          </w:p>
        </w:tc>
        <w:tc>
          <w:tcPr>
            <w:tcW w:w="723" w:type="dxa"/>
            <w:noWrap w:val="0"/>
            <w:vAlign w:val="center"/>
          </w:tcPr>
          <w:p w14:paraId="36C6DB7E">
            <w:pPr>
              <w:pStyle w:val="176"/>
              <w:keepNext w:val="0"/>
              <w:keepLines w:val="0"/>
              <w:suppressLineNumbers w:val="0"/>
              <w:tabs>
                <w:tab w:val="left" w:pos="288"/>
              </w:tabs>
              <w:spacing w:before="0" w:beforeAutospacing="0" w:after="0" w:afterAutospacing="0"/>
              <w:ind w:left="0" w:right="0"/>
              <w:contextualSpacing/>
              <w:jc w:val="center"/>
              <w:rPr>
                <w:rStyle w:val="54"/>
                <w:rFonts w:hint="default" w:ascii="Times New Roman" w:hAnsi="Times New Roman" w:eastAsia="宋体" w:cs="Times New Roman"/>
                <w:color w:val="auto"/>
                <w:sz w:val="24"/>
                <w:highlight w:val="none"/>
              </w:rPr>
            </w:pPr>
          </w:p>
        </w:tc>
        <w:tc>
          <w:tcPr>
            <w:tcW w:w="997" w:type="dxa"/>
            <w:noWrap w:val="0"/>
            <w:vAlign w:val="center"/>
          </w:tcPr>
          <w:p w14:paraId="1961B577">
            <w:pPr>
              <w:pStyle w:val="176"/>
              <w:keepNext w:val="0"/>
              <w:keepLines w:val="0"/>
              <w:suppressLineNumbers w:val="0"/>
              <w:tabs>
                <w:tab w:val="left" w:pos="288"/>
              </w:tabs>
              <w:spacing w:before="0" w:beforeAutospacing="0" w:after="0" w:afterAutospacing="0"/>
              <w:ind w:left="0" w:right="0"/>
              <w:jc w:val="center"/>
              <w:rPr>
                <w:rStyle w:val="54"/>
                <w:rFonts w:hint="default" w:ascii="Times New Roman" w:hAnsi="Times New Roman" w:eastAsia="宋体" w:cs="Times New Roman"/>
                <w:color w:val="auto"/>
                <w:sz w:val="24"/>
                <w:highlight w:val="none"/>
              </w:rPr>
            </w:pPr>
          </w:p>
        </w:tc>
        <w:tc>
          <w:tcPr>
            <w:tcW w:w="1274" w:type="dxa"/>
            <w:noWrap w:val="0"/>
            <w:vAlign w:val="top"/>
          </w:tcPr>
          <w:p w14:paraId="149A281A">
            <w:pPr>
              <w:pStyle w:val="176"/>
              <w:keepNext w:val="0"/>
              <w:keepLines w:val="0"/>
              <w:widowControl/>
              <w:suppressLineNumbers w:val="0"/>
              <w:tabs>
                <w:tab w:val="left" w:pos="288"/>
              </w:tabs>
              <w:overflowPunct w:val="0"/>
              <w:adjustRightInd w:val="0"/>
              <w:snapToGrid w:val="0"/>
              <w:spacing w:before="120" w:beforeAutospacing="0" w:after="0" w:afterAutospacing="0"/>
              <w:ind w:left="0" w:right="0"/>
              <w:jc w:val="center"/>
              <w:textAlignment w:val="bottom"/>
              <w:rPr>
                <w:rStyle w:val="54"/>
                <w:rFonts w:hint="default" w:ascii="Times New Roman" w:hAnsi="Times New Roman" w:eastAsia="宋体" w:cs="Times New Roman"/>
                <w:color w:val="auto"/>
                <w:kern w:val="0"/>
                <w:sz w:val="24"/>
                <w:highlight w:val="none"/>
              </w:rPr>
            </w:pPr>
          </w:p>
        </w:tc>
      </w:tr>
      <w:tr w14:paraId="18098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4" w:type="dxa"/>
            <w:noWrap w:val="0"/>
            <w:vAlign w:val="center"/>
          </w:tcPr>
          <w:p w14:paraId="3F814A65">
            <w:pPr>
              <w:pStyle w:val="176"/>
              <w:keepNext w:val="0"/>
              <w:keepLines w:val="0"/>
              <w:widowControl/>
              <w:suppressLineNumbers w:val="0"/>
              <w:tabs>
                <w:tab w:val="left" w:pos="288"/>
              </w:tabs>
              <w:snapToGrid w:val="0"/>
              <w:spacing w:before="0" w:beforeAutospacing="0" w:after="0" w:afterAutospacing="0"/>
              <w:ind w:left="0" w:right="0"/>
              <w:jc w:val="center"/>
              <w:textAlignment w:val="bottom"/>
              <w:rPr>
                <w:rStyle w:val="54"/>
                <w:rFonts w:hint="default" w:ascii="Times New Roman" w:hAnsi="Times New Roman" w:eastAsia="宋体" w:cs="Times New Roman"/>
                <w:color w:val="auto"/>
                <w:sz w:val="24"/>
                <w:highlight w:val="none"/>
              </w:rPr>
            </w:pPr>
          </w:p>
        </w:tc>
        <w:tc>
          <w:tcPr>
            <w:tcW w:w="2853" w:type="dxa"/>
            <w:noWrap w:val="0"/>
            <w:vAlign w:val="center"/>
          </w:tcPr>
          <w:p w14:paraId="4C114E38">
            <w:pPr>
              <w:pStyle w:val="176"/>
              <w:keepNext w:val="0"/>
              <w:keepLines w:val="0"/>
              <w:widowControl/>
              <w:suppressLineNumbers w:val="0"/>
              <w:tabs>
                <w:tab w:val="left" w:pos="288"/>
              </w:tabs>
              <w:overflowPunct w:val="0"/>
              <w:adjustRightInd w:val="0"/>
              <w:snapToGrid w:val="0"/>
              <w:spacing w:before="120" w:beforeAutospacing="0" w:after="0" w:afterAutospacing="0"/>
              <w:ind w:left="0" w:right="0"/>
              <w:jc w:val="center"/>
              <w:textAlignment w:val="bottom"/>
              <w:rPr>
                <w:rStyle w:val="54"/>
                <w:rFonts w:hint="default" w:ascii="Times New Roman" w:hAnsi="Times New Roman" w:eastAsia="宋体" w:cs="Times New Roman"/>
                <w:color w:val="auto"/>
                <w:kern w:val="0"/>
                <w:sz w:val="24"/>
                <w:highlight w:val="none"/>
              </w:rPr>
            </w:pPr>
          </w:p>
        </w:tc>
        <w:tc>
          <w:tcPr>
            <w:tcW w:w="2000" w:type="dxa"/>
            <w:noWrap w:val="0"/>
            <w:vAlign w:val="center"/>
          </w:tcPr>
          <w:p w14:paraId="4DE02AFE">
            <w:pPr>
              <w:pStyle w:val="176"/>
              <w:keepNext w:val="0"/>
              <w:keepLines w:val="0"/>
              <w:widowControl/>
              <w:suppressLineNumbers w:val="0"/>
              <w:tabs>
                <w:tab w:val="left" w:pos="288"/>
              </w:tabs>
              <w:spacing w:before="0" w:beforeAutospacing="0" w:after="0" w:afterAutospacing="0"/>
              <w:ind w:left="0" w:right="0"/>
              <w:contextualSpacing/>
              <w:jc w:val="center"/>
              <w:rPr>
                <w:rStyle w:val="54"/>
                <w:rFonts w:hint="default" w:ascii="Times New Roman" w:hAnsi="Times New Roman" w:eastAsia="宋体" w:cs="Times New Roman"/>
                <w:color w:val="auto"/>
                <w:sz w:val="24"/>
                <w:highlight w:val="none"/>
              </w:rPr>
            </w:pPr>
          </w:p>
        </w:tc>
        <w:tc>
          <w:tcPr>
            <w:tcW w:w="723" w:type="dxa"/>
            <w:noWrap w:val="0"/>
            <w:vAlign w:val="center"/>
          </w:tcPr>
          <w:p w14:paraId="147B6E34">
            <w:pPr>
              <w:pStyle w:val="176"/>
              <w:keepNext w:val="0"/>
              <w:keepLines w:val="0"/>
              <w:suppressLineNumbers w:val="0"/>
              <w:tabs>
                <w:tab w:val="left" w:pos="288"/>
              </w:tabs>
              <w:spacing w:before="0" w:beforeAutospacing="0" w:after="0" w:afterAutospacing="0"/>
              <w:ind w:left="0" w:right="0"/>
              <w:contextualSpacing/>
              <w:jc w:val="center"/>
              <w:rPr>
                <w:rStyle w:val="54"/>
                <w:rFonts w:hint="default" w:ascii="Times New Roman" w:hAnsi="Times New Roman" w:eastAsia="宋体" w:cs="Times New Roman"/>
                <w:color w:val="auto"/>
                <w:sz w:val="24"/>
                <w:highlight w:val="none"/>
              </w:rPr>
            </w:pPr>
          </w:p>
        </w:tc>
        <w:tc>
          <w:tcPr>
            <w:tcW w:w="997" w:type="dxa"/>
            <w:noWrap w:val="0"/>
            <w:vAlign w:val="center"/>
          </w:tcPr>
          <w:p w14:paraId="6333E3E1">
            <w:pPr>
              <w:pStyle w:val="176"/>
              <w:keepNext w:val="0"/>
              <w:keepLines w:val="0"/>
              <w:suppressLineNumbers w:val="0"/>
              <w:tabs>
                <w:tab w:val="left" w:pos="288"/>
              </w:tabs>
              <w:spacing w:before="0" w:beforeAutospacing="0" w:after="0" w:afterAutospacing="0"/>
              <w:ind w:left="0" w:right="0"/>
              <w:jc w:val="center"/>
              <w:rPr>
                <w:rStyle w:val="54"/>
                <w:rFonts w:hint="default" w:ascii="Times New Roman" w:hAnsi="Times New Roman" w:eastAsia="宋体" w:cs="Times New Roman"/>
                <w:color w:val="auto"/>
                <w:sz w:val="24"/>
                <w:highlight w:val="none"/>
              </w:rPr>
            </w:pPr>
          </w:p>
        </w:tc>
        <w:tc>
          <w:tcPr>
            <w:tcW w:w="1274" w:type="dxa"/>
            <w:noWrap w:val="0"/>
            <w:vAlign w:val="top"/>
          </w:tcPr>
          <w:p w14:paraId="68B17E40">
            <w:pPr>
              <w:pStyle w:val="176"/>
              <w:keepNext w:val="0"/>
              <w:keepLines w:val="0"/>
              <w:widowControl/>
              <w:suppressLineNumbers w:val="0"/>
              <w:tabs>
                <w:tab w:val="left" w:pos="288"/>
              </w:tabs>
              <w:overflowPunct w:val="0"/>
              <w:adjustRightInd w:val="0"/>
              <w:snapToGrid w:val="0"/>
              <w:spacing w:before="120" w:beforeAutospacing="0" w:after="0" w:afterAutospacing="0"/>
              <w:ind w:left="0" w:right="0"/>
              <w:jc w:val="center"/>
              <w:textAlignment w:val="bottom"/>
              <w:rPr>
                <w:rStyle w:val="54"/>
                <w:rFonts w:hint="default" w:ascii="Times New Roman" w:hAnsi="Times New Roman" w:eastAsia="宋体" w:cs="Times New Roman"/>
                <w:color w:val="auto"/>
                <w:kern w:val="0"/>
                <w:sz w:val="24"/>
                <w:highlight w:val="none"/>
              </w:rPr>
            </w:pPr>
          </w:p>
        </w:tc>
      </w:tr>
      <w:tr w14:paraId="6A98FA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4" w:type="dxa"/>
            <w:noWrap w:val="0"/>
            <w:vAlign w:val="center"/>
          </w:tcPr>
          <w:p w14:paraId="5AE0B475">
            <w:pPr>
              <w:pStyle w:val="176"/>
              <w:keepNext w:val="0"/>
              <w:keepLines w:val="0"/>
              <w:widowControl/>
              <w:suppressLineNumbers w:val="0"/>
              <w:tabs>
                <w:tab w:val="left" w:pos="288"/>
              </w:tabs>
              <w:snapToGrid w:val="0"/>
              <w:spacing w:before="0" w:beforeAutospacing="0" w:after="0" w:afterAutospacing="0"/>
              <w:ind w:left="0" w:right="0"/>
              <w:jc w:val="center"/>
              <w:textAlignment w:val="bottom"/>
              <w:rPr>
                <w:rStyle w:val="54"/>
                <w:rFonts w:hint="default" w:ascii="Times New Roman" w:hAnsi="Times New Roman" w:eastAsia="宋体" w:cs="Times New Roman"/>
                <w:color w:val="auto"/>
                <w:sz w:val="24"/>
                <w:highlight w:val="none"/>
              </w:rPr>
            </w:pPr>
          </w:p>
        </w:tc>
        <w:tc>
          <w:tcPr>
            <w:tcW w:w="2853" w:type="dxa"/>
            <w:noWrap w:val="0"/>
            <w:vAlign w:val="center"/>
          </w:tcPr>
          <w:p w14:paraId="3CA277F0">
            <w:pPr>
              <w:pStyle w:val="176"/>
              <w:keepNext w:val="0"/>
              <w:keepLines w:val="0"/>
              <w:widowControl/>
              <w:suppressLineNumbers w:val="0"/>
              <w:tabs>
                <w:tab w:val="left" w:pos="288"/>
              </w:tabs>
              <w:overflowPunct w:val="0"/>
              <w:adjustRightInd w:val="0"/>
              <w:snapToGrid w:val="0"/>
              <w:spacing w:before="120" w:beforeAutospacing="0" w:after="0" w:afterAutospacing="0"/>
              <w:ind w:left="0" w:right="0"/>
              <w:jc w:val="center"/>
              <w:textAlignment w:val="bottom"/>
              <w:rPr>
                <w:rStyle w:val="54"/>
                <w:rFonts w:hint="default" w:ascii="Times New Roman" w:hAnsi="Times New Roman" w:eastAsia="宋体" w:cs="Times New Roman"/>
                <w:color w:val="auto"/>
                <w:kern w:val="0"/>
                <w:sz w:val="24"/>
                <w:highlight w:val="none"/>
              </w:rPr>
            </w:pPr>
          </w:p>
        </w:tc>
        <w:tc>
          <w:tcPr>
            <w:tcW w:w="2000" w:type="dxa"/>
            <w:noWrap w:val="0"/>
            <w:vAlign w:val="center"/>
          </w:tcPr>
          <w:p w14:paraId="693B4ACD">
            <w:pPr>
              <w:pStyle w:val="176"/>
              <w:keepNext w:val="0"/>
              <w:keepLines w:val="0"/>
              <w:suppressLineNumbers w:val="0"/>
              <w:tabs>
                <w:tab w:val="left" w:pos="288"/>
              </w:tabs>
              <w:spacing w:before="0" w:beforeAutospacing="0" w:after="0" w:afterAutospacing="0"/>
              <w:ind w:left="0" w:right="0"/>
              <w:contextualSpacing/>
              <w:jc w:val="center"/>
              <w:rPr>
                <w:rStyle w:val="54"/>
                <w:rFonts w:hint="default" w:ascii="Times New Roman" w:hAnsi="Times New Roman" w:eastAsia="宋体" w:cs="Times New Roman"/>
                <w:color w:val="auto"/>
                <w:sz w:val="24"/>
                <w:highlight w:val="none"/>
              </w:rPr>
            </w:pPr>
          </w:p>
        </w:tc>
        <w:tc>
          <w:tcPr>
            <w:tcW w:w="723" w:type="dxa"/>
            <w:noWrap w:val="0"/>
            <w:vAlign w:val="center"/>
          </w:tcPr>
          <w:p w14:paraId="7CE54105">
            <w:pPr>
              <w:pStyle w:val="176"/>
              <w:keepNext w:val="0"/>
              <w:keepLines w:val="0"/>
              <w:suppressLineNumbers w:val="0"/>
              <w:tabs>
                <w:tab w:val="left" w:pos="288"/>
              </w:tabs>
              <w:spacing w:before="0" w:beforeAutospacing="0" w:after="0" w:afterAutospacing="0"/>
              <w:ind w:left="0" w:right="0"/>
              <w:contextualSpacing/>
              <w:jc w:val="center"/>
              <w:rPr>
                <w:rStyle w:val="54"/>
                <w:rFonts w:hint="default" w:ascii="Times New Roman" w:hAnsi="Times New Roman" w:eastAsia="宋体" w:cs="Times New Roman"/>
                <w:color w:val="auto"/>
                <w:sz w:val="24"/>
                <w:highlight w:val="none"/>
              </w:rPr>
            </w:pPr>
          </w:p>
        </w:tc>
        <w:tc>
          <w:tcPr>
            <w:tcW w:w="997" w:type="dxa"/>
            <w:noWrap w:val="0"/>
            <w:vAlign w:val="center"/>
          </w:tcPr>
          <w:p w14:paraId="2DA801C6">
            <w:pPr>
              <w:pStyle w:val="176"/>
              <w:keepNext w:val="0"/>
              <w:keepLines w:val="0"/>
              <w:suppressLineNumbers w:val="0"/>
              <w:tabs>
                <w:tab w:val="left" w:pos="288"/>
              </w:tabs>
              <w:spacing w:before="0" w:beforeAutospacing="0" w:after="0" w:afterAutospacing="0"/>
              <w:ind w:left="0" w:right="0"/>
              <w:jc w:val="center"/>
              <w:rPr>
                <w:rStyle w:val="54"/>
                <w:rFonts w:hint="default" w:ascii="Times New Roman" w:hAnsi="Times New Roman" w:eastAsia="宋体" w:cs="Times New Roman"/>
                <w:color w:val="auto"/>
                <w:sz w:val="24"/>
                <w:highlight w:val="none"/>
              </w:rPr>
            </w:pPr>
          </w:p>
        </w:tc>
        <w:tc>
          <w:tcPr>
            <w:tcW w:w="1274" w:type="dxa"/>
            <w:noWrap w:val="0"/>
            <w:vAlign w:val="top"/>
          </w:tcPr>
          <w:p w14:paraId="1F490AF8">
            <w:pPr>
              <w:pStyle w:val="176"/>
              <w:keepNext w:val="0"/>
              <w:keepLines w:val="0"/>
              <w:widowControl/>
              <w:suppressLineNumbers w:val="0"/>
              <w:tabs>
                <w:tab w:val="left" w:pos="288"/>
              </w:tabs>
              <w:overflowPunct w:val="0"/>
              <w:adjustRightInd w:val="0"/>
              <w:snapToGrid w:val="0"/>
              <w:spacing w:before="120" w:beforeAutospacing="0" w:after="0" w:afterAutospacing="0"/>
              <w:ind w:left="0" w:right="0"/>
              <w:jc w:val="center"/>
              <w:textAlignment w:val="bottom"/>
              <w:rPr>
                <w:rStyle w:val="54"/>
                <w:rFonts w:hint="default" w:ascii="Times New Roman" w:hAnsi="Times New Roman" w:eastAsia="宋体" w:cs="Times New Roman"/>
                <w:color w:val="auto"/>
                <w:kern w:val="0"/>
                <w:sz w:val="24"/>
                <w:highlight w:val="none"/>
              </w:rPr>
            </w:pPr>
          </w:p>
        </w:tc>
      </w:tr>
      <w:tr w14:paraId="51A68D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14" w:type="dxa"/>
            <w:noWrap w:val="0"/>
            <w:vAlign w:val="center"/>
          </w:tcPr>
          <w:p w14:paraId="4BA314D0">
            <w:pPr>
              <w:pStyle w:val="176"/>
              <w:keepNext w:val="0"/>
              <w:keepLines w:val="0"/>
              <w:widowControl/>
              <w:suppressLineNumbers w:val="0"/>
              <w:tabs>
                <w:tab w:val="left" w:pos="288"/>
              </w:tabs>
              <w:snapToGrid w:val="0"/>
              <w:spacing w:before="0" w:beforeAutospacing="0" w:after="0" w:afterAutospacing="0"/>
              <w:ind w:left="0" w:right="0"/>
              <w:jc w:val="center"/>
              <w:textAlignment w:val="bottom"/>
              <w:rPr>
                <w:rStyle w:val="54"/>
                <w:rFonts w:hint="default" w:ascii="Times New Roman" w:hAnsi="Times New Roman" w:eastAsia="宋体" w:cs="Times New Roman"/>
                <w:color w:val="auto"/>
                <w:sz w:val="24"/>
                <w:highlight w:val="none"/>
              </w:rPr>
            </w:pPr>
          </w:p>
        </w:tc>
        <w:tc>
          <w:tcPr>
            <w:tcW w:w="2853" w:type="dxa"/>
            <w:noWrap w:val="0"/>
            <w:vAlign w:val="center"/>
          </w:tcPr>
          <w:p w14:paraId="07D6DD74">
            <w:pPr>
              <w:pStyle w:val="176"/>
              <w:keepNext w:val="0"/>
              <w:keepLines w:val="0"/>
              <w:widowControl/>
              <w:suppressLineNumbers w:val="0"/>
              <w:tabs>
                <w:tab w:val="left" w:pos="288"/>
              </w:tabs>
              <w:overflowPunct w:val="0"/>
              <w:adjustRightInd w:val="0"/>
              <w:snapToGrid w:val="0"/>
              <w:spacing w:before="120" w:beforeAutospacing="0" w:after="0" w:afterAutospacing="0"/>
              <w:ind w:left="0" w:right="0"/>
              <w:jc w:val="center"/>
              <w:textAlignment w:val="bottom"/>
              <w:rPr>
                <w:rStyle w:val="54"/>
                <w:rFonts w:hint="default" w:ascii="Times New Roman" w:hAnsi="Times New Roman" w:eastAsia="宋体" w:cs="Times New Roman"/>
                <w:color w:val="auto"/>
                <w:kern w:val="0"/>
                <w:sz w:val="24"/>
                <w:highlight w:val="none"/>
              </w:rPr>
            </w:pPr>
          </w:p>
        </w:tc>
        <w:tc>
          <w:tcPr>
            <w:tcW w:w="2000" w:type="dxa"/>
            <w:noWrap w:val="0"/>
            <w:vAlign w:val="center"/>
          </w:tcPr>
          <w:p w14:paraId="5F9A059D">
            <w:pPr>
              <w:pStyle w:val="176"/>
              <w:keepNext w:val="0"/>
              <w:keepLines w:val="0"/>
              <w:suppressLineNumbers w:val="0"/>
              <w:tabs>
                <w:tab w:val="left" w:pos="288"/>
              </w:tabs>
              <w:spacing w:before="0" w:beforeAutospacing="0" w:after="0" w:afterAutospacing="0"/>
              <w:ind w:left="0" w:right="0"/>
              <w:contextualSpacing/>
              <w:jc w:val="center"/>
              <w:rPr>
                <w:rStyle w:val="54"/>
                <w:rFonts w:hint="default" w:ascii="Times New Roman" w:hAnsi="Times New Roman" w:eastAsia="宋体" w:cs="Times New Roman"/>
                <w:color w:val="auto"/>
                <w:sz w:val="24"/>
                <w:highlight w:val="none"/>
              </w:rPr>
            </w:pPr>
          </w:p>
        </w:tc>
        <w:tc>
          <w:tcPr>
            <w:tcW w:w="723" w:type="dxa"/>
            <w:noWrap w:val="0"/>
            <w:vAlign w:val="center"/>
          </w:tcPr>
          <w:p w14:paraId="34AD48C8">
            <w:pPr>
              <w:pStyle w:val="176"/>
              <w:keepNext w:val="0"/>
              <w:keepLines w:val="0"/>
              <w:suppressLineNumbers w:val="0"/>
              <w:tabs>
                <w:tab w:val="left" w:pos="288"/>
              </w:tabs>
              <w:spacing w:before="0" w:beforeAutospacing="0" w:after="0" w:afterAutospacing="0"/>
              <w:ind w:left="0" w:right="0"/>
              <w:contextualSpacing/>
              <w:jc w:val="center"/>
              <w:rPr>
                <w:rStyle w:val="54"/>
                <w:rFonts w:hint="default" w:ascii="Times New Roman" w:hAnsi="Times New Roman" w:eastAsia="宋体" w:cs="Times New Roman"/>
                <w:color w:val="auto"/>
                <w:sz w:val="24"/>
                <w:highlight w:val="none"/>
              </w:rPr>
            </w:pPr>
          </w:p>
        </w:tc>
        <w:tc>
          <w:tcPr>
            <w:tcW w:w="997" w:type="dxa"/>
            <w:noWrap w:val="0"/>
            <w:vAlign w:val="center"/>
          </w:tcPr>
          <w:p w14:paraId="7AC71EC9">
            <w:pPr>
              <w:pStyle w:val="176"/>
              <w:keepNext w:val="0"/>
              <w:keepLines w:val="0"/>
              <w:suppressLineNumbers w:val="0"/>
              <w:tabs>
                <w:tab w:val="left" w:pos="288"/>
              </w:tabs>
              <w:spacing w:before="0" w:beforeAutospacing="0" w:after="0" w:afterAutospacing="0"/>
              <w:ind w:left="0" w:right="0"/>
              <w:jc w:val="center"/>
              <w:rPr>
                <w:rStyle w:val="54"/>
                <w:rFonts w:hint="default" w:ascii="Times New Roman" w:hAnsi="Times New Roman" w:eastAsia="宋体" w:cs="Times New Roman"/>
                <w:color w:val="auto"/>
                <w:sz w:val="24"/>
                <w:highlight w:val="none"/>
              </w:rPr>
            </w:pPr>
          </w:p>
        </w:tc>
        <w:tc>
          <w:tcPr>
            <w:tcW w:w="1274" w:type="dxa"/>
            <w:noWrap w:val="0"/>
            <w:vAlign w:val="top"/>
          </w:tcPr>
          <w:p w14:paraId="54540765">
            <w:pPr>
              <w:pStyle w:val="176"/>
              <w:keepNext w:val="0"/>
              <w:keepLines w:val="0"/>
              <w:widowControl/>
              <w:suppressLineNumbers w:val="0"/>
              <w:tabs>
                <w:tab w:val="left" w:pos="288"/>
              </w:tabs>
              <w:overflowPunct w:val="0"/>
              <w:adjustRightInd w:val="0"/>
              <w:snapToGrid w:val="0"/>
              <w:spacing w:before="120" w:beforeAutospacing="0" w:after="0" w:afterAutospacing="0"/>
              <w:ind w:left="0" w:right="0"/>
              <w:jc w:val="center"/>
              <w:textAlignment w:val="bottom"/>
              <w:rPr>
                <w:rStyle w:val="54"/>
                <w:rFonts w:hint="default" w:ascii="Times New Roman" w:hAnsi="Times New Roman" w:eastAsia="宋体" w:cs="Times New Roman"/>
                <w:color w:val="auto"/>
                <w:kern w:val="0"/>
                <w:sz w:val="24"/>
                <w:highlight w:val="none"/>
              </w:rPr>
            </w:pPr>
          </w:p>
        </w:tc>
      </w:tr>
    </w:tbl>
    <w:p w14:paraId="57E73E1A">
      <w:pPr>
        <w:adjustRightInd w:val="0"/>
        <w:snapToGrid w:val="0"/>
        <w:spacing w:line="360" w:lineRule="auto"/>
        <w:rPr>
          <w:color w:val="auto"/>
          <w:sz w:val="24"/>
          <w:highlight w:val="none"/>
        </w:rPr>
      </w:pPr>
    </w:p>
    <w:p w14:paraId="3B7212FA">
      <w:pPr>
        <w:adjustRightInd w:val="0"/>
        <w:snapToGrid w:val="0"/>
        <w:spacing w:before="48" w:beforeLines="20" w:after="48" w:afterLines="20" w:line="360" w:lineRule="auto"/>
        <w:rPr>
          <w:color w:val="auto"/>
          <w:sz w:val="24"/>
          <w:highlight w:val="none"/>
        </w:rPr>
      </w:pPr>
      <w:r>
        <w:rPr>
          <w:color w:val="auto"/>
          <w:sz w:val="24"/>
          <w:highlight w:val="none"/>
        </w:rPr>
        <w:t>3.3.</w:t>
      </w:r>
      <w:r>
        <w:rPr>
          <w:rFonts w:hint="eastAsia"/>
          <w:color w:val="auto"/>
          <w:sz w:val="24"/>
          <w:highlight w:val="none"/>
          <w:lang w:val="en-US" w:eastAsia="zh-CN"/>
        </w:rPr>
        <w:t>5</w:t>
      </w:r>
      <w:r>
        <w:rPr>
          <w:color w:val="auto"/>
          <w:sz w:val="24"/>
          <w:highlight w:val="none"/>
        </w:rPr>
        <w:t>电源</w:t>
      </w:r>
    </w:p>
    <w:p w14:paraId="14281724">
      <w:pPr>
        <w:adjustRightInd w:val="0"/>
        <w:snapToGrid w:val="0"/>
        <w:spacing w:before="48" w:beforeLines="20" w:after="48" w:afterLines="20"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配供的电源柜内电气元件将选用经过鉴定的优质产品，严禁使用已经淘汰的产品。将考虑二路进线电源自动切换功能。</w:t>
      </w:r>
    </w:p>
    <w:p w14:paraId="08D71105">
      <w:pPr>
        <w:adjustRightInd w:val="0"/>
        <w:snapToGrid w:val="0"/>
        <w:spacing w:before="48" w:beforeLines="20" w:after="48" w:afterLines="20" w:line="360" w:lineRule="auto"/>
        <w:ind w:firstLine="480" w:firstLineChars="200"/>
        <w:rPr>
          <w:color w:val="auto"/>
          <w:sz w:val="24"/>
          <w:highlight w:val="none"/>
        </w:rPr>
      </w:pPr>
      <w:r>
        <w:rPr>
          <w:color w:val="auto"/>
          <w:sz w:val="24"/>
          <w:highlight w:val="none"/>
        </w:rPr>
        <w:t>本工程设置380VAC/220VAC脱硫热控电源柜，该电源柜接取双路电源，并在柜内实现自动切换功能。上述电源柜用于脱硫岛内阀门等设备的供电。</w:t>
      </w:r>
    </w:p>
    <w:p w14:paraId="03016291">
      <w:pPr>
        <w:adjustRightInd w:val="0"/>
        <w:snapToGrid w:val="0"/>
        <w:spacing w:before="48" w:beforeLines="20" w:after="48" w:afterLines="20" w:line="360" w:lineRule="auto"/>
        <w:ind w:firstLine="480" w:firstLineChars="200"/>
        <w:rPr>
          <w:color w:val="auto"/>
          <w:sz w:val="24"/>
          <w:highlight w:val="none"/>
        </w:rPr>
      </w:pPr>
      <w:r>
        <w:rPr>
          <w:color w:val="auto"/>
          <w:sz w:val="24"/>
          <w:highlight w:val="none"/>
        </w:rPr>
        <w:t>本工程设置专用的220VAC仪表电源柜，该电源柜接取双路电源，并在柜内实现自动切换功能。仪表用电源柜向脱硫岛内就地仪表、重要的控制设备、专用装置提供可靠的电源。</w:t>
      </w:r>
    </w:p>
    <w:p w14:paraId="36DB4C50">
      <w:pPr>
        <w:adjustRightInd w:val="0"/>
        <w:snapToGrid w:val="0"/>
        <w:spacing w:before="48" w:beforeLines="20" w:after="48" w:afterLines="20" w:line="360" w:lineRule="auto"/>
        <w:ind w:firstLine="480" w:firstLineChars="200"/>
        <w:rPr>
          <w:color w:val="auto"/>
          <w:sz w:val="24"/>
          <w:highlight w:val="none"/>
        </w:rPr>
      </w:pPr>
      <w:r>
        <w:rPr>
          <w:color w:val="auto"/>
          <w:sz w:val="24"/>
          <w:highlight w:val="none"/>
        </w:rPr>
        <w:t>本工程脱硫DCS电源设置专用的220VAC电源柜，</w:t>
      </w:r>
      <w:r>
        <w:rPr>
          <w:color w:val="auto"/>
          <w:sz w:val="24"/>
          <w:highlight w:val="none"/>
        </w:rPr>
        <w:t>该电源柜接取双路电源。</w:t>
      </w:r>
      <w:r>
        <w:rPr>
          <w:color w:val="auto"/>
          <w:sz w:val="24"/>
          <w:highlight w:val="none"/>
        </w:rPr>
        <w:t>本工程内所有双路供电的设备、系统，其电源自动切换时间应小于50ms，且能保证设备、系统不因电源的切换而造成跳闸、重置、停运或其它故障的要求。</w:t>
      </w:r>
    </w:p>
    <w:p w14:paraId="5C4A8080">
      <w:pPr>
        <w:adjustRightInd w:val="0"/>
        <w:snapToGrid w:val="0"/>
        <w:spacing w:before="48" w:beforeLines="20" w:after="48" w:afterLines="20" w:line="360" w:lineRule="auto"/>
        <w:rPr>
          <w:color w:val="auto"/>
          <w:sz w:val="24"/>
          <w:highlight w:val="none"/>
        </w:rPr>
      </w:pPr>
      <w:r>
        <w:rPr>
          <w:color w:val="auto"/>
          <w:sz w:val="24"/>
          <w:highlight w:val="none"/>
        </w:rPr>
        <w:t>3.3.</w:t>
      </w:r>
      <w:r>
        <w:rPr>
          <w:rFonts w:hint="eastAsia"/>
          <w:color w:val="auto"/>
          <w:sz w:val="24"/>
          <w:highlight w:val="none"/>
          <w:lang w:val="en-US" w:eastAsia="zh-CN"/>
        </w:rPr>
        <w:t>6</w:t>
      </w:r>
      <w:r>
        <w:rPr>
          <w:color w:val="auto"/>
          <w:sz w:val="24"/>
          <w:highlight w:val="none"/>
        </w:rPr>
        <w:t>气源</w:t>
      </w:r>
    </w:p>
    <w:p w14:paraId="31EDE59B">
      <w:pPr>
        <w:adjustRightInd w:val="0"/>
        <w:snapToGrid w:val="0"/>
        <w:spacing w:before="48" w:beforeLines="20" w:after="48" w:afterLines="20" w:line="360" w:lineRule="auto"/>
        <w:ind w:firstLine="480" w:firstLineChars="200"/>
        <w:rPr>
          <w:color w:val="auto"/>
          <w:sz w:val="24"/>
          <w:highlight w:val="none"/>
        </w:rPr>
      </w:pPr>
      <w:r>
        <w:rPr>
          <w:color w:val="auto"/>
          <w:sz w:val="24"/>
          <w:highlight w:val="none"/>
        </w:rPr>
        <w:t>脱硫系统不设置专用的仪用压缩空气系统。少量的仪用气从</w:t>
      </w:r>
      <w:r>
        <w:rPr>
          <w:rFonts w:hint="eastAsia"/>
          <w:color w:val="auto"/>
          <w:sz w:val="24"/>
          <w:highlight w:val="none"/>
          <w:lang w:val="en-US" w:eastAsia="zh-CN"/>
        </w:rPr>
        <w:t>公用</w:t>
      </w:r>
      <w:r>
        <w:rPr>
          <w:color w:val="auto"/>
          <w:sz w:val="24"/>
          <w:highlight w:val="none"/>
        </w:rPr>
        <w:t>工程仪用压缩空气系统引接，</w:t>
      </w:r>
      <w:r>
        <w:rPr>
          <w:rFonts w:hint="eastAsia"/>
          <w:color w:val="auto"/>
          <w:sz w:val="24"/>
          <w:highlight w:val="none"/>
          <w:lang w:eastAsia="zh-CN"/>
        </w:rPr>
        <w:t>投标方</w:t>
      </w:r>
      <w:r>
        <w:rPr>
          <w:color w:val="auto"/>
          <w:sz w:val="24"/>
          <w:highlight w:val="none"/>
        </w:rPr>
        <w:t>在脱硫岛区域设置</w:t>
      </w:r>
      <w:r>
        <w:rPr>
          <w:rFonts w:hint="default"/>
          <w:color w:val="auto"/>
          <w:sz w:val="24"/>
          <w:highlight w:val="none"/>
          <w:lang w:val="en-US" w:eastAsia="zh-CN"/>
        </w:rPr>
        <w:t>一只1m</w:t>
      </w:r>
      <w:r>
        <w:rPr>
          <w:rFonts w:hint="default"/>
          <w:color w:val="auto"/>
          <w:sz w:val="24"/>
          <w:highlight w:val="none"/>
          <w:vertAlign w:val="baseline"/>
          <w:lang w:val="en-US" w:eastAsia="zh-CN"/>
        </w:rPr>
        <w:t>3</w:t>
      </w:r>
      <w:r>
        <w:rPr>
          <w:color w:val="auto"/>
          <w:sz w:val="24"/>
          <w:highlight w:val="none"/>
        </w:rPr>
        <w:t>储气罐。</w:t>
      </w:r>
    </w:p>
    <w:p w14:paraId="445E9E47">
      <w:pPr>
        <w:adjustRightInd w:val="0"/>
        <w:snapToGrid w:val="0"/>
        <w:spacing w:before="48" w:beforeLines="20" w:after="48" w:afterLines="20" w:line="360" w:lineRule="auto"/>
        <w:rPr>
          <w:color w:val="auto"/>
          <w:sz w:val="24"/>
          <w:highlight w:val="none"/>
        </w:rPr>
      </w:pPr>
      <w:r>
        <w:rPr>
          <w:color w:val="auto"/>
          <w:sz w:val="24"/>
          <w:highlight w:val="none"/>
        </w:rPr>
        <w:t>3.3.</w:t>
      </w:r>
      <w:r>
        <w:rPr>
          <w:rFonts w:hint="eastAsia"/>
          <w:color w:val="auto"/>
          <w:sz w:val="24"/>
          <w:highlight w:val="none"/>
          <w:lang w:val="en-US" w:eastAsia="zh-CN"/>
        </w:rPr>
        <w:t>7</w:t>
      </w:r>
      <w:r>
        <w:rPr>
          <w:color w:val="auto"/>
          <w:sz w:val="24"/>
          <w:highlight w:val="none"/>
        </w:rPr>
        <w:t xml:space="preserve"> 电缆</w:t>
      </w:r>
    </w:p>
    <w:p w14:paraId="3C0C16C8">
      <w:pPr>
        <w:adjustRightInd w:val="0"/>
        <w:snapToGrid w:val="0"/>
        <w:spacing w:before="48" w:beforeLines="20" w:after="48" w:afterLines="20" w:line="360" w:lineRule="auto"/>
        <w:ind w:firstLine="480" w:firstLineChars="200"/>
        <w:rPr>
          <w:color w:val="auto"/>
          <w:sz w:val="24"/>
          <w:highlight w:val="none"/>
        </w:rPr>
      </w:pPr>
      <w:r>
        <w:rPr>
          <w:color w:val="auto"/>
          <w:sz w:val="24"/>
          <w:highlight w:val="none"/>
        </w:rPr>
        <w:t>本脱硫工程</w:t>
      </w:r>
      <w:r>
        <w:rPr>
          <w:rFonts w:hint="default"/>
          <w:color w:val="auto"/>
          <w:sz w:val="24"/>
          <w:highlight w:val="none"/>
          <w:lang w:val="en-US" w:eastAsia="zh-CN"/>
        </w:rPr>
        <w:t>区域内投标范围内</w:t>
      </w:r>
      <w:r>
        <w:rPr>
          <w:color w:val="auto"/>
          <w:sz w:val="24"/>
          <w:highlight w:val="none"/>
        </w:rPr>
        <w:t>所有电缆及安装材料由</w:t>
      </w:r>
      <w:r>
        <w:rPr>
          <w:rFonts w:hint="eastAsia"/>
          <w:color w:val="auto"/>
          <w:sz w:val="24"/>
          <w:highlight w:val="none"/>
          <w:lang w:val="en-US" w:eastAsia="zh-CN"/>
        </w:rPr>
        <w:t>投</w:t>
      </w:r>
      <w:r>
        <w:rPr>
          <w:rFonts w:hint="eastAsia"/>
          <w:color w:val="auto"/>
          <w:sz w:val="24"/>
          <w:highlight w:val="none"/>
          <w:lang w:eastAsia="zh-CN"/>
        </w:rPr>
        <w:t>标方</w:t>
      </w:r>
      <w:r>
        <w:rPr>
          <w:color w:val="auto"/>
          <w:sz w:val="24"/>
          <w:highlight w:val="none"/>
        </w:rPr>
        <w:t>供货，热控设备的控制信号电缆采用屏蔽阻燃控制电缆，接入数字量信号电缆选用总屏控制电缆，截面应不小于1.5mm</w:t>
      </w:r>
      <w:r>
        <w:rPr>
          <w:color w:val="auto"/>
          <w:sz w:val="24"/>
          <w:highlight w:val="none"/>
          <w:vertAlign w:val="superscript"/>
        </w:rPr>
        <w:t>2</w:t>
      </w:r>
      <w:r>
        <w:rPr>
          <w:color w:val="auto"/>
          <w:sz w:val="24"/>
          <w:highlight w:val="none"/>
        </w:rPr>
        <w:t>；模拟量电缆选用分屏对绞计算机电缆，截面应不小于1.0mm</w:t>
      </w:r>
      <w:r>
        <w:rPr>
          <w:color w:val="auto"/>
          <w:sz w:val="24"/>
          <w:highlight w:val="none"/>
          <w:vertAlign w:val="superscript"/>
        </w:rPr>
        <w:t>2</w:t>
      </w:r>
      <w:r>
        <w:rPr>
          <w:color w:val="auto"/>
          <w:sz w:val="24"/>
          <w:highlight w:val="none"/>
        </w:rPr>
        <w:t>。重要控制和保护回路信号传输用的电缆截面应不小于1.5mm</w:t>
      </w:r>
      <w:r>
        <w:rPr>
          <w:color w:val="auto"/>
          <w:sz w:val="24"/>
          <w:highlight w:val="none"/>
          <w:vertAlign w:val="superscript"/>
        </w:rPr>
        <w:t>2</w:t>
      </w:r>
      <w:r>
        <w:rPr>
          <w:color w:val="auto"/>
          <w:sz w:val="24"/>
          <w:highlight w:val="none"/>
        </w:rPr>
        <w:t>。如果电缆走向经过高温区域，则控制电缆采用耐高温屏蔽控制电缆。</w:t>
      </w:r>
    </w:p>
    <w:bookmarkEnd w:id="75"/>
    <w:bookmarkEnd w:id="76"/>
    <w:bookmarkEnd w:id="77"/>
    <w:bookmarkEnd w:id="78"/>
    <w:p w14:paraId="248009A7">
      <w:pPr>
        <w:pStyle w:val="3"/>
        <w:spacing w:before="120" w:after="120"/>
        <w:rPr>
          <w:rFonts w:hint="default" w:ascii="Times New Roman" w:hAnsi="Times New Roman" w:eastAsia="宋体"/>
          <w:color w:val="auto"/>
          <w:sz w:val="28"/>
          <w:szCs w:val="28"/>
          <w:highlight w:val="none"/>
        </w:rPr>
      </w:pPr>
      <w:bookmarkStart w:id="79" w:name="_Toc54682806"/>
      <w:bookmarkStart w:id="80" w:name="_Toc15013"/>
      <w:bookmarkStart w:id="81" w:name="_Toc16348"/>
      <w:bookmarkStart w:id="82" w:name="_Toc32710"/>
      <w:bookmarkStart w:id="83" w:name="_Toc26575"/>
      <w:bookmarkStart w:id="84" w:name="_Toc482189945"/>
      <w:bookmarkStart w:id="85" w:name="_Toc14049"/>
      <w:bookmarkStart w:id="86" w:name="_Toc9214"/>
      <w:r>
        <w:rPr>
          <w:rFonts w:hint="default" w:ascii="Times New Roman" w:hAnsi="Times New Roman" w:eastAsia="宋体"/>
          <w:color w:val="auto"/>
          <w:sz w:val="28"/>
          <w:szCs w:val="28"/>
          <w:highlight w:val="none"/>
        </w:rPr>
        <w:t>4 电气部分</w:t>
      </w:r>
      <w:bookmarkEnd w:id="79"/>
      <w:bookmarkEnd w:id="80"/>
      <w:bookmarkEnd w:id="81"/>
      <w:bookmarkEnd w:id="82"/>
      <w:bookmarkEnd w:id="83"/>
      <w:bookmarkEnd w:id="84"/>
      <w:bookmarkEnd w:id="85"/>
      <w:bookmarkEnd w:id="86"/>
    </w:p>
    <w:p w14:paraId="1E0D9D9F">
      <w:pPr>
        <w:spacing w:line="360" w:lineRule="auto"/>
        <w:outlineLvl w:val="2"/>
        <w:rPr>
          <w:b/>
          <w:color w:val="auto"/>
          <w:sz w:val="24"/>
          <w:highlight w:val="none"/>
        </w:rPr>
      </w:pPr>
      <w:bookmarkStart w:id="87" w:name="_Hlt41295764"/>
      <w:bookmarkEnd w:id="87"/>
      <w:bookmarkStart w:id="88" w:name="_Hlt41295715"/>
      <w:bookmarkEnd w:id="88"/>
      <w:bookmarkStart w:id="89" w:name="_Hlt41295758"/>
      <w:bookmarkEnd w:id="89"/>
      <w:bookmarkStart w:id="90" w:name="_Toc482189946"/>
      <w:bookmarkStart w:id="91" w:name="_Toc41298040"/>
      <w:bookmarkStart w:id="92" w:name="_Toc482189950"/>
      <w:r>
        <w:rPr>
          <w:b/>
          <w:color w:val="auto"/>
          <w:sz w:val="24"/>
          <w:highlight w:val="none"/>
        </w:rPr>
        <w:t>4.1总述</w:t>
      </w:r>
      <w:bookmarkEnd w:id="90"/>
    </w:p>
    <w:p w14:paraId="3325FBEA">
      <w:pPr>
        <w:tabs>
          <w:tab w:val="left" w:pos="900"/>
        </w:tabs>
        <w:snapToGrid w:val="0"/>
        <w:spacing w:line="360" w:lineRule="auto"/>
        <w:ind w:right="57"/>
        <w:rPr>
          <w:color w:val="auto"/>
          <w:sz w:val="24"/>
          <w:highlight w:val="none"/>
        </w:rPr>
      </w:pPr>
      <w:r>
        <w:rPr>
          <w:color w:val="auto"/>
          <w:sz w:val="24"/>
          <w:highlight w:val="none"/>
        </w:rPr>
        <w:t>4.1.1</w:t>
      </w:r>
      <w:r>
        <w:rPr>
          <w:rFonts w:hint="eastAsia"/>
          <w:color w:val="auto"/>
          <w:sz w:val="24"/>
          <w:highlight w:val="none"/>
          <w:lang w:eastAsia="zh-CN"/>
        </w:rPr>
        <w:t>投标方</w:t>
      </w:r>
      <w:r>
        <w:rPr>
          <w:color w:val="auto"/>
          <w:sz w:val="24"/>
          <w:highlight w:val="none"/>
        </w:rPr>
        <w:t>应负责脱硫区内电气系统的系统设计、安装设计、部分设备供货工作。电气系统包括：供配电系统、电气控制与保护、</w:t>
      </w:r>
      <w:r>
        <w:rPr>
          <w:rFonts w:hint="eastAsia"/>
          <w:color w:val="auto"/>
          <w:sz w:val="24"/>
          <w:highlight w:val="none"/>
          <w:lang w:val="en-US" w:eastAsia="zh-CN"/>
        </w:rPr>
        <w:t>室外设备</w:t>
      </w:r>
      <w:r>
        <w:rPr>
          <w:color w:val="auto"/>
          <w:sz w:val="24"/>
          <w:highlight w:val="none"/>
        </w:rPr>
        <w:t>照明及检修系统、防雷接地系统</w:t>
      </w:r>
      <w:r>
        <w:rPr>
          <w:rFonts w:hint="eastAsia"/>
          <w:color w:val="auto"/>
          <w:sz w:val="24"/>
          <w:highlight w:val="none"/>
        </w:rPr>
        <w:t>、</w:t>
      </w:r>
      <w:r>
        <w:rPr>
          <w:color w:val="auto"/>
          <w:sz w:val="24"/>
          <w:highlight w:val="none"/>
        </w:rPr>
        <w:t>安全滑触线、火灾报警及通信系统、电缆和电缆构筑物等。</w:t>
      </w:r>
    </w:p>
    <w:p w14:paraId="1B675C7C">
      <w:pPr>
        <w:tabs>
          <w:tab w:val="left" w:pos="900"/>
        </w:tabs>
        <w:snapToGrid w:val="0"/>
        <w:spacing w:line="360" w:lineRule="auto"/>
        <w:ind w:right="57"/>
        <w:rPr>
          <w:color w:val="auto"/>
          <w:sz w:val="24"/>
          <w:highlight w:val="none"/>
        </w:rPr>
      </w:pPr>
      <w:r>
        <w:rPr>
          <w:color w:val="auto"/>
          <w:sz w:val="24"/>
          <w:highlight w:val="none"/>
        </w:rPr>
        <w:t xml:space="preserve">4.1.2 </w:t>
      </w:r>
      <w:r>
        <w:rPr>
          <w:rFonts w:hint="eastAsia"/>
          <w:color w:val="auto"/>
          <w:sz w:val="24"/>
          <w:highlight w:val="none"/>
          <w:lang w:eastAsia="zh-CN"/>
        </w:rPr>
        <w:t>投标方</w:t>
      </w:r>
      <w:r>
        <w:rPr>
          <w:color w:val="auto"/>
          <w:sz w:val="24"/>
          <w:highlight w:val="none"/>
        </w:rPr>
        <w:t>应遵循1.3条中相关IEC、GB、DL的标准，不限于此。</w:t>
      </w:r>
    </w:p>
    <w:p w14:paraId="56705EBA">
      <w:pPr>
        <w:tabs>
          <w:tab w:val="left" w:pos="900"/>
        </w:tabs>
        <w:snapToGrid w:val="0"/>
        <w:spacing w:line="360" w:lineRule="auto"/>
        <w:ind w:right="57"/>
        <w:rPr>
          <w:color w:val="auto"/>
          <w:sz w:val="24"/>
          <w:highlight w:val="none"/>
        </w:rPr>
      </w:pPr>
      <w:r>
        <w:rPr>
          <w:color w:val="auto"/>
          <w:sz w:val="24"/>
          <w:highlight w:val="none"/>
        </w:rPr>
        <w:t xml:space="preserve">4.1.3 </w:t>
      </w:r>
      <w:r>
        <w:rPr>
          <w:rFonts w:hint="eastAsia"/>
          <w:color w:val="auto"/>
          <w:sz w:val="24"/>
          <w:highlight w:val="none"/>
          <w:lang w:eastAsia="zh-CN"/>
        </w:rPr>
        <w:t>投标方</w:t>
      </w:r>
      <w:r>
        <w:rPr>
          <w:color w:val="auto"/>
          <w:sz w:val="24"/>
          <w:highlight w:val="none"/>
        </w:rPr>
        <w:t>应设计并提供完整的脱硫区内的协议要求的电气系统的电气设备。电气系统和电气设备的设计应基于如下全面的考虑：</w:t>
      </w:r>
    </w:p>
    <w:p w14:paraId="429ED361">
      <w:pPr>
        <w:spacing w:line="360" w:lineRule="auto"/>
        <w:rPr>
          <w:color w:val="auto"/>
          <w:sz w:val="24"/>
          <w:highlight w:val="none"/>
        </w:rPr>
      </w:pPr>
      <w:r>
        <w:rPr>
          <w:color w:val="auto"/>
          <w:sz w:val="24"/>
          <w:highlight w:val="none"/>
        </w:rPr>
        <w:t>4.1.3.1运行和检修人员的安全以及设备的安全。</w:t>
      </w:r>
    </w:p>
    <w:p w14:paraId="07994AB0">
      <w:pPr>
        <w:spacing w:line="360" w:lineRule="auto"/>
        <w:rPr>
          <w:color w:val="auto"/>
          <w:sz w:val="24"/>
          <w:highlight w:val="none"/>
        </w:rPr>
      </w:pPr>
      <w:r>
        <w:rPr>
          <w:color w:val="auto"/>
          <w:sz w:val="24"/>
          <w:highlight w:val="none"/>
        </w:rPr>
        <w:t>4.1.3.2可操作性和可靠性。</w:t>
      </w:r>
    </w:p>
    <w:p w14:paraId="7B3D256C">
      <w:pPr>
        <w:spacing w:line="360" w:lineRule="auto"/>
        <w:rPr>
          <w:color w:val="auto"/>
          <w:sz w:val="24"/>
          <w:highlight w:val="none"/>
        </w:rPr>
      </w:pPr>
      <w:r>
        <w:rPr>
          <w:color w:val="auto"/>
          <w:sz w:val="24"/>
          <w:highlight w:val="none"/>
        </w:rPr>
        <w:t>4.1.3.3易于运行和检修。主要部件（重部件）应能方便拆卸、复原和修理，同时应提供吊装和搬运时用的起吊钩、拉手和螺栓孔等。</w:t>
      </w:r>
    </w:p>
    <w:p w14:paraId="3E03C22E">
      <w:pPr>
        <w:spacing w:line="360" w:lineRule="auto"/>
        <w:rPr>
          <w:color w:val="auto"/>
          <w:sz w:val="24"/>
          <w:highlight w:val="none"/>
        </w:rPr>
      </w:pPr>
      <w:r>
        <w:rPr>
          <w:color w:val="auto"/>
          <w:sz w:val="24"/>
          <w:highlight w:val="none"/>
        </w:rPr>
        <w:t>4.1.3.4相同（或相同等级）的设备和部件的互换性。</w:t>
      </w:r>
    </w:p>
    <w:p w14:paraId="26417E4E">
      <w:pPr>
        <w:spacing w:line="360" w:lineRule="auto"/>
        <w:rPr>
          <w:color w:val="auto"/>
          <w:sz w:val="24"/>
          <w:highlight w:val="none"/>
        </w:rPr>
      </w:pPr>
      <w:r>
        <w:rPr>
          <w:color w:val="auto"/>
          <w:sz w:val="24"/>
          <w:highlight w:val="none"/>
        </w:rPr>
        <w:t>4.1.3.5系统内所有元件应恰当地配合。比如绝缘水平、开断能力、短路电流耐受能力、继电保护和机械强度等。</w:t>
      </w:r>
    </w:p>
    <w:p w14:paraId="54EB296F">
      <w:pPr>
        <w:spacing w:line="360" w:lineRule="auto"/>
        <w:rPr>
          <w:color w:val="auto"/>
          <w:sz w:val="24"/>
          <w:highlight w:val="none"/>
        </w:rPr>
      </w:pPr>
      <w:r>
        <w:rPr>
          <w:color w:val="auto"/>
          <w:sz w:val="24"/>
          <w:highlight w:val="none"/>
        </w:rPr>
        <w:t>4.1.3.6环境条件保护，如对腐蚀性气体和（或）蒸汽、机械震动、振动和水等的防护。</w:t>
      </w:r>
    </w:p>
    <w:p w14:paraId="158D9BA4">
      <w:pPr>
        <w:spacing w:line="360" w:lineRule="auto"/>
        <w:rPr>
          <w:color w:val="auto"/>
          <w:sz w:val="24"/>
          <w:highlight w:val="none"/>
        </w:rPr>
      </w:pPr>
      <w:r>
        <w:rPr>
          <w:color w:val="auto"/>
          <w:sz w:val="24"/>
          <w:highlight w:val="none"/>
        </w:rPr>
        <w:t>4.1.3.7油漆颜色和技术条件应由</w:t>
      </w:r>
      <w:r>
        <w:rPr>
          <w:rFonts w:hint="eastAsia"/>
          <w:color w:val="auto"/>
          <w:sz w:val="24"/>
          <w:highlight w:val="none"/>
          <w:lang w:eastAsia="zh-CN"/>
        </w:rPr>
        <w:t>招标方</w:t>
      </w:r>
      <w:r>
        <w:rPr>
          <w:color w:val="auto"/>
          <w:sz w:val="24"/>
          <w:highlight w:val="none"/>
        </w:rPr>
        <w:t>指定或确认。</w:t>
      </w:r>
    </w:p>
    <w:p w14:paraId="27E4D62E">
      <w:pPr>
        <w:spacing w:line="360" w:lineRule="auto"/>
        <w:rPr>
          <w:color w:val="auto"/>
          <w:sz w:val="24"/>
          <w:highlight w:val="none"/>
        </w:rPr>
      </w:pPr>
      <w:r>
        <w:rPr>
          <w:color w:val="auto"/>
          <w:sz w:val="24"/>
          <w:highlight w:val="none"/>
        </w:rPr>
        <w:t>4.1.3.8电气设备应在使用环境条件下，带额定负荷连续运行。</w:t>
      </w:r>
    </w:p>
    <w:p w14:paraId="3D7E883B">
      <w:pPr>
        <w:spacing w:line="360" w:lineRule="auto"/>
        <w:rPr>
          <w:color w:val="auto"/>
          <w:sz w:val="24"/>
          <w:highlight w:val="none"/>
        </w:rPr>
      </w:pPr>
      <w:r>
        <w:rPr>
          <w:color w:val="auto"/>
          <w:sz w:val="24"/>
          <w:highlight w:val="none"/>
        </w:rPr>
        <w:t>4.1.3.9电气设备和元件应具有2台（件）以上在同类工程条件下2年以上的运行经验。</w:t>
      </w:r>
    </w:p>
    <w:p w14:paraId="04440BFC">
      <w:pPr>
        <w:spacing w:line="360" w:lineRule="auto"/>
        <w:rPr>
          <w:color w:val="auto"/>
          <w:sz w:val="24"/>
          <w:highlight w:val="none"/>
        </w:rPr>
      </w:pPr>
      <w:r>
        <w:rPr>
          <w:color w:val="auto"/>
          <w:sz w:val="24"/>
          <w:highlight w:val="none"/>
        </w:rPr>
        <w:t>4.1.3.10电气设备的使用寿命为30年。</w:t>
      </w:r>
    </w:p>
    <w:p w14:paraId="368BC45B">
      <w:pPr>
        <w:spacing w:line="360" w:lineRule="auto"/>
        <w:rPr>
          <w:color w:val="auto"/>
          <w:sz w:val="24"/>
          <w:highlight w:val="none"/>
        </w:rPr>
      </w:pPr>
      <w:r>
        <w:rPr>
          <w:color w:val="auto"/>
          <w:sz w:val="24"/>
          <w:highlight w:val="none"/>
        </w:rPr>
        <w:t>4.1.4 所有经</w:t>
      </w:r>
      <w:r>
        <w:rPr>
          <w:rFonts w:hint="eastAsia"/>
          <w:color w:val="auto"/>
          <w:sz w:val="24"/>
          <w:highlight w:val="none"/>
          <w:lang w:eastAsia="zh-CN"/>
        </w:rPr>
        <w:t>招标方</w:t>
      </w:r>
      <w:r>
        <w:rPr>
          <w:color w:val="auto"/>
          <w:sz w:val="24"/>
          <w:highlight w:val="none"/>
        </w:rPr>
        <w:t>确认的资料</w:t>
      </w:r>
      <w:r>
        <w:rPr>
          <w:rFonts w:hint="eastAsia"/>
          <w:color w:val="auto"/>
          <w:sz w:val="24"/>
          <w:highlight w:val="none"/>
          <w:lang w:eastAsia="zh-CN"/>
        </w:rPr>
        <w:t>投标方</w:t>
      </w:r>
      <w:r>
        <w:rPr>
          <w:color w:val="auto"/>
          <w:sz w:val="24"/>
          <w:highlight w:val="none"/>
        </w:rPr>
        <w:t>不应免除其应负的责任。</w:t>
      </w:r>
    </w:p>
    <w:p w14:paraId="2B419A7D">
      <w:pPr>
        <w:spacing w:line="360" w:lineRule="auto"/>
        <w:outlineLvl w:val="2"/>
        <w:rPr>
          <w:b/>
          <w:color w:val="auto"/>
          <w:sz w:val="24"/>
          <w:highlight w:val="none"/>
        </w:rPr>
      </w:pPr>
      <w:r>
        <w:rPr>
          <w:b/>
          <w:color w:val="auto"/>
          <w:sz w:val="24"/>
          <w:highlight w:val="none"/>
        </w:rPr>
        <w:t>4.2 系统设计要求</w:t>
      </w:r>
    </w:p>
    <w:p w14:paraId="7C6746C9">
      <w:pPr>
        <w:tabs>
          <w:tab w:val="left" w:pos="6765"/>
        </w:tabs>
        <w:adjustRightInd w:val="0"/>
        <w:spacing w:line="360" w:lineRule="auto"/>
        <w:ind w:firstLine="480" w:firstLineChars="200"/>
        <w:textAlignment w:val="baseline"/>
        <w:rPr>
          <w:color w:val="auto"/>
          <w:sz w:val="24"/>
          <w:highlight w:val="none"/>
        </w:rPr>
      </w:pPr>
      <w:r>
        <w:rPr>
          <w:color w:val="auto"/>
          <w:sz w:val="24"/>
          <w:highlight w:val="none"/>
        </w:rPr>
        <w:t>本部分对脱硫区内电气系统进行描述并给出</w:t>
      </w:r>
      <w:r>
        <w:rPr>
          <w:rFonts w:hint="eastAsia"/>
          <w:color w:val="auto"/>
          <w:sz w:val="24"/>
          <w:highlight w:val="none"/>
          <w:lang w:eastAsia="zh-CN"/>
        </w:rPr>
        <w:t>投标方</w:t>
      </w:r>
      <w:r>
        <w:rPr>
          <w:color w:val="auto"/>
          <w:sz w:val="24"/>
          <w:highlight w:val="none"/>
        </w:rPr>
        <w:t>应负责的设计内容。</w:t>
      </w:r>
      <w:r>
        <w:rPr>
          <w:color w:val="auto"/>
          <w:sz w:val="24"/>
          <w:highlight w:val="none"/>
        </w:rPr>
        <w:tab/>
      </w:r>
    </w:p>
    <w:p w14:paraId="0B68AF0C">
      <w:pPr>
        <w:spacing w:line="360" w:lineRule="auto"/>
        <w:rPr>
          <w:color w:val="auto"/>
          <w:sz w:val="24"/>
          <w:highlight w:val="none"/>
        </w:rPr>
      </w:pPr>
      <w:r>
        <w:rPr>
          <w:color w:val="auto"/>
          <w:sz w:val="24"/>
          <w:highlight w:val="none"/>
        </w:rPr>
        <w:t>4.2.1供配电系统</w:t>
      </w:r>
    </w:p>
    <w:p w14:paraId="117E3F9B">
      <w:pPr>
        <w:snapToGrid w:val="0"/>
        <w:spacing w:line="360" w:lineRule="auto"/>
        <w:ind w:right="-59" w:rightChars="-28"/>
        <w:rPr>
          <w:color w:val="auto"/>
          <w:sz w:val="24"/>
          <w:highlight w:val="none"/>
        </w:rPr>
      </w:pPr>
      <w:r>
        <w:rPr>
          <w:color w:val="auto"/>
          <w:sz w:val="24"/>
          <w:highlight w:val="none"/>
        </w:rPr>
        <w:t>4.2.1.1 电气主接线</w:t>
      </w:r>
    </w:p>
    <w:p w14:paraId="1E66CE48">
      <w:pPr>
        <w:adjustRightInd w:val="0"/>
        <w:snapToGrid w:val="0"/>
        <w:spacing w:line="360" w:lineRule="auto"/>
        <w:ind w:firstLine="480"/>
        <w:jc w:val="left"/>
        <w:textAlignment w:val="baseline"/>
        <w:rPr>
          <w:color w:val="auto"/>
          <w:kern w:val="0"/>
          <w:sz w:val="24"/>
          <w:highlight w:val="none"/>
        </w:rPr>
      </w:pPr>
      <w:r>
        <w:rPr>
          <w:color w:val="auto"/>
          <w:kern w:val="0"/>
          <w:sz w:val="24"/>
          <w:highlight w:val="none"/>
        </w:rPr>
        <w:t>本项目厂用电电压等级同电厂主体部分一致，采用</w:t>
      </w:r>
      <w:r>
        <w:rPr>
          <w:rFonts w:hint="eastAsia"/>
          <w:color w:val="auto"/>
          <w:kern w:val="0"/>
          <w:sz w:val="24"/>
          <w:highlight w:val="none"/>
        </w:rPr>
        <w:t>10kV</w:t>
      </w:r>
      <w:r>
        <w:rPr>
          <w:color w:val="auto"/>
          <w:kern w:val="0"/>
          <w:sz w:val="24"/>
          <w:highlight w:val="none"/>
        </w:rPr>
        <w:t>及220/380V。</w:t>
      </w:r>
    </w:p>
    <w:p w14:paraId="5B1CC2A6">
      <w:pPr>
        <w:adjustRightInd w:val="0"/>
        <w:snapToGrid w:val="0"/>
        <w:spacing w:line="360" w:lineRule="auto"/>
        <w:ind w:firstLine="480"/>
        <w:jc w:val="left"/>
        <w:textAlignment w:val="baseline"/>
        <w:rPr>
          <w:color w:val="auto"/>
          <w:kern w:val="0"/>
          <w:sz w:val="24"/>
          <w:highlight w:val="none"/>
        </w:rPr>
      </w:pPr>
      <w:r>
        <w:rPr>
          <w:rFonts w:hint="eastAsia"/>
          <w:color w:val="auto"/>
          <w:kern w:val="0"/>
          <w:sz w:val="24"/>
          <w:highlight w:val="none"/>
        </w:rPr>
        <w:t>脱硫区不设</w:t>
      </w:r>
      <w:r>
        <w:rPr>
          <w:color w:val="auto"/>
          <w:kern w:val="0"/>
          <w:sz w:val="24"/>
          <w:highlight w:val="none"/>
        </w:rPr>
        <w:t>10kV</w:t>
      </w:r>
      <w:r>
        <w:rPr>
          <w:rFonts w:hint="eastAsia"/>
          <w:color w:val="auto"/>
          <w:kern w:val="0"/>
          <w:sz w:val="24"/>
          <w:highlight w:val="none"/>
        </w:rPr>
        <w:t>脱硫段，脱硫区内</w:t>
      </w:r>
      <w:r>
        <w:rPr>
          <w:color w:val="auto"/>
          <w:kern w:val="0"/>
          <w:sz w:val="24"/>
          <w:highlight w:val="none"/>
        </w:rPr>
        <w:t>10kV</w:t>
      </w:r>
      <w:r>
        <w:rPr>
          <w:rFonts w:hint="eastAsia"/>
          <w:color w:val="auto"/>
          <w:kern w:val="0"/>
          <w:sz w:val="24"/>
          <w:highlight w:val="none"/>
        </w:rPr>
        <w:t>用电设备由主体</w:t>
      </w:r>
      <w:r>
        <w:rPr>
          <w:color w:val="auto"/>
          <w:kern w:val="0"/>
          <w:sz w:val="24"/>
          <w:highlight w:val="none"/>
        </w:rPr>
        <w:t>10kV</w:t>
      </w:r>
      <w:r>
        <w:rPr>
          <w:rFonts w:hint="eastAsia"/>
          <w:color w:val="auto"/>
          <w:kern w:val="0"/>
          <w:sz w:val="24"/>
          <w:highlight w:val="none"/>
        </w:rPr>
        <w:t>开关柜供电。</w:t>
      </w:r>
    </w:p>
    <w:p w14:paraId="19388569">
      <w:pPr>
        <w:pStyle w:val="19"/>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baseline"/>
        <w:rPr>
          <w:rFonts w:hint="eastAsia" w:eastAsia="宋体"/>
          <w:color w:val="auto"/>
          <w:kern w:val="0"/>
          <w:sz w:val="24"/>
          <w:highlight w:val="none"/>
          <w:lang w:val="en-US" w:eastAsia="zh-CN"/>
        </w:rPr>
      </w:pPr>
      <w:r>
        <w:rPr>
          <w:color w:val="auto"/>
          <w:kern w:val="0"/>
          <w:sz w:val="24"/>
          <w:highlight w:val="none"/>
        </w:rPr>
        <w:t>脱硫区内设脱硫</w:t>
      </w:r>
      <w:r>
        <w:rPr>
          <w:rFonts w:hint="eastAsia"/>
          <w:color w:val="auto"/>
          <w:kern w:val="0"/>
          <w:sz w:val="24"/>
          <w:highlight w:val="none"/>
        </w:rPr>
        <w:t>PC</w:t>
      </w:r>
      <w:r>
        <w:rPr>
          <w:color w:val="auto"/>
          <w:kern w:val="0"/>
          <w:sz w:val="24"/>
          <w:highlight w:val="none"/>
        </w:rPr>
        <w:t>工作</w:t>
      </w:r>
      <w:r>
        <w:rPr>
          <w:rFonts w:hint="eastAsia"/>
          <w:color w:val="auto"/>
          <w:kern w:val="0"/>
          <w:sz w:val="24"/>
          <w:highlight w:val="none"/>
        </w:rPr>
        <w:t>A</w:t>
      </w:r>
      <w:r>
        <w:rPr>
          <w:color w:val="auto"/>
          <w:kern w:val="0"/>
          <w:sz w:val="24"/>
          <w:highlight w:val="none"/>
        </w:rPr>
        <w:t>、</w:t>
      </w:r>
      <w:r>
        <w:rPr>
          <w:rFonts w:hint="eastAsia"/>
          <w:color w:val="auto"/>
          <w:kern w:val="0"/>
          <w:sz w:val="24"/>
          <w:highlight w:val="none"/>
        </w:rPr>
        <w:t>B</w:t>
      </w:r>
      <w:r>
        <w:rPr>
          <w:color w:val="auto"/>
          <w:kern w:val="0"/>
          <w:sz w:val="24"/>
          <w:highlight w:val="none"/>
        </w:rPr>
        <w:t>段，采用单母分段</w:t>
      </w:r>
      <w:r>
        <w:rPr>
          <w:rFonts w:hint="eastAsia"/>
          <w:color w:val="auto"/>
          <w:kern w:val="0"/>
          <w:sz w:val="24"/>
          <w:highlight w:val="none"/>
        </w:rPr>
        <w:t>带</w:t>
      </w:r>
      <w:r>
        <w:rPr>
          <w:color w:val="auto"/>
          <w:kern w:val="0"/>
          <w:sz w:val="24"/>
          <w:highlight w:val="none"/>
        </w:rPr>
        <w:t>联络</w:t>
      </w:r>
      <w:r>
        <w:rPr>
          <w:rFonts w:hint="eastAsia"/>
          <w:color w:val="auto"/>
          <w:kern w:val="0"/>
          <w:sz w:val="24"/>
          <w:highlight w:val="none"/>
        </w:rPr>
        <w:t>的</w:t>
      </w:r>
      <w:r>
        <w:rPr>
          <w:color w:val="auto"/>
          <w:kern w:val="0"/>
          <w:sz w:val="24"/>
          <w:highlight w:val="none"/>
        </w:rPr>
        <w:t>接线方式，供脱硫系统重要及大</w:t>
      </w:r>
      <w:r>
        <w:rPr>
          <w:rFonts w:hint="eastAsia"/>
          <w:color w:val="auto"/>
          <w:kern w:val="0"/>
          <w:sz w:val="24"/>
          <w:highlight w:val="none"/>
        </w:rPr>
        <w:t>功率</w:t>
      </w:r>
      <w:r>
        <w:rPr>
          <w:color w:val="auto"/>
          <w:kern w:val="0"/>
          <w:sz w:val="24"/>
          <w:highlight w:val="none"/>
        </w:rPr>
        <w:t>负荷</w:t>
      </w:r>
      <w:r>
        <w:rPr>
          <w:rFonts w:hint="eastAsia"/>
          <w:color w:val="auto"/>
          <w:kern w:val="0"/>
          <w:sz w:val="24"/>
          <w:highlight w:val="none"/>
        </w:rPr>
        <w:t>用电</w:t>
      </w:r>
      <w:r>
        <w:rPr>
          <w:color w:val="auto"/>
          <w:kern w:val="0"/>
          <w:sz w:val="24"/>
          <w:highlight w:val="none"/>
        </w:rPr>
        <w:t>。正常时联络开关打开，当某一段进线电源故障时将跳开该段进线开关，手动闭合联络开关。低压脱硫工作段将由两台互为暗备用</w:t>
      </w:r>
      <w:r>
        <w:rPr>
          <w:rFonts w:hint="eastAsia"/>
          <w:color w:val="auto"/>
          <w:kern w:val="0"/>
          <w:sz w:val="24"/>
          <w:highlight w:val="none"/>
        </w:rPr>
        <w:t>的</w:t>
      </w:r>
      <w:r>
        <w:rPr>
          <w:color w:val="auto"/>
          <w:kern w:val="0"/>
          <w:sz w:val="24"/>
          <w:szCs w:val="20"/>
          <w:highlight w:val="none"/>
        </w:rPr>
        <w:t>SCB14</w:t>
      </w:r>
      <w:r>
        <w:rPr>
          <w:color w:val="auto"/>
          <w:kern w:val="0"/>
          <w:sz w:val="24"/>
          <w:highlight w:val="none"/>
        </w:rPr>
        <w:t>节能型干式变压器供电。</w:t>
      </w:r>
      <w:r>
        <w:rPr>
          <w:rFonts w:hint="eastAsia"/>
          <w:color w:val="auto"/>
          <w:highlight w:val="none"/>
          <w:lang w:val="en-US" w:eastAsia="zh-CN"/>
        </w:rPr>
        <w:t>变压器容量必须满足当一台变压器停运时单台变压器运行，机组在额定工况运行时，变压器负荷率低于0.85。</w:t>
      </w:r>
    </w:p>
    <w:p w14:paraId="73C77402">
      <w:pPr>
        <w:autoSpaceDE w:val="0"/>
        <w:autoSpaceDN w:val="0"/>
        <w:adjustRightInd w:val="0"/>
        <w:snapToGrid w:val="0"/>
        <w:spacing w:line="360" w:lineRule="auto"/>
        <w:ind w:firstLine="480" w:firstLineChars="200"/>
        <w:rPr>
          <w:color w:val="auto"/>
          <w:sz w:val="24"/>
          <w:highlight w:val="none"/>
          <w:lang w:val="zh-CN"/>
        </w:rPr>
      </w:pPr>
      <w:r>
        <w:rPr>
          <w:color w:val="auto"/>
          <w:sz w:val="24"/>
          <w:highlight w:val="none"/>
          <w:lang w:val="zh-CN"/>
        </w:rPr>
        <w:t>75kW及以上的电动机回路、</w:t>
      </w:r>
      <w:r>
        <w:rPr>
          <w:rFonts w:hint="eastAsia"/>
          <w:color w:val="auto"/>
          <w:sz w:val="24"/>
          <w:highlight w:val="none"/>
          <w:lang w:val="zh-CN"/>
        </w:rPr>
        <w:t>100kW</w:t>
      </w:r>
      <w:r>
        <w:rPr>
          <w:color w:val="auto"/>
          <w:sz w:val="24"/>
          <w:highlight w:val="none"/>
          <w:lang w:val="zh-CN"/>
        </w:rPr>
        <w:t>及以上馈线回路及</w:t>
      </w:r>
      <w:r>
        <w:rPr>
          <w:rFonts w:hint="eastAsia"/>
          <w:color w:val="auto"/>
          <w:sz w:val="24"/>
          <w:highlight w:val="none"/>
          <w:lang w:val="zh-CN"/>
        </w:rPr>
        <w:t>MCC电源回路</w:t>
      </w:r>
      <w:r>
        <w:rPr>
          <w:color w:val="auto"/>
          <w:sz w:val="24"/>
          <w:highlight w:val="none"/>
        </w:rPr>
        <w:t>将</w:t>
      </w:r>
      <w:r>
        <w:rPr>
          <w:color w:val="auto"/>
          <w:sz w:val="24"/>
          <w:highlight w:val="none"/>
          <w:lang w:val="zh-CN"/>
        </w:rPr>
        <w:t>采用框架式智能空气断路器</w:t>
      </w:r>
      <w:r>
        <w:rPr>
          <w:rFonts w:hint="eastAsia"/>
          <w:color w:val="auto"/>
          <w:sz w:val="24"/>
          <w:highlight w:val="none"/>
          <w:lang w:val="zh-CN"/>
        </w:rPr>
        <w:t>；</w:t>
      </w:r>
      <w:r>
        <w:rPr>
          <w:color w:val="auto"/>
          <w:sz w:val="24"/>
          <w:highlight w:val="none"/>
          <w:lang w:val="zh-CN"/>
        </w:rPr>
        <w:t>75kW以下的电动机回路采用塑壳断路器</w:t>
      </w:r>
      <w:r>
        <w:rPr>
          <w:rFonts w:hint="eastAsia"/>
          <w:color w:val="auto"/>
          <w:sz w:val="24"/>
          <w:highlight w:val="none"/>
          <w:lang w:val="zh-CN"/>
        </w:rPr>
        <w:t>+接触器+</w:t>
      </w:r>
      <w:r>
        <w:rPr>
          <w:rFonts w:hint="eastAsia"/>
          <w:color w:val="auto"/>
          <w:sz w:val="24"/>
          <w:highlight w:val="none"/>
          <w:lang w:val="en-US" w:eastAsia="zh-CN"/>
        </w:rPr>
        <w:t>智能电动机保护器</w:t>
      </w:r>
      <w:r>
        <w:rPr>
          <w:rFonts w:hint="eastAsia"/>
          <w:color w:val="auto"/>
          <w:sz w:val="24"/>
          <w:highlight w:val="none"/>
          <w:lang w:val="zh-CN"/>
        </w:rPr>
        <w:t>，</w:t>
      </w:r>
      <w:r>
        <w:rPr>
          <w:color w:val="auto"/>
          <w:sz w:val="24"/>
          <w:highlight w:val="none"/>
          <w:lang w:val="zh-CN"/>
        </w:rPr>
        <w:t>馈线回路采用塑壳断路器的方式。低压电器的组合</w:t>
      </w:r>
      <w:r>
        <w:rPr>
          <w:color w:val="auto"/>
          <w:sz w:val="24"/>
          <w:highlight w:val="none"/>
        </w:rPr>
        <w:t>将</w:t>
      </w:r>
      <w:r>
        <w:rPr>
          <w:color w:val="auto"/>
          <w:sz w:val="24"/>
          <w:highlight w:val="none"/>
          <w:lang w:val="zh-CN"/>
        </w:rPr>
        <w:t>保证在发生短路故障时，各级保护电器有选择性的正确动作。</w:t>
      </w:r>
    </w:p>
    <w:p w14:paraId="26D0F92D">
      <w:pPr>
        <w:adjustRightInd w:val="0"/>
        <w:snapToGrid w:val="0"/>
        <w:spacing w:line="360" w:lineRule="auto"/>
        <w:ind w:left="-57" w:leftChars="-27" w:right="57" w:firstLine="496" w:firstLineChars="207"/>
        <w:rPr>
          <w:rFonts w:hint="eastAsia" w:ascii="宋体" w:hAnsi="宋体" w:eastAsia="宋体" w:cs="宋体"/>
          <w:color w:val="auto"/>
          <w:sz w:val="24"/>
          <w:szCs w:val="24"/>
          <w:highlight w:val="none"/>
          <w:lang w:eastAsia="zh-CN"/>
        </w:rPr>
      </w:pPr>
      <w:r>
        <w:rPr>
          <w:color w:val="auto"/>
          <w:sz w:val="24"/>
          <w:highlight w:val="none"/>
          <w:lang w:val="zh-CN"/>
        </w:rPr>
        <w:t>低压系统</w:t>
      </w:r>
      <w:r>
        <w:rPr>
          <w:color w:val="auto"/>
          <w:sz w:val="24"/>
          <w:highlight w:val="none"/>
        </w:rPr>
        <w:t>将</w:t>
      </w:r>
      <w:r>
        <w:rPr>
          <w:color w:val="auto"/>
          <w:sz w:val="24"/>
          <w:highlight w:val="none"/>
          <w:lang w:val="zh-CN"/>
        </w:rPr>
        <w:t>有不少于20%的备用配电回路</w:t>
      </w:r>
      <w:r>
        <w:rPr>
          <w:color w:val="auto"/>
          <w:sz w:val="24"/>
          <w:highlight w:val="none"/>
        </w:rPr>
        <w:t>。</w:t>
      </w:r>
      <w:r>
        <w:rPr>
          <w:rFonts w:hint="eastAsia" w:ascii="宋体" w:hAnsi="宋体" w:eastAsia="宋体" w:cs="宋体"/>
          <w:color w:val="auto"/>
          <w:sz w:val="24"/>
          <w:szCs w:val="24"/>
          <w:highlight w:val="none"/>
          <w:lang w:val="en-US" w:eastAsia="zh-CN"/>
        </w:rPr>
        <w:t>提供给布袋、废水零排放等预留间隔及容量</w:t>
      </w:r>
      <w:r>
        <w:rPr>
          <w:rFonts w:hint="eastAsia" w:ascii="宋体" w:hAnsi="宋体" w:eastAsia="宋体" w:cs="宋体"/>
          <w:color w:val="auto"/>
          <w:sz w:val="24"/>
          <w:szCs w:val="24"/>
          <w:highlight w:val="none"/>
          <w:lang w:eastAsia="zh-CN"/>
        </w:rPr>
        <w:t>。</w:t>
      </w:r>
    </w:p>
    <w:p w14:paraId="25F1B82A">
      <w:pPr>
        <w:adjustRightInd w:val="0"/>
        <w:snapToGrid w:val="0"/>
        <w:spacing w:line="360" w:lineRule="auto"/>
        <w:ind w:left="-57" w:leftChars="-27" w:right="57" w:firstLine="496" w:firstLineChars="207"/>
        <w:rPr>
          <w:color w:val="auto"/>
          <w:sz w:val="24"/>
          <w:highlight w:val="none"/>
          <w:lang w:val="zh-CN"/>
        </w:rPr>
      </w:pPr>
      <w:r>
        <w:rPr>
          <w:color w:val="auto"/>
          <w:sz w:val="24"/>
          <w:highlight w:val="none"/>
          <w:lang w:val="zh-CN"/>
        </w:rPr>
        <w:t>脱硫区内</w:t>
      </w:r>
      <w:r>
        <w:rPr>
          <w:rFonts w:hint="eastAsia"/>
          <w:color w:val="auto"/>
          <w:sz w:val="24"/>
          <w:highlight w:val="none"/>
          <w:lang w:val="zh-CN"/>
        </w:rPr>
        <w:t>干式变压器、开关柜等</w:t>
      </w:r>
      <w:r>
        <w:rPr>
          <w:rStyle w:val="54"/>
          <w:rFonts w:hint="eastAsia" w:ascii="Times New Roman" w:hAnsi="Times New Roman" w:eastAsia="宋体" w:cs="Times New Roman"/>
          <w:color w:val="auto"/>
          <w:sz w:val="24"/>
          <w:highlight w:val="none"/>
          <w:shd w:val="clear" w:color="auto" w:fill="FFFFFF"/>
        </w:rPr>
        <w:t>供配电系统</w:t>
      </w:r>
      <w:r>
        <w:rPr>
          <w:color w:val="auto"/>
          <w:sz w:val="24"/>
          <w:highlight w:val="none"/>
          <w:lang w:val="zh-CN"/>
        </w:rPr>
        <w:t>由</w:t>
      </w:r>
      <w:r>
        <w:rPr>
          <w:rFonts w:hint="eastAsia"/>
          <w:color w:val="auto"/>
          <w:sz w:val="24"/>
          <w:highlight w:val="none"/>
          <w:lang w:val="zh-CN"/>
        </w:rPr>
        <w:t>投标方</w:t>
      </w:r>
      <w:r>
        <w:rPr>
          <w:color w:val="auto"/>
          <w:sz w:val="24"/>
          <w:highlight w:val="none"/>
          <w:lang w:val="zh-CN"/>
        </w:rPr>
        <w:t>负责</w:t>
      </w:r>
      <w:r>
        <w:rPr>
          <w:rFonts w:hint="eastAsia"/>
          <w:color w:val="auto"/>
          <w:sz w:val="24"/>
          <w:highlight w:val="none"/>
          <w:lang w:val="en-US" w:eastAsia="zh-CN"/>
        </w:rPr>
        <w:t>设计并供货</w:t>
      </w:r>
      <w:r>
        <w:rPr>
          <w:rFonts w:hint="eastAsia"/>
          <w:color w:val="auto"/>
          <w:sz w:val="24"/>
          <w:highlight w:val="none"/>
          <w:lang w:val="zh-CN"/>
        </w:rPr>
        <w:t>。</w:t>
      </w:r>
    </w:p>
    <w:p w14:paraId="1932A746">
      <w:pPr>
        <w:spacing w:line="360" w:lineRule="auto"/>
        <w:rPr>
          <w:color w:val="auto"/>
          <w:sz w:val="24"/>
          <w:highlight w:val="none"/>
        </w:rPr>
      </w:pPr>
      <w:r>
        <w:rPr>
          <w:color w:val="auto"/>
          <w:sz w:val="24"/>
          <w:highlight w:val="none"/>
        </w:rPr>
        <w:t>4.2.1.2事故保安电源</w:t>
      </w:r>
    </w:p>
    <w:p w14:paraId="7D9AFD0D">
      <w:pPr>
        <w:adjustRightInd w:val="0"/>
        <w:snapToGrid w:val="0"/>
        <w:spacing w:line="360" w:lineRule="auto"/>
        <w:ind w:left="-57" w:leftChars="-27" w:right="57" w:firstLine="496" w:firstLineChars="207"/>
        <w:rPr>
          <w:rFonts w:hint="eastAsia" w:eastAsia="宋体"/>
          <w:color w:val="auto"/>
          <w:sz w:val="24"/>
          <w:highlight w:val="none"/>
          <w:lang w:val="zh-CN" w:eastAsia="zh-CN"/>
        </w:rPr>
      </w:pPr>
      <w:r>
        <w:rPr>
          <w:rFonts w:hint="eastAsia"/>
          <w:color w:val="auto"/>
          <w:sz w:val="24"/>
          <w:highlight w:val="none"/>
          <w:lang w:val="zh-CN"/>
        </w:rPr>
        <w:t>本项目脱硫系统不单设柴油发电机组</w:t>
      </w:r>
      <w:r>
        <w:rPr>
          <w:rFonts w:hint="eastAsia"/>
          <w:color w:val="auto"/>
          <w:sz w:val="24"/>
          <w:highlight w:val="none"/>
          <w:lang w:val="zh-CN" w:eastAsia="zh-CN"/>
        </w:rPr>
        <w:t>。</w:t>
      </w:r>
      <w:r>
        <w:rPr>
          <w:rFonts w:hint="eastAsia"/>
          <w:color w:val="auto"/>
          <w:sz w:val="24"/>
          <w:highlight w:val="none"/>
          <w:lang w:val="zh-CN"/>
        </w:rPr>
        <w:t>事故</w:t>
      </w:r>
      <w:r>
        <w:rPr>
          <w:rFonts w:hint="eastAsia"/>
          <w:color w:val="auto"/>
          <w:sz w:val="24"/>
          <w:highlight w:val="none"/>
          <w:lang w:val="zh-CN" w:eastAsia="zh-CN"/>
        </w:rPr>
        <w:t>状态原系统事故喷淋柴油泵自启</w:t>
      </w:r>
      <w:r>
        <w:rPr>
          <w:rFonts w:hint="eastAsia"/>
          <w:color w:val="auto"/>
          <w:sz w:val="24"/>
          <w:highlight w:val="none"/>
          <w:lang w:val="zh-CN"/>
        </w:rPr>
        <w:t>。</w:t>
      </w:r>
      <w:r>
        <w:rPr>
          <w:rFonts w:hint="eastAsia"/>
          <w:color w:val="auto"/>
          <w:sz w:val="24"/>
          <w:highlight w:val="none"/>
          <w:lang w:val="zh-CN" w:eastAsia="zh-CN"/>
        </w:rPr>
        <w:t>投标方实现事故喷淋接入。</w:t>
      </w:r>
    </w:p>
    <w:p w14:paraId="53E025DC">
      <w:pPr>
        <w:pStyle w:val="50"/>
        <w:ind w:firstLine="480" w:firstLineChars="200"/>
        <w:rPr>
          <w:color w:val="auto"/>
          <w:highlight w:val="none"/>
        </w:rPr>
      </w:pPr>
      <w:r>
        <w:rPr>
          <w:color w:val="auto"/>
          <w:sz w:val="24"/>
          <w:highlight w:val="none"/>
          <w:lang w:val="zh-CN"/>
        </w:rPr>
        <w:t>脱硫区内</w:t>
      </w:r>
      <w:r>
        <w:rPr>
          <w:rFonts w:hint="eastAsia"/>
          <w:color w:val="auto"/>
          <w:sz w:val="24"/>
          <w:highlight w:val="none"/>
          <w:lang w:val="zh-CN"/>
        </w:rPr>
        <w:t>事故</w:t>
      </w:r>
      <w:r>
        <w:rPr>
          <w:rFonts w:hint="eastAsia"/>
          <w:color w:val="auto"/>
          <w:sz w:val="24"/>
          <w:highlight w:val="none"/>
          <w:lang w:val="en-US" w:eastAsia="zh-CN"/>
        </w:rPr>
        <w:t>喷淋</w:t>
      </w:r>
      <w:r>
        <w:rPr>
          <w:color w:val="auto"/>
          <w:sz w:val="24"/>
          <w:highlight w:val="none"/>
          <w:lang w:val="zh-CN"/>
        </w:rPr>
        <w:t>设计</w:t>
      </w:r>
      <w:r>
        <w:rPr>
          <w:rFonts w:hint="eastAsia"/>
          <w:color w:val="auto"/>
          <w:sz w:val="24"/>
          <w:highlight w:val="none"/>
          <w:lang w:val="zh-CN"/>
        </w:rPr>
        <w:t>、</w:t>
      </w:r>
      <w:r>
        <w:rPr>
          <w:rFonts w:hint="eastAsia"/>
          <w:color w:val="auto"/>
          <w:sz w:val="24"/>
          <w:highlight w:val="none"/>
          <w:lang w:val="en-US" w:eastAsia="zh-CN"/>
        </w:rPr>
        <w:t>供货</w:t>
      </w:r>
      <w:r>
        <w:rPr>
          <w:color w:val="auto"/>
          <w:sz w:val="24"/>
          <w:highlight w:val="none"/>
          <w:lang w:val="zh-CN"/>
        </w:rPr>
        <w:t>由</w:t>
      </w:r>
      <w:r>
        <w:rPr>
          <w:rFonts w:hint="eastAsia"/>
          <w:color w:val="auto"/>
          <w:sz w:val="24"/>
          <w:highlight w:val="none"/>
          <w:lang w:val="zh-CN"/>
        </w:rPr>
        <w:t>投标方</w:t>
      </w:r>
      <w:r>
        <w:rPr>
          <w:color w:val="auto"/>
          <w:sz w:val="24"/>
          <w:highlight w:val="none"/>
          <w:lang w:val="zh-CN"/>
        </w:rPr>
        <w:t>负责。</w:t>
      </w:r>
    </w:p>
    <w:p w14:paraId="3070899F">
      <w:pPr>
        <w:spacing w:line="360" w:lineRule="auto"/>
        <w:rPr>
          <w:color w:val="auto"/>
          <w:sz w:val="24"/>
          <w:highlight w:val="none"/>
        </w:rPr>
      </w:pPr>
      <w:r>
        <w:rPr>
          <w:color w:val="auto"/>
          <w:sz w:val="24"/>
          <w:highlight w:val="none"/>
        </w:rPr>
        <w:t>4.2.1.3直流系统</w:t>
      </w:r>
    </w:p>
    <w:p w14:paraId="536CF10E">
      <w:pPr>
        <w:spacing w:line="360" w:lineRule="auto"/>
        <w:ind w:firstLine="480" w:firstLineChars="200"/>
        <w:rPr>
          <w:color w:val="auto"/>
          <w:sz w:val="24"/>
          <w:highlight w:val="none"/>
        </w:rPr>
      </w:pPr>
      <w:r>
        <w:rPr>
          <w:rFonts w:hint="eastAsia"/>
          <w:color w:val="auto"/>
          <w:sz w:val="24"/>
          <w:highlight w:val="none"/>
          <w:lang w:val="zh-CN"/>
        </w:rPr>
        <w:t>脱硫直流系统采用分电屏辐射供电方式，设1面分电屏，</w:t>
      </w:r>
      <w:r>
        <w:rPr>
          <w:rFonts w:hint="eastAsia"/>
          <w:color w:val="auto"/>
          <w:sz w:val="24"/>
          <w:highlight w:val="none"/>
          <w:lang w:val="zh-CN" w:eastAsia="zh-CN"/>
        </w:rPr>
        <w:t>招标方</w:t>
      </w:r>
      <w:r>
        <w:rPr>
          <w:rFonts w:hint="eastAsia"/>
          <w:color w:val="auto"/>
          <w:sz w:val="24"/>
          <w:highlight w:val="none"/>
          <w:lang w:val="zh-CN"/>
        </w:rPr>
        <w:t>引</w:t>
      </w:r>
      <w:r>
        <w:rPr>
          <w:rFonts w:hint="eastAsia"/>
          <w:color w:val="auto"/>
          <w:sz w:val="24"/>
          <w:highlight w:val="none"/>
          <w:lang w:val="zh-CN" w:eastAsia="zh-CN"/>
        </w:rPr>
        <w:t>2</w:t>
      </w:r>
      <w:r>
        <w:rPr>
          <w:rFonts w:hint="eastAsia"/>
          <w:color w:val="auto"/>
          <w:sz w:val="24"/>
          <w:highlight w:val="none"/>
          <w:lang w:val="zh-CN"/>
        </w:rPr>
        <w:t>路电源至脱硫直流分电屏，供脱硫区内电气控制、信号、继电保护、断路器合分闸等负荷。直流系统电压等级采用</w:t>
      </w:r>
      <w:r>
        <w:rPr>
          <w:rFonts w:hint="eastAsia"/>
          <w:color w:val="auto"/>
          <w:sz w:val="24"/>
          <w:highlight w:val="none"/>
          <w:lang w:val="zh-CN" w:eastAsia="zh-CN"/>
        </w:rPr>
        <w:t>220</w:t>
      </w:r>
      <w:r>
        <w:rPr>
          <w:rFonts w:hint="eastAsia"/>
          <w:color w:val="auto"/>
          <w:sz w:val="24"/>
          <w:highlight w:val="none"/>
          <w:lang w:val="zh-CN"/>
        </w:rPr>
        <w:t>V，且与主体一致。</w:t>
      </w:r>
    </w:p>
    <w:p w14:paraId="36EF694A">
      <w:pPr>
        <w:spacing w:line="360" w:lineRule="auto"/>
        <w:ind w:firstLine="480" w:firstLineChars="200"/>
        <w:rPr>
          <w:rFonts w:hint="eastAsia"/>
          <w:color w:val="auto"/>
          <w:sz w:val="24"/>
          <w:highlight w:val="none"/>
        </w:rPr>
      </w:pPr>
      <w:r>
        <w:rPr>
          <w:rFonts w:hint="eastAsia"/>
          <w:color w:val="auto"/>
          <w:sz w:val="24"/>
          <w:highlight w:val="none"/>
          <w:lang w:eastAsia="zh-CN"/>
        </w:rPr>
        <w:t>原系统</w:t>
      </w:r>
      <w:r>
        <w:rPr>
          <w:rFonts w:hint="eastAsia"/>
          <w:color w:val="auto"/>
          <w:sz w:val="24"/>
          <w:highlight w:val="none"/>
        </w:rPr>
        <w:t>直流电源开关及其</w:t>
      </w:r>
      <w:r>
        <w:rPr>
          <w:color w:val="auto"/>
          <w:sz w:val="24"/>
          <w:highlight w:val="none"/>
        </w:rPr>
        <w:t>至脱硫</w:t>
      </w:r>
      <w:r>
        <w:rPr>
          <w:rFonts w:hint="eastAsia"/>
          <w:color w:val="auto"/>
          <w:sz w:val="24"/>
          <w:highlight w:val="none"/>
        </w:rPr>
        <w:t>区</w:t>
      </w:r>
      <w:r>
        <w:rPr>
          <w:color w:val="auto"/>
          <w:sz w:val="24"/>
          <w:highlight w:val="none"/>
        </w:rPr>
        <w:t>设备之间的动力和控制电缆属于</w:t>
      </w:r>
      <w:r>
        <w:rPr>
          <w:rFonts w:hint="eastAsia"/>
          <w:color w:val="auto"/>
          <w:sz w:val="24"/>
          <w:highlight w:val="none"/>
          <w:lang w:eastAsia="zh-CN"/>
        </w:rPr>
        <w:t>投标方</w:t>
      </w:r>
      <w:r>
        <w:rPr>
          <w:color w:val="auto"/>
          <w:sz w:val="24"/>
          <w:highlight w:val="none"/>
        </w:rPr>
        <w:t>设计、供货</w:t>
      </w:r>
      <w:r>
        <w:rPr>
          <w:rFonts w:hint="eastAsia"/>
          <w:color w:val="auto"/>
          <w:sz w:val="24"/>
          <w:highlight w:val="none"/>
          <w:lang w:eastAsia="zh-CN"/>
        </w:rPr>
        <w:t>、施工</w:t>
      </w:r>
      <w:r>
        <w:rPr>
          <w:color w:val="auto"/>
          <w:sz w:val="24"/>
          <w:highlight w:val="none"/>
        </w:rPr>
        <w:t>范围</w:t>
      </w:r>
      <w:r>
        <w:rPr>
          <w:rFonts w:hint="eastAsia"/>
          <w:color w:val="auto"/>
          <w:sz w:val="24"/>
          <w:highlight w:val="none"/>
        </w:rPr>
        <w:t>；</w:t>
      </w:r>
    </w:p>
    <w:p w14:paraId="5BDA9810">
      <w:pPr>
        <w:pStyle w:val="5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highlight w:val="none"/>
        </w:rPr>
      </w:pPr>
      <w:r>
        <w:rPr>
          <w:color w:val="auto"/>
          <w:sz w:val="24"/>
          <w:highlight w:val="none"/>
          <w:lang w:val="zh-CN"/>
        </w:rPr>
        <w:t>脱硫区内直流系统设计及供货由</w:t>
      </w:r>
      <w:r>
        <w:rPr>
          <w:rFonts w:hint="eastAsia"/>
          <w:color w:val="auto"/>
          <w:sz w:val="24"/>
          <w:highlight w:val="none"/>
          <w:lang w:val="zh-CN"/>
        </w:rPr>
        <w:t>投标方</w:t>
      </w:r>
      <w:r>
        <w:rPr>
          <w:color w:val="auto"/>
          <w:sz w:val="24"/>
          <w:highlight w:val="none"/>
          <w:lang w:val="zh-CN"/>
        </w:rPr>
        <w:t>负责</w:t>
      </w:r>
      <w:r>
        <w:rPr>
          <w:color w:val="auto"/>
          <w:sz w:val="24"/>
          <w:highlight w:val="none"/>
        </w:rPr>
        <w:t>。</w:t>
      </w:r>
    </w:p>
    <w:p w14:paraId="0C8EB622">
      <w:pPr>
        <w:spacing w:line="360" w:lineRule="auto"/>
        <w:rPr>
          <w:color w:val="auto"/>
          <w:sz w:val="24"/>
          <w:highlight w:val="none"/>
        </w:rPr>
      </w:pPr>
      <w:r>
        <w:rPr>
          <w:color w:val="auto"/>
          <w:sz w:val="24"/>
          <w:highlight w:val="none"/>
        </w:rPr>
        <w:t>4.2.1.4不停电电源系统</w:t>
      </w:r>
    </w:p>
    <w:p w14:paraId="51429C70">
      <w:pPr>
        <w:snapToGrid w:val="0"/>
        <w:spacing w:line="360" w:lineRule="auto"/>
        <w:ind w:firstLine="480" w:firstLineChars="200"/>
        <w:rPr>
          <w:color w:val="auto"/>
          <w:sz w:val="24"/>
          <w:highlight w:val="none"/>
          <w:lang w:val="zh-CN"/>
        </w:rPr>
      </w:pPr>
      <w:r>
        <w:rPr>
          <w:color w:val="auto"/>
          <w:sz w:val="24"/>
          <w:highlight w:val="none"/>
        </w:rPr>
        <w:t>UPS</w:t>
      </w:r>
      <w:bookmarkStart w:id="93" w:name="OLE_LINK41"/>
      <w:r>
        <w:rPr>
          <w:rFonts w:hint="default"/>
          <w:color w:val="auto"/>
          <w:sz w:val="24"/>
          <w:highlight w:val="none"/>
          <w:lang w:val="en-US" w:eastAsia="zh-CN"/>
        </w:rPr>
        <w:t>电源</w:t>
      </w:r>
      <w:r>
        <w:rPr>
          <w:rFonts w:hint="default" w:ascii="Times New Roman" w:hAnsi="Times New Roman" w:eastAsia="宋体" w:cs="Times New Roman"/>
          <w:snapToGrid/>
          <w:color w:val="auto"/>
          <w:kern w:val="2"/>
          <w:sz w:val="24"/>
          <w:szCs w:val="24"/>
          <w:highlight w:val="none"/>
          <w:lang w:val="en-US" w:eastAsia="zh-CN" w:bidi="ar-SA"/>
        </w:rPr>
        <w:t>电缆</w:t>
      </w:r>
      <w:r>
        <w:rPr>
          <w:rFonts w:hint="default"/>
          <w:color w:val="auto"/>
          <w:sz w:val="24"/>
          <w:highlight w:val="none"/>
          <w:lang w:val="en-US" w:eastAsia="zh-CN"/>
        </w:rPr>
        <w:t>由招标</w:t>
      </w:r>
      <w:r>
        <w:rPr>
          <w:rFonts w:hint="default"/>
          <w:color w:val="auto"/>
          <w:sz w:val="24"/>
          <w:highlight w:val="none"/>
          <w:lang w:val="zh-CN"/>
        </w:rPr>
        <w:t>方</w:t>
      </w:r>
      <w:r>
        <w:rPr>
          <w:color w:val="auto"/>
          <w:sz w:val="24"/>
          <w:highlight w:val="none"/>
          <w:lang w:val="zh-CN"/>
        </w:rPr>
        <w:t>负责</w:t>
      </w:r>
      <w:r>
        <w:rPr>
          <w:rFonts w:hint="default"/>
          <w:color w:val="auto"/>
          <w:sz w:val="24"/>
          <w:highlight w:val="none"/>
          <w:lang w:val="en-US" w:eastAsia="zh-CN"/>
        </w:rPr>
        <w:t>接</w:t>
      </w:r>
      <w:bookmarkEnd w:id="93"/>
      <w:r>
        <w:rPr>
          <w:rFonts w:hint="default" w:ascii="Times New Roman" w:hAnsi="Times New Roman" w:eastAsia="宋体" w:cs="Times New Roman"/>
          <w:snapToGrid/>
          <w:color w:val="auto"/>
          <w:kern w:val="2"/>
          <w:sz w:val="24"/>
          <w:szCs w:val="24"/>
          <w:highlight w:val="none"/>
          <w:lang w:val="en-US" w:eastAsia="zh-CN" w:bidi="ar-SA"/>
        </w:rPr>
        <w:t>至脱硫DCS机柜</w:t>
      </w:r>
      <w:r>
        <w:rPr>
          <w:color w:val="auto"/>
          <w:sz w:val="24"/>
          <w:highlight w:val="none"/>
        </w:rPr>
        <w:t>。</w:t>
      </w:r>
    </w:p>
    <w:p w14:paraId="11159F76">
      <w:pPr>
        <w:spacing w:line="360" w:lineRule="auto"/>
        <w:rPr>
          <w:color w:val="auto"/>
          <w:sz w:val="24"/>
          <w:highlight w:val="none"/>
        </w:rPr>
      </w:pPr>
      <w:r>
        <w:rPr>
          <w:color w:val="auto"/>
          <w:sz w:val="24"/>
          <w:highlight w:val="none"/>
        </w:rPr>
        <w:t>4.2.2.2信号与测量</w:t>
      </w:r>
    </w:p>
    <w:p w14:paraId="1B565857">
      <w:pPr>
        <w:snapToGrid w:val="0"/>
        <w:spacing w:line="360" w:lineRule="auto"/>
        <w:ind w:firstLine="480" w:firstLineChars="200"/>
        <w:rPr>
          <w:rFonts w:hint="eastAsia"/>
          <w:color w:val="auto"/>
          <w:sz w:val="24"/>
          <w:highlight w:val="none"/>
        </w:rPr>
      </w:pPr>
      <w:r>
        <w:rPr>
          <w:color w:val="auto"/>
          <w:sz w:val="24"/>
          <w:highlight w:val="none"/>
        </w:rPr>
        <w:t>脱硫电子设备间不设常规音响及光字牌，所有开关状态信号、电气事故信号及预告信号均送入脱硫</w:t>
      </w:r>
      <w:r>
        <w:rPr>
          <w:rFonts w:hint="eastAsia"/>
          <w:color w:val="auto"/>
          <w:sz w:val="24"/>
          <w:highlight w:val="none"/>
          <w:lang w:val="en-US" w:eastAsia="zh-CN"/>
        </w:rPr>
        <w:t>DCS</w:t>
      </w:r>
      <w:r>
        <w:rPr>
          <w:color w:val="auto"/>
          <w:sz w:val="24"/>
          <w:highlight w:val="none"/>
        </w:rPr>
        <w:t>控制系统。脱硫电子设备间不设常规测量表计，采用4～20mA变送器（变送器装于相关开关柜）输出送入脱硫</w:t>
      </w:r>
      <w:r>
        <w:rPr>
          <w:rFonts w:hint="eastAsia"/>
          <w:color w:val="auto"/>
          <w:sz w:val="24"/>
          <w:highlight w:val="none"/>
          <w:lang w:val="en-US" w:eastAsia="zh-CN"/>
        </w:rPr>
        <w:t>DCS</w:t>
      </w:r>
      <w:r>
        <w:rPr>
          <w:color w:val="auto"/>
          <w:sz w:val="24"/>
          <w:highlight w:val="none"/>
        </w:rPr>
        <w:t>控制系统。</w:t>
      </w:r>
    </w:p>
    <w:p w14:paraId="42B82E9A">
      <w:pPr>
        <w:snapToGrid w:val="0"/>
        <w:spacing w:line="360" w:lineRule="auto"/>
        <w:ind w:firstLine="480" w:firstLineChars="200"/>
        <w:rPr>
          <w:color w:val="auto"/>
          <w:sz w:val="24"/>
          <w:highlight w:val="none"/>
          <w:lang w:val="zh-CN"/>
        </w:rPr>
      </w:pPr>
      <w:r>
        <w:rPr>
          <w:color w:val="auto"/>
          <w:sz w:val="24"/>
          <w:highlight w:val="none"/>
        </w:rPr>
        <w:t>测量点按《电测量及电能计量装置设计技术规程》配置。</w:t>
      </w:r>
    </w:p>
    <w:p w14:paraId="6CECEE8F">
      <w:pPr>
        <w:spacing w:line="360" w:lineRule="auto"/>
        <w:rPr>
          <w:color w:val="auto"/>
          <w:sz w:val="24"/>
          <w:highlight w:val="none"/>
        </w:rPr>
      </w:pPr>
      <w:r>
        <w:rPr>
          <w:color w:val="auto"/>
          <w:sz w:val="24"/>
          <w:highlight w:val="none"/>
        </w:rPr>
        <w:t>4.2.2.3同期及自动装置</w:t>
      </w:r>
    </w:p>
    <w:p w14:paraId="588E8120">
      <w:pPr>
        <w:spacing w:line="360" w:lineRule="auto"/>
        <w:ind w:firstLine="480" w:firstLineChars="200"/>
        <w:rPr>
          <w:color w:val="auto"/>
          <w:sz w:val="24"/>
          <w:highlight w:val="none"/>
        </w:rPr>
      </w:pPr>
      <w:r>
        <w:rPr>
          <w:color w:val="auto"/>
          <w:sz w:val="24"/>
          <w:highlight w:val="none"/>
        </w:rPr>
        <w:t>脱硫电气系统不设同期，所有电源进线切换均采用先断后合操作方式以防止不同电源并列运行。电气接线应有闭锁接线。</w:t>
      </w:r>
    </w:p>
    <w:p w14:paraId="591F355F">
      <w:pPr>
        <w:spacing w:line="360" w:lineRule="auto"/>
        <w:rPr>
          <w:color w:val="auto"/>
          <w:sz w:val="24"/>
          <w:highlight w:val="none"/>
        </w:rPr>
      </w:pPr>
      <w:r>
        <w:rPr>
          <w:color w:val="auto"/>
          <w:sz w:val="24"/>
          <w:highlight w:val="none"/>
        </w:rPr>
        <w:t>4.2.2.4继电保护</w:t>
      </w:r>
    </w:p>
    <w:p w14:paraId="215F5A76">
      <w:pPr>
        <w:spacing w:line="360" w:lineRule="auto"/>
        <w:ind w:firstLine="480"/>
        <w:rPr>
          <w:color w:val="auto"/>
          <w:sz w:val="24"/>
          <w:highlight w:val="none"/>
        </w:rPr>
      </w:pPr>
      <w:r>
        <w:rPr>
          <w:color w:val="auto"/>
          <w:sz w:val="24"/>
          <w:highlight w:val="none"/>
        </w:rPr>
        <w:t>脱硫变压器采用微机式综合保护装置（含</w:t>
      </w:r>
      <w:r>
        <w:rPr>
          <w:rFonts w:hint="default"/>
          <w:color w:val="auto"/>
          <w:sz w:val="24"/>
          <w:highlight w:val="none"/>
        </w:rPr>
        <w:t>PT、CT等</w:t>
      </w:r>
      <w:r>
        <w:rPr>
          <w:color w:val="auto"/>
          <w:sz w:val="24"/>
          <w:highlight w:val="none"/>
        </w:rPr>
        <w:t>），</w:t>
      </w:r>
      <w:r>
        <w:rPr>
          <w:rFonts w:hint="eastAsia"/>
          <w:color w:val="auto"/>
          <w:sz w:val="24"/>
          <w:highlight w:val="none"/>
        </w:rPr>
        <w:t>由</w:t>
      </w:r>
      <w:r>
        <w:rPr>
          <w:rFonts w:hint="eastAsia"/>
          <w:color w:val="auto"/>
          <w:sz w:val="24"/>
          <w:highlight w:val="none"/>
          <w:lang w:val="en-US" w:eastAsia="zh-CN"/>
        </w:rPr>
        <w:t>招标方</w:t>
      </w:r>
      <w:r>
        <w:rPr>
          <w:color w:val="auto"/>
          <w:sz w:val="24"/>
          <w:highlight w:val="none"/>
        </w:rPr>
        <w:t>统一</w:t>
      </w:r>
      <w:r>
        <w:rPr>
          <w:rFonts w:hint="eastAsia"/>
          <w:color w:val="auto"/>
          <w:sz w:val="24"/>
          <w:highlight w:val="none"/>
        </w:rPr>
        <w:t>设计</w:t>
      </w:r>
      <w:r>
        <w:rPr>
          <w:rFonts w:hint="eastAsia"/>
          <w:color w:val="auto"/>
          <w:sz w:val="24"/>
          <w:highlight w:val="none"/>
          <w:lang w:eastAsia="zh-CN"/>
        </w:rPr>
        <w:t>采购。</w:t>
      </w:r>
      <w:r>
        <w:rPr>
          <w:rFonts w:hint="eastAsia"/>
          <w:color w:val="auto"/>
          <w:sz w:val="24"/>
          <w:highlight w:val="none"/>
        </w:rPr>
        <w:t>220/</w:t>
      </w:r>
      <w:r>
        <w:rPr>
          <w:color w:val="auto"/>
          <w:sz w:val="24"/>
          <w:highlight w:val="none"/>
        </w:rPr>
        <w:t>380V</w:t>
      </w:r>
      <w:r>
        <w:rPr>
          <w:rFonts w:hint="eastAsia"/>
          <w:color w:val="auto"/>
          <w:sz w:val="24"/>
          <w:highlight w:val="none"/>
        </w:rPr>
        <w:t>低压厂用电</w:t>
      </w:r>
      <w:r>
        <w:rPr>
          <w:color w:val="auto"/>
          <w:sz w:val="24"/>
          <w:highlight w:val="none"/>
        </w:rPr>
        <w:t>及电动机由智能空气开关脱扣器或热继电器实现保护。继电保护配置按DL/T5153《火力发电厂厂用电设计技术</w:t>
      </w:r>
      <w:r>
        <w:rPr>
          <w:rFonts w:hint="eastAsia"/>
          <w:color w:val="auto"/>
          <w:sz w:val="24"/>
          <w:highlight w:val="none"/>
        </w:rPr>
        <w:t>规程</w:t>
      </w:r>
      <w:r>
        <w:rPr>
          <w:color w:val="auto"/>
          <w:sz w:val="24"/>
          <w:highlight w:val="none"/>
        </w:rPr>
        <w:t>》配置，基本配置如下：</w:t>
      </w:r>
    </w:p>
    <w:tbl>
      <w:tblPr>
        <w:tblStyle w:val="5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6277"/>
      </w:tblGrid>
      <w:tr w14:paraId="39F2A5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189" w:type="dxa"/>
            <w:noWrap w:val="0"/>
            <w:vAlign w:val="center"/>
          </w:tcPr>
          <w:p w14:paraId="4E61763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sz w:val="24"/>
                <w:highlight w:val="none"/>
              </w:rPr>
              <w:t>变压器</w:t>
            </w:r>
          </w:p>
        </w:tc>
        <w:tc>
          <w:tcPr>
            <w:tcW w:w="6277" w:type="dxa"/>
            <w:noWrap w:val="0"/>
            <w:vAlign w:val="center"/>
          </w:tcPr>
          <w:p w14:paraId="34DE742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sz w:val="24"/>
                <w:highlight w:val="none"/>
              </w:rPr>
              <w:t>差动保护（2MVA及以上）、电流速断保护、过电流、过负荷、零序过流保护、接地保护、温度保护</w:t>
            </w:r>
          </w:p>
        </w:tc>
      </w:tr>
      <w:tr w14:paraId="5C8B9E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189" w:type="dxa"/>
            <w:noWrap w:val="0"/>
            <w:vAlign w:val="center"/>
          </w:tcPr>
          <w:p w14:paraId="4984C6CE">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sz w:val="24"/>
                <w:highlight w:val="none"/>
              </w:rPr>
              <w:t>电动机</w:t>
            </w:r>
          </w:p>
        </w:tc>
        <w:tc>
          <w:tcPr>
            <w:tcW w:w="6277" w:type="dxa"/>
            <w:noWrap w:val="0"/>
            <w:vAlign w:val="center"/>
          </w:tcPr>
          <w:p w14:paraId="47EB1D6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highlight w:val="none"/>
              </w:rPr>
            </w:pPr>
            <w:r>
              <w:rPr>
                <w:rFonts w:hint="default" w:ascii="Times New Roman" w:hAnsi="Times New Roman" w:cs="Times New Roman"/>
                <w:color w:val="auto"/>
                <w:sz w:val="24"/>
                <w:highlight w:val="none"/>
              </w:rPr>
              <w:t>差动保护（2MW及以上）、电流速断保护、过电流、过负荷、接地保护、低电压、断相、堵转</w:t>
            </w:r>
          </w:p>
        </w:tc>
      </w:tr>
    </w:tbl>
    <w:p w14:paraId="3A54E918">
      <w:pPr>
        <w:spacing w:line="360" w:lineRule="auto"/>
        <w:ind w:firstLine="480"/>
        <w:rPr>
          <w:color w:val="auto"/>
          <w:sz w:val="24"/>
          <w:highlight w:val="none"/>
        </w:rPr>
      </w:pPr>
      <w:r>
        <w:rPr>
          <w:color w:val="auto"/>
          <w:sz w:val="24"/>
          <w:highlight w:val="none"/>
        </w:rPr>
        <w:t>保护装置外接电源为</w:t>
      </w:r>
      <w:r>
        <w:rPr>
          <w:rFonts w:hint="eastAsia"/>
          <w:color w:val="auto"/>
          <w:sz w:val="24"/>
          <w:highlight w:val="none"/>
          <w:lang w:val="en-US" w:eastAsia="zh-CN"/>
        </w:rPr>
        <w:t>220</w:t>
      </w:r>
      <w:r>
        <w:rPr>
          <w:color w:val="auto"/>
          <w:sz w:val="24"/>
          <w:highlight w:val="none"/>
        </w:rPr>
        <w:t>V</w:t>
      </w:r>
      <w:r>
        <w:rPr>
          <w:rFonts w:hint="eastAsia"/>
          <w:color w:val="auto"/>
          <w:sz w:val="24"/>
          <w:highlight w:val="none"/>
          <w:lang w:val="en-US" w:eastAsia="zh-CN"/>
        </w:rPr>
        <w:t>(</w:t>
      </w:r>
      <w:r>
        <w:rPr>
          <w:color w:val="auto"/>
          <w:sz w:val="24"/>
          <w:highlight w:val="none"/>
        </w:rPr>
        <w:t>DC</w:t>
      </w:r>
      <w:r>
        <w:rPr>
          <w:rFonts w:hint="eastAsia"/>
          <w:color w:val="auto"/>
          <w:sz w:val="24"/>
          <w:highlight w:val="none"/>
          <w:lang w:val="en-US" w:eastAsia="zh-CN"/>
        </w:rPr>
        <w:t>)</w:t>
      </w:r>
      <w:r>
        <w:rPr>
          <w:color w:val="auto"/>
          <w:sz w:val="24"/>
          <w:highlight w:val="none"/>
        </w:rPr>
        <w:t>。</w:t>
      </w:r>
    </w:p>
    <w:p w14:paraId="754394A5">
      <w:pPr>
        <w:spacing w:line="360" w:lineRule="auto"/>
        <w:ind w:firstLine="480"/>
        <w:rPr>
          <w:color w:val="auto"/>
          <w:sz w:val="24"/>
          <w:highlight w:val="none"/>
        </w:rPr>
      </w:pPr>
      <w:r>
        <w:rPr>
          <w:color w:val="auto"/>
          <w:sz w:val="24"/>
          <w:highlight w:val="none"/>
        </w:rPr>
        <w:t>各保护装置跳闸出口采用硬接线直接出口。</w:t>
      </w:r>
    </w:p>
    <w:p w14:paraId="1E6170B0">
      <w:pPr>
        <w:spacing w:line="360" w:lineRule="auto"/>
        <w:rPr>
          <w:color w:val="auto"/>
          <w:sz w:val="24"/>
          <w:highlight w:val="none"/>
        </w:rPr>
      </w:pPr>
      <w:r>
        <w:rPr>
          <w:color w:val="auto"/>
          <w:sz w:val="24"/>
          <w:highlight w:val="none"/>
        </w:rPr>
        <w:t>4.2.3</w:t>
      </w:r>
      <w:r>
        <w:rPr>
          <w:rFonts w:hint="eastAsia"/>
          <w:color w:val="auto"/>
          <w:sz w:val="24"/>
          <w:highlight w:val="none"/>
          <w:lang w:val="en-US" w:eastAsia="zh-CN"/>
        </w:rPr>
        <w:t>室外设备</w:t>
      </w:r>
      <w:r>
        <w:rPr>
          <w:color w:val="auto"/>
          <w:sz w:val="24"/>
          <w:highlight w:val="none"/>
        </w:rPr>
        <w:t>照明及检修系统</w:t>
      </w:r>
    </w:p>
    <w:p w14:paraId="1ACE29F7">
      <w:pPr>
        <w:spacing w:line="360" w:lineRule="auto"/>
        <w:rPr>
          <w:color w:val="auto"/>
          <w:sz w:val="24"/>
          <w:highlight w:val="none"/>
        </w:rPr>
      </w:pPr>
      <w:r>
        <w:rPr>
          <w:color w:val="auto"/>
          <w:sz w:val="24"/>
          <w:highlight w:val="none"/>
        </w:rPr>
        <w:t>4.2.3.1照明系统</w:t>
      </w:r>
    </w:p>
    <w:p w14:paraId="4AC5FBE9">
      <w:pPr>
        <w:spacing w:line="360" w:lineRule="auto"/>
        <w:ind w:firstLine="0"/>
        <w:rPr>
          <w:rFonts w:hint="eastAsia"/>
          <w:color w:val="auto"/>
          <w:sz w:val="24"/>
          <w:highlight w:val="none"/>
        </w:rPr>
      </w:pPr>
      <w:r>
        <w:rPr>
          <w:rFonts w:hint="eastAsia"/>
          <w:color w:val="auto"/>
          <w:sz w:val="24"/>
          <w:highlight w:val="none"/>
        </w:rPr>
        <w:t xml:space="preserve">照明由两个子系统组成: </w:t>
      </w:r>
      <w:r>
        <w:rPr>
          <w:rFonts w:hint="eastAsia"/>
          <w:color w:val="auto"/>
          <w:sz w:val="24"/>
          <w:highlight w:val="none"/>
          <w:lang w:val="en-US" w:eastAsia="zh-CN"/>
        </w:rPr>
        <w:t>室外设备</w:t>
      </w:r>
      <w:r>
        <w:rPr>
          <w:rFonts w:hint="eastAsia"/>
          <w:color w:val="auto"/>
          <w:sz w:val="24"/>
          <w:highlight w:val="none"/>
        </w:rPr>
        <w:t>照明系统</w:t>
      </w:r>
      <w:r>
        <w:rPr>
          <w:rFonts w:hint="eastAsia"/>
          <w:color w:val="auto"/>
          <w:sz w:val="24"/>
          <w:highlight w:val="none"/>
          <w:lang w:val="en-US" w:eastAsia="zh-CN"/>
        </w:rPr>
        <w:t>和建筑物内照明</w:t>
      </w:r>
      <w:r>
        <w:rPr>
          <w:rFonts w:hint="eastAsia"/>
          <w:color w:val="auto"/>
          <w:sz w:val="24"/>
          <w:highlight w:val="none"/>
        </w:rPr>
        <w:t>。本项目负责脱硫范围内所有的</w:t>
      </w:r>
      <w:r>
        <w:rPr>
          <w:rFonts w:hint="eastAsia"/>
          <w:color w:val="auto"/>
          <w:sz w:val="24"/>
          <w:highlight w:val="none"/>
          <w:lang w:val="en-US" w:eastAsia="zh-CN"/>
        </w:rPr>
        <w:t>室外设备</w:t>
      </w:r>
      <w:r>
        <w:rPr>
          <w:rFonts w:hint="eastAsia"/>
          <w:color w:val="auto"/>
          <w:sz w:val="24"/>
          <w:highlight w:val="none"/>
        </w:rPr>
        <w:t>照明。道路</w:t>
      </w:r>
      <w:r>
        <w:rPr>
          <w:rFonts w:hint="eastAsia"/>
          <w:color w:val="auto"/>
          <w:sz w:val="24"/>
          <w:highlight w:val="none"/>
          <w:lang w:eastAsia="zh-CN"/>
        </w:rPr>
        <w:t>及建构筑物内</w:t>
      </w:r>
      <w:r>
        <w:rPr>
          <w:rFonts w:hint="eastAsia"/>
          <w:color w:val="auto"/>
          <w:sz w:val="24"/>
          <w:highlight w:val="none"/>
        </w:rPr>
        <w:t>照明由</w:t>
      </w:r>
      <w:r>
        <w:rPr>
          <w:rFonts w:hint="eastAsia"/>
          <w:color w:val="auto"/>
          <w:sz w:val="24"/>
          <w:highlight w:val="none"/>
          <w:lang w:val="en-US" w:eastAsia="zh-CN"/>
        </w:rPr>
        <w:t>招标方</w:t>
      </w:r>
      <w:r>
        <w:rPr>
          <w:rFonts w:hint="eastAsia"/>
          <w:color w:val="auto"/>
          <w:sz w:val="24"/>
          <w:highlight w:val="none"/>
        </w:rPr>
        <w:t>主体统一考虑。</w:t>
      </w:r>
    </w:p>
    <w:p w14:paraId="47A1B768">
      <w:pPr>
        <w:rPr>
          <w:rFonts w:hint="eastAsia"/>
          <w:color w:val="auto"/>
          <w:highlight w:val="none"/>
          <w:lang w:val="en-US" w:eastAsia="zh-CN"/>
        </w:rPr>
      </w:pPr>
      <w:r>
        <w:rPr>
          <w:rFonts w:hint="eastAsia"/>
          <w:color w:val="auto"/>
          <w:sz w:val="24"/>
          <w:highlight w:val="none"/>
        </w:rPr>
        <w:t>脱硫区内</w:t>
      </w:r>
      <w:r>
        <w:rPr>
          <w:rFonts w:hint="eastAsia"/>
          <w:color w:val="auto"/>
          <w:sz w:val="24"/>
          <w:highlight w:val="none"/>
          <w:lang w:eastAsia="zh-CN"/>
        </w:rPr>
        <w:t>除建构筑物外</w:t>
      </w:r>
      <w:r>
        <w:rPr>
          <w:rFonts w:hint="eastAsia"/>
          <w:color w:val="auto"/>
          <w:sz w:val="24"/>
          <w:highlight w:val="none"/>
        </w:rPr>
        <w:t>照明设计</w:t>
      </w:r>
      <w:r>
        <w:rPr>
          <w:rFonts w:hint="eastAsia"/>
          <w:color w:val="auto"/>
          <w:sz w:val="24"/>
          <w:highlight w:val="none"/>
          <w:lang w:eastAsia="zh-CN"/>
        </w:rPr>
        <w:t>、</w:t>
      </w:r>
      <w:r>
        <w:rPr>
          <w:rFonts w:hint="eastAsia"/>
          <w:color w:val="auto"/>
          <w:sz w:val="24"/>
          <w:highlight w:val="none"/>
          <w:lang w:val="en-US" w:eastAsia="zh-CN"/>
        </w:rPr>
        <w:t>供货、安装</w:t>
      </w:r>
      <w:r>
        <w:rPr>
          <w:rFonts w:hint="eastAsia"/>
          <w:color w:val="auto"/>
          <w:sz w:val="24"/>
          <w:highlight w:val="none"/>
        </w:rPr>
        <w:t>由</w:t>
      </w:r>
      <w:r>
        <w:rPr>
          <w:rFonts w:hint="eastAsia"/>
          <w:color w:val="auto"/>
          <w:sz w:val="24"/>
          <w:highlight w:val="none"/>
          <w:lang w:eastAsia="zh-CN"/>
        </w:rPr>
        <w:t>投标方</w:t>
      </w:r>
      <w:r>
        <w:rPr>
          <w:rFonts w:hint="eastAsia"/>
          <w:color w:val="auto"/>
          <w:sz w:val="24"/>
          <w:highlight w:val="none"/>
        </w:rPr>
        <w:t>负责。</w:t>
      </w:r>
      <w:r>
        <w:rPr>
          <w:rFonts w:hint="eastAsia"/>
          <w:color w:val="auto"/>
          <w:highlight w:val="none"/>
          <w:lang w:val="en-US" w:eastAsia="zh-CN"/>
        </w:rPr>
        <w:t>所有照明均为LED灯</w:t>
      </w:r>
      <w:r>
        <w:rPr>
          <w:rFonts w:hint="eastAsia"/>
          <w:color w:val="auto"/>
          <w:highlight w:val="none"/>
          <w:lang w:eastAsia="zh-CN"/>
        </w:rPr>
        <w:t>。</w:t>
      </w:r>
    </w:p>
    <w:p w14:paraId="36AC18ED">
      <w:pPr>
        <w:spacing w:line="360" w:lineRule="auto"/>
        <w:rPr>
          <w:color w:val="auto"/>
          <w:sz w:val="24"/>
          <w:highlight w:val="none"/>
        </w:rPr>
      </w:pPr>
      <w:r>
        <w:rPr>
          <w:color w:val="auto"/>
          <w:sz w:val="24"/>
          <w:highlight w:val="none"/>
        </w:rPr>
        <w:t>4.2.3.2检修电源系统及</w:t>
      </w:r>
      <w:r>
        <w:rPr>
          <w:rFonts w:hint="eastAsia"/>
          <w:color w:val="auto"/>
          <w:sz w:val="24"/>
          <w:highlight w:val="none"/>
          <w:lang w:eastAsia="zh-CN"/>
        </w:rPr>
        <w:t>起重</w:t>
      </w:r>
      <w:r>
        <w:rPr>
          <w:color w:val="auto"/>
          <w:sz w:val="24"/>
          <w:highlight w:val="none"/>
        </w:rPr>
        <w:t>滑触线</w:t>
      </w:r>
    </w:p>
    <w:p w14:paraId="666F0187">
      <w:pPr>
        <w:spacing w:line="360" w:lineRule="auto"/>
        <w:ind w:firstLine="480" w:firstLineChars="200"/>
        <w:rPr>
          <w:color w:val="auto"/>
          <w:sz w:val="24"/>
          <w:highlight w:val="none"/>
        </w:rPr>
      </w:pPr>
      <w:r>
        <w:rPr>
          <w:color w:val="auto"/>
          <w:sz w:val="24"/>
          <w:highlight w:val="none"/>
        </w:rPr>
        <w:t>检修负荷包括就地检修电源箱、起吊设施等，在脱硫区域等处设置检修电源箱，在起吊设施旁设置铁壳开关箱，电源由就近的PC段或MCC段引接，以三相四线制的单电源方式对检修配电箱或检修铁壳开关等供电，供连接电焊机、检修照明及其它电动工具使用。</w:t>
      </w:r>
    </w:p>
    <w:p w14:paraId="6CEE5550">
      <w:pPr>
        <w:spacing w:line="360" w:lineRule="auto"/>
        <w:ind w:firstLine="480" w:firstLineChars="200"/>
        <w:rPr>
          <w:color w:val="auto"/>
          <w:sz w:val="24"/>
          <w:highlight w:val="none"/>
        </w:rPr>
      </w:pPr>
      <w:r>
        <w:rPr>
          <w:color w:val="auto"/>
          <w:sz w:val="24"/>
          <w:highlight w:val="none"/>
        </w:rPr>
        <w:t>在吸收塔等区域设置检修电源箱。检修箱外壳采用不锈钢材质，厚度不小于2.</w:t>
      </w:r>
      <w:r>
        <w:rPr>
          <w:rFonts w:hint="eastAsia"/>
          <w:color w:val="auto"/>
          <w:sz w:val="24"/>
          <w:highlight w:val="none"/>
        </w:rPr>
        <w:t>0</w:t>
      </w:r>
      <w:r>
        <w:rPr>
          <w:color w:val="auto"/>
          <w:sz w:val="24"/>
          <w:highlight w:val="none"/>
        </w:rPr>
        <w:t>mm。电气元器件选用ABB、SIEMENS或施耐德公司最新优质产品。</w:t>
      </w:r>
    </w:p>
    <w:p w14:paraId="449CD9EE">
      <w:pPr>
        <w:spacing w:line="360" w:lineRule="auto"/>
        <w:ind w:firstLine="480" w:firstLineChars="200"/>
        <w:rPr>
          <w:rFonts w:hint="eastAsia"/>
          <w:color w:val="auto"/>
          <w:sz w:val="24"/>
          <w:highlight w:val="none"/>
        </w:rPr>
      </w:pPr>
      <w:r>
        <w:rPr>
          <w:color w:val="auto"/>
          <w:sz w:val="24"/>
          <w:highlight w:val="none"/>
        </w:rPr>
        <w:t>每个检修电源箱内设置总电源开关，支路开关均应带漏电保护，支路开关不得少于4路，应设多个交流安全型380V插座及220V插座，并配有“一机一闸</w:t>
      </w:r>
      <w:r>
        <w:rPr>
          <w:rFonts w:hint="eastAsia"/>
          <w:color w:val="auto"/>
          <w:sz w:val="24"/>
          <w:highlight w:val="none"/>
        </w:rPr>
        <w:t>一</w:t>
      </w:r>
      <w:r>
        <w:rPr>
          <w:color w:val="auto"/>
          <w:sz w:val="24"/>
          <w:highlight w:val="none"/>
        </w:rPr>
        <w:t>漏电保护装置”。任何检修位置至检修箱的距离均不应超过50m。在检修箱内应设置三相插座或三相接线端子（其额定电流不小于80A）。根据IEC309的要求，安装在室外墙上的检修箱应有防冲击、风沙及直射阳光等的外罩，专用插座应配备专用插头。检修箱防护等级为户内IP54，户外IP56</w:t>
      </w:r>
      <w:r>
        <w:rPr>
          <w:rFonts w:hint="eastAsia"/>
          <w:color w:val="auto"/>
          <w:sz w:val="24"/>
          <w:highlight w:val="none"/>
        </w:rPr>
        <w:t>，安装在爆炸危险场所的检修箱，应按最新国家标准防爆等级执行</w:t>
      </w:r>
      <w:r>
        <w:rPr>
          <w:color w:val="auto"/>
          <w:sz w:val="24"/>
          <w:highlight w:val="none"/>
        </w:rPr>
        <w:t>。</w:t>
      </w:r>
    </w:p>
    <w:p w14:paraId="23A0385E">
      <w:pPr>
        <w:spacing w:line="360" w:lineRule="auto"/>
        <w:ind w:firstLine="480" w:firstLineChars="200"/>
        <w:rPr>
          <w:color w:val="auto"/>
          <w:sz w:val="24"/>
          <w:highlight w:val="none"/>
        </w:rPr>
      </w:pPr>
      <w:r>
        <w:rPr>
          <w:color w:val="auto"/>
          <w:sz w:val="24"/>
          <w:highlight w:val="none"/>
        </w:rPr>
        <w:t>脱硫区内所有电动起吊设施均采用安全滑触线供电。设计时可考虑三相水平布置或垂直布置。滑触线根据容量采用单相或三相。</w:t>
      </w:r>
    </w:p>
    <w:p w14:paraId="49F2D4EA">
      <w:pPr>
        <w:spacing w:line="360" w:lineRule="auto"/>
        <w:ind w:firstLine="480" w:firstLineChars="200"/>
        <w:rPr>
          <w:rFonts w:hint="default" w:eastAsia="宋体"/>
          <w:color w:val="auto"/>
          <w:sz w:val="24"/>
          <w:highlight w:val="none"/>
          <w:lang w:eastAsia="zh-CN"/>
        </w:rPr>
      </w:pPr>
      <w:r>
        <w:rPr>
          <w:color w:val="auto"/>
          <w:sz w:val="24"/>
          <w:highlight w:val="none"/>
        </w:rPr>
        <w:t>脱硫区内</w:t>
      </w:r>
      <w:r>
        <w:rPr>
          <w:rFonts w:hint="default"/>
          <w:color w:val="auto"/>
          <w:sz w:val="24"/>
          <w:highlight w:val="none"/>
        </w:rPr>
        <w:t>检修电源箱</w:t>
      </w:r>
      <w:r>
        <w:rPr>
          <w:color w:val="auto"/>
          <w:sz w:val="24"/>
          <w:highlight w:val="none"/>
        </w:rPr>
        <w:t>、行车滑触线设计</w:t>
      </w:r>
      <w:r>
        <w:rPr>
          <w:rFonts w:hint="default"/>
          <w:color w:val="auto"/>
          <w:sz w:val="24"/>
          <w:highlight w:val="none"/>
          <w:lang w:eastAsia="zh-CN"/>
        </w:rPr>
        <w:t>、</w:t>
      </w:r>
      <w:r>
        <w:rPr>
          <w:rFonts w:hint="default"/>
          <w:color w:val="auto"/>
          <w:sz w:val="24"/>
          <w:highlight w:val="none"/>
          <w:lang w:val="en-US" w:eastAsia="zh-CN"/>
        </w:rPr>
        <w:t>供货、安装</w:t>
      </w:r>
      <w:r>
        <w:rPr>
          <w:color w:val="auto"/>
          <w:sz w:val="24"/>
          <w:highlight w:val="none"/>
        </w:rPr>
        <w:t>由</w:t>
      </w:r>
      <w:r>
        <w:rPr>
          <w:rFonts w:hint="default"/>
          <w:color w:val="auto"/>
          <w:sz w:val="24"/>
          <w:highlight w:val="none"/>
          <w:lang w:eastAsia="zh-CN"/>
        </w:rPr>
        <w:t>投标方</w:t>
      </w:r>
      <w:r>
        <w:rPr>
          <w:color w:val="auto"/>
          <w:sz w:val="24"/>
          <w:highlight w:val="none"/>
        </w:rPr>
        <w:t>负责</w:t>
      </w:r>
      <w:r>
        <w:rPr>
          <w:rFonts w:hint="default"/>
          <w:color w:val="auto"/>
          <w:sz w:val="24"/>
          <w:highlight w:val="none"/>
          <w:lang w:eastAsia="zh-CN"/>
        </w:rPr>
        <w:t>。</w:t>
      </w:r>
    </w:p>
    <w:p w14:paraId="3F9EE963">
      <w:pPr>
        <w:spacing w:line="360" w:lineRule="auto"/>
        <w:rPr>
          <w:color w:val="auto"/>
          <w:sz w:val="24"/>
          <w:highlight w:val="none"/>
        </w:rPr>
      </w:pPr>
      <w:r>
        <w:rPr>
          <w:color w:val="auto"/>
          <w:sz w:val="24"/>
          <w:highlight w:val="none"/>
        </w:rPr>
        <w:t>4.2.4防雷接地系统</w:t>
      </w:r>
    </w:p>
    <w:p w14:paraId="41D28399">
      <w:pPr>
        <w:spacing w:line="360" w:lineRule="auto"/>
        <w:rPr>
          <w:color w:val="auto"/>
          <w:sz w:val="24"/>
          <w:highlight w:val="none"/>
        </w:rPr>
      </w:pPr>
      <w:r>
        <w:rPr>
          <w:color w:val="auto"/>
          <w:sz w:val="24"/>
          <w:highlight w:val="none"/>
        </w:rPr>
        <w:t>4.2.4.1接地系统</w:t>
      </w:r>
    </w:p>
    <w:p w14:paraId="794D8BCC">
      <w:pPr>
        <w:spacing w:line="360" w:lineRule="auto"/>
        <w:ind w:firstLine="480" w:firstLineChars="200"/>
        <w:rPr>
          <w:color w:val="auto"/>
          <w:sz w:val="24"/>
          <w:highlight w:val="none"/>
        </w:rPr>
      </w:pPr>
      <w:r>
        <w:rPr>
          <w:color w:val="auto"/>
          <w:sz w:val="24"/>
          <w:highlight w:val="none"/>
        </w:rPr>
        <w:t>接地系统，应符合GB、DL及IEC标准的相关要求。</w:t>
      </w:r>
    </w:p>
    <w:p w14:paraId="6DD0F07C">
      <w:pPr>
        <w:spacing w:line="360" w:lineRule="auto"/>
        <w:ind w:firstLine="480" w:firstLineChars="200"/>
        <w:rPr>
          <w:rFonts w:hint="eastAsia"/>
          <w:color w:val="auto"/>
          <w:sz w:val="24"/>
          <w:highlight w:val="none"/>
        </w:rPr>
      </w:pPr>
      <w:r>
        <w:rPr>
          <w:color w:val="auto"/>
          <w:sz w:val="24"/>
          <w:highlight w:val="none"/>
        </w:rPr>
        <w:t>脱硫区内</w:t>
      </w:r>
      <w:r>
        <w:rPr>
          <w:rFonts w:hint="eastAsia"/>
          <w:color w:val="auto"/>
          <w:sz w:val="24"/>
          <w:highlight w:val="none"/>
        </w:rPr>
        <w:t>为</w:t>
      </w:r>
      <w:r>
        <w:rPr>
          <w:color w:val="auto"/>
          <w:sz w:val="24"/>
          <w:highlight w:val="none"/>
        </w:rPr>
        <w:t>独立闭合接地网，其接地电阻≤</w:t>
      </w:r>
      <w:r>
        <w:rPr>
          <w:rFonts w:hint="eastAsia"/>
          <w:color w:val="auto"/>
          <w:sz w:val="24"/>
          <w:highlight w:val="none"/>
        </w:rPr>
        <w:t>4</w:t>
      </w:r>
      <w:r>
        <w:rPr>
          <w:color w:val="auto"/>
          <w:sz w:val="24"/>
          <w:highlight w:val="none"/>
        </w:rPr>
        <w:t>Ω。脱硫区接地网应至少有</w:t>
      </w:r>
      <w:r>
        <w:rPr>
          <w:rFonts w:hint="eastAsia"/>
          <w:color w:val="auto"/>
          <w:sz w:val="24"/>
          <w:highlight w:val="none"/>
        </w:rPr>
        <w:t>四</w:t>
      </w:r>
      <w:r>
        <w:rPr>
          <w:color w:val="auto"/>
          <w:sz w:val="24"/>
          <w:highlight w:val="none"/>
        </w:rPr>
        <w:t>处与电厂的主接地网电气连接。接地装置以水平接地体为主，并与垂直接地体组成复合人工接地网。</w:t>
      </w:r>
      <w:r>
        <w:rPr>
          <w:rFonts w:hint="eastAsia"/>
          <w:color w:val="auto"/>
          <w:sz w:val="24"/>
          <w:highlight w:val="none"/>
        </w:rPr>
        <w:t>室外</w:t>
      </w:r>
      <w:r>
        <w:rPr>
          <w:color w:val="auto"/>
          <w:sz w:val="24"/>
          <w:highlight w:val="none"/>
        </w:rPr>
        <w:t>水平接地体采用</w:t>
      </w:r>
      <w:r>
        <w:rPr>
          <w:rFonts w:hint="eastAsia"/>
          <w:color w:val="auto"/>
          <w:sz w:val="24"/>
          <w:highlight w:val="none"/>
        </w:rPr>
        <w:t>TJ-150mm</w:t>
      </w:r>
      <w:r>
        <w:rPr>
          <w:color w:val="auto"/>
          <w:sz w:val="24"/>
          <w:highlight w:val="none"/>
          <w:vertAlign w:val="superscript"/>
        </w:rPr>
        <w:t>2</w:t>
      </w:r>
      <w:r>
        <w:rPr>
          <w:rFonts w:hint="eastAsia"/>
          <w:color w:val="auto"/>
          <w:sz w:val="24"/>
          <w:highlight w:val="none"/>
        </w:rPr>
        <w:t>的镀锡铜绞线、室内水平接地体采用TJ-95mm</w:t>
      </w:r>
      <w:r>
        <w:rPr>
          <w:color w:val="auto"/>
          <w:sz w:val="24"/>
          <w:highlight w:val="none"/>
          <w:vertAlign w:val="superscript"/>
        </w:rPr>
        <w:t>2</w:t>
      </w:r>
      <w:r>
        <w:rPr>
          <w:rFonts w:hint="eastAsia"/>
          <w:color w:val="auto"/>
          <w:sz w:val="24"/>
          <w:highlight w:val="none"/>
        </w:rPr>
        <w:t xml:space="preserve"> 的镀锡铜绞线、垂直接地体采用φ20 L=2500mm铜棒,且接地体型号与主体一致</w:t>
      </w:r>
      <w:r>
        <w:rPr>
          <w:color w:val="auto"/>
          <w:sz w:val="24"/>
          <w:highlight w:val="none"/>
        </w:rPr>
        <w:t>。</w:t>
      </w:r>
    </w:p>
    <w:p w14:paraId="16E441FA">
      <w:pPr>
        <w:spacing w:line="360" w:lineRule="auto"/>
        <w:ind w:firstLine="480" w:firstLineChars="200"/>
        <w:rPr>
          <w:rFonts w:hint="eastAsia"/>
          <w:color w:val="auto"/>
          <w:sz w:val="24"/>
          <w:highlight w:val="none"/>
          <w:lang w:val="zh-CN"/>
        </w:rPr>
      </w:pPr>
      <w:r>
        <w:rPr>
          <w:rFonts w:hint="eastAsia"/>
          <w:color w:val="auto"/>
          <w:sz w:val="24"/>
          <w:highlight w:val="none"/>
          <w:lang w:val="en-US" w:eastAsia="zh-CN"/>
        </w:rPr>
        <w:t>本工程</w:t>
      </w:r>
      <w:r>
        <w:rPr>
          <w:rFonts w:hint="eastAsia"/>
          <w:color w:val="auto"/>
          <w:sz w:val="24"/>
          <w:highlight w:val="none"/>
          <w:lang w:val="zh-CN"/>
        </w:rPr>
        <w:t>接地系统</w:t>
      </w:r>
      <w:r>
        <w:rPr>
          <w:rFonts w:hint="eastAsia"/>
          <w:color w:val="auto"/>
          <w:sz w:val="24"/>
          <w:highlight w:val="none"/>
          <w:lang w:val="en-US" w:eastAsia="zh-CN"/>
        </w:rPr>
        <w:t>由投标方设计并提资给主体设计院</w:t>
      </w:r>
      <w:r>
        <w:rPr>
          <w:rFonts w:hint="eastAsia"/>
          <w:color w:val="auto"/>
          <w:sz w:val="24"/>
          <w:highlight w:val="none"/>
          <w:lang w:val="zh-CN"/>
        </w:rPr>
        <w:t>、</w:t>
      </w:r>
      <w:r>
        <w:rPr>
          <w:rFonts w:hint="eastAsia"/>
          <w:color w:val="auto"/>
          <w:sz w:val="24"/>
          <w:highlight w:val="none"/>
          <w:lang w:val="en-US" w:eastAsia="zh-CN"/>
        </w:rPr>
        <w:t>投标方只负责设备与主接地网间的供货与施工</w:t>
      </w:r>
      <w:r>
        <w:rPr>
          <w:rFonts w:hint="eastAsia"/>
          <w:color w:val="auto"/>
          <w:sz w:val="24"/>
          <w:highlight w:val="none"/>
          <w:lang w:val="zh-CN"/>
        </w:rPr>
        <w:t>。</w:t>
      </w:r>
    </w:p>
    <w:p w14:paraId="79B9CE17">
      <w:pPr>
        <w:spacing w:line="360" w:lineRule="auto"/>
        <w:rPr>
          <w:color w:val="auto"/>
          <w:sz w:val="24"/>
          <w:highlight w:val="none"/>
        </w:rPr>
      </w:pPr>
      <w:r>
        <w:rPr>
          <w:color w:val="auto"/>
          <w:sz w:val="24"/>
          <w:highlight w:val="none"/>
        </w:rPr>
        <w:t>4.2.4.2防雷系统</w:t>
      </w:r>
    </w:p>
    <w:p w14:paraId="687CF662">
      <w:pPr>
        <w:spacing w:line="360" w:lineRule="auto"/>
        <w:ind w:firstLine="480"/>
        <w:rPr>
          <w:rFonts w:hint="eastAsia"/>
          <w:color w:val="auto"/>
          <w:sz w:val="24"/>
          <w:highlight w:val="none"/>
        </w:rPr>
      </w:pPr>
      <w:r>
        <w:rPr>
          <w:color w:val="auto"/>
          <w:sz w:val="24"/>
          <w:highlight w:val="none"/>
        </w:rPr>
        <w:t>防雷保护系统的布置、尺寸和结构要求应符合相关的GB、DL及IEC标准。</w:t>
      </w:r>
    </w:p>
    <w:p w14:paraId="3B200FF6">
      <w:pPr>
        <w:spacing w:line="360" w:lineRule="auto"/>
        <w:ind w:firstLine="480" w:firstLineChars="0"/>
        <w:rPr>
          <w:color w:val="auto"/>
          <w:sz w:val="24"/>
          <w:highlight w:val="none"/>
        </w:rPr>
      </w:pPr>
      <w:r>
        <w:rPr>
          <w:color w:val="auto"/>
          <w:sz w:val="24"/>
          <w:highlight w:val="none"/>
        </w:rPr>
        <w:t>接闪杆和接闪带的引下线在距地面2000mm及以内有高牢固的PVC保护管。</w:t>
      </w:r>
    </w:p>
    <w:p w14:paraId="76F27598">
      <w:pPr>
        <w:spacing w:line="360" w:lineRule="auto"/>
        <w:rPr>
          <w:color w:val="auto"/>
          <w:sz w:val="24"/>
          <w:highlight w:val="none"/>
        </w:rPr>
      </w:pPr>
      <w:r>
        <w:rPr>
          <w:color w:val="auto"/>
          <w:sz w:val="24"/>
          <w:highlight w:val="none"/>
        </w:rPr>
        <w:t>4.2.5通信</w:t>
      </w:r>
      <w:r>
        <w:rPr>
          <w:rFonts w:hint="eastAsia"/>
          <w:color w:val="auto"/>
          <w:sz w:val="24"/>
          <w:highlight w:val="none"/>
          <w:lang w:eastAsia="zh-CN"/>
        </w:rPr>
        <w:t>、</w:t>
      </w:r>
      <w:r>
        <w:rPr>
          <w:rFonts w:hint="eastAsia"/>
          <w:color w:val="auto"/>
          <w:sz w:val="24"/>
          <w:highlight w:val="none"/>
          <w:lang w:val="en-US" w:eastAsia="zh-CN"/>
        </w:rPr>
        <w:t>信息</w:t>
      </w:r>
      <w:r>
        <w:rPr>
          <w:color w:val="auto"/>
          <w:sz w:val="24"/>
          <w:highlight w:val="none"/>
        </w:rPr>
        <w:t>系统</w:t>
      </w:r>
    </w:p>
    <w:p w14:paraId="51B1AC52">
      <w:pPr>
        <w:spacing w:line="360" w:lineRule="auto"/>
        <w:ind w:firstLine="480"/>
        <w:rPr>
          <w:color w:val="auto"/>
          <w:sz w:val="24"/>
          <w:highlight w:val="none"/>
        </w:rPr>
      </w:pPr>
      <w:r>
        <w:rPr>
          <w:color w:val="auto"/>
          <w:sz w:val="24"/>
          <w:highlight w:val="none"/>
        </w:rPr>
        <w:t>脱硫范围内的通信</w:t>
      </w:r>
      <w:r>
        <w:rPr>
          <w:rFonts w:hint="eastAsia"/>
          <w:color w:val="auto"/>
          <w:sz w:val="24"/>
          <w:highlight w:val="none"/>
          <w:lang w:eastAsia="zh-CN"/>
        </w:rPr>
        <w:t>、</w:t>
      </w:r>
      <w:r>
        <w:rPr>
          <w:rFonts w:hint="eastAsia"/>
          <w:color w:val="auto"/>
          <w:sz w:val="24"/>
          <w:highlight w:val="none"/>
          <w:lang w:val="en-US" w:eastAsia="zh-CN"/>
        </w:rPr>
        <w:t>信息</w:t>
      </w:r>
      <w:r>
        <w:rPr>
          <w:color w:val="auto"/>
          <w:sz w:val="24"/>
          <w:highlight w:val="none"/>
        </w:rPr>
        <w:t>形式与主体工程保持一致。</w:t>
      </w:r>
    </w:p>
    <w:p w14:paraId="3B78823B">
      <w:pPr>
        <w:spacing w:line="360" w:lineRule="auto"/>
        <w:ind w:firstLine="480"/>
        <w:rPr>
          <w:rFonts w:hint="default" w:eastAsia="宋体"/>
          <w:color w:val="auto"/>
          <w:sz w:val="24"/>
          <w:highlight w:val="none"/>
          <w:lang w:val="en-US" w:eastAsia="zh-CN"/>
        </w:rPr>
      </w:pPr>
      <w:r>
        <w:rPr>
          <w:rFonts w:hint="default"/>
          <w:color w:val="auto"/>
          <w:sz w:val="24"/>
          <w:highlight w:val="none"/>
          <w:lang w:val="en-US" w:eastAsia="zh-CN"/>
        </w:rPr>
        <w:t>本工程</w:t>
      </w:r>
      <w:r>
        <w:rPr>
          <w:color w:val="auto"/>
          <w:sz w:val="24"/>
          <w:highlight w:val="none"/>
        </w:rPr>
        <w:t>通信</w:t>
      </w:r>
      <w:r>
        <w:rPr>
          <w:rFonts w:hint="default"/>
          <w:color w:val="auto"/>
          <w:sz w:val="24"/>
          <w:highlight w:val="none"/>
          <w:lang w:eastAsia="zh-CN"/>
        </w:rPr>
        <w:t>、</w:t>
      </w:r>
      <w:r>
        <w:rPr>
          <w:rFonts w:hint="default"/>
          <w:color w:val="auto"/>
          <w:sz w:val="24"/>
          <w:highlight w:val="none"/>
          <w:lang w:val="en-US" w:eastAsia="zh-CN"/>
        </w:rPr>
        <w:t>信息</w:t>
      </w:r>
      <w:r>
        <w:rPr>
          <w:color w:val="auto"/>
          <w:sz w:val="24"/>
          <w:highlight w:val="none"/>
        </w:rPr>
        <w:t>系统</w:t>
      </w:r>
      <w:r>
        <w:rPr>
          <w:rFonts w:hint="default"/>
          <w:color w:val="auto"/>
          <w:sz w:val="24"/>
          <w:highlight w:val="none"/>
        </w:rPr>
        <w:t>由</w:t>
      </w:r>
      <w:r>
        <w:rPr>
          <w:rFonts w:hint="default"/>
          <w:color w:val="auto"/>
          <w:sz w:val="24"/>
          <w:highlight w:val="none"/>
          <w:lang w:val="en-US" w:eastAsia="zh-CN"/>
        </w:rPr>
        <w:t>投</w:t>
      </w:r>
      <w:r>
        <w:rPr>
          <w:rFonts w:hint="default"/>
          <w:color w:val="auto"/>
          <w:sz w:val="24"/>
          <w:highlight w:val="none"/>
          <w:lang w:eastAsia="zh-CN"/>
        </w:rPr>
        <w:t>标方</w:t>
      </w:r>
      <w:r>
        <w:rPr>
          <w:color w:val="auto"/>
          <w:sz w:val="24"/>
          <w:highlight w:val="none"/>
        </w:rPr>
        <w:t>负责</w:t>
      </w:r>
      <w:r>
        <w:rPr>
          <w:rFonts w:hint="default"/>
          <w:color w:val="auto"/>
          <w:sz w:val="24"/>
          <w:highlight w:val="none"/>
          <w:lang w:val="en-US" w:eastAsia="zh-CN"/>
        </w:rPr>
        <w:t>设计并提资</w:t>
      </w:r>
      <w:r>
        <w:rPr>
          <w:color w:val="auto"/>
          <w:sz w:val="24"/>
          <w:highlight w:val="none"/>
        </w:rPr>
        <w:t>。</w:t>
      </w:r>
      <w:r>
        <w:rPr>
          <w:rFonts w:hint="default"/>
          <w:color w:val="auto"/>
          <w:sz w:val="24"/>
          <w:highlight w:val="none"/>
          <w:lang w:val="en-US" w:eastAsia="zh-CN"/>
        </w:rPr>
        <w:t>招标方负责供货及施工。</w:t>
      </w:r>
    </w:p>
    <w:p w14:paraId="6D4D3810">
      <w:pPr>
        <w:spacing w:line="360" w:lineRule="auto"/>
        <w:rPr>
          <w:color w:val="auto"/>
          <w:sz w:val="24"/>
          <w:highlight w:val="none"/>
        </w:rPr>
      </w:pPr>
      <w:r>
        <w:rPr>
          <w:color w:val="auto"/>
          <w:sz w:val="24"/>
          <w:highlight w:val="none"/>
        </w:rPr>
        <w:t>4.2.6火灾探测报警系统</w:t>
      </w:r>
    </w:p>
    <w:p w14:paraId="449A7F2E">
      <w:pPr>
        <w:spacing w:line="360" w:lineRule="auto"/>
        <w:ind w:firstLine="480"/>
        <w:rPr>
          <w:rFonts w:hint="default"/>
          <w:color w:val="auto"/>
          <w:sz w:val="24"/>
          <w:highlight w:val="none"/>
        </w:rPr>
      </w:pPr>
      <w:r>
        <w:rPr>
          <w:color w:val="auto"/>
          <w:sz w:val="24"/>
          <w:highlight w:val="none"/>
        </w:rPr>
        <w:t>脱硫区将设</w:t>
      </w:r>
      <w:r>
        <w:rPr>
          <w:rFonts w:hint="default"/>
          <w:color w:val="auto"/>
          <w:sz w:val="24"/>
          <w:highlight w:val="none"/>
        </w:rPr>
        <w:t>区域火灾报警系统</w:t>
      </w:r>
      <w:r>
        <w:rPr>
          <w:color w:val="auto"/>
          <w:sz w:val="24"/>
          <w:highlight w:val="none"/>
        </w:rPr>
        <w:t>，</w:t>
      </w:r>
      <w:r>
        <w:rPr>
          <w:rFonts w:hint="default"/>
          <w:color w:val="auto"/>
          <w:sz w:val="24"/>
          <w:highlight w:val="none"/>
        </w:rPr>
        <w:t>脱硫</w:t>
      </w:r>
      <w:r>
        <w:rPr>
          <w:color w:val="auto"/>
          <w:sz w:val="24"/>
          <w:highlight w:val="none"/>
        </w:rPr>
        <w:t>系统的火灾报警信号和控制信号均将接入本项目脱硫</w:t>
      </w:r>
      <w:r>
        <w:rPr>
          <w:rFonts w:hint="default"/>
          <w:color w:val="auto"/>
          <w:sz w:val="24"/>
          <w:highlight w:val="none"/>
        </w:rPr>
        <w:t>区域火灾报警系统</w:t>
      </w:r>
      <w:r>
        <w:rPr>
          <w:color w:val="auto"/>
          <w:sz w:val="24"/>
          <w:highlight w:val="none"/>
        </w:rPr>
        <w:t>内。脱硫火灾报警区域控制</w:t>
      </w:r>
      <w:r>
        <w:rPr>
          <w:rFonts w:hint="default"/>
          <w:color w:val="auto"/>
          <w:sz w:val="24"/>
          <w:highlight w:val="none"/>
        </w:rPr>
        <w:t>盘与电厂</w:t>
      </w:r>
      <w:r>
        <w:rPr>
          <w:color w:val="auto"/>
          <w:sz w:val="24"/>
          <w:highlight w:val="none"/>
        </w:rPr>
        <w:t>主体集中火灾报警控制主机连接，</w:t>
      </w:r>
      <w:r>
        <w:rPr>
          <w:rFonts w:hint="default"/>
          <w:color w:val="auto"/>
          <w:sz w:val="24"/>
          <w:highlight w:val="none"/>
        </w:rPr>
        <w:t>由</w:t>
      </w:r>
      <w:r>
        <w:rPr>
          <w:color w:val="auto"/>
          <w:sz w:val="24"/>
          <w:highlight w:val="none"/>
        </w:rPr>
        <w:t>主体统一管理。</w:t>
      </w:r>
    </w:p>
    <w:p w14:paraId="31A29DC7">
      <w:pPr>
        <w:spacing w:line="360" w:lineRule="auto"/>
        <w:ind w:firstLine="480"/>
        <w:rPr>
          <w:rFonts w:hint="default"/>
          <w:color w:val="auto"/>
          <w:sz w:val="24"/>
          <w:highlight w:val="none"/>
        </w:rPr>
      </w:pPr>
      <w:r>
        <w:rPr>
          <w:rFonts w:hint="default"/>
          <w:color w:val="auto"/>
          <w:sz w:val="24"/>
          <w:highlight w:val="none"/>
        </w:rPr>
        <w:t>本项目脱硫火灾</w:t>
      </w:r>
      <w:r>
        <w:rPr>
          <w:color w:val="auto"/>
          <w:sz w:val="24"/>
          <w:highlight w:val="none"/>
        </w:rPr>
        <w:t>报警系统设备型号</w:t>
      </w:r>
      <w:r>
        <w:rPr>
          <w:rFonts w:hint="default"/>
          <w:color w:val="auto"/>
          <w:sz w:val="24"/>
          <w:highlight w:val="none"/>
        </w:rPr>
        <w:t>与主体一致</w:t>
      </w:r>
      <w:r>
        <w:rPr>
          <w:color w:val="auto"/>
          <w:sz w:val="24"/>
          <w:highlight w:val="none"/>
        </w:rPr>
        <w:t>。</w:t>
      </w:r>
    </w:p>
    <w:p w14:paraId="32FDC16B">
      <w:pPr>
        <w:spacing w:line="360" w:lineRule="auto"/>
        <w:ind w:firstLine="480"/>
        <w:rPr>
          <w:color w:val="auto"/>
          <w:sz w:val="24"/>
          <w:highlight w:val="none"/>
        </w:rPr>
      </w:pPr>
      <w:r>
        <w:rPr>
          <w:rFonts w:hint="default"/>
          <w:color w:val="auto"/>
          <w:sz w:val="24"/>
          <w:highlight w:val="none"/>
          <w:lang w:val="en-US" w:eastAsia="zh-CN"/>
        </w:rPr>
        <w:t>本工程</w:t>
      </w:r>
      <w:r>
        <w:rPr>
          <w:color w:val="auto"/>
          <w:sz w:val="24"/>
          <w:highlight w:val="none"/>
          <w:lang w:val="en-US"/>
        </w:rPr>
        <w:t>火</w:t>
      </w:r>
      <w:r>
        <w:rPr>
          <w:color w:val="auto"/>
          <w:sz w:val="24"/>
          <w:highlight w:val="none"/>
        </w:rPr>
        <w:t>灾探测报警系统由</w:t>
      </w:r>
      <w:r>
        <w:rPr>
          <w:rFonts w:hint="default"/>
          <w:color w:val="auto"/>
          <w:sz w:val="24"/>
          <w:highlight w:val="none"/>
          <w:lang w:val="en-US" w:eastAsia="zh-CN"/>
        </w:rPr>
        <w:t>投</w:t>
      </w:r>
      <w:r>
        <w:rPr>
          <w:rFonts w:hint="default"/>
          <w:color w:val="auto"/>
          <w:sz w:val="24"/>
          <w:highlight w:val="none"/>
          <w:lang w:eastAsia="zh-CN"/>
        </w:rPr>
        <w:t>标方</w:t>
      </w:r>
      <w:r>
        <w:rPr>
          <w:color w:val="auto"/>
          <w:sz w:val="24"/>
          <w:highlight w:val="none"/>
        </w:rPr>
        <w:t>负责</w:t>
      </w:r>
      <w:r>
        <w:rPr>
          <w:rFonts w:hint="default"/>
          <w:color w:val="auto"/>
          <w:sz w:val="24"/>
          <w:highlight w:val="none"/>
          <w:lang w:val="en-US" w:eastAsia="zh-CN"/>
        </w:rPr>
        <w:t>设计，招标方负责供货、施工</w:t>
      </w:r>
      <w:r>
        <w:rPr>
          <w:color w:val="auto"/>
          <w:sz w:val="24"/>
          <w:highlight w:val="none"/>
        </w:rPr>
        <w:t>。</w:t>
      </w:r>
    </w:p>
    <w:p w14:paraId="11E24F32">
      <w:pPr>
        <w:spacing w:line="360" w:lineRule="auto"/>
        <w:rPr>
          <w:rFonts w:hint="eastAsia"/>
          <w:color w:val="auto"/>
          <w:sz w:val="24"/>
          <w:highlight w:val="none"/>
        </w:rPr>
      </w:pPr>
      <w:r>
        <w:rPr>
          <w:color w:val="auto"/>
          <w:sz w:val="24"/>
          <w:highlight w:val="none"/>
        </w:rPr>
        <w:t>4.2.7电缆</w:t>
      </w:r>
      <w:r>
        <w:rPr>
          <w:rFonts w:hint="eastAsia"/>
          <w:color w:val="auto"/>
          <w:sz w:val="24"/>
          <w:highlight w:val="none"/>
          <w:lang w:eastAsia="zh-CN"/>
        </w:rPr>
        <w:t>及安装</w:t>
      </w:r>
    </w:p>
    <w:p w14:paraId="50C18FE9">
      <w:pPr>
        <w:spacing w:line="360" w:lineRule="auto"/>
        <w:rPr>
          <w:color w:val="auto"/>
          <w:sz w:val="24"/>
          <w:highlight w:val="none"/>
        </w:rPr>
      </w:pPr>
      <w:r>
        <w:rPr>
          <w:color w:val="auto"/>
          <w:sz w:val="24"/>
          <w:highlight w:val="none"/>
        </w:rPr>
        <w:t>4.2.7.1</w:t>
      </w:r>
      <w:r>
        <w:rPr>
          <w:rFonts w:hint="eastAsia"/>
          <w:color w:val="auto"/>
          <w:sz w:val="24"/>
          <w:highlight w:val="none"/>
        </w:rPr>
        <w:t xml:space="preserve"> 10</w:t>
      </w:r>
      <w:r>
        <w:rPr>
          <w:color w:val="auto"/>
          <w:sz w:val="24"/>
          <w:highlight w:val="none"/>
        </w:rPr>
        <w:t>kV及以上动力电缆</w:t>
      </w:r>
    </w:p>
    <w:p w14:paraId="7B1C9CFF">
      <w:pPr>
        <w:spacing w:line="360" w:lineRule="auto"/>
        <w:ind w:firstLine="480" w:firstLineChars="0"/>
        <w:rPr>
          <w:color w:val="auto"/>
          <w:sz w:val="24"/>
          <w:highlight w:val="none"/>
        </w:rPr>
      </w:pPr>
      <w:r>
        <w:rPr>
          <w:rFonts w:hint="default"/>
          <w:color w:val="auto"/>
          <w:sz w:val="24"/>
          <w:szCs w:val="24"/>
          <w:highlight w:val="none"/>
          <w:lang w:val="en-US" w:eastAsia="zh-CN"/>
        </w:rPr>
        <w:t>送至脱硫系统10KV及以上动力电缆</w:t>
      </w:r>
      <w:r>
        <w:rPr>
          <w:color w:val="auto"/>
          <w:sz w:val="24"/>
          <w:highlight w:val="none"/>
        </w:rPr>
        <w:t>由</w:t>
      </w:r>
      <w:r>
        <w:rPr>
          <w:rFonts w:hint="default"/>
          <w:color w:val="auto"/>
          <w:sz w:val="24"/>
          <w:highlight w:val="none"/>
          <w:lang w:eastAsia="zh-CN"/>
        </w:rPr>
        <w:t>招标方</w:t>
      </w:r>
      <w:r>
        <w:rPr>
          <w:color w:val="auto"/>
          <w:sz w:val="24"/>
          <w:highlight w:val="none"/>
        </w:rPr>
        <w:t>设计</w:t>
      </w:r>
      <w:r>
        <w:rPr>
          <w:rFonts w:hint="default"/>
          <w:color w:val="auto"/>
          <w:sz w:val="24"/>
          <w:highlight w:val="none"/>
        </w:rPr>
        <w:t>并</w:t>
      </w:r>
      <w:r>
        <w:rPr>
          <w:color w:val="auto"/>
          <w:sz w:val="24"/>
          <w:highlight w:val="none"/>
        </w:rPr>
        <w:t>供货。</w:t>
      </w:r>
    </w:p>
    <w:p w14:paraId="6535365E">
      <w:pPr>
        <w:spacing w:line="360" w:lineRule="auto"/>
        <w:rPr>
          <w:color w:val="auto"/>
          <w:sz w:val="24"/>
          <w:highlight w:val="none"/>
        </w:rPr>
      </w:pPr>
      <w:r>
        <w:rPr>
          <w:color w:val="auto"/>
          <w:sz w:val="24"/>
          <w:highlight w:val="none"/>
        </w:rPr>
        <w:t>4.2.7.2电缆选型</w:t>
      </w:r>
    </w:p>
    <w:p w14:paraId="071C6192">
      <w:pPr>
        <w:spacing w:line="360" w:lineRule="auto"/>
        <w:ind w:firstLine="480"/>
        <w:rPr>
          <w:color w:val="auto"/>
          <w:sz w:val="24"/>
          <w:highlight w:val="none"/>
        </w:rPr>
      </w:pPr>
      <w:r>
        <w:rPr>
          <w:color w:val="auto"/>
          <w:sz w:val="24"/>
          <w:highlight w:val="none"/>
        </w:rPr>
        <w:t>电缆的导体采用铜导体。</w:t>
      </w:r>
    </w:p>
    <w:p w14:paraId="06FFF697">
      <w:pPr>
        <w:spacing w:line="360" w:lineRule="auto"/>
        <w:ind w:firstLine="480"/>
        <w:rPr>
          <w:color w:val="auto"/>
          <w:sz w:val="24"/>
          <w:highlight w:val="none"/>
        </w:rPr>
      </w:pPr>
      <w:r>
        <w:rPr>
          <w:rFonts w:hint="eastAsia"/>
          <w:color w:val="auto"/>
          <w:sz w:val="24"/>
          <w:highlight w:val="none"/>
        </w:rPr>
        <w:t>38</w:t>
      </w:r>
      <w:r>
        <w:rPr>
          <w:color w:val="auto"/>
          <w:sz w:val="24"/>
          <w:highlight w:val="none"/>
        </w:rPr>
        <w:t>0V电力电缆采用0.6/1kV阻燃型交联聚乙烯绝缘聚氯乙烯护套电缆。控制电缆采用0.</w:t>
      </w:r>
      <w:r>
        <w:rPr>
          <w:rFonts w:hint="eastAsia"/>
          <w:color w:val="auto"/>
          <w:sz w:val="24"/>
          <w:highlight w:val="none"/>
        </w:rPr>
        <w:t>45</w:t>
      </w:r>
      <w:r>
        <w:rPr>
          <w:color w:val="auto"/>
          <w:sz w:val="24"/>
          <w:highlight w:val="none"/>
        </w:rPr>
        <w:t>/</w:t>
      </w:r>
      <w:r>
        <w:rPr>
          <w:rFonts w:hint="eastAsia"/>
          <w:color w:val="auto"/>
          <w:sz w:val="24"/>
          <w:highlight w:val="none"/>
        </w:rPr>
        <w:t>0.75</w:t>
      </w:r>
      <w:r>
        <w:rPr>
          <w:color w:val="auto"/>
          <w:sz w:val="24"/>
          <w:highlight w:val="none"/>
        </w:rPr>
        <w:t>kV阻燃型</w:t>
      </w:r>
      <w:r>
        <w:rPr>
          <w:rFonts w:hint="eastAsia"/>
          <w:color w:val="auto"/>
          <w:sz w:val="24"/>
          <w:highlight w:val="none"/>
        </w:rPr>
        <w:t>聚氯乙烯绝缘聚氯乙烯护套</w:t>
      </w:r>
      <w:r>
        <w:rPr>
          <w:color w:val="auto"/>
          <w:sz w:val="24"/>
          <w:highlight w:val="none"/>
        </w:rPr>
        <w:t>电缆，铜芯采用多股，并且最小导体截面为1.5mm</w:t>
      </w:r>
      <w:r>
        <w:rPr>
          <w:color w:val="auto"/>
          <w:sz w:val="24"/>
          <w:highlight w:val="none"/>
          <w:vertAlign w:val="superscript"/>
        </w:rPr>
        <w:t>2</w:t>
      </w:r>
      <w:r>
        <w:rPr>
          <w:color w:val="auto"/>
          <w:sz w:val="24"/>
          <w:highlight w:val="none"/>
        </w:rPr>
        <w:t>。低电平电缆采用对绞屏蔽电缆，截面不小于1.0mm</w:t>
      </w:r>
      <w:r>
        <w:rPr>
          <w:color w:val="auto"/>
          <w:sz w:val="24"/>
          <w:highlight w:val="none"/>
          <w:vertAlign w:val="superscript"/>
        </w:rPr>
        <w:t>2</w:t>
      </w:r>
      <w:r>
        <w:rPr>
          <w:color w:val="auto"/>
          <w:sz w:val="24"/>
          <w:highlight w:val="none"/>
        </w:rPr>
        <w:t>。进入程控系统的控制电缆应采用屏蔽电缆，截面不小于1.5mm</w:t>
      </w:r>
      <w:r>
        <w:rPr>
          <w:color w:val="auto"/>
          <w:sz w:val="24"/>
          <w:highlight w:val="none"/>
          <w:vertAlign w:val="superscript"/>
        </w:rPr>
        <w:t>2</w:t>
      </w:r>
      <w:r>
        <w:rPr>
          <w:color w:val="auto"/>
          <w:sz w:val="24"/>
          <w:highlight w:val="none"/>
        </w:rPr>
        <w:t>。</w:t>
      </w:r>
    </w:p>
    <w:p w14:paraId="2B32CB46">
      <w:pPr>
        <w:spacing w:line="360" w:lineRule="auto"/>
        <w:ind w:firstLine="480"/>
        <w:rPr>
          <w:color w:val="auto"/>
          <w:sz w:val="24"/>
          <w:highlight w:val="none"/>
        </w:rPr>
      </w:pPr>
      <w:r>
        <w:rPr>
          <w:color w:val="auto"/>
          <w:sz w:val="24"/>
          <w:highlight w:val="none"/>
        </w:rPr>
        <w:t>对于60V以上电压，电缆</w:t>
      </w:r>
      <w:r>
        <w:rPr>
          <w:rFonts w:hint="eastAsia"/>
          <w:color w:val="auto"/>
          <w:sz w:val="24"/>
          <w:highlight w:val="none"/>
        </w:rPr>
        <w:t>采用</w:t>
      </w:r>
      <w:r>
        <w:rPr>
          <w:color w:val="auto"/>
          <w:sz w:val="24"/>
          <w:highlight w:val="none"/>
        </w:rPr>
        <w:t>聚氯乙烯绝缘聚氯乙烯护套铜芯阻燃屏蔽电缆。并且最小导体截面为1.5mm</w:t>
      </w:r>
      <w:r>
        <w:rPr>
          <w:color w:val="auto"/>
          <w:sz w:val="24"/>
          <w:highlight w:val="none"/>
          <w:vertAlign w:val="superscript"/>
        </w:rPr>
        <w:t>2</w:t>
      </w:r>
      <w:r>
        <w:rPr>
          <w:color w:val="auto"/>
          <w:sz w:val="24"/>
          <w:highlight w:val="none"/>
        </w:rPr>
        <w:t>。</w:t>
      </w:r>
    </w:p>
    <w:p w14:paraId="2BCD4E0B">
      <w:pPr>
        <w:spacing w:line="360" w:lineRule="auto"/>
        <w:ind w:firstLine="480" w:firstLineChars="200"/>
        <w:rPr>
          <w:color w:val="auto"/>
          <w:sz w:val="24"/>
          <w:highlight w:val="none"/>
        </w:rPr>
      </w:pPr>
      <w:r>
        <w:rPr>
          <w:color w:val="auto"/>
          <w:sz w:val="24"/>
          <w:highlight w:val="none"/>
        </w:rPr>
        <w:t>耐热电缆和移动电缆，其导体应由细的铜绞线组成。</w:t>
      </w:r>
    </w:p>
    <w:p w14:paraId="30627EC2">
      <w:pPr>
        <w:spacing w:line="360" w:lineRule="auto"/>
        <w:ind w:firstLine="480" w:firstLineChars="200"/>
        <w:rPr>
          <w:rFonts w:hint="eastAsia"/>
          <w:color w:val="auto"/>
          <w:sz w:val="24"/>
          <w:highlight w:val="none"/>
        </w:rPr>
      </w:pPr>
      <w:r>
        <w:rPr>
          <w:color w:val="auto"/>
          <w:sz w:val="24"/>
          <w:highlight w:val="none"/>
        </w:rPr>
        <w:t>直流、UPS、保安系统动力电缆应采用耐火电缆。</w:t>
      </w:r>
    </w:p>
    <w:p w14:paraId="7FE4D8C2">
      <w:pPr>
        <w:pStyle w:val="50"/>
        <w:ind w:firstLine="480" w:firstLineChars="200"/>
        <w:rPr>
          <w:rFonts w:hint="eastAsia"/>
          <w:color w:val="auto"/>
          <w:highlight w:val="none"/>
        </w:rPr>
      </w:pPr>
      <w:r>
        <w:rPr>
          <w:color w:val="auto"/>
          <w:kern w:val="2"/>
          <w:sz w:val="24"/>
          <w:szCs w:val="24"/>
          <w:highlight w:val="none"/>
        </w:rPr>
        <w:t>脱硫区内的电缆设计</w:t>
      </w:r>
      <w:r>
        <w:rPr>
          <w:rFonts w:hint="default"/>
          <w:color w:val="auto"/>
          <w:kern w:val="2"/>
          <w:sz w:val="24"/>
          <w:szCs w:val="24"/>
          <w:highlight w:val="none"/>
          <w:lang w:eastAsia="zh-CN"/>
        </w:rPr>
        <w:t>、</w:t>
      </w:r>
      <w:r>
        <w:rPr>
          <w:color w:val="auto"/>
          <w:kern w:val="2"/>
          <w:sz w:val="24"/>
          <w:szCs w:val="24"/>
          <w:highlight w:val="none"/>
          <w:lang w:val="en-US"/>
        </w:rPr>
        <w:t>供货</w:t>
      </w:r>
      <w:r>
        <w:rPr>
          <w:rFonts w:hint="default"/>
          <w:color w:val="auto"/>
          <w:kern w:val="2"/>
          <w:sz w:val="24"/>
          <w:szCs w:val="24"/>
          <w:highlight w:val="none"/>
          <w:lang w:val="en-US"/>
        </w:rPr>
        <w:t>、安装由</w:t>
      </w:r>
      <w:r>
        <w:rPr>
          <w:rFonts w:hint="default"/>
          <w:color w:val="auto"/>
          <w:kern w:val="2"/>
          <w:sz w:val="24"/>
          <w:szCs w:val="24"/>
          <w:highlight w:val="none"/>
          <w:lang w:val="en-US" w:eastAsia="zh-CN"/>
        </w:rPr>
        <w:t>投</w:t>
      </w:r>
      <w:r>
        <w:rPr>
          <w:rFonts w:hint="default"/>
          <w:color w:val="auto"/>
          <w:kern w:val="2"/>
          <w:sz w:val="24"/>
          <w:szCs w:val="24"/>
          <w:highlight w:val="none"/>
          <w:lang w:val="en-US"/>
        </w:rPr>
        <w:t>标方</w:t>
      </w:r>
      <w:r>
        <w:rPr>
          <w:color w:val="auto"/>
          <w:kern w:val="2"/>
          <w:sz w:val="24"/>
          <w:szCs w:val="24"/>
          <w:highlight w:val="none"/>
          <w:lang w:val="en-US"/>
        </w:rPr>
        <w:t>负责</w:t>
      </w:r>
      <w:r>
        <w:rPr>
          <w:color w:val="auto"/>
          <w:kern w:val="2"/>
          <w:sz w:val="24"/>
          <w:szCs w:val="24"/>
          <w:highlight w:val="none"/>
        </w:rPr>
        <w:t>。</w:t>
      </w:r>
    </w:p>
    <w:p w14:paraId="7F363081">
      <w:pPr>
        <w:spacing w:line="360" w:lineRule="auto"/>
        <w:rPr>
          <w:color w:val="auto"/>
          <w:sz w:val="24"/>
          <w:highlight w:val="none"/>
        </w:rPr>
      </w:pPr>
      <w:r>
        <w:rPr>
          <w:color w:val="auto"/>
          <w:sz w:val="24"/>
          <w:highlight w:val="none"/>
        </w:rPr>
        <w:t>4.2.7.</w:t>
      </w:r>
      <w:r>
        <w:rPr>
          <w:rFonts w:hint="eastAsia"/>
          <w:color w:val="auto"/>
          <w:sz w:val="24"/>
          <w:highlight w:val="none"/>
        </w:rPr>
        <w:t>3</w:t>
      </w:r>
      <w:r>
        <w:rPr>
          <w:color w:val="auto"/>
          <w:sz w:val="24"/>
          <w:highlight w:val="none"/>
        </w:rPr>
        <w:t>电缆设施</w:t>
      </w:r>
    </w:p>
    <w:p w14:paraId="60AF4CFF">
      <w:pPr>
        <w:spacing w:line="360" w:lineRule="auto"/>
        <w:ind w:firstLine="480" w:firstLineChars="200"/>
        <w:rPr>
          <w:rFonts w:hint="eastAsia" w:eastAsia="宋体"/>
          <w:color w:val="auto"/>
          <w:sz w:val="24"/>
          <w:highlight w:val="none"/>
          <w:lang w:val="en-US" w:eastAsia="zh-CN"/>
        </w:rPr>
      </w:pPr>
      <w:r>
        <w:rPr>
          <w:color w:val="auto"/>
          <w:sz w:val="24"/>
          <w:highlight w:val="none"/>
        </w:rPr>
        <w:t>电缆设施应符合GB、DL及IEC标准的相关要求</w:t>
      </w:r>
      <w:r>
        <w:rPr>
          <w:rFonts w:hint="eastAsia"/>
          <w:color w:val="auto"/>
          <w:sz w:val="24"/>
          <w:highlight w:val="none"/>
          <w:lang w:eastAsia="zh-CN"/>
        </w:rPr>
        <w:t>，</w:t>
      </w:r>
      <w:r>
        <w:rPr>
          <w:rFonts w:hint="default"/>
          <w:color w:val="auto"/>
          <w:sz w:val="24"/>
          <w:szCs w:val="24"/>
          <w:highlight w:val="none"/>
          <w:lang w:val="en-US" w:eastAsia="zh-CN"/>
        </w:rPr>
        <w:t>电缆应按经济截面选取</w:t>
      </w:r>
      <w:r>
        <w:rPr>
          <w:color w:val="auto"/>
          <w:sz w:val="24"/>
          <w:highlight w:val="none"/>
        </w:rPr>
        <w:t>。</w:t>
      </w:r>
    </w:p>
    <w:p w14:paraId="15CF8F3D">
      <w:pPr>
        <w:spacing w:line="360" w:lineRule="auto"/>
        <w:ind w:firstLine="480" w:firstLineChars="200"/>
        <w:rPr>
          <w:rFonts w:hint="eastAsia"/>
          <w:color w:val="auto"/>
          <w:sz w:val="24"/>
          <w:highlight w:val="none"/>
        </w:rPr>
      </w:pPr>
      <w:r>
        <w:rPr>
          <w:color w:val="auto"/>
          <w:sz w:val="24"/>
          <w:highlight w:val="none"/>
        </w:rPr>
        <w:t>在脱硫区内应恰当地规划电缆通道，包括电缆沟、电缆竖井和电缆桥架等，并使电缆构筑物整齐﹑美观。电缆桥架应采用铝合金材料，电缆支、吊架采用经防腐和热浸镀锌处理的钢质材料。螺栓﹑电缆卡等安装材料也应经防腐和热浸镀锌处理。</w:t>
      </w:r>
    </w:p>
    <w:p w14:paraId="64F09AE2">
      <w:pPr>
        <w:pStyle w:val="50"/>
        <w:ind w:firstLine="480" w:firstLineChars="200"/>
        <w:rPr>
          <w:rFonts w:hint="default"/>
          <w:color w:val="auto"/>
          <w:kern w:val="2"/>
          <w:sz w:val="24"/>
          <w:szCs w:val="24"/>
          <w:highlight w:val="none"/>
        </w:rPr>
      </w:pPr>
      <w:r>
        <w:rPr>
          <w:color w:val="auto"/>
          <w:kern w:val="2"/>
          <w:sz w:val="24"/>
          <w:szCs w:val="24"/>
          <w:highlight w:val="none"/>
        </w:rPr>
        <w:t>脱硫区内的电缆设施及电缆构筑物等</w:t>
      </w:r>
      <w:r>
        <w:rPr>
          <w:color w:val="auto"/>
          <w:kern w:val="2"/>
          <w:sz w:val="24"/>
          <w:szCs w:val="24"/>
          <w:highlight w:val="none"/>
          <w:lang w:val="en-US"/>
        </w:rPr>
        <w:t>供货</w:t>
      </w:r>
      <w:r>
        <w:rPr>
          <w:rFonts w:hint="default"/>
          <w:color w:val="auto"/>
          <w:kern w:val="2"/>
          <w:sz w:val="24"/>
          <w:szCs w:val="24"/>
          <w:highlight w:val="none"/>
          <w:lang w:val="en-US"/>
        </w:rPr>
        <w:t>由</w:t>
      </w:r>
      <w:r>
        <w:rPr>
          <w:rFonts w:hint="default"/>
          <w:color w:val="auto"/>
          <w:kern w:val="2"/>
          <w:sz w:val="24"/>
          <w:szCs w:val="24"/>
          <w:highlight w:val="none"/>
          <w:lang w:val="en-US" w:eastAsia="zh-CN"/>
        </w:rPr>
        <w:t>投</w:t>
      </w:r>
      <w:r>
        <w:rPr>
          <w:rFonts w:hint="default"/>
          <w:color w:val="auto"/>
          <w:kern w:val="2"/>
          <w:sz w:val="24"/>
          <w:szCs w:val="24"/>
          <w:highlight w:val="none"/>
          <w:lang w:val="en-US"/>
        </w:rPr>
        <w:t>标方</w:t>
      </w:r>
      <w:r>
        <w:rPr>
          <w:color w:val="auto"/>
          <w:kern w:val="2"/>
          <w:sz w:val="24"/>
          <w:szCs w:val="24"/>
          <w:highlight w:val="none"/>
          <w:lang w:val="en-US"/>
        </w:rPr>
        <w:t>负责</w:t>
      </w:r>
      <w:r>
        <w:rPr>
          <w:color w:val="auto"/>
          <w:kern w:val="2"/>
          <w:sz w:val="24"/>
          <w:szCs w:val="24"/>
          <w:highlight w:val="none"/>
        </w:rPr>
        <w:t>。</w:t>
      </w:r>
    </w:p>
    <w:p w14:paraId="283E1486">
      <w:pPr>
        <w:spacing w:line="360" w:lineRule="auto"/>
        <w:rPr>
          <w:color w:val="auto"/>
          <w:sz w:val="24"/>
          <w:highlight w:val="none"/>
        </w:rPr>
      </w:pPr>
      <w:r>
        <w:rPr>
          <w:color w:val="auto"/>
          <w:sz w:val="24"/>
          <w:highlight w:val="none"/>
        </w:rPr>
        <w:t>4.2.7.</w:t>
      </w:r>
      <w:r>
        <w:rPr>
          <w:rFonts w:hint="eastAsia"/>
          <w:color w:val="auto"/>
          <w:sz w:val="24"/>
          <w:highlight w:val="none"/>
        </w:rPr>
        <w:t>4</w:t>
      </w:r>
      <w:r>
        <w:rPr>
          <w:color w:val="auto"/>
          <w:sz w:val="24"/>
          <w:highlight w:val="none"/>
        </w:rPr>
        <w:t>电缆敷设</w:t>
      </w:r>
    </w:p>
    <w:p w14:paraId="33C32CE4">
      <w:pPr>
        <w:spacing w:line="360" w:lineRule="auto"/>
        <w:ind w:firstLine="480"/>
        <w:rPr>
          <w:color w:val="auto"/>
          <w:sz w:val="24"/>
          <w:highlight w:val="none"/>
        </w:rPr>
      </w:pPr>
      <w:r>
        <w:rPr>
          <w:color w:val="auto"/>
          <w:sz w:val="24"/>
          <w:highlight w:val="none"/>
        </w:rPr>
        <w:t>电缆敷设时应利用电缆构筑物，采用电缆桥架、电缆沟等形式相结合的方式，通向设备时采用埋管敷设。</w:t>
      </w:r>
    </w:p>
    <w:p w14:paraId="253C7F21">
      <w:pPr>
        <w:spacing w:line="360" w:lineRule="auto"/>
        <w:ind w:firstLine="480"/>
        <w:rPr>
          <w:color w:val="auto"/>
          <w:sz w:val="24"/>
          <w:highlight w:val="none"/>
        </w:rPr>
      </w:pPr>
      <w:r>
        <w:rPr>
          <w:color w:val="auto"/>
          <w:sz w:val="24"/>
          <w:highlight w:val="none"/>
        </w:rPr>
        <w:t>在电缆敷设设计中，将低压电缆、控制电缆、低电平电缆应尽量分层敷设，电压等级高者在上。不同系统的电缆应尽量分别敷设在不同的构筑物中，电缆排管高、低压要分开，低电平电缆应敷设于专门的钢导管中或敷设在带盖及带底的钢制槽盒中以防止受到干扰。</w:t>
      </w:r>
    </w:p>
    <w:p w14:paraId="22EE7A7A">
      <w:pPr>
        <w:pStyle w:val="50"/>
        <w:ind w:firstLine="480" w:firstLineChars="200"/>
        <w:rPr>
          <w:rFonts w:hint="eastAsia"/>
          <w:color w:val="auto"/>
          <w:sz w:val="24"/>
          <w:highlight w:val="none"/>
        </w:rPr>
      </w:pPr>
      <w:r>
        <w:rPr>
          <w:color w:val="auto"/>
          <w:sz w:val="24"/>
          <w:highlight w:val="none"/>
        </w:rPr>
        <w:t>电缆桥架采用</w:t>
      </w:r>
      <w:r>
        <w:rPr>
          <w:rFonts w:hint="eastAsia"/>
          <w:color w:val="auto"/>
          <w:sz w:val="24"/>
          <w:highlight w:val="none"/>
        </w:rPr>
        <w:t>热镀锌钢</w:t>
      </w:r>
      <w:r>
        <w:rPr>
          <w:color w:val="auto"/>
          <w:sz w:val="24"/>
          <w:highlight w:val="none"/>
        </w:rPr>
        <w:t>材质</w:t>
      </w:r>
      <w:r>
        <w:rPr>
          <w:rFonts w:hint="eastAsia"/>
          <w:color w:val="auto"/>
          <w:sz w:val="24"/>
          <w:highlight w:val="none"/>
        </w:rPr>
        <w:t>，</w:t>
      </w:r>
      <w:r>
        <w:rPr>
          <w:color w:val="auto"/>
          <w:sz w:val="24"/>
          <w:highlight w:val="none"/>
        </w:rPr>
        <w:t>所有桥架及金属导管必须可靠接地。</w:t>
      </w:r>
    </w:p>
    <w:p w14:paraId="76CE381A">
      <w:pPr>
        <w:pStyle w:val="50"/>
        <w:ind w:firstLine="480" w:firstLineChars="200"/>
        <w:rPr>
          <w:rFonts w:hint="eastAsia"/>
          <w:color w:val="auto"/>
          <w:highlight w:val="none"/>
        </w:rPr>
      </w:pPr>
      <w:r>
        <w:rPr>
          <w:rFonts w:hint="eastAsia"/>
          <w:color w:val="auto"/>
          <w:sz w:val="24"/>
          <w:highlight w:val="none"/>
        </w:rPr>
        <w:t>脱硫区内的桥架等设计</w:t>
      </w:r>
      <w:r>
        <w:rPr>
          <w:rFonts w:hint="eastAsia"/>
          <w:color w:val="auto"/>
          <w:sz w:val="24"/>
          <w:highlight w:val="none"/>
          <w:lang w:eastAsia="zh-CN"/>
        </w:rPr>
        <w:t>、</w:t>
      </w:r>
      <w:r>
        <w:rPr>
          <w:rFonts w:hint="eastAsia"/>
          <w:color w:val="auto"/>
          <w:sz w:val="24"/>
          <w:highlight w:val="none"/>
          <w:lang w:val="zh-CN"/>
        </w:rPr>
        <w:t>供货、安装由</w:t>
      </w:r>
      <w:r>
        <w:rPr>
          <w:rFonts w:hint="eastAsia"/>
          <w:color w:val="auto"/>
          <w:sz w:val="24"/>
          <w:highlight w:val="none"/>
          <w:lang w:val="en-US" w:eastAsia="zh-CN"/>
        </w:rPr>
        <w:t>投</w:t>
      </w:r>
      <w:r>
        <w:rPr>
          <w:rFonts w:hint="eastAsia"/>
          <w:color w:val="auto"/>
          <w:sz w:val="24"/>
          <w:highlight w:val="none"/>
          <w:lang w:val="zh-CN"/>
        </w:rPr>
        <w:t>标方负责。</w:t>
      </w:r>
    </w:p>
    <w:p w14:paraId="69FFDD7D">
      <w:pPr>
        <w:spacing w:line="360" w:lineRule="auto"/>
        <w:rPr>
          <w:color w:val="auto"/>
          <w:sz w:val="24"/>
          <w:highlight w:val="none"/>
        </w:rPr>
      </w:pPr>
      <w:r>
        <w:rPr>
          <w:color w:val="auto"/>
          <w:sz w:val="24"/>
          <w:highlight w:val="none"/>
        </w:rPr>
        <w:t>4.2.7.</w:t>
      </w:r>
      <w:r>
        <w:rPr>
          <w:rFonts w:hint="eastAsia"/>
          <w:color w:val="auto"/>
          <w:sz w:val="24"/>
          <w:highlight w:val="none"/>
        </w:rPr>
        <w:t>5</w:t>
      </w:r>
      <w:r>
        <w:rPr>
          <w:color w:val="auto"/>
          <w:sz w:val="24"/>
          <w:highlight w:val="none"/>
        </w:rPr>
        <w:t>电缆防火</w:t>
      </w:r>
      <w:r>
        <w:rPr>
          <w:rFonts w:hint="eastAsia"/>
          <w:color w:val="auto"/>
          <w:sz w:val="24"/>
          <w:highlight w:val="none"/>
        </w:rPr>
        <w:t>封堵</w:t>
      </w:r>
    </w:p>
    <w:p w14:paraId="4410D0C2">
      <w:pPr>
        <w:snapToGrid w:val="0"/>
        <w:spacing w:line="360" w:lineRule="auto"/>
        <w:ind w:firstLine="480"/>
        <w:rPr>
          <w:color w:val="auto"/>
          <w:sz w:val="24"/>
          <w:highlight w:val="none"/>
        </w:rPr>
      </w:pPr>
      <w:r>
        <w:rPr>
          <w:color w:val="auto"/>
          <w:sz w:val="24"/>
          <w:highlight w:val="none"/>
        </w:rPr>
        <w:t>在电缆主要通道上，分段设置防火隔墙，防火隔板等。在电缆竖井、墙洞及屏、盘、柜的底部开孔处使用防火堵料。在相邻机组的接合部、控制楼向外部的所有接口、电缆沟道的接口、所有辅助厂房电缆沟的出入口处，架空桥架穿墙处等均采用防火封堵。在电缆集中容易起火的区域，除加强防火封堵措施外，应装设火灾报警设施，并在以上区域配置足够的消防设施。</w:t>
      </w:r>
    </w:p>
    <w:p w14:paraId="19A3F448">
      <w:pPr>
        <w:spacing w:line="360" w:lineRule="auto"/>
        <w:ind w:firstLine="480" w:firstLineChars="200"/>
        <w:rPr>
          <w:color w:val="auto"/>
          <w:sz w:val="24"/>
          <w:highlight w:val="none"/>
        </w:rPr>
      </w:pPr>
      <w:r>
        <w:rPr>
          <w:color w:val="auto"/>
          <w:sz w:val="24"/>
          <w:highlight w:val="none"/>
        </w:rPr>
        <w:t>与吸收塔相通的防腐管道、烟道的膨胀节、软连接等部位附近的电缆，应涂刷足够长度的防火涂料，其电缆桥架盖板应配置齐全，封堵应严密。电缆桥架、电动头附近的膨胀节、软连接、PP管等可燃部件，应采取加装防护罩等防火隔离措施，防止电缆、电机接线短路着火引发吸收塔火灾。</w:t>
      </w:r>
    </w:p>
    <w:p w14:paraId="6169CB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napToGrid/>
        <w:spacing w:before="0" w:beforeAutospacing="0" w:after="0" w:afterAutospacing="0" w:line="360" w:lineRule="auto"/>
        <w:ind w:left="0" w:right="0" w:firstLine="0"/>
        <w:rPr>
          <w:rFonts w:hint="default"/>
          <w:b w:val="0"/>
          <w:bCs w:val="0"/>
          <w:color w:val="auto"/>
          <w:kern w:val="2"/>
          <w:sz w:val="24"/>
          <w:szCs w:val="24"/>
          <w:highlight w:val="none"/>
        </w:rPr>
      </w:pPr>
      <w:r>
        <w:rPr>
          <w:b w:val="0"/>
          <w:bCs w:val="0"/>
          <w:color w:val="auto"/>
          <w:sz w:val="24"/>
          <w:highlight w:val="none"/>
        </w:rPr>
        <w:t>脱硫系统内电缆防火阻燃设施应符合GB50217《电力工程电缆设计规范》的规定</w:t>
      </w:r>
      <w:r>
        <w:rPr>
          <w:rFonts w:hint="eastAsia" w:ascii="宋体" w:hAnsi="宋体" w:eastAsia="宋体" w:cs="宋体"/>
          <w:b w:val="0"/>
          <w:bCs w:val="0"/>
          <w:color w:val="auto"/>
          <w:sz w:val="24"/>
          <w:szCs w:val="24"/>
          <w:highlight w:val="none"/>
        </w:rPr>
        <w:t>。</w:t>
      </w:r>
      <w:r>
        <w:rPr>
          <w:rFonts w:hint="default" w:ascii="Times New Roman" w:hAnsi="Times New Roman" w:eastAsia="宋体" w:cs="Times New Roman"/>
          <w:b w:val="0"/>
          <w:bCs w:val="0"/>
          <w:i w:val="0"/>
          <w:iCs w:val="0"/>
          <w:caps w:val="0"/>
          <w:color w:val="auto"/>
          <w:spacing w:val="0"/>
          <w:kern w:val="2"/>
          <w:sz w:val="24"/>
          <w:szCs w:val="24"/>
          <w:highlight w:val="none"/>
        </w:rPr>
        <w:t>GB50229-20</w:t>
      </w:r>
      <w:r>
        <w:rPr>
          <w:rFonts w:hint="default" w:ascii="Times New Roman" w:hAnsi="Times New Roman" w:eastAsia="宋体" w:cs="Times New Roman"/>
          <w:b w:val="0"/>
          <w:bCs w:val="0"/>
          <w:i w:val="0"/>
          <w:iCs w:val="0"/>
          <w:caps w:val="0"/>
          <w:color w:val="auto"/>
          <w:spacing w:val="0"/>
          <w:kern w:val="2"/>
          <w:sz w:val="24"/>
          <w:szCs w:val="24"/>
          <w:highlight w:val="none"/>
          <w:lang w:val="en-US" w:eastAsia="zh-CN"/>
        </w:rPr>
        <w:t>19</w:t>
      </w:r>
      <w:r>
        <w:rPr>
          <w:rFonts w:hint="default" w:ascii="Times New Roman" w:hAnsi="Times New Roman" w:eastAsia="宋体" w:cs="Times New Roman"/>
          <w:b w:val="0"/>
          <w:bCs w:val="0"/>
          <w:i w:val="0"/>
          <w:iCs w:val="0"/>
          <w:caps w:val="0"/>
          <w:color w:val="auto"/>
          <w:spacing w:val="0"/>
          <w:kern w:val="2"/>
          <w:sz w:val="24"/>
          <w:szCs w:val="24"/>
          <w:highlight w:val="none"/>
          <w:lang w:eastAsia="zh-CN"/>
        </w:rPr>
        <w:t>《</w:t>
      </w:r>
      <w:r>
        <w:rPr>
          <w:rFonts w:hint="default" w:ascii="Times New Roman" w:hAnsi="Times New Roman" w:eastAsia="宋体" w:cs="Times New Roman"/>
          <w:b w:val="0"/>
          <w:bCs w:val="0"/>
          <w:i w:val="0"/>
          <w:iCs w:val="0"/>
          <w:caps w:val="0"/>
          <w:color w:val="auto"/>
          <w:spacing w:val="0"/>
          <w:kern w:val="2"/>
          <w:sz w:val="24"/>
          <w:szCs w:val="24"/>
          <w:highlight w:val="none"/>
        </w:rPr>
        <w:t>火力发电厂与变电站设计防火</w:t>
      </w:r>
      <w:r>
        <w:rPr>
          <w:rFonts w:hint="default" w:ascii="Times New Roman" w:hAnsi="Times New Roman" w:eastAsia="宋体" w:cs="Times New Roman"/>
          <w:b w:val="0"/>
          <w:bCs w:val="0"/>
          <w:i w:val="0"/>
          <w:iCs w:val="0"/>
          <w:caps w:val="0"/>
          <w:color w:val="auto"/>
          <w:spacing w:val="0"/>
          <w:kern w:val="2"/>
          <w:sz w:val="24"/>
          <w:szCs w:val="24"/>
          <w:highlight w:val="none"/>
          <w:lang w:val="en-US" w:eastAsia="zh-CN"/>
        </w:rPr>
        <w:t>标准</w:t>
      </w:r>
      <w:r>
        <w:rPr>
          <w:rFonts w:hint="default" w:ascii="Times New Roman" w:hAnsi="Times New Roman" w:eastAsia="宋体" w:cs="Times New Roman"/>
          <w:b w:val="0"/>
          <w:bCs w:val="0"/>
          <w:i w:val="0"/>
          <w:iCs w:val="0"/>
          <w:caps w:val="0"/>
          <w:color w:val="auto"/>
          <w:spacing w:val="0"/>
          <w:kern w:val="2"/>
          <w:sz w:val="24"/>
          <w:szCs w:val="24"/>
          <w:highlight w:val="none"/>
          <w:lang w:eastAsia="zh-CN"/>
        </w:rPr>
        <w:t>》。</w:t>
      </w:r>
    </w:p>
    <w:p w14:paraId="26531ED7">
      <w:pPr>
        <w:pStyle w:val="50"/>
        <w:ind w:firstLine="480" w:firstLineChars="200"/>
        <w:rPr>
          <w:rFonts w:hint="default"/>
          <w:color w:val="auto"/>
          <w:kern w:val="2"/>
          <w:sz w:val="24"/>
          <w:szCs w:val="24"/>
          <w:highlight w:val="none"/>
        </w:rPr>
      </w:pPr>
      <w:r>
        <w:rPr>
          <w:color w:val="auto"/>
          <w:kern w:val="2"/>
          <w:sz w:val="24"/>
          <w:szCs w:val="24"/>
          <w:highlight w:val="none"/>
        </w:rPr>
        <w:t>脱硫区内的防火封堵等设计</w:t>
      </w:r>
      <w:r>
        <w:rPr>
          <w:rFonts w:hint="default"/>
          <w:color w:val="auto"/>
          <w:kern w:val="2"/>
          <w:sz w:val="24"/>
          <w:szCs w:val="24"/>
          <w:highlight w:val="none"/>
          <w:lang w:eastAsia="zh-CN"/>
        </w:rPr>
        <w:t>、</w:t>
      </w:r>
      <w:r>
        <w:rPr>
          <w:color w:val="auto"/>
          <w:kern w:val="2"/>
          <w:sz w:val="24"/>
          <w:szCs w:val="24"/>
          <w:highlight w:val="none"/>
          <w:lang w:val="en-US"/>
        </w:rPr>
        <w:t>供货</w:t>
      </w:r>
      <w:r>
        <w:rPr>
          <w:rFonts w:hint="default"/>
          <w:color w:val="auto"/>
          <w:kern w:val="2"/>
          <w:sz w:val="24"/>
          <w:szCs w:val="24"/>
          <w:highlight w:val="none"/>
          <w:lang w:val="en-US"/>
        </w:rPr>
        <w:t>、安装由</w:t>
      </w:r>
      <w:r>
        <w:rPr>
          <w:rFonts w:hint="default"/>
          <w:color w:val="auto"/>
          <w:kern w:val="2"/>
          <w:sz w:val="24"/>
          <w:szCs w:val="24"/>
          <w:highlight w:val="none"/>
          <w:lang w:val="en-US" w:eastAsia="zh-CN"/>
        </w:rPr>
        <w:t>投</w:t>
      </w:r>
      <w:r>
        <w:rPr>
          <w:rFonts w:hint="default"/>
          <w:color w:val="auto"/>
          <w:kern w:val="2"/>
          <w:sz w:val="24"/>
          <w:szCs w:val="24"/>
          <w:highlight w:val="none"/>
          <w:lang w:val="en-US"/>
        </w:rPr>
        <w:t>标方</w:t>
      </w:r>
      <w:r>
        <w:rPr>
          <w:color w:val="auto"/>
          <w:kern w:val="2"/>
          <w:sz w:val="24"/>
          <w:szCs w:val="24"/>
          <w:highlight w:val="none"/>
          <w:lang w:val="en-US"/>
        </w:rPr>
        <w:t>负责</w:t>
      </w:r>
      <w:r>
        <w:rPr>
          <w:color w:val="auto"/>
          <w:kern w:val="2"/>
          <w:sz w:val="24"/>
          <w:szCs w:val="24"/>
          <w:highlight w:val="none"/>
        </w:rPr>
        <w:t>。</w:t>
      </w:r>
    </w:p>
    <w:p w14:paraId="6483601D">
      <w:pPr>
        <w:spacing w:line="360" w:lineRule="auto"/>
        <w:rPr>
          <w:color w:val="auto"/>
          <w:sz w:val="24"/>
          <w:highlight w:val="none"/>
        </w:rPr>
      </w:pPr>
      <w:r>
        <w:rPr>
          <w:color w:val="auto"/>
          <w:sz w:val="24"/>
          <w:highlight w:val="none"/>
        </w:rPr>
        <w:t>4.2.8 电气设备布置</w:t>
      </w:r>
    </w:p>
    <w:p w14:paraId="66D229BD">
      <w:pPr>
        <w:spacing w:line="360" w:lineRule="auto"/>
        <w:ind w:firstLine="480"/>
        <w:rPr>
          <w:color w:val="auto"/>
          <w:sz w:val="24"/>
          <w:highlight w:val="none"/>
        </w:rPr>
      </w:pPr>
      <w:r>
        <w:rPr>
          <w:color w:val="auto"/>
          <w:sz w:val="24"/>
          <w:highlight w:val="none"/>
        </w:rPr>
        <w:t>本项目脱硫区内设一座</w:t>
      </w:r>
      <w:r>
        <w:rPr>
          <w:rFonts w:hint="eastAsia"/>
          <w:color w:val="auto"/>
          <w:sz w:val="24"/>
          <w:highlight w:val="none"/>
        </w:rPr>
        <w:t>脱硫综合</w:t>
      </w:r>
      <w:r>
        <w:rPr>
          <w:color w:val="auto"/>
          <w:sz w:val="24"/>
          <w:highlight w:val="none"/>
        </w:rPr>
        <w:t>楼。</w:t>
      </w:r>
    </w:p>
    <w:p w14:paraId="17A03B41">
      <w:pPr>
        <w:spacing w:line="360" w:lineRule="auto"/>
        <w:ind w:firstLine="480"/>
        <w:rPr>
          <w:color w:val="auto"/>
          <w:sz w:val="24"/>
          <w:highlight w:val="none"/>
        </w:rPr>
      </w:pPr>
      <w:r>
        <w:rPr>
          <w:color w:val="auto"/>
          <w:sz w:val="24"/>
          <w:highlight w:val="none"/>
        </w:rPr>
        <w:t>脱硫MCC、脱硫工作变压器等集中布置在</w:t>
      </w:r>
      <w:r>
        <w:rPr>
          <w:color w:val="auto"/>
          <w:sz w:val="24"/>
          <w:highlight w:val="none"/>
          <w:lang w:val="zh-CN"/>
        </w:rPr>
        <w:t>脱硫</w:t>
      </w:r>
      <w:r>
        <w:rPr>
          <w:rFonts w:hint="eastAsia"/>
          <w:color w:val="auto"/>
          <w:sz w:val="24"/>
          <w:highlight w:val="none"/>
          <w:lang w:val="zh-CN"/>
        </w:rPr>
        <w:t>综合</w:t>
      </w:r>
      <w:r>
        <w:rPr>
          <w:color w:val="auto"/>
          <w:sz w:val="24"/>
          <w:highlight w:val="none"/>
          <w:lang w:val="zh-CN"/>
        </w:rPr>
        <w:t>楼</w:t>
      </w:r>
      <w:r>
        <w:rPr>
          <w:rFonts w:hint="eastAsia"/>
          <w:color w:val="auto"/>
          <w:sz w:val="24"/>
          <w:highlight w:val="none"/>
          <w:lang w:val="zh-CN"/>
        </w:rPr>
        <w:t>配电间内。</w:t>
      </w:r>
      <w:r>
        <w:rPr>
          <w:rFonts w:hint="eastAsia"/>
          <w:color w:val="auto"/>
          <w:sz w:val="24"/>
          <w:highlight w:val="none"/>
        </w:rPr>
        <w:t>脱硫低压变压器带保护罩，与低压柜紧邻布置。</w:t>
      </w:r>
    </w:p>
    <w:p w14:paraId="5B54AAF8">
      <w:pPr>
        <w:spacing w:line="360" w:lineRule="auto"/>
        <w:ind w:firstLine="480" w:firstLineChars="200"/>
        <w:rPr>
          <w:color w:val="auto"/>
          <w:sz w:val="24"/>
          <w:highlight w:val="none"/>
        </w:rPr>
      </w:pPr>
      <w:r>
        <w:rPr>
          <w:color w:val="auto"/>
          <w:sz w:val="24"/>
          <w:highlight w:val="none"/>
        </w:rPr>
        <w:t>电气设备的布置应符合DL/T5153《火力发电厂厂用电设计技术</w:t>
      </w:r>
      <w:r>
        <w:rPr>
          <w:rFonts w:hint="eastAsia"/>
          <w:color w:val="auto"/>
          <w:sz w:val="24"/>
          <w:highlight w:val="none"/>
        </w:rPr>
        <w:t>规程</w:t>
      </w:r>
      <w:r>
        <w:rPr>
          <w:color w:val="auto"/>
          <w:sz w:val="24"/>
          <w:highlight w:val="none"/>
        </w:rPr>
        <w:t>》的规定。</w:t>
      </w:r>
    </w:p>
    <w:p w14:paraId="6CC2811F">
      <w:pPr>
        <w:spacing w:line="360" w:lineRule="auto"/>
        <w:rPr>
          <w:color w:val="auto"/>
          <w:sz w:val="24"/>
          <w:highlight w:val="none"/>
        </w:rPr>
      </w:pPr>
      <w:r>
        <w:rPr>
          <w:color w:val="auto"/>
          <w:sz w:val="24"/>
          <w:highlight w:val="none"/>
        </w:rPr>
        <w:t>4.2.9电压设计要求</w:t>
      </w:r>
    </w:p>
    <w:p w14:paraId="56AB887B">
      <w:pPr>
        <w:spacing w:line="360" w:lineRule="auto"/>
        <w:rPr>
          <w:color w:val="auto"/>
          <w:sz w:val="24"/>
          <w:highlight w:val="none"/>
        </w:rPr>
      </w:pPr>
      <w:r>
        <w:rPr>
          <w:color w:val="auto"/>
          <w:sz w:val="24"/>
          <w:highlight w:val="none"/>
        </w:rPr>
        <w:t>4.2.9.1电压等级要求</w:t>
      </w:r>
    </w:p>
    <w:p w14:paraId="129F807E">
      <w:pPr>
        <w:spacing w:line="360" w:lineRule="auto"/>
        <w:jc w:val="center"/>
        <w:rPr>
          <w:color w:val="auto"/>
          <w:sz w:val="24"/>
          <w:highlight w:val="none"/>
        </w:rPr>
      </w:pPr>
      <w:r>
        <w:rPr>
          <w:color w:val="auto"/>
          <w:sz w:val="24"/>
          <w:highlight w:val="none"/>
        </w:rPr>
        <w:t>表1-4-1电压等级汇总表</w:t>
      </w:r>
    </w:p>
    <w:tbl>
      <w:tblPr>
        <w:tblStyle w:val="52"/>
        <w:tblW w:w="0" w:type="auto"/>
        <w:tblInd w:w="-43" w:type="dxa"/>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Layout w:type="fixed"/>
        <w:tblCellMar>
          <w:top w:w="0" w:type="dxa"/>
          <w:left w:w="28" w:type="dxa"/>
          <w:bottom w:w="0" w:type="dxa"/>
          <w:right w:w="28" w:type="dxa"/>
        </w:tblCellMar>
      </w:tblPr>
      <w:tblGrid>
        <w:gridCol w:w="2583"/>
        <w:gridCol w:w="5721"/>
      </w:tblGrid>
      <w:tr w14:paraId="7781FA14">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28" w:type="dxa"/>
            <w:bottom w:w="0" w:type="dxa"/>
            <w:right w:w="28" w:type="dxa"/>
          </w:tblCellMar>
        </w:tblPrEx>
        <w:tc>
          <w:tcPr>
            <w:tcW w:w="2583" w:type="dxa"/>
            <w:noWrap w:val="0"/>
            <w:vAlign w:val="center"/>
          </w:tcPr>
          <w:p w14:paraId="29E026C1">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10</w:t>
            </w:r>
            <w:r>
              <w:rPr>
                <w:rFonts w:hint="default" w:ascii="Times New Roman" w:hAnsi="Times New Roman" w:cs="Times New Roman"/>
                <w:color w:val="auto"/>
                <w:sz w:val="24"/>
                <w:highlight w:val="none"/>
              </w:rPr>
              <w:t>kV、50Hz、三相</w:t>
            </w:r>
          </w:p>
        </w:tc>
        <w:tc>
          <w:tcPr>
            <w:tcW w:w="5721" w:type="dxa"/>
            <w:noWrap w:val="0"/>
            <w:vAlign w:val="center"/>
          </w:tcPr>
          <w:p w14:paraId="16554E2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用于容量大于或等于2</w:t>
            </w:r>
            <w:r>
              <w:rPr>
                <w:rFonts w:hint="eastAsia" w:ascii="Times New Roman" w:hAnsi="Times New Roman" w:cs="Times New Roman"/>
                <w:color w:val="auto"/>
                <w:sz w:val="24"/>
                <w:highlight w:val="none"/>
                <w:lang w:val="en-US" w:eastAsia="zh-CN"/>
              </w:rPr>
              <w:t>5</w:t>
            </w:r>
            <w:r>
              <w:rPr>
                <w:rFonts w:hint="default" w:ascii="Times New Roman" w:hAnsi="Times New Roman" w:cs="Times New Roman"/>
                <w:color w:val="auto"/>
                <w:sz w:val="24"/>
                <w:highlight w:val="none"/>
              </w:rPr>
              <w:t>0kW的电动机及厂用变压器。</w:t>
            </w:r>
          </w:p>
        </w:tc>
      </w:tr>
      <w:tr w14:paraId="4A220019">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28" w:type="dxa"/>
            <w:bottom w:w="0" w:type="dxa"/>
            <w:right w:w="28" w:type="dxa"/>
          </w:tblCellMar>
        </w:tblPrEx>
        <w:tc>
          <w:tcPr>
            <w:tcW w:w="2583" w:type="dxa"/>
            <w:noWrap w:val="0"/>
            <w:vAlign w:val="center"/>
          </w:tcPr>
          <w:p w14:paraId="04C5B96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220/380V±5％、50Hz、三相四线制直接接地系统</w:t>
            </w:r>
          </w:p>
        </w:tc>
        <w:tc>
          <w:tcPr>
            <w:tcW w:w="5721" w:type="dxa"/>
            <w:noWrap w:val="0"/>
            <w:vAlign w:val="center"/>
          </w:tcPr>
          <w:p w14:paraId="529FD71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用于容量小于2</w:t>
            </w:r>
            <w:r>
              <w:rPr>
                <w:rFonts w:hint="eastAsia" w:ascii="Times New Roman" w:hAnsi="Times New Roman" w:cs="Times New Roman"/>
                <w:color w:val="auto"/>
                <w:sz w:val="24"/>
                <w:highlight w:val="none"/>
                <w:lang w:val="en-US" w:eastAsia="zh-CN"/>
              </w:rPr>
              <w:t>5</w:t>
            </w:r>
            <w:r>
              <w:rPr>
                <w:rFonts w:hint="default" w:ascii="Times New Roman" w:hAnsi="Times New Roman" w:cs="Times New Roman"/>
                <w:color w:val="auto"/>
                <w:sz w:val="24"/>
                <w:highlight w:val="none"/>
              </w:rPr>
              <w:t>0kW的电动机、小动力负荷、特殊设备的不间断电源以及照明和室内插座的电源。</w:t>
            </w:r>
          </w:p>
        </w:tc>
      </w:tr>
      <w:tr w14:paraId="0CD14FDB">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28" w:type="dxa"/>
            <w:bottom w:w="0" w:type="dxa"/>
            <w:right w:w="28" w:type="dxa"/>
          </w:tblCellMar>
        </w:tblPrEx>
        <w:tc>
          <w:tcPr>
            <w:tcW w:w="2583" w:type="dxa"/>
            <w:noWrap w:val="0"/>
            <w:vAlign w:val="top"/>
          </w:tcPr>
          <w:p w14:paraId="61603739">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220</w:t>
            </w:r>
            <w:r>
              <w:rPr>
                <w:rFonts w:hint="default" w:ascii="Times New Roman" w:hAnsi="Times New Roman" w:cs="Times New Roman"/>
                <w:color w:val="auto"/>
                <w:sz w:val="24"/>
                <w:highlight w:val="none"/>
              </w:rPr>
              <w:t>V DC-10～15％</w:t>
            </w:r>
          </w:p>
        </w:tc>
        <w:tc>
          <w:tcPr>
            <w:tcW w:w="5721" w:type="dxa"/>
            <w:noWrap w:val="0"/>
            <w:vAlign w:val="top"/>
          </w:tcPr>
          <w:p w14:paraId="0E78A7D5">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作为应急装置、控制电源</w:t>
            </w:r>
          </w:p>
        </w:tc>
      </w:tr>
      <w:tr w14:paraId="668E7A6E">
        <w:tblPrEx>
          <w:tblBorders>
            <w:top w:val="single" w:color="auto" w:sz="12" w:space="0"/>
            <w:left w:val="single" w:color="auto" w:sz="12" w:space="0"/>
            <w:bottom w:val="single" w:color="auto" w:sz="12" w:space="0"/>
            <w:right w:val="single" w:color="auto" w:sz="12" w:space="0"/>
            <w:insideH w:val="single" w:color="auto" w:sz="4" w:space="0"/>
            <w:insideV w:val="single" w:color="auto" w:sz="6" w:space="0"/>
          </w:tblBorders>
          <w:tblCellMar>
            <w:top w:w="0" w:type="dxa"/>
            <w:left w:w="28" w:type="dxa"/>
            <w:bottom w:w="0" w:type="dxa"/>
            <w:right w:w="28" w:type="dxa"/>
          </w:tblCellMar>
        </w:tblPrEx>
        <w:tc>
          <w:tcPr>
            <w:tcW w:w="2583" w:type="dxa"/>
            <w:noWrap w:val="0"/>
            <w:vAlign w:val="top"/>
          </w:tcPr>
          <w:p w14:paraId="0AB77F4F">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12V±10％，50Hz±10%</w:t>
            </w:r>
          </w:p>
        </w:tc>
        <w:tc>
          <w:tcPr>
            <w:tcW w:w="5721" w:type="dxa"/>
            <w:noWrap w:val="0"/>
            <w:vAlign w:val="top"/>
          </w:tcPr>
          <w:p w14:paraId="5289F0B3">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用于密闭金属容器中</w:t>
            </w:r>
          </w:p>
        </w:tc>
      </w:tr>
    </w:tbl>
    <w:p w14:paraId="18F1F43E">
      <w:pPr>
        <w:spacing w:line="360" w:lineRule="auto"/>
        <w:rPr>
          <w:color w:val="auto"/>
          <w:sz w:val="24"/>
          <w:highlight w:val="none"/>
        </w:rPr>
      </w:pPr>
      <w:r>
        <w:rPr>
          <w:color w:val="auto"/>
          <w:sz w:val="24"/>
          <w:highlight w:val="none"/>
        </w:rPr>
        <w:t>4.2.9.2电压降</w:t>
      </w:r>
    </w:p>
    <w:p w14:paraId="7B87F048">
      <w:pPr>
        <w:spacing w:line="360" w:lineRule="auto"/>
        <w:ind w:firstLine="480" w:firstLineChars="200"/>
        <w:rPr>
          <w:color w:val="auto"/>
          <w:sz w:val="24"/>
          <w:highlight w:val="none"/>
        </w:rPr>
      </w:pPr>
      <w:r>
        <w:rPr>
          <w:color w:val="auto"/>
          <w:sz w:val="24"/>
          <w:highlight w:val="none"/>
        </w:rPr>
        <w:t>配电回路的设计应使回路所接母线的最低电压不低于相关的规范要求。</w:t>
      </w:r>
    </w:p>
    <w:p w14:paraId="01E090B7">
      <w:pPr>
        <w:spacing w:line="360" w:lineRule="auto"/>
        <w:outlineLvl w:val="2"/>
        <w:rPr>
          <w:b/>
          <w:color w:val="auto"/>
          <w:sz w:val="24"/>
          <w:highlight w:val="none"/>
        </w:rPr>
      </w:pPr>
      <w:r>
        <w:rPr>
          <w:b/>
          <w:color w:val="auto"/>
          <w:sz w:val="24"/>
          <w:highlight w:val="none"/>
        </w:rPr>
        <w:t>4.3 电气设备总的要求</w:t>
      </w:r>
    </w:p>
    <w:p w14:paraId="69C4247E">
      <w:pPr>
        <w:spacing w:line="360" w:lineRule="auto"/>
        <w:ind w:firstLine="480" w:firstLineChars="200"/>
        <w:rPr>
          <w:color w:val="auto"/>
          <w:sz w:val="24"/>
          <w:highlight w:val="none"/>
        </w:rPr>
      </w:pPr>
      <w:r>
        <w:rPr>
          <w:color w:val="auto"/>
          <w:sz w:val="24"/>
          <w:highlight w:val="none"/>
        </w:rPr>
        <w:t>这部分内容是对</w:t>
      </w:r>
      <w:r>
        <w:rPr>
          <w:rFonts w:hint="eastAsia"/>
          <w:color w:val="auto"/>
          <w:sz w:val="24"/>
          <w:highlight w:val="none"/>
          <w:lang w:eastAsia="zh-CN"/>
        </w:rPr>
        <w:t>投标方</w:t>
      </w:r>
      <w:r>
        <w:rPr>
          <w:color w:val="auto"/>
          <w:sz w:val="24"/>
          <w:highlight w:val="none"/>
        </w:rPr>
        <w:t>在电气系统和电气设备的设计、制造等各方面提出的技术要求。</w:t>
      </w:r>
    </w:p>
    <w:p w14:paraId="127699BD">
      <w:pPr>
        <w:spacing w:line="360" w:lineRule="auto"/>
        <w:rPr>
          <w:color w:val="auto"/>
          <w:sz w:val="24"/>
          <w:highlight w:val="none"/>
        </w:rPr>
      </w:pPr>
      <w:r>
        <w:rPr>
          <w:color w:val="auto"/>
          <w:sz w:val="24"/>
          <w:highlight w:val="none"/>
        </w:rPr>
        <w:t>4.3.1电气设备防护等级</w:t>
      </w:r>
    </w:p>
    <w:p w14:paraId="76C2572C">
      <w:pPr>
        <w:spacing w:line="360" w:lineRule="auto"/>
        <w:ind w:firstLine="480" w:firstLineChars="200"/>
        <w:rPr>
          <w:color w:val="auto"/>
          <w:sz w:val="24"/>
          <w:highlight w:val="none"/>
        </w:rPr>
      </w:pPr>
      <w:r>
        <w:rPr>
          <w:color w:val="auto"/>
          <w:sz w:val="24"/>
          <w:highlight w:val="none"/>
        </w:rPr>
        <w:t>电气设备防护等级应符合GB、DL及IEC标准的相关要求。</w:t>
      </w:r>
    </w:p>
    <w:p w14:paraId="47F976AA">
      <w:pPr>
        <w:spacing w:line="360" w:lineRule="auto"/>
        <w:rPr>
          <w:color w:val="auto"/>
          <w:sz w:val="24"/>
          <w:highlight w:val="none"/>
        </w:rPr>
      </w:pPr>
      <w:r>
        <w:rPr>
          <w:color w:val="auto"/>
          <w:sz w:val="24"/>
          <w:highlight w:val="none"/>
        </w:rPr>
        <w:t>4.3.2防止触电措施</w:t>
      </w:r>
    </w:p>
    <w:p w14:paraId="443AA1E6">
      <w:pPr>
        <w:spacing w:line="360" w:lineRule="auto"/>
        <w:ind w:firstLine="480" w:firstLineChars="200"/>
        <w:rPr>
          <w:color w:val="auto"/>
          <w:sz w:val="24"/>
          <w:highlight w:val="none"/>
        </w:rPr>
      </w:pPr>
      <w:r>
        <w:rPr>
          <w:color w:val="auto"/>
          <w:sz w:val="24"/>
          <w:highlight w:val="none"/>
        </w:rPr>
        <w:t>对于超过1,000V的带电装置和设备应防止直接接触或间接接触。</w:t>
      </w:r>
    </w:p>
    <w:p w14:paraId="7FA9E5B5">
      <w:pPr>
        <w:spacing w:line="360" w:lineRule="auto"/>
        <w:ind w:firstLine="480" w:firstLineChars="200"/>
        <w:rPr>
          <w:color w:val="auto"/>
          <w:sz w:val="24"/>
          <w:highlight w:val="none"/>
        </w:rPr>
      </w:pPr>
      <w:r>
        <w:rPr>
          <w:color w:val="auto"/>
          <w:sz w:val="24"/>
          <w:highlight w:val="none"/>
        </w:rPr>
        <w:t>对于可能直接接触的带电装置和设备，应采取对带电部分进行隔离或加保护罩（保护网）的方式进行保护；</w:t>
      </w:r>
    </w:p>
    <w:p w14:paraId="563E88C1">
      <w:pPr>
        <w:spacing w:line="360" w:lineRule="auto"/>
        <w:ind w:firstLine="480" w:firstLineChars="200"/>
        <w:rPr>
          <w:color w:val="auto"/>
          <w:sz w:val="24"/>
          <w:highlight w:val="none"/>
        </w:rPr>
      </w:pPr>
      <w:r>
        <w:rPr>
          <w:color w:val="auto"/>
          <w:sz w:val="24"/>
          <w:highlight w:val="none"/>
        </w:rPr>
        <w:t>对于可能间接接触的带电装置和设备，也应有相应的保护等措施。</w:t>
      </w:r>
    </w:p>
    <w:p w14:paraId="79656547">
      <w:pPr>
        <w:spacing w:line="360" w:lineRule="auto"/>
        <w:rPr>
          <w:color w:val="auto"/>
          <w:sz w:val="24"/>
          <w:highlight w:val="none"/>
        </w:rPr>
      </w:pPr>
      <w:r>
        <w:rPr>
          <w:color w:val="auto"/>
          <w:sz w:val="24"/>
          <w:highlight w:val="none"/>
        </w:rPr>
        <w:t>4.3.3电气设备的颜色标识</w:t>
      </w:r>
    </w:p>
    <w:p w14:paraId="6FA2AE31">
      <w:pPr>
        <w:spacing w:line="360" w:lineRule="auto"/>
        <w:ind w:firstLine="480" w:firstLineChars="200"/>
        <w:rPr>
          <w:color w:val="auto"/>
          <w:sz w:val="24"/>
          <w:highlight w:val="none"/>
        </w:rPr>
      </w:pPr>
      <w:r>
        <w:rPr>
          <w:color w:val="auto"/>
          <w:sz w:val="24"/>
          <w:highlight w:val="none"/>
        </w:rPr>
        <w:t>电气设备外壳的颜色由</w:t>
      </w:r>
      <w:r>
        <w:rPr>
          <w:rFonts w:hint="eastAsia"/>
          <w:color w:val="auto"/>
          <w:sz w:val="24"/>
          <w:highlight w:val="none"/>
          <w:lang w:eastAsia="zh-CN"/>
        </w:rPr>
        <w:t>招标方</w:t>
      </w:r>
      <w:r>
        <w:rPr>
          <w:color w:val="auto"/>
          <w:sz w:val="24"/>
          <w:highlight w:val="none"/>
        </w:rPr>
        <w:t>指定或确认。</w:t>
      </w:r>
    </w:p>
    <w:p w14:paraId="075AAEB3">
      <w:pPr>
        <w:spacing w:line="360" w:lineRule="auto"/>
        <w:ind w:firstLine="480" w:firstLineChars="200"/>
        <w:rPr>
          <w:color w:val="auto"/>
          <w:sz w:val="24"/>
          <w:highlight w:val="none"/>
        </w:rPr>
      </w:pPr>
      <w:r>
        <w:rPr>
          <w:color w:val="auto"/>
          <w:sz w:val="24"/>
          <w:highlight w:val="none"/>
        </w:rPr>
        <w:t>控制屏、盘上的指示灯、按钮采用如下颜色标识：</w:t>
      </w:r>
    </w:p>
    <w:p w14:paraId="53D938EE">
      <w:pPr>
        <w:spacing w:line="360" w:lineRule="auto"/>
        <w:ind w:firstLine="480" w:firstLineChars="200"/>
        <w:rPr>
          <w:color w:val="auto"/>
          <w:sz w:val="24"/>
          <w:highlight w:val="none"/>
        </w:rPr>
      </w:pPr>
      <w:r>
        <w:rPr>
          <w:color w:val="auto"/>
          <w:sz w:val="24"/>
          <w:highlight w:val="none"/>
        </w:rPr>
        <w:t>a)指示灯</w:t>
      </w:r>
    </w:p>
    <w:p w14:paraId="001C5084">
      <w:pPr>
        <w:spacing w:line="360" w:lineRule="auto"/>
        <w:ind w:firstLine="480" w:firstLineChars="200"/>
        <w:rPr>
          <w:color w:val="auto"/>
          <w:sz w:val="24"/>
          <w:highlight w:val="none"/>
        </w:rPr>
      </w:pPr>
      <w:r>
        <w:rPr>
          <w:color w:val="auto"/>
          <w:sz w:val="24"/>
          <w:highlight w:val="none"/>
        </w:rPr>
        <w:t>－断路器合</w:t>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 xml:space="preserve">   红色</w:t>
      </w:r>
    </w:p>
    <w:p w14:paraId="4854447A">
      <w:pPr>
        <w:spacing w:line="360" w:lineRule="auto"/>
        <w:ind w:firstLine="480" w:firstLineChars="200"/>
        <w:rPr>
          <w:color w:val="auto"/>
          <w:sz w:val="24"/>
          <w:highlight w:val="none"/>
        </w:rPr>
      </w:pPr>
      <w:r>
        <w:rPr>
          <w:color w:val="auto"/>
          <w:sz w:val="24"/>
          <w:highlight w:val="none"/>
        </w:rPr>
        <w:t>－断路器分</w:t>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绿色</w:t>
      </w:r>
    </w:p>
    <w:p w14:paraId="735CDF70">
      <w:pPr>
        <w:spacing w:line="360" w:lineRule="auto"/>
        <w:ind w:firstLine="480" w:firstLineChars="200"/>
        <w:rPr>
          <w:color w:val="auto"/>
          <w:sz w:val="24"/>
          <w:highlight w:val="none"/>
        </w:rPr>
      </w:pPr>
      <w:r>
        <w:rPr>
          <w:color w:val="auto"/>
          <w:sz w:val="24"/>
          <w:highlight w:val="none"/>
        </w:rPr>
        <w:t>－电动机运转</w:t>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红色</w:t>
      </w:r>
    </w:p>
    <w:p w14:paraId="37E46640">
      <w:pPr>
        <w:spacing w:line="360" w:lineRule="auto"/>
        <w:ind w:firstLine="480" w:firstLineChars="200"/>
        <w:rPr>
          <w:color w:val="auto"/>
          <w:sz w:val="24"/>
          <w:highlight w:val="none"/>
        </w:rPr>
      </w:pPr>
      <w:r>
        <w:rPr>
          <w:color w:val="auto"/>
          <w:sz w:val="24"/>
          <w:highlight w:val="none"/>
        </w:rPr>
        <w:t>－电动机停转</w:t>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绿色</w:t>
      </w:r>
    </w:p>
    <w:p w14:paraId="7BAA62F3">
      <w:pPr>
        <w:spacing w:line="360" w:lineRule="auto"/>
        <w:ind w:firstLine="480" w:firstLineChars="200"/>
        <w:rPr>
          <w:color w:val="auto"/>
          <w:sz w:val="24"/>
          <w:highlight w:val="none"/>
        </w:rPr>
      </w:pPr>
      <w:r>
        <w:rPr>
          <w:color w:val="auto"/>
          <w:sz w:val="24"/>
          <w:highlight w:val="none"/>
        </w:rPr>
        <w:t>－报警、跳闸及故障信号</w:t>
      </w:r>
      <w:r>
        <w:rPr>
          <w:color w:val="auto"/>
          <w:sz w:val="24"/>
          <w:highlight w:val="none"/>
        </w:rPr>
        <w:tab/>
      </w:r>
      <w:r>
        <w:rPr>
          <w:color w:val="auto"/>
          <w:sz w:val="24"/>
          <w:highlight w:val="none"/>
        </w:rPr>
        <w:tab/>
      </w:r>
      <w:r>
        <w:rPr>
          <w:color w:val="auto"/>
          <w:sz w:val="24"/>
          <w:highlight w:val="none"/>
        </w:rPr>
        <w:tab/>
      </w:r>
      <w:r>
        <w:rPr>
          <w:color w:val="auto"/>
          <w:sz w:val="24"/>
          <w:highlight w:val="none"/>
        </w:rPr>
        <w:t>黄色、红色或采用相应铭牌的分合指示；并采用不同的颜色区分跳闸信号和报警信号。</w:t>
      </w:r>
    </w:p>
    <w:p w14:paraId="3F81FC60">
      <w:pPr>
        <w:spacing w:line="360" w:lineRule="auto"/>
        <w:ind w:firstLine="480" w:firstLineChars="200"/>
        <w:rPr>
          <w:color w:val="auto"/>
          <w:sz w:val="24"/>
          <w:highlight w:val="none"/>
        </w:rPr>
      </w:pPr>
      <w:r>
        <w:rPr>
          <w:color w:val="auto"/>
          <w:sz w:val="24"/>
          <w:highlight w:val="none"/>
        </w:rPr>
        <w:t>b)   按钮</w:t>
      </w:r>
    </w:p>
    <w:p w14:paraId="2205A77D">
      <w:pPr>
        <w:spacing w:line="360" w:lineRule="auto"/>
        <w:ind w:firstLine="480" w:firstLineChars="200"/>
        <w:rPr>
          <w:color w:val="auto"/>
          <w:sz w:val="24"/>
          <w:highlight w:val="none"/>
        </w:rPr>
      </w:pPr>
      <w:r>
        <w:rPr>
          <w:color w:val="auto"/>
          <w:sz w:val="24"/>
          <w:highlight w:val="none"/>
        </w:rPr>
        <w:t>－断路器合闸               红色</w:t>
      </w:r>
    </w:p>
    <w:p w14:paraId="5EB6F548">
      <w:pPr>
        <w:spacing w:line="360" w:lineRule="auto"/>
        <w:ind w:firstLine="480" w:firstLineChars="200"/>
        <w:rPr>
          <w:color w:val="auto"/>
          <w:sz w:val="24"/>
          <w:highlight w:val="none"/>
        </w:rPr>
      </w:pPr>
      <w:r>
        <w:rPr>
          <w:color w:val="auto"/>
          <w:sz w:val="24"/>
          <w:highlight w:val="none"/>
        </w:rPr>
        <w:t>－断路器跳闸</w:t>
      </w:r>
      <w:r>
        <w:rPr>
          <w:color w:val="auto"/>
          <w:sz w:val="24"/>
          <w:highlight w:val="none"/>
        </w:rPr>
        <w:tab/>
      </w:r>
      <w:r>
        <w:rPr>
          <w:color w:val="auto"/>
          <w:sz w:val="24"/>
          <w:highlight w:val="none"/>
        </w:rPr>
        <w:tab/>
      </w:r>
      <w:r>
        <w:rPr>
          <w:color w:val="auto"/>
          <w:sz w:val="24"/>
          <w:highlight w:val="none"/>
        </w:rPr>
        <w:t xml:space="preserve">           绿色</w:t>
      </w:r>
    </w:p>
    <w:p w14:paraId="21164948">
      <w:pPr>
        <w:spacing w:line="360" w:lineRule="auto"/>
        <w:ind w:firstLine="480" w:firstLineChars="200"/>
        <w:rPr>
          <w:color w:val="auto"/>
          <w:sz w:val="24"/>
          <w:highlight w:val="none"/>
        </w:rPr>
      </w:pPr>
      <w:r>
        <w:rPr>
          <w:color w:val="auto"/>
          <w:sz w:val="24"/>
          <w:highlight w:val="none"/>
        </w:rPr>
        <w:t>－所有其他按钮</w:t>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黑色并带有相关铭牌文字</w:t>
      </w:r>
    </w:p>
    <w:p w14:paraId="5C3D2BA0">
      <w:pPr>
        <w:spacing w:line="360" w:lineRule="auto"/>
        <w:ind w:firstLine="480" w:firstLineChars="200"/>
        <w:rPr>
          <w:color w:val="auto"/>
          <w:sz w:val="24"/>
          <w:highlight w:val="none"/>
        </w:rPr>
      </w:pPr>
      <w:r>
        <w:rPr>
          <w:color w:val="auto"/>
          <w:sz w:val="24"/>
          <w:highlight w:val="none"/>
        </w:rPr>
        <w:t>当按钮的ON/OFF状态的位置不易明确区分时，应通过“ON”/“OFF”或“O”/“I”标记或用以上所述的色彩标识加以注明。</w:t>
      </w:r>
    </w:p>
    <w:p w14:paraId="47076FDE">
      <w:pPr>
        <w:spacing w:line="360" w:lineRule="auto"/>
        <w:ind w:firstLine="480" w:firstLineChars="200"/>
        <w:rPr>
          <w:color w:val="auto"/>
          <w:sz w:val="24"/>
          <w:highlight w:val="none"/>
        </w:rPr>
      </w:pPr>
      <w:r>
        <w:rPr>
          <w:color w:val="auto"/>
          <w:sz w:val="24"/>
          <w:highlight w:val="none"/>
        </w:rPr>
        <w:t>集中控制的部分重要电动机设就地事故按钮。事故按钮应带护盖，以防止误碰按钮造成电动机误跳。</w:t>
      </w:r>
    </w:p>
    <w:p w14:paraId="0141A18F">
      <w:pPr>
        <w:spacing w:line="360" w:lineRule="auto"/>
        <w:rPr>
          <w:color w:val="auto"/>
          <w:sz w:val="24"/>
          <w:highlight w:val="none"/>
        </w:rPr>
      </w:pPr>
      <w:r>
        <w:rPr>
          <w:color w:val="auto"/>
          <w:sz w:val="24"/>
          <w:highlight w:val="none"/>
        </w:rPr>
        <w:t>4.3.4电气设备耐压要求</w:t>
      </w:r>
    </w:p>
    <w:p w14:paraId="41687EF1">
      <w:pPr>
        <w:spacing w:line="360" w:lineRule="auto"/>
        <w:rPr>
          <w:rFonts w:hint="eastAsia" w:ascii="宋体" w:hAnsi="宋体" w:cs="宋体"/>
          <w:color w:val="auto"/>
          <w:sz w:val="24"/>
          <w:highlight w:val="none"/>
        </w:rPr>
      </w:pPr>
      <w:r>
        <w:rPr>
          <w:color w:val="auto"/>
          <w:sz w:val="24"/>
          <w:highlight w:val="none"/>
        </w:rPr>
        <w:t>电气设备耐压应符合</w:t>
      </w:r>
      <w:r>
        <w:rPr>
          <w:rFonts w:hint="eastAsia" w:ascii="宋体" w:hAnsi="宋体" w:cs="宋体"/>
          <w:i w:val="0"/>
          <w:iCs w:val="0"/>
          <w:caps w:val="0"/>
          <w:color w:val="auto"/>
          <w:spacing w:val="0"/>
          <w:sz w:val="24"/>
          <w:szCs w:val="24"/>
          <w:highlight w:val="none"/>
          <w:shd w:val="clear" w:fill="FFFFFF"/>
          <w:lang w:eastAsia="zh-CN"/>
        </w:rPr>
        <w:t>《</w:t>
      </w:r>
      <w:r>
        <w:rPr>
          <w:rFonts w:hint="eastAsia" w:ascii="宋体" w:hAnsi="宋体" w:eastAsia="宋体" w:cs="宋体"/>
          <w:i w:val="0"/>
          <w:iCs w:val="0"/>
          <w:caps w:val="0"/>
          <w:color w:val="auto"/>
          <w:spacing w:val="0"/>
          <w:sz w:val="24"/>
          <w:szCs w:val="24"/>
          <w:highlight w:val="none"/>
          <w:shd w:val="clear" w:fill="FFFFFF"/>
        </w:rPr>
        <w:t>电气装置安装工程电气设备交接试验标准(GB50150)</w:t>
      </w:r>
      <w:r>
        <w:rPr>
          <w:rFonts w:hint="eastAsia" w:ascii="宋体" w:hAnsi="宋体" w:cs="宋体"/>
          <w:i w:val="0"/>
          <w:iCs w:val="0"/>
          <w:caps w:val="0"/>
          <w:color w:val="auto"/>
          <w:spacing w:val="0"/>
          <w:sz w:val="24"/>
          <w:szCs w:val="24"/>
          <w:highlight w:val="none"/>
          <w:shd w:val="clear" w:fill="FFFFFF"/>
          <w:lang w:eastAsia="zh-CN"/>
        </w:rPr>
        <w:t>》</w:t>
      </w:r>
    </w:p>
    <w:p w14:paraId="584EE9CD">
      <w:pPr>
        <w:adjustRightInd w:val="0"/>
        <w:snapToGrid w:val="0"/>
        <w:spacing w:line="360" w:lineRule="auto"/>
        <w:rPr>
          <w:color w:val="auto"/>
          <w:sz w:val="24"/>
          <w:highlight w:val="none"/>
        </w:rPr>
      </w:pPr>
      <w:r>
        <w:rPr>
          <w:color w:val="auto"/>
          <w:kern w:val="0"/>
          <w:sz w:val="24"/>
          <w:szCs w:val="20"/>
          <w:highlight w:val="none"/>
        </w:rPr>
        <w:t>4.3.5</w:t>
      </w:r>
      <w:r>
        <w:rPr>
          <w:color w:val="auto"/>
          <w:sz w:val="24"/>
          <w:highlight w:val="none"/>
        </w:rPr>
        <w:t>脱硫区内所有户外的配电箱、检修箱、控制箱、端子接线箱等均采用不锈钢</w:t>
      </w:r>
      <w:r>
        <w:rPr>
          <w:rFonts w:hint="eastAsia"/>
          <w:color w:val="auto"/>
          <w:sz w:val="24"/>
          <w:highlight w:val="none"/>
        </w:rPr>
        <w:t>304</w:t>
      </w:r>
      <w:r>
        <w:rPr>
          <w:color w:val="auto"/>
          <w:sz w:val="24"/>
          <w:highlight w:val="none"/>
        </w:rPr>
        <w:t>密封箱体，防护等级为IP56。</w:t>
      </w:r>
    </w:p>
    <w:p w14:paraId="53CB3A2C">
      <w:pPr>
        <w:spacing w:line="360" w:lineRule="auto"/>
        <w:outlineLvl w:val="2"/>
        <w:rPr>
          <w:b/>
          <w:color w:val="auto"/>
          <w:sz w:val="24"/>
          <w:highlight w:val="none"/>
        </w:rPr>
      </w:pPr>
      <w:r>
        <w:rPr>
          <w:b/>
          <w:color w:val="auto"/>
          <w:sz w:val="24"/>
          <w:highlight w:val="none"/>
        </w:rPr>
        <w:t>4.4 主要设备技术要求</w:t>
      </w:r>
    </w:p>
    <w:p w14:paraId="188B557B">
      <w:pPr>
        <w:spacing w:line="360" w:lineRule="auto"/>
        <w:rPr>
          <w:color w:val="auto"/>
          <w:sz w:val="24"/>
          <w:highlight w:val="none"/>
        </w:rPr>
      </w:pPr>
      <w:r>
        <w:rPr>
          <w:color w:val="auto"/>
          <w:sz w:val="24"/>
          <w:highlight w:val="none"/>
        </w:rPr>
        <w:t>4.4.1 变压器</w:t>
      </w:r>
    </w:p>
    <w:p w14:paraId="28587375">
      <w:pPr>
        <w:spacing w:line="360" w:lineRule="auto"/>
        <w:ind w:firstLine="480"/>
        <w:rPr>
          <w:color w:val="auto"/>
          <w:sz w:val="24"/>
          <w:highlight w:val="none"/>
        </w:rPr>
      </w:pPr>
      <w:r>
        <w:rPr>
          <w:color w:val="auto"/>
          <w:sz w:val="24"/>
          <w:highlight w:val="none"/>
        </w:rPr>
        <w:t>脱硫工作变压器采用型号为SCB</w:t>
      </w:r>
      <w:r>
        <w:rPr>
          <w:rFonts w:hint="default"/>
          <w:color w:val="auto"/>
          <w:sz w:val="24"/>
          <w:highlight w:val="none"/>
        </w:rPr>
        <w:t>14节能型</w:t>
      </w:r>
      <w:r>
        <w:rPr>
          <w:color w:val="auto"/>
          <w:sz w:val="24"/>
          <w:highlight w:val="none"/>
        </w:rPr>
        <w:t>干式变压器，符合现行GB20052《三相配电变压器能效限定值及能效等级》</w:t>
      </w:r>
      <w:r>
        <w:rPr>
          <w:rFonts w:hint="eastAsia"/>
          <w:color w:val="auto"/>
          <w:sz w:val="24"/>
          <w:highlight w:val="none"/>
        </w:rPr>
        <w:t>2</w:t>
      </w:r>
      <w:r>
        <w:rPr>
          <w:color w:val="auto"/>
          <w:sz w:val="24"/>
          <w:highlight w:val="none"/>
        </w:rPr>
        <w:t>级及以上能效要求。</w:t>
      </w:r>
    </w:p>
    <w:p w14:paraId="58ADB6C2">
      <w:pPr>
        <w:spacing w:line="360" w:lineRule="auto"/>
        <w:ind w:firstLine="480"/>
        <w:rPr>
          <w:color w:val="auto"/>
          <w:sz w:val="24"/>
          <w:highlight w:val="none"/>
        </w:rPr>
      </w:pPr>
      <w:r>
        <w:rPr>
          <w:color w:val="auto"/>
          <w:sz w:val="24"/>
          <w:highlight w:val="none"/>
        </w:rPr>
        <w:t>变压器安装在0.4kV配电装置的室内，不设变压器小间。变压器工作环境的最高温度按45℃考虑。变压器采用低损耗铜芯变压器，其在使用环境条件下能满负荷长期运行，并有一定的过负荷能力。变压器带外壳。变压器外壳内高压侧考虑设置固定电缆用的支架；低压侧设置固定母线用的支柱绝缘子，并满足短路时的动热稳定的要求，中性点配有零序CT。</w:t>
      </w:r>
    </w:p>
    <w:p w14:paraId="755A133E">
      <w:pPr>
        <w:spacing w:line="360" w:lineRule="auto"/>
        <w:ind w:firstLine="480"/>
        <w:rPr>
          <w:color w:val="auto"/>
          <w:sz w:val="24"/>
          <w:highlight w:val="none"/>
        </w:rPr>
      </w:pPr>
      <w:r>
        <w:rPr>
          <w:color w:val="auto"/>
          <w:sz w:val="24"/>
          <w:highlight w:val="none"/>
        </w:rPr>
        <w:t>变压器符合GB、DL、IEC最新标准的要求，特别是针对干式变压器的IEC726和IEC551标准对噪声测试的要求。</w:t>
      </w:r>
    </w:p>
    <w:p w14:paraId="28BC2AB0">
      <w:pPr>
        <w:spacing w:line="360" w:lineRule="auto"/>
        <w:ind w:firstLine="480"/>
        <w:rPr>
          <w:color w:val="auto"/>
          <w:sz w:val="24"/>
          <w:highlight w:val="none"/>
        </w:rPr>
      </w:pPr>
      <w:r>
        <w:rPr>
          <w:color w:val="auto"/>
          <w:sz w:val="24"/>
          <w:highlight w:val="none"/>
        </w:rPr>
        <w:t>干式变压器正常运行的冷却方式为自然风冷，但提供冷却风扇满足强迫风冷条件下150%的过负荷要求。变压器装设带报警及跳闸的温控设施。报警及跳闸信号接至DCS系统中。</w:t>
      </w:r>
    </w:p>
    <w:p w14:paraId="0CCEE941">
      <w:pPr>
        <w:spacing w:line="360" w:lineRule="auto"/>
        <w:ind w:firstLine="480"/>
        <w:rPr>
          <w:rFonts w:hint="eastAsia"/>
          <w:color w:val="auto"/>
          <w:sz w:val="24"/>
          <w:highlight w:val="none"/>
        </w:rPr>
      </w:pPr>
      <w:r>
        <w:rPr>
          <w:color w:val="auto"/>
          <w:sz w:val="24"/>
          <w:highlight w:val="none"/>
        </w:rPr>
        <w:t>变压器的绝缘等级为H级。</w:t>
      </w:r>
    </w:p>
    <w:p w14:paraId="5FF396EC">
      <w:pPr>
        <w:spacing w:line="360" w:lineRule="auto"/>
        <w:ind w:firstLine="480"/>
        <w:rPr>
          <w:color w:val="auto"/>
          <w:sz w:val="24"/>
          <w:highlight w:val="none"/>
        </w:rPr>
      </w:pPr>
      <w:r>
        <w:rPr>
          <w:color w:val="auto"/>
          <w:sz w:val="24"/>
          <w:highlight w:val="none"/>
        </w:rPr>
        <w:t>低压侧中性点直接接地。</w:t>
      </w:r>
    </w:p>
    <w:p w14:paraId="22C7B559">
      <w:pPr>
        <w:spacing w:line="360" w:lineRule="auto"/>
        <w:rPr>
          <w:color w:val="auto"/>
          <w:sz w:val="24"/>
          <w:highlight w:val="none"/>
        </w:rPr>
      </w:pPr>
      <w:r>
        <w:rPr>
          <w:color w:val="auto"/>
          <w:sz w:val="24"/>
          <w:highlight w:val="none"/>
        </w:rPr>
        <w:t>4.4.2</w:t>
      </w:r>
      <w:r>
        <w:rPr>
          <w:rFonts w:hint="eastAsia"/>
          <w:color w:val="auto"/>
          <w:sz w:val="24"/>
          <w:highlight w:val="none"/>
          <w:lang w:val="en-US" w:eastAsia="zh-CN"/>
        </w:rPr>
        <w:t xml:space="preserve">  </w:t>
      </w:r>
      <w:r>
        <w:rPr>
          <w:color w:val="auto"/>
          <w:sz w:val="24"/>
          <w:highlight w:val="none"/>
        </w:rPr>
        <w:t>0.4kV配电装置</w:t>
      </w:r>
    </w:p>
    <w:p w14:paraId="18075B0A">
      <w:pPr>
        <w:spacing w:line="360" w:lineRule="auto"/>
        <w:rPr>
          <w:color w:val="auto"/>
          <w:sz w:val="24"/>
          <w:highlight w:val="none"/>
        </w:rPr>
      </w:pPr>
      <w:r>
        <w:rPr>
          <w:color w:val="auto"/>
          <w:sz w:val="24"/>
          <w:highlight w:val="none"/>
        </w:rPr>
        <w:t>4.4.2.1  概述</w:t>
      </w:r>
    </w:p>
    <w:p w14:paraId="5573FA75">
      <w:pPr>
        <w:autoSpaceDE w:val="0"/>
        <w:autoSpaceDN w:val="0"/>
        <w:adjustRightInd w:val="0"/>
        <w:snapToGrid w:val="0"/>
        <w:spacing w:line="360" w:lineRule="auto"/>
        <w:ind w:firstLine="480" w:firstLineChars="200"/>
        <w:rPr>
          <w:color w:val="auto"/>
          <w:sz w:val="24"/>
          <w:highlight w:val="none"/>
        </w:rPr>
      </w:pPr>
      <w:r>
        <w:rPr>
          <w:color w:val="auto"/>
          <w:sz w:val="24"/>
          <w:highlight w:val="none"/>
        </w:rPr>
        <w:t>0.4kV动力中心（PC）为抽屉式开关柜</w:t>
      </w:r>
      <w:r>
        <w:rPr>
          <w:rFonts w:hint="eastAsia"/>
          <w:color w:val="auto"/>
          <w:sz w:val="24"/>
          <w:highlight w:val="none"/>
          <w:lang w:eastAsia="zh-CN"/>
        </w:rPr>
        <w:t>，</w:t>
      </w:r>
      <w:r>
        <w:rPr>
          <w:color w:val="auto"/>
          <w:sz w:val="24"/>
          <w:highlight w:val="none"/>
        </w:rPr>
        <w:t>电动机控制中心（MCC）为抽屉式开关柜</w:t>
      </w:r>
      <w:r>
        <w:rPr>
          <w:rFonts w:hint="eastAsia"/>
          <w:color w:val="auto"/>
          <w:sz w:val="24"/>
          <w:highlight w:val="none"/>
          <w:lang w:eastAsia="zh-CN"/>
        </w:rPr>
        <w:t>，</w:t>
      </w:r>
      <w:r>
        <w:rPr>
          <w:rFonts w:hint="eastAsia"/>
          <w:color w:val="auto"/>
          <w:sz w:val="24"/>
          <w:highlight w:val="none"/>
          <w:lang w:val="en-US" w:eastAsia="zh-CN"/>
        </w:rPr>
        <w:t>抽屉式开关柜型号为MNS。</w:t>
      </w:r>
      <w:r>
        <w:rPr>
          <w:color w:val="auto"/>
          <w:sz w:val="24"/>
          <w:highlight w:val="none"/>
        </w:rPr>
        <w:t>0.4kV配电柜柜型选用与主体同档次产品，柜内所有断路器、塑壳断路器、接触器等开关柜主要元件均应采用同一品牌，应</w:t>
      </w:r>
      <w:r>
        <w:rPr>
          <w:color w:val="auto"/>
          <w:sz w:val="24"/>
          <w:highlight w:val="none"/>
          <w:lang w:val="zh-CN"/>
        </w:rPr>
        <w:t>选用施耐德、ABB、西门子</w:t>
      </w:r>
      <w:r>
        <w:rPr>
          <w:color w:val="auto"/>
          <w:sz w:val="24"/>
          <w:highlight w:val="none"/>
        </w:rPr>
        <w:t>等最新系列优质产品之一。低压开关柜柜体为金属外壳，用于室内安装。</w:t>
      </w:r>
    </w:p>
    <w:p w14:paraId="43A83266">
      <w:pPr>
        <w:spacing w:line="360" w:lineRule="auto"/>
        <w:rPr>
          <w:color w:val="auto"/>
          <w:sz w:val="24"/>
          <w:highlight w:val="none"/>
        </w:rPr>
      </w:pPr>
      <w:r>
        <w:rPr>
          <w:color w:val="auto"/>
          <w:sz w:val="24"/>
          <w:highlight w:val="none"/>
        </w:rPr>
        <w:t>4.4.2.2  结构要求</w:t>
      </w:r>
    </w:p>
    <w:p w14:paraId="0BE4F578">
      <w:pPr>
        <w:spacing w:line="360" w:lineRule="auto"/>
        <w:ind w:firstLine="480"/>
        <w:rPr>
          <w:color w:val="auto"/>
          <w:sz w:val="24"/>
          <w:highlight w:val="none"/>
        </w:rPr>
      </w:pPr>
      <w:r>
        <w:rPr>
          <w:color w:val="auto"/>
          <w:sz w:val="24"/>
          <w:highlight w:val="none"/>
        </w:rPr>
        <w:t>开关柜柜体应有足够的强度和刚度，能承受所安装元件重量及短路时所产生的电动力。内部各工作单元之间通过金属挡板或相当的材料隔离。</w:t>
      </w:r>
    </w:p>
    <w:p w14:paraId="40396D88">
      <w:pPr>
        <w:spacing w:line="360" w:lineRule="auto"/>
        <w:ind w:firstLine="480"/>
        <w:rPr>
          <w:color w:val="auto"/>
          <w:sz w:val="24"/>
          <w:highlight w:val="none"/>
        </w:rPr>
      </w:pPr>
      <w:r>
        <w:rPr>
          <w:color w:val="auto"/>
          <w:sz w:val="24"/>
          <w:highlight w:val="none"/>
        </w:rPr>
        <w:t>带电部分加以适当的保护以防止触电。在其它单元带电的情况下能更换和改接电缆。</w:t>
      </w:r>
    </w:p>
    <w:p w14:paraId="2F257A85">
      <w:pPr>
        <w:spacing w:line="360" w:lineRule="auto"/>
        <w:ind w:firstLine="480"/>
        <w:rPr>
          <w:color w:val="auto"/>
          <w:sz w:val="24"/>
          <w:highlight w:val="none"/>
        </w:rPr>
      </w:pPr>
      <w:r>
        <w:rPr>
          <w:color w:val="auto"/>
          <w:sz w:val="24"/>
          <w:highlight w:val="none"/>
        </w:rPr>
        <w:t>所有的辅助电路以插接件连接。相同型号的单元不需更改接线就可互换。</w:t>
      </w:r>
    </w:p>
    <w:p w14:paraId="7ECF291F">
      <w:pPr>
        <w:spacing w:line="360" w:lineRule="auto"/>
        <w:ind w:firstLine="480"/>
        <w:rPr>
          <w:color w:val="auto"/>
          <w:sz w:val="24"/>
          <w:highlight w:val="none"/>
        </w:rPr>
      </w:pPr>
      <w:r>
        <w:rPr>
          <w:color w:val="auto"/>
          <w:sz w:val="24"/>
          <w:highlight w:val="none"/>
        </w:rPr>
        <w:t>对于电缆馈线开关柜，每个开关柜装有宽度不小于300mm的电缆小室。</w:t>
      </w:r>
    </w:p>
    <w:p w14:paraId="5FD60BA1">
      <w:pPr>
        <w:spacing w:line="360" w:lineRule="auto"/>
        <w:ind w:firstLine="480"/>
        <w:rPr>
          <w:color w:val="auto"/>
          <w:sz w:val="24"/>
          <w:highlight w:val="none"/>
        </w:rPr>
      </w:pPr>
      <w:r>
        <w:rPr>
          <w:color w:val="auto"/>
          <w:sz w:val="24"/>
          <w:highlight w:val="none"/>
        </w:rPr>
        <w:t>抽屉式单元的抽取只能在电路开断时进行。因此在每个插件或抽屉单元上配有机械或电子连锁装置。</w:t>
      </w:r>
    </w:p>
    <w:p w14:paraId="29BBBB7D">
      <w:pPr>
        <w:spacing w:line="360" w:lineRule="auto"/>
        <w:ind w:firstLine="480"/>
        <w:rPr>
          <w:color w:val="auto"/>
          <w:sz w:val="24"/>
          <w:highlight w:val="none"/>
        </w:rPr>
      </w:pPr>
      <w:r>
        <w:rPr>
          <w:color w:val="auto"/>
          <w:sz w:val="24"/>
          <w:highlight w:val="none"/>
        </w:rPr>
        <w:t>每个抽屉式单元有防止意外合闸的措施。</w:t>
      </w:r>
    </w:p>
    <w:p w14:paraId="05D2D585">
      <w:pPr>
        <w:spacing w:line="360" w:lineRule="auto"/>
        <w:ind w:firstLine="480"/>
        <w:rPr>
          <w:color w:val="auto"/>
          <w:sz w:val="24"/>
          <w:highlight w:val="none"/>
        </w:rPr>
      </w:pPr>
      <w:r>
        <w:rPr>
          <w:color w:val="auto"/>
          <w:sz w:val="24"/>
          <w:highlight w:val="none"/>
        </w:rPr>
        <w:t>所有的装置、电缆接线端采用耐久性材料加以注明，并与相关的项目表和接线图相对应；</w:t>
      </w:r>
    </w:p>
    <w:p w14:paraId="5BDF1F5F">
      <w:pPr>
        <w:spacing w:line="360" w:lineRule="auto"/>
        <w:ind w:firstLine="480"/>
        <w:rPr>
          <w:color w:val="auto"/>
          <w:sz w:val="24"/>
          <w:highlight w:val="none"/>
        </w:rPr>
      </w:pPr>
      <w:r>
        <w:rPr>
          <w:color w:val="auto"/>
          <w:sz w:val="24"/>
          <w:highlight w:val="none"/>
        </w:rPr>
        <w:t>所有用于操作和监视的重要设备（如：开关、按钮信号灯等）都要用固定的铭牌加以标明；</w:t>
      </w:r>
    </w:p>
    <w:p w14:paraId="4D50DB80">
      <w:pPr>
        <w:spacing w:line="360" w:lineRule="auto"/>
        <w:ind w:firstLine="480"/>
        <w:rPr>
          <w:rFonts w:hint="default"/>
          <w:color w:val="auto"/>
          <w:sz w:val="24"/>
          <w:highlight w:val="none"/>
          <w:lang w:val="en-US"/>
        </w:rPr>
      </w:pPr>
      <w:r>
        <w:rPr>
          <w:color w:val="auto"/>
          <w:sz w:val="24"/>
          <w:highlight w:val="none"/>
        </w:rPr>
        <w:t>所有装置都有良好的接地。每一开关柜均直接与就近的接地网相连，其接地线满足设备短路电流热稳定的要求</w:t>
      </w:r>
      <w:r>
        <w:rPr>
          <w:rFonts w:hint="default"/>
          <w:color w:val="auto"/>
          <w:sz w:val="24"/>
          <w:highlight w:val="none"/>
          <w:lang w:eastAsia="zh-CN"/>
        </w:rPr>
        <w:t>，</w:t>
      </w:r>
      <w:r>
        <w:rPr>
          <w:rFonts w:hint="default"/>
          <w:color w:val="auto"/>
          <w:sz w:val="24"/>
          <w:highlight w:val="none"/>
          <w:lang w:val="en-US" w:eastAsia="zh-CN"/>
        </w:rPr>
        <w:t>短路电流按</w:t>
      </w:r>
      <w:r>
        <w:rPr>
          <w:rFonts w:hint="default" w:ascii="Times New Roman" w:hAnsi="Times New Roman"/>
          <w:color w:val="auto"/>
          <w:sz w:val="24"/>
          <w:szCs w:val="24"/>
          <w:highlight w:val="none"/>
          <w:lang w:val="en-US" w:eastAsia="zh-CN"/>
        </w:rPr>
        <w:t>3</w:t>
      </w:r>
      <w:r>
        <w:rPr>
          <w:rFonts w:hint="default" w:ascii="Times New Roman" w:hAnsi="Times New Roman"/>
          <w:color w:val="auto"/>
          <w:sz w:val="24"/>
          <w:szCs w:val="24"/>
          <w:highlight w:val="none"/>
        </w:rPr>
        <w:t>0</w:t>
      </w:r>
      <w:r>
        <w:rPr>
          <w:rFonts w:ascii="Times New Roman" w:hAnsi="Times New Roman"/>
          <w:color w:val="auto"/>
          <w:sz w:val="24"/>
          <w:szCs w:val="24"/>
          <w:highlight w:val="none"/>
        </w:rPr>
        <w:t>kA</w:t>
      </w:r>
      <w:r>
        <w:rPr>
          <w:rFonts w:hint="default" w:ascii="Times New Roman" w:hAnsi="Times New Roman"/>
          <w:color w:val="auto"/>
          <w:sz w:val="24"/>
          <w:szCs w:val="24"/>
          <w:highlight w:val="none"/>
          <w:lang w:val="en-US" w:eastAsia="zh-CN"/>
        </w:rPr>
        <w:t>考虑。</w:t>
      </w:r>
    </w:p>
    <w:p w14:paraId="625C7F67">
      <w:pPr>
        <w:spacing w:line="360" w:lineRule="auto"/>
        <w:ind w:firstLine="480"/>
        <w:rPr>
          <w:color w:val="auto"/>
          <w:sz w:val="24"/>
          <w:highlight w:val="none"/>
        </w:rPr>
      </w:pPr>
      <w:r>
        <w:rPr>
          <w:color w:val="auto"/>
          <w:sz w:val="24"/>
          <w:highlight w:val="none"/>
        </w:rPr>
        <w:t>0.4kV开关柜为三相四线（L1、L2、L3和N）系统，并能满足短路电流动、热稳定的要求。</w:t>
      </w:r>
    </w:p>
    <w:p w14:paraId="517D2852">
      <w:pPr>
        <w:spacing w:line="360" w:lineRule="auto"/>
        <w:rPr>
          <w:color w:val="auto"/>
          <w:sz w:val="24"/>
          <w:highlight w:val="none"/>
        </w:rPr>
      </w:pPr>
      <w:r>
        <w:rPr>
          <w:color w:val="auto"/>
          <w:sz w:val="24"/>
          <w:highlight w:val="none"/>
        </w:rPr>
        <w:t>4.4.2.3  框架断路器</w:t>
      </w:r>
    </w:p>
    <w:p w14:paraId="4949D973">
      <w:pPr>
        <w:spacing w:line="360" w:lineRule="auto"/>
        <w:ind w:firstLine="480"/>
        <w:rPr>
          <w:color w:val="auto"/>
          <w:sz w:val="24"/>
          <w:highlight w:val="none"/>
        </w:rPr>
      </w:pPr>
      <w:r>
        <w:rPr>
          <w:color w:val="auto"/>
          <w:sz w:val="24"/>
          <w:highlight w:val="none"/>
        </w:rPr>
        <w:t>PC柜的电源进线断路器、母联断路器及馈线断路器选用智能型、零飞弧、框架空气断路器，其上、下进线应具有相同分断能力。</w:t>
      </w:r>
    </w:p>
    <w:p w14:paraId="0ABA097B">
      <w:pPr>
        <w:spacing w:line="360" w:lineRule="auto"/>
        <w:ind w:firstLine="480"/>
        <w:rPr>
          <w:color w:val="auto"/>
          <w:sz w:val="24"/>
          <w:highlight w:val="none"/>
        </w:rPr>
      </w:pPr>
      <w:r>
        <w:rPr>
          <w:color w:val="auto"/>
          <w:sz w:val="24"/>
          <w:highlight w:val="none"/>
        </w:rPr>
        <w:t>为了检修，维护的安全，避免误操作,要求框架断路器有一个钥匙锁锁定OFF位置。要求框架断路器免维护，反向馈电不降容。</w:t>
      </w:r>
    </w:p>
    <w:p w14:paraId="6639BB26">
      <w:pPr>
        <w:spacing w:line="360" w:lineRule="auto"/>
        <w:ind w:firstLine="480"/>
        <w:rPr>
          <w:color w:val="auto"/>
          <w:sz w:val="24"/>
          <w:highlight w:val="none"/>
        </w:rPr>
      </w:pPr>
      <w:r>
        <w:rPr>
          <w:color w:val="auto"/>
          <w:sz w:val="24"/>
          <w:highlight w:val="none"/>
          <w:lang w:val="zh-CN"/>
        </w:rPr>
        <w:t>框架断路器要求采用施耐德MT系列、ABB E系列、西门子3WL系列或相当于智能型框架断路器。</w:t>
      </w:r>
    </w:p>
    <w:p w14:paraId="3DBE2D4B">
      <w:pPr>
        <w:spacing w:line="360" w:lineRule="auto"/>
        <w:ind w:firstLine="480"/>
        <w:rPr>
          <w:color w:val="auto"/>
          <w:sz w:val="24"/>
          <w:highlight w:val="none"/>
        </w:rPr>
      </w:pPr>
      <w:r>
        <w:rPr>
          <w:color w:val="auto"/>
          <w:sz w:val="24"/>
          <w:highlight w:val="none"/>
        </w:rPr>
        <w:t>断路器选用的脱扣器、电源模块等应为断路器的配套产品，具有短路瞬时、短路短延时、过负荷长延时、接地保护等功能，可以在现场方便地进行定值整定或功能调整，并且，除了过负荷长延时保护外，其它所有的保护功能应可根据需要在现场启用或关闭；断路器配套的保护装置还应带有液晶显示面板，可以方便地读出各运行和保护动作状态。其中，施耐德MT系列按Micrologic6.0A脱扣器配置、</w:t>
      </w:r>
      <w:r>
        <w:rPr>
          <w:rFonts w:hint="eastAsia" w:ascii="宋体" w:hAnsi="宋体"/>
          <w:color w:val="auto"/>
          <w:sz w:val="24"/>
          <w:highlight w:val="none"/>
        </w:rPr>
        <w:t>ABB Emax2系列按Ekip Touch</w:t>
      </w:r>
      <w:r>
        <w:rPr>
          <w:color w:val="auto"/>
          <w:sz w:val="24"/>
          <w:highlight w:val="none"/>
        </w:rPr>
        <w:t>脱扣器配置、西门子3WL系列按ETU45B脱扣器配置。</w:t>
      </w:r>
    </w:p>
    <w:p w14:paraId="64C3F974">
      <w:pPr>
        <w:spacing w:line="360" w:lineRule="auto"/>
        <w:ind w:firstLine="480" w:firstLineChars="200"/>
        <w:rPr>
          <w:color w:val="auto"/>
          <w:sz w:val="24"/>
          <w:highlight w:val="none"/>
        </w:rPr>
      </w:pPr>
      <w:r>
        <w:rPr>
          <w:color w:val="auto"/>
          <w:sz w:val="24"/>
          <w:highlight w:val="none"/>
        </w:rPr>
        <w:t>框架断路器脱扣器额定电流（CT额定电流）应有较大的选择范围，可选择得比本体电流小，以便在实际负荷电流很小的情况下，能与负荷电流相适应。框架断路器可以通过更换额定电流模块来调整断路器的额定电流。</w:t>
      </w:r>
    </w:p>
    <w:p w14:paraId="1E60B978">
      <w:pPr>
        <w:spacing w:line="360" w:lineRule="auto"/>
        <w:ind w:firstLine="480" w:firstLineChars="200"/>
        <w:rPr>
          <w:color w:val="auto"/>
          <w:sz w:val="24"/>
          <w:highlight w:val="none"/>
        </w:rPr>
      </w:pPr>
      <w:r>
        <w:rPr>
          <w:color w:val="auto"/>
          <w:sz w:val="24"/>
          <w:highlight w:val="none"/>
        </w:rPr>
        <w:t>断路器应提供10常开，10常闭独立辅助接点。</w:t>
      </w:r>
    </w:p>
    <w:p w14:paraId="69FF584D">
      <w:pPr>
        <w:spacing w:line="360" w:lineRule="auto"/>
        <w:ind w:firstLine="480" w:firstLineChars="200"/>
        <w:rPr>
          <w:color w:val="auto"/>
          <w:sz w:val="24"/>
          <w:highlight w:val="none"/>
        </w:rPr>
      </w:pPr>
      <w:r>
        <w:rPr>
          <w:color w:val="auto"/>
          <w:sz w:val="24"/>
          <w:highlight w:val="none"/>
        </w:rPr>
        <w:t>断路器至少提供1付下列有关断路器状态的常开辅助接点</w:t>
      </w:r>
    </w:p>
    <w:p w14:paraId="0642B0AF">
      <w:pPr>
        <w:spacing w:line="360" w:lineRule="auto"/>
        <w:ind w:left="-2" w:leftChars="-1" w:firstLine="700" w:firstLineChars="292"/>
        <w:rPr>
          <w:color w:val="auto"/>
          <w:sz w:val="24"/>
          <w:highlight w:val="none"/>
        </w:rPr>
      </w:pPr>
      <w:r>
        <w:rPr>
          <w:color w:val="auto"/>
          <w:sz w:val="24"/>
          <w:highlight w:val="none"/>
        </w:rPr>
        <w:t>1）准备合闸</w:t>
      </w:r>
    </w:p>
    <w:p w14:paraId="278C3205">
      <w:pPr>
        <w:spacing w:line="360" w:lineRule="auto"/>
        <w:ind w:left="-2" w:leftChars="-1" w:firstLine="700" w:firstLineChars="292"/>
        <w:rPr>
          <w:color w:val="auto"/>
          <w:sz w:val="24"/>
          <w:highlight w:val="none"/>
        </w:rPr>
      </w:pPr>
      <w:r>
        <w:rPr>
          <w:color w:val="auto"/>
          <w:sz w:val="24"/>
          <w:highlight w:val="none"/>
        </w:rPr>
        <w:t>2）事故分闸</w:t>
      </w:r>
    </w:p>
    <w:p w14:paraId="5C22A726">
      <w:pPr>
        <w:spacing w:line="360" w:lineRule="auto"/>
        <w:ind w:left="-2" w:leftChars="-1" w:firstLine="700" w:firstLineChars="292"/>
        <w:rPr>
          <w:color w:val="auto"/>
          <w:sz w:val="24"/>
          <w:highlight w:val="none"/>
        </w:rPr>
      </w:pPr>
      <w:r>
        <w:rPr>
          <w:color w:val="auto"/>
          <w:sz w:val="24"/>
          <w:highlight w:val="none"/>
        </w:rPr>
        <w:t>3）断路器抽屉在工作位置</w:t>
      </w:r>
    </w:p>
    <w:p w14:paraId="11A1B036">
      <w:pPr>
        <w:spacing w:line="360" w:lineRule="auto"/>
        <w:ind w:left="-2" w:leftChars="-1" w:firstLine="700" w:firstLineChars="292"/>
        <w:rPr>
          <w:color w:val="auto"/>
          <w:sz w:val="24"/>
          <w:highlight w:val="none"/>
        </w:rPr>
      </w:pPr>
      <w:r>
        <w:rPr>
          <w:color w:val="auto"/>
          <w:sz w:val="24"/>
          <w:highlight w:val="none"/>
        </w:rPr>
        <w:t>4）断路器抽屉在断开位置</w:t>
      </w:r>
    </w:p>
    <w:p w14:paraId="28FE3F93">
      <w:pPr>
        <w:spacing w:line="360" w:lineRule="auto"/>
        <w:ind w:left="-2" w:leftChars="-1" w:firstLine="700" w:firstLineChars="292"/>
        <w:rPr>
          <w:color w:val="auto"/>
          <w:sz w:val="24"/>
          <w:highlight w:val="none"/>
        </w:rPr>
      </w:pPr>
      <w:r>
        <w:rPr>
          <w:color w:val="auto"/>
          <w:sz w:val="24"/>
          <w:highlight w:val="none"/>
        </w:rPr>
        <w:t>5）断路器抽屉在试验位置</w:t>
      </w:r>
    </w:p>
    <w:p w14:paraId="0C1D3913">
      <w:pPr>
        <w:spacing w:line="360" w:lineRule="auto"/>
        <w:ind w:firstLine="480"/>
        <w:rPr>
          <w:color w:val="auto"/>
          <w:sz w:val="24"/>
          <w:highlight w:val="none"/>
        </w:rPr>
      </w:pPr>
      <w:r>
        <w:rPr>
          <w:color w:val="auto"/>
          <w:sz w:val="24"/>
          <w:highlight w:val="none"/>
        </w:rPr>
        <w:t>断路器应具有电动操作机构,机械自保持，操作机构和控制回路电源电压为</w:t>
      </w:r>
      <w:r>
        <w:rPr>
          <w:rFonts w:hint="eastAsia"/>
          <w:color w:val="auto"/>
          <w:sz w:val="24"/>
          <w:highlight w:val="none"/>
          <w:u w:val="single"/>
          <w:lang w:val="en-US" w:eastAsia="zh-CN"/>
        </w:rPr>
        <w:t>22</w:t>
      </w:r>
      <w:r>
        <w:rPr>
          <w:color w:val="auto"/>
          <w:sz w:val="24"/>
          <w:highlight w:val="none"/>
          <w:u w:val="single"/>
        </w:rPr>
        <w:t>0V DC</w:t>
      </w:r>
      <w:r>
        <w:rPr>
          <w:color w:val="auto"/>
          <w:sz w:val="24"/>
          <w:highlight w:val="none"/>
        </w:rPr>
        <w:t>。</w:t>
      </w:r>
    </w:p>
    <w:p w14:paraId="364FA4A6">
      <w:pPr>
        <w:spacing w:line="360" w:lineRule="auto"/>
        <w:rPr>
          <w:color w:val="auto"/>
          <w:sz w:val="24"/>
          <w:highlight w:val="none"/>
        </w:rPr>
      </w:pPr>
      <w:r>
        <w:rPr>
          <w:color w:val="auto"/>
          <w:sz w:val="24"/>
          <w:highlight w:val="none"/>
        </w:rPr>
        <w:t>4.4.2.4  塑壳断路器</w:t>
      </w:r>
    </w:p>
    <w:p w14:paraId="0DEFA1F6">
      <w:pPr>
        <w:spacing w:line="360" w:lineRule="auto"/>
        <w:ind w:firstLine="480" w:firstLineChars="200"/>
        <w:rPr>
          <w:color w:val="auto"/>
          <w:sz w:val="24"/>
          <w:highlight w:val="none"/>
        </w:rPr>
      </w:pPr>
      <w:r>
        <w:rPr>
          <w:color w:val="auto"/>
          <w:sz w:val="24"/>
          <w:highlight w:val="none"/>
        </w:rPr>
        <w:t>塑壳断路器的操作手柄，在抽出单元门关闭的情况下清晰地显示断路器是在合、分状态，并能在抽出单元门外操作断路器。水平安装的塑壳断路器不降容，反向馈电亦不能降容。</w:t>
      </w:r>
    </w:p>
    <w:p w14:paraId="477D4242">
      <w:pPr>
        <w:spacing w:line="360" w:lineRule="auto"/>
        <w:ind w:firstLine="480" w:firstLineChars="200"/>
        <w:rPr>
          <w:color w:val="auto"/>
          <w:sz w:val="24"/>
          <w:highlight w:val="none"/>
        </w:rPr>
      </w:pPr>
      <w:r>
        <w:rPr>
          <w:color w:val="auto"/>
          <w:sz w:val="24"/>
          <w:highlight w:val="none"/>
        </w:rPr>
        <w:t>塑壳断路器应满足如下标准：抗湿热（IEC68-2-30），盐雾（IEC68-2-11），并取得CCC认证。塑壳断路器应具有可靠的隔离功能,保证触头指示系统的机械可靠性符合IEC947－3标准。</w:t>
      </w:r>
    </w:p>
    <w:p w14:paraId="5CD50E62">
      <w:pPr>
        <w:spacing w:line="360" w:lineRule="auto"/>
        <w:ind w:firstLine="480" w:firstLineChars="200"/>
        <w:rPr>
          <w:color w:val="auto"/>
          <w:sz w:val="24"/>
          <w:highlight w:val="none"/>
        </w:rPr>
      </w:pPr>
      <w:r>
        <w:rPr>
          <w:color w:val="auto"/>
          <w:sz w:val="24"/>
          <w:highlight w:val="none"/>
        </w:rPr>
        <w:t>塑壳断路器上下级断路器级差在不小于2.5倍时,可实现完全选择性。</w:t>
      </w:r>
    </w:p>
    <w:p w14:paraId="5E2E0A61">
      <w:pPr>
        <w:spacing w:line="360" w:lineRule="auto"/>
        <w:ind w:firstLine="480" w:firstLineChars="200"/>
        <w:rPr>
          <w:color w:val="auto"/>
          <w:sz w:val="24"/>
          <w:highlight w:val="none"/>
        </w:rPr>
      </w:pPr>
      <w:r>
        <w:rPr>
          <w:color w:val="auto"/>
          <w:sz w:val="24"/>
          <w:highlight w:val="none"/>
        </w:rPr>
        <w:t>塑壳断路器选用施耐德的NSX系列、ABB的T系列和西门子3VA系列。</w:t>
      </w:r>
    </w:p>
    <w:p w14:paraId="3849C355">
      <w:pPr>
        <w:spacing w:line="360" w:lineRule="auto"/>
        <w:ind w:firstLine="480" w:firstLineChars="200"/>
        <w:rPr>
          <w:color w:val="auto"/>
          <w:sz w:val="24"/>
          <w:highlight w:val="none"/>
        </w:rPr>
      </w:pPr>
      <w:r>
        <w:rPr>
          <w:color w:val="auto"/>
          <w:sz w:val="24"/>
          <w:highlight w:val="none"/>
        </w:rPr>
        <w:t>塑壳断路器应提供2常开，2常闭独立辅助接点。断路器至少提供1付下列有关断路器状态的常开辅助接点:</w:t>
      </w:r>
    </w:p>
    <w:p w14:paraId="5C6E8542">
      <w:pPr>
        <w:spacing w:line="360" w:lineRule="auto"/>
        <w:ind w:left="-2" w:leftChars="-1" w:firstLine="700" w:firstLineChars="292"/>
        <w:rPr>
          <w:color w:val="auto"/>
          <w:sz w:val="24"/>
          <w:highlight w:val="none"/>
        </w:rPr>
      </w:pPr>
      <w:r>
        <w:rPr>
          <w:color w:val="auto"/>
          <w:sz w:val="24"/>
          <w:highlight w:val="none"/>
        </w:rPr>
        <w:t>1) 事故分闸</w:t>
      </w:r>
    </w:p>
    <w:p w14:paraId="68D7A6AA">
      <w:pPr>
        <w:spacing w:line="360" w:lineRule="auto"/>
        <w:ind w:left="-2" w:leftChars="-1" w:firstLine="700" w:firstLineChars="292"/>
        <w:rPr>
          <w:color w:val="auto"/>
          <w:sz w:val="24"/>
          <w:highlight w:val="none"/>
        </w:rPr>
      </w:pPr>
      <w:r>
        <w:rPr>
          <w:color w:val="auto"/>
          <w:sz w:val="24"/>
          <w:highlight w:val="none"/>
        </w:rPr>
        <w:t>2) 断路器抽屉在工作位置</w:t>
      </w:r>
    </w:p>
    <w:p w14:paraId="4983C0EE">
      <w:pPr>
        <w:spacing w:line="360" w:lineRule="auto"/>
        <w:ind w:left="-2" w:leftChars="-1" w:firstLine="700" w:firstLineChars="292"/>
        <w:rPr>
          <w:color w:val="auto"/>
          <w:sz w:val="24"/>
          <w:highlight w:val="none"/>
        </w:rPr>
      </w:pPr>
      <w:r>
        <w:rPr>
          <w:color w:val="auto"/>
          <w:sz w:val="24"/>
          <w:highlight w:val="none"/>
        </w:rPr>
        <w:t>3) 断路器抽屉在断开位置</w:t>
      </w:r>
    </w:p>
    <w:p w14:paraId="1424EABA">
      <w:pPr>
        <w:spacing w:line="360" w:lineRule="auto"/>
        <w:ind w:left="-2" w:leftChars="-1" w:firstLine="700" w:firstLineChars="292"/>
        <w:rPr>
          <w:color w:val="auto"/>
          <w:sz w:val="24"/>
          <w:highlight w:val="none"/>
        </w:rPr>
      </w:pPr>
      <w:r>
        <w:rPr>
          <w:color w:val="auto"/>
          <w:sz w:val="24"/>
          <w:highlight w:val="none"/>
        </w:rPr>
        <w:t>4）断路器抽屉在试验位置</w:t>
      </w:r>
    </w:p>
    <w:p w14:paraId="41B986A3">
      <w:pPr>
        <w:spacing w:line="360" w:lineRule="auto"/>
        <w:ind w:firstLine="480" w:firstLineChars="200"/>
        <w:rPr>
          <w:color w:val="auto"/>
          <w:sz w:val="24"/>
          <w:highlight w:val="none"/>
        </w:rPr>
      </w:pPr>
      <w:r>
        <w:rPr>
          <w:color w:val="auto"/>
          <w:sz w:val="24"/>
          <w:highlight w:val="none"/>
        </w:rPr>
        <w:t>塑壳开关应具有高分断性，开断能力和耐受短时故障电流能力应与对应母线段的水平相当。</w:t>
      </w:r>
    </w:p>
    <w:p w14:paraId="5DDB59CF">
      <w:pPr>
        <w:spacing w:line="360" w:lineRule="auto"/>
        <w:ind w:firstLine="480" w:firstLineChars="200"/>
        <w:rPr>
          <w:color w:val="auto"/>
          <w:sz w:val="24"/>
          <w:highlight w:val="none"/>
        </w:rPr>
      </w:pPr>
      <w:r>
        <w:rPr>
          <w:color w:val="auto"/>
          <w:sz w:val="24"/>
          <w:highlight w:val="none"/>
        </w:rPr>
        <w:t>塑壳开关的脱扣器采用热磁型脱扣器/或电子式脱扣器。160A以上的塑壳开关采用电子脱扣器，160A及以下塑壳开关按保护要求采用热磁型或电子式脱扣器。</w:t>
      </w:r>
    </w:p>
    <w:p w14:paraId="4B35671C">
      <w:pPr>
        <w:spacing w:line="360" w:lineRule="auto"/>
        <w:rPr>
          <w:color w:val="auto"/>
          <w:sz w:val="24"/>
          <w:highlight w:val="none"/>
        </w:rPr>
      </w:pPr>
      <w:r>
        <w:rPr>
          <w:color w:val="auto"/>
          <w:sz w:val="24"/>
          <w:highlight w:val="none"/>
        </w:rPr>
        <w:t>4.4.2.5  接触器</w:t>
      </w:r>
    </w:p>
    <w:p w14:paraId="3E86B728">
      <w:pPr>
        <w:spacing w:line="360" w:lineRule="auto"/>
        <w:ind w:firstLine="480" w:firstLineChars="200"/>
        <w:rPr>
          <w:color w:val="auto"/>
          <w:sz w:val="24"/>
          <w:highlight w:val="none"/>
        </w:rPr>
      </w:pPr>
      <w:r>
        <w:rPr>
          <w:color w:val="auto"/>
          <w:sz w:val="24"/>
          <w:highlight w:val="none"/>
        </w:rPr>
        <w:t>开关柜内的接触器</w:t>
      </w:r>
      <w:r>
        <w:rPr>
          <w:color w:val="auto"/>
          <w:sz w:val="24"/>
          <w:highlight w:val="none"/>
          <w:lang w:val="zh-CN"/>
        </w:rPr>
        <w:t>选用</w:t>
      </w:r>
      <w:r>
        <w:rPr>
          <w:color w:val="auto"/>
          <w:sz w:val="24"/>
          <w:highlight w:val="none"/>
          <w:lang w:val="zh-CN"/>
        </w:rPr>
        <w:t>施耐德、ABB、西门子</w:t>
      </w:r>
      <w:r>
        <w:rPr>
          <w:rFonts w:hint="eastAsia"/>
          <w:color w:val="auto"/>
          <w:sz w:val="24"/>
          <w:highlight w:val="none"/>
          <w:lang w:val="en-US" w:eastAsia="zh-CN"/>
        </w:rPr>
        <w:t>或相当于品牌</w:t>
      </w:r>
      <w:r>
        <w:rPr>
          <w:color w:val="auto"/>
          <w:sz w:val="24"/>
          <w:highlight w:val="none"/>
        </w:rPr>
        <w:t>。</w:t>
      </w:r>
    </w:p>
    <w:p w14:paraId="1C2CC0BE">
      <w:pPr>
        <w:spacing w:line="360" w:lineRule="auto"/>
        <w:rPr>
          <w:color w:val="auto"/>
          <w:sz w:val="24"/>
          <w:highlight w:val="none"/>
        </w:rPr>
      </w:pPr>
      <w:r>
        <w:rPr>
          <w:color w:val="auto"/>
          <w:sz w:val="24"/>
          <w:highlight w:val="none"/>
        </w:rPr>
        <w:t>4.4.2.6  热继电器</w:t>
      </w:r>
    </w:p>
    <w:p w14:paraId="77B5338F">
      <w:pPr>
        <w:spacing w:line="360" w:lineRule="auto"/>
        <w:ind w:firstLine="480" w:firstLineChars="200"/>
        <w:rPr>
          <w:color w:val="auto"/>
          <w:sz w:val="24"/>
          <w:highlight w:val="none"/>
        </w:rPr>
      </w:pPr>
      <w:r>
        <w:rPr>
          <w:color w:val="auto"/>
          <w:sz w:val="24"/>
          <w:highlight w:val="none"/>
        </w:rPr>
        <w:t>开关柜内的热继电器</w:t>
      </w:r>
      <w:r>
        <w:rPr>
          <w:color w:val="auto"/>
          <w:sz w:val="24"/>
          <w:highlight w:val="none"/>
          <w:lang w:val="zh-CN"/>
        </w:rPr>
        <w:t>选用施耐德、ABB、西门</w:t>
      </w:r>
      <w:r>
        <w:rPr>
          <w:color w:val="auto"/>
          <w:sz w:val="24"/>
          <w:highlight w:val="none"/>
          <w:lang w:val="zh-CN"/>
        </w:rPr>
        <w:t>子</w:t>
      </w:r>
      <w:r>
        <w:rPr>
          <w:rFonts w:hint="eastAsia"/>
          <w:color w:val="auto"/>
          <w:sz w:val="24"/>
          <w:highlight w:val="none"/>
          <w:lang w:val="en-US" w:eastAsia="zh-CN"/>
        </w:rPr>
        <w:t>或相当于品牌</w:t>
      </w:r>
      <w:r>
        <w:rPr>
          <w:color w:val="auto"/>
          <w:sz w:val="24"/>
          <w:highlight w:val="none"/>
        </w:rPr>
        <w:t>。</w:t>
      </w:r>
    </w:p>
    <w:p w14:paraId="4DAE2B6F">
      <w:pPr>
        <w:spacing w:line="360" w:lineRule="auto"/>
        <w:rPr>
          <w:color w:val="auto"/>
          <w:sz w:val="24"/>
          <w:highlight w:val="none"/>
        </w:rPr>
      </w:pPr>
      <w:r>
        <w:rPr>
          <w:color w:val="auto"/>
          <w:sz w:val="24"/>
          <w:highlight w:val="none"/>
        </w:rPr>
        <w:t>4.4.2.7  电流互感器</w:t>
      </w:r>
    </w:p>
    <w:p w14:paraId="0741322E">
      <w:pPr>
        <w:spacing w:line="360" w:lineRule="auto"/>
        <w:ind w:firstLine="480"/>
        <w:rPr>
          <w:color w:val="auto"/>
          <w:sz w:val="24"/>
          <w:highlight w:val="none"/>
        </w:rPr>
      </w:pPr>
      <w:r>
        <w:rPr>
          <w:color w:val="auto"/>
          <w:sz w:val="24"/>
          <w:highlight w:val="none"/>
        </w:rPr>
        <w:t>对于电源进线回路，电流互感器可装于开关柜固定位置。</w:t>
      </w:r>
    </w:p>
    <w:p w14:paraId="45428355">
      <w:pPr>
        <w:spacing w:line="360" w:lineRule="auto"/>
        <w:ind w:firstLine="480"/>
        <w:rPr>
          <w:color w:val="auto"/>
          <w:sz w:val="24"/>
          <w:highlight w:val="none"/>
        </w:rPr>
      </w:pPr>
      <w:r>
        <w:rPr>
          <w:color w:val="auto"/>
          <w:sz w:val="24"/>
          <w:highlight w:val="none"/>
        </w:rPr>
        <w:t>电流互感器采用环氧树脂浇注，绝缘型电流互感器，其动、热稳定应能达到开关柜和相关GB、DL、IEC标准的要求。</w:t>
      </w:r>
    </w:p>
    <w:p w14:paraId="7B6A549D">
      <w:pPr>
        <w:spacing w:line="360" w:lineRule="auto"/>
        <w:ind w:firstLine="480"/>
        <w:rPr>
          <w:color w:val="auto"/>
          <w:sz w:val="24"/>
          <w:highlight w:val="none"/>
        </w:rPr>
      </w:pPr>
      <w:r>
        <w:rPr>
          <w:color w:val="auto"/>
          <w:sz w:val="24"/>
          <w:highlight w:val="none"/>
        </w:rPr>
        <w:t>电流互感器选用适当的容量和变比以保证保护的可靠性、计量与测量的准确性。</w:t>
      </w:r>
    </w:p>
    <w:p w14:paraId="181FDAF1">
      <w:pPr>
        <w:spacing w:line="360" w:lineRule="auto"/>
        <w:ind w:firstLine="480"/>
        <w:rPr>
          <w:color w:val="auto"/>
          <w:sz w:val="24"/>
          <w:highlight w:val="none"/>
        </w:rPr>
      </w:pPr>
      <w:r>
        <w:rPr>
          <w:color w:val="auto"/>
          <w:sz w:val="24"/>
          <w:highlight w:val="none"/>
        </w:rPr>
        <w:t>电流互感器提供用于保护和测量的独立线芯。</w:t>
      </w:r>
    </w:p>
    <w:p w14:paraId="64DDCAC9">
      <w:pPr>
        <w:spacing w:line="360" w:lineRule="auto"/>
        <w:rPr>
          <w:color w:val="auto"/>
          <w:sz w:val="24"/>
          <w:highlight w:val="none"/>
        </w:rPr>
      </w:pPr>
      <w:r>
        <w:rPr>
          <w:color w:val="auto"/>
          <w:sz w:val="24"/>
          <w:highlight w:val="none"/>
        </w:rPr>
        <w:t>4.4.2.8  断路器控制</w:t>
      </w:r>
    </w:p>
    <w:p w14:paraId="42C45143">
      <w:pPr>
        <w:spacing w:line="360" w:lineRule="auto"/>
        <w:ind w:firstLine="480"/>
        <w:rPr>
          <w:color w:val="auto"/>
          <w:sz w:val="24"/>
          <w:highlight w:val="none"/>
        </w:rPr>
      </w:pPr>
      <w:r>
        <w:rPr>
          <w:color w:val="auto"/>
          <w:sz w:val="24"/>
          <w:highlight w:val="none"/>
        </w:rPr>
        <w:t>断路器的控制电源为</w:t>
      </w:r>
      <w:r>
        <w:rPr>
          <w:rFonts w:hint="eastAsia"/>
          <w:color w:val="auto"/>
          <w:sz w:val="24"/>
          <w:highlight w:val="none"/>
          <w:lang w:val="en-US" w:eastAsia="zh-CN"/>
        </w:rPr>
        <w:t>220</w:t>
      </w:r>
      <w:r>
        <w:rPr>
          <w:color w:val="auto"/>
          <w:sz w:val="24"/>
          <w:highlight w:val="none"/>
        </w:rPr>
        <w:t>V DC。断路器能就地或通过DCS系统控制，开关柜上设就地/远方控制转换开关。</w:t>
      </w:r>
    </w:p>
    <w:p w14:paraId="72400DD3">
      <w:pPr>
        <w:spacing w:line="360" w:lineRule="auto"/>
        <w:ind w:firstLine="480"/>
        <w:rPr>
          <w:color w:val="auto"/>
          <w:sz w:val="24"/>
          <w:highlight w:val="none"/>
        </w:rPr>
      </w:pPr>
      <w:r>
        <w:rPr>
          <w:color w:val="auto"/>
          <w:sz w:val="24"/>
          <w:highlight w:val="none"/>
        </w:rPr>
        <w:t>每个断路器都能由就地按钮进行操作。一般情况下，该按钮置于保护罩内。如控制电压有故障，开关能进行“紧急开断”操作。</w:t>
      </w:r>
    </w:p>
    <w:p w14:paraId="77F363A7">
      <w:pPr>
        <w:spacing w:line="360" w:lineRule="auto"/>
        <w:ind w:firstLine="480"/>
        <w:rPr>
          <w:color w:val="auto"/>
          <w:sz w:val="24"/>
          <w:highlight w:val="none"/>
        </w:rPr>
      </w:pPr>
      <w:r>
        <w:rPr>
          <w:color w:val="auto"/>
          <w:sz w:val="24"/>
          <w:highlight w:val="none"/>
        </w:rPr>
        <w:t>在试验位置时，能就地操作。</w:t>
      </w:r>
    </w:p>
    <w:p w14:paraId="2586094D">
      <w:pPr>
        <w:spacing w:line="360" w:lineRule="auto"/>
        <w:ind w:firstLine="480"/>
        <w:rPr>
          <w:color w:val="auto"/>
          <w:sz w:val="24"/>
          <w:highlight w:val="none"/>
        </w:rPr>
      </w:pPr>
      <w:r>
        <w:rPr>
          <w:color w:val="auto"/>
          <w:sz w:val="24"/>
          <w:highlight w:val="none"/>
        </w:rPr>
        <w:t>一旦断路器跳闸，必须有防跳装置，该装置随开关柜内配套提供。</w:t>
      </w:r>
    </w:p>
    <w:p w14:paraId="4C525A1D">
      <w:pPr>
        <w:spacing w:line="360" w:lineRule="auto"/>
        <w:rPr>
          <w:color w:val="auto"/>
          <w:sz w:val="24"/>
          <w:highlight w:val="none"/>
        </w:rPr>
      </w:pPr>
      <w:r>
        <w:rPr>
          <w:color w:val="auto"/>
          <w:sz w:val="24"/>
          <w:highlight w:val="none"/>
        </w:rPr>
        <w:t>4.4.2.9  就地辅助继电器和测量仪表</w:t>
      </w:r>
    </w:p>
    <w:p w14:paraId="33703887">
      <w:pPr>
        <w:spacing w:line="360" w:lineRule="auto"/>
        <w:ind w:firstLine="480"/>
        <w:rPr>
          <w:color w:val="auto"/>
          <w:sz w:val="24"/>
          <w:highlight w:val="none"/>
        </w:rPr>
      </w:pPr>
      <w:r>
        <w:rPr>
          <w:color w:val="auto"/>
          <w:sz w:val="24"/>
          <w:highlight w:val="none"/>
        </w:rPr>
        <w:t>所有的辅助继电器均为插入式。对冲击敏感的测量仪器和继电器能防震。</w:t>
      </w:r>
    </w:p>
    <w:p w14:paraId="39FFAD6D">
      <w:pPr>
        <w:spacing w:line="360" w:lineRule="auto"/>
        <w:ind w:firstLine="480"/>
        <w:rPr>
          <w:color w:val="auto"/>
          <w:sz w:val="24"/>
          <w:highlight w:val="none"/>
        </w:rPr>
      </w:pPr>
      <w:r>
        <w:rPr>
          <w:color w:val="auto"/>
          <w:sz w:val="24"/>
          <w:highlight w:val="none"/>
        </w:rPr>
        <w:t>按要求至少采用下列就地测量仪表：</w:t>
      </w:r>
    </w:p>
    <w:p w14:paraId="4772C78C">
      <w:pPr>
        <w:spacing w:line="360" w:lineRule="auto"/>
        <w:ind w:firstLine="480"/>
        <w:rPr>
          <w:color w:val="auto"/>
          <w:sz w:val="24"/>
          <w:highlight w:val="none"/>
        </w:rPr>
      </w:pPr>
      <w:r>
        <w:rPr>
          <w:color w:val="auto"/>
          <w:sz w:val="24"/>
          <w:highlight w:val="none"/>
        </w:rPr>
        <w:t>0.4kV低压厂用工作段进线开关的三相电流指示；</w:t>
      </w:r>
    </w:p>
    <w:p w14:paraId="025B44B9">
      <w:pPr>
        <w:spacing w:line="360" w:lineRule="auto"/>
        <w:ind w:firstLine="480"/>
        <w:rPr>
          <w:color w:val="auto"/>
          <w:sz w:val="24"/>
          <w:highlight w:val="none"/>
        </w:rPr>
      </w:pPr>
      <w:r>
        <w:rPr>
          <w:color w:val="auto"/>
          <w:sz w:val="24"/>
          <w:highlight w:val="none"/>
        </w:rPr>
        <w:t>0.4kV低压厂用工作段联络开关和就地操作馈线开关的单相电流指示；</w:t>
      </w:r>
    </w:p>
    <w:p w14:paraId="77416F6E">
      <w:pPr>
        <w:spacing w:line="360" w:lineRule="auto"/>
        <w:ind w:firstLine="480"/>
        <w:rPr>
          <w:color w:val="auto"/>
          <w:sz w:val="24"/>
          <w:highlight w:val="none"/>
        </w:rPr>
      </w:pPr>
      <w:r>
        <w:rPr>
          <w:color w:val="auto"/>
          <w:sz w:val="24"/>
          <w:highlight w:val="none"/>
        </w:rPr>
        <w:t>0.4kV低压厂用工作段母线的三相电压指示。</w:t>
      </w:r>
    </w:p>
    <w:p w14:paraId="29C00221">
      <w:pPr>
        <w:spacing w:line="360" w:lineRule="auto"/>
        <w:rPr>
          <w:color w:val="auto"/>
          <w:sz w:val="24"/>
          <w:highlight w:val="none"/>
        </w:rPr>
      </w:pPr>
      <w:r>
        <w:rPr>
          <w:color w:val="auto"/>
          <w:sz w:val="24"/>
          <w:highlight w:val="none"/>
        </w:rPr>
        <w:t>4.4.2.10  开关柜内部布线</w:t>
      </w:r>
    </w:p>
    <w:p w14:paraId="244B6B55">
      <w:pPr>
        <w:spacing w:line="360" w:lineRule="auto"/>
        <w:ind w:firstLine="480"/>
        <w:rPr>
          <w:color w:val="auto"/>
          <w:sz w:val="24"/>
          <w:highlight w:val="none"/>
        </w:rPr>
      </w:pPr>
      <w:r>
        <w:rPr>
          <w:color w:val="auto"/>
          <w:sz w:val="24"/>
          <w:highlight w:val="none"/>
        </w:rPr>
        <w:t>插件单元和开关柜固定部分之间的辅助触点采用插接式。插接式触点的接线使相同型号的插入式单元无需更改接线就可互换。</w:t>
      </w:r>
    </w:p>
    <w:p w14:paraId="4B3B931C">
      <w:pPr>
        <w:spacing w:line="360" w:lineRule="auto"/>
        <w:ind w:firstLine="480"/>
        <w:rPr>
          <w:color w:val="auto"/>
          <w:sz w:val="24"/>
          <w:highlight w:val="none"/>
        </w:rPr>
      </w:pPr>
      <w:r>
        <w:rPr>
          <w:color w:val="auto"/>
          <w:sz w:val="24"/>
          <w:highlight w:val="none"/>
        </w:rPr>
        <w:t>独立的仪表用互感器的次级回路必须接至插入式单元和开关柜端子排上。对于电流互感器装上必要的短接片，端子排采用凤凰端子，电流回路采用专用电流端子，电压回路采用专用电压端子。</w:t>
      </w:r>
    </w:p>
    <w:p w14:paraId="0882F51C">
      <w:pPr>
        <w:spacing w:line="360" w:lineRule="auto"/>
        <w:rPr>
          <w:color w:val="auto"/>
          <w:sz w:val="24"/>
          <w:highlight w:val="none"/>
        </w:rPr>
      </w:pPr>
      <w:r>
        <w:rPr>
          <w:color w:val="auto"/>
          <w:sz w:val="24"/>
          <w:highlight w:val="none"/>
        </w:rPr>
        <w:t>4.4.2.11  备用回路</w:t>
      </w:r>
    </w:p>
    <w:p w14:paraId="0112F245">
      <w:pPr>
        <w:spacing w:line="360" w:lineRule="auto"/>
        <w:jc w:val="left"/>
        <w:rPr>
          <w:color w:val="auto"/>
          <w:sz w:val="24"/>
          <w:highlight w:val="none"/>
        </w:rPr>
      </w:pPr>
      <w:r>
        <w:rPr>
          <w:color w:val="auto"/>
          <w:sz w:val="24"/>
          <w:highlight w:val="none"/>
        </w:rPr>
        <w:t>0.4kV开关柜及配电箱（柜）有至少20％（包含各种容量）的备用回路</w:t>
      </w:r>
      <w:r>
        <w:rPr>
          <w:rFonts w:hint="eastAsia" w:cs="宋体"/>
          <w:color w:val="auto"/>
          <w:sz w:val="24"/>
          <w:highlight w:val="none"/>
          <w:lang w:bidi="ar"/>
        </w:rPr>
        <w:t>。</w:t>
      </w:r>
    </w:p>
    <w:p w14:paraId="7D4C0DBF">
      <w:pPr>
        <w:pStyle w:val="3"/>
        <w:spacing w:before="120" w:after="120"/>
        <w:rPr>
          <w:rFonts w:hint="default" w:ascii="Times New Roman" w:hAnsi="Times New Roman" w:eastAsia="宋体"/>
          <w:color w:val="auto"/>
          <w:sz w:val="28"/>
          <w:szCs w:val="28"/>
          <w:highlight w:val="none"/>
        </w:rPr>
      </w:pPr>
      <w:bookmarkStart w:id="94" w:name="_Toc3860"/>
      <w:bookmarkStart w:id="95" w:name="_Toc30558"/>
      <w:bookmarkStart w:id="96" w:name="_Toc4771"/>
      <w:bookmarkStart w:id="97" w:name="_Toc24330"/>
      <w:bookmarkStart w:id="98" w:name="_Toc22976"/>
      <w:bookmarkStart w:id="99" w:name="_Toc11526"/>
      <w:r>
        <w:rPr>
          <w:rFonts w:hint="default" w:ascii="Times New Roman" w:hAnsi="Times New Roman" w:eastAsia="宋体"/>
          <w:color w:val="auto"/>
          <w:sz w:val="28"/>
          <w:szCs w:val="28"/>
          <w:highlight w:val="none"/>
        </w:rPr>
        <w:t>5 土建、暖通、消防和给排水部分</w:t>
      </w:r>
      <w:bookmarkEnd w:id="91"/>
      <w:bookmarkEnd w:id="92"/>
      <w:bookmarkEnd w:id="94"/>
      <w:bookmarkEnd w:id="95"/>
      <w:bookmarkEnd w:id="96"/>
      <w:bookmarkEnd w:id="97"/>
      <w:bookmarkEnd w:id="98"/>
      <w:bookmarkEnd w:id="99"/>
    </w:p>
    <w:p w14:paraId="6E1A2F4D">
      <w:pPr>
        <w:adjustRightInd/>
        <w:snapToGrid/>
        <w:spacing w:line="360" w:lineRule="auto"/>
        <w:ind w:firstLine="480" w:firstLineChars="0"/>
        <w:rPr>
          <w:rFonts w:hint="default"/>
          <w:color w:val="auto"/>
          <w:sz w:val="24"/>
          <w:highlight w:val="none"/>
          <w:lang w:val="en-US" w:eastAsia="zh-CN"/>
        </w:rPr>
      </w:pPr>
      <w:r>
        <w:rPr>
          <w:color w:val="auto"/>
          <w:sz w:val="24"/>
          <w:highlight w:val="none"/>
        </w:rPr>
        <w:t>项目范围内</w:t>
      </w:r>
      <w:r>
        <w:rPr>
          <w:rFonts w:hint="default" w:ascii="Times New Roman" w:hAnsi="Times New Roman" w:eastAsia="宋体"/>
          <w:color w:val="auto"/>
          <w:sz w:val="24"/>
          <w:szCs w:val="24"/>
          <w:highlight w:val="none"/>
        </w:rPr>
        <w:t>土建、暖通、消防和给排水</w:t>
      </w:r>
      <w:r>
        <w:rPr>
          <w:rFonts w:hint="default"/>
          <w:color w:val="auto"/>
          <w:sz w:val="24"/>
          <w:highlight w:val="none"/>
          <w:lang w:val="en-US" w:eastAsia="zh-CN"/>
        </w:rPr>
        <w:t>设计由投标方负责并提资主体设计院。</w:t>
      </w:r>
    </w:p>
    <w:p w14:paraId="77C32CDE">
      <w:pPr>
        <w:adjustRightInd/>
        <w:snapToGrid/>
        <w:spacing w:line="360" w:lineRule="auto"/>
        <w:ind w:firstLine="480" w:firstLineChars="0"/>
        <w:rPr>
          <w:rFonts w:hint="default" w:ascii="Times New Roman" w:hAnsi="Times New Roman" w:eastAsia="宋体"/>
          <w:color w:val="auto"/>
          <w:sz w:val="24"/>
          <w:szCs w:val="24"/>
          <w:highlight w:val="none"/>
          <w:lang w:val="en-US" w:eastAsia="zh-CN"/>
        </w:rPr>
      </w:pPr>
      <w:r>
        <w:rPr>
          <w:color w:val="auto"/>
          <w:sz w:val="24"/>
          <w:highlight w:val="none"/>
        </w:rPr>
        <w:t>项目范围内</w:t>
      </w:r>
      <w:r>
        <w:rPr>
          <w:rFonts w:hint="default" w:ascii="Times New Roman" w:hAnsi="Times New Roman" w:eastAsia="宋体"/>
          <w:color w:val="auto"/>
          <w:sz w:val="24"/>
          <w:szCs w:val="24"/>
          <w:highlight w:val="none"/>
        </w:rPr>
        <w:t>土建</w:t>
      </w:r>
      <w:r>
        <w:rPr>
          <w:rFonts w:hint="default" w:ascii="Times New Roman" w:hAnsi="Times New Roman" w:eastAsia="宋体"/>
          <w:color w:val="auto"/>
          <w:sz w:val="24"/>
          <w:szCs w:val="24"/>
          <w:highlight w:val="none"/>
          <w:lang w:val="en-US" w:eastAsia="zh-CN"/>
        </w:rPr>
        <w:t>工程（含桩基、设备基础、建筑安装工程、给排水等）供货、施工由招标方负责。</w:t>
      </w:r>
    </w:p>
    <w:p w14:paraId="6FFB88E5">
      <w:pPr>
        <w:adjustRightInd/>
        <w:snapToGrid/>
        <w:spacing w:line="360" w:lineRule="auto"/>
        <w:ind w:firstLine="480" w:firstLineChars="0"/>
        <w:rPr>
          <w:rFonts w:hint="default" w:ascii="Times New Roman" w:hAnsi="Times New Roman" w:eastAsia="宋体"/>
          <w:color w:val="auto"/>
          <w:sz w:val="24"/>
          <w:szCs w:val="24"/>
          <w:highlight w:val="none"/>
          <w:lang w:val="en-US" w:eastAsia="zh-CN"/>
        </w:rPr>
      </w:pPr>
      <w:r>
        <w:rPr>
          <w:rFonts w:hint="default" w:ascii="Times New Roman" w:hAnsi="Times New Roman" w:eastAsia="宋体"/>
          <w:color w:val="auto"/>
          <w:sz w:val="24"/>
          <w:szCs w:val="24"/>
          <w:highlight w:val="none"/>
          <w:lang w:val="en-US" w:eastAsia="zh-CN"/>
        </w:rPr>
        <w:t>暖通设备供货、安装由招标方负责。</w:t>
      </w:r>
    </w:p>
    <w:p w14:paraId="6A356BE6">
      <w:pPr>
        <w:adjustRightInd/>
        <w:snapToGrid/>
        <w:spacing w:line="360" w:lineRule="auto"/>
        <w:ind w:firstLine="480" w:firstLineChars="0"/>
        <w:rPr>
          <w:rFonts w:hint="default" w:ascii="Times New Roman" w:hAnsi="Times New Roman" w:eastAsia="宋体"/>
          <w:color w:val="auto"/>
          <w:sz w:val="24"/>
          <w:szCs w:val="24"/>
          <w:highlight w:val="none"/>
          <w:lang w:val="en-US" w:eastAsia="zh-CN"/>
        </w:rPr>
      </w:pPr>
      <w:r>
        <w:rPr>
          <w:rFonts w:hint="default" w:ascii="Times New Roman" w:hAnsi="Times New Roman" w:eastAsia="宋体"/>
          <w:color w:val="auto"/>
          <w:sz w:val="24"/>
          <w:szCs w:val="24"/>
          <w:highlight w:val="none"/>
          <w:lang w:val="en-US" w:eastAsia="zh-CN"/>
        </w:rPr>
        <w:t>吸收塔本体的消防系统及照明由投标方负责供货、施工，其余由招标方负责。</w:t>
      </w:r>
    </w:p>
    <w:p w14:paraId="1071D400">
      <w:pPr>
        <w:adjustRightInd/>
        <w:snapToGrid/>
        <w:spacing w:line="360" w:lineRule="auto"/>
        <w:ind w:firstLine="480" w:firstLineChars="0"/>
        <w:rPr>
          <w:rFonts w:hint="default"/>
          <w:color w:val="auto"/>
          <w:sz w:val="24"/>
          <w:highlight w:val="none"/>
          <w:lang w:val="en-US" w:eastAsia="zh-CN"/>
        </w:rPr>
      </w:pPr>
      <w:r>
        <w:rPr>
          <w:rFonts w:hint="default"/>
          <w:color w:val="auto"/>
          <w:sz w:val="24"/>
          <w:highlight w:val="none"/>
          <w:lang w:val="en-US" w:eastAsia="zh-CN"/>
        </w:rPr>
        <w:t>脱硫各系统及脱硫废水三联箱处理系统的混凝土池、沟防腐材料及施工由投标方负责。</w:t>
      </w:r>
    </w:p>
    <w:p w14:paraId="00B7E439">
      <w:pPr>
        <w:spacing w:line="360" w:lineRule="auto"/>
        <w:outlineLvl w:val="2"/>
        <w:rPr>
          <w:b/>
          <w:color w:val="auto"/>
          <w:sz w:val="24"/>
          <w:highlight w:val="none"/>
        </w:rPr>
      </w:pPr>
      <w:bookmarkStart w:id="100" w:name="_Toc482189951"/>
      <w:r>
        <w:rPr>
          <w:b/>
          <w:color w:val="auto"/>
          <w:sz w:val="24"/>
          <w:highlight w:val="none"/>
        </w:rPr>
        <w:t>5.1 脱硫岛的总体布置</w:t>
      </w:r>
      <w:bookmarkEnd w:id="100"/>
    </w:p>
    <w:p w14:paraId="1DAA2189">
      <w:pPr>
        <w:adjustRightInd w:val="0"/>
        <w:snapToGrid w:val="0"/>
        <w:spacing w:line="360" w:lineRule="auto"/>
        <w:ind w:firstLine="480" w:firstLineChars="200"/>
        <w:rPr>
          <w:color w:val="auto"/>
          <w:sz w:val="24"/>
          <w:highlight w:val="none"/>
        </w:rPr>
      </w:pPr>
      <w:r>
        <w:rPr>
          <w:color w:val="auto"/>
          <w:sz w:val="24"/>
          <w:highlight w:val="none"/>
        </w:rPr>
        <w:t>本工程采用石灰石－石膏湿法脱硫工艺，采用一炉一塔的方案。</w:t>
      </w:r>
    </w:p>
    <w:p w14:paraId="6CEA1244">
      <w:pPr>
        <w:adjustRightInd w:val="0"/>
        <w:snapToGrid w:val="0"/>
        <w:spacing w:line="360" w:lineRule="auto"/>
        <w:ind w:firstLine="480" w:firstLineChars="200"/>
        <w:rPr>
          <w:color w:val="auto"/>
          <w:sz w:val="24"/>
          <w:highlight w:val="none"/>
        </w:rPr>
      </w:pPr>
      <w:r>
        <w:rPr>
          <w:color w:val="auto"/>
          <w:sz w:val="24"/>
          <w:highlight w:val="none"/>
        </w:rPr>
        <w:t>脱硫岛区域布置在引风机后。</w:t>
      </w:r>
      <w:r>
        <w:rPr>
          <w:rFonts w:hint="eastAsia"/>
          <w:color w:val="auto"/>
          <w:sz w:val="24"/>
          <w:highlight w:val="none"/>
        </w:rPr>
        <w:t>脱硫综合楼位于烟囱</w:t>
      </w:r>
      <w:r>
        <w:rPr>
          <w:rFonts w:hint="eastAsia"/>
          <w:color w:val="auto"/>
          <w:sz w:val="24"/>
          <w:highlight w:val="none"/>
          <w:lang w:val="en-US" w:eastAsia="zh-CN"/>
        </w:rPr>
        <w:t>东</w:t>
      </w:r>
      <w:r>
        <w:rPr>
          <w:rFonts w:hint="eastAsia"/>
          <w:color w:val="auto"/>
          <w:sz w:val="24"/>
          <w:highlight w:val="none"/>
        </w:rPr>
        <w:t>南侧。</w:t>
      </w:r>
    </w:p>
    <w:p w14:paraId="5526D455">
      <w:pPr>
        <w:adjustRightInd w:val="0"/>
        <w:snapToGrid w:val="0"/>
        <w:spacing w:line="360" w:lineRule="auto"/>
        <w:ind w:firstLine="480" w:firstLineChars="200"/>
        <w:rPr>
          <w:color w:val="auto"/>
          <w:sz w:val="24"/>
          <w:highlight w:val="none"/>
        </w:rPr>
      </w:pPr>
      <w:r>
        <w:rPr>
          <w:color w:val="auto"/>
          <w:sz w:val="24"/>
          <w:highlight w:val="none"/>
        </w:rPr>
        <w:t>吸收塔区为脱硫装置的主要区域，布置有吸收塔及辅助设备等设备。吸收塔排出的石膏浆液输送至本期工程脱硫</w:t>
      </w:r>
      <w:r>
        <w:rPr>
          <w:rFonts w:hint="eastAsia"/>
          <w:color w:val="auto"/>
          <w:sz w:val="24"/>
          <w:highlight w:val="none"/>
        </w:rPr>
        <w:t>综合</w:t>
      </w:r>
      <w:r>
        <w:rPr>
          <w:color w:val="auto"/>
          <w:sz w:val="24"/>
          <w:highlight w:val="none"/>
        </w:rPr>
        <w:t>楼，经脱水后堆放于石膏库储存，用装载机装车后外运。</w:t>
      </w:r>
    </w:p>
    <w:p w14:paraId="4EC92E47">
      <w:pPr>
        <w:spacing w:line="360" w:lineRule="auto"/>
        <w:outlineLvl w:val="2"/>
        <w:rPr>
          <w:b/>
          <w:color w:val="auto"/>
          <w:sz w:val="24"/>
          <w:highlight w:val="none"/>
        </w:rPr>
      </w:pPr>
      <w:bookmarkStart w:id="101" w:name="_Toc482189952"/>
      <w:r>
        <w:rPr>
          <w:b/>
          <w:color w:val="auto"/>
          <w:sz w:val="24"/>
          <w:highlight w:val="none"/>
        </w:rPr>
        <w:t>5.2 土建部分</w:t>
      </w:r>
      <w:bookmarkEnd w:id="101"/>
    </w:p>
    <w:p w14:paraId="599C1C26">
      <w:pPr>
        <w:adjustRightInd w:val="0"/>
        <w:snapToGrid w:val="0"/>
        <w:spacing w:line="360" w:lineRule="auto"/>
        <w:rPr>
          <w:color w:val="auto"/>
          <w:sz w:val="24"/>
          <w:highlight w:val="none"/>
        </w:rPr>
      </w:pPr>
      <w:r>
        <w:rPr>
          <w:color w:val="auto"/>
          <w:sz w:val="24"/>
          <w:highlight w:val="none"/>
        </w:rPr>
        <w:t>5.2.1概述</w:t>
      </w:r>
    </w:p>
    <w:p w14:paraId="37A0CC38">
      <w:pPr>
        <w:adjustRightInd w:val="0"/>
        <w:snapToGrid w:val="0"/>
        <w:spacing w:line="360" w:lineRule="auto"/>
        <w:ind w:firstLine="480" w:firstLineChars="200"/>
        <w:rPr>
          <w:rFonts w:hint="default" w:ascii="Times New Roman" w:hAnsi="Times New Roman"/>
          <w:color w:val="auto"/>
          <w:sz w:val="24"/>
          <w:szCs w:val="24"/>
          <w:highlight w:val="none"/>
          <w:lang w:val="en-US"/>
        </w:rPr>
      </w:pPr>
      <w:r>
        <w:rPr>
          <w:rFonts w:hint="eastAsia"/>
          <w:color w:val="auto"/>
          <w:sz w:val="24"/>
          <w:highlight w:val="none"/>
          <w:lang w:bidi="ar"/>
        </w:rPr>
        <w:t>脱硫区建（构）筑物建筑和结构、地基处理（包括地基换填、桩基）</w:t>
      </w:r>
      <w:r>
        <w:rPr>
          <w:rFonts w:hint="eastAsia"/>
          <w:color w:val="auto"/>
          <w:sz w:val="24"/>
          <w:highlight w:val="none"/>
          <w:lang w:eastAsia="zh-CN" w:bidi="ar"/>
        </w:rPr>
        <w:t>、</w:t>
      </w:r>
      <w:r>
        <w:rPr>
          <w:rFonts w:hint="eastAsia"/>
          <w:color w:val="auto"/>
          <w:sz w:val="24"/>
          <w:highlight w:val="none"/>
          <w:lang w:bidi="ar"/>
        </w:rPr>
        <w:t>室内外地下设施、设备基础的设计</w:t>
      </w:r>
      <w:r>
        <w:rPr>
          <w:rFonts w:hint="eastAsia"/>
          <w:color w:val="auto"/>
          <w:sz w:val="24"/>
          <w:highlight w:val="none"/>
          <w:lang w:eastAsia="zh-CN" w:bidi="ar"/>
        </w:rPr>
        <w:t>、</w:t>
      </w:r>
      <w:r>
        <w:rPr>
          <w:rFonts w:hint="eastAsia"/>
          <w:color w:val="auto"/>
          <w:sz w:val="24"/>
          <w:highlight w:val="none"/>
          <w:lang w:val="en-US" w:eastAsia="zh-CN" w:bidi="ar"/>
        </w:rPr>
        <w:t>施工</w:t>
      </w:r>
      <w:r>
        <w:rPr>
          <w:rFonts w:hint="eastAsia"/>
          <w:color w:val="auto"/>
          <w:sz w:val="24"/>
          <w:highlight w:val="none"/>
          <w:lang w:bidi="ar"/>
        </w:rPr>
        <w:t>属于</w:t>
      </w:r>
      <w:r>
        <w:rPr>
          <w:rFonts w:hint="eastAsia"/>
          <w:color w:val="auto"/>
          <w:sz w:val="24"/>
          <w:highlight w:val="none"/>
          <w:lang w:val="en-US" w:eastAsia="zh-CN" w:bidi="ar"/>
        </w:rPr>
        <w:t>招</w:t>
      </w:r>
      <w:r>
        <w:rPr>
          <w:rFonts w:hint="eastAsia"/>
          <w:color w:val="auto"/>
          <w:sz w:val="24"/>
          <w:highlight w:val="none"/>
          <w:lang w:eastAsia="zh-CN" w:bidi="ar"/>
        </w:rPr>
        <w:t>标方</w:t>
      </w:r>
      <w:r>
        <w:rPr>
          <w:rFonts w:hint="eastAsia"/>
          <w:color w:val="auto"/>
          <w:sz w:val="24"/>
          <w:highlight w:val="none"/>
          <w:lang w:bidi="ar"/>
        </w:rPr>
        <w:t>范围</w:t>
      </w:r>
      <w:r>
        <w:rPr>
          <w:rFonts w:hint="eastAsia"/>
          <w:color w:val="auto"/>
          <w:sz w:val="24"/>
          <w:highlight w:val="none"/>
          <w:lang w:eastAsia="zh-CN" w:bidi="ar"/>
        </w:rPr>
        <w:t>。</w:t>
      </w:r>
      <w:r>
        <w:rPr>
          <w:rFonts w:hint="eastAsia"/>
          <w:color w:val="auto"/>
          <w:sz w:val="24"/>
          <w:highlight w:val="none"/>
          <w:lang w:val="en-US" w:eastAsia="zh-CN" w:bidi="ar"/>
        </w:rPr>
        <w:t>CEMS小室暂考虑利用原脱硫控制室。</w:t>
      </w:r>
    </w:p>
    <w:p w14:paraId="72BAB0D7">
      <w:pPr>
        <w:adjustRightInd w:val="0"/>
        <w:snapToGrid w:val="0"/>
        <w:spacing w:line="360" w:lineRule="auto"/>
        <w:rPr>
          <w:color w:val="auto"/>
          <w:sz w:val="24"/>
          <w:highlight w:val="none"/>
        </w:rPr>
      </w:pPr>
      <w:r>
        <w:rPr>
          <w:color w:val="auto"/>
          <w:sz w:val="24"/>
          <w:highlight w:val="none"/>
        </w:rPr>
        <w:t>5.2.2主要技术参数</w:t>
      </w:r>
    </w:p>
    <w:p w14:paraId="0F32DC49">
      <w:pPr>
        <w:numPr>
          <w:ilvl w:val="0"/>
          <w:numId w:val="16"/>
        </w:numPr>
        <w:spacing w:line="360" w:lineRule="auto"/>
        <w:ind w:right="359" w:rightChars="171"/>
        <w:rPr>
          <w:color w:val="auto"/>
          <w:sz w:val="24"/>
          <w:highlight w:val="none"/>
        </w:rPr>
      </w:pPr>
      <w:r>
        <w:rPr>
          <w:color w:val="auto"/>
          <w:sz w:val="24"/>
          <w:highlight w:val="none"/>
        </w:rPr>
        <w:t>厂区气象资料、工程地质资料详见总的部分。</w:t>
      </w:r>
    </w:p>
    <w:p w14:paraId="5FF89DBB">
      <w:pPr>
        <w:tabs>
          <w:tab w:val="left" w:pos="900"/>
        </w:tabs>
        <w:spacing w:line="360" w:lineRule="auto"/>
        <w:ind w:firstLine="480" w:firstLineChars="200"/>
        <w:rPr>
          <w:color w:val="auto"/>
          <w:sz w:val="24"/>
          <w:highlight w:val="none"/>
        </w:rPr>
      </w:pPr>
      <w:r>
        <w:rPr>
          <w:color w:val="auto"/>
          <w:sz w:val="24"/>
          <w:highlight w:val="none"/>
        </w:rPr>
        <w:t>建筑物地面、楼面、屋面设计安装及检修活载应满足工艺要求与《建筑结构荷载规范》[GB50009]、《火力发电厂土建结构设计技术规定》[DL5022]的要求。</w:t>
      </w:r>
    </w:p>
    <w:p w14:paraId="028D5427">
      <w:pPr>
        <w:spacing w:line="360" w:lineRule="auto"/>
        <w:outlineLvl w:val="2"/>
        <w:rPr>
          <w:b/>
          <w:color w:val="auto"/>
          <w:sz w:val="24"/>
          <w:highlight w:val="none"/>
        </w:rPr>
      </w:pPr>
      <w:bookmarkStart w:id="102" w:name="_Toc482189953"/>
      <w:r>
        <w:rPr>
          <w:b/>
          <w:color w:val="auto"/>
          <w:sz w:val="24"/>
          <w:highlight w:val="none"/>
        </w:rPr>
        <w:t>5.3 暖通部分</w:t>
      </w:r>
      <w:bookmarkEnd w:id="102"/>
    </w:p>
    <w:p w14:paraId="46CFE8F8">
      <w:pPr>
        <w:snapToGrid w:val="0"/>
        <w:spacing w:line="360" w:lineRule="auto"/>
        <w:ind w:firstLine="480" w:firstLineChars="200"/>
        <w:rPr>
          <w:bCs/>
          <w:color w:val="auto"/>
          <w:sz w:val="24"/>
          <w:highlight w:val="none"/>
        </w:rPr>
      </w:pPr>
      <w:r>
        <w:rPr>
          <w:rFonts w:hint="eastAsia"/>
          <w:bCs/>
          <w:color w:val="auto"/>
          <w:sz w:val="24"/>
          <w:highlight w:val="none"/>
          <w:lang w:eastAsia="zh-CN"/>
        </w:rPr>
        <w:t>投标方</w:t>
      </w:r>
      <w:r>
        <w:rPr>
          <w:bCs/>
          <w:color w:val="auto"/>
          <w:sz w:val="24"/>
          <w:highlight w:val="none"/>
        </w:rPr>
        <w:t>应负责本工程脱硫岛内通风、空气调节系统的设计工作。</w:t>
      </w:r>
      <w:r>
        <w:rPr>
          <w:rFonts w:hint="default"/>
          <w:bCs/>
          <w:color w:val="auto"/>
          <w:sz w:val="24"/>
          <w:highlight w:val="none"/>
          <w:lang w:bidi="ar"/>
        </w:rPr>
        <w:t>所有的暖通设备、材料供货均由</w:t>
      </w:r>
      <w:r>
        <w:rPr>
          <w:rFonts w:hint="default"/>
          <w:bCs/>
          <w:color w:val="auto"/>
          <w:sz w:val="24"/>
          <w:highlight w:val="none"/>
          <w:lang w:val="en-US" w:eastAsia="zh-CN" w:bidi="ar"/>
        </w:rPr>
        <w:t>招</w:t>
      </w:r>
      <w:r>
        <w:rPr>
          <w:rFonts w:hint="default"/>
          <w:bCs/>
          <w:color w:val="auto"/>
          <w:sz w:val="24"/>
          <w:highlight w:val="none"/>
          <w:lang w:eastAsia="zh-CN" w:bidi="ar"/>
        </w:rPr>
        <w:t>标方</w:t>
      </w:r>
      <w:r>
        <w:rPr>
          <w:rFonts w:hint="default"/>
          <w:bCs/>
          <w:color w:val="auto"/>
          <w:sz w:val="24"/>
          <w:highlight w:val="none"/>
          <w:lang w:bidi="ar"/>
        </w:rPr>
        <w:t>负责。</w:t>
      </w:r>
    </w:p>
    <w:p w14:paraId="253EF8C6">
      <w:pPr>
        <w:adjustRightInd w:val="0"/>
        <w:snapToGrid w:val="0"/>
        <w:spacing w:line="360" w:lineRule="auto"/>
        <w:rPr>
          <w:color w:val="auto"/>
          <w:sz w:val="24"/>
          <w:highlight w:val="none"/>
        </w:rPr>
      </w:pPr>
      <w:r>
        <w:rPr>
          <w:color w:val="auto"/>
          <w:sz w:val="24"/>
          <w:highlight w:val="none"/>
        </w:rPr>
        <w:t>5.3.1技术参数</w:t>
      </w:r>
    </w:p>
    <w:p w14:paraId="026B9BB4">
      <w:pPr>
        <w:adjustRightInd w:val="0"/>
        <w:snapToGrid w:val="0"/>
        <w:spacing w:line="360" w:lineRule="auto"/>
        <w:rPr>
          <w:color w:val="auto"/>
          <w:sz w:val="24"/>
          <w:highlight w:val="none"/>
        </w:rPr>
      </w:pPr>
      <w:r>
        <w:rPr>
          <w:color w:val="auto"/>
          <w:sz w:val="24"/>
          <w:highlight w:val="none"/>
        </w:rPr>
        <w:t>5.3.1.1室外气象参数（见项目气象条件）</w:t>
      </w:r>
    </w:p>
    <w:p w14:paraId="2AD541AB">
      <w:pPr>
        <w:tabs>
          <w:tab w:val="left" w:pos="570"/>
        </w:tabs>
        <w:spacing w:line="360" w:lineRule="auto"/>
        <w:ind w:left="570" w:hanging="570"/>
        <w:rPr>
          <w:color w:val="auto"/>
          <w:sz w:val="24"/>
          <w:highlight w:val="none"/>
        </w:rPr>
      </w:pPr>
      <w:r>
        <w:rPr>
          <w:color w:val="auto"/>
          <w:sz w:val="24"/>
          <w:highlight w:val="none"/>
        </w:rPr>
        <w:t>5.3.1.2室内技术参数表</w:t>
      </w:r>
    </w:p>
    <w:p w14:paraId="3DBE3AAC">
      <w:pPr>
        <w:tabs>
          <w:tab w:val="left" w:pos="570"/>
        </w:tabs>
        <w:spacing w:line="360" w:lineRule="auto"/>
        <w:ind w:left="570" w:hanging="570"/>
        <w:jc w:val="center"/>
        <w:rPr>
          <w:color w:val="auto"/>
          <w:sz w:val="24"/>
          <w:highlight w:val="none"/>
        </w:rPr>
      </w:pPr>
      <w:r>
        <w:rPr>
          <w:color w:val="auto"/>
          <w:sz w:val="24"/>
          <w:highlight w:val="none"/>
        </w:rPr>
        <w:t>表1-5-1 室内技术参数表</w:t>
      </w:r>
    </w:p>
    <w:tbl>
      <w:tblPr>
        <w:tblStyle w:val="5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53"/>
        <w:gridCol w:w="1422"/>
        <w:gridCol w:w="1825"/>
        <w:gridCol w:w="1393"/>
        <w:gridCol w:w="1810"/>
      </w:tblGrid>
      <w:tr w14:paraId="464BE6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blHeader/>
          <w:jc w:val="center"/>
        </w:trPr>
        <w:tc>
          <w:tcPr>
            <w:tcW w:w="1853" w:type="dxa"/>
            <w:vMerge w:val="restart"/>
            <w:tcBorders>
              <w:top w:val="single" w:color="auto" w:sz="12" w:space="0"/>
              <w:left w:val="single" w:color="auto" w:sz="12" w:space="0"/>
              <w:bottom w:val="single" w:color="auto" w:sz="6" w:space="0"/>
              <w:right w:val="single" w:color="auto" w:sz="6" w:space="0"/>
            </w:tcBorders>
            <w:noWrap w:val="0"/>
            <w:vAlign w:val="center"/>
          </w:tcPr>
          <w:p w14:paraId="6CD55BDA">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lang w:bidi="ar"/>
              </w:rPr>
              <w:t>房  间  名  称</w:t>
            </w:r>
          </w:p>
        </w:tc>
        <w:tc>
          <w:tcPr>
            <w:tcW w:w="6450" w:type="dxa"/>
            <w:gridSpan w:val="4"/>
            <w:tcBorders>
              <w:top w:val="single" w:color="auto" w:sz="12" w:space="0"/>
              <w:left w:val="single" w:color="auto" w:sz="6" w:space="0"/>
              <w:bottom w:val="single" w:color="auto" w:sz="6" w:space="0"/>
              <w:right w:val="single" w:color="auto" w:sz="12" w:space="0"/>
            </w:tcBorders>
            <w:noWrap w:val="0"/>
            <w:vAlign w:val="center"/>
          </w:tcPr>
          <w:p w14:paraId="5A9903ED">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lang w:bidi="ar"/>
              </w:rPr>
              <w:t>室 内 设 计 参 数</w:t>
            </w:r>
          </w:p>
        </w:tc>
      </w:tr>
      <w:tr w14:paraId="57823C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blHeader/>
          <w:jc w:val="center"/>
        </w:trPr>
        <w:tc>
          <w:tcPr>
            <w:tcW w:w="1853" w:type="dxa"/>
            <w:vMerge w:val="continue"/>
            <w:tcBorders>
              <w:top w:val="single" w:color="auto" w:sz="12" w:space="0"/>
              <w:left w:val="single" w:color="auto" w:sz="12" w:space="0"/>
              <w:bottom w:val="single" w:color="auto" w:sz="6" w:space="0"/>
              <w:right w:val="single" w:color="auto" w:sz="6" w:space="0"/>
            </w:tcBorders>
            <w:noWrap w:val="0"/>
            <w:vAlign w:val="center"/>
          </w:tcPr>
          <w:p w14:paraId="29B98DD4">
            <w:pPr>
              <w:keepNext w:val="0"/>
              <w:keepLines w:val="0"/>
              <w:suppressLineNumbers w:val="0"/>
              <w:spacing w:before="0" w:beforeAutospacing="0" w:after="0" w:afterAutospacing="0"/>
              <w:ind w:left="0" w:right="0"/>
              <w:rPr>
                <w:rFonts w:hint="default" w:ascii="Times New Roman" w:hAnsi="Times New Roman" w:cs="Times New Roman"/>
                <w:color w:val="auto"/>
                <w:sz w:val="24"/>
                <w:highlight w:val="none"/>
              </w:rPr>
            </w:pPr>
          </w:p>
        </w:tc>
        <w:tc>
          <w:tcPr>
            <w:tcW w:w="1422" w:type="dxa"/>
            <w:tcBorders>
              <w:top w:val="single" w:color="auto" w:sz="6" w:space="0"/>
              <w:left w:val="single" w:color="auto" w:sz="6" w:space="0"/>
              <w:bottom w:val="single" w:color="auto" w:sz="6" w:space="0"/>
              <w:right w:val="single" w:color="auto" w:sz="6" w:space="0"/>
            </w:tcBorders>
            <w:noWrap w:val="0"/>
            <w:vAlign w:val="center"/>
          </w:tcPr>
          <w:p w14:paraId="437BAA61">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lang w:bidi="ar"/>
              </w:rPr>
              <w:t>夏季温度</w:t>
            </w:r>
            <w:r>
              <w:rPr>
                <w:rFonts w:hint="default" w:ascii="Times New Roman" w:hAnsi="Times New Roman" w:cs="Times New Roman"/>
                <w:b/>
                <w:color w:val="auto"/>
                <w:sz w:val="24"/>
                <w:highlight w:val="none"/>
                <w:lang w:bidi="ar"/>
              </w:rPr>
              <w:sym w:font="Symbol" w:char="00B0"/>
            </w:r>
            <w:r>
              <w:rPr>
                <w:rFonts w:hint="default" w:ascii="Times New Roman" w:hAnsi="Times New Roman" w:cs="Times New Roman"/>
                <w:b/>
                <w:color w:val="auto"/>
                <w:sz w:val="24"/>
                <w:highlight w:val="none"/>
                <w:lang w:bidi="ar"/>
              </w:rPr>
              <w:t>C</w:t>
            </w:r>
          </w:p>
        </w:tc>
        <w:tc>
          <w:tcPr>
            <w:tcW w:w="1825" w:type="dxa"/>
            <w:tcBorders>
              <w:top w:val="single" w:color="auto" w:sz="6" w:space="0"/>
              <w:left w:val="single" w:color="auto" w:sz="6" w:space="0"/>
              <w:bottom w:val="single" w:color="auto" w:sz="6" w:space="0"/>
              <w:right w:val="single" w:color="auto" w:sz="6" w:space="0"/>
            </w:tcBorders>
            <w:noWrap w:val="0"/>
            <w:vAlign w:val="center"/>
          </w:tcPr>
          <w:p w14:paraId="54C433C3">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lang w:bidi="ar"/>
              </w:rPr>
              <w:t>夏季相对湿度</w:t>
            </w:r>
            <w:r>
              <w:rPr>
                <w:rFonts w:hint="default" w:ascii="Times New Roman" w:hAnsi="Times New Roman" w:cs="Times New Roman"/>
                <w:b/>
                <w:color w:val="auto"/>
                <w:sz w:val="24"/>
                <w:highlight w:val="none"/>
                <w:lang w:bidi="ar"/>
              </w:rPr>
              <w:sym w:font="Symbol" w:char="0025"/>
            </w:r>
          </w:p>
        </w:tc>
        <w:tc>
          <w:tcPr>
            <w:tcW w:w="1393" w:type="dxa"/>
            <w:tcBorders>
              <w:top w:val="single" w:color="auto" w:sz="6" w:space="0"/>
              <w:left w:val="single" w:color="auto" w:sz="6" w:space="0"/>
              <w:bottom w:val="single" w:color="auto" w:sz="6" w:space="0"/>
              <w:right w:val="single" w:color="auto" w:sz="6" w:space="0"/>
            </w:tcBorders>
            <w:noWrap w:val="0"/>
            <w:vAlign w:val="center"/>
          </w:tcPr>
          <w:p w14:paraId="71627BB8">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lang w:bidi="ar"/>
              </w:rPr>
              <w:t>冬季温度</w:t>
            </w:r>
            <w:r>
              <w:rPr>
                <w:rFonts w:hint="default" w:ascii="Times New Roman" w:hAnsi="Times New Roman" w:cs="Times New Roman"/>
                <w:b/>
                <w:color w:val="auto"/>
                <w:sz w:val="24"/>
                <w:highlight w:val="none"/>
                <w:lang w:bidi="ar"/>
              </w:rPr>
              <w:sym w:font="Symbol" w:char="00B0"/>
            </w:r>
            <w:r>
              <w:rPr>
                <w:rFonts w:hint="default" w:ascii="Times New Roman" w:hAnsi="Times New Roman" w:cs="Times New Roman"/>
                <w:b/>
                <w:color w:val="auto"/>
                <w:sz w:val="24"/>
                <w:highlight w:val="none"/>
                <w:lang w:bidi="ar"/>
              </w:rPr>
              <w:t>C</w:t>
            </w:r>
          </w:p>
        </w:tc>
        <w:tc>
          <w:tcPr>
            <w:tcW w:w="1810" w:type="dxa"/>
            <w:tcBorders>
              <w:top w:val="single" w:color="auto" w:sz="6" w:space="0"/>
              <w:left w:val="single" w:color="auto" w:sz="6" w:space="0"/>
              <w:bottom w:val="single" w:color="auto" w:sz="6" w:space="0"/>
              <w:right w:val="single" w:color="auto" w:sz="12" w:space="0"/>
            </w:tcBorders>
            <w:noWrap w:val="0"/>
            <w:vAlign w:val="center"/>
          </w:tcPr>
          <w:p w14:paraId="15AB67F9">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lang w:bidi="ar"/>
              </w:rPr>
              <w:t>冬季相对湿度</w:t>
            </w:r>
            <w:r>
              <w:rPr>
                <w:rFonts w:hint="default" w:ascii="Times New Roman" w:hAnsi="Times New Roman" w:cs="Times New Roman"/>
                <w:b/>
                <w:color w:val="auto"/>
                <w:sz w:val="24"/>
                <w:highlight w:val="none"/>
                <w:lang w:bidi="ar"/>
              </w:rPr>
              <w:sym w:font="Symbol" w:char="0025"/>
            </w:r>
          </w:p>
        </w:tc>
      </w:tr>
      <w:tr w14:paraId="7463B1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53" w:type="dxa"/>
            <w:tcBorders>
              <w:top w:val="single" w:color="auto" w:sz="6" w:space="0"/>
              <w:left w:val="single" w:color="auto" w:sz="12" w:space="0"/>
              <w:bottom w:val="single" w:color="auto" w:sz="6" w:space="0"/>
              <w:right w:val="single" w:color="auto" w:sz="6" w:space="0"/>
            </w:tcBorders>
            <w:noWrap w:val="0"/>
            <w:vAlign w:val="center"/>
          </w:tcPr>
          <w:p w14:paraId="69867F0F">
            <w:pPr>
              <w:keepNext w:val="0"/>
              <w:keepLines w:val="0"/>
              <w:suppressLineNumbers w:val="0"/>
              <w:snapToGrid w:val="0"/>
              <w:spacing w:before="0" w:beforeAutospacing="0" w:after="0" w:afterAutospacing="0"/>
              <w:ind w:left="0" w:right="0"/>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脱硫电子设备室</w:t>
            </w:r>
          </w:p>
        </w:tc>
        <w:tc>
          <w:tcPr>
            <w:tcW w:w="1422" w:type="dxa"/>
            <w:tcBorders>
              <w:top w:val="single" w:color="auto" w:sz="6" w:space="0"/>
              <w:left w:val="single" w:color="auto" w:sz="6" w:space="0"/>
              <w:bottom w:val="single" w:color="auto" w:sz="6" w:space="0"/>
              <w:right w:val="single" w:color="auto" w:sz="6" w:space="0"/>
            </w:tcBorders>
            <w:noWrap w:val="0"/>
            <w:vAlign w:val="center"/>
          </w:tcPr>
          <w:p w14:paraId="220CD246">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24~28</w:t>
            </w:r>
          </w:p>
        </w:tc>
        <w:tc>
          <w:tcPr>
            <w:tcW w:w="1825" w:type="dxa"/>
            <w:tcBorders>
              <w:top w:val="single" w:color="auto" w:sz="6" w:space="0"/>
              <w:left w:val="single" w:color="auto" w:sz="6" w:space="0"/>
              <w:bottom w:val="single" w:color="auto" w:sz="6" w:space="0"/>
              <w:right w:val="single" w:color="auto" w:sz="6" w:space="0"/>
            </w:tcBorders>
            <w:noWrap w:val="0"/>
            <w:vAlign w:val="center"/>
          </w:tcPr>
          <w:p w14:paraId="7DA4254D">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40~65</w:t>
            </w:r>
          </w:p>
        </w:tc>
        <w:tc>
          <w:tcPr>
            <w:tcW w:w="1393" w:type="dxa"/>
            <w:tcBorders>
              <w:top w:val="single" w:color="auto" w:sz="6" w:space="0"/>
              <w:left w:val="single" w:color="auto" w:sz="6" w:space="0"/>
              <w:bottom w:val="single" w:color="auto" w:sz="6" w:space="0"/>
              <w:right w:val="single" w:color="auto" w:sz="6" w:space="0"/>
            </w:tcBorders>
            <w:noWrap w:val="0"/>
            <w:vAlign w:val="center"/>
          </w:tcPr>
          <w:p w14:paraId="243530E2">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18~22</w:t>
            </w:r>
          </w:p>
        </w:tc>
        <w:tc>
          <w:tcPr>
            <w:tcW w:w="1810" w:type="dxa"/>
            <w:tcBorders>
              <w:top w:val="single" w:color="auto" w:sz="6" w:space="0"/>
              <w:left w:val="single" w:color="auto" w:sz="6" w:space="0"/>
              <w:bottom w:val="single" w:color="auto" w:sz="6" w:space="0"/>
              <w:right w:val="single" w:color="auto" w:sz="12" w:space="0"/>
            </w:tcBorders>
            <w:noWrap w:val="0"/>
            <w:vAlign w:val="center"/>
          </w:tcPr>
          <w:p w14:paraId="7D921447">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40~65</w:t>
            </w:r>
          </w:p>
        </w:tc>
      </w:tr>
      <w:tr w14:paraId="4CCF7C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53" w:type="dxa"/>
            <w:tcBorders>
              <w:top w:val="single" w:color="auto" w:sz="6" w:space="0"/>
              <w:left w:val="single" w:color="auto" w:sz="12" w:space="0"/>
              <w:bottom w:val="single" w:color="auto" w:sz="6" w:space="0"/>
              <w:right w:val="single" w:color="auto" w:sz="6" w:space="0"/>
            </w:tcBorders>
            <w:noWrap w:val="0"/>
            <w:vAlign w:val="center"/>
          </w:tcPr>
          <w:p w14:paraId="17665813">
            <w:pPr>
              <w:keepNext w:val="0"/>
              <w:keepLines w:val="0"/>
              <w:suppressLineNumbers w:val="0"/>
              <w:snapToGrid w:val="0"/>
              <w:spacing w:before="0" w:beforeAutospacing="0" w:after="0" w:afterAutospacing="0"/>
              <w:ind w:left="0" w:right="0"/>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各建筑电气室</w:t>
            </w:r>
          </w:p>
        </w:tc>
        <w:tc>
          <w:tcPr>
            <w:tcW w:w="1422" w:type="dxa"/>
            <w:tcBorders>
              <w:top w:val="single" w:color="auto" w:sz="6" w:space="0"/>
              <w:left w:val="single" w:color="auto" w:sz="6" w:space="0"/>
              <w:bottom w:val="single" w:color="auto" w:sz="6" w:space="0"/>
              <w:right w:val="single" w:color="auto" w:sz="6" w:space="0"/>
            </w:tcBorders>
            <w:noWrap w:val="0"/>
            <w:vAlign w:val="center"/>
          </w:tcPr>
          <w:p w14:paraId="1519AC30">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40</w:t>
            </w:r>
          </w:p>
        </w:tc>
        <w:tc>
          <w:tcPr>
            <w:tcW w:w="1825" w:type="dxa"/>
            <w:tcBorders>
              <w:top w:val="single" w:color="auto" w:sz="6" w:space="0"/>
              <w:left w:val="single" w:color="auto" w:sz="6" w:space="0"/>
              <w:bottom w:val="single" w:color="auto" w:sz="6" w:space="0"/>
              <w:right w:val="single" w:color="auto" w:sz="6" w:space="0"/>
            </w:tcBorders>
            <w:noWrap w:val="0"/>
            <w:vAlign w:val="center"/>
          </w:tcPr>
          <w:p w14:paraId="02A35EED">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降温通风</w:t>
            </w:r>
          </w:p>
        </w:tc>
        <w:tc>
          <w:tcPr>
            <w:tcW w:w="1393" w:type="dxa"/>
            <w:tcBorders>
              <w:top w:val="single" w:color="auto" w:sz="6" w:space="0"/>
              <w:left w:val="single" w:color="auto" w:sz="6" w:space="0"/>
              <w:bottom w:val="single" w:color="auto" w:sz="6" w:space="0"/>
              <w:right w:val="single" w:color="auto" w:sz="6" w:space="0"/>
            </w:tcBorders>
            <w:noWrap w:val="0"/>
            <w:vAlign w:val="center"/>
          </w:tcPr>
          <w:p w14:paraId="3BF3FE06">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w:t>
            </w:r>
          </w:p>
        </w:tc>
        <w:tc>
          <w:tcPr>
            <w:tcW w:w="1810" w:type="dxa"/>
            <w:tcBorders>
              <w:top w:val="single" w:color="auto" w:sz="6" w:space="0"/>
              <w:left w:val="single" w:color="auto" w:sz="6" w:space="0"/>
              <w:bottom w:val="single" w:color="auto" w:sz="6" w:space="0"/>
              <w:right w:val="single" w:color="auto" w:sz="12" w:space="0"/>
            </w:tcBorders>
            <w:noWrap w:val="0"/>
            <w:vAlign w:val="center"/>
          </w:tcPr>
          <w:p w14:paraId="73E79C40">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w:t>
            </w:r>
          </w:p>
        </w:tc>
      </w:tr>
      <w:tr w14:paraId="0444A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7" w:hRule="atLeast"/>
          <w:jc w:val="center"/>
        </w:trPr>
        <w:tc>
          <w:tcPr>
            <w:tcW w:w="1853" w:type="dxa"/>
            <w:tcBorders>
              <w:top w:val="single" w:color="auto" w:sz="6" w:space="0"/>
              <w:left w:val="single" w:color="auto" w:sz="12" w:space="0"/>
              <w:bottom w:val="single" w:color="auto" w:sz="6" w:space="0"/>
              <w:right w:val="single" w:color="auto" w:sz="6" w:space="0"/>
            </w:tcBorders>
            <w:noWrap w:val="0"/>
            <w:vAlign w:val="center"/>
          </w:tcPr>
          <w:p w14:paraId="7112E4E6">
            <w:pPr>
              <w:keepNext w:val="0"/>
              <w:keepLines w:val="0"/>
              <w:suppressLineNumbers w:val="0"/>
              <w:snapToGrid w:val="0"/>
              <w:spacing w:before="0" w:beforeAutospacing="0" w:after="0" w:afterAutospacing="0"/>
              <w:ind w:left="0" w:right="0"/>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氧化风机房</w:t>
            </w:r>
          </w:p>
        </w:tc>
        <w:tc>
          <w:tcPr>
            <w:tcW w:w="1422" w:type="dxa"/>
            <w:tcBorders>
              <w:top w:val="single" w:color="auto" w:sz="6" w:space="0"/>
              <w:left w:val="single" w:color="auto" w:sz="6" w:space="0"/>
              <w:bottom w:val="single" w:color="auto" w:sz="6" w:space="0"/>
              <w:right w:val="single" w:color="auto" w:sz="6" w:space="0"/>
            </w:tcBorders>
            <w:noWrap w:val="0"/>
            <w:vAlign w:val="center"/>
          </w:tcPr>
          <w:p w14:paraId="3D1A0AA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40</w:t>
            </w:r>
          </w:p>
        </w:tc>
        <w:tc>
          <w:tcPr>
            <w:tcW w:w="1825" w:type="dxa"/>
            <w:tcBorders>
              <w:top w:val="single" w:color="auto" w:sz="6" w:space="0"/>
              <w:left w:val="single" w:color="auto" w:sz="6" w:space="0"/>
              <w:bottom w:val="single" w:color="auto" w:sz="6" w:space="0"/>
              <w:right w:val="single" w:color="auto" w:sz="6" w:space="0"/>
            </w:tcBorders>
            <w:noWrap w:val="0"/>
            <w:vAlign w:val="center"/>
          </w:tcPr>
          <w:p w14:paraId="72496267">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w:t>
            </w:r>
          </w:p>
        </w:tc>
        <w:tc>
          <w:tcPr>
            <w:tcW w:w="1393" w:type="dxa"/>
            <w:tcBorders>
              <w:top w:val="single" w:color="auto" w:sz="6" w:space="0"/>
              <w:left w:val="single" w:color="auto" w:sz="6" w:space="0"/>
              <w:bottom w:val="single" w:color="auto" w:sz="6" w:space="0"/>
              <w:right w:val="single" w:color="auto" w:sz="6" w:space="0"/>
            </w:tcBorders>
            <w:noWrap w:val="0"/>
            <w:vAlign w:val="center"/>
          </w:tcPr>
          <w:p w14:paraId="2239489E">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w:t>
            </w:r>
          </w:p>
        </w:tc>
        <w:tc>
          <w:tcPr>
            <w:tcW w:w="1810" w:type="dxa"/>
            <w:tcBorders>
              <w:top w:val="single" w:color="auto" w:sz="6" w:space="0"/>
              <w:left w:val="single" w:color="auto" w:sz="6" w:space="0"/>
              <w:bottom w:val="single" w:color="auto" w:sz="6" w:space="0"/>
              <w:right w:val="single" w:color="auto" w:sz="12" w:space="0"/>
            </w:tcBorders>
            <w:noWrap w:val="0"/>
            <w:vAlign w:val="center"/>
          </w:tcPr>
          <w:p w14:paraId="3F9C377F">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w:t>
            </w:r>
          </w:p>
        </w:tc>
      </w:tr>
      <w:tr w14:paraId="003AA4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7" w:hRule="atLeast"/>
          <w:jc w:val="center"/>
        </w:trPr>
        <w:tc>
          <w:tcPr>
            <w:tcW w:w="1853" w:type="dxa"/>
            <w:tcBorders>
              <w:top w:val="single" w:color="auto" w:sz="6" w:space="0"/>
              <w:left w:val="single" w:color="auto" w:sz="12" w:space="0"/>
              <w:bottom w:val="single" w:color="auto" w:sz="12" w:space="0"/>
              <w:right w:val="single" w:color="auto" w:sz="6" w:space="0"/>
            </w:tcBorders>
            <w:noWrap w:val="0"/>
            <w:vAlign w:val="center"/>
          </w:tcPr>
          <w:p w14:paraId="361538BB">
            <w:pPr>
              <w:keepNext w:val="0"/>
              <w:keepLines w:val="0"/>
              <w:suppressLineNumbers w:val="0"/>
              <w:snapToGrid w:val="0"/>
              <w:spacing w:before="0" w:beforeAutospacing="0" w:after="0" w:afterAutospacing="0"/>
              <w:ind w:left="0" w:right="0"/>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真空脱水机室</w:t>
            </w:r>
          </w:p>
        </w:tc>
        <w:tc>
          <w:tcPr>
            <w:tcW w:w="1422" w:type="dxa"/>
            <w:tcBorders>
              <w:top w:val="single" w:color="auto" w:sz="6" w:space="0"/>
              <w:left w:val="single" w:color="auto" w:sz="6" w:space="0"/>
              <w:bottom w:val="single" w:color="auto" w:sz="12" w:space="0"/>
              <w:right w:val="single" w:color="auto" w:sz="6" w:space="0"/>
            </w:tcBorders>
            <w:noWrap w:val="0"/>
            <w:vAlign w:val="center"/>
          </w:tcPr>
          <w:p w14:paraId="032F9C55">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40</w:t>
            </w:r>
          </w:p>
        </w:tc>
        <w:tc>
          <w:tcPr>
            <w:tcW w:w="1825" w:type="dxa"/>
            <w:tcBorders>
              <w:top w:val="single" w:color="auto" w:sz="6" w:space="0"/>
              <w:left w:val="single" w:color="auto" w:sz="6" w:space="0"/>
              <w:bottom w:val="single" w:color="auto" w:sz="12" w:space="0"/>
              <w:right w:val="single" w:color="auto" w:sz="6" w:space="0"/>
            </w:tcBorders>
            <w:noWrap w:val="0"/>
            <w:vAlign w:val="center"/>
          </w:tcPr>
          <w:p w14:paraId="55FC3DF5">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w:t>
            </w:r>
          </w:p>
        </w:tc>
        <w:tc>
          <w:tcPr>
            <w:tcW w:w="1393" w:type="dxa"/>
            <w:tcBorders>
              <w:top w:val="single" w:color="auto" w:sz="6" w:space="0"/>
              <w:left w:val="single" w:color="auto" w:sz="6" w:space="0"/>
              <w:bottom w:val="single" w:color="auto" w:sz="12" w:space="0"/>
              <w:right w:val="single" w:color="auto" w:sz="6" w:space="0"/>
            </w:tcBorders>
            <w:noWrap w:val="0"/>
            <w:vAlign w:val="center"/>
          </w:tcPr>
          <w:p w14:paraId="1EEEECB3">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w:t>
            </w:r>
          </w:p>
        </w:tc>
        <w:tc>
          <w:tcPr>
            <w:tcW w:w="1810" w:type="dxa"/>
            <w:tcBorders>
              <w:top w:val="single" w:color="auto" w:sz="6" w:space="0"/>
              <w:left w:val="single" w:color="auto" w:sz="6" w:space="0"/>
              <w:bottom w:val="single" w:color="auto" w:sz="12" w:space="0"/>
              <w:right w:val="single" w:color="auto" w:sz="12" w:space="0"/>
            </w:tcBorders>
            <w:noWrap w:val="0"/>
            <w:vAlign w:val="center"/>
          </w:tcPr>
          <w:p w14:paraId="6DB4737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Cs/>
                <w:color w:val="auto"/>
                <w:sz w:val="24"/>
                <w:highlight w:val="none"/>
              </w:rPr>
            </w:pPr>
            <w:r>
              <w:rPr>
                <w:rFonts w:hint="default" w:ascii="Times New Roman" w:hAnsi="Times New Roman" w:cs="Times New Roman"/>
                <w:bCs/>
                <w:color w:val="auto"/>
                <w:sz w:val="24"/>
                <w:highlight w:val="none"/>
                <w:lang w:bidi="ar"/>
              </w:rPr>
              <w:t>/</w:t>
            </w:r>
          </w:p>
        </w:tc>
      </w:tr>
    </w:tbl>
    <w:p w14:paraId="51BE7C1B">
      <w:pPr>
        <w:tabs>
          <w:tab w:val="left" w:pos="570"/>
        </w:tabs>
        <w:spacing w:line="360" w:lineRule="auto"/>
        <w:ind w:left="570" w:hanging="570"/>
        <w:jc w:val="center"/>
        <w:rPr>
          <w:color w:val="auto"/>
          <w:sz w:val="24"/>
          <w:highlight w:val="none"/>
        </w:rPr>
      </w:pPr>
    </w:p>
    <w:p w14:paraId="5DBD3FDD">
      <w:pPr>
        <w:adjustRightInd w:val="0"/>
        <w:snapToGrid w:val="0"/>
        <w:spacing w:line="360" w:lineRule="auto"/>
        <w:rPr>
          <w:color w:val="auto"/>
          <w:sz w:val="24"/>
          <w:highlight w:val="none"/>
        </w:rPr>
      </w:pPr>
      <w:r>
        <w:rPr>
          <w:color w:val="auto"/>
          <w:sz w:val="24"/>
          <w:highlight w:val="none"/>
        </w:rPr>
        <w:t>5.3.2技术要求</w:t>
      </w:r>
    </w:p>
    <w:p w14:paraId="178D86F1">
      <w:pPr>
        <w:adjustRightInd w:val="0"/>
        <w:snapToGrid w:val="0"/>
        <w:spacing w:line="360" w:lineRule="auto"/>
        <w:rPr>
          <w:color w:val="auto"/>
          <w:sz w:val="24"/>
          <w:highlight w:val="none"/>
        </w:rPr>
      </w:pPr>
      <w:r>
        <w:rPr>
          <w:color w:val="auto"/>
          <w:sz w:val="24"/>
          <w:highlight w:val="none"/>
        </w:rPr>
        <w:t>5.3.2.1各建筑物采暖</w:t>
      </w:r>
    </w:p>
    <w:p w14:paraId="381A9061">
      <w:pPr>
        <w:snapToGrid w:val="0"/>
        <w:spacing w:line="360" w:lineRule="auto"/>
        <w:ind w:firstLine="480" w:firstLineChars="200"/>
        <w:rPr>
          <w:color w:val="auto"/>
          <w:sz w:val="24"/>
          <w:highlight w:val="none"/>
        </w:rPr>
      </w:pPr>
      <w:r>
        <w:rPr>
          <w:bCs/>
          <w:color w:val="auto"/>
          <w:sz w:val="24"/>
          <w:highlight w:val="none"/>
        </w:rPr>
        <w:t>本工程不属于采暖区域，对有温度要求的场所，设置安装通风空调系统。</w:t>
      </w:r>
    </w:p>
    <w:p w14:paraId="198D221B">
      <w:pPr>
        <w:adjustRightInd w:val="0"/>
        <w:snapToGrid w:val="0"/>
        <w:spacing w:line="360" w:lineRule="auto"/>
        <w:rPr>
          <w:color w:val="auto"/>
          <w:sz w:val="24"/>
          <w:highlight w:val="none"/>
        </w:rPr>
      </w:pPr>
      <w:r>
        <w:rPr>
          <w:color w:val="auto"/>
          <w:sz w:val="24"/>
          <w:highlight w:val="none"/>
        </w:rPr>
        <w:t>5.3.2.2通风</w:t>
      </w:r>
    </w:p>
    <w:p w14:paraId="5DA0986B">
      <w:pPr>
        <w:snapToGrid w:val="0"/>
        <w:spacing w:line="360" w:lineRule="auto"/>
        <w:rPr>
          <w:bCs/>
          <w:color w:val="auto"/>
          <w:sz w:val="24"/>
          <w:highlight w:val="none"/>
        </w:rPr>
      </w:pPr>
      <w:r>
        <w:rPr>
          <w:bCs/>
          <w:color w:val="auto"/>
          <w:sz w:val="24"/>
          <w:highlight w:val="none"/>
          <w:lang w:bidi="ar"/>
        </w:rPr>
        <w:t>1</w:t>
      </w:r>
      <w:r>
        <w:rPr>
          <w:rFonts w:hint="eastAsia" w:cs="宋体"/>
          <w:bCs/>
          <w:color w:val="auto"/>
          <w:sz w:val="24"/>
          <w:highlight w:val="none"/>
          <w:lang w:bidi="ar"/>
        </w:rPr>
        <w:t>）氧化风机房</w:t>
      </w:r>
    </w:p>
    <w:p w14:paraId="379CBE4F">
      <w:pPr>
        <w:snapToGrid w:val="0"/>
        <w:spacing w:line="360" w:lineRule="auto"/>
        <w:ind w:firstLine="480" w:firstLineChars="200"/>
        <w:rPr>
          <w:bCs/>
          <w:color w:val="auto"/>
          <w:sz w:val="24"/>
          <w:highlight w:val="none"/>
        </w:rPr>
      </w:pPr>
      <w:r>
        <w:rPr>
          <w:rFonts w:hint="eastAsia" w:cs="宋体"/>
          <w:bCs/>
          <w:color w:val="auto"/>
          <w:sz w:val="24"/>
          <w:highlight w:val="none"/>
          <w:lang w:bidi="ar"/>
        </w:rPr>
        <w:t>氧化风机房采用自然进风，机械排风的通风系统。换气次数按</w:t>
      </w:r>
      <w:r>
        <w:rPr>
          <w:bCs/>
          <w:color w:val="auto"/>
          <w:sz w:val="24"/>
          <w:highlight w:val="none"/>
          <w:lang w:bidi="ar"/>
        </w:rPr>
        <w:t>15</w:t>
      </w:r>
      <w:r>
        <w:rPr>
          <w:rFonts w:hint="eastAsia" w:cs="宋体"/>
          <w:bCs/>
          <w:color w:val="auto"/>
          <w:sz w:val="24"/>
          <w:highlight w:val="none"/>
          <w:lang w:bidi="ar"/>
        </w:rPr>
        <w:t>次</w:t>
      </w:r>
      <w:r>
        <w:rPr>
          <w:bCs/>
          <w:color w:val="auto"/>
          <w:sz w:val="24"/>
          <w:highlight w:val="none"/>
          <w:lang w:bidi="ar"/>
        </w:rPr>
        <w:t>/</w:t>
      </w:r>
      <w:r>
        <w:rPr>
          <w:rFonts w:hint="eastAsia" w:cs="宋体"/>
          <w:bCs/>
          <w:color w:val="auto"/>
          <w:sz w:val="24"/>
          <w:highlight w:val="none"/>
          <w:lang w:bidi="ar"/>
        </w:rPr>
        <w:t>小时，排除室内余热。</w:t>
      </w:r>
    </w:p>
    <w:p w14:paraId="5001E6DD">
      <w:pPr>
        <w:snapToGrid w:val="0"/>
        <w:spacing w:line="360" w:lineRule="auto"/>
        <w:rPr>
          <w:bCs/>
          <w:color w:val="auto"/>
          <w:sz w:val="24"/>
          <w:highlight w:val="none"/>
        </w:rPr>
      </w:pPr>
      <w:r>
        <w:rPr>
          <w:bCs/>
          <w:color w:val="auto"/>
          <w:sz w:val="24"/>
          <w:highlight w:val="none"/>
          <w:lang w:bidi="ar"/>
        </w:rPr>
        <w:t>2</w:t>
      </w:r>
      <w:r>
        <w:rPr>
          <w:rFonts w:hint="eastAsia" w:cs="宋体"/>
          <w:bCs/>
          <w:color w:val="auto"/>
          <w:sz w:val="24"/>
          <w:highlight w:val="none"/>
          <w:lang w:bidi="ar"/>
        </w:rPr>
        <w:t>）真空脱水机室</w:t>
      </w:r>
    </w:p>
    <w:p w14:paraId="5D96EFF0">
      <w:pPr>
        <w:snapToGrid w:val="0"/>
        <w:spacing w:line="360" w:lineRule="auto"/>
        <w:ind w:firstLine="480" w:firstLineChars="200"/>
        <w:rPr>
          <w:bCs/>
          <w:color w:val="auto"/>
          <w:sz w:val="24"/>
          <w:highlight w:val="none"/>
        </w:rPr>
      </w:pPr>
      <w:r>
        <w:rPr>
          <w:rFonts w:hint="eastAsia" w:cs="宋体"/>
          <w:bCs/>
          <w:color w:val="auto"/>
          <w:sz w:val="24"/>
          <w:highlight w:val="none"/>
          <w:lang w:bidi="ar"/>
        </w:rPr>
        <w:t>真空脱水机室采用自然进风，机械排风的通风系统。换气次数按</w:t>
      </w:r>
      <w:r>
        <w:rPr>
          <w:bCs/>
          <w:color w:val="auto"/>
          <w:sz w:val="24"/>
          <w:highlight w:val="none"/>
          <w:lang w:bidi="ar"/>
        </w:rPr>
        <w:t>15</w:t>
      </w:r>
      <w:r>
        <w:rPr>
          <w:rFonts w:hint="eastAsia" w:cs="宋体"/>
          <w:bCs/>
          <w:color w:val="auto"/>
          <w:sz w:val="24"/>
          <w:highlight w:val="none"/>
          <w:lang w:bidi="ar"/>
        </w:rPr>
        <w:t>次</w:t>
      </w:r>
      <w:r>
        <w:rPr>
          <w:bCs/>
          <w:color w:val="auto"/>
          <w:sz w:val="24"/>
          <w:highlight w:val="none"/>
          <w:lang w:bidi="ar"/>
        </w:rPr>
        <w:t>/</w:t>
      </w:r>
      <w:r>
        <w:rPr>
          <w:rFonts w:hint="eastAsia" w:cs="宋体"/>
          <w:bCs/>
          <w:color w:val="auto"/>
          <w:sz w:val="24"/>
          <w:highlight w:val="none"/>
          <w:lang w:bidi="ar"/>
        </w:rPr>
        <w:t>小时，排除室内余热余湿。</w:t>
      </w:r>
    </w:p>
    <w:p w14:paraId="61DC9517">
      <w:pPr>
        <w:numPr>
          <w:ilvl w:val="0"/>
          <w:numId w:val="17"/>
        </w:numPr>
        <w:snapToGrid w:val="0"/>
        <w:spacing w:line="360" w:lineRule="auto"/>
        <w:rPr>
          <w:bCs/>
          <w:color w:val="auto"/>
          <w:sz w:val="24"/>
          <w:highlight w:val="none"/>
        </w:rPr>
      </w:pPr>
      <w:r>
        <w:rPr>
          <w:rFonts w:hint="eastAsia" w:cs="宋体"/>
          <w:bCs/>
          <w:color w:val="auto"/>
          <w:sz w:val="24"/>
          <w:highlight w:val="none"/>
          <w:lang w:bidi="ar"/>
        </w:rPr>
        <w:t>各建筑电气室</w:t>
      </w:r>
    </w:p>
    <w:p w14:paraId="672C4093">
      <w:pPr>
        <w:snapToGrid w:val="0"/>
        <w:spacing w:line="360" w:lineRule="auto"/>
        <w:ind w:firstLine="480" w:firstLineChars="200"/>
        <w:rPr>
          <w:color w:val="auto"/>
          <w:highlight w:val="none"/>
        </w:rPr>
      </w:pPr>
      <w:r>
        <w:rPr>
          <w:rFonts w:hint="eastAsia" w:cs="宋体"/>
          <w:bCs/>
          <w:color w:val="auto"/>
          <w:sz w:val="24"/>
          <w:highlight w:val="none"/>
          <w:lang w:bidi="ar"/>
        </w:rPr>
        <w:t>各建筑电气室采用自然进风，机械排风的通风系统。换气次数按</w:t>
      </w:r>
      <w:r>
        <w:rPr>
          <w:bCs/>
          <w:color w:val="auto"/>
          <w:sz w:val="24"/>
          <w:highlight w:val="none"/>
          <w:lang w:bidi="ar"/>
        </w:rPr>
        <w:t>12</w:t>
      </w:r>
      <w:r>
        <w:rPr>
          <w:rFonts w:hint="eastAsia" w:cs="宋体"/>
          <w:bCs/>
          <w:color w:val="auto"/>
          <w:sz w:val="24"/>
          <w:highlight w:val="none"/>
          <w:lang w:bidi="ar"/>
        </w:rPr>
        <w:t>次</w:t>
      </w:r>
      <w:r>
        <w:rPr>
          <w:bCs/>
          <w:color w:val="auto"/>
          <w:sz w:val="24"/>
          <w:highlight w:val="none"/>
          <w:lang w:bidi="ar"/>
        </w:rPr>
        <w:t>/</w:t>
      </w:r>
      <w:r>
        <w:rPr>
          <w:rFonts w:hint="eastAsia" w:cs="宋体"/>
          <w:bCs/>
          <w:color w:val="auto"/>
          <w:sz w:val="24"/>
          <w:highlight w:val="none"/>
          <w:lang w:bidi="ar"/>
        </w:rPr>
        <w:t>小时，排除室内余热。</w:t>
      </w:r>
    </w:p>
    <w:p w14:paraId="6C99613B">
      <w:pPr>
        <w:snapToGrid w:val="0"/>
        <w:spacing w:line="360" w:lineRule="auto"/>
        <w:rPr>
          <w:bCs/>
          <w:color w:val="auto"/>
          <w:sz w:val="24"/>
          <w:highlight w:val="none"/>
        </w:rPr>
      </w:pPr>
      <w:r>
        <w:rPr>
          <w:bCs/>
          <w:color w:val="auto"/>
          <w:sz w:val="24"/>
          <w:highlight w:val="none"/>
          <w:lang w:bidi="ar"/>
        </w:rPr>
        <w:t>3</w:t>
      </w:r>
      <w:r>
        <w:rPr>
          <w:rFonts w:hint="eastAsia" w:cs="宋体"/>
          <w:bCs/>
          <w:color w:val="auto"/>
          <w:sz w:val="24"/>
          <w:highlight w:val="none"/>
          <w:lang w:bidi="ar"/>
        </w:rPr>
        <w:t>）脱硫电子设备室</w:t>
      </w:r>
      <w:r>
        <w:rPr>
          <w:rFonts w:hint="eastAsia" w:cs="宋体"/>
          <w:bCs/>
          <w:color w:val="auto"/>
          <w:sz w:val="24"/>
          <w:highlight w:val="none"/>
          <w:lang w:eastAsia="zh-CN" w:bidi="ar"/>
        </w:rPr>
        <w:t>、</w:t>
      </w:r>
      <w:r>
        <w:rPr>
          <w:bCs/>
          <w:color w:val="auto"/>
          <w:sz w:val="24"/>
          <w:highlight w:val="none"/>
          <w:lang w:bidi="ar"/>
        </w:rPr>
        <w:t>CEMS</w:t>
      </w:r>
      <w:r>
        <w:rPr>
          <w:rFonts w:hint="eastAsia" w:cs="宋体"/>
          <w:bCs/>
          <w:color w:val="auto"/>
          <w:sz w:val="24"/>
          <w:highlight w:val="none"/>
          <w:lang w:bidi="ar"/>
        </w:rPr>
        <w:t>小室</w:t>
      </w:r>
    </w:p>
    <w:p w14:paraId="14A23C2E">
      <w:pPr>
        <w:snapToGrid w:val="0"/>
        <w:spacing w:line="360" w:lineRule="auto"/>
        <w:ind w:firstLine="480" w:firstLineChars="200"/>
        <w:rPr>
          <w:bCs/>
          <w:color w:val="auto"/>
          <w:sz w:val="24"/>
          <w:highlight w:val="none"/>
        </w:rPr>
      </w:pPr>
      <w:r>
        <w:rPr>
          <w:rFonts w:hint="eastAsia" w:cs="宋体"/>
          <w:bCs/>
          <w:color w:val="auto"/>
          <w:sz w:val="24"/>
          <w:highlight w:val="none"/>
          <w:lang w:bidi="ar"/>
        </w:rPr>
        <w:t>脱硫电子设备室、</w:t>
      </w:r>
      <w:r>
        <w:rPr>
          <w:bCs/>
          <w:color w:val="auto"/>
          <w:sz w:val="24"/>
          <w:highlight w:val="none"/>
          <w:lang w:bidi="ar"/>
        </w:rPr>
        <w:t>CEMS</w:t>
      </w:r>
      <w:r>
        <w:rPr>
          <w:rFonts w:hint="eastAsia" w:cs="宋体"/>
          <w:bCs/>
          <w:color w:val="auto"/>
          <w:sz w:val="24"/>
          <w:highlight w:val="none"/>
          <w:lang w:bidi="ar"/>
        </w:rPr>
        <w:t>小室设置火灾后机械排风系统，排风量按房间换气次数不小于</w:t>
      </w:r>
      <w:r>
        <w:rPr>
          <w:bCs/>
          <w:color w:val="auto"/>
          <w:sz w:val="24"/>
          <w:highlight w:val="none"/>
          <w:lang w:bidi="ar"/>
        </w:rPr>
        <w:t>6</w:t>
      </w:r>
      <w:r>
        <w:rPr>
          <w:rFonts w:hint="eastAsia" w:cs="宋体"/>
          <w:bCs/>
          <w:color w:val="auto"/>
          <w:sz w:val="24"/>
          <w:highlight w:val="none"/>
          <w:lang w:bidi="ar"/>
        </w:rPr>
        <w:t>次</w:t>
      </w:r>
      <w:r>
        <w:rPr>
          <w:bCs/>
          <w:color w:val="auto"/>
          <w:sz w:val="24"/>
          <w:highlight w:val="none"/>
          <w:lang w:bidi="ar"/>
        </w:rPr>
        <w:t>/</w:t>
      </w:r>
      <w:r>
        <w:rPr>
          <w:rFonts w:hint="eastAsia" w:cs="宋体"/>
          <w:bCs/>
          <w:color w:val="auto"/>
          <w:sz w:val="24"/>
          <w:highlight w:val="none"/>
          <w:lang w:bidi="ar"/>
        </w:rPr>
        <w:t>小时。</w:t>
      </w:r>
    </w:p>
    <w:p w14:paraId="4A475244">
      <w:pPr>
        <w:snapToGrid w:val="0"/>
        <w:spacing w:line="360" w:lineRule="auto"/>
        <w:rPr>
          <w:bCs/>
          <w:color w:val="auto"/>
          <w:sz w:val="24"/>
          <w:highlight w:val="none"/>
        </w:rPr>
      </w:pPr>
      <w:r>
        <w:rPr>
          <w:bCs/>
          <w:color w:val="auto"/>
          <w:sz w:val="24"/>
          <w:highlight w:val="none"/>
          <w:lang w:bidi="ar"/>
        </w:rPr>
        <w:t>3</w:t>
      </w:r>
      <w:r>
        <w:rPr>
          <w:rFonts w:hint="eastAsia" w:cs="宋体"/>
          <w:bCs/>
          <w:color w:val="auto"/>
          <w:sz w:val="24"/>
          <w:highlight w:val="none"/>
          <w:lang w:bidi="ar"/>
        </w:rPr>
        <w:t>）其它有通风要求的房间</w:t>
      </w:r>
    </w:p>
    <w:p w14:paraId="55B759B6">
      <w:pPr>
        <w:snapToGrid w:val="0"/>
        <w:spacing w:line="360" w:lineRule="auto"/>
        <w:ind w:firstLine="480" w:firstLineChars="200"/>
        <w:rPr>
          <w:bCs/>
          <w:color w:val="auto"/>
          <w:sz w:val="24"/>
          <w:highlight w:val="none"/>
        </w:rPr>
      </w:pPr>
      <w:r>
        <w:rPr>
          <w:rFonts w:hint="eastAsia" w:cs="宋体"/>
          <w:bCs/>
          <w:color w:val="auto"/>
          <w:sz w:val="24"/>
          <w:highlight w:val="none"/>
          <w:lang w:bidi="ar"/>
        </w:rPr>
        <w:t>其它需要设置通风设施的构／建筑物均设置自然进风／机械排风的通风系统以排除室内的余热余湿及（或）有害气体，换气次数不小于</w:t>
      </w:r>
      <w:r>
        <w:rPr>
          <w:bCs/>
          <w:color w:val="auto"/>
          <w:sz w:val="24"/>
          <w:highlight w:val="none"/>
          <w:lang w:bidi="ar"/>
        </w:rPr>
        <w:t>10</w:t>
      </w:r>
      <w:r>
        <w:rPr>
          <w:rFonts w:hint="eastAsia" w:cs="宋体"/>
          <w:bCs/>
          <w:color w:val="auto"/>
          <w:sz w:val="24"/>
          <w:highlight w:val="none"/>
          <w:lang w:bidi="ar"/>
        </w:rPr>
        <w:t>次</w:t>
      </w:r>
      <w:r>
        <w:rPr>
          <w:bCs/>
          <w:color w:val="auto"/>
          <w:sz w:val="24"/>
          <w:highlight w:val="none"/>
          <w:lang w:bidi="ar"/>
        </w:rPr>
        <w:t>/</w:t>
      </w:r>
      <w:r>
        <w:rPr>
          <w:rFonts w:hint="eastAsia" w:cs="宋体"/>
          <w:bCs/>
          <w:color w:val="auto"/>
          <w:sz w:val="24"/>
          <w:highlight w:val="none"/>
          <w:lang w:bidi="ar"/>
        </w:rPr>
        <w:t>小时。</w:t>
      </w:r>
    </w:p>
    <w:p w14:paraId="5670FE02">
      <w:pPr>
        <w:adjustRightInd w:val="0"/>
        <w:snapToGrid w:val="0"/>
        <w:spacing w:line="360" w:lineRule="auto"/>
        <w:rPr>
          <w:color w:val="auto"/>
          <w:sz w:val="24"/>
          <w:highlight w:val="none"/>
        </w:rPr>
      </w:pPr>
      <w:r>
        <w:rPr>
          <w:color w:val="auto"/>
          <w:sz w:val="24"/>
          <w:highlight w:val="none"/>
          <w:lang w:bidi="ar"/>
        </w:rPr>
        <w:t>5.3.2.3</w:t>
      </w:r>
      <w:r>
        <w:rPr>
          <w:rFonts w:hint="eastAsia" w:cs="宋体"/>
          <w:color w:val="auto"/>
          <w:sz w:val="24"/>
          <w:highlight w:val="none"/>
          <w:lang w:bidi="ar"/>
        </w:rPr>
        <w:t>空调</w:t>
      </w:r>
    </w:p>
    <w:p w14:paraId="5548CC74">
      <w:pPr>
        <w:snapToGrid w:val="0"/>
        <w:spacing w:line="360" w:lineRule="auto"/>
        <w:rPr>
          <w:bCs/>
          <w:color w:val="auto"/>
          <w:sz w:val="24"/>
          <w:highlight w:val="none"/>
        </w:rPr>
      </w:pPr>
      <w:r>
        <w:rPr>
          <w:bCs/>
          <w:color w:val="auto"/>
          <w:sz w:val="24"/>
          <w:highlight w:val="none"/>
          <w:lang w:bidi="ar"/>
        </w:rPr>
        <w:t>5.3.2.3.1</w:t>
      </w:r>
      <w:r>
        <w:rPr>
          <w:rFonts w:hint="eastAsia" w:cs="宋体"/>
          <w:bCs/>
          <w:color w:val="auto"/>
          <w:sz w:val="24"/>
          <w:highlight w:val="none"/>
          <w:lang w:bidi="ar"/>
        </w:rPr>
        <w:t>脱硫电子设备室、</w:t>
      </w:r>
      <w:r>
        <w:rPr>
          <w:bCs/>
          <w:color w:val="auto"/>
          <w:sz w:val="24"/>
          <w:highlight w:val="none"/>
          <w:lang w:bidi="ar"/>
        </w:rPr>
        <w:t>CEMS</w:t>
      </w:r>
      <w:r>
        <w:rPr>
          <w:rFonts w:hint="eastAsia" w:cs="宋体"/>
          <w:bCs/>
          <w:color w:val="auto"/>
          <w:sz w:val="24"/>
          <w:highlight w:val="none"/>
          <w:lang w:bidi="ar"/>
        </w:rPr>
        <w:t>小室空调</w:t>
      </w:r>
    </w:p>
    <w:p w14:paraId="5CB68EE0">
      <w:pPr>
        <w:pStyle w:val="46"/>
        <w:widowControl w:val="0"/>
        <w:spacing w:before="0" w:beforeAutospacing="0" w:after="0" w:afterAutospacing="0" w:line="360" w:lineRule="auto"/>
        <w:ind w:firstLine="480" w:firstLineChars="200"/>
        <w:jc w:val="both"/>
        <w:rPr>
          <w:rFonts w:hint="eastAsia" w:ascii="Times New Roman" w:hAnsi="Times New Roman" w:eastAsia="宋体"/>
          <w:bCs/>
          <w:color w:val="auto"/>
          <w:kern w:val="2"/>
          <w:highlight w:val="none"/>
          <w:lang w:val="en-US" w:eastAsia="zh-CN" w:bidi="ar"/>
        </w:rPr>
      </w:pPr>
      <w:r>
        <w:rPr>
          <w:rFonts w:hint="eastAsia" w:cs="宋体"/>
          <w:bCs/>
          <w:color w:val="auto"/>
          <w:highlight w:val="none"/>
          <w:lang w:bidi="ar"/>
        </w:rPr>
        <w:t>脱硫电子设备室</w:t>
      </w:r>
      <w:r>
        <w:rPr>
          <w:rFonts w:hint="eastAsia" w:ascii="Times New Roman" w:hAnsi="Times New Roman"/>
          <w:bCs/>
          <w:color w:val="auto"/>
          <w:kern w:val="2"/>
          <w:highlight w:val="none"/>
          <w:lang w:bidi="ar"/>
        </w:rPr>
        <w:t>设置空调来满足房间对温、湿度的要</w:t>
      </w:r>
      <w:r>
        <w:rPr>
          <w:rFonts w:hint="eastAsia" w:ascii="Times New Roman" w:hAnsi="Times New Roman"/>
          <w:bCs/>
          <w:color w:val="auto"/>
          <w:kern w:val="2"/>
          <w:highlight w:val="none"/>
          <w:lang w:val="en-US" w:eastAsia="zh-CN" w:bidi="ar"/>
        </w:rPr>
        <w:t>求。</w:t>
      </w:r>
    </w:p>
    <w:p w14:paraId="5E38C0E1">
      <w:pPr>
        <w:pStyle w:val="46"/>
        <w:widowControl w:val="0"/>
        <w:spacing w:before="0" w:beforeAutospacing="0" w:after="0" w:afterAutospacing="0" w:line="360" w:lineRule="auto"/>
        <w:ind w:firstLine="480" w:firstLineChars="200"/>
        <w:jc w:val="both"/>
        <w:rPr>
          <w:rFonts w:hint="eastAsia"/>
          <w:bCs/>
          <w:color w:val="auto"/>
          <w:highlight w:val="none"/>
          <w:lang w:bidi="ar"/>
        </w:rPr>
      </w:pPr>
      <w:r>
        <w:rPr>
          <w:bCs/>
          <w:color w:val="auto"/>
          <w:highlight w:val="none"/>
          <w:lang w:bidi="ar"/>
        </w:rPr>
        <w:t>CEMS</w:t>
      </w:r>
      <w:r>
        <w:rPr>
          <w:rFonts w:hint="eastAsia" w:cs="宋体"/>
          <w:bCs/>
          <w:color w:val="auto"/>
          <w:highlight w:val="none"/>
          <w:lang w:bidi="ar"/>
        </w:rPr>
        <w:t>小室</w:t>
      </w:r>
      <w:r>
        <w:rPr>
          <w:rFonts w:hint="eastAsia"/>
          <w:bCs/>
          <w:color w:val="auto"/>
          <w:highlight w:val="none"/>
          <w:lang w:bidi="ar"/>
        </w:rPr>
        <w:t>设置一台空调来满足房间对温度的要求，具备断电后来电自启功能。</w:t>
      </w:r>
    </w:p>
    <w:p w14:paraId="1FCF8C13">
      <w:pPr>
        <w:snapToGrid w:val="0"/>
        <w:spacing w:line="360" w:lineRule="auto"/>
        <w:rPr>
          <w:bCs/>
          <w:color w:val="auto"/>
          <w:sz w:val="24"/>
          <w:highlight w:val="none"/>
        </w:rPr>
      </w:pPr>
      <w:r>
        <w:rPr>
          <w:bCs/>
          <w:color w:val="auto"/>
          <w:sz w:val="24"/>
          <w:highlight w:val="none"/>
          <w:lang w:bidi="ar"/>
        </w:rPr>
        <w:t>5.3.2.3.2</w:t>
      </w:r>
      <w:r>
        <w:rPr>
          <w:rFonts w:hint="eastAsia" w:cs="宋体"/>
          <w:bCs/>
          <w:color w:val="auto"/>
          <w:sz w:val="24"/>
          <w:highlight w:val="none"/>
          <w:lang w:bidi="ar"/>
        </w:rPr>
        <w:t>各建筑电气室</w:t>
      </w:r>
    </w:p>
    <w:p w14:paraId="61B7E799">
      <w:pPr>
        <w:pStyle w:val="46"/>
        <w:widowControl w:val="0"/>
        <w:spacing w:before="0" w:beforeAutospacing="0" w:after="0" w:afterAutospacing="0" w:line="360" w:lineRule="auto"/>
        <w:ind w:firstLine="480" w:firstLineChars="200"/>
        <w:jc w:val="both"/>
        <w:rPr>
          <w:bCs/>
          <w:color w:val="auto"/>
          <w:szCs w:val="20"/>
          <w:highlight w:val="none"/>
        </w:rPr>
      </w:pPr>
      <w:r>
        <w:rPr>
          <w:rFonts w:hint="eastAsia" w:ascii="Times New Roman" w:hAnsi="Times New Roman"/>
          <w:bCs/>
          <w:color w:val="auto"/>
          <w:kern w:val="2"/>
          <w:highlight w:val="none"/>
          <w:lang w:bidi="ar"/>
        </w:rPr>
        <w:t>设置辅助单冷空调来满足夏季室内电气设备对温度的要求。</w:t>
      </w:r>
      <w:r>
        <w:rPr>
          <w:rFonts w:hint="eastAsia" w:hAnsi="Courier New"/>
          <w:bCs/>
          <w:color w:val="auto"/>
          <w:kern w:val="2"/>
          <w:szCs w:val="20"/>
          <w:highlight w:val="none"/>
          <w:lang w:bidi="ar"/>
        </w:rPr>
        <w:t xml:space="preserve">  </w:t>
      </w:r>
    </w:p>
    <w:p w14:paraId="26648A4F">
      <w:pPr>
        <w:pStyle w:val="46"/>
        <w:widowControl w:val="0"/>
        <w:spacing w:before="0" w:beforeAutospacing="0" w:after="0" w:afterAutospacing="0" w:line="360" w:lineRule="auto"/>
        <w:ind w:firstLine="480" w:firstLineChars="200"/>
        <w:jc w:val="both"/>
        <w:rPr>
          <w:color w:val="auto"/>
          <w:highlight w:val="none"/>
        </w:rPr>
      </w:pPr>
      <w:r>
        <w:rPr>
          <w:rFonts w:hint="eastAsia"/>
          <w:bCs/>
          <w:color w:val="auto"/>
          <w:highlight w:val="none"/>
          <w:lang w:bidi="ar"/>
        </w:rPr>
        <w:t>所有通风、空调设备均与消防联锁，当火灾发生时，立即切断电源。</w:t>
      </w:r>
    </w:p>
    <w:p w14:paraId="19530C89">
      <w:pPr>
        <w:adjustRightInd/>
        <w:snapToGrid/>
        <w:spacing w:before="240" w:line="360" w:lineRule="auto"/>
        <w:ind w:firstLine="0" w:firstLineChars="0"/>
        <w:outlineLvl w:val="2"/>
        <w:rPr>
          <w:color w:val="auto"/>
          <w:sz w:val="24"/>
          <w:highlight w:val="none"/>
        </w:rPr>
      </w:pPr>
      <w:bookmarkStart w:id="103" w:name="_Toc482189954"/>
      <w:r>
        <w:rPr>
          <w:b/>
          <w:color w:val="auto"/>
          <w:sz w:val="24"/>
          <w:highlight w:val="none"/>
        </w:rPr>
        <w:t>5.4 消防和给排水部分</w:t>
      </w:r>
      <w:bookmarkEnd w:id="103"/>
    </w:p>
    <w:p w14:paraId="50D7A607">
      <w:pPr>
        <w:adjustRightInd w:val="0"/>
        <w:snapToGrid w:val="0"/>
        <w:spacing w:line="360" w:lineRule="auto"/>
        <w:rPr>
          <w:rFonts w:hint="eastAsia"/>
          <w:bCs/>
          <w:color w:val="auto"/>
          <w:sz w:val="24"/>
          <w:highlight w:val="none"/>
          <w:lang w:bidi="ar"/>
        </w:rPr>
      </w:pPr>
      <w:r>
        <w:rPr>
          <w:rFonts w:hint="eastAsia"/>
          <w:bCs/>
          <w:color w:val="auto"/>
          <w:sz w:val="24"/>
          <w:highlight w:val="none"/>
          <w:lang w:bidi="ar"/>
        </w:rPr>
        <w:t>5.4.1给排水技术原则</w:t>
      </w:r>
    </w:p>
    <w:p w14:paraId="7218FD4F">
      <w:pPr>
        <w:widowControl/>
        <w:snapToGrid w:val="0"/>
        <w:spacing w:line="360" w:lineRule="auto"/>
        <w:ind w:firstLine="480" w:firstLineChars="200"/>
        <w:jc w:val="left"/>
        <w:rPr>
          <w:rFonts w:hint="eastAsia"/>
          <w:bCs/>
          <w:color w:val="auto"/>
          <w:sz w:val="24"/>
          <w:highlight w:val="none"/>
          <w:lang w:bidi="ar"/>
        </w:rPr>
      </w:pPr>
      <w:r>
        <w:rPr>
          <w:rFonts w:hint="eastAsia"/>
          <w:bCs/>
          <w:color w:val="auto"/>
          <w:sz w:val="24"/>
          <w:highlight w:val="none"/>
          <w:lang w:bidi="ar"/>
        </w:rPr>
        <w:t>1）生活污水和雨水采用分流制系统。</w:t>
      </w:r>
    </w:p>
    <w:p w14:paraId="1E4AB80B">
      <w:pPr>
        <w:widowControl/>
        <w:snapToGrid w:val="0"/>
        <w:spacing w:line="360" w:lineRule="auto"/>
        <w:jc w:val="left"/>
        <w:rPr>
          <w:rFonts w:hint="eastAsia"/>
          <w:bCs/>
          <w:color w:val="auto"/>
          <w:sz w:val="24"/>
          <w:highlight w:val="none"/>
          <w:lang w:bidi="ar"/>
        </w:rPr>
      </w:pPr>
    </w:p>
    <w:p w14:paraId="2130FC70">
      <w:pPr>
        <w:widowControl/>
        <w:snapToGrid w:val="0"/>
        <w:spacing w:line="360" w:lineRule="auto"/>
        <w:jc w:val="left"/>
        <w:rPr>
          <w:rFonts w:hint="eastAsia"/>
          <w:bCs/>
          <w:color w:val="auto"/>
          <w:sz w:val="24"/>
          <w:highlight w:val="none"/>
          <w:lang w:bidi="ar"/>
        </w:rPr>
      </w:pPr>
      <w:r>
        <w:rPr>
          <w:rFonts w:hint="eastAsia"/>
          <w:bCs/>
          <w:color w:val="auto"/>
          <w:sz w:val="24"/>
          <w:highlight w:val="none"/>
          <w:lang w:bidi="ar"/>
        </w:rPr>
        <w:t>2）脱硫区域内</w:t>
      </w:r>
      <w:r>
        <w:rPr>
          <w:rFonts w:hint="eastAsia"/>
          <w:bCs/>
          <w:color w:val="auto"/>
          <w:kern w:val="2"/>
          <w:sz w:val="24"/>
          <w:highlight w:val="none"/>
          <w:lang w:bidi="ar"/>
        </w:rPr>
        <w:t>雨水就近排入主体工程雨水管。</w:t>
      </w:r>
    </w:p>
    <w:p w14:paraId="3EC0BAD3">
      <w:pPr>
        <w:widowControl/>
        <w:snapToGrid w:val="0"/>
        <w:spacing w:line="360" w:lineRule="auto"/>
        <w:ind w:firstLine="480" w:firstLineChars="200"/>
        <w:jc w:val="left"/>
        <w:rPr>
          <w:color w:val="auto"/>
          <w:kern w:val="0"/>
          <w:sz w:val="24"/>
          <w:highlight w:val="none"/>
        </w:rPr>
      </w:pPr>
      <w:r>
        <w:rPr>
          <w:rFonts w:hint="eastAsia"/>
          <w:bCs/>
          <w:color w:val="auto"/>
          <w:kern w:val="2"/>
          <w:sz w:val="24"/>
          <w:highlight w:val="none"/>
          <w:lang w:bidi="ar"/>
        </w:rPr>
        <w:t>室内外上下水管道材质与主体工程一致。</w:t>
      </w:r>
    </w:p>
    <w:p w14:paraId="356B290F">
      <w:pPr>
        <w:adjustRightInd w:val="0"/>
        <w:snapToGrid w:val="0"/>
        <w:spacing w:line="360" w:lineRule="auto"/>
        <w:rPr>
          <w:color w:val="auto"/>
          <w:sz w:val="24"/>
          <w:highlight w:val="none"/>
        </w:rPr>
      </w:pPr>
      <w:r>
        <w:rPr>
          <w:color w:val="auto"/>
          <w:sz w:val="24"/>
          <w:highlight w:val="none"/>
        </w:rPr>
        <w:t>5.4.2消防</w:t>
      </w:r>
      <w:r>
        <w:rPr>
          <w:rFonts w:hint="eastAsia"/>
          <w:color w:val="auto"/>
          <w:sz w:val="24"/>
          <w:highlight w:val="none"/>
          <w:lang w:bidi="ar"/>
        </w:rPr>
        <w:t>技术原则</w:t>
      </w:r>
    </w:p>
    <w:p w14:paraId="34F54442">
      <w:pPr>
        <w:pStyle w:val="50"/>
        <w:spacing w:line="360" w:lineRule="auto"/>
        <w:ind w:firstLine="480" w:firstLineChars="200"/>
        <w:rPr>
          <w:rFonts w:hint="eastAsia"/>
          <w:bCs/>
          <w:color w:val="auto"/>
          <w:kern w:val="2"/>
          <w:sz w:val="24"/>
          <w:szCs w:val="24"/>
          <w:highlight w:val="none"/>
          <w:lang w:bidi="ar"/>
        </w:rPr>
      </w:pPr>
      <w:r>
        <w:rPr>
          <w:rFonts w:hint="eastAsia"/>
          <w:bCs/>
          <w:color w:val="auto"/>
          <w:kern w:val="2"/>
          <w:sz w:val="24"/>
          <w:szCs w:val="24"/>
          <w:highlight w:val="none"/>
          <w:lang w:bidi="ar"/>
        </w:rPr>
        <w:t>脱硫区域室外消防主要依托主体工程，建筑室内及吸收塔平台消防消火栓从主体工程消防管道引接。其他建筑配备足够数量的灭火器，灭火器配置执行《建筑灭火器配置设计规范》。</w:t>
      </w:r>
      <w:r>
        <w:rPr>
          <w:rFonts w:hint="eastAsia"/>
          <w:bCs/>
          <w:color w:val="auto"/>
          <w:kern w:val="2"/>
          <w:sz w:val="24"/>
          <w:szCs w:val="24"/>
          <w:highlight w:val="none"/>
          <w:lang w:val="en-US" w:eastAsia="zh-CN" w:bidi="ar"/>
        </w:rPr>
        <w:t>吸收塔本体需设计消防水系统。</w:t>
      </w:r>
    </w:p>
    <w:p w14:paraId="113AC55D">
      <w:pPr>
        <w:pStyle w:val="3"/>
        <w:spacing w:before="120" w:after="120"/>
        <w:rPr>
          <w:rFonts w:hint="default" w:ascii="Times New Roman" w:hAnsi="Times New Roman" w:eastAsia="宋体"/>
          <w:color w:val="auto"/>
          <w:sz w:val="28"/>
          <w:szCs w:val="28"/>
          <w:highlight w:val="none"/>
        </w:rPr>
      </w:pPr>
      <w:bookmarkStart w:id="104" w:name="_Toc30674"/>
      <w:bookmarkStart w:id="105" w:name="_Toc1386"/>
      <w:bookmarkStart w:id="106" w:name="_Toc28923"/>
      <w:bookmarkStart w:id="107" w:name="_Toc20692"/>
      <w:bookmarkStart w:id="108" w:name="_Toc482189955"/>
      <w:bookmarkStart w:id="109" w:name="_Toc474829578"/>
      <w:bookmarkStart w:id="110" w:name="_Toc13864"/>
      <w:bookmarkStart w:id="111" w:name="_Toc8155"/>
      <w:bookmarkStart w:id="112" w:name="_Toc41298041"/>
      <w:r>
        <w:rPr>
          <w:rFonts w:hint="default" w:ascii="Times New Roman" w:hAnsi="Times New Roman" w:eastAsia="宋体"/>
          <w:color w:val="auto"/>
          <w:sz w:val="28"/>
          <w:szCs w:val="28"/>
          <w:highlight w:val="none"/>
        </w:rPr>
        <w:t>6</w:t>
      </w:r>
      <w:bookmarkStart w:id="113" w:name="OLE_LINK1"/>
      <w:bookmarkStart w:id="114" w:name="OLE_LINK7"/>
      <w:bookmarkStart w:id="115" w:name="OLE_LINK6"/>
      <w:r>
        <w:rPr>
          <w:rFonts w:hint="eastAsia" w:ascii="Times New Roman" w:hAnsi="Times New Roman" w:eastAsia="宋体"/>
          <w:color w:val="auto"/>
          <w:sz w:val="28"/>
          <w:szCs w:val="28"/>
          <w:highlight w:val="none"/>
          <w:lang w:eastAsia="zh-CN"/>
        </w:rPr>
        <w:t>投标方</w:t>
      </w:r>
      <w:r>
        <w:rPr>
          <w:rFonts w:hint="default" w:ascii="Times New Roman" w:hAnsi="Times New Roman" w:eastAsia="宋体"/>
          <w:color w:val="auto"/>
          <w:sz w:val="28"/>
          <w:szCs w:val="28"/>
          <w:highlight w:val="none"/>
        </w:rPr>
        <w:t>设计数据</w:t>
      </w:r>
      <w:bookmarkEnd w:id="104"/>
      <w:bookmarkEnd w:id="105"/>
      <w:bookmarkEnd w:id="106"/>
      <w:bookmarkEnd w:id="107"/>
      <w:bookmarkEnd w:id="108"/>
      <w:bookmarkEnd w:id="109"/>
      <w:bookmarkEnd w:id="110"/>
      <w:bookmarkEnd w:id="111"/>
      <w:bookmarkEnd w:id="113"/>
      <w:bookmarkEnd w:id="114"/>
      <w:bookmarkEnd w:id="115"/>
    </w:p>
    <w:p w14:paraId="099C052F">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应详细填写下列数据表，并应提供下表未作要求但为工程设计所必须的其他相关数据。如果没有另外指出，所有数据为脱硫系统设计工况下的数据。</w:t>
      </w:r>
      <w:r>
        <w:rPr>
          <w:rFonts w:hint="eastAsia"/>
          <w:color w:val="auto"/>
          <w:sz w:val="24"/>
          <w:highlight w:val="none"/>
        </w:rPr>
        <w:t>（暂定，最终数据由</w:t>
      </w:r>
      <w:r>
        <w:rPr>
          <w:rFonts w:hint="eastAsia"/>
          <w:color w:val="auto"/>
          <w:sz w:val="24"/>
          <w:highlight w:val="none"/>
          <w:lang w:eastAsia="zh-CN"/>
        </w:rPr>
        <w:t>招标方</w:t>
      </w:r>
      <w:r>
        <w:rPr>
          <w:rFonts w:hint="eastAsia"/>
          <w:color w:val="auto"/>
          <w:sz w:val="24"/>
          <w:highlight w:val="none"/>
        </w:rPr>
        <w:t>确定）</w:t>
      </w:r>
    </w:p>
    <w:p w14:paraId="02E46330">
      <w:pPr>
        <w:adjustRightInd w:val="0"/>
        <w:snapToGrid w:val="0"/>
        <w:spacing w:line="360" w:lineRule="auto"/>
        <w:jc w:val="center"/>
        <w:rPr>
          <w:color w:val="auto"/>
          <w:sz w:val="24"/>
          <w:highlight w:val="none"/>
        </w:rPr>
      </w:pPr>
      <w:r>
        <w:rPr>
          <w:color w:val="auto"/>
          <w:sz w:val="24"/>
          <w:highlight w:val="none"/>
        </w:rPr>
        <w:t>系统性能与设计参数表</w:t>
      </w:r>
    </w:p>
    <w:tbl>
      <w:tblPr>
        <w:tblStyle w:val="52"/>
        <w:tblW w:w="0" w:type="auto"/>
        <w:tblInd w:w="-123"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816"/>
        <w:gridCol w:w="4388"/>
        <w:gridCol w:w="1350"/>
        <w:gridCol w:w="354"/>
        <w:gridCol w:w="1555"/>
      </w:tblGrid>
      <w:tr w14:paraId="739ACE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5B18A4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序号</w:t>
            </w:r>
          </w:p>
        </w:tc>
        <w:tc>
          <w:tcPr>
            <w:tcW w:w="4388" w:type="dxa"/>
            <w:noWrap w:val="0"/>
            <w:vAlign w:val="center"/>
          </w:tcPr>
          <w:p w14:paraId="22755A7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项目名称</w:t>
            </w:r>
          </w:p>
        </w:tc>
        <w:tc>
          <w:tcPr>
            <w:tcW w:w="1704" w:type="dxa"/>
            <w:gridSpan w:val="2"/>
            <w:noWrap w:val="0"/>
            <w:vAlign w:val="center"/>
          </w:tcPr>
          <w:p w14:paraId="1EBFAF4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单位</w:t>
            </w:r>
          </w:p>
        </w:tc>
        <w:tc>
          <w:tcPr>
            <w:tcW w:w="1555" w:type="dxa"/>
            <w:noWrap w:val="0"/>
            <w:vAlign w:val="center"/>
          </w:tcPr>
          <w:p w14:paraId="5A276C6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数据</w:t>
            </w:r>
          </w:p>
        </w:tc>
      </w:tr>
      <w:tr w14:paraId="4AB9A02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816" w:type="dxa"/>
            <w:noWrap w:val="0"/>
            <w:vAlign w:val="center"/>
          </w:tcPr>
          <w:p w14:paraId="660C787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4388" w:type="dxa"/>
            <w:noWrap w:val="0"/>
            <w:vAlign w:val="center"/>
          </w:tcPr>
          <w:p w14:paraId="652F864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性能数据</w:t>
            </w:r>
          </w:p>
        </w:tc>
        <w:tc>
          <w:tcPr>
            <w:tcW w:w="1704" w:type="dxa"/>
            <w:gridSpan w:val="2"/>
            <w:noWrap w:val="0"/>
            <w:vAlign w:val="center"/>
          </w:tcPr>
          <w:p w14:paraId="42B7BA8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ECE318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2973A1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29AAB7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1.1</w:t>
            </w:r>
          </w:p>
        </w:tc>
        <w:tc>
          <w:tcPr>
            <w:tcW w:w="4388" w:type="dxa"/>
            <w:noWrap w:val="0"/>
            <w:vAlign w:val="center"/>
          </w:tcPr>
          <w:p w14:paraId="70033DF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FGD入口烟气数据</w:t>
            </w:r>
          </w:p>
        </w:tc>
        <w:tc>
          <w:tcPr>
            <w:tcW w:w="1704" w:type="dxa"/>
            <w:gridSpan w:val="2"/>
            <w:noWrap w:val="0"/>
            <w:vAlign w:val="center"/>
          </w:tcPr>
          <w:p w14:paraId="54CD0FA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6572FF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FBACF0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A9ED7F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221F48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烟气量（湿基、标态，实际％O</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w:t>
            </w:r>
          </w:p>
        </w:tc>
        <w:tc>
          <w:tcPr>
            <w:tcW w:w="1704" w:type="dxa"/>
            <w:gridSpan w:val="2"/>
            <w:noWrap w:val="0"/>
            <w:vAlign w:val="center"/>
          </w:tcPr>
          <w:p w14:paraId="2FD4E44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Nm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1191B216">
            <w:pPr>
              <w:keepNext w:val="0"/>
              <w:keepLines w:val="0"/>
              <w:suppressLineNumbers w:val="0"/>
              <w:adjustRightInd w:val="0"/>
              <w:snapToGrid w:val="0"/>
              <w:spacing w:before="0" w:beforeAutospacing="0" w:after="0" w:afterAutospacing="0" w:line="276" w:lineRule="auto"/>
              <w:ind w:left="0" w:right="0"/>
              <w:jc w:val="center"/>
              <w:rPr>
                <w:rFonts w:hint="default" w:ascii="Times New Roman" w:hAnsi="Times New Roman" w:cs="Times New Roman"/>
                <w:color w:val="auto"/>
                <w:sz w:val="24"/>
                <w:highlight w:val="none"/>
              </w:rPr>
            </w:pPr>
          </w:p>
        </w:tc>
      </w:tr>
      <w:tr w14:paraId="0D2D848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506593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34BD6E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设计烟温</w:t>
            </w:r>
          </w:p>
        </w:tc>
        <w:tc>
          <w:tcPr>
            <w:tcW w:w="1704" w:type="dxa"/>
            <w:gridSpan w:val="2"/>
            <w:noWrap w:val="0"/>
            <w:vAlign w:val="center"/>
          </w:tcPr>
          <w:p w14:paraId="26470A3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1C54044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4F8E82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A62D90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33C42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最低烟温</w:t>
            </w:r>
          </w:p>
        </w:tc>
        <w:tc>
          <w:tcPr>
            <w:tcW w:w="1704" w:type="dxa"/>
            <w:gridSpan w:val="2"/>
            <w:noWrap w:val="0"/>
            <w:vAlign w:val="center"/>
          </w:tcPr>
          <w:p w14:paraId="1EFC29E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3A1AE2E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87ACE1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2E7163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A6C124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最高烟温</w:t>
            </w:r>
          </w:p>
        </w:tc>
        <w:tc>
          <w:tcPr>
            <w:tcW w:w="1704" w:type="dxa"/>
            <w:gridSpan w:val="2"/>
            <w:noWrap w:val="0"/>
            <w:vAlign w:val="center"/>
          </w:tcPr>
          <w:p w14:paraId="1273AC3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2BAAD04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845AD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941342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B097BD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故障烟温</w:t>
            </w:r>
          </w:p>
        </w:tc>
        <w:tc>
          <w:tcPr>
            <w:tcW w:w="1704" w:type="dxa"/>
            <w:gridSpan w:val="2"/>
            <w:noWrap w:val="0"/>
            <w:vAlign w:val="center"/>
          </w:tcPr>
          <w:p w14:paraId="4249694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779314A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79AA0E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635BDD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8A0A05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故障时间</w:t>
            </w:r>
          </w:p>
        </w:tc>
        <w:tc>
          <w:tcPr>
            <w:tcW w:w="1704" w:type="dxa"/>
            <w:gridSpan w:val="2"/>
            <w:noWrap w:val="0"/>
            <w:vAlign w:val="center"/>
          </w:tcPr>
          <w:p w14:paraId="7D74283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min</w:t>
            </w:r>
          </w:p>
        </w:tc>
        <w:tc>
          <w:tcPr>
            <w:tcW w:w="1555" w:type="dxa"/>
            <w:noWrap w:val="0"/>
            <w:vAlign w:val="center"/>
          </w:tcPr>
          <w:p w14:paraId="3B64BB8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0A6EC5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10477F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1.2</w:t>
            </w:r>
          </w:p>
        </w:tc>
        <w:tc>
          <w:tcPr>
            <w:tcW w:w="4388" w:type="dxa"/>
            <w:noWrap w:val="0"/>
            <w:vAlign w:val="center"/>
          </w:tcPr>
          <w:p w14:paraId="6063343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FGD入口处烟气成份</w:t>
            </w:r>
          </w:p>
        </w:tc>
        <w:tc>
          <w:tcPr>
            <w:tcW w:w="1704" w:type="dxa"/>
            <w:gridSpan w:val="2"/>
            <w:noWrap w:val="0"/>
            <w:vAlign w:val="center"/>
          </w:tcPr>
          <w:p w14:paraId="11E2DE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B40B65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2AC36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E0F7C3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0EB4CB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N</w:t>
            </w:r>
            <w:r>
              <w:rPr>
                <w:rFonts w:hint="default" w:ascii="Times New Roman" w:hAnsi="Times New Roman" w:cs="Times New Roman"/>
                <w:color w:val="auto"/>
                <w:sz w:val="24"/>
                <w:highlight w:val="none"/>
                <w:vertAlign w:val="subscript"/>
              </w:rPr>
              <w:t>2</w:t>
            </w:r>
          </w:p>
        </w:tc>
        <w:tc>
          <w:tcPr>
            <w:tcW w:w="1704" w:type="dxa"/>
            <w:gridSpan w:val="2"/>
            <w:noWrap w:val="0"/>
            <w:vAlign w:val="center"/>
          </w:tcPr>
          <w:p w14:paraId="15842C3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vol-%，干基</w:t>
            </w:r>
          </w:p>
        </w:tc>
        <w:tc>
          <w:tcPr>
            <w:tcW w:w="1555" w:type="dxa"/>
            <w:noWrap w:val="0"/>
            <w:vAlign w:val="center"/>
          </w:tcPr>
          <w:p w14:paraId="3956537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E0272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970E56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6212EB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CO</w:t>
            </w:r>
            <w:r>
              <w:rPr>
                <w:rFonts w:hint="default" w:ascii="Times New Roman" w:hAnsi="Times New Roman" w:cs="Times New Roman"/>
                <w:color w:val="auto"/>
                <w:sz w:val="24"/>
                <w:highlight w:val="none"/>
                <w:vertAlign w:val="subscript"/>
              </w:rPr>
              <w:t>2</w:t>
            </w:r>
          </w:p>
        </w:tc>
        <w:tc>
          <w:tcPr>
            <w:tcW w:w="1704" w:type="dxa"/>
            <w:gridSpan w:val="2"/>
            <w:noWrap w:val="0"/>
            <w:vAlign w:val="center"/>
          </w:tcPr>
          <w:p w14:paraId="6FD4BF0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vol-%，干基</w:t>
            </w:r>
          </w:p>
        </w:tc>
        <w:tc>
          <w:tcPr>
            <w:tcW w:w="1555" w:type="dxa"/>
            <w:noWrap w:val="0"/>
            <w:vAlign w:val="center"/>
          </w:tcPr>
          <w:p w14:paraId="4417EF4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EC92E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D7E067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7F82B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O</w:t>
            </w:r>
            <w:r>
              <w:rPr>
                <w:rFonts w:hint="default" w:ascii="Times New Roman" w:hAnsi="Times New Roman" w:cs="Times New Roman"/>
                <w:color w:val="auto"/>
                <w:sz w:val="24"/>
                <w:highlight w:val="none"/>
                <w:vertAlign w:val="subscript"/>
              </w:rPr>
              <w:t>2</w:t>
            </w:r>
          </w:p>
        </w:tc>
        <w:tc>
          <w:tcPr>
            <w:tcW w:w="1704" w:type="dxa"/>
            <w:gridSpan w:val="2"/>
            <w:noWrap w:val="0"/>
            <w:vAlign w:val="center"/>
          </w:tcPr>
          <w:p w14:paraId="2E4D459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vol-%，干基</w:t>
            </w:r>
          </w:p>
        </w:tc>
        <w:tc>
          <w:tcPr>
            <w:tcW w:w="1555" w:type="dxa"/>
            <w:noWrap w:val="0"/>
            <w:vAlign w:val="center"/>
          </w:tcPr>
          <w:p w14:paraId="4D17921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F4FAD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329A27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B61FFD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SO</w:t>
            </w:r>
            <w:r>
              <w:rPr>
                <w:rFonts w:hint="default" w:ascii="Times New Roman" w:hAnsi="Times New Roman" w:cs="Times New Roman"/>
                <w:color w:val="auto"/>
                <w:sz w:val="24"/>
                <w:highlight w:val="none"/>
                <w:vertAlign w:val="subscript"/>
              </w:rPr>
              <w:t>2</w:t>
            </w:r>
          </w:p>
        </w:tc>
        <w:tc>
          <w:tcPr>
            <w:tcW w:w="1704" w:type="dxa"/>
            <w:gridSpan w:val="2"/>
            <w:noWrap w:val="0"/>
            <w:vAlign w:val="center"/>
          </w:tcPr>
          <w:p w14:paraId="0E11270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vol-%，干基</w:t>
            </w:r>
          </w:p>
        </w:tc>
        <w:tc>
          <w:tcPr>
            <w:tcW w:w="1555" w:type="dxa"/>
            <w:noWrap w:val="0"/>
            <w:vAlign w:val="center"/>
          </w:tcPr>
          <w:p w14:paraId="71C261A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4982FF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86D13F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237A5D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H</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O</w:t>
            </w:r>
          </w:p>
        </w:tc>
        <w:tc>
          <w:tcPr>
            <w:tcW w:w="1704" w:type="dxa"/>
            <w:gridSpan w:val="2"/>
            <w:noWrap w:val="0"/>
            <w:vAlign w:val="center"/>
          </w:tcPr>
          <w:p w14:paraId="24CB190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vol-%，干基</w:t>
            </w:r>
          </w:p>
        </w:tc>
        <w:tc>
          <w:tcPr>
            <w:tcW w:w="1555" w:type="dxa"/>
            <w:noWrap w:val="0"/>
            <w:vAlign w:val="center"/>
          </w:tcPr>
          <w:p w14:paraId="2CDFE27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CBB17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016CA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1.3</w:t>
            </w:r>
          </w:p>
        </w:tc>
        <w:tc>
          <w:tcPr>
            <w:tcW w:w="4388" w:type="dxa"/>
            <w:noWrap w:val="0"/>
            <w:vAlign w:val="center"/>
          </w:tcPr>
          <w:p w14:paraId="6B50721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FGD入口处污染物浓度（标态，干基，6%氧）</w:t>
            </w:r>
          </w:p>
        </w:tc>
        <w:tc>
          <w:tcPr>
            <w:tcW w:w="1704" w:type="dxa"/>
            <w:gridSpan w:val="2"/>
            <w:noWrap w:val="0"/>
            <w:vAlign w:val="center"/>
          </w:tcPr>
          <w:p w14:paraId="1041FF1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55C366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EF1C2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20B959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0E2B70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SOx （以 SO</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表示）</w:t>
            </w:r>
          </w:p>
        </w:tc>
        <w:tc>
          <w:tcPr>
            <w:tcW w:w="1704" w:type="dxa"/>
            <w:gridSpan w:val="2"/>
            <w:noWrap w:val="0"/>
            <w:vAlign w:val="center"/>
          </w:tcPr>
          <w:p w14:paraId="6500821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mg/Nm</w:t>
            </w:r>
            <w:r>
              <w:rPr>
                <w:rFonts w:hint="default" w:ascii="Times New Roman" w:hAnsi="Times New Roman" w:cs="Times New Roman"/>
                <w:color w:val="auto"/>
                <w:sz w:val="24"/>
                <w:highlight w:val="none"/>
                <w:vertAlign w:val="superscript"/>
              </w:rPr>
              <w:t>3</w:t>
            </w:r>
          </w:p>
        </w:tc>
        <w:tc>
          <w:tcPr>
            <w:tcW w:w="1555" w:type="dxa"/>
            <w:noWrap w:val="0"/>
            <w:vAlign w:val="center"/>
          </w:tcPr>
          <w:p w14:paraId="0A94AEB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AEF20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C83580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4188EA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-HCl 以Cl表示</w:t>
            </w:r>
          </w:p>
        </w:tc>
        <w:tc>
          <w:tcPr>
            <w:tcW w:w="1704" w:type="dxa"/>
            <w:gridSpan w:val="2"/>
            <w:noWrap w:val="0"/>
            <w:vAlign w:val="center"/>
          </w:tcPr>
          <w:p w14:paraId="22DC2DB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mg/Nm</w:t>
            </w:r>
            <w:r>
              <w:rPr>
                <w:rFonts w:hint="default" w:ascii="Times New Roman" w:hAnsi="Times New Roman" w:cs="Times New Roman"/>
                <w:color w:val="auto"/>
                <w:sz w:val="24"/>
                <w:highlight w:val="none"/>
                <w:vertAlign w:val="superscript"/>
              </w:rPr>
              <w:t>3</w:t>
            </w:r>
          </w:p>
        </w:tc>
        <w:tc>
          <w:tcPr>
            <w:tcW w:w="1555" w:type="dxa"/>
            <w:noWrap w:val="0"/>
            <w:vAlign w:val="center"/>
          </w:tcPr>
          <w:p w14:paraId="19359508">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256221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F1E719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74865B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最大烟尘浓度</w:t>
            </w:r>
          </w:p>
        </w:tc>
        <w:tc>
          <w:tcPr>
            <w:tcW w:w="1704" w:type="dxa"/>
            <w:gridSpan w:val="2"/>
            <w:noWrap w:val="0"/>
            <w:vAlign w:val="center"/>
          </w:tcPr>
          <w:p w14:paraId="75E77BC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mg/Nm</w:t>
            </w:r>
            <w:r>
              <w:rPr>
                <w:rFonts w:hint="default" w:ascii="Times New Roman" w:hAnsi="Times New Roman" w:cs="Times New Roman"/>
                <w:color w:val="auto"/>
                <w:sz w:val="24"/>
                <w:highlight w:val="none"/>
                <w:vertAlign w:val="superscript"/>
              </w:rPr>
              <w:t>3</w:t>
            </w:r>
          </w:p>
        </w:tc>
        <w:tc>
          <w:tcPr>
            <w:tcW w:w="1555" w:type="dxa"/>
            <w:noWrap w:val="0"/>
            <w:vAlign w:val="center"/>
          </w:tcPr>
          <w:p w14:paraId="25BAC9A5">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2E766A7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1B529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1.4</w:t>
            </w:r>
          </w:p>
        </w:tc>
        <w:tc>
          <w:tcPr>
            <w:tcW w:w="4388" w:type="dxa"/>
            <w:noWrap w:val="0"/>
            <w:vAlign w:val="center"/>
          </w:tcPr>
          <w:p w14:paraId="18B5F84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一般数据</w:t>
            </w:r>
          </w:p>
        </w:tc>
        <w:tc>
          <w:tcPr>
            <w:tcW w:w="1704" w:type="dxa"/>
            <w:gridSpan w:val="2"/>
            <w:noWrap w:val="0"/>
            <w:vAlign w:val="center"/>
          </w:tcPr>
          <w:p w14:paraId="744CC40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40E0E0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C7CC1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147688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3C5E86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总压损（含尘运行）</w:t>
            </w:r>
          </w:p>
        </w:tc>
        <w:tc>
          <w:tcPr>
            <w:tcW w:w="1704" w:type="dxa"/>
            <w:gridSpan w:val="2"/>
            <w:noWrap w:val="0"/>
            <w:vAlign w:val="center"/>
          </w:tcPr>
          <w:p w14:paraId="7EF1C85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60905F3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F6FE0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46B4C0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802F31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w:t>
            </w:r>
          </w:p>
        </w:tc>
        <w:tc>
          <w:tcPr>
            <w:tcW w:w="1704" w:type="dxa"/>
            <w:gridSpan w:val="2"/>
            <w:noWrap w:val="0"/>
            <w:vAlign w:val="center"/>
          </w:tcPr>
          <w:p w14:paraId="6ACC4B9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064AC43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90796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792801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91B5FD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全部烟道</w:t>
            </w:r>
          </w:p>
        </w:tc>
        <w:tc>
          <w:tcPr>
            <w:tcW w:w="1704" w:type="dxa"/>
            <w:gridSpan w:val="2"/>
            <w:noWrap w:val="0"/>
            <w:vAlign w:val="center"/>
          </w:tcPr>
          <w:p w14:paraId="25C307D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78542D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A6135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EDA698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37DAD0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SO</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脱除率</w:t>
            </w:r>
          </w:p>
        </w:tc>
        <w:tc>
          <w:tcPr>
            <w:tcW w:w="1704" w:type="dxa"/>
            <w:gridSpan w:val="2"/>
            <w:noWrap w:val="0"/>
            <w:vAlign w:val="center"/>
          </w:tcPr>
          <w:p w14:paraId="0C645BC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7E010C8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34337D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C2DEF2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20F98E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FGD出口烟温</w:t>
            </w:r>
          </w:p>
        </w:tc>
        <w:tc>
          <w:tcPr>
            <w:tcW w:w="1704" w:type="dxa"/>
            <w:gridSpan w:val="2"/>
            <w:noWrap w:val="0"/>
            <w:vAlign w:val="center"/>
          </w:tcPr>
          <w:p w14:paraId="6EFECB7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220911B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BD181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C499F2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A4D379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FGD出口压力</w:t>
            </w:r>
          </w:p>
        </w:tc>
        <w:tc>
          <w:tcPr>
            <w:tcW w:w="1704" w:type="dxa"/>
            <w:gridSpan w:val="2"/>
            <w:noWrap w:val="0"/>
            <w:vAlign w:val="center"/>
          </w:tcPr>
          <w:p w14:paraId="393F9D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23886F4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D4AFBE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B93AED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12B940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FGD可用率</w:t>
            </w:r>
          </w:p>
        </w:tc>
        <w:tc>
          <w:tcPr>
            <w:tcW w:w="1704" w:type="dxa"/>
            <w:gridSpan w:val="2"/>
            <w:noWrap w:val="0"/>
            <w:vAlign w:val="center"/>
          </w:tcPr>
          <w:p w14:paraId="6E5440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1FD749B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FC7D9D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BD537D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1.5</w:t>
            </w:r>
          </w:p>
        </w:tc>
        <w:tc>
          <w:tcPr>
            <w:tcW w:w="4388" w:type="dxa"/>
            <w:noWrap w:val="0"/>
            <w:vAlign w:val="center"/>
          </w:tcPr>
          <w:p w14:paraId="7C927DC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消耗品</w:t>
            </w:r>
          </w:p>
        </w:tc>
        <w:tc>
          <w:tcPr>
            <w:tcW w:w="1704" w:type="dxa"/>
            <w:gridSpan w:val="2"/>
            <w:noWrap w:val="0"/>
            <w:vAlign w:val="center"/>
          </w:tcPr>
          <w:p w14:paraId="33FE65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9FE830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4C5925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DE4AFD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71AB1E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石灰石（规定品质）</w:t>
            </w:r>
          </w:p>
        </w:tc>
        <w:tc>
          <w:tcPr>
            <w:tcW w:w="1704" w:type="dxa"/>
            <w:gridSpan w:val="2"/>
            <w:noWrap w:val="0"/>
            <w:vAlign w:val="center"/>
          </w:tcPr>
          <w:p w14:paraId="3910301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t/h</w:t>
            </w:r>
          </w:p>
        </w:tc>
        <w:tc>
          <w:tcPr>
            <w:tcW w:w="1555" w:type="dxa"/>
            <w:noWrap w:val="0"/>
            <w:vAlign w:val="center"/>
          </w:tcPr>
          <w:p w14:paraId="6CB9808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4F28B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A0DF8F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B97DB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工艺水（规定水质）</w:t>
            </w:r>
          </w:p>
        </w:tc>
        <w:tc>
          <w:tcPr>
            <w:tcW w:w="1704" w:type="dxa"/>
            <w:gridSpan w:val="2"/>
            <w:noWrap w:val="0"/>
            <w:vAlign w:val="center"/>
          </w:tcPr>
          <w:p w14:paraId="478F4B6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418D4E7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9E6280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D00FF5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CDE2C6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电耗（</w:t>
            </w:r>
            <w:r>
              <w:rPr>
                <w:rFonts w:hint="eastAsia"/>
                <w:color w:val="auto"/>
                <w:sz w:val="24"/>
                <w:highlight w:val="none"/>
                <w:lang w:val="en-US" w:eastAsia="zh-CN"/>
              </w:rPr>
              <w:t>锅炉最大连续</w:t>
            </w:r>
            <w:r>
              <w:rPr>
                <w:rFonts w:hint="default"/>
                <w:color w:val="auto"/>
                <w:sz w:val="24"/>
                <w:highlight w:val="none"/>
                <w:lang w:val="en-US"/>
              </w:rPr>
              <w:t>蒸发量</w:t>
            </w:r>
            <w:r>
              <w:rPr>
                <w:rFonts w:hint="default" w:ascii="Times New Roman" w:hAnsi="Times New Roman" w:cs="Times New Roman"/>
                <w:color w:val="auto"/>
                <w:sz w:val="24"/>
                <w:highlight w:val="none"/>
              </w:rPr>
              <w:t>工况下运行，燃用设计煤种，所有连续运行设备轴功率）</w:t>
            </w:r>
          </w:p>
        </w:tc>
        <w:tc>
          <w:tcPr>
            <w:tcW w:w="1704" w:type="dxa"/>
            <w:gridSpan w:val="2"/>
            <w:noWrap w:val="0"/>
            <w:vAlign w:val="center"/>
          </w:tcPr>
          <w:p w14:paraId="7DAEBF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62889A0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E4AC8C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CA828C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B04E63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设备冷却水量</w:t>
            </w:r>
          </w:p>
        </w:tc>
        <w:tc>
          <w:tcPr>
            <w:tcW w:w="1704" w:type="dxa"/>
            <w:gridSpan w:val="2"/>
            <w:noWrap w:val="0"/>
            <w:vAlign w:val="center"/>
          </w:tcPr>
          <w:p w14:paraId="4AE6ED2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1EB447B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A79AA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38F808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553200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仪用气</w:t>
            </w:r>
          </w:p>
        </w:tc>
        <w:tc>
          <w:tcPr>
            <w:tcW w:w="1704" w:type="dxa"/>
            <w:gridSpan w:val="2"/>
            <w:noWrap w:val="0"/>
            <w:vAlign w:val="center"/>
          </w:tcPr>
          <w:p w14:paraId="7703DBA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Nm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/min</w:t>
            </w:r>
          </w:p>
        </w:tc>
        <w:tc>
          <w:tcPr>
            <w:tcW w:w="1555" w:type="dxa"/>
            <w:noWrap w:val="0"/>
            <w:vAlign w:val="center"/>
          </w:tcPr>
          <w:p w14:paraId="3A606B6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893587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C06C9C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0609DC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杂用气</w:t>
            </w:r>
          </w:p>
        </w:tc>
        <w:tc>
          <w:tcPr>
            <w:tcW w:w="1704" w:type="dxa"/>
            <w:gridSpan w:val="2"/>
            <w:noWrap w:val="0"/>
            <w:vAlign w:val="center"/>
          </w:tcPr>
          <w:p w14:paraId="40B17A6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Nm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/min</w:t>
            </w:r>
          </w:p>
        </w:tc>
        <w:tc>
          <w:tcPr>
            <w:tcW w:w="1555" w:type="dxa"/>
            <w:noWrap w:val="0"/>
            <w:vAlign w:val="center"/>
          </w:tcPr>
          <w:p w14:paraId="594F19F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D30B25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B735DF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1.6</w:t>
            </w:r>
          </w:p>
        </w:tc>
        <w:tc>
          <w:tcPr>
            <w:tcW w:w="4388" w:type="dxa"/>
            <w:noWrap w:val="0"/>
            <w:vAlign w:val="center"/>
          </w:tcPr>
          <w:p w14:paraId="7263C37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FGD出口污染物浓度（标态，干基，6%氧）</w:t>
            </w:r>
          </w:p>
        </w:tc>
        <w:tc>
          <w:tcPr>
            <w:tcW w:w="1704" w:type="dxa"/>
            <w:gridSpan w:val="2"/>
            <w:noWrap w:val="0"/>
            <w:vAlign w:val="center"/>
          </w:tcPr>
          <w:p w14:paraId="721FE69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6C15C4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A456B4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5E9DB7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62C04F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SOx （以 SO</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表示）</w:t>
            </w:r>
          </w:p>
        </w:tc>
        <w:tc>
          <w:tcPr>
            <w:tcW w:w="1704" w:type="dxa"/>
            <w:gridSpan w:val="2"/>
            <w:noWrap w:val="0"/>
            <w:vAlign w:val="center"/>
          </w:tcPr>
          <w:p w14:paraId="65E21D0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mg/Nm</w:t>
            </w:r>
            <w:r>
              <w:rPr>
                <w:rFonts w:hint="default" w:ascii="Times New Roman" w:hAnsi="Times New Roman" w:cs="Times New Roman"/>
                <w:color w:val="auto"/>
                <w:sz w:val="24"/>
                <w:highlight w:val="none"/>
                <w:vertAlign w:val="superscript"/>
              </w:rPr>
              <w:t>3</w:t>
            </w:r>
          </w:p>
        </w:tc>
        <w:tc>
          <w:tcPr>
            <w:tcW w:w="1555" w:type="dxa"/>
            <w:noWrap w:val="0"/>
            <w:vAlign w:val="center"/>
          </w:tcPr>
          <w:p w14:paraId="6EEA73B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D48604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E28342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A3D19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烟尘</w:t>
            </w:r>
          </w:p>
        </w:tc>
        <w:tc>
          <w:tcPr>
            <w:tcW w:w="1704" w:type="dxa"/>
            <w:gridSpan w:val="2"/>
            <w:noWrap w:val="0"/>
            <w:vAlign w:val="center"/>
          </w:tcPr>
          <w:p w14:paraId="64E1522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mg/Nm</w:t>
            </w:r>
            <w:r>
              <w:rPr>
                <w:rFonts w:hint="default" w:ascii="Times New Roman" w:hAnsi="Times New Roman" w:cs="Times New Roman"/>
                <w:color w:val="auto"/>
                <w:sz w:val="24"/>
                <w:highlight w:val="none"/>
                <w:vertAlign w:val="superscript"/>
              </w:rPr>
              <w:t>3</w:t>
            </w:r>
          </w:p>
        </w:tc>
        <w:tc>
          <w:tcPr>
            <w:tcW w:w="1555" w:type="dxa"/>
            <w:noWrap w:val="0"/>
            <w:vAlign w:val="center"/>
          </w:tcPr>
          <w:p w14:paraId="7C79AE1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A0A36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273148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1.7</w:t>
            </w:r>
          </w:p>
        </w:tc>
        <w:tc>
          <w:tcPr>
            <w:tcW w:w="4388" w:type="dxa"/>
            <w:noWrap w:val="0"/>
            <w:vAlign w:val="center"/>
          </w:tcPr>
          <w:p w14:paraId="5A4257F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石膏品质</w:t>
            </w:r>
          </w:p>
        </w:tc>
        <w:tc>
          <w:tcPr>
            <w:tcW w:w="1704" w:type="dxa"/>
            <w:gridSpan w:val="2"/>
            <w:noWrap w:val="0"/>
            <w:vAlign w:val="center"/>
          </w:tcPr>
          <w:p w14:paraId="4166B55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DD8023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49E200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88BBD1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94A779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总悬浮物</w:t>
            </w:r>
          </w:p>
        </w:tc>
        <w:tc>
          <w:tcPr>
            <w:tcW w:w="1704" w:type="dxa"/>
            <w:gridSpan w:val="2"/>
            <w:noWrap w:val="0"/>
            <w:vAlign w:val="center"/>
          </w:tcPr>
          <w:p w14:paraId="4214A63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w:t>
            </w:r>
          </w:p>
        </w:tc>
        <w:tc>
          <w:tcPr>
            <w:tcW w:w="1555" w:type="dxa"/>
            <w:noWrap w:val="0"/>
            <w:vAlign w:val="center"/>
          </w:tcPr>
          <w:p w14:paraId="085C82D0">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6703D0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F47C1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F48585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含湿率</w:t>
            </w:r>
          </w:p>
        </w:tc>
        <w:tc>
          <w:tcPr>
            <w:tcW w:w="1704" w:type="dxa"/>
            <w:gridSpan w:val="2"/>
            <w:noWrap w:val="0"/>
            <w:vAlign w:val="center"/>
          </w:tcPr>
          <w:p w14:paraId="0618403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w:t>
            </w:r>
          </w:p>
        </w:tc>
        <w:tc>
          <w:tcPr>
            <w:tcW w:w="1555" w:type="dxa"/>
            <w:noWrap w:val="0"/>
            <w:vAlign w:val="center"/>
          </w:tcPr>
          <w:p w14:paraId="12D4E790">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595B2A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DCF0C3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93D36A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CaSO</w:t>
            </w:r>
            <w:r>
              <w:rPr>
                <w:rFonts w:hint="default" w:ascii="Times New Roman" w:hAnsi="Times New Roman" w:cs="Times New Roman"/>
                <w:color w:val="auto"/>
                <w:sz w:val="24"/>
                <w:highlight w:val="none"/>
                <w:vertAlign w:val="subscript"/>
              </w:rPr>
              <w:t>4</w:t>
            </w:r>
            <w:r>
              <w:rPr>
                <w:rFonts w:hint="default" w:ascii="Times New Roman" w:hAnsi="Times New Roman" w:cs="Times New Roman"/>
                <w:color w:val="auto"/>
                <w:sz w:val="24"/>
                <w:highlight w:val="none"/>
              </w:rPr>
              <w:t>·2H</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O</w:t>
            </w:r>
          </w:p>
          <w:p w14:paraId="28337BB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(基于总悬浮物的重量百分比)</w:t>
            </w:r>
          </w:p>
        </w:tc>
        <w:tc>
          <w:tcPr>
            <w:tcW w:w="1704" w:type="dxa"/>
            <w:gridSpan w:val="2"/>
            <w:noWrap w:val="0"/>
            <w:vAlign w:val="center"/>
          </w:tcPr>
          <w:p w14:paraId="5AB82E2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w:t>
            </w:r>
          </w:p>
        </w:tc>
        <w:tc>
          <w:tcPr>
            <w:tcW w:w="1555" w:type="dxa"/>
            <w:noWrap w:val="0"/>
            <w:vAlign w:val="center"/>
          </w:tcPr>
          <w:p w14:paraId="2BA52A6F">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53BEEB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D6EFBD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55BDE3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Cl-（水溶性）</w:t>
            </w:r>
          </w:p>
        </w:tc>
        <w:tc>
          <w:tcPr>
            <w:tcW w:w="1704" w:type="dxa"/>
            <w:gridSpan w:val="2"/>
            <w:noWrap w:val="0"/>
            <w:vAlign w:val="center"/>
          </w:tcPr>
          <w:p w14:paraId="2634028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ppm</w:t>
            </w:r>
          </w:p>
        </w:tc>
        <w:tc>
          <w:tcPr>
            <w:tcW w:w="1555" w:type="dxa"/>
            <w:noWrap w:val="0"/>
            <w:vAlign w:val="center"/>
          </w:tcPr>
          <w:p w14:paraId="0060018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460B9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DE06D9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870C61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－CaSO</w:t>
            </w:r>
            <w:r>
              <w:rPr>
                <w:rFonts w:hint="default" w:ascii="Times New Roman" w:hAnsi="Times New Roman" w:cs="Times New Roman"/>
                <w:color w:val="auto"/>
                <w:sz w:val="24"/>
                <w:highlight w:val="none"/>
                <w:vertAlign w:val="subscript"/>
              </w:rPr>
              <w:t>3</w:t>
            </w:r>
            <w:r>
              <w:rPr>
                <w:rFonts w:hint="default" w:ascii="Times New Roman" w:hAnsi="Times New Roman" w:cs="Times New Roman"/>
                <w:color w:val="auto"/>
                <w:sz w:val="24"/>
                <w:highlight w:val="none"/>
              </w:rPr>
              <w:t>·1/2H</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O</w:t>
            </w:r>
          </w:p>
        </w:tc>
        <w:tc>
          <w:tcPr>
            <w:tcW w:w="1704" w:type="dxa"/>
            <w:gridSpan w:val="2"/>
            <w:noWrap w:val="0"/>
            <w:vAlign w:val="center"/>
          </w:tcPr>
          <w:p w14:paraId="3FA95F3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F830F52">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287AB63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3477C6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0361C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－CaCO</w:t>
            </w:r>
            <w:r>
              <w:rPr>
                <w:rFonts w:hint="default" w:ascii="Times New Roman" w:hAnsi="Times New Roman" w:cs="Times New Roman"/>
                <w:color w:val="auto"/>
                <w:sz w:val="24"/>
                <w:highlight w:val="none"/>
                <w:vertAlign w:val="subscript"/>
              </w:rPr>
              <w:t>3</w:t>
            </w:r>
            <w:r>
              <w:rPr>
                <w:rFonts w:hint="default" w:ascii="Times New Roman" w:hAnsi="Times New Roman" w:cs="Times New Roman"/>
                <w:color w:val="auto"/>
                <w:sz w:val="24"/>
                <w:highlight w:val="none"/>
              </w:rPr>
              <w:t>和MgCO</w:t>
            </w:r>
            <w:r>
              <w:rPr>
                <w:rFonts w:hint="default" w:ascii="Times New Roman" w:hAnsi="Times New Roman" w:cs="Times New Roman"/>
                <w:color w:val="auto"/>
                <w:sz w:val="24"/>
                <w:highlight w:val="none"/>
                <w:vertAlign w:val="subscript"/>
              </w:rPr>
              <w:t>3</w:t>
            </w:r>
          </w:p>
        </w:tc>
        <w:tc>
          <w:tcPr>
            <w:tcW w:w="1704" w:type="dxa"/>
            <w:gridSpan w:val="2"/>
            <w:noWrap w:val="0"/>
            <w:vAlign w:val="center"/>
          </w:tcPr>
          <w:p w14:paraId="189E0B9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1CBB0B3">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0B5351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901127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9A2E18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－PH值</w:t>
            </w:r>
          </w:p>
        </w:tc>
        <w:tc>
          <w:tcPr>
            <w:tcW w:w="1704" w:type="dxa"/>
            <w:gridSpan w:val="2"/>
            <w:noWrap w:val="0"/>
            <w:vAlign w:val="center"/>
          </w:tcPr>
          <w:p w14:paraId="1B1B5B5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91B8B9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D1BB6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BCC8FB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1.8</w:t>
            </w:r>
          </w:p>
        </w:tc>
        <w:tc>
          <w:tcPr>
            <w:tcW w:w="4388" w:type="dxa"/>
            <w:noWrap w:val="0"/>
            <w:vAlign w:val="center"/>
          </w:tcPr>
          <w:p w14:paraId="2B66C1C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噪音等级（最大值）</w:t>
            </w:r>
          </w:p>
        </w:tc>
        <w:tc>
          <w:tcPr>
            <w:tcW w:w="1704" w:type="dxa"/>
            <w:gridSpan w:val="2"/>
            <w:noWrap w:val="0"/>
            <w:vAlign w:val="center"/>
          </w:tcPr>
          <w:p w14:paraId="4CB8DA9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C62712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600BC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446620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23FFAB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氧化风机（距声源1m远处测量）</w:t>
            </w:r>
          </w:p>
        </w:tc>
        <w:tc>
          <w:tcPr>
            <w:tcW w:w="1704" w:type="dxa"/>
            <w:gridSpan w:val="2"/>
            <w:noWrap w:val="0"/>
            <w:vAlign w:val="center"/>
          </w:tcPr>
          <w:p w14:paraId="6991B39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dB(A)</w:t>
            </w:r>
          </w:p>
        </w:tc>
        <w:tc>
          <w:tcPr>
            <w:tcW w:w="1555" w:type="dxa"/>
            <w:noWrap w:val="0"/>
            <w:vAlign w:val="center"/>
          </w:tcPr>
          <w:p w14:paraId="1058D79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EF1048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89E4E6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206EEF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真空泵（距声源1m远处测量）</w:t>
            </w:r>
          </w:p>
        </w:tc>
        <w:tc>
          <w:tcPr>
            <w:tcW w:w="1704" w:type="dxa"/>
            <w:gridSpan w:val="2"/>
            <w:noWrap w:val="0"/>
            <w:vAlign w:val="center"/>
          </w:tcPr>
          <w:p w14:paraId="47E206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dB(A)</w:t>
            </w:r>
          </w:p>
        </w:tc>
        <w:tc>
          <w:tcPr>
            <w:tcW w:w="1555" w:type="dxa"/>
            <w:noWrap w:val="0"/>
            <w:vAlign w:val="center"/>
          </w:tcPr>
          <w:p w14:paraId="22DA325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7D9B0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C46EDD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65E54A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浆液循环泵（距声源1m远处测量）</w:t>
            </w:r>
          </w:p>
        </w:tc>
        <w:tc>
          <w:tcPr>
            <w:tcW w:w="1704" w:type="dxa"/>
            <w:gridSpan w:val="2"/>
            <w:noWrap w:val="0"/>
            <w:vAlign w:val="center"/>
          </w:tcPr>
          <w:p w14:paraId="57FE32B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dB(A)</w:t>
            </w:r>
          </w:p>
        </w:tc>
        <w:tc>
          <w:tcPr>
            <w:tcW w:w="1555" w:type="dxa"/>
            <w:noWrap w:val="0"/>
            <w:vAlign w:val="center"/>
          </w:tcPr>
          <w:p w14:paraId="363DE9D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76E50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A7C122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733487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其余设备（距声源1m远处测量）</w:t>
            </w:r>
          </w:p>
        </w:tc>
        <w:tc>
          <w:tcPr>
            <w:tcW w:w="1704" w:type="dxa"/>
            <w:gridSpan w:val="2"/>
            <w:noWrap w:val="0"/>
            <w:vAlign w:val="center"/>
          </w:tcPr>
          <w:p w14:paraId="254CF20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dB(A)</w:t>
            </w:r>
          </w:p>
        </w:tc>
        <w:tc>
          <w:tcPr>
            <w:tcW w:w="1555" w:type="dxa"/>
            <w:noWrap w:val="0"/>
            <w:vAlign w:val="center"/>
          </w:tcPr>
          <w:p w14:paraId="4CC734A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69C35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8A7A8D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4388" w:type="dxa"/>
            <w:noWrap w:val="0"/>
            <w:vAlign w:val="center"/>
          </w:tcPr>
          <w:p w14:paraId="44FC6ED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机械设备</w:t>
            </w:r>
          </w:p>
        </w:tc>
        <w:tc>
          <w:tcPr>
            <w:tcW w:w="1704" w:type="dxa"/>
            <w:gridSpan w:val="2"/>
            <w:noWrap w:val="0"/>
            <w:vAlign w:val="center"/>
          </w:tcPr>
          <w:p w14:paraId="1BCF1B4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8FF67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62CB55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C49D3D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2.1</w:t>
            </w:r>
          </w:p>
        </w:tc>
        <w:tc>
          <w:tcPr>
            <w:tcW w:w="4388" w:type="dxa"/>
            <w:noWrap w:val="0"/>
            <w:vAlign w:val="center"/>
          </w:tcPr>
          <w:p w14:paraId="78CDF39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烟道系统</w:t>
            </w:r>
          </w:p>
        </w:tc>
        <w:tc>
          <w:tcPr>
            <w:tcW w:w="1704" w:type="dxa"/>
            <w:gridSpan w:val="2"/>
            <w:noWrap w:val="0"/>
            <w:vAlign w:val="center"/>
          </w:tcPr>
          <w:p w14:paraId="70C1A06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450240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C34B71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024C98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4388" w:type="dxa"/>
            <w:noWrap w:val="0"/>
            <w:vAlign w:val="center"/>
          </w:tcPr>
          <w:p w14:paraId="33C4EF3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烟道</w:t>
            </w:r>
          </w:p>
        </w:tc>
        <w:tc>
          <w:tcPr>
            <w:tcW w:w="1704" w:type="dxa"/>
            <w:gridSpan w:val="2"/>
            <w:noWrap w:val="0"/>
            <w:vAlign w:val="center"/>
          </w:tcPr>
          <w:p w14:paraId="4042A09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4FC6A8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5AA697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4CC1DC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CF144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A. 原烟气烟道（吸收塔前）</w:t>
            </w:r>
          </w:p>
        </w:tc>
        <w:tc>
          <w:tcPr>
            <w:tcW w:w="1704" w:type="dxa"/>
            <w:gridSpan w:val="2"/>
            <w:noWrap w:val="0"/>
            <w:vAlign w:val="center"/>
          </w:tcPr>
          <w:p w14:paraId="50AD71E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F0EA16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B2E08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3B35D2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2DD5AC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总壁厚</w:t>
            </w:r>
          </w:p>
        </w:tc>
        <w:tc>
          <w:tcPr>
            <w:tcW w:w="1704" w:type="dxa"/>
            <w:gridSpan w:val="2"/>
            <w:noWrap w:val="0"/>
            <w:vAlign w:val="center"/>
          </w:tcPr>
          <w:p w14:paraId="5CEB092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555" w:type="dxa"/>
            <w:noWrap w:val="0"/>
            <w:vAlign w:val="center"/>
          </w:tcPr>
          <w:p w14:paraId="07A8B3A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DA4581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981EC6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DA3C14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腐蚀余量</w:t>
            </w:r>
          </w:p>
        </w:tc>
        <w:tc>
          <w:tcPr>
            <w:tcW w:w="1704" w:type="dxa"/>
            <w:gridSpan w:val="2"/>
            <w:noWrap w:val="0"/>
            <w:vAlign w:val="center"/>
          </w:tcPr>
          <w:p w14:paraId="2759F10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65375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E3062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04A532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5129B9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烟道材质</w:t>
            </w:r>
          </w:p>
        </w:tc>
        <w:tc>
          <w:tcPr>
            <w:tcW w:w="1704" w:type="dxa"/>
            <w:gridSpan w:val="2"/>
            <w:noWrap w:val="0"/>
            <w:vAlign w:val="center"/>
          </w:tcPr>
          <w:p w14:paraId="77539A4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6E6ABC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E0F909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DDD058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8E53CB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设计压力</w:t>
            </w:r>
          </w:p>
        </w:tc>
        <w:tc>
          <w:tcPr>
            <w:tcW w:w="1704" w:type="dxa"/>
            <w:gridSpan w:val="2"/>
            <w:noWrap w:val="0"/>
            <w:vAlign w:val="center"/>
          </w:tcPr>
          <w:p w14:paraId="636C90C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7E0FC59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9D091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321545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6E04A2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运行温度</w:t>
            </w:r>
          </w:p>
        </w:tc>
        <w:tc>
          <w:tcPr>
            <w:tcW w:w="1704" w:type="dxa"/>
            <w:gridSpan w:val="2"/>
            <w:noWrap w:val="0"/>
            <w:vAlign w:val="center"/>
          </w:tcPr>
          <w:p w14:paraId="504BE8B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514464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5A5A3C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E50C06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756678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最大允许温度</w:t>
            </w:r>
          </w:p>
        </w:tc>
        <w:tc>
          <w:tcPr>
            <w:tcW w:w="1704" w:type="dxa"/>
            <w:gridSpan w:val="2"/>
            <w:noWrap w:val="0"/>
            <w:vAlign w:val="center"/>
          </w:tcPr>
          <w:p w14:paraId="2CE790A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6B504E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D8AB9E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A7EA20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4A5A09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烟气流速</w:t>
            </w:r>
          </w:p>
        </w:tc>
        <w:tc>
          <w:tcPr>
            <w:tcW w:w="1704" w:type="dxa"/>
            <w:gridSpan w:val="2"/>
            <w:noWrap w:val="0"/>
            <w:vAlign w:val="center"/>
          </w:tcPr>
          <w:p w14:paraId="224BA99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m/s</w:t>
            </w:r>
          </w:p>
        </w:tc>
        <w:tc>
          <w:tcPr>
            <w:tcW w:w="1555" w:type="dxa"/>
            <w:noWrap w:val="0"/>
            <w:vAlign w:val="center"/>
          </w:tcPr>
          <w:p w14:paraId="32AF328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B605C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49A481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553FC3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保温厚度</w:t>
            </w:r>
          </w:p>
        </w:tc>
        <w:tc>
          <w:tcPr>
            <w:tcW w:w="1704" w:type="dxa"/>
            <w:gridSpan w:val="2"/>
            <w:noWrap w:val="0"/>
            <w:vAlign w:val="center"/>
          </w:tcPr>
          <w:p w14:paraId="4B7A119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555" w:type="dxa"/>
            <w:noWrap w:val="0"/>
            <w:vAlign w:val="center"/>
          </w:tcPr>
          <w:p w14:paraId="1B087B4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E172F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3413BC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DD5101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烟气阻力</w:t>
            </w:r>
          </w:p>
        </w:tc>
        <w:tc>
          <w:tcPr>
            <w:tcW w:w="1704" w:type="dxa"/>
            <w:gridSpan w:val="2"/>
            <w:noWrap w:val="0"/>
            <w:vAlign w:val="center"/>
          </w:tcPr>
          <w:p w14:paraId="6C0BB0D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3BDD6E7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0061AE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80F336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1316CF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B. 净烟气烟道（吸收塔后）</w:t>
            </w:r>
          </w:p>
        </w:tc>
        <w:tc>
          <w:tcPr>
            <w:tcW w:w="1704" w:type="dxa"/>
            <w:gridSpan w:val="2"/>
            <w:noWrap w:val="0"/>
            <w:vAlign w:val="center"/>
          </w:tcPr>
          <w:p w14:paraId="459EF04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871562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6FA4F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BB3D3E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BADA10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总壁厚</w:t>
            </w:r>
          </w:p>
        </w:tc>
        <w:tc>
          <w:tcPr>
            <w:tcW w:w="1704" w:type="dxa"/>
            <w:gridSpan w:val="2"/>
            <w:noWrap w:val="0"/>
            <w:vAlign w:val="center"/>
          </w:tcPr>
          <w:p w14:paraId="2A1E3AB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555" w:type="dxa"/>
            <w:noWrap w:val="0"/>
            <w:vAlign w:val="center"/>
          </w:tcPr>
          <w:p w14:paraId="296E359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B4C7E5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D12C99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961B67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腐蚀余量</w:t>
            </w:r>
          </w:p>
        </w:tc>
        <w:tc>
          <w:tcPr>
            <w:tcW w:w="1704" w:type="dxa"/>
            <w:gridSpan w:val="2"/>
            <w:noWrap w:val="0"/>
            <w:vAlign w:val="center"/>
          </w:tcPr>
          <w:p w14:paraId="5A1D6FF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7625BE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AB9DB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E41B96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DF2699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烟道材质</w:t>
            </w:r>
          </w:p>
        </w:tc>
        <w:tc>
          <w:tcPr>
            <w:tcW w:w="1704" w:type="dxa"/>
            <w:gridSpan w:val="2"/>
            <w:noWrap w:val="0"/>
            <w:vAlign w:val="center"/>
          </w:tcPr>
          <w:p w14:paraId="3D02BB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6C8483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52F0A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8FB49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06616B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设计压力</w:t>
            </w:r>
          </w:p>
        </w:tc>
        <w:tc>
          <w:tcPr>
            <w:tcW w:w="1704" w:type="dxa"/>
            <w:gridSpan w:val="2"/>
            <w:noWrap w:val="0"/>
            <w:vAlign w:val="center"/>
          </w:tcPr>
          <w:p w14:paraId="4748B8A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19921CA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5EBDA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1B263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266CC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运行温度</w:t>
            </w:r>
          </w:p>
        </w:tc>
        <w:tc>
          <w:tcPr>
            <w:tcW w:w="1704" w:type="dxa"/>
            <w:gridSpan w:val="2"/>
            <w:noWrap w:val="0"/>
            <w:vAlign w:val="center"/>
          </w:tcPr>
          <w:p w14:paraId="1C2D532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427F3D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509C39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3CC7B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6BEC8C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最大允许温度</w:t>
            </w:r>
          </w:p>
        </w:tc>
        <w:tc>
          <w:tcPr>
            <w:tcW w:w="1704" w:type="dxa"/>
            <w:gridSpan w:val="2"/>
            <w:noWrap w:val="0"/>
            <w:vAlign w:val="center"/>
          </w:tcPr>
          <w:p w14:paraId="574C202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71ECE11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7FCFD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06203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F56980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烟气流速</w:t>
            </w:r>
          </w:p>
        </w:tc>
        <w:tc>
          <w:tcPr>
            <w:tcW w:w="1704" w:type="dxa"/>
            <w:gridSpan w:val="2"/>
            <w:noWrap w:val="0"/>
            <w:vAlign w:val="center"/>
          </w:tcPr>
          <w:p w14:paraId="314A8B6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m/s</w:t>
            </w:r>
          </w:p>
        </w:tc>
        <w:tc>
          <w:tcPr>
            <w:tcW w:w="1555" w:type="dxa"/>
            <w:noWrap w:val="0"/>
            <w:vAlign w:val="center"/>
          </w:tcPr>
          <w:p w14:paraId="39A0191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B9B4B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B9B727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D287AC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保温厚度</w:t>
            </w:r>
          </w:p>
        </w:tc>
        <w:tc>
          <w:tcPr>
            <w:tcW w:w="1704" w:type="dxa"/>
            <w:gridSpan w:val="2"/>
            <w:noWrap w:val="0"/>
            <w:vAlign w:val="center"/>
          </w:tcPr>
          <w:p w14:paraId="739236C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555" w:type="dxa"/>
            <w:noWrap w:val="0"/>
            <w:vAlign w:val="center"/>
          </w:tcPr>
          <w:p w14:paraId="14B835F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1659E9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74DE90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9440F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烟气阻力</w:t>
            </w:r>
          </w:p>
        </w:tc>
        <w:tc>
          <w:tcPr>
            <w:tcW w:w="1704" w:type="dxa"/>
            <w:gridSpan w:val="2"/>
            <w:noWrap w:val="0"/>
            <w:vAlign w:val="center"/>
          </w:tcPr>
          <w:p w14:paraId="60018A0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47199F1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75D19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1F955F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2.2</w:t>
            </w:r>
          </w:p>
        </w:tc>
        <w:tc>
          <w:tcPr>
            <w:tcW w:w="4388" w:type="dxa"/>
            <w:noWrap w:val="0"/>
            <w:vAlign w:val="center"/>
          </w:tcPr>
          <w:p w14:paraId="6E2A170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吸收塔系统</w:t>
            </w:r>
          </w:p>
        </w:tc>
        <w:tc>
          <w:tcPr>
            <w:tcW w:w="1704" w:type="dxa"/>
            <w:gridSpan w:val="2"/>
            <w:noWrap w:val="0"/>
            <w:vAlign w:val="center"/>
          </w:tcPr>
          <w:p w14:paraId="0759735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0724EB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536EE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513065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4388" w:type="dxa"/>
            <w:noWrap w:val="0"/>
            <w:vAlign w:val="center"/>
          </w:tcPr>
          <w:p w14:paraId="022B405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w:t>
            </w:r>
          </w:p>
        </w:tc>
        <w:tc>
          <w:tcPr>
            <w:tcW w:w="1704" w:type="dxa"/>
            <w:gridSpan w:val="2"/>
            <w:noWrap w:val="0"/>
            <w:vAlign w:val="center"/>
          </w:tcPr>
          <w:p w14:paraId="5200713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DE608B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ADBB34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04272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56500F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吸收塔型式(喷淋塔/液柱塔)</w:t>
            </w:r>
          </w:p>
        </w:tc>
        <w:tc>
          <w:tcPr>
            <w:tcW w:w="1704" w:type="dxa"/>
            <w:gridSpan w:val="2"/>
            <w:noWrap w:val="0"/>
            <w:vAlign w:val="center"/>
          </w:tcPr>
          <w:p w14:paraId="7258556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48EAC6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56B0EB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BB0CD4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8F2F43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吸收塔前烟气量(标态、湿基)</w:t>
            </w:r>
          </w:p>
        </w:tc>
        <w:tc>
          <w:tcPr>
            <w:tcW w:w="1704" w:type="dxa"/>
            <w:gridSpan w:val="2"/>
            <w:noWrap w:val="0"/>
            <w:vAlign w:val="center"/>
          </w:tcPr>
          <w:p w14:paraId="4651E2B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Nm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3053694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69B97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780CCC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C465DE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吸收塔后烟气量(标态、湿基)</w:t>
            </w:r>
          </w:p>
        </w:tc>
        <w:tc>
          <w:tcPr>
            <w:tcW w:w="1704" w:type="dxa"/>
            <w:gridSpan w:val="2"/>
            <w:noWrap w:val="0"/>
            <w:vAlign w:val="center"/>
          </w:tcPr>
          <w:p w14:paraId="496E5F5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Nm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6479E89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5A6D87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3EAA7A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B48D96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设计压力</w:t>
            </w:r>
          </w:p>
        </w:tc>
        <w:tc>
          <w:tcPr>
            <w:tcW w:w="1704" w:type="dxa"/>
            <w:gridSpan w:val="2"/>
            <w:noWrap w:val="0"/>
            <w:vAlign w:val="center"/>
          </w:tcPr>
          <w:p w14:paraId="3E3A54F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0294B00D">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62EA5AE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FC2F3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5AB627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浆液循环停留时间</w:t>
            </w:r>
          </w:p>
        </w:tc>
        <w:tc>
          <w:tcPr>
            <w:tcW w:w="1704" w:type="dxa"/>
            <w:gridSpan w:val="2"/>
            <w:noWrap w:val="0"/>
            <w:vAlign w:val="center"/>
          </w:tcPr>
          <w:p w14:paraId="0A177D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min.</w:t>
            </w:r>
          </w:p>
        </w:tc>
        <w:tc>
          <w:tcPr>
            <w:tcW w:w="1555" w:type="dxa"/>
            <w:noWrap w:val="0"/>
            <w:vAlign w:val="center"/>
          </w:tcPr>
          <w:p w14:paraId="329D2FF4">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1255154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629172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44966A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浆液全部排空所需时间</w:t>
            </w:r>
          </w:p>
        </w:tc>
        <w:tc>
          <w:tcPr>
            <w:tcW w:w="1704" w:type="dxa"/>
            <w:gridSpan w:val="2"/>
            <w:noWrap w:val="0"/>
            <w:vAlign w:val="center"/>
          </w:tcPr>
          <w:p w14:paraId="11F354A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H</w:t>
            </w:r>
          </w:p>
        </w:tc>
        <w:tc>
          <w:tcPr>
            <w:tcW w:w="1555" w:type="dxa"/>
            <w:noWrap w:val="0"/>
            <w:vAlign w:val="center"/>
          </w:tcPr>
          <w:p w14:paraId="7D5EAC09">
            <w:pPr>
              <w:keepNext w:val="0"/>
              <w:keepLines w:val="0"/>
              <w:suppressLineNumbers w:val="0"/>
              <w:spacing w:before="0" w:beforeAutospacing="0" w:after="0" w:afterAutospacing="0"/>
              <w:ind w:left="0" w:right="0"/>
              <w:jc w:val="center"/>
              <w:rPr>
                <w:rFonts w:hint="default" w:ascii="Times New Roman" w:hAnsi="Times New Roman" w:cs="Times New Roman"/>
                <w:color w:val="auto"/>
                <w:sz w:val="24"/>
                <w:highlight w:val="none"/>
              </w:rPr>
            </w:pPr>
          </w:p>
        </w:tc>
      </w:tr>
      <w:tr w14:paraId="3AB10D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539103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0A1D8C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液/气比(L/G)</w:t>
            </w:r>
          </w:p>
        </w:tc>
        <w:tc>
          <w:tcPr>
            <w:tcW w:w="1704" w:type="dxa"/>
            <w:gridSpan w:val="2"/>
            <w:noWrap w:val="0"/>
            <w:vAlign w:val="center"/>
          </w:tcPr>
          <w:p w14:paraId="2AB5A0F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l/m</w:t>
            </w:r>
            <w:r>
              <w:rPr>
                <w:rFonts w:hint="default" w:ascii="Times New Roman" w:hAnsi="Times New Roman" w:cs="Times New Roman"/>
                <w:color w:val="auto"/>
                <w:sz w:val="24"/>
                <w:highlight w:val="none"/>
                <w:vertAlign w:val="superscript"/>
              </w:rPr>
              <w:t>3</w:t>
            </w:r>
          </w:p>
        </w:tc>
        <w:tc>
          <w:tcPr>
            <w:tcW w:w="1555" w:type="dxa"/>
            <w:noWrap w:val="0"/>
            <w:vAlign w:val="center"/>
          </w:tcPr>
          <w:p w14:paraId="5B287DBE">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70CC4C3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E4AC04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471B71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烟气流速</w:t>
            </w:r>
          </w:p>
        </w:tc>
        <w:tc>
          <w:tcPr>
            <w:tcW w:w="1704" w:type="dxa"/>
            <w:gridSpan w:val="2"/>
            <w:noWrap w:val="0"/>
            <w:vAlign w:val="center"/>
          </w:tcPr>
          <w:p w14:paraId="7E8DA65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m/s</w:t>
            </w:r>
          </w:p>
        </w:tc>
        <w:tc>
          <w:tcPr>
            <w:tcW w:w="1555" w:type="dxa"/>
            <w:noWrap w:val="0"/>
            <w:vAlign w:val="center"/>
          </w:tcPr>
          <w:p w14:paraId="36E63F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C8883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439F8A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13A7E4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烟气在吸收塔内停留时间</w:t>
            </w:r>
          </w:p>
        </w:tc>
        <w:tc>
          <w:tcPr>
            <w:tcW w:w="1704" w:type="dxa"/>
            <w:gridSpan w:val="2"/>
            <w:noWrap w:val="0"/>
            <w:vAlign w:val="center"/>
          </w:tcPr>
          <w:p w14:paraId="69482F4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s</w:t>
            </w:r>
          </w:p>
        </w:tc>
        <w:tc>
          <w:tcPr>
            <w:tcW w:w="1555" w:type="dxa"/>
            <w:noWrap w:val="0"/>
            <w:vAlign w:val="center"/>
          </w:tcPr>
          <w:p w14:paraId="50CC58E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959A67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C86E39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8110CD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化学计量比CaCO3/去除的SO2</w:t>
            </w:r>
          </w:p>
        </w:tc>
        <w:tc>
          <w:tcPr>
            <w:tcW w:w="1704" w:type="dxa"/>
            <w:gridSpan w:val="2"/>
            <w:noWrap w:val="0"/>
            <w:vAlign w:val="center"/>
          </w:tcPr>
          <w:p w14:paraId="4F81AFD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mol/mol</w:t>
            </w:r>
          </w:p>
        </w:tc>
        <w:tc>
          <w:tcPr>
            <w:tcW w:w="1555" w:type="dxa"/>
            <w:noWrap w:val="0"/>
            <w:vAlign w:val="center"/>
          </w:tcPr>
          <w:p w14:paraId="660474A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89E70A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3442BB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0A1575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浆池固体含量</w:t>
            </w:r>
          </w:p>
        </w:tc>
        <w:tc>
          <w:tcPr>
            <w:tcW w:w="1704" w:type="dxa"/>
            <w:gridSpan w:val="2"/>
            <w:noWrap w:val="0"/>
            <w:vAlign w:val="center"/>
          </w:tcPr>
          <w:p w14:paraId="459A15C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w:t>
            </w:r>
          </w:p>
        </w:tc>
        <w:tc>
          <w:tcPr>
            <w:tcW w:w="1555" w:type="dxa"/>
            <w:noWrap w:val="0"/>
            <w:vAlign w:val="center"/>
          </w:tcPr>
          <w:p w14:paraId="2F9DF6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83FF74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FC8E43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8F6557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浆液含氯量</w:t>
            </w:r>
          </w:p>
        </w:tc>
        <w:tc>
          <w:tcPr>
            <w:tcW w:w="1704" w:type="dxa"/>
            <w:gridSpan w:val="2"/>
            <w:noWrap w:val="0"/>
            <w:vAlign w:val="center"/>
          </w:tcPr>
          <w:p w14:paraId="22C21E2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ppm</w:t>
            </w:r>
          </w:p>
        </w:tc>
        <w:tc>
          <w:tcPr>
            <w:tcW w:w="1555" w:type="dxa"/>
            <w:noWrap w:val="0"/>
            <w:vAlign w:val="center"/>
          </w:tcPr>
          <w:p w14:paraId="11E0311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90B92A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60A69A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B53A76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浆液pH值</w:t>
            </w:r>
          </w:p>
        </w:tc>
        <w:tc>
          <w:tcPr>
            <w:tcW w:w="1704" w:type="dxa"/>
            <w:gridSpan w:val="2"/>
            <w:noWrap w:val="0"/>
            <w:vAlign w:val="center"/>
          </w:tcPr>
          <w:p w14:paraId="32BC274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F34620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7FB75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12A425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C660BC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吸收塔直径</w:t>
            </w:r>
          </w:p>
        </w:tc>
        <w:tc>
          <w:tcPr>
            <w:tcW w:w="1704" w:type="dxa"/>
            <w:gridSpan w:val="2"/>
            <w:noWrap w:val="0"/>
            <w:vAlign w:val="center"/>
          </w:tcPr>
          <w:p w14:paraId="48C67E6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p>
        </w:tc>
        <w:tc>
          <w:tcPr>
            <w:tcW w:w="1555" w:type="dxa"/>
            <w:noWrap w:val="0"/>
            <w:vAlign w:val="center"/>
          </w:tcPr>
          <w:p w14:paraId="36CCF8B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726CDA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EECBF2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0C5A2E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吸收塔高度</w:t>
            </w:r>
          </w:p>
        </w:tc>
        <w:tc>
          <w:tcPr>
            <w:tcW w:w="1704" w:type="dxa"/>
            <w:gridSpan w:val="2"/>
            <w:noWrap w:val="0"/>
            <w:vAlign w:val="center"/>
          </w:tcPr>
          <w:p w14:paraId="12665B3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p>
        </w:tc>
        <w:tc>
          <w:tcPr>
            <w:tcW w:w="1555" w:type="dxa"/>
            <w:noWrap w:val="0"/>
            <w:vAlign w:val="center"/>
          </w:tcPr>
          <w:p w14:paraId="3064406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FD4A27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059D69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842E55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吸收塔吸收区高度</w:t>
            </w:r>
          </w:p>
        </w:tc>
        <w:tc>
          <w:tcPr>
            <w:tcW w:w="1704" w:type="dxa"/>
            <w:gridSpan w:val="2"/>
            <w:noWrap w:val="0"/>
            <w:vAlign w:val="center"/>
          </w:tcPr>
          <w:p w14:paraId="708DF1C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p>
        </w:tc>
        <w:tc>
          <w:tcPr>
            <w:tcW w:w="1555" w:type="dxa"/>
            <w:noWrap w:val="0"/>
            <w:vAlign w:val="center"/>
          </w:tcPr>
          <w:p w14:paraId="11837DC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17D96A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721831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5BDA1D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浆池高度</w:t>
            </w:r>
          </w:p>
        </w:tc>
        <w:tc>
          <w:tcPr>
            <w:tcW w:w="1704" w:type="dxa"/>
            <w:gridSpan w:val="2"/>
            <w:noWrap w:val="0"/>
            <w:vAlign w:val="center"/>
          </w:tcPr>
          <w:p w14:paraId="67DE89C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p>
        </w:tc>
        <w:tc>
          <w:tcPr>
            <w:tcW w:w="1555" w:type="dxa"/>
            <w:noWrap w:val="0"/>
            <w:vAlign w:val="center"/>
          </w:tcPr>
          <w:p w14:paraId="1EB27BC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BAD90B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443C89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722EB6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浆池液位正常/最高/最低</w:t>
            </w:r>
          </w:p>
        </w:tc>
        <w:tc>
          <w:tcPr>
            <w:tcW w:w="1704" w:type="dxa"/>
            <w:gridSpan w:val="2"/>
            <w:noWrap w:val="0"/>
            <w:vAlign w:val="center"/>
          </w:tcPr>
          <w:p w14:paraId="38F53FF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p>
        </w:tc>
        <w:tc>
          <w:tcPr>
            <w:tcW w:w="1555" w:type="dxa"/>
            <w:noWrap w:val="0"/>
            <w:vAlign w:val="center"/>
          </w:tcPr>
          <w:p w14:paraId="0426DA4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3C2EFA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2C138B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8B3C73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浆池容积</w:t>
            </w:r>
          </w:p>
        </w:tc>
        <w:tc>
          <w:tcPr>
            <w:tcW w:w="1704" w:type="dxa"/>
            <w:gridSpan w:val="2"/>
            <w:noWrap w:val="0"/>
            <w:vAlign w:val="center"/>
          </w:tcPr>
          <w:p w14:paraId="45AEE8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p>
        </w:tc>
        <w:tc>
          <w:tcPr>
            <w:tcW w:w="1555" w:type="dxa"/>
            <w:noWrap w:val="0"/>
            <w:vAlign w:val="center"/>
          </w:tcPr>
          <w:p w14:paraId="205A267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86DB54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B6545C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DE3292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材质</w:t>
            </w:r>
          </w:p>
        </w:tc>
        <w:tc>
          <w:tcPr>
            <w:tcW w:w="1704" w:type="dxa"/>
            <w:gridSpan w:val="2"/>
            <w:noWrap w:val="0"/>
            <w:vAlign w:val="center"/>
          </w:tcPr>
          <w:p w14:paraId="58A5F9A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8031A9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184F3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BD8B1B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7E9DEF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－入口烟道材质</w:t>
            </w:r>
            <w:bookmarkStart w:id="116" w:name="OLE_LINK16"/>
            <w:r>
              <w:rPr>
                <w:rFonts w:hint="default" w:ascii="Times New Roman" w:hAnsi="Times New Roman" w:cs="Times New Roman"/>
                <w:color w:val="auto"/>
                <w:sz w:val="24"/>
                <w:highlight w:val="none"/>
              </w:rPr>
              <w:t>厚度</w:t>
            </w:r>
            <w:bookmarkEnd w:id="116"/>
          </w:p>
        </w:tc>
        <w:tc>
          <w:tcPr>
            <w:tcW w:w="1704" w:type="dxa"/>
            <w:gridSpan w:val="2"/>
            <w:noWrap w:val="0"/>
            <w:vAlign w:val="center"/>
          </w:tcPr>
          <w:p w14:paraId="7A7665B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27D80C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4B417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E72C7F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D7DD4A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－吸收塔材质</w:t>
            </w:r>
          </w:p>
        </w:tc>
        <w:tc>
          <w:tcPr>
            <w:tcW w:w="1704" w:type="dxa"/>
            <w:gridSpan w:val="2"/>
            <w:noWrap w:val="0"/>
            <w:vAlign w:val="center"/>
          </w:tcPr>
          <w:p w14:paraId="4BFCF85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90574E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DE33D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11DC77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16BEDA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w:t>
            </w:r>
            <w:r>
              <w:rPr>
                <w:rFonts w:hint="eastAsia" w:cs="Times New Roman"/>
                <w:color w:val="auto"/>
                <w:sz w:val="24"/>
                <w:highlight w:val="none"/>
                <w:lang w:val="en-US" w:eastAsia="zh-CN"/>
              </w:rPr>
              <w:t>各段</w:t>
            </w:r>
            <w:r>
              <w:rPr>
                <w:rFonts w:hint="default" w:ascii="Times New Roman" w:hAnsi="Times New Roman" w:cs="Times New Roman"/>
                <w:color w:val="auto"/>
                <w:sz w:val="24"/>
                <w:highlight w:val="none"/>
              </w:rPr>
              <w:t>壳体厚度</w:t>
            </w:r>
          </w:p>
        </w:tc>
        <w:tc>
          <w:tcPr>
            <w:tcW w:w="1704" w:type="dxa"/>
            <w:gridSpan w:val="2"/>
            <w:noWrap w:val="0"/>
            <w:vAlign w:val="center"/>
          </w:tcPr>
          <w:p w14:paraId="18C78E0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555" w:type="dxa"/>
            <w:noWrap w:val="0"/>
            <w:vAlign w:val="center"/>
          </w:tcPr>
          <w:p w14:paraId="7C09B8B4">
            <w:pPr>
              <w:keepNext w:val="0"/>
              <w:keepLines w:val="0"/>
              <w:suppressLineNumbers w:val="0"/>
              <w:adjustRightInd w:val="0"/>
              <w:snapToGrid w:val="0"/>
              <w:spacing w:before="0" w:beforeAutospacing="0" w:after="0" w:afterAutospacing="0" w:line="360" w:lineRule="auto"/>
              <w:ind w:left="0" w:right="0"/>
              <w:jc w:val="center"/>
              <w:rPr>
                <w:rFonts w:hint="default" w:cs="Times New Roman"/>
                <w:color w:val="auto"/>
                <w:sz w:val="24"/>
                <w:highlight w:val="none"/>
                <w:lang w:val="en-US" w:eastAsia="zh-CN"/>
              </w:rPr>
            </w:pPr>
            <w:r>
              <w:rPr>
                <w:rFonts w:hint="eastAsia" w:cs="Times New Roman"/>
                <w:color w:val="auto"/>
                <w:sz w:val="24"/>
                <w:highlight w:val="none"/>
                <w:lang w:val="en-US" w:eastAsia="zh-CN"/>
              </w:rPr>
              <w:t>/  /  /</w:t>
            </w:r>
          </w:p>
        </w:tc>
      </w:tr>
      <w:tr w14:paraId="4CFE8E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D053B4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791088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·吸收塔内衬</w:t>
            </w:r>
          </w:p>
        </w:tc>
        <w:tc>
          <w:tcPr>
            <w:tcW w:w="1704" w:type="dxa"/>
            <w:gridSpan w:val="2"/>
            <w:noWrap w:val="0"/>
            <w:vAlign w:val="center"/>
          </w:tcPr>
          <w:p w14:paraId="2FF9A45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6AF21D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BEAB57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B827AD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362EC6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·喷淋层</w:t>
            </w:r>
          </w:p>
        </w:tc>
        <w:tc>
          <w:tcPr>
            <w:tcW w:w="1704" w:type="dxa"/>
            <w:gridSpan w:val="2"/>
            <w:noWrap w:val="0"/>
            <w:vAlign w:val="center"/>
          </w:tcPr>
          <w:p w14:paraId="677D948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096180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23B7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629A02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992B1C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·喷嘴</w:t>
            </w:r>
          </w:p>
        </w:tc>
        <w:tc>
          <w:tcPr>
            <w:tcW w:w="1704" w:type="dxa"/>
            <w:gridSpan w:val="2"/>
            <w:noWrap w:val="0"/>
            <w:vAlign w:val="center"/>
          </w:tcPr>
          <w:p w14:paraId="73FD23E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6C421E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1137D1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F01D8B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915955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·搅拌器轴/叶轮</w:t>
            </w:r>
          </w:p>
        </w:tc>
        <w:tc>
          <w:tcPr>
            <w:tcW w:w="1704" w:type="dxa"/>
            <w:gridSpan w:val="2"/>
            <w:noWrap w:val="0"/>
            <w:vAlign w:val="center"/>
          </w:tcPr>
          <w:p w14:paraId="6EB2B76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90FE3D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3AB8CC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120025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FC34BE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·氧化空气分布管</w:t>
            </w:r>
          </w:p>
        </w:tc>
        <w:tc>
          <w:tcPr>
            <w:tcW w:w="1704" w:type="dxa"/>
            <w:gridSpan w:val="2"/>
            <w:noWrap w:val="0"/>
            <w:vAlign w:val="center"/>
          </w:tcPr>
          <w:p w14:paraId="1227567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8E96DB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3973E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E6FD1C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71709B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·托盘材质</w:t>
            </w:r>
          </w:p>
        </w:tc>
        <w:tc>
          <w:tcPr>
            <w:tcW w:w="1704" w:type="dxa"/>
            <w:gridSpan w:val="2"/>
            <w:noWrap w:val="0"/>
            <w:vAlign w:val="center"/>
          </w:tcPr>
          <w:p w14:paraId="2217FB5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F173FC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04CAC8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9CF514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1BBF44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·塔内隔板材质（如果有）</w:t>
            </w:r>
          </w:p>
        </w:tc>
        <w:tc>
          <w:tcPr>
            <w:tcW w:w="1704" w:type="dxa"/>
            <w:gridSpan w:val="2"/>
            <w:noWrap w:val="0"/>
            <w:vAlign w:val="center"/>
          </w:tcPr>
          <w:p w14:paraId="79FA1F0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5DAF6F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A12B48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A14E34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A01A1C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－吸收塔内衬厚度（塔底）</w:t>
            </w:r>
          </w:p>
        </w:tc>
        <w:tc>
          <w:tcPr>
            <w:tcW w:w="1704" w:type="dxa"/>
            <w:gridSpan w:val="2"/>
            <w:noWrap w:val="0"/>
            <w:vAlign w:val="center"/>
          </w:tcPr>
          <w:p w14:paraId="66F2772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bookmarkStart w:id="117" w:name="OLE_LINK25"/>
            <w:r>
              <w:rPr>
                <w:rFonts w:hint="default" w:ascii="Times New Roman" w:hAnsi="Times New Roman" w:cs="Times New Roman"/>
                <w:color w:val="auto"/>
                <w:sz w:val="24"/>
                <w:highlight w:val="none"/>
              </w:rPr>
              <w:t>mm</w:t>
            </w:r>
            <w:bookmarkEnd w:id="117"/>
          </w:p>
        </w:tc>
        <w:tc>
          <w:tcPr>
            <w:tcW w:w="1555" w:type="dxa"/>
            <w:noWrap w:val="0"/>
            <w:vAlign w:val="center"/>
          </w:tcPr>
          <w:p w14:paraId="18AE0BB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lang w:val="en-US"/>
              </w:rPr>
            </w:pPr>
            <w:r>
              <w:rPr>
                <w:rFonts w:hint="eastAsia" w:cs="Times New Roman"/>
                <w:color w:val="auto"/>
                <w:sz w:val="24"/>
                <w:highlight w:val="none"/>
                <w:lang w:val="en-US" w:eastAsia="zh-CN"/>
              </w:rPr>
              <w:t>不小于4</w:t>
            </w:r>
          </w:p>
        </w:tc>
      </w:tr>
      <w:tr w14:paraId="097071A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5A8673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7AC00F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－吸收塔内衬厚度（氧化结晶区）</w:t>
            </w:r>
          </w:p>
        </w:tc>
        <w:tc>
          <w:tcPr>
            <w:tcW w:w="1704" w:type="dxa"/>
            <w:gridSpan w:val="2"/>
            <w:noWrap w:val="0"/>
            <w:vAlign w:val="center"/>
          </w:tcPr>
          <w:p w14:paraId="5C433E9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555" w:type="dxa"/>
            <w:noWrap w:val="0"/>
            <w:vAlign w:val="center"/>
          </w:tcPr>
          <w:p w14:paraId="141751C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lang w:val="en-US"/>
              </w:rPr>
            </w:pPr>
            <w:r>
              <w:rPr>
                <w:rFonts w:hint="eastAsia" w:cs="Times New Roman"/>
                <w:color w:val="auto"/>
                <w:sz w:val="24"/>
                <w:highlight w:val="none"/>
                <w:lang w:val="en-US" w:eastAsia="zh-CN"/>
              </w:rPr>
              <w:t>不小于4</w:t>
            </w:r>
          </w:p>
        </w:tc>
      </w:tr>
      <w:tr w14:paraId="07C17E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52CB3C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F6BD9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－吸收塔内衬厚度（吸收反应区）</w:t>
            </w:r>
          </w:p>
        </w:tc>
        <w:tc>
          <w:tcPr>
            <w:tcW w:w="1704" w:type="dxa"/>
            <w:gridSpan w:val="2"/>
            <w:noWrap w:val="0"/>
            <w:vAlign w:val="center"/>
          </w:tcPr>
          <w:p w14:paraId="753CB99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555" w:type="dxa"/>
            <w:noWrap w:val="0"/>
            <w:vAlign w:val="center"/>
          </w:tcPr>
          <w:p w14:paraId="3A716E4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不小于2</w:t>
            </w:r>
          </w:p>
        </w:tc>
      </w:tr>
      <w:tr w14:paraId="44BC3AD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1ACA8B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186414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－吸收塔内衬厚度（除雾区）</w:t>
            </w:r>
          </w:p>
        </w:tc>
        <w:tc>
          <w:tcPr>
            <w:tcW w:w="1704" w:type="dxa"/>
            <w:gridSpan w:val="2"/>
            <w:noWrap w:val="0"/>
            <w:vAlign w:val="center"/>
          </w:tcPr>
          <w:p w14:paraId="48FCFC1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555" w:type="dxa"/>
            <w:noWrap w:val="0"/>
            <w:vAlign w:val="center"/>
          </w:tcPr>
          <w:p w14:paraId="71C6272F">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45D891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3D56F5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6F91A1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－喷淋层数/层间距</w:t>
            </w:r>
          </w:p>
        </w:tc>
        <w:tc>
          <w:tcPr>
            <w:tcW w:w="1704" w:type="dxa"/>
            <w:gridSpan w:val="2"/>
            <w:noWrap w:val="0"/>
            <w:vAlign w:val="center"/>
          </w:tcPr>
          <w:p w14:paraId="7728C06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555" w:type="dxa"/>
            <w:noWrap w:val="0"/>
            <w:vAlign w:val="center"/>
          </w:tcPr>
          <w:p w14:paraId="2992A5C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43D78D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E2AD8D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374CEE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－每层喷嘴数</w:t>
            </w:r>
          </w:p>
        </w:tc>
        <w:tc>
          <w:tcPr>
            <w:tcW w:w="1704" w:type="dxa"/>
            <w:gridSpan w:val="2"/>
            <w:noWrap w:val="0"/>
            <w:vAlign w:val="center"/>
          </w:tcPr>
          <w:p w14:paraId="4575ACE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D5F1C8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F2BD6E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BDDD18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50CB36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－喷嘴型式</w:t>
            </w:r>
          </w:p>
        </w:tc>
        <w:tc>
          <w:tcPr>
            <w:tcW w:w="1704" w:type="dxa"/>
            <w:gridSpan w:val="2"/>
            <w:noWrap w:val="0"/>
            <w:vAlign w:val="center"/>
          </w:tcPr>
          <w:p w14:paraId="42E6CDD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7FB808B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97704F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EFE34B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91896A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－喷嘴压力</w:t>
            </w:r>
          </w:p>
        </w:tc>
        <w:tc>
          <w:tcPr>
            <w:tcW w:w="1704" w:type="dxa"/>
            <w:gridSpan w:val="2"/>
            <w:noWrap w:val="0"/>
            <w:vAlign w:val="center"/>
          </w:tcPr>
          <w:p w14:paraId="22F1B50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74E551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C86D2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5E5997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7B9E56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－搅拌器或搅拌设备数量</w:t>
            </w:r>
          </w:p>
        </w:tc>
        <w:tc>
          <w:tcPr>
            <w:tcW w:w="1704" w:type="dxa"/>
            <w:gridSpan w:val="2"/>
            <w:noWrap w:val="0"/>
            <w:vAlign w:val="center"/>
          </w:tcPr>
          <w:p w14:paraId="11C03AF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F0BC2F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BDA43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626CDA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766CE6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－搅拌器或搅拌设备轴功率</w:t>
            </w:r>
          </w:p>
        </w:tc>
        <w:tc>
          <w:tcPr>
            <w:tcW w:w="1704" w:type="dxa"/>
            <w:gridSpan w:val="2"/>
            <w:noWrap w:val="0"/>
            <w:vAlign w:val="center"/>
          </w:tcPr>
          <w:p w14:paraId="122A423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6B19B20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55859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145193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259D6A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－搅拌器比功率</w:t>
            </w:r>
          </w:p>
        </w:tc>
        <w:tc>
          <w:tcPr>
            <w:tcW w:w="1704" w:type="dxa"/>
            <w:gridSpan w:val="2"/>
            <w:noWrap w:val="0"/>
            <w:vAlign w:val="center"/>
          </w:tcPr>
          <w:p w14:paraId="7113441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kW/m</w:t>
            </w:r>
            <w:r>
              <w:rPr>
                <w:rFonts w:hint="default" w:ascii="Times New Roman" w:hAnsi="Times New Roman" w:cs="Times New Roman"/>
                <w:color w:val="auto"/>
                <w:sz w:val="24"/>
                <w:highlight w:val="none"/>
                <w:vertAlign w:val="superscript"/>
              </w:rPr>
              <w:t>3</w:t>
            </w:r>
          </w:p>
        </w:tc>
        <w:tc>
          <w:tcPr>
            <w:tcW w:w="1555" w:type="dxa"/>
            <w:noWrap w:val="0"/>
            <w:vAlign w:val="center"/>
          </w:tcPr>
          <w:p w14:paraId="5A774D6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CA556B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4F0B4E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959E67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－氧化空气喷枪数量</w:t>
            </w:r>
          </w:p>
        </w:tc>
        <w:tc>
          <w:tcPr>
            <w:tcW w:w="1704" w:type="dxa"/>
            <w:gridSpan w:val="2"/>
            <w:noWrap w:val="0"/>
            <w:vAlign w:val="center"/>
          </w:tcPr>
          <w:p w14:paraId="383223E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54986D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413C72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6D04D0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4388" w:type="dxa"/>
            <w:noWrap w:val="0"/>
            <w:vAlign w:val="center"/>
          </w:tcPr>
          <w:p w14:paraId="08EB262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氧化风机</w:t>
            </w:r>
          </w:p>
        </w:tc>
        <w:tc>
          <w:tcPr>
            <w:tcW w:w="1704" w:type="dxa"/>
            <w:gridSpan w:val="2"/>
            <w:noWrap w:val="0"/>
            <w:vAlign w:val="center"/>
          </w:tcPr>
          <w:p w14:paraId="210DBD8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678A53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B366E9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EABB5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B26B7F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0EEAD9F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台</w:t>
            </w:r>
          </w:p>
        </w:tc>
        <w:tc>
          <w:tcPr>
            <w:tcW w:w="1555" w:type="dxa"/>
            <w:noWrap w:val="0"/>
            <w:vAlign w:val="center"/>
          </w:tcPr>
          <w:p w14:paraId="1601DB7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F4FEC4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7B554B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381068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型式</w:t>
            </w:r>
          </w:p>
        </w:tc>
        <w:tc>
          <w:tcPr>
            <w:tcW w:w="1704" w:type="dxa"/>
            <w:gridSpan w:val="2"/>
            <w:noWrap w:val="0"/>
            <w:vAlign w:val="center"/>
          </w:tcPr>
          <w:p w14:paraId="191F8F2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219EAE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D671FF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0BAD38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86C1FA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风压</w:t>
            </w:r>
          </w:p>
        </w:tc>
        <w:tc>
          <w:tcPr>
            <w:tcW w:w="1704" w:type="dxa"/>
            <w:gridSpan w:val="2"/>
            <w:noWrap w:val="0"/>
            <w:vAlign w:val="center"/>
          </w:tcPr>
          <w:p w14:paraId="2DEDB91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3E35B46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A157BB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8E999C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527FF8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入口流量（每台）</w:t>
            </w:r>
          </w:p>
        </w:tc>
        <w:tc>
          <w:tcPr>
            <w:tcW w:w="1704" w:type="dxa"/>
            <w:gridSpan w:val="2"/>
            <w:noWrap w:val="0"/>
            <w:vAlign w:val="center"/>
          </w:tcPr>
          <w:p w14:paraId="33E1373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Nm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w:t>
            </w:r>
            <w:r>
              <w:rPr>
                <w:rFonts w:hint="eastAsia" w:ascii="Times New Roman" w:hAnsi="Times New Roman" w:cs="Times New Roman"/>
                <w:color w:val="auto"/>
                <w:sz w:val="24"/>
                <w:highlight w:val="none"/>
              </w:rPr>
              <w:t>min</w:t>
            </w:r>
          </w:p>
        </w:tc>
        <w:tc>
          <w:tcPr>
            <w:tcW w:w="1555" w:type="dxa"/>
            <w:noWrap w:val="0"/>
            <w:vAlign w:val="center"/>
          </w:tcPr>
          <w:p w14:paraId="224549F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00B41F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5B9AB8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0910B6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出口氧化空气温度</w:t>
            </w:r>
          </w:p>
        </w:tc>
        <w:tc>
          <w:tcPr>
            <w:tcW w:w="1704" w:type="dxa"/>
            <w:gridSpan w:val="2"/>
            <w:noWrap w:val="0"/>
            <w:vAlign w:val="center"/>
          </w:tcPr>
          <w:p w14:paraId="0E58A2F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37E2AEF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7C825A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F03A0E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EB24BA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轴功率</w:t>
            </w:r>
          </w:p>
        </w:tc>
        <w:tc>
          <w:tcPr>
            <w:tcW w:w="1704" w:type="dxa"/>
            <w:gridSpan w:val="2"/>
            <w:noWrap w:val="0"/>
            <w:vAlign w:val="center"/>
          </w:tcPr>
          <w:p w14:paraId="765B189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387681F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83017C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1E2F14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5357F2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电机功率</w:t>
            </w:r>
          </w:p>
        </w:tc>
        <w:tc>
          <w:tcPr>
            <w:tcW w:w="1704" w:type="dxa"/>
            <w:gridSpan w:val="2"/>
            <w:noWrap w:val="0"/>
            <w:vAlign w:val="center"/>
          </w:tcPr>
          <w:p w14:paraId="17A5926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238AD61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C6743F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4D29B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w:t>
            </w:r>
          </w:p>
        </w:tc>
        <w:tc>
          <w:tcPr>
            <w:tcW w:w="4388" w:type="dxa"/>
            <w:noWrap w:val="0"/>
            <w:vAlign w:val="center"/>
          </w:tcPr>
          <w:p w14:paraId="2FF6A92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吸收塔循环泵</w:t>
            </w:r>
          </w:p>
        </w:tc>
        <w:tc>
          <w:tcPr>
            <w:tcW w:w="1704" w:type="dxa"/>
            <w:gridSpan w:val="2"/>
            <w:noWrap w:val="0"/>
            <w:vAlign w:val="center"/>
          </w:tcPr>
          <w:p w14:paraId="25EB228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E92649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D1791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39716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239DCE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466A558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台</w:t>
            </w:r>
          </w:p>
        </w:tc>
        <w:tc>
          <w:tcPr>
            <w:tcW w:w="1555" w:type="dxa"/>
            <w:noWrap w:val="0"/>
            <w:vAlign w:val="center"/>
          </w:tcPr>
          <w:p w14:paraId="75FC8AF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4EE588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7E50DF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9EF620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－型式</w:t>
            </w:r>
          </w:p>
        </w:tc>
        <w:tc>
          <w:tcPr>
            <w:tcW w:w="1704" w:type="dxa"/>
            <w:gridSpan w:val="2"/>
            <w:noWrap w:val="0"/>
            <w:vAlign w:val="center"/>
          </w:tcPr>
          <w:p w14:paraId="66EC6BE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9B4D97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F635C1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CC705E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F86F84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－外壳材质</w:t>
            </w:r>
          </w:p>
        </w:tc>
        <w:tc>
          <w:tcPr>
            <w:tcW w:w="1704" w:type="dxa"/>
            <w:gridSpan w:val="2"/>
            <w:noWrap w:val="0"/>
            <w:vAlign w:val="center"/>
          </w:tcPr>
          <w:p w14:paraId="560FF3D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45DA86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489BE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CB2993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C5B096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－叶轮材质</w:t>
            </w:r>
          </w:p>
        </w:tc>
        <w:tc>
          <w:tcPr>
            <w:tcW w:w="1704" w:type="dxa"/>
            <w:gridSpan w:val="2"/>
            <w:noWrap w:val="0"/>
            <w:vAlign w:val="center"/>
          </w:tcPr>
          <w:p w14:paraId="4882EE0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7864AB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41D0C0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03C106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379F58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－防磨损材质</w:t>
            </w:r>
          </w:p>
        </w:tc>
        <w:tc>
          <w:tcPr>
            <w:tcW w:w="1704" w:type="dxa"/>
            <w:gridSpan w:val="2"/>
            <w:noWrap w:val="0"/>
            <w:vAlign w:val="center"/>
          </w:tcPr>
          <w:p w14:paraId="1B36194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20FDE1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E7CF4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935C8B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E01670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－轴功率</w:t>
            </w:r>
          </w:p>
        </w:tc>
        <w:tc>
          <w:tcPr>
            <w:tcW w:w="1704" w:type="dxa"/>
            <w:gridSpan w:val="2"/>
            <w:noWrap w:val="0"/>
            <w:vAlign w:val="center"/>
          </w:tcPr>
          <w:p w14:paraId="4B39371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757008B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CE1FE9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029E2D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82481F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－电机功率</w:t>
            </w:r>
          </w:p>
        </w:tc>
        <w:tc>
          <w:tcPr>
            <w:tcW w:w="1704" w:type="dxa"/>
            <w:gridSpan w:val="2"/>
            <w:noWrap w:val="0"/>
            <w:vAlign w:val="center"/>
          </w:tcPr>
          <w:p w14:paraId="0B0E5CD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675D085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E59B9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8A7F9D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5069B0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－吸入滤网</w:t>
            </w:r>
          </w:p>
        </w:tc>
        <w:tc>
          <w:tcPr>
            <w:tcW w:w="1704" w:type="dxa"/>
            <w:gridSpan w:val="2"/>
            <w:noWrap w:val="0"/>
            <w:vAlign w:val="center"/>
          </w:tcPr>
          <w:p w14:paraId="30871A2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有/无</w:t>
            </w:r>
          </w:p>
        </w:tc>
        <w:tc>
          <w:tcPr>
            <w:tcW w:w="1555" w:type="dxa"/>
            <w:noWrap w:val="0"/>
            <w:vAlign w:val="center"/>
          </w:tcPr>
          <w:p w14:paraId="0A7B7BEF">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0208AB9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00B94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31369D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－扬程</w:t>
            </w:r>
          </w:p>
        </w:tc>
        <w:tc>
          <w:tcPr>
            <w:tcW w:w="1704" w:type="dxa"/>
            <w:gridSpan w:val="2"/>
            <w:noWrap w:val="0"/>
            <w:vAlign w:val="center"/>
          </w:tcPr>
          <w:p w14:paraId="08AB11C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KPa</w:t>
            </w:r>
          </w:p>
        </w:tc>
        <w:tc>
          <w:tcPr>
            <w:tcW w:w="1555" w:type="dxa"/>
            <w:noWrap w:val="0"/>
            <w:vAlign w:val="center"/>
          </w:tcPr>
          <w:p w14:paraId="791D9E9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E1725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4909AD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1107CE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－体积流量</w:t>
            </w:r>
          </w:p>
        </w:tc>
        <w:tc>
          <w:tcPr>
            <w:tcW w:w="1704" w:type="dxa"/>
            <w:gridSpan w:val="2"/>
            <w:noWrap w:val="0"/>
            <w:vAlign w:val="center"/>
          </w:tcPr>
          <w:p w14:paraId="0A9A665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74E15FE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8FCE1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0218D9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CB6DE5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－介质含固量</w:t>
            </w:r>
          </w:p>
        </w:tc>
        <w:tc>
          <w:tcPr>
            <w:tcW w:w="1704" w:type="dxa"/>
            <w:gridSpan w:val="2"/>
            <w:noWrap w:val="0"/>
            <w:vAlign w:val="center"/>
          </w:tcPr>
          <w:p w14:paraId="265D1B8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50E7EFB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A74A03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32F948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(4)</w:t>
            </w:r>
          </w:p>
        </w:tc>
        <w:tc>
          <w:tcPr>
            <w:tcW w:w="4388" w:type="dxa"/>
            <w:noWrap w:val="0"/>
            <w:vAlign w:val="center"/>
          </w:tcPr>
          <w:p w14:paraId="6EC943F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吸收塔石膏浆液排出泵</w:t>
            </w:r>
          </w:p>
        </w:tc>
        <w:tc>
          <w:tcPr>
            <w:tcW w:w="1704" w:type="dxa"/>
            <w:gridSpan w:val="2"/>
            <w:noWrap w:val="0"/>
            <w:vAlign w:val="center"/>
          </w:tcPr>
          <w:p w14:paraId="76033D6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65F82E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6891F0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7FF89C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A8F106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6DF1A90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台</w:t>
            </w:r>
          </w:p>
        </w:tc>
        <w:tc>
          <w:tcPr>
            <w:tcW w:w="1555" w:type="dxa"/>
            <w:noWrap w:val="0"/>
            <w:vAlign w:val="center"/>
          </w:tcPr>
          <w:p w14:paraId="1BCEFAD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09710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E7759C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EBBCFF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－型式</w:t>
            </w:r>
          </w:p>
        </w:tc>
        <w:tc>
          <w:tcPr>
            <w:tcW w:w="1704" w:type="dxa"/>
            <w:gridSpan w:val="2"/>
            <w:noWrap w:val="0"/>
            <w:vAlign w:val="center"/>
          </w:tcPr>
          <w:p w14:paraId="019FA0E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6D0E1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7DD1CE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4952A1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CA5CDF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－外壳材质</w:t>
            </w:r>
          </w:p>
        </w:tc>
        <w:tc>
          <w:tcPr>
            <w:tcW w:w="1704" w:type="dxa"/>
            <w:gridSpan w:val="2"/>
            <w:noWrap w:val="0"/>
            <w:vAlign w:val="center"/>
          </w:tcPr>
          <w:p w14:paraId="21E92B9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1DAD5E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D17AE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27DC62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6EBD83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－叶轮材质</w:t>
            </w:r>
          </w:p>
        </w:tc>
        <w:tc>
          <w:tcPr>
            <w:tcW w:w="1704" w:type="dxa"/>
            <w:gridSpan w:val="2"/>
            <w:noWrap w:val="0"/>
            <w:vAlign w:val="center"/>
          </w:tcPr>
          <w:p w14:paraId="31C2813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A62058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4C9461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1A78A1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22F7F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－防磨损材质</w:t>
            </w:r>
          </w:p>
        </w:tc>
        <w:tc>
          <w:tcPr>
            <w:tcW w:w="1704" w:type="dxa"/>
            <w:gridSpan w:val="2"/>
            <w:noWrap w:val="0"/>
            <w:vAlign w:val="center"/>
          </w:tcPr>
          <w:p w14:paraId="7EECDA8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B11D90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329F09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4B38BC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9F076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－轴功率</w:t>
            </w:r>
          </w:p>
        </w:tc>
        <w:tc>
          <w:tcPr>
            <w:tcW w:w="1704" w:type="dxa"/>
            <w:gridSpan w:val="2"/>
            <w:noWrap w:val="0"/>
            <w:vAlign w:val="center"/>
          </w:tcPr>
          <w:p w14:paraId="3025771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531F8AC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084886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0F2D01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82A98B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－电机功率</w:t>
            </w:r>
          </w:p>
        </w:tc>
        <w:tc>
          <w:tcPr>
            <w:tcW w:w="1704" w:type="dxa"/>
            <w:gridSpan w:val="2"/>
            <w:noWrap w:val="0"/>
            <w:vAlign w:val="center"/>
          </w:tcPr>
          <w:p w14:paraId="41FDECC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56DD951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CEBF99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5BA194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284CC6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－吸入侧滤网</w:t>
            </w:r>
          </w:p>
        </w:tc>
        <w:tc>
          <w:tcPr>
            <w:tcW w:w="1704" w:type="dxa"/>
            <w:gridSpan w:val="2"/>
            <w:noWrap w:val="0"/>
            <w:vAlign w:val="center"/>
          </w:tcPr>
          <w:p w14:paraId="567DDDB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有/无</w:t>
            </w:r>
          </w:p>
        </w:tc>
        <w:tc>
          <w:tcPr>
            <w:tcW w:w="1555" w:type="dxa"/>
            <w:noWrap w:val="0"/>
            <w:vAlign w:val="center"/>
          </w:tcPr>
          <w:p w14:paraId="563D7DC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4D6F50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70A34F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136B16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－扬程</w:t>
            </w:r>
          </w:p>
        </w:tc>
        <w:tc>
          <w:tcPr>
            <w:tcW w:w="1704" w:type="dxa"/>
            <w:gridSpan w:val="2"/>
            <w:noWrap w:val="0"/>
            <w:vAlign w:val="center"/>
          </w:tcPr>
          <w:p w14:paraId="0442E09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1F0EEA3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01D2E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572816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CDD9DE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－体积流量</w:t>
            </w:r>
          </w:p>
        </w:tc>
        <w:tc>
          <w:tcPr>
            <w:tcW w:w="1704" w:type="dxa"/>
            <w:gridSpan w:val="2"/>
            <w:noWrap w:val="0"/>
            <w:vAlign w:val="center"/>
          </w:tcPr>
          <w:p w14:paraId="360B364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5DFE92F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0C8C4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47AF9E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（5）</w:t>
            </w:r>
          </w:p>
        </w:tc>
        <w:tc>
          <w:tcPr>
            <w:tcW w:w="4388" w:type="dxa"/>
            <w:noWrap w:val="0"/>
            <w:vAlign w:val="center"/>
          </w:tcPr>
          <w:p w14:paraId="25CFC19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事故冷却系统</w:t>
            </w:r>
          </w:p>
        </w:tc>
        <w:tc>
          <w:tcPr>
            <w:tcW w:w="1704" w:type="dxa"/>
            <w:gridSpan w:val="2"/>
            <w:noWrap w:val="0"/>
            <w:vAlign w:val="center"/>
          </w:tcPr>
          <w:p w14:paraId="1AB8EE6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FD8E0C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211041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AEA0E6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24D8A4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事故冷却喷嘴</w:t>
            </w:r>
          </w:p>
        </w:tc>
        <w:tc>
          <w:tcPr>
            <w:tcW w:w="1704" w:type="dxa"/>
            <w:gridSpan w:val="2"/>
            <w:noWrap w:val="0"/>
            <w:vAlign w:val="center"/>
          </w:tcPr>
          <w:p w14:paraId="7B4D97B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7CA69B9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BB4029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1C1F68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8E6E15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615A857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1555" w:type="dxa"/>
            <w:noWrap w:val="0"/>
            <w:vAlign w:val="center"/>
          </w:tcPr>
          <w:p w14:paraId="0A39FFE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327633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AEE218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D8B617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bookmarkStart w:id="118" w:name="OLE_LINK39"/>
            <w:r>
              <w:rPr>
                <w:rFonts w:hint="default" w:ascii="Times New Roman" w:hAnsi="Times New Roman" w:cs="Times New Roman"/>
                <w:color w:val="auto"/>
                <w:sz w:val="24"/>
                <w:highlight w:val="none"/>
              </w:rPr>
              <w:t>－材料</w:t>
            </w:r>
            <w:bookmarkEnd w:id="118"/>
          </w:p>
        </w:tc>
        <w:tc>
          <w:tcPr>
            <w:tcW w:w="1704" w:type="dxa"/>
            <w:gridSpan w:val="2"/>
            <w:noWrap w:val="0"/>
            <w:vAlign w:val="center"/>
          </w:tcPr>
          <w:p w14:paraId="40A1EBD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7C5B1A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AEDCA5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38ADB8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（6）</w:t>
            </w:r>
          </w:p>
        </w:tc>
        <w:tc>
          <w:tcPr>
            <w:tcW w:w="4388" w:type="dxa"/>
            <w:noWrap w:val="0"/>
            <w:vAlign w:val="center"/>
          </w:tcPr>
          <w:p w14:paraId="25323E7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冷凝除尘除雾器</w:t>
            </w:r>
          </w:p>
        </w:tc>
        <w:tc>
          <w:tcPr>
            <w:tcW w:w="1704" w:type="dxa"/>
            <w:gridSpan w:val="2"/>
            <w:noWrap w:val="0"/>
            <w:vAlign w:val="center"/>
          </w:tcPr>
          <w:p w14:paraId="1C38856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E9F14B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0A8578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A00811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D5FF85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级数</w:t>
            </w:r>
          </w:p>
        </w:tc>
        <w:tc>
          <w:tcPr>
            <w:tcW w:w="1704" w:type="dxa"/>
            <w:gridSpan w:val="2"/>
            <w:noWrap w:val="0"/>
            <w:vAlign w:val="center"/>
          </w:tcPr>
          <w:p w14:paraId="15A6A60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8BD3E0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A7E664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694A70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bottom"/>
          </w:tcPr>
          <w:p w14:paraId="3735942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入口处理烟气量</w:t>
            </w:r>
          </w:p>
        </w:tc>
        <w:tc>
          <w:tcPr>
            <w:tcW w:w="1704" w:type="dxa"/>
            <w:gridSpan w:val="2"/>
            <w:noWrap w:val="0"/>
            <w:vAlign w:val="center"/>
          </w:tcPr>
          <w:p w14:paraId="727974A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Nm</w:t>
            </w:r>
            <w:r>
              <w:rPr>
                <w:rFonts w:hint="default" w:ascii="Times New Roman" w:hAnsi="Times New Roman" w:cs="Times New Roman"/>
                <w:color w:val="auto"/>
                <w:sz w:val="24"/>
                <w:szCs w:val="24"/>
                <w:highlight w:val="none"/>
                <w:vertAlign w:val="superscript"/>
              </w:rPr>
              <w:t>3</w:t>
            </w:r>
            <w:r>
              <w:rPr>
                <w:rFonts w:hint="default" w:ascii="Times New Roman" w:hAnsi="Times New Roman" w:cs="Times New Roman"/>
                <w:color w:val="auto"/>
                <w:sz w:val="24"/>
                <w:szCs w:val="24"/>
                <w:highlight w:val="none"/>
              </w:rPr>
              <w:t>/h</w:t>
            </w:r>
          </w:p>
        </w:tc>
        <w:tc>
          <w:tcPr>
            <w:tcW w:w="1555" w:type="dxa"/>
            <w:noWrap w:val="0"/>
            <w:vAlign w:val="center"/>
          </w:tcPr>
          <w:p w14:paraId="3B3854F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EE85B2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F18586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628F1E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入口烟气温度</w:t>
            </w:r>
          </w:p>
        </w:tc>
        <w:tc>
          <w:tcPr>
            <w:tcW w:w="1704" w:type="dxa"/>
            <w:gridSpan w:val="2"/>
            <w:noWrap w:val="0"/>
            <w:vAlign w:val="center"/>
          </w:tcPr>
          <w:p w14:paraId="0AEDE74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w:t>
            </w:r>
          </w:p>
        </w:tc>
        <w:tc>
          <w:tcPr>
            <w:tcW w:w="1555" w:type="dxa"/>
            <w:noWrap w:val="0"/>
            <w:vAlign w:val="center"/>
          </w:tcPr>
          <w:p w14:paraId="4896CCB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D65A58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ED9645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35972D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入口烟气圧力</w:t>
            </w:r>
          </w:p>
        </w:tc>
        <w:tc>
          <w:tcPr>
            <w:tcW w:w="1704" w:type="dxa"/>
            <w:gridSpan w:val="2"/>
            <w:noWrap w:val="0"/>
            <w:vAlign w:val="center"/>
          </w:tcPr>
          <w:p w14:paraId="6576F07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kPa</w:t>
            </w:r>
          </w:p>
        </w:tc>
        <w:tc>
          <w:tcPr>
            <w:tcW w:w="1555" w:type="dxa"/>
            <w:noWrap w:val="0"/>
            <w:vAlign w:val="center"/>
          </w:tcPr>
          <w:p w14:paraId="2188870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833973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B8E657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8B229E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入口粉尘（含石膏）浓度（干基，6%O</w:t>
            </w:r>
            <w:r>
              <w:rPr>
                <w:rFonts w:hint="default" w:ascii="Times New Roman" w:hAnsi="Times New Roman" w:cs="Times New Roman"/>
                <w:color w:val="auto"/>
                <w:sz w:val="24"/>
                <w:szCs w:val="24"/>
                <w:highlight w:val="none"/>
                <w:vertAlign w:val="subscript"/>
              </w:rPr>
              <w:t>2</w:t>
            </w:r>
            <w:r>
              <w:rPr>
                <w:rFonts w:hint="default" w:ascii="Times New Roman" w:hAnsi="Times New Roman" w:cs="Times New Roman"/>
                <w:color w:val="auto"/>
                <w:sz w:val="24"/>
                <w:szCs w:val="24"/>
                <w:highlight w:val="none"/>
              </w:rPr>
              <w:t>）</w:t>
            </w:r>
          </w:p>
        </w:tc>
        <w:tc>
          <w:tcPr>
            <w:tcW w:w="1704" w:type="dxa"/>
            <w:gridSpan w:val="2"/>
            <w:noWrap w:val="0"/>
            <w:vAlign w:val="center"/>
          </w:tcPr>
          <w:p w14:paraId="1C1BB12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mg/Nm</w:t>
            </w:r>
            <w:r>
              <w:rPr>
                <w:rFonts w:hint="default" w:ascii="Times New Roman" w:hAnsi="Times New Roman" w:cs="Times New Roman"/>
                <w:color w:val="auto"/>
                <w:sz w:val="24"/>
                <w:szCs w:val="24"/>
                <w:highlight w:val="none"/>
                <w:vertAlign w:val="superscript"/>
              </w:rPr>
              <w:t>3</w:t>
            </w:r>
          </w:p>
        </w:tc>
        <w:tc>
          <w:tcPr>
            <w:tcW w:w="1555" w:type="dxa"/>
            <w:noWrap w:val="0"/>
            <w:vAlign w:val="center"/>
          </w:tcPr>
          <w:p w14:paraId="757B6D1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A5873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688B08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BEC670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入口雾滴浓度（干基，6%O</w:t>
            </w:r>
            <w:r>
              <w:rPr>
                <w:rFonts w:hint="default" w:ascii="Times New Roman" w:hAnsi="Times New Roman" w:cs="Times New Roman"/>
                <w:color w:val="auto"/>
                <w:sz w:val="24"/>
                <w:szCs w:val="24"/>
                <w:highlight w:val="none"/>
                <w:vertAlign w:val="subscript"/>
              </w:rPr>
              <w:t>2</w:t>
            </w:r>
            <w:r>
              <w:rPr>
                <w:rFonts w:hint="default" w:ascii="Times New Roman" w:hAnsi="Times New Roman" w:cs="Times New Roman"/>
                <w:color w:val="auto"/>
                <w:sz w:val="24"/>
                <w:szCs w:val="24"/>
                <w:highlight w:val="none"/>
              </w:rPr>
              <w:t>）</w:t>
            </w:r>
          </w:p>
        </w:tc>
        <w:tc>
          <w:tcPr>
            <w:tcW w:w="1704" w:type="dxa"/>
            <w:gridSpan w:val="2"/>
            <w:noWrap w:val="0"/>
            <w:vAlign w:val="center"/>
          </w:tcPr>
          <w:p w14:paraId="08FD4E7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mg/Nm</w:t>
            </w:r>
            <w:r>
              <w:rPr>
                <w:rFonts w:hint="default" w:ascii="Times New Roman" w:hAnsi="Times New Roman" w:cs="Times New Roman"/>
                <w:color w:val="auto"/>
                <w:sz w:val="24"/>
                <w:szCs w:val="24"/>
                <w:highlight w:val="none"/>
                <w:vertAlign w:val="superscript"/>
              </w:rPr>
              <w:t>3</w:t>
            </w:r>
          </w:p>
        </w:tc>
        <w:tc>
          <w:tcPr>
            <w:tcW w:w="1555" w:type="dxa"/>
            <w:noWrap w:val="0"/>
            <w:vAlign w:val="center"/>
          </w:tcPr>
          <w:p w14:paraId="3F849B9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E8054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34C7CE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6BB18A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出口雾滴浓度（干基，6%O</w:t>
            </w:r>
            <w:r>
              <w:rPr>
                <w:rFonts w:hint="default" w:ascii="Times New Roman" w:hAnsi="Times New Roman" w:cs="Times New Roman"/>
                <w:color w:val="auto"/>
                <w:sz w:val="24"/>
                <w:szCs w:val="24"/>
                <w:highlight w:val="none"/>
                <w:vertAlign w:val="subscript"/>
              </w:rPr>
              <w:t>2</w:t>
            </w:r>
            <w:r>
              <w:rPr>
                <w:rFonts w:hint="default" w:ascii="Times New Roman" w:hAnsi="Times New Roman" w:cs="Times New Roman"/>
                <w:color w:val="auto"/>
                <w:sz w:val="24"/>
                <w:szCs w:val="24"/>
                <w:highlight w:val="none"/>
              </w:rPr>
              <w:t>）</w:t>
            </w:r>
          </w:p>
        </w:tc>
        <w:tc>
          <w:tcPr>
            <w:tcW w:w="1704" w:type="dxa"/>
            <w:gridSpan w:val="2"/>
            <w:noWrap w:val="0"/>
            <w:vAlign w:val="center"/>
          </w:tcPr>
          <w:p w14:paraId="4B5FE95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mg/Nm</w:t>
            </w:r>
            <w:r>
              <w:rPr>
                <w:rFonts w:hint="default" w:ascii="Times New Roman" w:hAnsi="Times New Roman" w:cs="Times New Roman"/>
                <w:color w:val="auto"/>
                <w:sz w:val="24"/>
                <w:szCs w:val="24"/>
                <w:highlight w:val="none"/>
                <w:vertAlign w:val="superscript"/>
              </w:rPr>
              <w:t>3</w:t>
            </w:r>
          </w:p>
        </w:tc>
        <w:tc>
          <w:tcPr>
            <w:tcW w:w="1555" w:type="dxa"/>
            <w:noWrap w:val="0"/>
            <w:vAlign w:val="center"/>
          </w:tcPr>
          <w:p w14:paraId="38F86A3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0E3F4E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8BAFDE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1ED514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出口保证值（粉尘+石膏）（干基，6%O</w:t>
            </w:r>
            <w:r>
              <w:rPr>
                <w:rFonts w:hint="default" w:ascii="Times New Roman" w:hAnsi="Times New Roman" w:cs="Times New Roman"/>
                <w:color w:val="auto"/>
                <w:sz w:val="24"/>
                <w:szCs w:val="24"/>
                <w:highlight w:val="none"/>
                <w:vertAlign w:val="subscript"/>
              </w:rPr>
              <w:t>2</w:t>
            </w:r>
            <w:r>
              <w:rPr>
                <w:rFonts w:hint="default" w:ascii="Times New Roman" w:hAnsi="Times New Roman" w:cs="Times New Roman"/>
                <w:color w:val="auto"/>
                <w:sz w:val="24"/>
                <w:szCs w:val="24"/>
                <w:highlight w:val="none"/>
              </w:rPr>
              <w:t>）</w:t>
            </w:r>
          </w:p>
        </w:tc>
        <w:tc>
          <w:tcPr>
            <w:tcW w:w="1704" w:type="dxa"/>
            <w:gridSpan w:val="2"/>
            <w:noWrap w:val="0"/>
            <w:vAlign w:val="center"/>
          </w:tcPr>
          <w:p w14:paraId="0B90A6B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mg/Nm</w:t>
            </w:r>
            <w:r>
              <w:rPr>
                <w:rFonts w:hint="default" w:ascii="Times New Roman" w:hAnsi="Times New Roman" w:cs="Times New Roman"/>
                <w:color w:val="auto"/>
                <w:sz w:val="24"/>
                <w:szCs w:val="24"/>
                <w:highlight w:val="none"/>
                <w:vertAlign w:val="superscript"/>
              </w:rPr>
              <w:t>3</w:t>
            </w:r>
          </w:p>
        </w:tc>
        <w:tc>
          <w:tcPr>
            <w:tcW w:w="1555" w:type="dxa"/>
            <w:noWrap w:val="0"/>
            <w:vAlign w:val="center"/>
          </w:tcPr>
          <w:p w14:paraId="3B14754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6EE14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6A972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bottom"/>
          </w:tcPr>
          <w:p w14:paraId="02034C5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总压损</w:t>
            </w:r>
          </w:p>
        </w:tc>
        <w:tc>
          <w:tcPr>
            <w:tcW w:w="1704" w:type="dxa"/>
            <w:gridSpan w:val="2"/>
            <w:noWrap w:val="0"/>
            <w:vAlign w:val="center"/>
          </w:tcPr>
          <w:p w14:paraId="5E1D006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Pa</w:t>
            </w:r>
          </w:p>
        </w:tc>
        <w:tc>
          <w:tcPr>
            <w:tcW w:w="1555" w:type="dxa"/>
            <w:noWrap w:val="0"/>
            <w:vAlign w:val="center"/>
          </w:tcPr>
          <w:p w14:paraId="1E81F21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653A12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17984B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bottom"/>
          </w:tcPr>
          <w:p w14:paraId="0EC5CC2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装置电耗量</w:t>
            </w:r>
          </w:p>
        </w:tc>
        <w:tc>
          <w:tcPr>
            <w:tcW w:w="1704" w:type="dxa"/>
            <w:gridSpan w:val="2"/>
            <w:noWrap w:val="0"/>
            <w:vAlign w:val="center"/>
          </w:tcPr>
          <w:p w14:paraId="5D56B04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Kw/h</w:t>
            </w:r>
          </w:p>
        </w:tc>
        <w:tc>
          <w:tcPr>
            <w:tcW w:w="1555" w:type="dxa"/>
            <w:noWrap w:val="0"/>
            <w:vAlign w:val="center"/>
          </w:tcPr>
          <w:p w14:paraId="4249BE6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67139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F321A7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bottom"/>
          </w:tcPr>
          <w:p w14:paraId="6700F83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塔内冲洗水耗量</w:t>
            </w:r>
          </w:p>
        </w:tc>
        <w:tc>
          <w:tcPr>
            <w:tcW w:w="1704" w:type="dxa"/>
            <w:gridSpan w:val="2"/>
            <w:noWrap w:val="0"/>
            <w:vAlign w:val="center"/>
          </w:tcPr>
          <w:p w14:paraId="3D1EB68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t/h</w:t>
            </w:r>
          </w:p>
        </w:tc>
        <w:tc>
          <w:tcPr>
            <w:tcW w:w="1555" w:type="dxa"/>
            <w:noWrap w:val="0"/>
            <w:vAlign w:val="center"/>
          </w:tcPr>
          <w:p w14:paraId="5D5ADB2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F0A031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03491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bottom"/>
          </w:tcPr>
          <w:p w14:paraId="57D22B0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冷却水耗量</w:t>
            </w:r>
          </w:p>
        </w:tc>
        <w:tc>
          <w:tcPr>
            <w:tcW w:w="1704" w:type="dxa"/>
            <w:gridSpan w:val="2"/>
            <w:noWrap w:val="0"/>
            <w:vAlign w:val="center"/>
          </w:tcPr>
          <w:p w14:paraId="4541661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sz w:val="24"/>
                <w:szCs w:val="24"/>
                <w:highlight w:val="none"/>
              </w:rPr>
              <w:t>t/h</w:t>
            </w:r>
          </w:p>
        </w:tc>
        <w:tc>
          <w:tcPr>
            <w:tcW w:w="1555" w:type="dxa"/>
            <w:noWrap w:val="0"/>
            <w:vAlign w:val="center"/>
          </w:tcPr>
          <w:p w14:paraId="64BA037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C367D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A54D7A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bottom"/>
          </w:tcPr>
          <w:p w14:paraId="5023AB1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highlight w:val="none"/>
              </w:rPr>
              <w:t>－材料</w:t>
            </w:r>
          </w:p>
        </w:tc>
        <w:tc>
          <w:tcPr>
            <w:tcW w:w="1704" w:type="dxa"/>
            <w:gridSpan w:val="2"/>
            <w:noWrap w:val="0"/>
            <w:vAlign w:val="center"/>
          </w:tcPr>
          <w:p w14:paraId="03C4C52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szCs w:val="24"/>
                <w:highlight w:val="none"/>
              </w:rPr>
            </w:pPr>
          </w:p>
        </w:tc>
        <w:tc>
          <w:tcPr>
            <w:tcW w:w="1555" w:type="dxa"/>
            <w:noWrap w:val="0"/>
            <w:vAlign w:val="center"/>
          </w:tcPr>
          <w:p w14:paraId="30B45A2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CE949C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2D7AA9C">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default" w:ascii="Times New Roman" w:hAnsi="Times New Roman" w:cs="Times New Roman"/>
                <w:color w:val="auto"/>
                <w:sz w:val="24"/>
                <w:highlight w:val="none"/>
              </w:rPr>
              <w:t>2.</w:t>
            </w:r>
            <w:r>
              <w:rPr>
                <w:rFonts w:hint="eastAsia" w:ascii="Times New Roman" w:hAnsi="Times New Roman" w:cs="Times New Roman"/>
                <w:color w:val="auto"/>
                <w:sz w:val="24"/>
                <w:highlight w:val="none"/>
                <w:lang w:val="en-US" w:eastAsia="zh-CN"/>
              </w:rPr>
              <w:t>3</w:t>
            </w:r>
          </w:p>
        </w:tc>
        <w:tc>
          <w:tcPr>
            <w:tcW w:w="4388" w:type="dxa"/>
            <w:noWrap w:val="0"/>
            <w:vAlign w:val="center"/>
          </w:tcPr>
          <w:p w14:paraId="7FEEE50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石膏脱水系统</w:t>
            </w:r>
          </w:p>
        </w:tc>
        <w:tc>
          <w:tcPr>
            <w:tcW w:w="1704" w:type="dxa"/>
            <w:gridSpan w:val="2"/>
            <w:noWrap w:val="0"/>
            <w:vAlign w:val="center"/>
          </w:tcPr>
          <w:p w14:paraId="5C03D8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EA1406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69453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6CC875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4388" w:type="dxa"/>
            <w:noWrap w:val="0"/>
            <w:vAlign w:val="center"/>
          </w:tcPr>
          <w:p w14:paraId="4D8C31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石膏旋流站</w:t>
            </w:r>
          </w:p>
        </w:tc>
        <w:tc>
          <w:tcPr>
            <w:tcW w:w="1704" w:type="dxa"/>
            <w:gridSpan w:val="2"/>
            <w:noWrap w:val="0"/>
            <w:vAlign w:val="center"/>
          </w:tcPr>
          <w:p w14:paraId="37DA64D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7128A0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08FEFA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7DD06F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CAB0CF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001AB2C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w:t>
            </w:r>
          </w:p>
        </w:tc>
        <w:tc>
          <w:tcPr>
            <w:tcW w:w="1555" w:type="dxa"/>
            <w:noWrap w:val="0"/>
            <w:vAlign w:val="center"/>
          </w:tcPr>
          <w:p w14:paraId="07949C1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03C6F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A92206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1749D9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旋流子总数</w:t>
            </w:r>
          </w:p>
        </w:tc>
        <w:tc>
          <w:tcPr>
            <w:tcW w:w="1704" w:type="dxa"/>
            <w:gridSpan w:val="2"/>
            <w:noWrap w:val="0"/>
            <w:vAlign w:val="center"/>
          </w:tcPr>
          <w:p w14:paraId="5F8A129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1555" w:type="dxa"/>
            <w:noWrap w:val="0"/>
            <w:vAlign w:val="center"/>
          </w:tcPr>
          <w:p w14:paraId="675AD18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1A1BD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6FCF4D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386AED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旋流子备用数</w:t>
            </w:r>
          </w:p>
        </w:tc>
        <w:tc>
          <w:tcPr>
            <w:tcW w:w="1704" w:type="dxa"/>
            <w:gridSpan w:val="2"/>
            <w:noWrap w:val="0"/>
            <w:vAlign w:val="center"/>
          </w:tcPr>
          <w:p w14:paraId="0B9749B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1555" w:type="dxa"/>
            <w:noWrap w:val="0"/>
            <w:vAlign w:val="center"/>
          </w:tcPr>
          <w:p w14:paraId="090D2BA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8F78BA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6A44C7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19B3E5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旋流子材质</w:t>
            </w:r>
          </w:p>
        </w:tc>
        <w:tc>
          <w:tcPr>
            <w:tcW w:w="1704" w:type="dxa"/>
            <w:gridSpan w:val="2"/>
            <w:noWrap w:val="0"/>
            <w:vAlign w:val="center"/>
          </w:tcPr>
          <w:p w14:paraId="7C1480B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A45D75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80CBD9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DC7F4C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8A0016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给料含固量</w:t>
            </w:r>
          </w:p>
        </w:tc>
        <w:tc>
          <w:tcPr>
            <w:tcW w:w="1704" w:type="dxa"/>
            <w:gridSpan w:val="2"/>
            <w:noWrap w:val="0"/>
            <w:vAlign w:val="center"/>
          </w:tcPr>
          <w:p w14:paraId="0B4F254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58E1D2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1DDD05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69B78E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7A6511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溢流含固量</w:t>
            </w:r>
          </w:p>
        </w:tc>
        <w:tc>
          <w:tcPr>
            <w:tcW w:w="1704" w:type="dxa"/>
            <w:gridSpan w:val="2"/>
            <w:noWrap w:val="0"/>
            <w:vAlign w:val="center"/>
          </w:tcPr>
          <w:p w14:paraId="51A747D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0C85460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31742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EBD27E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7E84CE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底流含固量</w:t>
            </w:r>
          </w:p>
        </w:tc>
        <w:tc>
          <w:tcPr>
            <w:tcW w:w="1704" w:type="dxa"/>
            <w:gridSpan w:val="2"/>
            <w:noWrap w:val="0"/>
            <w:vAlign w:val="center"/>
          </w:tcPr>
          <w:p w14:paraId="6F9CF93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3DC6557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1AE3BE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B9463E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4388" w:type="dxa"/>
            <w:noWrap w:val="0"/>
            <w:vAlign w:val="center"/>
          </w:tcPr>
          <w:p w14:paraId="0512D11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真空皮带脱水机</w:t>
            </w:r>
          </w:p>
        </w:tc>
        <w:tc>
          <w:tcPr>
            <w:tcW w:w="1704" w:type="dxa"/>
            <w:gridSpan w:val="2"/>
            <w:noWrap w:val="0"/>
            <w:vAlign w:val="center"/>
          </w:tcPr>
          <w:p w14:paraId="66FC807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E281F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2C4B0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4D4A6C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21D388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2C4AD84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台</w:t>
            </w:r>
          </w:p>
        </w:tc>
        <w:tc>
          <w:tcPr>
            <w:tcW w:w="1555" w:type="dxa"/>
            <w:noWrap w:val="0"/>
            <w:vAlign w:val="center"/>
          </w:tcPr>
          <w:p w14:paraId="36A222C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01F996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617DD5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B7AE1B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过滤面积</w:t>
            </w:r>
          </w:p>
        </w:tc>
        <w:tc>
          <w:tcPr>
            <w:tcW w:w="1704" w:type="dxa"/>
            <w:gridSpan w:val="2"/>
            <w:noWrap w:val="0"/>
            <w:vAlign w:val="center"/>
          </w:tcPr>
          <w:p w14:paraId="078AF9C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p>
        </w:tc>
        <w:tc>
          <w:tcPr>
            <w:tcW w:w="1555" w:type="dxa"/>
            <w:noWrap w:val="0"/>
            <w:vAlign w:val="center"/>
          </w:tcPr>
          <w:p w14:paraId="7D274F7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4642A0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BEA0FE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76D7257">
            <w:pPr>
              <w:keepNext w:val="0"/>
              <w:keepLines w:val="0"/>
              <w:suppressLineNumbers w:val="0"/>
              <w:adjustRightInd w:val="0"/>
              <w:snapToGrid w:val="0"/>
              <w:spacing w:before="0" w:beforeAutospacing="0" w:after="0" w:afterAutospacing="0" w:line="360" w:lineRule="auto"/>
              <w:ind w:left="0" w:right="0" w:firstLine="240" w:firstLineChars="10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出力(含水量≤10%)</w:t>
            </w:r>
          </w:p>
        </w:tc>
        <w:tc>
          <w:tcPr>
            <w:tcW w:w="1704" w:type="dxa"/>
            <w:gridSpan w:val="2"/>
            <w:noWrap w:val="0"/>
            <w:vAlign w:val="center"/>
          </w:tcPr>
          <w:p w14:paraId="64EA771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t/h</w:t>
            </w:r>
          </w:p>
        </w:tc>
        <w:tc>
          <w:tcPr>
            <w:tcW w:w="1555" w:type="dxa"/>
            <w:noWrap w:val="0"/>
            <w:vAlign w:val="center"/>
          </w:tcPr>
          <w:p w14:paraId="649B14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B7E3C4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62327E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33CE74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电机功率</w:t>
            </w:r>
          </w:p>
        </w:tc>
        <w:tc>
          <w:tcPr>
            <w:tcW w:w="1704" w:type="dxa"/>
            <w:gridSpan w:val="2"/>
            <w:noWrap w:val="0"/>
            <w:vAlign w:val="center"/>
          </w:tcPr>
          <w:p w14:paraId="485CC94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1B03154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BBC152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2EBACC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w:t>
            </w:r>
          </w:p>
        </w:tc>
        <w:tc>
          <w:tcPr>
            <w:tcW w:w="4388" w:type="dxa"/>
            <w:noWrap w:val="0"/>
            <w:vAlign w:val="center"/>
          </w:tcPr>
          <w:p w14:paraId="6B9E44F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真空泵</w:t>
            </w:r>
          </w:p>
        </w:tc>
        <w:tc>
          <w:tcPr>
            <w:tcW w:w="1704" w:type="dxa"/>
            <w:gridSpan w:val="2"/>
            <w:noWrap w:val="0"/>
            <w:vAlign w:val="center"/>
          </w:tcPr>
          <w:p w14:paraId="5258901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7FCE91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F1CF4F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57FBBD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A020B9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型式</w:t>
            </w:r>
          </w:p>
        </w:tc>
        <w:tc>
          <w:tcPr>
            <w:tcW w:w="1704" w:type="dxa"/>
            <w:gridSpan w:val="2"/>
            <w:noWrap w:val="0"/>
            <w:vAlign w:val="center"/>
          </w:tcPr>
          <w:p w14:paraId="09DD616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C03FD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45798B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D2C1E0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7B03D2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713798A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1555" w:type="dxa"/>
            <w:noWrap w:val="0"/>
            <w:vAlign w:val="center"/>
          </w:tcPr>
          <w:p w14:paraId="2725500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737D1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E11919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ABC0F6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进口流量</w:t>
            </w:r>
          </w:p>
        </w:tc>
        <w:tc>
          <w:tcPr>
            <w:tcW w:w="1704" w:type="dxa"/>
            <w:gridSpan w:val="2"/>
            <w:noWrap w:val="0"/>
            <w:vAlign w:val="center"/>
          </w:tcPr>
          <w:p w14:paraId="500C0E0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bookmarkStart w:id="119" w:name="OLE_LINK24"/>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bookmarkEnd w:id="119"/>
            <w:r>
              <w:rPr>
                <w:rFonts w:hint="default" w:ascii="Times New Roman" w:hAnsi="Times New Roman" w:cs="Times New Roman"/>
                <w:color w:val="auto"/>
                <w:sz w:val="24"/>
                <w:highlight w:val="none"/>
              </w:rPr>
              <w:t>/h</w:t>
            </w:r>
          </w:p>
        </w:tc>
        <w:tc>
          <w:tcPr>
            <w:tcW w:w="1555" w:type="dxa"/>
            <w:noWrap w:val="0"/>
            <w:vAlign w:val="center"/>
          </w:tcPr>
          <w:p w14:paraId="2D436B1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8BE48F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01253B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0268AF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运行真空</w:t>
            </w:r>
          </w:p>
        </w:tc>
        <w:tc>
          <w:tcPr>
            <w:tcW w:w="1704" w:type="dxa"/>
            <w:gridSpan w:val="2"/>
            <w:noWrap w:val="0"/>
            <w:vAlign w:val="center"/>
          </w:tcPr>
          <w:p w14:paraId="41D5F60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kPa</w:t>
            </w:r>
          </w:p>
        </w:tc>
        <w:tc>
          <w:tcPr>
            <w:tcW w:w="1555" w:type="dxa"/>
            <w:noWrap w:val="0"/>
            <w:vAlign w:val="center"/>
          </w:tcPr>
          <w:p w14:paraId="1CFC578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78BF7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821810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90F00D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外壳/叶轮材料</w:t>
            </w:r>
          </w:p>
        </w:tc>
        <w:tc>
          <w:tcPr>
            <w:tcW w:w="1704" w:type="dxa"/>
            <w:gridSpan w:val="2"/>
            <w:noWrap w:val="0"/>
            <w:vAlign w:val="center"/>
          </w:tcPr>
          <w:p w14:paraId="3A499D8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70C9233">
            <w:pPr>
              <w:keepNext w:val="0"/>
              <w:keepLines w:val="0"/>
              <w:suppressLineNumbers w:val="0"/>
              <w:adjustRightInd w:val="0"/>
              <w:snapToGrid w:val="0"/>
              <w:spacing w:before="0" w:beforeAutospacing="0" w:after="0" w:afterAutospacing="0" w:line="360" w:lineRule="auto"/>
              <w:ind w:left="0" w:right="0" w:firstLine="960" w:firstLineChars="400"/>
              <w:rPr>
                <w:rFonts w:hint="eastAsia" w:ascii="Times New Roman" w:hAnsi="Times New Roman" w:cs="Times New Roman"/>
                <w:color w:val="auto"/>
                <w:sz w:val="24"/>
                <w:highlight w:val="none"/>
              </w:rPr>
            </w:pPr>
          </w:p>
        </w:tc>
      </w:tr>
      <w:tr w14:paraId="091EFB0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615EC4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5F5393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电动机功率</w:t>
            </w:r>
          </w:p>
        </w:tc>
        <w:tc>
          <w:tcPr>
            <w:tcW w:w="1704" w:type="dxa"/>
            <w:gridSpan w:val="2"/>
            <w:noWrap w:val="0"/>
            <w:vAlign w:val="center"/>
          </w:tcPr>
          <w:p w14:paraId="3F37DEB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2AFCAC6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70300D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D9E0F5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(4)</w:t>
            </w:r>
          </w:p>
        </w:tc>
        <w:tc>
          <w:tcPr>
            <w:tcW w:w="4388" w:type="dxa"/>
            <w:noWrap w:val="0"/>
            <w:vAlign w:val="center"/>
          </w:tcPr>
          <w:p w14:paraId="6F74E731">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eastAsia="zh-CN"/>
              </w:rPr>
            </w:pPr>
            <w:r>
              <w:rPr>
                <w:rFonts w:hint="eastAsia" w:ascii="Times New Roman" w:hAnsi="Times New Roman" w:cs="Times New Roman"/>
                <w:color w:val="auto"/>
                <w:sz w:val="24"/>
                <w:highlight w:val="none"/>
                <w:lang w:val="en-US" w:eastAsia="zh-CN"/>
              </w:rPr>
              <w:t>溢流缓冲</w:t>
            </w:r>
            <w:r>
              <w:rPr>
                <w:rFonts w:hint="default" w:ascii="Times New Roman" w:hAnsi="Times New Roman" w:cs="Times New Roman"/>
                <w:color w:val="auto"/>
                <w:sz w:val="24"/>
                <w:highlight w:val="none"/>
              </w:rPr>
              <w:t>箱</w:t>
            </w:r>
          </w:p>
        </w:tc>
        <w:tc>
          <w:tcPr>
            <w:tcW w:w="1704" w:type="dxa"/>
            <w:gridSpan w:val="2"/>
            <w:noWrap w:val="0"/>
            <w:vAlign w:val="center"/>
          </w:tcPr>
          <w:p w14:paraId="2F74BD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296123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033B86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9919A6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6D2CC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3BD7DB3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1555" w:type="dxa"/>
            <w:noWrap w:val="0"/>
            <w:vAlign w:val="center"/>
          </w:tcPr>
          <w:p w14:paraId="3AA9AD7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AECE7F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B5D17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550390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有效容积</w:t>
            </w:r>
          </w:p>
        </w:tc>
        <w:tc>
          <w:tcPr>
            <w:tcW w:w="1704" w:type="dxa"/>
            <w:gridSpan w:val="2"/>
            <w:noWrap w:val="0"/>
            <w:vAlign w:val="center"/>
          </w:tcPr>
          <w:p w14:paraId="4CA6BC6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p>
        </w:tc>
        <w:tc>
          <w:tcPr>
            <w:tcW w:w="1555" w:type="dxa"/>
            <w:noWrap w:val="0"/>
            <w:vAlign w:val="center"/>
          </w:tcPr>
          <w:p w14:paraId="0ECD52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F11A48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40D438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870739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直径</w:t>
            </w:r>
          </w:p>
        </w:tc>
        <w:tc>
          <w:tcPr>
            <w:tcW w:w="1704" w:type="dxa"/>
            <w:gridSpan w:val="2"/>
            <w:noWrap w:val="0"/>
            <w:vAlign w:val="center"/>
          </w:tcPr>
          <w:p w14:paraId="62EF64D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p>
        </w:tc>
        <w:tc>
          <w:tcPr>
            <w:tcW w:w="1555" w:type="dxa"/>
            <w:noWrap w:val="0"/>
            <w:vAlign w:val="center"/>
          </w:tcPr>
          <w:p w14:paraId="1891DB1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FECA91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4B4704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8C7546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高</w:t>
            </w:r>
          </w:p>
        </w:tc>
        <w:tc>
          <w:tcPr>
            <w:tcW w:w="1704" w:type="dxa"/>
            <w:gridSpan w:val="2"/>
            <w:noWrap w:val="0"/>
            <w:vAlign w:val="center"/>
          </w:tcPr>
          <w:p w14:paraId="4ABD5AF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p>
        </w:tc>
        <w:tc>
          <w:tcPr>
            <w:tcW w:w="1555" w:type="dxa"/>
            <w:noWrap w:val="0"/>
            <w:vAlign w:val="center"/>
          </w:tcPr>
          <w:p w14:paraId="4E38085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9CF2C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F967D8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0E682F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材料/防腐材料</w:t>
            </w:r>
          </w:p>
        </w:tc>
        <w:tc>
          <w:tcPr>
            <w:tcW w:w="1704" w:type="dxa"/>
            <w:gridSpan w:val="2"/>
            <w:noWrap w:val="0"/>
            <w:vAlign w:val="center"/>
          </w:tcPr>
          <w:p w14:paraId="7FC637D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65D120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5FB7E4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80019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3240AD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搅拌器数量</w:t>
            </w:r>
          </w:p>
        </w:tc>
        <w:tc>
          <w:tcPr>
            <w:tcW w:w="1704" w:type="dxa"/>
            <w:gridSpan w:val="2"/>
            <w:noWrap w:val="0"/>
            <w:vAlign w:val="center"/>
          </w:tcPr>
          <w:p w14:paraId="0764478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1555" w:type="dxa"/>
            <w:noWrap w:val="0"/>
            <w:vAlign w:val="center"/>
          </w:tcPr>
          <w:p w14:paraId="287CD5B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F525FD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C4B273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BAA842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搅拌器功率</w:t>
            </w:r>
          </w:p>
        </w:tc>
        <w:tc>
          <w:tcPr>
            <w:tcW w:w="1704" w:type="dxa"/>
            <w:gridSpan w:val="2"/>
            <w:noWrap w:val="0"/>
            <w:vAlign w:val="center"/>
          </w:tcPr>
          <w:p w14:paraId="0E6AE85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18EFA33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0B541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48EE84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(5)</w:t>
            </w:r>
          </w:p>
        </w:tc>
        <w:tc>
          <w:tcPr>
            <w:tcW w:w="4388" w:type="dxa"/>
            <w:noWrap w:val="0"/>
            <w:vAlign w:val="center"/>
          </w:tcPr>
          <w:p w14:paraId="32EE921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cs="Times New Roman"/>
                <w:color w:val="auto"/>
                <w:sz w:val="24"/>
                <w:highlight w:val="none"/>
                <w:lang w:val="en-US" w:eastAsia="zh-CN"/>
              </w:rPr>
              <w:t>废</w:t>
            </w:r>
            <w:r>
              <w:rPr>
                <w:rFonts w:hint="default" w:ascii="Times New Roman" w:hAnsi="Times New Roman" w:cs="Times New Roman"/>
                <w:color w:val="auto"/>
                <w:sz w:val="24"/>
                <w:highlight w:val="none"/>
              </w:rPr>
              <w:t>水</w:t>
            </w:r>
            <w:r>
              <w:rPr>
                <w:rFonts w:hint="eastAsia" w:cs="Times New Roman"/>
                <w:color w:val="auto"/>
                <w:sz w:val="24"/>
                <w:highlight w:val="none"/>
                <w:lang w:val="en-US" w:eastAsia="zh-CN"/>
              </w:rPr>
              <w:t>旋流站供给</w:t>
            </w:r>
            <w:r>
              <w:rPr>
                <w:rFonts w:hint="default" w:ascii="Times New Roman" w:hAnsi="Times New Roman" w:cs="Times New Roman"/>
                <w:color w:val="auto"/>
                <w:sz w:val="24"/>
                <w:highlight w:val="none"/>
              </w:rPr>
              <w:t>泵</w:t>
            </w:r>
          </w:p>
        </w:tc>
        <w:tc>
          <w:tcPr>
            <w:tcW w:w="1704" w:type="dxa"/>
            <w:gridSpan w:val="2"/>
            <w:noWrap w:val="0"/>
            <w:vAlign w:val="center"/>
          </w:tcPr>
          <w:p w14:paraId="7F6C0B3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FAF0A5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82CE75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04612C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1F16C8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0FB31FB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台</w:t>
            </w:r>
          </w:p>
        </w:tc>
        <w:tc>
          <w:tcPr>
            <w:tcW w:w="1555" w:type="dxa"/>
            <w:noWrap w:val="0"/>
            <w:vAlign w:val="center"/>
          </w:tcPr>
          <w:p w14:paraId="5FE5871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7798C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D6F6B1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5CFFE1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形式</w:t>
            </w:r>
          </w:p>
        </w:tc>
        <w:tc>
          <w:tcPr>
            <w:tcW w:w="1704" w:type="dxa"/>
            <w:gridSpan w:val="2"/>
            <w:noWrap w:val="0"/>
            <w:vAlign w:val="center"/>
          </w:tcPr>
          <w:p w14:paraId="7D159CF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8C5D2A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24FBB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458A50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A647D2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壳体/叶轮材料</w:t>
            </w:r>
          </w:p>
        </w:tc>
        <w:tc>
          <w:tcPr>
            <w:tcW w:w="1704" w:type="dxa"/>
            <w:gridSpan w:val="2"/>
            <w:noWrap w:val="0"/>
            <w:vAlign w:val="center"/>
          </w:tcPr>
          <w:p w14:paraId="7A50EC0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D692EC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775313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D5B300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69DF07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扬程</w:t>
            </w:r>
          </w:p>
        </w:tc>
        <w:tc>
          <w:tcPr>
            <w:tcW w:w="1704" w:type="dxa"/>
            <w:gridSpan w:val="2"/>
            <w:noWrap w:val="0"/>
            <w:vAlign w:val="center"/>
          </w:tcPr>
          <w:p w14:paraId="0C1FCDD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kPa</w:t>
            </w:r>
          </w:p>
        </w:tc>
        <w:tc>
          <w:tcPr>
            <w:tcW w:w="1555" w:type="dxa"/>
            <w:noWrap w:val="0"/>
            <w:vAlign w:val="center"/>
          </w:tcPr>
          <w:p w14:paraId="4256F96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21C112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144CEE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467FC6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流量</w:t>
            </w:r>
          </w:p>
        </w:tc>
        <w:tc>
          <w:tcPr>
            <w:tcW w:w="1704" w:type="dxa"/>
            <w:gridSpan w:val="2"/>
            <w:noWrap w:val="0"/>
            <w:vAlign w:val="center"/>
          </w:tcPr>
          <w:p w14:paraId="4AE5286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0300EA5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34A9F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7F9C9C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97A16F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介质含固量</w:t>
            </w:r>
          </w:p>
        </w:tc>
        <w:tc>
          <w:tcPr>
            <w:tcW w:w="1704" w:type="dxa"/>
            <w:gridSpan w:val="2"/>
            <w:noWrap w:val="0"/>
            <w:vAlign w:val="center"/>
          </w:tcPr>
          <w:p w14:paraId="33E6834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3AE7E04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668305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E47E79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FF4A4E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电机功率</w:t>
            </w:r>
          </w:p>
        </w:tc>
        <w:tc>
          <w:tcPr>
            <w:tcW w:w="1704" w:type="dxa"/>
            <w:gridSpan w:val="2"/>
            <w:noWrap w:val="0"/>
            <w:vAlign w:val="center"/>
          </w:tcPr>
          <w:p w14:paraId="047A5A0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13DC0F4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9F230F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FB541B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cs="Times New Roman"/>
                <w:color w:val="auto"/>
                <w:sz w:val="24"/>
                <w:highlight w:val="none"/>
                <w:lang w:val="en-US" w:eastAsia="zh-CN"/>
              </w:rPr>
              <w:t>（6）</w:t>
            </w:r>
          </w:p>
        </w:tc>
        <w:tc>
          <w:tcPr>
            <w:tcW w:w="4388" w:type="dxa"/>
            <w:noWrap w:val="0"/>
            <w:vAlign w:val="center"/>
          </w:tcPr>
          <w:p w14:paraId="3CB0F94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废水旋流站</w:t>
            </w:r>
          </w:p>
        </w:tc>
        <w:tc>
          <w:tcPr>
            <w:tcW w:w="1704" w:type="dxa"/>
            <w:gridSpan w:val="2"/>
            <w:noWrap w:val="0"/>
            <w:vAlign w:val="center"/>
          </w:tcPr>
          <w:p w14:paraId="2003570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5FDBED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AEA06A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7AA993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p>
        </w:tc>
        <w:tc>
          <w:tcPr>
            <w:tcW w:w="4388" w:type="dxa"/>
            <w:noWrap w:val="0"/>
            <w:vAlign w:val="center"/>
          </w:tcPr>
          <w:p w14:paraId="68923DD6">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数量</w:t>
            </w:r>
          </w:p>
        </w:tc>
        <w:tc>
          <w:tcPr>
            <w:tcW w:w="1704" w:type="dxa"/>
            <w:gridSpan w:val="2"/>
            <w:noWrap w:val="0"/>
            <w:vAlign w:val="center"/>
          </w:tcPr>
          <w:p w14:paraId="6746F26D">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套</w:t>
            </w:r>
          </w:p>
        </w:tc>
        <w:tc>
          <w:tcPr>
            <w:tcW w:w="1555" w:type="dxa"/>
            <w:noWrap w:val="0"/>
            <w:vAlign w:val="center"/>
          </w:tcPr>
          <w:p w14:paraId="594395F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298FB8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0873A2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4DF2D6B">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旋流子总数</w:t>
            </w:r>
          </w:p>
        </w:tc>
        <w:tc>
          <w:tcPr>
            <w:tcW w:w="1704" w:type="dxa"/>
            <w:gridSpan w:val="2"/>
            <w:noWrap w:val="0"/>
            <w:vAlign w:val="center"/>
          </w:tcPr>
          <w:p w14:paraId="65FF4713">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个</w:t>
            </w:r>
          </w:p>
        </w:tc>
        <w:tc>
          <w:tcPr>
            <w:tcW w:w="1555" w:type="dxa"/>
            <w:noWrap w:val="0"/>
            <w:vAlign w:val="center"/>
          </w:tcPr>
          <w:p w14:paraId="43721F0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19D8B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5FA2FC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50B74EF">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旋流子备用数</w:t>
            </w:r>
          </w:p>
        </w:tc>
        <w:tc>
          <w:tcPr>
            <w:tcW w:w="1704" w:type="dxa"/>
            <w:gridSpan w:val="2"/>
            <w:noWrap w:val="0"/>
            <w:vAlign w:val="center"/>
          </w:tcPr>
          <w:p w14:paraId="7D67458C">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个</w:t>
            </w:r>
          </w:p>
        </w:tc>
        <w:tc>
          <w:tcPr>
            <w:tcW w:w="1555" w:type="dxa"/>
            <w:noWrap w:val="0"/>
            <w:vAlign w:val="center"/>
          </w:tcPr>
          <w:p w14:paraId="0F43A7C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54586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3CBC4C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DE47FEE">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旋流子材质</w:t>
            </w:r>
          </w:p>
        </w:tc>
        <w:tc>
          <w:tcPr>
            <w:tcW w:w="1704" w:type="dxa"/>
            <w:gridSpan w:val="2"/>
            <w:noWrap w:val="0"/>
            <w:vAlign w:val="center"/>
          </w:tcPr>
          <w:p w14:paraId="7EF73031">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p>
        </w:tc>
        <w:tc>
          <w:tcPr>
            <w:tcW w:w="1555" w:type="dxa"/>
            <w:noWrap w:val="0"/>
            <w:vAlign w:val="center"/>
          </w:tcPr>
          <w:p w14:paraId="075381D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C8F74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CDFDD6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9A21D46">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给料含固量</w:t>
            </w:r>
          </w:p>
        </w:tc>
        <w:tc>
          <w:tcPr>
            <w:tcW w:w="1704" w:type="dxa"/>
            <w:gridSpan w:val="2"/>
            <w:noWrap w:val="0"/>
            <w:vAlign w:val="center"/>
          </w:tcPr>
          <w:p w14:paraId="3A4CB9CF">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w:t>
            </w:r>
          </w:p>
        </w:tc>
        <w:tc>
          <w:tcPr>
            <w:tcW w:w="1555" w:type="dxa"/>
            <w:noWrap w:val="0"/>
            <w:vAlign w:val="center"/>
          </w:tcPr>
          <w:p w14:paraId="33C2C68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59204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3F2316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CEA632E">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溢流含固量</w:t>
            </w:r>
          </w:p>
        </w:tc>
        <w:tc>
          <w:tcPr>
            <w:tcW w:w="1704" w:type="dxa"/>
            <w:gridSpan w:val="2"/>
            <w:noWrap w:val="0"/>
            <w:vAlign w:val="center"/>
          </w:tcPr>
          <w:p w14:paraId="36DF1D2E">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w:t>
            </w:r>
          </w:p>
        </w:tc>
        <w:tc>
          <w:tcPr>
            <w:tcW w:w="1555" w:type="dxa"/>
            <w:noWrap w:val="0"/>
            <w:vAlign w:val="center"/>
          </w:tcPr>
          <w:p w14:paraId="3047D15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03082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8EDE22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869758A">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底流含固量</w:t>
            </w:r>
          </w:p>
        </w:tc>
        <w:tc>
          <w:tcPr>
            <w:tcW w:w="1704" w:type="dxa"/>
            <w:gridSpan w:val="2"/>
            <w:noWrap w:val="0"/>
            <w:vAlign w:val="center"/>
          </w:tcPr>
          <w:p w14:paraId="6F4F5CF5">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w:t>
            </w:r>
          </w:p>
        </w:tc>
        <w:tc>
          <w:tcPr>
            <w:tcW w:w="1555" w:type="dxa"/>
            <w:noWrap w:val="0"/>
            <w:vAlign w:val="center"/>
          </w:tcPr>
          <w:p w14:paraId="58F8896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2857E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B85F19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cs="Times New Roman"/>
                <w:color w:val="auto"/>
                <w:sz w:val="24"/>
                <w:highlight w:val="none"/>
                <w:lang w:val="en-US" w:eastAsia="zh-CN"/>
              </w:rPr>
              <w:t>（7）</w:t>
            </w:r>
          </w:p>
        </w:tc>
        <w:tc>
          <w:tcPr>
            <w:tcW w:w="4388" w:type="dxa"/>
            <w:noWrap w:val="0"/>
            <w:vAlign w:val="center"/>
          </w:tcPr>
          <w:p w14:paraId="23A6E128">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废水泵</w:t>
            </w:r>
          </w:p>
        </w:tc>
        <w:tc>
          <w:tcPr>
            <w:tcW w:w="1704" w:type="dxa"/>
            <w:gridSpan w:val="2"/>
            <w:noWrap w:val="0"/>
            <w:vAlign w:val="center"/>
          </w:tcPr>
          <w:p w14:paraId="09B4CE02">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cs="Times New Roman"/>
                <w:color w:val="auto"/>
                <w:sz w:val="24"/>
                <w:highlight w:val="none"/>
              </w:rPr>
            </w:pPr>
          </w:p>
        </w:tc>
        <w:tc>
          <w:tcPr>
            <w:tcW w:w="1555" w:type="dxa"/>
            <w:noWrap w:val="0"/>
            <w:vAlign w:val="center"/>
          </w:tcPr>
          <w:p w14:paraId="11F70E3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2F61B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9F61B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7EE61DE">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数量</w:t>
            </w:r>
          </w:p>
        </w:tc>
        <w:tc>
          <w:tcPr>
            <w:tcW w:w="1704" w:type="dxa"/>
            <w:gridSpan w:val="2"/>
            <w:noWrap w:val="0"/>
            <w:vAlign w:val="center"/>
          </w:tcPr>
          <w:p w14:paraId="217FC1F1">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台</w:t>
            </w:r>
          </w:p>
        </w:tc>
        <w:tc>
          <w:tcPr>
            <w:tcW w:w="1555" w:type="dxa"/>
            <w:noWrap w:val="0"/>
            <w:vAlign w:val="center"/>
          </w:tcPr>
          <w:p w14:paraId="5E7295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F1023E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0122F4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E91F46E">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形式</w:t>
            </w:r>
          </w:p>
        </w:tc>
        <w:tc>
          <w:tcPr>
            <w:tcW w:w="1704" w:type="dxa"/>
            <w:gridSpan w:val="2"/>
            <w:noWrap w:val="0"/>
            <w:vAlign w:val="center"/>
          </w:tcPr>
          <w:p w14:paraId="2D8C8343">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p>
        </w:tc>
        <w:tc>
          <w:tcPr>
            <w:tcW w:w="1555" w:type="dxa"/>
            <w:noWrap w:val="0"/>
            <w:vAlign w:val="center"/>
          </w:tcPr>
          <w:p w14:paraId="1687180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7DAE6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3FE34D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381D11E">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壳体/叶轮材料</w:t>
            </w:r>
          </w:p>
        </w:tc>
        <w:tc>
          <w:tcPr>
            <w:tcW w:w="1704" w:type="dxa"/>
            <w:gridSpan w:val="2"/>
            <w:noWrap w:val="0"/>
            <w:vAlign w:val="center"/>
          </w:tcPr>
          <w:p w14:paraId="6C82B862">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p>
        </w:tc>
        <w:tc>
          <w:tcPr>
            <w:tcW w:w="1555" w:type="dxa"/>
            <w:noWrap w:val="0"/>
            <w:vAlign w:val="center"/>
          </w:tcPr>
          <w:p w14:paraId="5306C17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035FAA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A43B21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E2BDD7A">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扬程</w:t>
            </w:r>
          </w:p>
        </w:tc>
        <w:tc>
          <w:tcPr>
            <w:tcW w:w="1704" w:type="dxa"/>
            <w:gridSpan w:val="2"/>
            <w:noWrap w:val="0"/>
            <w:vAlign w:val="center"/>
          </w:tcPr>
          <w:p w14:paraId="23CD53C5">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kPa</w:t>
            </w:r>
          </w:p>
        </w:tc>
        <w:tc>
          <w:tcPr>
            <w:tcW w:w="1555" w:type="dxa"/>
            <w:noWrap w:val="0"/>
            <w:vAlign w:val="center"/>
          </w:tcPr>
          <w:p w14:paraId="1978F60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AED4E3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E4770F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640BC84">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流量</w:t>
            </w:r>
          </w:p>
        </w:tc>
        <w:tc>
          <w:tcPr>
            <w:tcW w:w="1704" w:type="dxa"/>
            <w:gridSpan w:val="2"/>
            <w:noWrap w:val="0"/>
            <w:vAlign w:val="center"/>
          </w:tcPr>
          <w:p w14:paraId="7954281F">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436AB2D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5F1DC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5CE6A7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B7ABA1F">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介质含固量</w:t>
            </w:r>
          </w:p>
        </w:tc>
        <w:tc>
          <w:tcPr>
            <w:tcW w:w="1704" w:type="dxa"/>
            <w:gridSpan w:val="2"/>
            <w:noWrap w:val="0"/>
            <w:vAlign w:val="center"/>
          </w:tcPr>
          <w:p w14:paraId="3BD46DF7">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w:t>
            </w:r>
          </w:p>
        </w:tc>
        <w:tc>
          <w:tcPr>
            <w:tcW w:w="1555" w:type="dxa"/>
            <w:noWrap w:val="0"/>
            <w:vAlign w:val="center"/>
          </w:tcPr>
          <w:p w14:paraId="732B275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BBC777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7E6BF2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5E82533">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电机功率</w:t>
            </w:r>
          </w:p>
        </w:tc>
        <w:tc>
          <w:tcPr>
            <w:tcW w:w="1704" w:type="dxa"/>
            <w:gridSpan w:val="2"/>
            <w:noWrap w:val="0"/>
            <w:vAlign w:val="center"/>
          </w:tcPr>
          <w:p w14:paraId="79BD3B37">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kW</w:t>
            </w:r>
          </w:p>
        </w:tc>
        <w:tc>
          <w:tcPr>
            <w:tcW w:w="1555" w:type="dxa"/>
            <w:noWrap w:val="0"/>
            <w:vAlign w:val="center"/>
          </w:tcPr>
          <w:p w14:paraId="1570A79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C6BF7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664C35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cs="Times New Roman"/>
                <w:color w:val="auto"/>
                <w:sz w:val="24"/>
                <w:highlight w:val="none"/>
                <w:lang w:val="en-US" w:eastAsia="zh-CN"/>
              </w:rPr>
              <w:t>（8）</w:t>
            </w:r>
          </w:p>
        </w:tc>
        <w:tc>
          <w:tcPr>
            <w:tcW w:w="4388" w:type="dxa"/>
            <w:noWrap w:val="0"/>
            <w:vAlign w:val="center"/>
          </w:tcPr>
          <w:p w14:paraId="409CBD6D">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废水缓冲箱</w:t>
            </w:r>
          </w:p>
        </w:tc>
        <w:tc>
          <w:tcPr>
            <w:tcW w:w="1704" w:type="dxa"/>
            <w:gridSpan w:val="2"/>
            <w:noWrap w:val="0"/>
            <w:vAlign w:val="center"/>
          </w:tcPr>
          <w:p w14:paraId="39B3B80B">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cs="Times New Roman"/>
                <w:color w:val="auto"/>
                <w:sz w:val="24"/>
                <w:highlight w:val="none"/>
              </w:rPr>
            </w:pPr>
          </w:p>
        </w:tc>
        <w:tc>
          <w:tcPr>
            <w:tcW w:w="1555" w:type="dxa"/>
            <w:noWrap w:val="0"/>
            <w:vAlign w:val="center"/>
          </w:tcPr>
          <w:p w14:paraId="4B57907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72482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E73C551">
            <w:pPr>
              <w:keepNext w:val="0"/>
              <w:keepLines w:val="0"/>
              <w:suppressLineNumbers w:val="0"/>
              <w:adjustRightInd w:val="0"/>
              <w:snapToGrid w:val="0"/>
              <w:spacing w:before="0" w:beforeAutospacing="0" w:after="0" w:afterAutospacing="0" w:line="360" w:lineRule="auto"/>
              <w:ind w:left="0" w:right="0"/>
              <w:jc w:val="center"/>
              <w:rPr>
                <w:rFonts w:hint="eastAsia" w:cs="Times New Roman"/>
                <w:color w:val="auto"/>
                <w:sz w:val="24"/>
                <w:highlight w:val="none"/>
                <w:lang w:val="en-US" w:eastAsia="zh-CN"/>
              </w:rPr>
            </w:pPr>
          </w:p>
        </w:tc>
        <w:tc>
          <w:tcPr>
            <w:tcW w:w="4388" w:type="dxa"/>
            <w:noWrap w:val="0"/>
            <w:vAlign w:val="center"/>
          </w:tcPr>
          <w:p w14:paraId="6B46DF0F">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数量</w:t>
            </w:r>
          </w:p>
        </w:tc>
        <w:tc>
          <w:tcPr>
            <w:tcW w:w="1704" w:type="dxa"/>
            <w:gridSpan w:val="2"/>
            <w:noWrap w:val="0"/>
            <w:vAlign w:val="center"/>
          </w:tcPr>
          <w:p w14:paraId="76B30968">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个</w:t>
            </w:r>
          </w:p>
        </w:tc>
        <w:tc>
          <w:tcPr>
            <w:tcW w:w="1555" w:type="dxa"/>
            <w:noWrap w:val="0"/>
            <w:vAlign w:val="center"/>
          </w:tcPr>
          <w:p w14:paraId="46A2ECA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24C34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DBD18A3">
            <w:pPr>
              <w:keepNext w:val="0"/>
              <w:keepLines w:val="0"/>
              <w:suppressLineNumbers w:val="0"/>
              <w:adjustRightInd w:val="0"/>
              <w:snapToGrid w:val="0"/>
              <w:spacing w:before="0" w:beforeAutospacing="0" w:after="0" w:afterAutospacing="0" w:line="360" w:lineRule="auto"/>
              <w:ind w:left="0" w:right="0"/>
              <w:jc w:val="center"/>
              <w:rPr>
                <w:rFonts w:hint="eastAsia" w:cs="Times New Roman"/>
                <w:color w:val="auto"/>
                <w:sz w:val="24"/>
                <w:highlight w:val="none"/>
                <w:lang w:val="en-US" w:eastAsia="zh-CN"/>
              </w:rPr>
            </w:pPr>
          </w:p>
        </w:tc>
        <w:tc>
          <w:tcPr>
            <w:tcW w:w="4388" w:type="dxa"/>
            <w:noWrap w:val="0"/>
            <w:vAlign w:val="center"/>
          </w:tcPr>
          <w:p w14:paraId="4ECDBDE2">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有效容积</w:t>
            </w:r>
          </w:p>
        </w:tc>
        <w:tc>
          <w:tcPr>
            <w:tcW w:w="1704" w:type="dxa"/>
            <w:gridSpan w:val="2"/>
            <w:noWrap w:val="0"/>
            <w:vAlign w:val="center"/>
          </w:tcPr>
          <w:p w14:paraId="65BD4CCF">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p>
        </w:tc>
        <w:tc>
          <w:tcPr>
            <w:tcW w:w="1555" w:type="dxa"/>
            <w:noWrap w:val="0"/>
            <w:vAlign w:val="center"/>
          </w:tcPr>
          <w:p w14:paraId="7C6A93C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C9E75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06E4F2F">
            <w:pPr>
              <w:keepNext w:val="0"/>
              <w:keepLines w:val="0"/>
              <w:suppressLineNumbers w:val="0"/>
              <w:adjustRightInd w:val="0"/>
              <w:snapToGrid w:val="0"/>
              <w:spacing w:before="0" w:beforeAutospacing="0" w:after="0" w:afterAutospacing="0" w:line="360" w:lineRule="auto"/>
              <w:ind w:left="0" w:right="0"/>
              <w:jc w:val="center"/>
              <w:rPr>
                <w:rFonts w:hint="eastAsia" w:cs="Times New Roman"/>
                <w:color w:val="auto"/>
                <w:sz w:val="24"/>
                <w:highlight w:val="none"/>
                <w:lang w:val="en-US" w:eastAsia="zh-CN"/>
              </w:rPr>
            </w:pPr>
          </w:p>
        </w:tc>
        <w:tc>
          <w:tcPr>
            <w:tcW w:w="4388" w:type="dxa"/>
            <w:noWrap w:val="0"/>
            <w:vAlign w:val="center"/>
          </w:tcPr>
          <w:p w14:paraId="15460054">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直径</w:t>
            </w:r>
          </w:p>
        </w:tc>
        <w:tc>
          <w:tcPr>
            <w:tcW w:w="1704" w:type="dxa"/>
            <w:gridSpan w:val="2"/>
            <w:noWrap w:val="0"/>
            <w:vAlign w:val="center"/>
          </w:tcPr>
          <w:p w14:paraId="11DEAB57">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m</w:t>
            </w:r>
          </w:p>
        </w:tc>
        <w:tc>
          <w:tcPr>
            <w:tcW w:w="1555" w:type="dxa"/>
            <w:noWrap w:val="0"/>
            <w:vAlign w:val="center"/>
          </w:tcPr>
          <w:p w14:paraId="6FD4AFB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87CC97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C5927F4">
            <w:pPr>
              <w:keepNext w:val="0"/>
              <w:keepLines w:val="0"/>
              <w:suppressLineNumbers w:val="0"/>
              <w:adjustRightInd w:val="0"/>
              <w:snapToGrid w:val="0"/>
              <w:spacing w:before="0" w:beforeAutospacing="0" w:after="0" w:afterAutospacing="0" w:line="360" w:lineRule="auto"/>
              <w:ind w:left="0" w:right="0"/>
              <w:jc w:val="center"/>
              <w:rPr>
                <w:rFonts w:hint="eastAsia" w:cs="Times New Roman"/>
                <w:color w:val="auto"/>
                <w:sz w:val="24"/>
                <w:highlight w:val="none"/>
                <w:lang w:val="en-US" w:eastAsia="zh-CN"/>
              </w:rPr>
            </w:pPr>
          </w:p>
        </w:tc>
        <w:tc>
          <w:tcPr>
            <w:tcW w:w="4388" w:type="dxa"/>
            <w:noWrap w:val="0"/>
            <w:vAlign w:val="center"/>
          </w:tcPr>
          <w:p w14:paraId="592299B1">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高</w:t>
            </w:r>
          </w:p>
        </w:tc>
        <w:tc>
          <w:tcPr>
            <w:tcW w:w="1704" w:type="dxa"/>
            <w:gridSpan w:val="2"/>
            <w:noWrap w:val="0"/>
            <w:vAlign w:val="center"/>
          </w:tcPr>
          <w:p w14:paraId="41052C08">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m</w:t>
            </w:r>
          </w:p>
        </w:tc>
        <w:tc>
          <w:tcPr>
            <w:tcW w:w="1555" w:type="dxa"/>
            <w:noWrap w:val="0"/>
            <w:vAlign w:val="center"/>
          </w:tcPr>
          <w:p w14:paraId="24BAECB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0C60D1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1E7C6E3">
            <w:pPr>
              <w:keepNext w:val="0"/>
              <w:keepLines w:val="0"/>
              <w:suppressLineNumbers w:val="0"/>
              <w:adjustRightInd w:val="0"/>
              <w:snapToGrid w:val="0"/>
              <w:spacing w:before="0" w:beforeAutospacing="0" w:after="0" w:afterAutospacing="0" w:line="360" w:lineRule="auto"/>
              <w:ind w:left="0" w:right="0"/>
              <w:jc w:val="center"/>
              <w:rPr>
                <w:rFonts w:hint="eastAsia" w:cs="Times New Roman"/>
                <w:color w:val="auto"/>
                <w:sz w:val="24"/>
                <w:highlight w:val="none"/>
                <w:lang w:val="en-US" w:eastAsia="zh-CN"/>
              </w:rPr>
            </w:pPr>
          </w:p>
        </w:tc>
        <w:tc>
          <w:tcPr>
            <w:tcW w:w="4388" w:type="dxa"/>
            <w:noWrap w:val="0"/>
            <w:vAlign w:val="center"/>
          </w:tcPr>
          <w:p w14:paraId="0C83799D">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材料/防腐材料</w:t>
            </w:r>
          </w:p>
        </w:tc>
        <w:tc>
          <w:tcPr>
            <w:tcW w:w="1704" w:type="dxa"/>
            <w:gridSpan w:val="2"/>
            <w:noWrap w:val="0"/>
            <w:vAlign w:val="center"/>
          </w:tcPr>
          <w:p w14:paraId="548E89C8">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p>
        </w:tc>
        <w:tc>
          <w:tcPr>
            <w:tcW w:w="1555" w:type="dxa"/>
            <w:noWrap w:val="0"/>
            <w:vAlign w:val="center"/>
          </w:tcPr>
          <w:p w14:paraId="4C65609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8B947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2B0426F">
            <w:pPr>
              <w:keepNext w:val="0"/>
              <w:keepLines w:val="0"/>
              <w:suppressLineNumbers w:val="0"/>
              <w:adjustRightInd w:val="0"/>
              <w:snapToGrid w:val="0"/>
              <w:spacing w:before="0" w:beforeAutospacing="0" w:after="0" w:afterAutospacing="0" w:line="360" w:lineRule="auto"/>
              <w:ind w:left="0" w:right="0"/>
              <w:jc w:val="center"/>
              <w:rPr>
                <w:rFonts w:hint="eastAsia" w:cs="Times New Roman"/>
                <w:color w:val="auto"/>
                <w:sz w:val="24"/>
                <w:highlight w:val="none"/>
                <w:lang w:val="en-US" w:eastAsia="zh-CN"/>
              </w:rPr>
            </w:pPr>
          </w:p>
        </w:tc>
        <w:tc>
          <w:tcPr>
            <w:tcW w:w="4388" w:type="dxa"/>
            <w:noWrap w:val="0"/>
            <w:vAlign w:val="center"/>
          </w:tcPr>
          <w:p w14:paraId="00999F94">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搅拌器数量</w:t>
            </w:r>
          </w:p>
        </w:tc>
        <w:tc>
          <w:tcPr>
            <w:tcW w:w="1704" w:type="dxa"/>
            <w:gridSpan w:val="2"/>
            <w:noWrap w:val="0"/>
            <w:vAlign w:val="center"/>
          </w:tcPr>
          <w:p w14:paraId="7BC31132">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个</w:t>
            </w:r>
          </w:p>
        </w:tc>
        <w:tc>
          <w:tcPr>
            <w:tcW w:w="1555" w:type="dxa"/>
            <w:noWrap w:val="0"/>
            <w:vAlign w:val="center"/>
          </w:tcPr>
          <w:p w14:paraId="0639098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248BB4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BB16B2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DB62059">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搅拌器功率</w:t>
            </w:r>
          </w:p>
        </w:tc>
        <w:tc>
          <w:tcPr>
            <w:tcW w:w="1704" w:type="dxa"/>
            <w:gridSpan w:val="2"/>
            <w:noWrap w:val="0"/>
            <w:vAlign w:val="center"/>
          </w:tcPr>
          <w:p w14:paraId="6EAE9360">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kW</w:t>
            </w:r>
          </w:p>
        </w:tc>
        <w:tc>
          <w:tcPr>
            <w:tcW w:w="1555" w:type="dxa"/>
            <w:noWrap w:val="0"/>
            <w:vAlign w:val="center"/>
          </w:tcPr>
          <w:p w14:paraId="652E589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F72F9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A63FD6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2.4</w:t>
            </w:r>
          </w:p>
        </w:tc>
        <w:tc>
          <w:tcPr>
            <w:tcW w:w="4388" w:type="dxa"/>
            <w:noWrap w:val="0"/>
            <w:vAlign w:val="center"/>
          </w:tcPr>
          <w:p w14:paraId="7494EEE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工艺水及冷却水系统</w:t>
            </w:r>
          </w:p>
        </w:tc>
        <w:tc>
          <w:tcPr>
            <w:tcW w:w="1704" w:type="dxa"/>
            <w:gridSpan w:val="2"/>
            <w:noWrap w:val="0"/>
            <w:vAlign w:val="center"/>
          </w:tcPr>
          <w:p w14:paraId="5FDF309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985029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154C0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345066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r>
              <w:rPr>
                <w:rFonts w:hint="eastAsia" w:ascii="Times New Roman" w:hAnsi="Times New Roman" w:cs="Times New Roman"/>
                <w:color w:val="auto"/>
                <w:sz w:val="24"/>
                <w:highlight w:val="none"/>
                <w:lang w:val="en-US" w:eastAsia="zh-CN"/>
              </w:rPr>
              <w:t>1</w:t>
            </w:r>
            <w:r>
              <w:rPr>
                <w:rFonts w:hint="default" w:ascii="Times New Roman" w:hAnsi="Times New Roman" w:cs="Times New Roman"/>
                <w:color w:val="auto"/>
                <w:sz w:val="24"/>
                <w:highlight w:val="none"/>
              </w:rPr>
              <w:t>)</w:t>
            </w:r>
          </w:p>
        </w:tc>
        <w:tc>
          <w:tcPr>
            <w:tcW w:w="4388" w:type="dxa"/>
            <w:noWrap w:val="0"/>
            <w:vAlign w:val="center"/>
          </w:tcPr>
          <w:p w14:paraId="798A161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工艺水泵</w:t>
            </w:r>
          </w:p>
        </w:tc>
        <w:tc>
          <w:tcPr>
            <w:tcW w:w="1704" w:type="dxa"/>
            <w:gridSpan w:val="2"/>
            <w:noWrap w:val="0"/>
            <w:vAlign w:val="center"/>
          </w:tcPr>
          <w:p w14:paraId="081B929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216CBB9">
            <w:pPr>
              <w:keepNext w:val="0"/>
              <w:keepLines w:val="0"/>
              <w:suppressLineNumbers w:val="0"/>
              <w:adjustRightInd w:val="0"/>
              <w:snapToGrid w:val="0"/>
              <w:spacing w:before="0" w:beforeAutospacing="0" w:after="0" w:afterAutospacing="0" w:line="360" w:lineRule="auto"/>
              <w:ind w:left="0" w:right="0"/>
              <w:jc w:val="both"/>
              <w:rPr>
                <w:rFonts w:hint="default" w:ascii="Times New Roman" w:hAnsi="Times New Roman" w:eastAsia="宋体" w:cs="Times New Roman"/>
                <w:color w:val="auto"/>
                <w:sz w:val="24"/>
                <w:highlight w:val="none"/>
                <w:lang w:val="en-US" w:eastAsia="zh-CN"/>
              </w:rPr>
            </w:pPr>
          </w:p>
        </w:tc>
      </w:tr>
      <w:tr w14:paraId="1AF8309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7F4D2C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A469EB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178EF94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台</w:t>
            </w:r>
          </w:p>
        </w:tc>
        <w:tc>
          <w:tcPr>
            <w:tcW w:w="1555" w:type="dxa"/>
            <w:noWrap w:val="0"/>
            <w:vAlign w:val="center"/>
          </w:tcPr>
          <w:p w14:paraId="18599F2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12EE3A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956F3D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958E46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型式</w:t>
            </w:r>
          </w:p>
        </w:tc>
        <w:tc>
          <w:tcPr>
            <w:tcW w:w="1704" w:type="dxa"/>
            <w:gridSpan w:val="2"/>
            <w:noWrap w:val="0"/>
            <w:vAlign w:val="center"/>
          </w:tcPr>
          <w:p w14:paraId="62D3996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FA83C6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3D432C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B4CA7D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6F016F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壳体材质</w:t>
            </w:r>
          </w:p>
        </w:tc>
        <w:tc>
          <w:tcPr>
            <w:tcW w:w="1704" w:type="dxa"/>
            <w:gridSpan w:val="2"/>
            <w:noWrap w:val="0"/>
            <w:vAlign w:val="center"/>
          </w:tcPr>
          <w:p w14:paraId="7AB5372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F8A46F8">
            <w:pPr>
              <w:keepNext w:val="0"/>
              <w:keepLines w:val="0"/>
              <w:suppressLineNumbers w:val="0"/>
              <w:spacing w:before="0" w:beforeAutospacing="0" w:after="0" w:afterAutospacing="0"/>
              <w:ind w:left="0" w:right="0"/>
              <w:jc w:val="center"/>
              <w:rPr>
                <w:rFonts w:hint="eastAsia" w:ascii="Times New Roman" w:hAnsi="Times New Roman" w:cs="Times New Roman"/>
                <w:color w:val="auto"/>
                <w:szCs w:val="21"/>
                <w:highlight w:val="none"/>
              </w:rPr>
            </w:pPr>
          </w:p>
        </w:tc>
      </w:tr>
      <w:tr w14:paraId="2A26868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4CDBAE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0327D3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叶轮材质</w:t>
            </w:r>
          </w:p>
        </w:tc>
        <w:tc>
          <w:tcPr>
            <w:tcW w:w="1704" w:type="dxa"/>
            <w:gridSpan w:val="2"/>
            <w:noWrap w:val="0"/>
            <w:vAlign w:val="center"/>
          </w:tcPr>
          <w:p w14:paraId="531C03D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04255A1">
            <w:pPr>
              <w:keepNext w:val="0"/>
              <w:keepLines w:val="0"/>
              <w:suppressLineNumbers w:val="0"/>
              <w:spacing w:before="0" w:beforeAutospacing="0" w:after="0" w:afterAutospacing="0"/>
              <w:ind w:left="0" w:right="0"/>
              <w:jc w:val="center"/>
              <w:rPr>
                <w:rFonts w:hint="eastAsia" w:ascii="Times New Roman" w:hAnsi="Times New Roman" w:cs="Times New Roman"/>
                <w:color w:val="auto"/>
                <w:szCs w:val="21"/>
                <w:highlight w:val="none"/>
              </w:rPr>
            </w:pPr>
          </w:p>
        </w:tc>
      </w:tr>
      <w:tr w14:paraId="4A1791B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FB46C1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16A262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吸入侧压力</w:t>
            </w:r>
          </w:p>
        </w:tc>
        <w:tc>
          <w:tcPr>
            <w:tcW w:w="1704" w:type="dxa"/>
            <w:gridSpan w:val="2"/>
            <w:noWrap w:val="0"/>
            <w:vAlign w:val="center"/>
          </w:tcPr>
          <w:p w14:paraId="1ED9A20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mH</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O</w:t>
            </w:r>
          </w:p>
        </w:tc>
        <w:tc>
          <w:tcPr>
            <w:tcW w:w="1555" w:type="dxa"/>
            <w:noWrap w:val="0"/>
            <w:vAlign w:val="center"/>
          </w:tcPr>
          <w:p w14:paraId="5FDC443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F9A70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11C651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97697C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扬程</w:t>
            </w:r>
          </w:p>
        </w:tc>
        <w:tc>
          <w:tcPr>
            <w:tcW w:w="1704" w:type="dxa"/>
            <w:gridSpan w:val="2"/>
            <w:noWrap w:val="0"/>
            <w:vAlign w:val="center"/>
          </w:tcPr>
          <w:p w14:paraId="610CDE3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mH</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O</w:t>
            </w:r>
          </w:p>
        </w:tc>
        <w:tc>
          <w:tcPr>
            <w:tcW w:w="1555" w:type="dxa"/>
            <w:noWrap w:val="0"/>
            <w:vAlign w:val="center"/>
          </w:tcPr>
          <w:p w14:paraId="2B3BC64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0D6A9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10C03C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BB1C62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体积流量</w:t>
            </w:r>
          </w:p>
        </w:tc>
        <w:tc>
          <w:tcPr>
            <w:tcW w:w="1704" w:type="dxa"/>
            <w:gridSpan w:val="2"/>
            <w:noWrap w:val="0"/>
            <w:vAlign w:val="center"/>
          </w:tcPr>
          <w:p w14:paraId="515643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2A11D9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80DFF3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903CB3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593C3F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轴功率</w:t>
            </w:r>
          </w:p>
        </w:tc>
        <w:tc>
          <w:tcPr>
            <w:tcW w:w="1704" w:type="dxa"/>
            <w:gridSpan w:val="2"/>
            <w:noWrap w:val="0"/>
            <w:vAlign w:val="center"/>
          </w:tcPr>
          <w:p w14:paraId="0F9255E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0038D17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B66B1F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D1F963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E2FF64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电机功率</w:t>
            </w:r>
          </w:p>
        </w:tc>
        <w:tc>
          <w:tcPr>
            <w:tcW w:w="1704" w:type="dxa"/>
            <w:gridSpan w:val="2"/>
            <w:noWrap w:val="0"/>
            <w:vAlign w:val="center"/>
          </w:tcPr>
          <w:p w14:paraId="3723AB9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48A6022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61165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5F075F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r>
              <w:rPr>
                <w:rFonts w:hint="eastAsia" w:ascii="Times New Roman" w:hAnsi="Times New Roman" w:cs="Times New Roman"/>
                <w:color w:val="auto"/>
                <w:sz w:val="24"/>
                <w:highlight w:val="none"/>
                <w:lang w:val="en-US" w:eastAsia="zh-CN"/>
              </w:rPr>
              <w:t>2</w:t>
            </w:r>
            <w:r>
              <w:rPr>
                <w:rFonts w:hint="default" w:ascii="Times New Roman" w:hAnsi="Times New Roman" w:cs="Times New Roman"/>
                <w:color w:val="auto"/>
                <w:sz w:val="24"/>
                <w:highlight w:val="none"/>
              </w:rPr>
              <w:t>)</w:t>
            </w:r>
          </w:p>
        </w:tc>
        <w:tc>
          <w:tcPr>
            <w:tcW w:w="4388" w:type="dxa"/>
            <w:noWrap w:val="0"/>
            <w:vAlign w:val="center"/>
          </w:tcPr>
          <w:p w14:paraId="17AB377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除雾器</w:t>
            </w:r>
            <w:r>
              <w:rPr>
                <w:rFonts w:hint="default" w:ascii="Times New Roman" w:hAnsi="Times New Roman" w:cs="Times New Roman"/>
                <w:color w:val="auto"/>
                <w:sz w:val="24"/>
                <w:highlight w:val="none"/>
              </w:rPr>
              <w:t>冲洗水泵</w:t>
            </w:r>
          </w:p>
        </w:tc>
        <w:tc>
          <w:tcPr>
            <w:tcW w:w="1704" w:type="dxa"/>
            <w:gridSpan w:val="2"/>
            <w:noWrap w:val="0"/>
            <w:vAlign w:val="center"/>
          </w:tcPr>
          <w:p w14:paraId="26DA748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7E13369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E14AD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6CB2BE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239C49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21B08D0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台</w:t>
            </w:r>
          </w:p>
        </w:tc>
        <w:tc>
          <w:tcPr>
            <w:tcW w:w="1555" w:type="dxa"/>
            <w:noWrap w:val="0"/>
            <w:vAlign w:val="center"/>
          </w:tcPr>
          <w:p w14:paraId="755EFD9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77B1F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5BEBBA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E8366D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型式</w:t>
            </w:r>
          </w:p>
        </w:tc>
        <w:tc>
          <w:tcPr>
            <w:tcW w:w="1704" w:type="dxa"/>
            <w:gridSpan w:val="2"/>
            <w:noWrap w:val="0"/>
            <w:vAlign w:val="center"/>
          </w:tcPr>
          <w:p w14:paraId="77FE602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36CE0C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8FA7C2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58F5E7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15F0BE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壳体材质</w:t>
            </w:r>
          </w:p>
        </w:tc>
        <w:tc>
          <w:tcPr>
            <w:tcW w:w="1704" w:type="dxa"/>
            <w:gridSpan w:val="2"/>
            <w:noWrap w:val="0"/>
            <w:vAlign w:val="center"/>
          </w:tcPr>
          <w:p w14:paraId="3055552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E2A9CBC">
            <w:pPr>
              <w:keepNext w:val="0"/>
              <w:keepLines w:val="0"/>
              <w:suppressLineNumbers w:val="0"/>
              <w:spacing w:before="0" w:beforeAutospacing="0" w:after="0" w:afterAutospacing="0"/>
              <w:ind w:left="0" w:right="0"/>
              <w:jc w:val="center"/>
              <w:rPr>
                <w:rFonts w:hint="default" w:ascii="Times New Roman" w:hAnsi="Times New Roman" w:cs="Times New Roman"/>
                <w:color w:val="auto"/>
                <w:szCs w:val="21"/>
                <w:highlight w:val="none"/>
              </w:rPr>
            </w:pPr>
          </w:p>
        </w:tc>
      </w:tr>
      <w:tr w14:paraId="4584177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44961A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22E6D6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叶轮材质</w:t>
            </w:r>
          </w:p>
        </w:tc>
        <w:tc>
          <w:tcPr>
            <w:tcW w:w="1704" w:type="dxa"/>
            <w:gridSpan w:val="2"/>
            <w:noWrap w:val="0"/>
            <w:vAlign w:val="center"/>
          </w:tcPr>
          <w:p w14:paraId="57F5E5A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3FAE599">
            <w:pPr>
              <w:keepNext w:val="0"/>
              <w:keepLines w:val="0"/>
              <w:suppressLineNumbers w:val="0"/>
              <w:spacing w:before="0" w:beforeAutospacing="0" w:after="0" w:afterAutospacing="0"/>
              <w:ind w:left="0" w:right="0"/>
              <w:jc w:val="center"/>
              <w:rPr>
                <w:rFonts w:hint="eastAsia" w:ascii="Times New Roman" w:hAnsi="Times New Roman" w:cs="Times New Roman"/>
                <w:color w:val="auto"/>
                <w:szCs w:val="21"/>
                <w:highlight w:val="none"/>
              </w:rPr>
            </w:pPr>
          </w:p>
        </w:tc>
      </w:tr>
      <w:tr w14:paraId="0EE5718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3872C2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F5A01C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吸入侧压力</w:t>
            </w:r>
          </w:p>
        </w:tc>
        <w:tc>
          <w:tcPr>
            <w:tcW w:w="1704" w:type="dxa"/>
            <w:gridSpan w:val="2"/>
            <w:noWrap w:val="0"/>
            <w:vAlign w:val="center"/>
          </w:tcPr>
          <w:p w14:paraId="2458E6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mH</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O</w:t>
            </w:r>
          </w:p>
        </w:tc>
        <w:tc>
          <w:tcPr>
            <w:tcW w:w="1555" w:type="dxa"/>
            <w:noWrap w:val="0"/>
            <w:vAlign w:val="center"/>
          </w:tcPr>
          <w:p w14:paraId="20BC6E9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C17917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2FC4B2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6BFE3A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扬程</w:t>
            </w:r>
          </w:p>
        </w:tc>
        <w:tc>
          <w:tcPr>
            <w:tcW w:w="1704" w:type="dxa"/>
            <w:gridSpan w:val="2"/>
            <w:noWrap w:val="0"/>
            <w:vAlign w:val="center"/>
          </w:tcPr>
          <w:p w14:paraId="19F3C03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mH</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O</w:t>
            </w:r>
          </w:p>
        </w:tc>
        <w:tc>
          <w:tcPr>
            <w:tcW w:w="1555" w:type="dxa"/>
            <w:noWrap w:val="0"/>
            <w:vAlign w:val="center"/>
          </w:tcPr>
          <w:p w14:paraId="0E00D98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7EBCC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D19008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5ED686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体积流量</w:t>
            </w:r>
          </w:p>
        </w:tc>
        <w:tc>
          <w:tcPr>
            <w:tcW w:w="1704" w:type="dxa"/>
            <w:gridSpan w:val="2"/>
            <w:noWrap w:val="0"/>
            <w:vAlign w:val="center"/>
          </w:tcPr>
          <w:p w14:paraId="736250B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335CC2D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C6FE15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ACB9B5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20435A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轴功率</w:t>
            </w:r>
          </w:p>
        </w:tc>
        <w:tc>
          <w:tcPr>
            <w:tcW w:w="1704" w:type="dxa"/>
            <w:gridSpan w:val="2"/>
            <w:noWrap w:val="0"/>
            <w:vAlign w:val="center"/>
          </w:tcPr>
          <w:p w14:paraId="6BCD714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6ECEAE4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E39A7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D48B2B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5514BA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电机功率</w:t>
            </w:r>
          </w:p>
        </w:tc>
        <w:tc>
          <w:tcPr>
            <w:tcW w:w="1704" w:type="dxa"/>
            <w:gridSpan w:val="2"/>
            <w:noWrap w:val="0"/>
            <w:vAlign w:val="center"/>
          </w:tcPr>
          <w:p w14:paraId="7C288F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7F92F4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E516EF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EF14D8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2.5</w:t>
            </w:r>
          </w:p>
        </w:tc>
        <w:tc>
          <w:tcPr>
            <w:tcW w:w="4388" w:type="dxa"/>
            <w:noWrap w:val="0"/>
            <w:vAlign w:val="center"/>
          </w:tcPr>
          <w:p w14:paraId="2CAD275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浆液疏放系统</w:t>
            </w:r>
          </w:p>
        </w:tc>
        <w:tc>
          <w:tcPr>
            <w:tcW w:w="1704" w:type="dxa"/>
            <w:gridSpan w:val="2"/>
            <w:noWrap w:val="0"/>
            <w:vAlign w:val="center"/>
          </w:tcPr>
          <w:p w14:paraId="0590B18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767F2E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162C0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8B13FD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4388" w:type="dxa"/>
            <w:noWrap w:val="0"/>
            <w:vAlign w:val="center"/>
          </w:tcPr>
          <w:p w14:paraId="3B3CACB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default" w:ascii="Times New Roman" w:hAnsi="Times New Roman" w:cs="Times New Roman"/>
                <w:color w:val="auto"/>
                <w:sz w:val="24"/>
                <w:highlight w:val="none"/>
              </w:rPr>
              <w:t>吸收塔区</w:t>
            </w:r>
            <w:r>
              <w:rPr>
                <w:rFonts w:hint="eastAsia" w:ascii="Times New Roman" w:hAnsi="Times New Roman" w:cs="Times New Roman"/>
                <w:color w:val="auto"/>
                <w:sz w:val="24"/>
                <w:highlight w:val="none"/>
                <w:lang w:val="en-US" w:eastAsia="zh-CN"/>
              </w:rPr>
              <w:t>地坑池（地下、水泥结结构）</w:t>
            </w:r>
          </w:p>
        </w:tc>
        <w:tc>
          <w:tcPr>
            <w:tcW w:w="1704" w:type="dxa"/>
            <w:gridSpan w:val="2"/>
            <w:noWrap w:val="0"/>
            <w:vAlign w:val="center"/>
          </w:tcPr>
          <w:p w14:paraId="71799C0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77A32D8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FD62D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97D22E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F88D8C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6834785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1555" w:type="dxa"/>
            <w:noWrap w:val="0"/>
            <w:vAlign w:val="center"/>
          </w:tcPr>
          <w:p w14:paraId="75D890D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75B6B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58B8A3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1FED1C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－有效容积</w:t>
            </w:r>
          </w:p>
        </w:tc>
        <w:tc>
          <w:tcPr>
            <w:tcW w:w="1704" w:type="dxa"/>
            <w:gridSpan w:val="2"/>
            <w:noWrap w:val="0"/>
            <w:vAlign w:val="center"/>
          </w:tcPr>
          <w:p w14:paraId="6D15706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p>
        </w:tc>
        <w:tc>
          <w:tcPr>
            <w:tcW w:w="1555" w:type="dxa"/>
            <w:noWrap w:val="0"/>
            <w:vAlign w:val="center"/>
          </w:tcPr>
          <w:p w14:paraId="09B4F0D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941C19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D97824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2F5E03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－尺寸（直径×深度或长×宽×深）</w:t>
            </w:r>
          </w:p>
        </w:tc>
        <w:tc>
          <w:tcPr>
            <w:tcW w:w="1704" w:type="dxa"/>
            <w:gridSpan w:val="2"/>
            <w:noWrap w:val="0"/>
            <w:vAlign w:val="center"/>
          </w:tcPr>
          <w:p w14:paraId="1FF1574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p>
        </w:tc>
        <w:tc>
          <w:tcPr>
            <w:tcW w:w="1555" w:type="dxa"/>
            <w:noWrap w:val="0"/>
            <w:vAlign w:val="center"/>
          </w:tcPr>
          <w:p w14:paraId="58D0171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7DEA2D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D730EF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909E00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－防腐材料</w:t>
            </w:r>
          </w:p>
        </w:tc>
        <w:tc>
          <w:tcPr>
            <w:tcW w:w="1704" w:type="dxa"/>
            <w:gridSpan w:val="2"/>
            <w:noWrap w:val="0"/>
            <w:vAlign w:val="center"/>
          </w:tcPr>
          <w:p w14:paraId="6682F57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1B5E8C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6920B6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8FDA8B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C2ACCE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－搅拌器数量</w:t>
            </w:r>
          </w:p>
        </w:tc>
        <w:tc>
          <w:tcPr>
            <w:tcW w:w="1704" w:type="dxa"/>
            <w:gridSpan w:val="2"/>
            <w:noWrap w:val="0"/>
            <w:vAlign w:val="center"/>
          </w:tcPr>
          <w:p w14:paraId="1DFE614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1555" w:type="dxa"/>
            <w:noWrap w:val="0"/>
            <w:vAlign w:val="center"/>
          </w:tcPr>
          <w:p w14:paraId="0F97D13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1649C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7B6A45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373E5D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－搅拌器材料(叶轮/轴)</w:t>
            </w:r>
          </w:p>
        </w:tc>
        <w:tc>
          <w:tcPr>
            <w:tcW w:w="1704" w:type="dxa"/>
            <w:gridSpan w:val="2"/>
            <w:noWrap w:val="0"/>
            <w:vAlign w:val="center"/>
          </w:tcPr>
          <w:p w14:paraId="48B4180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A6760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8AC13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AAA4DF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F1F604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－搅拌器功率</w:t>
            </w:r>
          </w:p>
        </w:tc>
        <w:tc>
          <w:tcPr>
            <w:tcW w:w="1704" w:type="dxa"/>
            <w:gridSpan w:val="2"/>
            <w:noWrap w:val="0"/>
            <w:vAlign w:val="center"/>
          </w:tcPr>
          <w:p w14:paraId="4F4B36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kW</w:t>
            </w:r>
          </w:p>
        </w:tc>
        <w:tc>
          <w:tcPr>
            <w:tcW w:w="1555" w:type="dxa"/>
            <w:noWrap w:val="0"/>
            <w:vAlign w:val="center"/>
          </w:tcPr>
          <w:p w14:paraId="4C6DD3D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3DB090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249FC3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4388" w:type="dxa"/>
            <w:noWrap w:val="0"/>
            <w:vAlign w:val="center"/>
          </w:tcPr>
          <w:p w14:paraId="2216D8B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吸收塔区</w:t>
            </w:r>
            <w:r>
              <w:rPr>
                <w:rFonts w:hint="eastAsia" w:ascii="Times New Roman" w:hAnsi="Times New Roman" w:cs="Times New Roman"/>
                <w:color w:val="auto"/>
                <w:sz w:val="24"/>
                <w:highlight w:val="none"/>
                <w:lang w:val="en-US" w:eastAsia="zh-CN"/>
              </w:rPr>
              <w:t>地坑</w:t>
            </w:r>
            <w:r>
              <w:rPr>
                <w:rFonts w:hint="eastAsia" w:cs="Times New Roman"/>
                <w:color w:val="auto"/>
                <w:sz w:val="24"/>
                <w:highlight w:val="none"/>
                <w:lang w:val="en-US" w:eastAsia="zh-CN"/>
              </w:rPr>
              <w:t>浆液</w:t>
            </w:r>
            <w:r>
              <w:rPr>
                <w:rFonts w:hint="default" w:ascii="Times New Roman" w:hAnsi="Times New Roman" w:cs="Times New Roman"/>
                <w:color w:val="auto"/>
                <w:sz w:val="24"/>
                <w:highlight w:val="none"/>
              </w:rPr>
              <w:t>泵</w:t>
            </w:r>
          </w:p>
        </w:tc>
        <w:tc>
          <w:tcPr>
            <w:tcW w:w="1704" w:type="dxa"/>
            <w:gridSpan w:val="2"/>
            <w:noWrap w:val="0"/>
            <w:vAlign w:val="center"/>
          </w:tcPr>
          <w:p w14:paraId="13AEF50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FE1CD1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08DB87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293B7B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2C67CE0">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eastAsia="zh-CN"/>
              </w:rPr>
            </w:pPr>
            <w:r>
              <w:rPr>
                <w:rFonts w:hint="default" w:ascii="Times New Roman" w:hAnsi="Times New Roman" w:cs="Times New Roman"/>
                <w:color w:val="auto"/>
                <w:sz w:val="24"/>
                <w:highlight w:val="none"/>
              </w:rPr>
              <w:t>－数量</w:t>
            </w:r>
            <w:r>
              <w:rPr>
                <w:rFonts w:hint="eastAsia" w:cs="Times New Roman"/>
                <w:color w:val="auto"/>
                <w:sz w:val="24"/>
                <w:highlight w:val="none"/>
                <w:lang w:eastAsia="zh-CN"/>
              </w:rPr>
              <w:t>（</w:t>
            </w:r>
            <w:r>
              <w:rPr>
                <w:rFonts w:hint="eastAsia" w:cs="Times New Roman"/>
                <w:color w:val="auto"/>
                <w:sz w:val="24"/>
                <w:highlight w:val="none"/>
                <w:lang w:val="en-US" w:eastAsia="zh-CN"/>
              </w:rPr>
              <w:t>考虑备用</w:t>
            </w:r>
            <w:r>
              <w:rPr>
                <w:rFonts w:hint="eastAsia" w:cs="Times New Roman"/>
                <w:color w:val="auto"/>
                <w:sz w:val="24"/>
                <w:highlight w:val="none"/>
                <w:lang w:eastAsia="zh-CN"/>
              </w:rPr>
              <w:t>）</w:t>
            </w:r>
          </w:p>
        </w:tc>
        <w:tc>
          <w:tcPr>
            <w:tcW w:w="1704" w:type="dxa"/>
            <w:gridSpan w:val="2"/>
            <w:noWrap w:val="0"/>
            <w:vAlign w:val="center"/>
          </w:tcPr>
          <w:p w14:paraId="0E00A89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台</w:t>
            </w:r>
          </w:p>
        </w:tc>
        <w:tc>
          <w:tcPr>
            <w:tcW w:w="1555" w:type="dxa"/>
            <w:noWrap w:val="0"/>
            <w:vAlign w:val="center"/>
          </w:tcPr>
          <w:p w14:paraId="2A84B492">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p>
        </w:tc>
      </w:tr>
      <w:tr w14:paraId="3C6CE6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A2280D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A3CEC3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－形式</w:t>
            </w:r>
          </w:p>
        </w:tc>
        <w:tc>
          <w:tcPr>
            <w:tcW w:w="1704" w:type="dxa"/>
            <w:gridSpan w:val="2"/>
            <w:noWrap w:val="0"/>
            <w:vAlign w:val="center"/>
          </w:tcPr>
          <w:p w14:paraId="47D36BB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675C18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88E39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3A49D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81F306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－壳体/叶轮材料</w:t>
            </w:r>
          </w:p>
        </w:tc>
        <w:tc>
          <w:tcPr>
            <w:tcW w:w="1704" w:type="dxa"/>
            <w:gridSpan w:val="2"/>
            <w:noWrap w:val="0"/>
            <w:vAlign w:val="center"/>
          </w:tcPr>
          <w:p w14:paraId="0A4015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7DED4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5CED40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5BCC1E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31739F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－扬程</w:t>
            </w:r>
          </w:p>
        </w:tc>
        <w:tc>
          <w:tcPr>
            <w:tcW w:w="1704" w:type="dxa"/>
            <w:gridSpan w:val="2"/>
            <w:noWrap w:val="0"/>
            <w:vAlign w:val="center"/>
          </w:tcPr>
          <w:p w14:paraId="22DA942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Pa</w:t>
            </w:r>
          </w:p>
        </w:tc>
        <w:tc>
          <w:tcPr>
            <w:tcW w:w="1555" w:type="dxa"/>
            <w:noWrap w:val="0"/>
            <w:vAlign w:val="center"/>
          </w:tcPr>
          <w:p w14:paraId="2FE5C1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2B65A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54289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645F9D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－流量</w:t>
            </w:r>
          </w:p>
        </w:tc>
        <w:tc>
          <w:tcPr>
            <w:tcW w:w="1704" w:type="dxa"/>
            <w:gridSpan w:val="2"/>
            <w:noWrap w:val="0"/>
            <w:vAlign w:val="center"/>
          </w:tcPr>
          <w:p w14:paraId="40BB70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6589102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7C0874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6B1F33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57DD72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－介质含固量</w:t>
            </w:r>
          </w:p>
        </w:tc>
        <w:tc>
          <w:tcPr>
            <w:tcW w:w="1704" w:type="dxa"/>
            <w:gridSpan w:val="2"/>
            <w:noWrap w:val="0"/>
            <w:vAlign w:val="center"/>
          </w:tcPr>
          <w:p w14:paraId="79D113A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1C4FC24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928B24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926F9B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980BB3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－密封形式</w:t>
            </w:r>
          </w:p>
        </w:tc>
        <w:tc>
          <w:tcPr>
            <w:tcW w:w="1704" w:type="dxa"/>
            <w:gridSpan w:val="2"/>
            <w:noWrap w:val="0"/>
            <w:vAlign w:val="center"/>
          </w:tcPr>
          <w:p w14:paraId="13FEE55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489B7F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12381C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8272DB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3120D5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－密封材料</w:t>
            </w:r>
          </w:p>
        </w:tc>
        <w:tc>
          <w:tcPr>
            <w:tcW w:w="1704" w:type="dxa"/>
            <w:gridSpan w:val="2"/>
            <w:noWrap w:val="0"/>
            <w:vAlign w:val="center"/>
          </w:tcPr>
          <w:p w14:paraId="0AA1BFF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CCC3D4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0DF22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065B39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439975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－电机功率</w:t>
            </w:r>
          </w:p>
        </w:tc>
        <w:tc>
          <w:tcPr>
            <w:tcW w:w="1704" w:type="dxa"/>
            <w:gridSpan w:val="2"/>
            <w:noWrap w:val="0"/>
            <w:vAlign w:val="center"/>
          </w:tcPr>
          <w:p w14:paraId="0F37EBC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03A303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308E44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1F7B64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r>
              <w:rPr>
                <w:rFonts w:hint="eastAsia" w:ascii="Times New Roman" w:hAnsi="Times New Roman" w:cs="Times New Roman"/>
                <w:color w:val="auto"/>
                <w:sz w:val="24"/>
                <w:highlight w:val="none"/>
                <w:lang w:val="en-US" w:eastAsia="zh-CN"/>
              </w:rPr>
              <w:t>3</w:t>
            </w:r>
            <w:r>
              <w:rPr>
                <w:rFonts w:hint="default" w:ascii="Times New Roman" w:hAnsi="Times New Roman" w:cs="Times New Roman"/>
                <w:color w:val="auto"/>
                <w:sz w:val="24"/>
                <w:highlight w:val="none"/>
              </w:rPr>
              <w:t>)</w:t>
            </w:r>
          </w:p>
        </w:tc>
        <w:tc>
          <w:tcPr>
            <w:tcW w:w="4388" w:type="dxa"/>
            <w:noWrap w:val="0"/>
            <w:vAlign w:val="center"/>
          </w:tcPr>
          <w:p w14:paraId="0BE5530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搅拌器型式</w:t>
            </w:r>
          </w:p>
        </w:tc>
        <w:tc>
          <w:tcPr>
            <w:tcW w:w="1704" w:type="dxa"/>
            <w:gridSpan w:val="2"/>
            <w:noWrap w:val="0"/>
            <w:vAlign w:val="center"/>
          </w:tcPr>
          <w:p w14:paraId="495091C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F096A3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B0C34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019BBF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2DDA6A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搅拌器数量</w:t>
            </w:r>
          </w:p>
        </w:tc>
        <w:tc>
          <w:tcPr>
            <w:tcW w:w="1704" w:type="dxa"/>
            <w:gridSpan w:val="2"/>
            <w:noWrap w:val="0"/>
            <w:vAlign w:val="center"/>
          </w:tcPr>
          <w:p w14:paraId="431B928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1555" w:type="dxa"/>
            <w:noWrap w:val="0"/>
            <w:vAlign w:val="center"/>
          </w:tcPr>
          <w:p w14:paraId="4C9C83D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B2E2114">
        <w:tblPrEx>
          <w:tblCellMar>
            <w:top w:w="0" w:type="dxa"/>
            <w:left w:w="108" w:type="dxa"/>
            <w:bottom w:w="0" w:type="dxa"/>
            <w:right w:w="108" w:type="dxa"/>
          </w:tblCellMar>
        </w:tblPrEx>
        <w:tc>
          <w:tcPr>
            <w:tcW w:w="816" w:type="dxa"/>
            <w:noWrap w:val="0"/>
            <w:vAlign w:val="center"/>
          </w:tcPr>
          <w:p w14:paraId="6A32CC2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07404E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搅拌器材料(叶轮/轴)</w:t>
            </w:r>
          </w:p>
        </w:tc>
        <w:tc>
          <w:tcPr>
            <w:tcW w:w="1704" w:type="dxa"/>
            <w:gridSpan w:val="2"/>
            <w:noWrap w:val="0"/>
            <w:vAlign w:val="center"/>
          </w:tcPr>
          <w:p w14:paraId="65E7D38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49263D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69DCD1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BF1003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F1AD62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－搅拌器功率</w:t>
            </w:r>
          </w:p>
        </w:tc>
        <w:tc>
          <w:tcPr>
            <w:tcW w:w="1704" w:type="dxa"/>
            <w:gridSpan w:val="2"/>
            <w:noWrap w:val="0"/>
            <w:vAlign w:val="center"/>
          </w:tcPr>
          <w:p w14:paraId="70F1814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w:t>
            </w:r>
          </w:p>
        </w:tc>
        <w:tc>
          <w:tcPr>
            <w:tcW w:w="1555" w:type="dxa"/>
            <w:noWrap w:val="0"/>
            <w:vAlign w:val="center"/>
          </w:tcPr>
          <w:p w14:paraId="4B5EFDD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E153CF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E1CD9D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C04A5D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－搅拌器比功率</w:t>
            </w:r>
          </w:p>
        </w:tc>
        <w:tc>
          <w:tcPr>
            <w:tcW w:w="1704" w:type="dxa"/>
            <w:gridSpan w:val="2"/>
            <w:noWrap w:val="0"/>
            <w:vAlign w:val="center"/>
          </w:tcPr>
          <w:p w14:paraId="6D93448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kW/m</w:t>
            </w:r>
            <w:r>
              <w:rPr>
                <w:rFonts w:hint="default" w:ascii="Times New Roman" w:hAnsi="Times New Roman" w:cs="Times New Roman"/>
                <w:color w:val="auto"/>
                <w:sz w:val="24"/>
                <w:highlight w:val="none"/>
                <w:vertAlign w:val="superscript"/>
              </w:rPr>
              <w:t>3</w:t>
            </w:r>
          </w:p>
        </w:tc>
        <w:tc>
          <w:tcPr>
            <w:tcW w:w="1555" w:type="dxa"/>
            <w:noWrap w:val="0"/>
            <w:vAlign w:val="center"/>
          </w:tcPr>
          <w:p w14:paraId="5668936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07785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44C3DD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2.8</w:t>
            </w:r>
          </w:p>
        </w:tc>
        <w:tc>
          <w:tcPr>
            <w:tcW w:w="4388" w:type="dxa"/>
            <w:noWrap w:val="0"/>
            <w:vAlign w:val="center"/>
          </w:tcPr>
          <w:p w14:paraId="6F7213C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脱硫废水处理系统</w:t>
            </w:r>
          </w:p>
        </w:tc>
        <w:tc>
          <w:tcPr>
            <w:tcW w:w="1704" w:type="dxa"/>
            <w:gridSpan w:val="2"/>
            <w:noWrap w:val="0"/>
            <w:vAlign w:val="center"/>
          </w:tcPr>
          <w:p w14:paraId="79E55FE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7CE4E3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70D0AA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A79948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4388" w:type="dxa"/>
            <w:noWrap w:val="0"/>
            <w:vAlign w:val="center"/>
          </w:tcPr>
          <w:p w14:paraId="0BD507E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澄清器</w:t>
            </w:r>
          </w:p>
        </w:tc>
        <w:tc>
          <w:tcPr>
            <w:tcW w:w="1704" w:type="dxa"/>
            <w:gridSpan w:val="2"/>
            <w:noWrap w:val="0"/>
            <w:vAlign w:val="center"/>
          </w:tcPr>
          <w:p w14:paraId="7A01619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F5DC76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062EF4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C0A6DB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45F604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3F0D9DB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D51B0B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7A6603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19E1DD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33575B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容积</w:t>
            </w:r>
          </w:p>
        </w:tc>
        <w:tc>
          <w:tcPr>
            <w:tcW w:w="1704" w:type="dxa"/>
            <w:gridSpan w:val="2"/>
            <w:noWrap w:val="0"/>
            <w:vAlign w:val="center"/>
          </w:tcPr>
          <w:p w14:paraId="659F321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p>
        </w:tc>
        <w:tc>
          <w:tcPr>
            <w:tcW w:w="1555" w:type="dxa"/>
            <w:noWrap w:val="0"/>
            <w:vAlign w:val="center"/>
          </w:tcPr>
          <w:p w14:paraId="07EE45F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924FD5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BF60BD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C7AD08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表面负荷</w:t>
            </w:r>
          </w:p>
        </w:tc>
        <w:tc>
          <w:tcPr>
            <w:tcW w:w="1704" w:type="dxa"/>
            <w:gridSpan w:val="2"/>
            <w:noWrap w:val="0"/>
            <w:vAlign w:val="center"/>
          </w:tcPr>
          <w:p w14:paraId="563324B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m/h</w:t>
            </w:r>
          </w:p>
        </w:tc>
        <w:tc>
          <w:tcPr>
            <w:tcW w:w="1555" w:type="dxa"/>
            <w:noWrap w:val="0"/>
            <w:vAlign w:val="center"/>
          </w:tcPr>
          <w:p w14:paraId="5F735F6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34F8DA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66B249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AA4BD7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直径/高度</w:t>
            </w:r>
          </w:p>
        </w:tc>
        <w:tc>
          <w:tcPr>
            <w:tcW w:w="1704" w:type="dxa"/>
            <w:gridSpan w:val="2"/>
            <w:noWrap w:val="0"/>
            <w:vAlign w:val="center"/>
          </w:tcPr>
          <w:p w14:paraId="651DA13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555" w:type="dxa"/>
            <w:noWrap w:val="0"/>
            <w:vAlign w:val="center"/>
          </w:tcPr>
          <w:p w14:paraId="738FFDB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8EA0B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4FBFCE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9EBFD7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材质</w:t>
            </w:r>
          </w:p>
        </w:tc>
        <w:tc>
          <w:tcPr>
            <w:tcW w:w="1704" w:type="dxa"/>
            <w:gridSpan w:val="2"/>
            <w:noWrap w:val="0"/>
            <w:vAlign w:val="center"/>
          </w:tcPr>
          <w:p w14:paraId="28828A0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DC65E78">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5B424CB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033E27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D9F20D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防腐</w:t>
            </w:r>
          </w:p>
        </w:tc>
        <w:tc>
          <w:tcPr>
            <w:tcW w:w="1704" w:type="dxa"/>
            <w:gridSpan w:val="2"/>
            <w:noWrap w:val="0"/>
            <w:vAlign w:val="center"/>
          </w:tcPr>
          <w:p w14:paraId="576A4CB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7248C19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D2741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4ADC7A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1D0B27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旋转刮泥机数量/电机功率</w:t>
            </w:r>
          </w:p>
        </w:tc>
        <w:tc>
          <w:tcPr>
            <w:tcW w:w="1704" w:type="dxa"/>
            <w:gridSpan w:val="2"/>
            <w:noWrap w:val="0"/>
            <w:vAlign w:val="center"/>
          </w:tcPr>
          <w:p w14:paraId="35FEDD6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只/kW</w:t>
            </w:r>
          </w:p>
        </w:tc>
        <w:tc>
          <w:tcPr>
            <w:tcW w:w="1555" w:type="dxa"/>
            <w:noWrap w:val="0"/>
            <w:vAlign w:val="center"/>
          </w:tcPr>
          <w:p w14:paraId="6E0DA58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FD6A09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FF8A9F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40707F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旋转刮泥机材质</w:t>
            </w:r>
          </w:p>
        </w:tc>
        <w:tc>
          <w:tcPr>
            <w:tcW w:w="1704" w:type="dxa"/>
            <w:gridSpan w:val="2"/>
            <w:noWrap w:val="0"/>
            <w:vAlign w:val="center"/>
          </w:tcPr>
          <w:p w14:paraId="22EE91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F0A3F8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0396E9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0C5609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4388" w:type="dxa"/>
            <w:noWrap w:val="0"/>
            <w:vAlign w:val="center"/>
          </w:tcPr>
          <w:p w14:paraId="05AA73B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脱硫</w:t>
            </w:r>
            <w:r>
              <w:rPr>
                <w:rFonts w:hint="default" w:ascii="Times New Roman" w:hAnsi="Times New Roman" w:cs="Times New Roman"/>
                <w:color w:val="auto"/>
                <w:sz w:val="24"/>
                <w:highlight w:val="none"/>
              </w:rPr>
              <w:t>废水</w:t>
            </w:r>
            <w:r>
              <w:rPr>
                <w:rFonts w:hint="eastAsia" w:ascii="Times New Roman" w:hAnsi="Times New Roman" w:cs="Times New Roman"/>
                <w:color w:val="auto"/>
                <w:sz w:val="24"/>
                <w:highlight w:val="none"/>
                <w:lang w:val="en-US" w:eastAsia="zh-CN"/>
              </w:rPr>
              <w:t>处理</w:t>
            </w:r>
            <w:r>
              <w:rPr>
                <w:rFonts w:hint="default" w:ascii="Times New Roman" w:hAnsi="Times New Roman" w:cs="Times New Roman"/>
                <w:color w:val="auto"/>
                <w:sz w:val="24"/>
                <w:highlight w:val="none"/>
              </w:rPr>
              <w:t>装置</w:t>
            </w:r>
          </w:p>
        </w:tc>
        <w:tc>
          <w:tcPr>
            <w:tcW w:w="1704" w:type="dxa"/>
            <w:gridSpan w:val="2"/>
            <w:noWrap w:val="0"/>
            <w:vAlign w:val="center"/>
          </w:tcPr>
          <w:p w14:paraId="45681CA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3467545">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2A5F9B7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224FCF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8A437E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装置处理能力</w:t>
            </w:r>
          </w:p>
        </w:tc>
        <w:tc>
          <w:tcPr>
            <w:tcW w:w="1704" w:type="dxa"/>
            <w:gridSpan w:val="2"/>
            <w:noWrap w:val="0"/>
            <w:vAlign w:val="center"/>
          </w:tcPr>
          <w:p w14:paraId="41244B9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bookmarkStart w:id="120" w:name="OLE_LINK32"/>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bookmarkEnd w:id="120"/>
            <w:r>
              <w:rPr>
                <w:rFonts w:hint="default" w:ascii="Times New Roman" w:hAnsi="Times New Roman" w:cs="Times New Roman"/>
                <w:color w:val="auto"/>
                <w:sz w:val="24"/>
                <w:highlight w:val="none"/>
              </w:rPr>
              <w:t>/h</w:t>
            </w:r>
          </w:p>
        </w:tc>
        <w:tc>
          <w:tcPr>
            <w:tcW w:w="1555" w:type="dxa"/>
            <w:noWrap w:val="0"/>
            <w:vAlign w:val="center"/>
          </w:tcPr>
          <w:p w14:paraId="525D17D9">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45E0321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0628BA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1EB93E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bookmarkStart w:id="121" w:name="OLE_LINK35"/>
            <w:r>
              <w:rPr>
                <w:rFonts w:hint="eastAsia" w:ascii="Times New Roman" w:hAnsi="Times New Roman" w:cs="Times New Roman"/>
                <w:color w:val="auto"/>
                <w:sz w:val="24"/>
                <w:highlight w:val="none"/>
                <w:lang w:val="en-US" w:eastAsia="zh-CN"/>
              </w:rPr>
              <w:t>三联箱</w:t>
            </w:r>
            <w:bookmarkEnd w:id="121"/>
            <w:bookmarkStart w:id="122" w:name="OLE_LINK38"/>
            <w:r>
              <w:rPr>
                <w:rFonts w:hint="eastAsia" w:ascii="Times New Roman" w:hAnsi="Times New Roman" w:cs="Times New Roman"/>
                <w:color w:val="auto"/>
                <w:sz w:val="24"/>
                <w:highlight w:val="none"/>
                <w:lang w:val="en-US" w:eastAsia="zh-CN"/>
              </w:rPr>
              <w:t>规格型号</w:t>
            </w:r>
            <w:bookmarkEnd w:id="122"/>
          </w:p>
        </w:tc>
        <w:tc>
          <w:tcPr>
            <w:tcW w:w="1704" w:type="dxa"/>
            <w:gridSpan w:val="2"/>
            <w:noWrap w:val="0"/>
            <w:vAlign w:val="center"/>
          </w:tcPr>
          <w:p w14:paraId="41B4760B">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m</w:t>
            </w:r>
          </w:p>
        </w:tc>
        <w:tc>
          <w:tcPr>
            <w:tcW w:w="1555" w:type="dxa"/>
            <w:noWrap w:val="0"/>
            <w:vAlign w:val="center"/>
          </w:tcPr>
          <w:p w14:paraId="6C5DB92F">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785DF9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5ABBB9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8763D7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lang w:val="en-US" w:eastAsia="zh-CN"/>
              </w:rPr>
            </w:pPr>
            <w:bookmarkStart w:id="123" w:name="OLE_LINK36"/>
            <w:r>
              <w:rPr>
                <w:rFonts w:hint="eastAsia" w:ascii="Times New Roman" w:hAnsi="Times New Roman" w:cs="Times New Roman"/>
                <w:color w:val="auto"/>
                <w:sz w:val="24"/>
                <w:highlight w:val="none"/>
                <w:lang w:val="en-US" w:eastAsia="zh-CN"/>
              </w:rPr>
              <w:t>三联箱材质</w:t>
            </w:r>
            <w:bookmarkEnd w:id="123"/>
          </w:p>
        </w:tc>
        <w:tc>
          <w:tcPr>
            <w:tcW w:w="1704" w:type="dxa"/>
            <w:gridSpan w:val="2"/>
            <w:noWrap w:val="0"/>
            <w:vAlign w:val="center"/>
          </w:tcPr>
          <w:p w14:paraId="650D5B36">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c>
          <w:tcPr>
            <w:tcW w:w="1555" w:type="dxa"/>
            <w:noWrap w:val="0"/>
            <w:vAlign w:val="center"/>
          </w:tcPr>
          <w:p w14:paraId="15EFD2C1">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1E79C20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29E940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C89934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三联箱运行重量</w:t>
            </w:r>
          </w:p>
        </w:tc>
        <w:tc>
          <w:tcPr>
            <w:tcW w:w="1704" w:type="dxa"/>
            <w:gridSpan w:val="2"/>
            <w:noWrap w:val="0"/>
            <w:vAlign w:val="center"/>
          </w:tcPr>
          <w:p w14:paraId="2D4BECA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kg</w:t>
            </w:r>
          </w:p>
        </w:tc>
        <w:tc>
          <w:tcPr>
            <w:tcW w:w="1555" w:type="dxa"/>
            <w:noWrap w:val="0"/>
            <w:vAlign w:val="center"/>
          </w:tcPr>
          <w:p w14:paraId="19CD1094">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06B8C7F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FBB0D1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A19655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bookmarkStart w:id="124" w:name="OLE_LINK37"/>
            <w:r>
              <w:rPr>
                <w:rFonts w:hint="eastAsia" w:ascii="Times New Roman" w:hAnsi="Times New Roman" w:cs="Times New Roman"/>
                <w:color w:val="auto"/>
                <w:sz w:val="24"/>
                <w:highlight w:val="none"/>
                <w:lang w:val="en-US" w:eastAsia="zh-CN"/>
              </w:rPr>
              <w:t>加药箱</w:t>
            </w:r>
            <w:bookmarkEnd w:id="124"/>
          </w:p>
        </w:tc>
        <w:tc>
          <w:tcPr>
            <w:tcW w:w="1704" w:type="dxa"/>
            <w:gridSpan w:val="2"/>
            <w:noWrap w:val="0"/>
            <w:vAlign w:val="center"/>
          </w:tcPr>
          <w:p w14:paraId="7B1B1B93">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只</w:t>
            </w:r>
          </w:p>
        </w:tc>
        <w:tc>
          <w:tcPr>
            <w:tcW w:w="1555" w:type="dxa"/>
            <w:noWrap w:val="0"/>
            <w:vAlign w:val="center"/>
          </w:tcPr>
          <w:p w14:paraId="392FB4E7">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1FE240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3242B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bookmarkStart w:id="125" w:name="OLE_LINK33" w:colFirst="1" w:colLast="2"/>
          </w:p>
        </w:tc>
        <w:tc>
          <w:tcPr>
            <w:tcW w:w="4388" w:type="dxa"/>
            <w:noWrap w:val="0"/>
            <w:vAlign w:val="center"/>
          </w:tcPr>
          <w:p w14:paraId="1B3D524D">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加药箱规格型号</w:t>
            </w:r>
          </w:p>
        </w:tc>
        <w:tc>
          <w:tcPr>
            <w:tcW w:w="1704" w:type="dxa"/>
            <w:gridSpan w:val="2"/>
            <w:noWrap w:val="0"/>
            <w:vAlign w:val="center"/>
          </w:tcPr>
          <w:p w14:paraId="019C13EA">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c>
          <w:tcPr>
            <w:tcW w:w="1555" w:type="dxa"/>
            <w:noWrap w:val="0"/>
            <w:vAlign w:val="center"/>
          </w:tcPr>
          <w:p w14:paraId="1E70A8F5">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008A545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69CBC9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9BBAFB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加药泵</w:t>
            </w:r>
          </w:p>
        </w:tc>
        <w:tc>
          <w:tcPr>
            <w:tcW w:w="1704" w:type="dxa"/>
            <w:gridSpan w:val="2"/>
            <w:noWrap w:val="0"/>
            <w:vAlign w:val="center"/>
          </w:tcPr>
          <w:p w14:paraId="27E91FA2">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台</w:t>
            </w:r>
          </w:p>
        </w:tc>
        <w:tc>
          <w:tcPr>
            <w:tcW w:w="1555" w:type="dxa"/>
            <w:noWrap w:val="0"/>
            <w:vAlign w:val="center"/>
          </w:tcPr>
          <w:p w14:paraId="1AF0C97A">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bookmarkEnd w:id="125"/>
      <w:tr w14:paraId="5568FE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AF865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bookmarkStart w:id="126" w:name="OLE_LINK30" w:colFirst="0" w:colLast="1"/>
          </w:p>
        </w:tc>
        <w:tc>
          <w:tcPr>
            <w:tcW w:w="4388" w:type="dxa"/>
            <w:noWrap w:val="0"/>
            <w:vAlign w:val="center"/>
          </w:tcPr>
          <w:p w14:paraId="26A0659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lang w:val="en-US" w:eastAsia="zh-CN"/>
              </w:rPr>
              <w:t>加药泵参数</w:t>
            </w:r>
          </w:p>
        </w:tc>
        <w:tc>
          <w:tcPr>
            <w:tcW w:w="1704" w:type="dxa"/>
            <w:gridSpan w:val="2"/>
            <w:noWrap w:val="0"/>
            <w:vAlign w:val="center"/>
          </w:tcPr>
          <w:p w14:paraId="50B974F2">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lang w:val="en-US" w:eastAsia="zh-CN"/>
              </w:rPr>
              <w:t>台</w:t>
            </w:r>
          </w:p>
        </w:tc>
        <w:tc>
          <w:tcPr>
            <w:tcW w:w="1555" w:type="dxa"/>
            <w:noWrap w:val="0"/>
            <w:vAlign w:val="center"/>
          </w:tcPr>
          <w:p w14:paraId="50969666">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bookmarkEnd w:id="126"/>
      <w:tr w14:paraId="0E480BE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A44E84E">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w:t>
            </w:r>
            <w:r>
              <w:rPr>
                <w:rFonts w:hint="eastAsia" w:cs="Times New Roman"/>
                <w:color w:val="auto"/>
                <w:sz w:val="24"/>
                <w:highlight w:val="none"/>
                <w:lang w:val="en-US" w:eastAsia="zh-CN"/>
              </w:rPr>
              <w:t>3</w:t>
            </w:r>
            <w:r>
              <w:rPr>
                <w:rFonts w:hint="eastAsia" w:ascii="Times New Roman" w:hAnsi="Times New Roman" w:cs="Times New Roman"/>
                <w:color w:val="auto"/>
                <w:sz w:val="24"/>
                <w:highlight w:val="none"/>
                <w:lang w:val="en-US" w:eastAsia="zh-CN"/>
              </w:rPr>
              <w:t>）</w:t>
            </w:r>
          </w:p>
        </w:tc>
        <w:tc>
          <w:tcPr>
            <w:tcW w:w="4388" w:type="dxa"/>
            <w:noWrap w:val="0"/>
            <w:vAlign w:val="center"/>
          </w:tcPr>
          <w:p w14:paraId="1A233DF0">
            <w:pPr>
              <w:keepNext w:val="0"/>
              <w:keepLines w:val="0"/>
              <w:suppressLineNumbers w:val="0"/>
              <w:adjustRightInd w:val="0"/>
              <w:snapToGrid w:val="0"/>
              <w:spacing w:before="0" w:beforeAutospacing="0" w:after="0" w:afterAutospacing="0" w:line="360" w:lineRule="auto"/>
              <w:ind w:left="0" w:right="0" w:firstLine="1440" w:firstLineChars="600"/>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清水箱</w:t>
            </w:r>
          </w:p>
        </w:tc>
        <w:tc>
          <w:tcPr>
            <w:tcW w:w="1704" w:type="dxa"/>
            <w:gridSpan w:val="2"/>
            <w:noWrap w:val="0"/>
            <w:vAlign w:val="center"/>
          </w:tcPr>
          <w:p w14:paraId="19E01F9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8A21071">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r>
      <w:tr w14:paraId="5643F7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2B28F96">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c>
          <w:tcPr>
            <w:tcW w:w="4388" w:type="dxa"/>
            <w:noWrap w:val="0"/>
            <w:vAlign w:val="center"/>
          </w:tcPr>
          <w:p w14:paraId="53141EA1">
            <w:pPr>
              <w:keepNext w:val="0"/>
              <w:keepLines w:val="0"/>
              <w:suppressLineNumbers w:val="0"/>
              <w:adjustRightInd w:val="0"/>
              <w:snapToGrid w:val="0"/>
              <w:spacing w:before="0" w:beforeAutospacing="0" w:after="0" w:afterAutospacing="0" w:line="360" w:lineRule="auto"/>
              <w:ind w:left="0" w:right="0" w:firstLine="1680" w:firstLineChars="700"/>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材质</w:t>
            </w:r>
          </w:p>
        </w:tc>
        <w:tc>
          <w:tcPr>
            <w:tcW w:w="1704" w:type="dxa"/>
            <w:gridSpan w:val="2"/>
            <w:noWrap w:val="0"/>
            <w:vAlign w:val="center"/>
          </w:tcPr>
          <w:p w14:paraId="73E1F9B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5A10EB5">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r>
      <w:tr w14:paraId="6AD1184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15EB511">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c>
          <w:tcPr>
            <w:tcW w:w="4388" w:type="dxa"/>
            <w:noWrap w:val="0"/>
            <w:vAlign w:val="center"/>
          </w:tcPr>
          <w:p w14:paraId="0B397887">
            <w:pPr>
              <w:keepNext w:val="0"/>
              <w:keepLines w:val="0"/>
              <w:suppressLineNumbers w:val="0"/>
              <w:adjustRightInd w:val="0"/>
              <w:snapToGrid w:val="0"/>
              <w:spacing w:before="0" w:beforeAutospacing="0" w:after="0" w:afterAutospacing="0" w:line="360" w:lineRule="auto"/>
              <w:ind w:left="0" w:right="0" w:firstLine="1680" w:firstLineChars="700"/>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容积</w:t>
            </w:r>
          </w:p>
        </w:tc>
        <w:tc>
          <w:tcPr>
            <w:tcW w:w="1704" w:type="dxa"/>
            <w:gridSpan w:val="2"/>
            <w:noWrap w:val="0"/>
            <w:vAlign w:val="center"/>
          </w:tcPr>
          <w:p w14:paraId="3D70271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p>
        </w:tc>
        <w:tc>
          <w:tcPr>
            <w:tcW w:w="1555" w:type="dxa"/>
            <w:noWrap w:val="0"/>
            <w:vAlign w:val="center"/>
          </w:tcPr>
          <w:p w14:paraId="056F61B3">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r>
      <w:tr w14:paraId="199FE5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0013608">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w:t>
            </w:r>
            <w:r>
              <w:rPr>
                <w:rFonts w:hint="eastAsia" w:cs="Times New Roman"/>
                <w:color w:val="auto"/>
                <w:sz w:val="24"/>
                <w:highlight w:val="none"/>
                <w:lang w:val="en-US" w:eastAsia="zh-CN"/>
              </w:rPr>
              <w:t>4</w:t>
            </w:r>
            <w:r>
              <w:rPr>
                <w:rFonts w:hint="eastAsia" w:ascii="Times New Roman" w:hAnsi="Times New Roman" w:cs="Times New Roman"/>
                <w:color w:val="auto"/>
                <w:sz w:val="24"/>
                <w:highlight w:val="none"/>
                <w:lang w:val="en-US" w:eastAsia="zh-CN"/>
              </w:rPr>
              <w:t>）</w:t>
            </w:r>
          </w:p>
        </w:tc>
        <w:tc>
          <w:tcPr>
            <w:tcW w:w="4388" w:type="dxa"/>
            <w:noWrap w:val="0"/>
            <w:vAlign w:val="center"/>
          </w:tcPr>
          <w:p w14:paraId="7D584044">
            <w:pPr>
              <w:keepNext w:val="0"/>
              <w:keepLines w:val="0"/>
              <w:suppressLineNumbers w:val="0"/>
              <w:adjustRightInd w:val="0"/>
              <w:snapToGrid w:val="0"/>
              <w:spacing w:before="0" w:beforeAutospacing="0" w:after="0" w:afterAutospacing="0" w:line="360" w:lineRule="auto"/>
              <w:ind w:left="0" w:right="0" w:firstLine="1440" w:firstLineChars="600"/>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板框压滤机</w:t>
            </w:r>
          </w:p>
        </w:tc>
        <w:tc>
          <w:tcPr>
            <w:tcW w:w="1704" w:type="dxa"/>
            <w:gridSpan w:val="2"/>
            <w:noWrap w:val="0"/>
            <w:vAlign w:val="center"/>
          </w:tcPr>
          <w:p w14:paraId="11BB3BB9">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台</w:t>
            </w:r>
          </w:p>
        </w:tc>
        <w:tc>
          <w:tcPr>
            <w:tcW w:w="1555" w:type="dxa"/>
            <w:noWrap w:val="0"/>
            <w:vAlign w:val="center"/>
          </w:tcPr>
          <w:p w14:paraId="7EDDE7F5">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r>
      <w:tr w14:paraId="57A899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206898E">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c>
          <w:tcPr>
            <w:tcW w:w="4388" w:type="dxa"/>
            <w:noWrap w:val="0"/>
            <w:vAlign w:val="center"/>
          </w:tcPr>
          <w:p w14:paraId="3F029C38">
            <w:pPr>
              <w:keepNext w:val="0"/>
              <w:keepLines w:val="0"/>
              <w:suppressLineNumbers w:val="0"/>
              <w:adjustRightInd w:val="0"/>
              <w:snapToGrid w:val="0"/>
              <w:spacing w:before="0" w:beforeAutospacing="0" w:after="0" w:afterAutospacing="0" w:line="360" w:lineRule="auto"/>
              <w:ind w:left="0" w:right="0" w:firstLine="1440" w:firstLineChars="600"/>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过滤面积</w:t>
            </w:r>
          </w:p>
        </w:tc>
        <w:tc>
          <w:tcPr>
            <w:tcW w:w="1704" w:type="dxa"/>
            <w:gridSpan w:val="2"/>
            <w:noWrap w:val="0"/>
            <w:vAlign w:val="center"/>
          </w:tcPr>
          <w:p w14:paraId="1C55A25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m</w:t>
            </w:r>
            <w:r>
              <w:rPr>
                <w:rFonts w:hint="eastAsia" w:ascii="Times New Roman" w:hAnsi="Times New Roman" w:cs="Times New Roman"/>
                <w:color w:val="auto"/>
                <w:sz w:val="24"/>
                <w:highlight w:val="none"/>
                <w:vertAlign w:val="superscript"/>
                <w:lang w:val="en-US" w:eastAsia="zh-CN"/>
              </w:rPr>
              <w:t>2</w:t>
            </w:r>
          </w:p>
        </w:tc>
        <w:tc>
          <w:tcPr>
            <w:tcW w:w="1555" w:type="dxa"/>
            <w:noWrap w:val="0"/>
            <w:vAlign w:val="center"/>
          </w:tcPr>
          <w:p w14:paraId="19412167">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r>
      <w:tr w14:paraId="00D90C0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6E6F608">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c>
          <w:tcPr>
            <w:tcW w:w="4388" w:type="dxa"/>
            <w:noWrap w:val="0"/>
            <w:vAlign w:val="center"/>
          </w:tcPr>
          <w:p w14:paraId="5EDCE221">
            <w:pPr>
              <w:keepNext w:val="0"/>
              <w:keepLines w:val="0"/>
              <w:suppressLineNumbers w:val="0"/>
              <w:adjustRightInd w:val="0"/>
              <w:snapToGrid w:val="0"/>
              <w:spacing w:before="0" w:beforeAutospacing="0" w:after="0" w:afterAutospacing="0" w:line="360" w:lineRule="auto"/>
              <w:ind w:left="0" w:right="0" w:firstLine="1440" w:firstLineChars="600"/>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过滤压力</w:t>
            </w:r>
          </w:p>
        </w:tc>
        <w:tc>
          <w:tcPr>
            <w:tcW w:w="1704" w:type="dxa"/>
            <w:gridSpan w:val="2"/>
            <w:noWrap w:val="0"/>
            <w:vAlign w:val="center"/>
          </w:tcPr>
          <w:p w14:paraId="21538FA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MPa</w:t>
            </w:r>
          </w:p>
        </w:tc>
        <w:tc>
          <w:tcPr>
            <w:tcW w:w="1555" w:type="dxa"/>
            <w:noWrap w:val="0"/>
            <w:vAlign w:val="center"/>
          </w:tcPr>
          <w:p w14:paraId="38D1B586">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r>
      <w:tr w14:paraId="7D3952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D3FAA58">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c>
          <w:tcPr>
            <w:tcW w:w="4388" w:type="dxa"/>
            <w:noWrap w:val="0"/>
            <w:vAlign w:val="center"/>
          </w:tcPr>
          <w:p w14:paraId="600D5C03">
            <w:pPr>
              <w:keepNext w:val="0"/>
              <w:keepLines w:val="0"/>
              <w:suppressLineNumbers w:val="0"/>
              <w:adjustRightInd w:val="0"/>
              <w:snapToGrid w:val="0"/>
              <w:spacing w:before="0" w:beforeAutospacing="0" w:after="0" w:afterAutospacing="0" w:line="360" w:lineRule="auto"/>
              <w:ind w:left="0" w:right="0" w:firstLine="1440" w:firstLineChars="600"/>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滤室总容积</w:t>
            </w:r>
          </w:p>
        </w:tc>
        <w:tc>
          <w:tcPr>
            <w:tcW w:w="1704" w:type="dxa"/>
            <w:gridSpan w:val="2"/>
            <w:noWrap w:val="0"/>
            <w:vAlign w:val="center"/>
          </w:tcPr>
          <w:p w14:paraId="580FACE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L</w:t>
            </w:r>
          </w:p>
        </w:tc>
        <w:tc>
          <w:tcPr>
            <w:tcW w:w="1555" w:type="dxa"/>
            <w:noWrap w:val="0"/>
            <w:vAlign w:val="center"/>
          </w:tcPr>
          <w:p w14:paraId="40F6BCB8">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r>
      <w:tr w14:paraId="34947C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B02B0B6">
            <w:pPr>
              <w:keepNext w:val="0"/>
              <w:keepLines w:val="0"/>
              <w:suppressLineNumbers w:val="0"/>
              <w:adjustRightInd w:val="0"/>
              <w:snapToGrid w:val="0"/>
              <w:spacing w:before="0" w:beforeAutospacing="0" w:after="0" w:afterAutospacing="0" w:line="360" w:lineRule="auto"/>
              <w:ind w:left="0" w:right="0" w:firstLine="240" w:firstLineChars="100"/>
              <w:jc w:val="both"/>
              <w:rPr>
                <w:rFonts w:hint="default" w:ascii="Times New Roman" w:hAnsi="Times New Roman" w:cs="Times New Roman"/>
                <w:color w:val="auto"/>
                <w:sz w:val="24"/>
                <w:highlight w:val="none"/>
                <w:lang w:val="en-US" w:eastAsia="zh-CN"/>
              </w:rPr>
            </w:pPr>
            <w:r>
              <w:rPr>
                <w:rFonts w:hint="eastAsia" w:cs="Times New Roman"/>
                <w:color w:val="auto"/>
                <w:sz w:val="24"/>
                <w:highlight w:val="none"/>
                <w:lang w:val="en-US" w:eastAsia="zh-CN"/>
              </w:rPr>
              <w:t>(5)</w:t>
            </w:r>
          </w:p>
        </w:tc>
        <w:tc>
          <w:tcPr>
            <w:tcW w:w="4388" w:type="dxa"/>
            <w:noWrap w:val="0"/>
            <w:vAlign w:val="center"/>
          </w:tcPr>
          <w:p w14:paraId="71A6897B">
            <w:pPr>
              <w:keepNext w:val="0"/>
              <w:keepLines w:val="0"/>
              <w:suppressLineNumbers w:val="0"/>
              <w:adjustRightInd w:val="0"/>
              <w:snapToGrid w:val="0"/>
              <w:spacing w:before="0" w:beforeAutospacing="0" w:after="0" w:afterAutospacing="0" w:line="360" w:lineRule="auto"/>
              <w:ind w:left="0" w:right="0" w:firstLine="1440" w:firstLineChars="600"/>
              <w:rPr>
                <w:rFonts w:hint="default" w:ascii="Times New Roman" w:hAnsi="Times New Roman" w:cs="Times New Roman"/>
                <w:color w:val="auto"/>
                <w:sz w:val="24"/>
                <w:highlight w:val="none"/>
                <w:lang w:val="en-US" w:eastAsia="zh-CN"/>
              </w:rPr>
            </w:pPr>
            <w:r>
              <w:rPr>
                <w:rFonts w:hint="eastAsia" w:cs="Times New Roman"/>
                <w:color w:val="auto"/>
                <w:sz w:val="24"/>
                <w:highlight w:val="none"/>
                <w:lang w:val="en-US" w:eastAsia="zh-CN"/>
              </w:rPr>
              <w:t>污泥泵</w:t>
            </w:r>
          </w:p>
        </w:tc>
        <w:tc>
          <w:tcPr>
            <w:tcW w:w="1704" w:type="dxa"/>
            <w:gridSpan w:val="2"/>
            <w:noWrap w:val="0"/>
            <w:vAlign w:val="center"/>
          </w:tcPr>
          <w:p w14:paraId="1E8CFA75">
            <w:pPr>
              <w:keepNext w:val="0"/>
              <w:keepLines w:val="0"/>
              <w:suppressLineNumbers w:val="0"/>
              <w:adjustRightInd w:val="0"/>
              <w:snapToGrid w:val="0"/>
              <w:spacing w:before="0" w:beforeAutospacing="0" w:after="0" w:afterAutospacing="0" w:line="360" w:lineRule="auto"/>
              <w:ind w:left="0" w:right="0"/>
              <w:jc w:val="both"/>
              <w:rPr>
                <w:rFonts w:hint="eastAsia" w:ascii="Times New Roman" w:hAnsi="Times New Roman" w:cs="Times New Roman"/>
                <w:color w:val="auto"/>
                <w:sz w:val="24"/>
                <w:highlight w:val="none"/>
                <w:lang w:val="en-US" w:eastAsia="zh-CN"/>
              </w:rPr>
            </w:pPr>
          </w:p>
        </w:tc>
        <w:tc>
          <w:tcPr>
            <w:tcW w:w="1555" w:type="dxa"/>
            <w:noWrap w:val="0"/>
            <w:vAlign w:val="center"/>
          </w:tcPr>
          <w:p w14:paraId="5175E7C0">
            <w:pPr>
              <w:keepNext w:val="0"/>
              <w:keepLines w:val="0"/>
              <w:suppressLineNumbers w:val="0"/>
              <w:adjustRightInd w:val="0"/>
              <w:snapToGrid w:val="0"/>
              <w:spacing w:before="0" w:beforeAutospacing="0" w:after="0" w:afterAutospacing="0" w:line="360" w:lineRule="auto"/>
              <w:ind w:left="0" w:right="0"/>
              <w:jc w:val="both"/>
              <w:rPr>
                <w:rFonts w:hint="eastAsia" w:ascii="Times New Roman" w:hAnsi="Times New Roman" w:cs="Times New Roman"/>
                <w:color w:val="auto"/>
                <w:sz w:val="24"/>
                <w:highlight w:val="none"/>
                <w:lang w:val="en-US" w:eastAsia="zh-CN"/>
              </w:rPr>
            </w:pPr>
          </w:p>
        </w:tc>
      </w:tr>
      <w:tr w14:paraId="4BB701D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2B59005">
            <w:pPr>
              <w:keepNext w:val="0"/>
              <w:keepLines w:val="0"/>
              <w:suppressLineNumbers w:val="0"/>
              <w:adjustRightInd w:val="0"/>
              <w:snapToGrid w:val="0"/>
              <w:spacing w:before="0" w:beforeAutospacing="0" w:after="0" w:afterAutospacing="0" w:line="360" w:lineRule="auto"/>
              <w:ind w:left="0" w:right="0" w:firstLine="240" w:firstLineChars="100"/>
              <w:jc w:val="both"/>
              <w:rPr>
                <w:rFonts w:hint="eastAsia" w:cs="Times New Roman"/>
                <w:color w:val="auto"/>
                <w:sz w:val="24"/>
                <w:highlight w:val="none"/>
                <w:lang w:val="en-US" w:eastAsia="zh-CN"/>
              </w:rPr>
            </w:pPr>
          </w:p>
        </w:tc>
        <w:tc>
          <w:tcPr>
            <w:tcW w:w="4388" w:type="dxa"/>
            <w:noWrap w:val="0"/>
            <w:vAlign w:val="center"/>
          </w:tcPr>
          <w:p w14:paraId="765387AA">
            <w:pPr>
              <w:keepNext w:val="0"/>
              <w:keepLines w:val="0"/>
              <w:suppressLineNumbers w:val="0"/>
              <w:adjustRightInd w:val="0"/>
              <w:snapToGrid w:val="0"/>
              <w:spacing w:before="0" w:beforeAutospacing="0" w:after="0" w:afterAutospacing="0" w:line="360" w:lineRule="auto"/>
              <w:ind w:left="0" w:leftChars="0" w:right="0" w:rightChars="0" w:firstLine="1680" w:firstLineChars="700"/>
              <w:jc w:val="both"/>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型式</w:t>
            </w:r>
          </w:p>
        </w:tc>
        <w:tc>
          <w:tcPr>
            <w:tcW w:w="1704" w:type="dxa"/>
            <w:gridSpan w:val="2"/>
            <w:noWrap w:val="0"/>
            <w:vAlign w:val="center"/>
          </w:tcPr>
          <w:p w14:paraId="7263B2C9">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p>
        </w:tc>
        <w:tc>
          <w:tcPr>
            <w:tcW w:w="1555" w:type="dxa"/>
            <w:noWrap w:val="0"/>
            <w:vAlign w:val="center"/>
          </w:tcPr>
          <w:p w14:paraId="36A15D64">
            <w:pPr>
              <w:keepNext w:val="0"/>
              <w:keepLines w:val="0"/>
              <w:suppressLineNumbers w:val="0"/>
              <w:adjustRightInd w:val="0"/>
              <w:snapToGrid w:val="0"/>
              <w:spacing w:before="0" w:beforeAutospacing="0" w:after="0" w:afterAutospacing="0" w:line="360" w:lineRule="auto"/>
              <w:ind w:left="0" w:right="0"/>
              <w:jc w:val="both"/>
              <w:rPr>
                <w:rFonts w:hint="eastAsia" w:ascii="Times New Roman" w:hAnsi="Times New Roman" w:cs="Times New Roman"/>
                <w:color w:val="auto"/>
                <w:sz w:val="24"/>
                <w:highlight w:val="none"/>
                <w:lang w:val="en-US" w:eastAsia="zh-CN"/>
              </w:rPr>
            </w:pPr>
          </w:p>
        </w:tc>
      </w:tr>
      <w:tr w14:paraId="23A7668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7AFE2A0">
            <w:pPr>
              <w:keepNext w:val="0"/>
              <w:keepLines w:val="0"/>
              <w:suppressLineNumbers w:val="0"/>
              <w:adjustRightInd w:val="0"/>
              <w:snapToGrid w:val="0"/>
              <w:spacing w:before="0" w:beforeAutospacing="0" w:after="0" w:afterAutospacing="0" w:line="360" w:lineRule="auto"/>
              <w:ind w:left="0" w:right="0" w:firstLine="240" w:firstLineChars="100"/>
              <w:jc w:val="both"/>
              <w:rPr>
                <w:rFonts w:hint="eastAsia" w:cs="Times New Roman"/>
                <w:color w:val="auto"/>
                <w:sz w:val="24"/>
                <w:highlight w:val="none"/>
                <w:lang w:val="en-US" w:eastAsia="zh-CN"/>
              </w:rPr>
            </w:pPr>
          </w:p>
        </w:tc>
        <w:tc>
          <w:tcPr>
            <w:tcW w:w="4388" w:type="dxa"/>
            <w:noWrap w:val="0"/>
            <w:vAlign w:val="center"/>
          </w:tcPr>
          <w:p w14:paraId="1BD6CDF5">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壳体材质</w:t>
            </w:r>
          </w:p>
        </w:tc>
        <w:tc>
          <w:tcPr>
            <w:tcW w:w="1704" w:type="dxa"/>
            <w:gridSpan w:val="2"/>
            <w:noWrap w:val="0"/>
            <w:vAlign w:val="center"/>
          </w:tcPr>
          <w:p w14:paraId="3334D2E6">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p>
        </w:tc>
        <w:tc>
          <w:tcPr>
            <w:tcW w:w="1555" w:type="dxa"/>
            <w:noWrap w:val="0"/>
            <w:vAlign w:val="center"/>
          </w:tcPr>
          <w:p w14:paraId="4041E120">
            <w:pPr>
              <w:keepNext w:val="0"/>
              <w:keepLines w:val="0"/>
              <w:suppressLineNumbers w:val="0"/>
              <w:adjustRightInd w:val="0"/>
              <w:snapToGrid w:val="0"/>
              <w:spacing w:before="0" w:beforeAutospacing="0" w:after="0" w:afterAutospacing="0" w:line="360" w:lineRule="auto"/>
              <w:ind w:left="0" w:right="0"/>
              <w:jc w:val="both"/>
              <w:rPr>
                <w:rFonts w:hint="eastAsia" w:ascii="Times New Roman" w:hAnsi="Times New Roman" w:cs="Times New Roman"/>
                <w:color w:val="auto"/>
                <w:sz w:val="24"/>
                <w:highlight w:val="none"/>
                <w:lang w:val="en-US" w:eastAsia="zh-CN"/>
              </w:rPr>
            </w:pPr>
          </w:p>
        </w:tc>
      </w:tr>
      <w:tr w14:paraId="5E8659D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BF03855">
            <w:pPr>
              <w:keepNext w:val="0"/>
              <w:keepLines w:val="0"/>
              <w:suppressLineNumbers w:val="0"/>
              <w:adjustRightInd w:val="0"/>
              <w:snapToGrid w:val="0"/>
              <w:spacing w:before="0" w:beforeAutospacing="0" w:after="0" w:afterAutospacing="0" w:line="360" w:lineRule="auto"/>
              <w:ind w:left="0" w:right="0" w:firstLine="240" w:firstLineChars="100"/>
              <w:jc w:val="both"/>
              <w:rPr>
                <w:rFonts w:hint="eastAsia" w:cs="Times New Roman"/>
                <w:color w:val="auto"/>
                <w:sz w:val="24"/>
                <w:highlight w:val="none"/>
                <w:lang w:val="en-US" w:eastAsia="zh-CN"/>
              </w:rPr>
            </w:pPr>
          </w:p>
        </w:tc>
        <w:tc>
          <w:tcPr>
            <w:tcW w:w="4388" w:type="dxa"/>
            <w:noWrap w:val="0"/>
            <w:vAlign w:val="center"/>
          </w:tcPr>
          <w:p w14:paraId="302CFD2B">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叶轮材质</w:t>
            </w:r>
          </w:p>
        </w:tc>
        <w:tc>
          <w:tcPr>
            <w:tcW w:w="1704" w:type="dxa"/>
            <w:gridSpan w:val="2"/>
            <w:noWrap w:val="0"/>
            <w:vAlign w:val="center"/>
          </w:tcPr>
          <w:p w14:paraId="17995236">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p>
        </w:tc>
        <w:tc>
          <w:tcPr>
            <w:tcW w:w="1555" w:type="dxa"/>
            <w:noWrap w:val="0"/>
            <w:vAlign w:val="center"/>
          </w:tcPr>
          <w:p w14:paraId="3782DC15">
            <w:pPr>
              <w:keepNext w:val="0"/>
              <w:keepLines w:val="0"/>
              <w:suppressLineNumbers w:val="0"/>
              <w:adjustRightInd w:val="0"/>
              <w:snapToGrid w:val="0"/>
              <w:spacing w:before="0" w:beforeAutospacing="0" w:after="0" w:afterAutospacing="0" w:line="360" w:lineRule="auto"/>
              <w:ind w:left="0" w:right="0"/>
              <w:jc w:val="both"/>
              <w:rPr>
                <w:rFonts w:hint="eastAsia" w:ascii="Times New Roman" w:hAnsi="Times New Roman" w:cs="Times New Roman"/>
                <w:color w:val="auto"/>
                <w:sz w:val="24"/>
                <w:highlight w:val="none"/>
                <w:lang w:val="en-US" w:eastAsia="zh-CN"/>
              </w:rPr>
            </w:pPr>
          </w:p>
        </w:tc>
      </w:tr>
      <w:tr w14:paraId="5D73A1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0B17803">
            <w:pPr>
              <w:keepNext w:val="0"/>
              <w:keepLines w:val="0"/>
              <w:suppressLineNumbers w:val="0"/>
              <w:adjustRightInd w:val="0"/>
              <w:snapToGrid w:val="0"/>
              <w:spacing w:before="0" w:beforeAutospacing="0" w:after="0" w:afterAutospacing="0" w:line="360" w:lineRule="auto"/>
              <w:ind w:left="0" w:right="0" w:firstLine="240" w:firstLineChars="100"/>
              <w:jc w:val="both"/>
              <w:rPr>
                <w:rFonts w:hint="eastAsia" w:cs="Times New Roman"/>
                <w:color w:val="auto"/>
                <w:sz w:val="24"/>
                <w:highlight w:val="none"/>
                <w:lang w:val="en-US" w:eastAsia="zh-CN"/>
              </w:rPr>
            </w:pPr>
          </w:p>
        </w:tc>
        <w:tc>
          <w:tcPr>
            <w:tcW w:w="4388" w:type="dxa"/>
            <w:noWrap w:val="0"/>
            <w:vAlign w:val="center"/>
          </w:tcPr>
          <w:p w14:paraId="300E13E3">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吸入侧压力</w:t>
            </w:r>
          </w:p>
        </w:tc>
        <w:tc>
          <w:tcPr>
            <w:tcW w:w="1704" w:type="dxa"/>
            <w:gridSpan w:val="2"/>
            <w:noWrap w:val="0"/>
            <w:vAlign w:val="center"/>
          </w:tcPr>
          <w:p w14:paraId="286334AA">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mH</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O</w:t>
            </w:r>
          </w:p>
        </w:tc>
        <w:tc>
          <w:tcPr>
            <w:tcW w:w="1555" w:type="dxa"/>
            <w:noWrap w:val="0"/>
            <w:vAlign w:val="center"/>
          </w:tcPr>
          <w:p w14:paraId="7DD79EAE">
            <w:pPr>
              <w:keepNext w:val="0"/>
              <w:keepLines w:val="0"/>
              <w:suppressLineNumbers w:val="0"/>
              <w:adjustRightInd w:val="0"/>
              <w:snapToGrid w:val="0"/>
              <w:spacing w:before="0" w:beforeAutospacing="0" w:after="0" w:afterAutospacing="0" w:line="360" w:lineRule="auto"/>
              <w:ind w:left="0" w:right="0"/>
              <w:jc w:val="both"/>
              <w:rPr>
                <w:rFonts w:hint="eastAsia" w:ascii="Times New Roman" w:hAnsi="Times New Roman" w:cs="Times New Roman"/>
                <w:color w:val="auto"/>
                <w:sz w:val="24"/>
                <w:highlight w:val="none"/>
                <w:lang w:val="en-US" w:eastAsia="zh-CN"/>
              </w:rPr>
            </w:pPr>
          </w:p>
        </w:tc>
      </w:tr>
      <w:tr w14:paraId="5EBA586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36887D5">
            <w:pPr>
              <w:keepNext w:val="0"/>
              <w:keepLines w:val="0"/>
              <w:suppressLineNumbers w:val="0"/>
              <w:adjustRightInd w:val="0"/>
              <w:snapToGrid w:val="0"/>
              <w:spacing w:before="0" w:beforeAutospacing="0" w:after="0" w:afterAutospacing="0" w:line="360" w:lineRule="auto"/>
              <w:ind w:left="0" w:right="0" w:firstLine="240" w:firstLineChars="100"/>
              <w:jc w:val="both"/>
              <w:rPr>
                <w:rFonts w:hint="eastAsia" w:cs="Times New Roman"/>
                <w:color w:val="auto"/>
                <w:sz w:val="24"/>
                <w:highlight w:val="none"/>
                <w:lang w:val="en-US" w:eastAsia="zh-CN"/>
              </w:rPr>
            </w:pPr>
          </w:p>
        </w:tc>
        <w:tc>
          <w:tcPr>
            <w:tcW w:w="4388" w:type="dxa"/>
            <w:noWrap w:val="0"/>
            <w:vAlign w:val="center"/>
          </w:tcPr>
          <w:p w14:paraId="33F1FAB2">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扬程</w:t>
            </w:r>
          </w:p>
        </w:tc>
        <w:tc>
          <w:tcPr>
            <w:tcW w:w="1704" w:type="dxa"/>
            <w:gridSpan w:val="2"/>
            <w:noWrap w:val="0"/>
            <w:vAlign w:val="center"/>
          </w:tcPr>
          <w:p w14:paraId="5173CC9A">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mH</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O</w:t>
            </w:r>
          </w:p>
        </w:tc>
        <w:tc>
          <w:tcPr>
            <w:tcW w:w="1555" w:type="dxa"/>
            <w:noWrap w:val="0"/>
            <w:vAlign w:val="center"/>
          </w:tcPr>
          <w:p w14:paraId="65EB5FE9">
            <w:pPr>
              <w:keepNext w:val="0"/>
              <w:keepLines w:val="0"/>
              <w:suppressLineNumbers w:val="0"/>
              <w:adjustRightInd w:val="0"/>
              <w:snapToGrid w:val="0"/>
              <w:spacing w:before="0" w:beforeAutospacing="0" w:after="0" w:afterAutospacing="0" w:line="360" w:lineRule="auto"/>
              <w:ind w:left="0" w:right="0"/>
              <w:jc w:val="both"/>
              <w:rPr>
                <w:rFonts w:hint="eastAsia" w:ascii="Times New Roman" w:hAnsi="Times New Roman" w:cs="Times New Roman"/>
                <w:color w:val="auto"/>
                <w:sz w:val="24"/>
                <w:highlight w:val="none"/>
                <w:lang w:val="en-US" w:eastAsia="zh-CN"/>
              </w:rPr>
            </w:pPr>
          </w:p>
        </w:tc>
      </w:tr>
      <w:tr w14:paraId="2275A3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56BF3ED">
            <w:pPr>
              <w:keepNext w:val="0"/>
              <w:keepLines w:val="0"/>
              <w:suppressLineNumbers w:val="0"/>
              <w:adjustRightInd w:val="0"/>
              <w:snapToGrid w:val="0"/>
              <w:spacing w:before="0" w:beforeAutospacing="0" w:after="0" w:afterAutospacing="0" w:line="360" w:lineRule="auto"/>
              <w:ind w:left="0" w:right="0" w:firstLine="240" w:firstLineChars="100"/>
              <w:jc w:val="both"/>
              <w:rPr>
                <w:rFonts w:hint="eastAsia" w:cs="Times New Roman"/>
                <w:color w:val="auto"/>
                <w:sz w:val="24"/>
                <w:highlight w:val="none"/>
                <w:lang w:val="en-US" w:eastAsia="zh-CN"/>
              </w:rPr>
            </w:pPr>
          </w:p>
        </w:tc>
        <w:tc>
          <w:tcPr>
            <w:tcW w:w="4388" w:type="dxa"/>
            <w:noWrap w:val="0"/>
            <w:vAlign w:val="center"/>
          </w:tcPr>
          <w:p w14:paraId="4898513E">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体积流量</w:t>
            </w:r>
          </w:p>
        </w:tc>
        <w:tc>
          <w:tcPr>
            <w:tcW w:w="1704" w:type="dxa"/>
            <w:gridSpan w:val="2"/>
            <w:noWrap w:val="0"/>
            <w:vAlign w:val="center"/>
          </w:tcPr>
          <w:p w14:paraId="7D5DCBB1">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m</w:t>
            </w:r>
            <w:r>
              <w:rPr>
                <w:rFonts w:hint="default" w:ascii="Times New Roman" w:hAnsi="Times New Roman" w:cs="Times New Roman"/>
                <w:color w:val="auto"/>
                <w:sz w:val="24"/>
                <w:highlight w:val="none"/>
                <w:vertAlign w:val="superscript"/>
              </w:rPr>
              <w:t>3</w:t>
            </w:r>
            <w:r>
              <w:rPr>
                <w:rFonts w:hint="default" w:ascii="Times New Roman" w:hAnsi="Times New Roman" w:cs="Times New Roman"/>
                <w:color w:val="auto"/>
                <w:sz w:val="24"/>
                <w:highlight w:val="none"/>
              </w:rPr>
              <w:t>/h</w:t>
            </w:r>
          </w:p>
        </w:tc>
        <w:tc>
          <w:tcPr>
            <w:tcW w:w="1555" w:type="dxa"/>
            <w:noWrap w:val="0"/>
            <w:vAlign w:val="center"/>
          </w:tcPr>
          <w:p w14:paraId="66672285">
            <w:pPr>
              <w:keepNext w:val="0"/>
              <w:keepLines w:val="0"/>
              <w:suppressLineNumbers w:val="0"/>
              <w:adjustRightInd w:val="0"/>
              <w:snapToGrid w:val="0"/>
              <w:spacing w:before="0" w:beforeAutospacing="0" w:after="0" w:afterAutospacing="0" w:line="360" w:lineRule="auto"/>
              <w:ind w:left="0" w:right="0"/>
              <w:jc w:val="both"/>
              <w:rPr>
                <w:rFonts w:hint="eastAsia" w:ascii="Times New Roman" w:hAnsi="Times New Roman" w:cs="Times New Roman"/>
                <w:color w:val="auto"/>
                <w:sz w:val="24"/>
                <w:highlight w:val="none"/>
                <w:lang w:val="en-US" w:eastAsia="zh-CN"/>
              </w:rPr>
            </w:pPr>
          </w:p>
        </w:tc>
      </w:tr>
      <w:tr w14:paraId="154D285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B63B83A">
            <w:pPr>
              <w:keepNext w:val="0"/>
              <w:keepLines w:val="0"/>
              <w:suppressLineNumbers w:val="0"/>
              <w:adjustRightInd w:val="0"/>
              <w:snapToGrid w:val="0"/>
              <w:spacing w:before="0" w:beforeAutospacing="0" w:after="0" w:afterAutospacing="0" w:line="360" w:lineRule="auto"/>
              <w:ind w:left="0" w:right="0" w:firstLine="240" w:firstLineChars="100"/>
              <w:jc w:val="both"/>
              <w:rPr>
                <w:rFonts w:hint="eastAsia" w:cs="Times New Roman"/>
                <w:color w:val="auto"/>
                <w:sz w:val="24"/>
                <w:highlight w:val="none"/>
                <w:lang w:val="en-US" w:eastAsia="zh-CN"/>
              </w:rPr>
            </w:pPr>
          </w:p>
        </w:tc>
        <w:tc>
          <w:tcPr>
            <w:tcW w:w="4388" w:type="dxa"/>
            <w:noWrap w:val="0"/>
            <w:vAlign w:val="center"/>
          </w:tcPr>
          <w:p w14:paraId="0975E9ED">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轴功率</w:t>
            </w:r>
          </w:p>
        </w:tc>
        <w:tc>
          <w:tcPr>
            <w:tcW w:w="1704" w:type="dxa"/>
            <w:gridSpan w:val="2"/>
            <w:noWrap w:val="0"/>
            <w:vAlign w:val="center"/>
          </w:tcPr>
          <w:p w14:paraId="72B950CE">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kW</w:t>
            </w:r>
          </w:p>
        </w:tc>
        <w:tc>
          <w:tcPr>
            <w:tcW w:w="1555" w:type="dxa"/>
            <w:noWrap w:val="0"/>
            <w:vAlign w:val="center"/>
          </w:tcPr>
          <w:p w14:paraId="6E53CB32">
            <w:pPr>
              <w:keepNext w:val="0"/>
              <w:keepLines w:val="0"/>
              <w:suppressLineNumbers w:val="0"/>
              <w:adjustRightInd w:val="0"/>
              <w:snapToGrid w:val="0"/>
              <w:spacing w:before="0" w:beforeAutospacing="0" w:after="0" w:afterAutospacing="0" w:line="360" w:lineRule="auto"/>
              <w:ind w:left="0" w:right="0"/>
              <w:jc w:val="both"/>
              <w:rPr>
                <w:rFonts w:hint="eastAsia" w:ascii="Times New Roman" w:hAnsi="Times New Roman" w:cs="Times New Roman"/>
                <w:color w:val="auto"/>
                <w:sz w:val="24"/>
                <w:highlight w:val="none"/>
                <w:lang w:val="en-US" w:eastAsia="zh-CN"/>
              </w:rPr>
            </w:pPr>
          </w:p>
        </w:tc>
      </w:tr>
      <w:tr w14:paraId="103C81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06A17D3">
            <w:pPr>
              <w:keepNext w:val="0"/>
              <w:keepLines w:val="0"/>
              <w:suppressLineNumbers w:val="0"/>
              <w:adjustRightInd w:val="0"/>
              <w:snapToGrid w:val="0"/>
              <w:spacing w:before="0" w:beforeAutospacing="0" w:after="0" w:afterAutospacing="0" w:line="360" w:lineRule="auto"/>
              <w:ind w:left="0" w:right="0" w:firstLine="240" w:firstLineChars="100"/>
              <w:jc w:val="both"/>
              <w:rPr>
                <w:rFonts w:hint="eastAsia" w:cs="Times New Roman"/>
                <w:color w:val="auto"/>
                <w:sz w:val="24"/>
                <w:highlight w:val="none"/>
                <w:lang w:val="en-US" w:eastAsia="zh-CN"/>
              </w:rPr>
            </w:pPr>
          </w:p>
        </w:tc>
        <w:tc>
          <w:tcPr>
            <w:tcW w:w="4388" w:type="dxa"/>
            <w:noWrap w:val="0"/>
            <w:vAlign w:val="center"/>
          </w:tcPr>
          <w:p w14:paraId="3210C2BD">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电机功率</w:t>
            </w:r>
          </w:p>
        </w:tc>
        <w:tc>
          <w:tcPr>
            <w:tcW w:w="1704" w:type="dxa"/>
            <w:gridSpan w:val="2"/>
            <w:noWrap w:val="0"/>
            <w:vAlign w:val="center"/>
          </w:tcPr>
          <w:p w14:paraId="50F57A6B">
            <w:pPr>
              <w:keepNext w:val="0"/>
              <w:keepLines w:val="0"/>
              <w:suppressLineNumbers w:val="0"/>
              <w:adjustRightInd w:val="0"/>
              <w:snapToGrid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kW</w:t>
            </w:r>
          </w:p>
        </w:tc>
        <w:tc>
          <w:tcPr>
            <w:tcW w:w="1555" w:type="dxa"/>
            <w:noWrap w:val="0"/>
            <w:vAlign w:val="center"/>
          </w:tcPr>
          <w:p w14:paraId="1C554235">
            <w:pPr>
              <w:keepNext w:val="0"/>
              <w:keepLines w:val="0"/>
              <w:suppressLineNumbers w:val="0"/>
              <w:adjustRightInd w:val="0"/>
              <w:snapToGrid w:val="0"/>
              <w:spacing w:before="0" w:beforeAutospacing="0" w:after="0" w:afterAutospacing="0" w:line="360" w:lineRule="auto"/>
              <w:ind w:left="0" w:right="0"/>
              <w:jc w:val="both"/>
              <w:rPr>
                <w:rFonts w:hint="eastAsia" w:ascii="Times New Roman" w:hAnsi="Times New Roman" w:cs="Times New Roman"/>
                <w:color w:val="auto"/>
                <w:sz w:val="24"/>
                <w:highlight w:val="none"/>
                <w:lang w:val="en-US" w:eastAsia="zh-CN"/>
              </w:rPr>
            </w:pPr>
          </w:p>
        </w:tc>
      </w:tr>
      <w:tr w14:paraId="0D4B1A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ADB31D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w:t>
            </w:r>
          </w:p>
        </w:tc>
        <w:tc>
          <w:tcPr>
            <w:tcW w:w="4388" w:type="dxa"/>
            <w:noWrap w:val="0"/>
            <w:vAlign w:val="center"/>
          </w:tcPr>
          <w:p w14:paraId="751B524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仪表及控制设备</w:t>
            </w:r>
          </w:p>
        </w:tc>
        <w:tc>
          <w:tcPr>
            <w:tcW w:w="1704" w:type="dxa"/>
            <w:gridSpan w:val="2"/>
            <w:noWrap w:val="0"/>
            <w:vAlign w:val="center"/>
          </w:tcPr>
          <w:p w14:paraId="1D1DC37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0C9744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475280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B67E37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3.1</w:t>
            </w:r>
          </w:p>
        </w:tc>
        <w:tc>
          <w:tcPr>
            <w:tcW w:w="4388" w:type="dxa"/>
            <w:noWrap w:val="0"/>
            <w:vAlign w:val="center"/>
          </w:tcPr>
          <w:p w14:paraId="6446344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就地测量设备</w:t>
            </w:r>
          </w:p>
        </w:tc>
        <w:tc>
          <w:tcPr>
            <w:tcW w:w="1704" w:type="dxa"/>
            <w:gridSpan w:val="2"/>
            <w:noWrap w:val="0"/>
            <w:vAlign w:val="center"/>
          </w:tcPr>
          <w:p w14:paraId="285BEFC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8C2340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601D0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C10CEF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4388" w:type="dxa"/>
            <w:noWrap w:val="0"/>
            <w:vAlign w:val="center"/>
          </w:tcPr>
          <w:p w14:paraId="3707E04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温度测量</w:t>
            </w:r>
          </w:p>
        </w:tc>
        <w:tc>
          <w:tcPr>
            <w:tcW w:w="1704" w:type="dxa"/>
            <w:gridSpan w:val="2"/>
            <w:noWrap w:val="0"/>
            <w:vAlign w:val="center"/>
          </w:tcPr>
          <w:p w14:paraId="5DE10CB9">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支</w:t>
            </w:r>
          </w:p>
        </w:tc>
        <w:tc>
          <w:tcPr>
            <w:tcW w:w="1555" w:type="dxa"/>
            <w:noWrap w:val="0"/>
            <w:vAlign w:val="center"/>
          </w:tcPr>
          <w:p w14:paraId="0308A92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2920E8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E2D0A6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74F1B7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热电偶</w:t>
            </w:r>
          </w:p>
        </w:tc>
        <w:tc>
          <w:tcPr>
            <w:tcW w:w="1704" w:type="dxa"/>
            <w:gridSpan w:val="2"/>
            <w:noWrap w:val="0"/>
            <w:vAlign w:val="center"/>
          </w:tcPr>
          <w:p w14:paraId="1C7B886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FACDE6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6CEB5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76A512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C3E0DB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热电偶材质（分度号）</w:t>
            </w:r>
          </w:p>
        </w:tc>
        <w:tc>
          <w:tcPr>
            <w:tcW w:w="1704" w:type="dxa"/>
            <w:gridSpan w:val="2"/>
            <w:noWrap w:val="0"/>
            <w:vAlign w:val="center"/>
          </w:tcPr>
          <w:p w14:paraId="18A4E3A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549478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D144DF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AE2EA5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F52EF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基本误差限</w:t>
            </w:r>
          </w:p>
        </w:tc>
        <w:tc>
          <w:tcPr>
            <w:tcW w:w="1704" w:type="dxa"/>
            <w:gridSpan w:val="2"/>
            <w:noWrap w:val="0"/>
            <w:vAlign w:val="center"/>
          </w:tcPr>
          <w:p w14:paraId="32321CF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794D546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D27C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FA2F9F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E7BD0F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套管材质及防腐措施</w:t>
            </w:r>
          </w:p>
        </w:tc>
        <w:tc>
          <w:tcPr>
            <w:tcW w:w="1704" w:type="dxa"/>
            <w:gridSpan w:val="2"/>
            <w:noWrap w:val="0"/>
            <w:vAlign w:val="center"/>
          </w:tcPr>
          <w:p w14:paraId="7DC4BB9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2BAF71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65AABF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265712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E7BF4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测温范围（最大值和最小值）</w:t>
            </w:r>
          </w:p>
        </w:tc>
        <w:tc>
          <w:tcPr>
            <w:tcW w:w="1704" w:type="dxa"/>
            <w:gridSpan w:val="2"/>
            <w:noWrap w:val="0"/>
            <w:vAlign w:val="center"/>
          </w:tcPr>
          <w:p w14:paraId="45C0C5E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674F41C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58AE9B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3609A5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CAEA40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热电阻</w:t>
            </w:r>
          </w:p>
        </w:tc>
        <w:tc>
          <w:tcPr>
            <w:tcW w:w="1704" w:type="dxa"/>
            <w:gridSpan w:val="2"/>
            <w:noWrap w:val="0"/>
            <w:vAlign w:val="center"/>
          </w:tcPr>
          <w:p w14:paraId="1F54D63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B9C786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74D8B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D8CB6B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6CAB65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热电阻材质（Pt100分度号）</w:t>
            </w:r>
          </w:p>
        </w:tc>
        <w:tc>
          <w:tcPr>
            <w:tcW w:w="1704" w:type="dxa"/>
            <w:gridSpan w:val="2"/>
            <w:noWrap w:val="0"/>
            <w:vAlign w:val="center"/>
          </w:tcPr>
          <w:p w14:paraId="4B41A6C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4E61200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67893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0250B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5458A5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基本误差限</w:t>
            </w:r>
          </w:p>
        </w:tc>
        <w:tc>
          <w:tcPr>
            <w:tcW w:w="1704" w:type="dxa"/>
            <w:gridSpan w:val="2"/>
            <w:noWrap w:val="0"/>
            <w:vAlign w:val="center"/>
          </w:tcPr>
          <w:p w14:paraId="2104D48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745FFDA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76E35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9A1F40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0EAB6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测量范围（最大值和最小值）</w:t>
            </w:r>
          </w:p>
        </w:tc>
        <w:tc>
          <w:tcPr>
            <w:tcW w:w="1704" w:type="dxa"/>
            <w:gridSpan w:val="2"/>
            <w:noWrap w:val="0"/>
            <w:vAlign w:val="center"/>
          </w:tcPr>
          <w:p w14:paraId="6DD6A87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33E63D8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EA55E6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252126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4388" w:type="dxa"/>
            <w:noWrap w:val="0"/>
            <w:vAlign w:val="center"/>
          </w:tcPr>
          <w:p w14:paraId="3DC1D5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流量测量</w:t>
            </w:r>
          </w:p>
        </w:tc>
        <w:tc>
          <w:tcPr>
            <w:tcW w:w="1704" w:type="dxa"/>
            <w:gridSpan w:val="2"/>
            <w:noWrap w:val="0"/>
            <w:vAlign w:val="center"/>
          </w:tcPr>
          <w:p w14:paraId="30E4136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台</w:t>
            </w:r>
          </w:p>
        </w:tc>
        <w:tc>
          <w:tcPr>
            <w:tcW w:w="1555" w:type="dxa"/>
            <w:noWrap w:val="0"/>
            <w:vAlign w:val="center"/>
          </w:tcPr>
          <w:p w14:paraId="76D4D74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F351F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15274D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8D9A7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流量计（差压型）</w:t>
            </w:r>
          </w:p>
        </w:tc>
        <w:tc>
          <w:tcPr>
            <w:tcW w:w="1704" w:type="dxa"/>
            <w:gridSpan w:val="2"/>
            <w:noWrap w:val="0"/>
            <w:vAlign w:val="center"/>
          </w:tcPr>
          <w:p w14:paraId="37F08A2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1060D5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99F1D7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AE67AF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505C2C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测量元件型式</w:t>
            </w:r>
          </w:p>
        </w:tc>
        <w:tc>
          <w:tcPr>
            <w:tcW w:w="1704" w:type="dxa"/>
            <w:gridSpan w:val="2"/>
            <w:noWrap w:val="0"/>
            <w:vAlign w:val="center"/>
          </w:tcPr>
          <w:p w14:paraId="579E129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090B890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378BA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426341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E2DA42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2B28D1A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5C69457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925565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2496A1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EA80B8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电磁流量计（或其它传感器型式）</w:t>
            </w:r>
          </w:p>
        </w:tc>
        <w:tc>
          <w:tcPr>
            <w:tcW w:w="1704" w:type="dxa"/>
            <w:gridSpan w:val="2"/>
            <w:noWrap w:val="0"/>
            <w:vAlign w:val="center"/>
          </w:tcPr>
          <w:p w14:paraId="23154F0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F66E5F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9BD2E7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B922D9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868B29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测量元件型式</w:t>
            </w:r>
          </w:p>
        </w:tc>
        <w:tc>
          <w:tcPr>
            <w:tcW w:w="1704" w:type="dxa"/>
            <w:gridSpan w:val="2"/>
            <w:noWrap w:val="0"/>
            <w:vAlign w:val="center"/>
          </w:tcPr>
          <w:p w14:paraId="03C7ED8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798213F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CAAB13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DCB7B8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D1CD3C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防腐材质</w:t>
            </w:r>
          </w:p>
        </w:tc>
        <w:tc>
          <w:tcPr>
            <w:tcW w:w="1704" w:type="dxa"/>
            <w:gridSpan w:val="2"/>
            <w:noWrap w:val="0"/>
            <w:vAlign w:val="center"/>
          </w:tcPr>
          <w:p w14:paraId="730FC6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39BFC59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53A10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9AC68A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B42AB2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176996C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449C2E9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078D3B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23891D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w:t>
            </w:r>
          </w:p>
        </w:tc>
        <w:tc>
          <w:tcPr>
            <w:tcW w:w="4388" w:type="dxa"/>
            <w:noWrap w:val="0"/>
            <w:vAlign w:val="center"/>
          </w:tcPr>
          <w:p w14:paraId="3D85105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压力测量</w:t>
            </w:r>
          </w:p>
        </w:tc>
        <w:tc>
          <w:tcPr>
            <w:tcW w:w="1704" w:type="dxa"/>
            <w:gridSpan w:val="2"/>
            <w:noWrap w:val="0"/>
            <w:vAlign w:val="center"/>
          </w:tcPr>
          <w:p w14:paraId="0E9703B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bookmarkStart w:id="127" w:name="OLE_LINK28"/>
            <w:r>
              <w:rPr>
                <w:rFonts w:hint="eastAsia" w:ascii="Times New Roman" w:hAnsi="Times New Roman" w:cs="Times New Roman"/>
                <w:color w:val="auto"/>
                <w:sz w:val="24"/>
                <w:highlight w:val="none"/>
                <w:lang w:val="en-US" w:eastAsia="zh-CN"/>
              </w:rPr>
              <w:t>台</w:t>
            </w:r>
            <w:bookmarkEnd w:id="127"/>
          </w:p>
        </w:tc>
        <w:tc>
          <w:tcPr>
            <w:tcW w:w="1555" w:type="dxa"/>
            <w:noWrap w:val="0"/>
            <w:vAlign w:val="center"/>
          </w:tcPr>
          <w:p w14:paraId="428144C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AF8E8F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0E24F3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73FF0F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压力变送器</w:t>
            </w:r>
          </w:p>
        </w:tc>
        <w:tc>
          <w:tcPr>
            <w:tcW w:w="1704" w:type="dxa"/>
            <w:gridSpan w:val="2"/>
            <w:noWrap w:val="0"/>
            <w:vAlign w:val="center"/>
          </w:tcPr>
          <w:p w14:paraId="2DC4EBA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CAF8FF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352AB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059F20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3B72F0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型号规格</w:t>
            </w:r>
          </w:p>
        </w:tc>
        <w:tc>
          <w:tcPr>
            <w:tcW w:w="1704" w:type="dxa"/>
            <w:gridSpan w:val="2"/>
            <w:noWrap w:val="0"/>
            <w:vAlign w:val="center"/>
          </w:tcPr>
          <w:p w14:paraId="2310B23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5D3B8CD5">
            <w:pPr>
              <w:keepNext w:val="0"/>
              <w:keepLines w:val="0"/>
              <w:suppressLineNumbers w:val="0"/>
              <w:adjustRightInd w:val="0"/>
              <w:snapToGrid w:val="0"/>
              <w:spacing w:before="0" w:beforeAutospacing="0" w:after="0" w:afterAutospacing="0" w:line="276" w:lineRule="auto"/>
              <w:ind w:left="0" w:right="0"/>
              <w:jc w:val="center"/>
              <w:rPr>
                <w:rFonts w:hint="default" w:ascii="Times New Roman" w:hAnsi="Times New Roman" w:cs="Times New Roman"/>
                <w:color w:val="auto"/>
                <w:sz w:val="24"/>
                <w:highlight w:val="none"/>
              </w:rPr>
            </w:pPr>
          </w:p>
        </w:tc>
      </w:tr>
      <w:tr w14:paraId="60083C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7B4B76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279A45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工作原理</w:t>
            </w:r>
          </w:p>
        </w:tc>
        <w:tc>
          <w:tcPr>
            <w:tcW w:w="1704" w:type="dxa"/>
            <w:gridSpan w:val="2"/>
            <w:noWrap w:val="0"/>
            <w:vAlign w:val="center"/>
          </w:tcPr>
          <w:p w14:paraId="1EFD203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32610B81">
            <w:pPr>
              <w:keepNext w:val="0"/>
              <w:keepLines w:val="0"/>
              <w:suppressLineNumbers w:val="0"/>
              <w:adjustRightInd w:val="0"/>
              <w:snapToGrid w:val="0"/>
              <w:spacing w:before="0" w:beforeAutospacing="0" w:after="0" w:afterAutospacing="0" w:line="276" w:lineRule="auto"/>
              <w:ind w:left="0" w:right="0"/>
              <w:jc w:val="center"/>
              <w:rPr>
                <w:rFonts w:hint="default" w:ascii="Times New Roman" w:hAnsi="Times New Roman" w:cs="Times New Roman"/>
                <w:color w:val="auto"/>
                <w:sz w:val="24"/>
                <w:highlight w:val="none"/>
              </w:rPr>
            </w:pPr>
          </w:p>
        </w:tc>
      </w:tr>
      <w:tr w14:paraId="5861377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78F96F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0431FD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3923EE2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546E344F">
            <w:pPr>
              <w:keepNext w:val="0"/>
              <w:keepLines w:val="0"/>
              <w:suppressLineNumbers w:val="0"/>
              <w:adjustRightInd w:val="0"/>
              <w:snapToGrid w:val="0"/>
              <w:spacing w:before="0" w:beforeAutospacing="0" w:after="0" w:afterAutospacing="0" w:line="276" w:lineRule="auto"/>
              <w:ind w:left="0" w:right="0"/>
              <w:jc w:val="center"/>
              <w:rPr>
                <w:rFonts w:hint="default" w:ascii="Times New Roman" w:hAnsi="Times New Roman" w:cs="Times New Roman"/>
                <w:color w:val="auto"/>
                <w:sz w:val="24"/>
                <w:highlight w:val="none"/>
              </w:rPr>
            </w:pPr>
          </w:p>
        </w:tc>
      </w:tr>
      <w:tr w14:paraId="27D1E0F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4F7641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（4）</w:t>
            </w:r>
          </w:p>
        </w:tc>
        <w:tc>
          <w:tcPr>
            <w:tcW w:w="4388" w:type="dxa"/>
            <w:noWrap w:val="0"/>
            <w:vAlign w:val="center"/>
          </w:tcPr>
          <w:p w14:paraId="47506F6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物位测量</w:t>
            </w:r>
          </w:p>
        </w:tc>
        <w:tc>
          <w:tcPr>
            <w:tcW w:w="1704" w:type="dxa"/>
            <w:gridSpan w:val="2"/>
            <w:noWrap w:val="0"/>
            <w:vAlign w:val="center"/>
          </w:tcPr>
          <w:p w14:paraId="214189C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支</w:t>
            </w:r>
          </w:p>
        </w:tc>
        <w:tc>
          <w:tcPr>
            <w:tcW w:w="1555" w:type="dxa"/>
            <w:noWrap w:val="0"/>
            <w:vAlign w:val="center"/>
          </w:tcPr>
          <w:p w14:paraId="73DD136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5A5DBF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2AC737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0D445E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液位变送器</w:t>
            </w:r>
          </w:p>
        </w:tc>
        <w:tc>
          <w:tcPr>
            <w:tcW w:w="1704" w:type="dxa"/>
            <w:gridSpan w:val="2"/>
            <w:noWrap w:val="0"/>
            <w:vAlign w:val="center"/>
          </w:tcPr>
          <w:p w14:paraId="385E5B4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6195F3D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43998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F6C6BC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70181D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型号规格</w:t>
            </w:r>
          </w:p>
        </w:tc>
        <w:tc>
          <w:tcPr>
            <w:tcW w:w="1704" w:type="dxa"/>
            <w:gridSpan w:val="2"/>
            <w:noWrap w:val="0"/>
            <w:vAlign w:val="center"/>
          </w:tcPr>
          <w:p w14:paraId="7D73D2D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3583929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7F9B6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F2E94C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8F0B40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工作原理</w:t>
            </w:r>
          </w:p>
        </w:tc>
        <w:tc>
          <w:tcPr>
            <w:tcW w:w="1704" w:type="dxa"/>
            <w:gridSpan w:val="2"/>
            <w:noWrap w:val="0"/>
            <w:vAlign w:val="center"/>
          </w:tcPr>
          <w:p w14:paraId="5053F85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26E46CA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63A2D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DD2906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860828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25B98C8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15FA9D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3CA41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F19A2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FCE70F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cs="Times New Roman"/>
                <w:color w:val="auto"/>
                <w:sz w:val="24"/>
                <w:highlight w:val="none"/>
                <w:lang w:val="en-US" w:eastAsia="zh-CN"/>
              </w:rPr>
              <w:t>雷达波液位计</w:t>
            </w:r>
          </w:p>
        </w:tc>
        <w:tc>
          <w:tcPr>
            <w:tcW w:w="1704" w:type="dxa"/>
            <w:gridSpan w:val="2"/>
            <w:noWrap w:val="0"/>
            <w:vAlign w:val="center"/>
          </w:tcPr>
          <w:p w14:paraId="0246DCD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支</w:t>
            </w:r>
          </w:p>
        </w:tc>
        <w:tc>
          <w:tcPr>
            <w:tcW w:w="1555" w:type="dxa"/>
            <w:noWrap w:val="0"/>
            <w:vAlign w:val="center"/>
          </w:tcPr>
          <w:p w14:paraId="5EFB52B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4037ED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D70FB3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CD1AD4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型号规格</w:t>
            </w:r>
          </w:p>
        </w:tc>
        <w:tc>
          <w:tcPr>
            <w:tcW w:w="1704" w:type="dxa"/>
            <w:gridSpan w:val="2"/>
            <w:noWrap w:val="0"/>
            <w:vAlign w:val="center"/>
          </w:tcPr>
          <w:p w14:paraId="568DE68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70AE92C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B08DDE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489D0C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763E9E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工作原理</w:t>
            </w:r>
          </w:p>
        </w:tc>
        <w:tc>
          <w:tcPr>
            <w:tcW w:w="1704" w:type="dxa"/>
            <w:gridSpan w:val="2"/>
            <w:noWrap w:val="0"/>
            <w:vAlign w:val="center"/>
          </w:tcPr>
          <w:p w14:paraId="76E6116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7E36BDC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44634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F3751B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C0C21D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773B967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694E74F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9D5F3E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5E45F1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（5）</w:t>
            </w:r>
          </w:p>
        </w:tc>
        <w:tc>
          <w:tcPr>
            <w:tcW w:w="4388" w:type="dxa"/>
            <w:noWrap w:val="0"/>
            <w:vAlign w:val="center"/>
          </w:tcPr>
          <w:p w14:paraId="259AD1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烟气</w:t>
            </w:r>
            <w:r>
              <w:rPr>
                <w:rFonts w:hint="default" w:ascii="Times New Roman" w:hAnsi="Times New Roman" w:cs="Times New Roman"/>
                <w:color w:val="auto"/>
                <w:sz w:val="24"/>
                <w:highlight w:val="none"/>
              </w:rPr>
              <w:t>分析仪表</w:t>
            </w:r>
          </w:p>
        </w:tc>
        <w:tc>
          <w:tcPr>
            <w:tcW w:w="1704" w:type="dxa"/>
            <w:gridSpan w:val="2"/>
            <w:noWrap w:val="0"/>
            <w:vAlign w:val="center"/>
          </w:tcPr>
          <w:p w14:paraId="5E7AA1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套</w:t>
            </w:r>
          </w:p>
        </w:tc>
        <w:tc>
          <w:tcPr>
            <w:tcW w:w="1555" w:type="dxa"/>
            <w:noWrap w:val="0"/>
            <w:vAlign w:val="center"/>
          </w:tcPr>
          <w:p w14:paraId="1C733DD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6A6C4A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816" w:type="dxa"/>
            <w:noWrap w:val="0"/>
            <w:vAlign w:val="center"/>
          </w:tcPr>
          <w:p w14:paraId="52C720E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a</w:t>
            </w:r>
          </w:p>
        </w:tc>
        <w:tc>
          <w:tcPr>
            <w:tcW w:w="4388" w:type="dxa"/>
            <w:noWrap w:val="0"/>
            <w:vAlign w:val="center"/>
          </w:tcPr>
          <w:p w14:paraId="287AFC1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O</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分析仪</w:t>
            </w:r>
          </w:p>
        </w:tc>
        <w:tc>
          <w:tcPr>
            <w:tcW w:w="1704" w:type="dxa"/>
            <w:gridSpan w:val="2"/>
            <w:noWrap w:val="0"/>
            <w:vAlign w:val="center"/>
          </w:tcPr>
          <w:p w14:paraId="637854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DFBB9E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4B957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7646A7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081268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型号规格</w:t>
            </w:r>
          </w:p>
        </w:tc>
        <w:tc>
          <w:tcPr>
            <w:tcW w:w="1704" w:type="dxa"/>
            <w:gridSpan w:val="2"/>
            <w:noWrap w:val="0"/>
            <w:vAlign w:val="center"/>
          </w:tcPr>
          <w:p w14:paraId="046823B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7DC99CF2">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5B8F2C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828D84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193AC6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测量范围</w:t>
            </w:r>
          </w:p>
        </w:tc>
        <w:tc>
          <w:tcPr>
            <w:tcW w:w="1704" w:type="dxa"/>
            <w:gridSpan w:val="2"/>
            <w:noWrap w:val="0"/>
            <w:vAlign w:val="center"/>
          </w:tcPr>
          <w:p w14:paraId="5C0F083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%O</w:t>
            </w:r>
            <w:r>
              <w:rPr>
                <w:rFonts w:hint="default" w:ascii="Times New Roman" w:hAnsi="Times New Roman" w:cs="Times New Roman"/>
                <w:color w:val="auto"/>
                <w:sz w:val="24"/>
                <w:highlight w:val="none"/>
                <w:vertAlign w:val="subscript"/>
              </w:rPr>
              <w:t>2</w:t>
            </w:r>
          </w:p>
        </w:tc>
        <w:tc>
          <w:tcPr>
            <w:tcW w:w="1555" w:type="dxa"/>
            <w:noWrap w:val="0"/>
            <w:vAlign w:val="center"/>
          </w:tcPr>
          <w:p w14:paraId="4ADD024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B6457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44F57B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2B99F7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5EFAF71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187EA0A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6313D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C9A230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5D696E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工作原理</w:t>
            </w:r>
          </w:p>
        </w:tc>
        <w:tc>
          <w:tcPr>
            <w:tcW w:w="1704" w:type="dxa"/>
            <w:gridSpan w:val="2"/>
            <w:noWrap w:val="0"/>
            <w:vAlign w:val="center"/>
          </w:tcPr>
          <w:p w14:paraId="4F1C8B5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5681F8E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2DC80A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E43233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b</w:t>
            </w:r>
          </w:p>
        </w:tc>
        <w:tc>
          <w:tcPr>
            <w:tcW w:w="4388" w:type="dxa"/>
            <w:noWrap w:val="0"/>
            <w:vAlign w:val="center"/>
          </w:tcPr>
          <w:p w14:paraId="55CD952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SO</w:t>
            </w:r>
            <w:r>
              <w:rPr>
                <w:rFonts w:hint="default" w:ascii="Times New Roman" w:hAnsi="Times New Roman" w:cs="Times New Roman"/>
                <w:color w:val="auto"/>
                <w:sz w:val="24"/>
                <w:highlight w:val="none"/>
                <w:vertAlign w:val="subscript"/>
              </w:rPr>
              <w:t>2</w:t>
            </w:r>
            <w:r>
              <w:rPr>
                <w:rFonts w:hint="default" w:ascii="Times New Roman" w:hAnsi="Times New Roman" w:cs="Times New Roman"/>
                <w:color w:val="auto"/>
                <w:sz w:val="24"/>
                <w:highlight w:val="none"/>
              </w:rPr>
              <w:t>分析仪</w:t>
            </w:r>
          </w:p>
        </w:tc>
        <w:tc>
          <w:tcPr>
            <w:tcW w:w="1704" w:type="dxa"/>
            <w:gridSpan w:val="2"/>
            <w:noWrap w:val="0"/>
            <w:vAlign w:val="center"/>
          </w:tcPr>
          <w:p w14:paraId="2C77D83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465E5C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3A525C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E36517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2E3F2A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型号规格</w:t>
            </w:r>
          </w:p>
        </w:tc>
        <w:tc>
          <w:tcPr>
            <w:tcW w:w="1704" w:type="dxa"/>
            <w:gridSpan w:val="2"/>
            <w:noWrap w:val="0"/>
            <w:vAlign w:val="center"/>
          </w:tcPr>
          <w:p w14:paraId="39BAB6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3916E85D">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7406859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074E9C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C8AB75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测量范围</w:t>
            </w:r>
          </w:p>
        </w:tc>
        <w:tc>
          <w:tcPr>
            <w:tcW w:w="1704" w:type="dxa"/>
            <w:gridSpan w:val="2"/>
            <w:noWrap w:val="0"/>
            <w:vAlign w:val="center"/>
          </w:tcPr>
          <w:p w14:paraId="5B65635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mg/Nm</w:t>
            </w:r>
            <w:r>
              <w:rPr>
                <w:rFonts w:hint="default" w:ascii="Times New Roman" w:hAnsi="Times New Roman" w:cs="Times New Roman"/>
                <w:color w:val="auto"/>
                <w:sz w:val="24"/>
                <w:highlight w:val="none"/>
                <w:vertAlign w:val="superscript"/>
              </w:rPr>
              <w:t>3</w:t>
            </w:r>
          </w:p>
        </w:tc>
        <w:tc>
          <w:tcPr>
            <w:tcW w:w="1555" w:type="dxa"/>
            <w:noWrap w:val="0"/>
            <w:vAlign w:val="center"/>
          </w:tcPr>
          <w:p w14:paraId="49CE188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0"/>
                <w:sz w:val="24"/>
                <w:highlight w:val="none"/>
              </w:rPr>
            </w:pPr>
          </w:p>
        </w:tc>
      </w:tr>
      <w:tr w14:paraId="21ABD83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FDAA8D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FBCF0B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24C1AE5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4106D0B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5C6577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EF6E3D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7CF8638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工作原理</w:t>
            </w:r>
          </w:p>
        </w:tc>
        <w:tc>
          <w:tcPr>
            <w:tcW w:w="1704" w:type="dxa"/>
            <w:gridSpan w:val="2"/>
            <w:noWrap w:val="0"/>
            <w:vAlign w:val="center"/>
          </w:tcPr>
          <w:p w14:paraId="2688F9B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65B0AB7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4BD6F5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C9AD27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cs="Times New Roman"/>
                <w:color w:val="auto"/>
                <w:sz w:val="24"/>
                <w:highlight w:val="none"/>
                <w:lang w:val="en-US" w:eastAsia="zh-CN"/>
              </w:rPr>
              <w:t>c</w:t>
            </w:r>
          </w:p>
        </w:tc>
        <w:tc>
          <w:tcPr>
            <w:tcW w:w="4388" w:type="dxa"/>
            <w:noWrap w:val="0"/>
            <w:vAlign w:val="center"/>
          </w:tcPr>
          <w:p w14:paraId="6D8C050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烟气粉尘含量测量仪</w:t>
            </w:r>
          </w:p>
        </w:tc>
        <w:tc>
          <w:tcPr>
            <w:tcW w:w="1704" w:type="dxa"/>
            <w:gridSpan w:val="2"/>
            <w:noWrap w:val="0"/>
            <w:vAlign w:val="center"/>
          </w:tcPr>
          <w:p w14:paraId="56AC7CE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76B108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E062C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D096A4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593218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型号规格</w:t>
            </w:r>
          </w:p>
        </w:tc>
        <w:tc>
          <w:tcPr>
            <w:tcW w:w="1704" w:type="dxa"/>
            <w:gridSpan w:val="2"/>
            <w:noWrap w:val="0"/>
            <w:vAlign w:val="center"/>
          </w:tcPr>
          <w:p w14:paraId="6825BE6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58AFC67E">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p>
        </w:tc>
      </w:tr>
      <w:tr w14:paraId="467B76F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2AB890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2AB4D2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量程</w:t>
            </w:r>
          </w:p>
        </w:tc>
        <w:tc>
          <w:tcPr>
            <w:tcW w:w="1704" w:type="dxa"/>
            <w:gridSpan w:val="2"/>
            <w:noWrap w:val="0"/>
            <w:vAlign w:val="center"/>
          </w:tcPr>
          <w:p w14:paraId="4719E0A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mg/Nm</w:t>
            </w:r>
            <w:r>
              <w:rPr>
                <w:rFonts w:hint="default" w:ascii="Times New Roman" w:hAnsi="Times New Roman" w:cs="Times New Roman"/>
                <w:color w:val="auto"/>
                <w:sz w:val="24"/>
                <w:highlight w:val="none"/>
                <w:vertAlign w:val="superscript"/>
              </w:rPr>
              <w:t>3</w:t>
            </w:r>
          </w:p>
        </w:tc>
        <w:tc>
          <w:tcPr>
            <w:tcW w:w="1555" w:type="dxa"/>
            <w:noWrap w:val="0"/>
            <w:vAlign w:val="center"/>
          </w:tcPr>
          <w:p w14:paraId="56F7169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D5F11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F8F66F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FCCFD6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46A0F91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03D4A17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C6D7E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A1EEB0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DB7480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工作原理</w:t>
            </w:r>
          </w:p>
        </w:tc>
        <w:tc>
          <w:tcPr>
            <w:tcW w:w="1704" w:type="dxa"/>
            <w:gridSpan w:val="2"/>
            <w:noWrap w:val="0"/>
            <w:vAlign w:val="center"/>
          </w:tcPr>
          <w:p w14:paraId="3880682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1A7678A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DBE94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77EEE3D">
            <w:pPr>
              <w:keepNext w:val="0"/>
              <w:keepLines w:val="0"/>
              <w:suppressLineNumbers w:val="0"/>
              <w:adjustRightInd w:val="0"/>
              <w:snapToGrid w:val="0"/>
              <w:spacing w:before="0" w:beforeAutospacing="0" w:after="0" w:afterAutospacing="0" w:line="360" w:lineRule="auto"/>
              <w:ind w:left="0" w:right="0"/>
              <w:jc w:val="both"/>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 xml:space="preserve">  d</w:t>
            </w:r>
          </w:p>
        </w:tc>
        <w:tc>
          <w:tcPr>
            <w:tcW w:w="4388" w:type="dxa"/>
            <w:noWrap w:val="0"/>
            <w:vAlign w:val="center"/>
          </w:tcPr>
          <w:p w14:paraId="5F0EC6BB">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eastAsia" w:cs="Times New Roman"/>
                <w:color w:val="auto"/>
                <w:sz w:val="24"/>
                <w:highlight w:val="none"/>
                <w:lang w:val="en-US" w:eastAsia="zh-CN"/>
              </w:rPr>
              <w:t>矩阵式烟气流量</w:t>
            </w:r>
          </w:p>
        </w:tc>
        <w:tc>
          <w:tcPr>
            <w:tcW w:w="1704" w:type="dxa"/>
            <w:gridSpan w:val="2"/>
            <w:noWrap w:val="0"/>
            <w:vAlign w:val="center"/>
          </w:tcPr>
          <w:p w14:paraId="502934C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06F8D7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A97A91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DE3F42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0D8EC0A">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型号规格</w:t>
            </w:r>
          </w:p>
        </w:tc>
        <w:tc>
          <w:tcPr>
            <w:tcW w:w="1704" w:type="dxa"/>
            <w:gridSpan w:val="2"/>
            <w:noWrap w:val="0"/>
            <w:vAlign w:val="center"/>
          </w:tcPr>
          <w:p w14:paraId="27A5DDA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BA3111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0CA6D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497675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65196F0">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测量范围</w:t>
            </w:r>
          </w:p>
        </w:tc>
        <w:tc>
          <w:tcPr>
            <w:tcW w:w="1704" w:type="dxa"/>
            <w:gridSpan w:val="2"/>
            <w:noWrap w:val="0"/>
            <w:vAlign w:val="center"/>
          </w:tcPr>
          <w:p w14:paraId="0B7F990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160C0D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12B5F4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F806D7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9DF9DD6">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2F829FA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94FAC6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6D883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5A5E47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B10CCBA">
            <w:pPr>
              <w:keepNext w:val="0"/>
              <w:keepLines w:val="0"/>
              <w:suppressLineNumbers w:val="0"/>
              <w:adjustRightInd w:val="0"/>
              <w:snapToGrid w:val="0"/>
              <w:spacing w:before="0" w:beforeAutospacing="0" w:after="0" w:afterAutospacing="0" w:line="360" w:lineRule="auto"/>
              <w:ind w:left="0" w:leftChars="0" w:right="0" w:rightChars="0"/>
              <w:jc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sz w:val="24"/>
                <w:highlight w:val="none"/>
              </w:rPr>
              <w:t>工作原理</w:t>
            </w:r>
          </w:p>
        </w:tc>
        <w:tc>
          <w:tcPr>
            <w:tcW w:w="1704" w:type="dxa"/>
            <w:gridSpan w:val="2"/>
            <w:noWrap w:val="0"/>
            <w:vAlign w:val="center"/>
          </w:tcPr>
          <w:p w14:paraId="61FAE48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467629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7CD02B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931F18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cs="Times New Roman"/>
                <w:color w:val="auto"/>
                <w:sz w:val="24"/>
                <w:highlight w:val="none"/>
                <w:lang w:eastAsia="zh-CN"/>
              </w:rPr>
              <w:t>（</w:t>
            </w:r>
            <w:r>
              <w:rPr>
                <w:rFonts w:hint="eastAsia" w:cs="Times New Roman"/>
                <w:color w:val="auto"/>
                <w:sz w:val="24"/>
                <w:highlight w:val="none"/>
                <w:lang w:val="en-US" w:eastAsia="zh-CN"/>
              </w:rPr>
              <w:t>6</w:t>
            </w:r>
            <w:r>
              <w:rPr>
                <w:rFonts w:hint="eastAsia" w:cs="Times New Roman"/>
                <w:color w:val="auto"/>
                <w:sz w:val="24"/>
                <w:highlight w:val="none"/>
                <w:lang w:eastAsia="zh-CN"/>
              </w:rPr>
              <w:t>）</w:t>
            </w:r>
          </w:p>
        </w:tc>
        <w:tc>
          <w:tcPr>
            <w:tcW w:w="4388" w:type="dxa"/>
            <w:noWrap w:val="0"/>
            <w:vAlign w:val="center"/>
          </w:tcPr>
          <w:p w14:paraId="613F719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pH分析仪</w:t>
            </w:r>
          </w:p>
        </w:tc>
        <w:tc>
          <w:tcPr>
            <w:tcW w:w="1704" w:type="dxa"/>
            <w:gridSpan w:val="2"/>
            <w:noWrap w:val="0"/>
            <w:vAlign w:val="center"/>
          </w:tcPr>
          <w:p w14:paraId="4C05EA7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C91FD6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560BCF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48912F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B0ACF6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型号规格</w:t>
            </w:r>
          </w:p>
        </w:tc>
        <w:tc>
          <w:tcPr>
            <w:tcW w:w="1704" w:type="dxa"/>
            <w:gridSpan w:val="2"/>
            <w:noWrap w:val="0"/>
            <w:vAlign w:val="center"/>
          </w:tcPr>
          <w:p w14:paraId="04EFF77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6D83B329">
            <w:pPr>
              <w:keepNext w:val="0"/>
              <w:keepLines w:val="0"/>
              <w:suppressLineNumbers w:val="0"/>
              <w:adjustRightInd w:val="0"/>
              <w:snapToGrid w:val="0"/>
              <w:spacing w:before="0" w:beforeAutospacing="0" w:after="0" w:afterAutospacing="0" w:line="360" w:lineRule="auto"/>
              <w:ind w:left="0" w:right="0" w:firstLine="240" w:firstLineChars="100"/>
              <w:jc w:val="center"/>
              <w:rPr>
                <w:rFonts w:hint="default" w:ascii="Times New Roman" w:hAnsi="Times New Roman" w:cs="Times New Roman"/>
                <w:color w:val="auto"/>
                <w:sz w:val="24"/>
                <w:highlight w:val="none"/>
              </w:rPr>
            </w:pPr>
          </w:p>
        </w:tc>
      </w:tr>
      <w:tr w14:paraId="2BB80B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1FCA2E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2429AF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测量范围</w:t>
            </w:r>
          </w:p>
        </w:tc>
        <w:tc>
          <w:tcPr>
            <w:tcW w:w="1704" w:type="dxa"/>
            <w:gridSpan w:val="2"/>
            <w:noWrap w:val="0"/>
            <w:vAlign w:val="center"/>
          </w:tcPr>
          <w:p w14:paraId="439B618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pH</w:t>
            </w:r>
          </w:p>
        </w:tc>
        <w:tc>
          <w:tcPr>
            <w:tcW w:w="1555" w:type="dxa"/>
            <w:noWrap w:val="0"/>
            <w:vAlign w:val="center"/>
          </w:tcPr>
          <w:p w14:paraId="390448E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CFEFF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5B21C7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6E8EC6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2179572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42E4065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71E74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F29DE9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r>
              <w:rPr>
                <w:rFonts w:hint="eastAsia" w:cs="Times New Roman"/>
                <w:color w:val="auto"/>
                <w:sz w:val="24"/>
                <w:highlight w:val="none"/>
                <w:lang w:val="en-US" w:eastAsia="zh-CN"/>
              </w:rPr>
              <w:t>7</w:t>
            </w:r>
            <w:r>
              <w:rPr>
                <w:rFonts w:hint="default" w:ascii="Times New Roman" w:hAnsi="Times New Roman" w:cs="Times New Roman"/>
                <w:color w:val="auto"/>
                <w:sz w:val="24"/>
                <w:highlight w:val="none"/>
              </w:rPr>
              <w:t>）</w:t>
            </w:r>
          </w:p>
        </w:tc>
        <w:tc>
          <w:tcPr>
            <w:tcW w:w="4388" w:type="dxa"/>
            <w:noWrap w:val="0"/>
            <w:vAlign w:val="center"/>
          </w:tcPr>
          <w:p w14:paraId="290C538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质量流量计（密度计）</w:t>
            </w:r>
          </w:p>
        </w:tc>
        <w:tc>
          <w:tcPr>
            <w:tcW w:w="1704" w:type="dxa"/>
            <w:gridSpan w:val="2"/>
            <w:noWrap w:val="0"/>
            <w:vAlign w:val="center"/>
          </w:tcPr>
          <w:p w14:paraId="6AF5810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台</w:t>
            </w:r>
          </w:p>
        </w:tc>
        <w:tc>
          <w:tcPr>
            <w:tcW w:w="1555" w:type="dxa"/>
            <w:noWrap w:val="0"/>
            <w:vAlign w:val="center"/>
          </w:tcPr>
          <w:p w14:paraId="30AC26D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E4E17E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00C1277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B5E832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型号规格</w:t>
            </w:r>
          </w:p>
        </w:tc>
        <w:tc>
          <w:tcPr>
            <w:tcW w:w="1704" w:type="dxa"/>
            <w:gridSpan w:val="2"/>
            <w:noWrap w:val="0"/>
            <w:vAlign w:val="center"/>
          </w:tcPr>
          <w:p w14:paraId="6D28D6F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0BF8928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B7F866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F5B106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70D67B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测量范围</w:t>
            </w:r>
          </w:p>
        </w:tc>
        <w:tc>
          <w:tcPr>
            <w:tcW w:w="1704" w:type="dxa"/>
            <w:gridSpan w:val="2"/>
            <w:noWrap w:val="0"/>
            <w:vAlign w:val="center"/>
          </w:tcPr>
          <w:p w14:paraId="62F183B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694774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41F418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6F1A55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2DDB7B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精度等级</w:t>
            </w:r>
          </w:p>
        </w:tc>
        <w:tc>
          <w:tcPr>
            <w:tcW w:w="1704" w:type="dxa"/>
            <w:gridSpan w:val="2"/>
            <w:noWrap w:val="0"/>
            <w:vAlign w:val="center"/>
          </w:tcPr>
          <w:p w14:paraId="3AB00C4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2254218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F3335B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A0DE4F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DE40A8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工作原理</w:t>
            </w:r>
          </w:p>
        </w:tc>
        <w:tc>
          <w:tcPr>
            <w:tcW w:w="1704" w:type="dxa"/>
            <w:gridSpan w:val="2"/>
            <w:noWrap w:val="0"/>
            <w:vAlign w:val="center"/>
          </w:tcPr>
          <w:p w14:paraId="5719F69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6F8C192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B5D5C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AE238B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r>
              <w:rPr>
                <w:rFonts w:hint="eastAsia" w:cs="Times New Roman"/>
                <w:color w:val="auto"/>
                <w:sz w:val="24"/>
                <w:highlight w:val="none"/>
                <w:lang w:val="en-US" w:eastAsia="zh-CN"/>
              </w:rPr>
              <w:t>8</w:t>
            </w:r>
            <w:r>
              <w:rPr>
                <w:rFonts w:hint="default" w:ascii="Times New Roman" w:hAnsi="Times New Roman" w:cs="Times New Roman"/>
                <w:color w:val="auto"/>
                <w:sz w:val="24"/>
                <w:highlight w:val="none"/>
              </w:rPr>
              <w:t>）</w:t>
            </w:r>
          </w:p>
        </w:tc>
        <w:tc>
          <w:tcPr>
            <w:tcW w:w="4388" w:type="dxa"/>
            <w:noWrap w:val="0"/>
            <w:vAlign w:val="center"/>
          </w:tcPr>
          <w:p w14:paraId="020893E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调节型执行机构</w:t>
            </w:r>
          </w:p>
        </w:tc>
        <w:tc>
          <w:tcPr>
            <w:tcW w:w="1704" w:type="dxa"/>
            <w:gridSpan w:val="2"/>
            <w:noWrap w:val="0"/>
            <w:vAlign w:val="center"/>
          </w:tcPr>
          <w:p w14:paraId="7B919CD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台</w:t>
            </w:r>
          </w:p>
        </w:tc>
        <w:tc>
          <w:tcPr>
            <w:tcW w:w="1555" w:type="dxa"/>
            <w:noWrap w:val="0"/>
            <w:vAlign w:val="center"/>
          </w:tcPr>
          <w:p w14:paraId="70C2C14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E39DAF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F43DD3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C10DD0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型式</w:t>
            </w:r>
          </w:p>
        </w:tc>
        <w:tc>
          <w:tcPr>
            <w:tcW w:w="1704" w:type="dxa"/>
            <w:gridSpan w:val="2"/>
            <w:noWrap w:val="0"/>
            <w:vAlign w:val="center"/>
          </w:tcPr>
          <w:p w14:paraId="0E22AE1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7A19263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AA16AA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95673D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C578E4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电源</w:t>
            </w:r>
          </w:p>
        </w:tc>
        <w:tc>
          <w:tcPr>
            <w:tcW w:w="1704" w:type="dxa"/>
            <w:gridSpan w:val="2"/>
            <w:noWrap w:val="0"/>
            <w:vAlign w:val="center"/>
          </w:tcPr>
          <w:p w14:paraId="177AC01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V</w:t>
            </w:r>
          </w:p>
        </w:tc>
        <w:tc>
          <w:tcPr>
            <w:tcW w:w="1555" w:type="dxa"/>
            <w:noWrap w:val="0"/>
            <w:vAlign w:val="center"/>
          </w:tcPr>
          <w:p w14:paraId="1945F33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398FB9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3230F1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BE5334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转矩</w:t>
            </w:r>
          </w:p>
        </w:tc>
        <w:tc>
          <w:tcPr>
            <w:tcW w:w="1704" w:type="dxa"/>
            <w:gridSpan w:val="2"/>
            <w:noWrap w:val="0"/>
            <w:vAlign w:val="center"/>
          </w:tcPr>
          <w:p w14:paraId="4C49224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Nm</w:t>
            </w:r>
          </w:p>
        </w:tc>
        <w:tc>
          <w:tcPr>
            <w:tcW w:w="1555" w:type="dxa"/>
            <w:noWrap w:val="0"/>
            <w:vAlign w:val="center"/>
          </w:tcPr>
          <w:p w14:paraId="1524916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C3FB6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ED14EA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81274D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限位开关数量</w:t>
            </w:r>
          </w:p>
        </w:tc>
        <w:tc>
          <w:tcPr>
            <w:tcW w:w="1704" w:type="dxa"/>
            <w:gridSpan w:val="2"/>
            <w:noWrap w:val="0"/>
            <w:vAlign w:val="center"/>
          </w:tcPr>
          <w:p w14:paraId="7467775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239C851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7D7DE7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FBEDD9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E6AA5F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位置发送器</w:t>
            </w:r>
          </w:p>
        </w:tc>
        <w:tc>
          <w:tcPr>
            <w:tcW w:w="1704" w:type="dxa"/>
            <w:gridSpan w:val="2"/>
            <w:noWrap w:val="0"/>
            <w:vAlign w:val="center"/>
          </w:tcPr>
          <w:p w14:paraId="6E3A0E2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399070D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FEA9C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F545A9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r>
              <w:rPr>
                <w:rFonts w:hint="eastAsia" w:cs="Times New Roman"/>
                <w:color w:val="auto"/>
                <w:sz w:val="24"/>
                <w:highlight w:val="none"/>
                <w:lang w:val="en-US" w:eastAsia="zh-CN"/>
              </w:rPr>
              <w:t>9</w:t>
            </w:r>
            <w:r>
              <w:rPr>
                <w:rFonts w:hint="default" w:ascii="Times New Roman" w:hAnsi="Times New Roman" w:cs="Times New Roman"/>
                <w:color w:val="auto"/>
                <w:sz w:val="24"/>
                <w:highlight w:val="none"/>
              </w:rPr>
              <w:t>)</w:t>
            </w:r>
          </w:p>
        </w:tc>
        <w:tc>
          <w:tcPr>
            <w:tcW w:w="4388" w:type="dxa"/>
            <w:noWrap w:val="0"/>
            <w:vAlign w:val="center"/>
          </w:tcPr>
          <w:p w14:paraId="1A7E9E0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开关型执行机构</w:t>
            </w:r>
          </w:p>
        </w:tc>
        <w:tc>
          <w:tcPr>
            <w:tcW w:w="1704" w:type="dxa"/>
            <w:gridSpan w:val="2"/>
            <w:noWrap w:val="0"/>
            <w:vAlign w:val="center"/>
          </w:tcPr>
          <w:p w14:paraId="4B34F84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台</w:t>
            </w:r>
          </w:p>
        </w:tc>
        <w:tc>
          <w:tcPr>
            <w:tcW w:w="1555" w:type="dxa"/>
            <w:noWrap w:val="0"/>
            <w:vAlign w:val="center"/>
          </w:tcPr>
          <w:p w14:paraId="01FC230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A8181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6246C7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5EC3DF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型式</w:t>
            </w:r>
          </w:p>
        </w:tc>
        <w:tc>
          <w:tcPr>
            <w:tcW w:w="1704" w:type="dxa"/>
            <w:gridSpan w:val="2"/>
            <w:noWrap w:val="0"/>
            <w:vAlign w:val="center"/>
          </w:tcPr>
          <w:p w14:paraId="52BAB7D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0C97FD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635148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D64470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C00F11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电源</w:t>
            </w:r>
          </w:p>
        </w:tc>
        <w:tc>
          <w:tcPr>
            <w:tcW w:w="1704" w:type="dxa"/>
            <w:gridSpan w:val="2"/>
            <w:noWrap w:val="0"/>
            <w:vAlign w:val="center"/>
          </w:tcPr>
          <w:p w14:paraId="5D53EB6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F32079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2C1CA1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8D61B8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990B58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转矩</w:t>
            </w:r>
          </w:p>
        </w:tc>
        <w:tc>
          <w:tcPr>
            <w:tcW w:w="1704" w:type="dxa"/>
            <w:gridSpan w:val="2"/>
            <w:noWrap w:val="0"/>
            <w:vAlign w:val="center"/>
          </w:tcPr>
          <w:p w14:paraId="543D820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4D5737B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5712E2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486AB5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FCAC78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限位开关数量</w:t>
            </w:r>
          </w:p>
        </w:tc>
        <w:tc>
          <w:tcPr>
            <w:tcW w:w="1704" w:type="dxa"/>
            <w:gridSpan w:val="2"/>
            <w:noWrap w:val="0"/>
            <w:vAlign w:val="center"/>
          </w:tcPr>
          <w:p w14:paraId="13A89E5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1BB6BD0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6F589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0190E1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3.2</w:t>
            </w:r>
          </w:p>
        </w:tc>
        <w:tc>
          <w:tcPr>
            <w:tcW w:w="4388" w:type="dxa"/>
            <w:noWrap w:val="0"/>
            <w:vAlign w:val="center"/>
          </w:tcPr>
          <w:p w14:paraId="404B6F7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热控电源柜</w:t>
            </w:r>
          </w:p>
        </w:tc>
        <w:tc>
          <w:tcPr>
            <w:tcW w:w="1704" w:type="dxa"/>
            <w:gridSpan w:val="2"/>
            <w:noWrap w:val="0"/>
            <w:vAlign w:val="center"/>
          </w:tcPr>
          <w:p w14:paraId="5B40C40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A6F069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509664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3CED95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572A9D8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型号尺寸</w:t>
            </w:r>
          </w:p>
        </w:tc>
        <w:tc>
          <w:tcPr>
            <w:tcW w:w="1704" w:type="dxa"/>
            <w:gridSpan w:val="2"/>
            <w:noWrap w:val="0"/>
            <w:vAlign w:val="center"/>
          </w:tcPr>
          <w:p w14:paraId="77BE533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2E5D724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703BE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C3D6AC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6459D5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断路器型号</w:t>
            </w:r>
          </w:p>
        </w:tc>
        <w:tc>
          <w:tcPr>
            <w:tcW w:w="1704" w:type="dxa"/>
            <w:gridSpan w:val="2"/>
            <w:noWrap w:val="0"/>
            <w:vAlign w:val="center"/>
          </w:tcPr>
          <w:p w14:paraId="4727FA0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2475F0E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9B583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5B50B5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9D0251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双电源切换装置</w:t>
            </w:r>
          </w:p>
        </w:tc>
        <w:tc>
          <w:tcPr>
            <w:tcW w:w="1704" w:type="dxa"/>
            <w:gridSpan w:val="2"/>
            <w:noWrap w:val="0"/>
            <w:vAlign w:val="center"/>
          </w:tcPr>
          <w:p w14:paraId="039CA38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3977730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3750B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E51F3A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4</w:t>
            </w:r>
          </w:p>
        </w:tc>
        <w:tc>
          <w:tcPr>
            <w:tcW w:w="4388" w:type="dxa"/>
            <w:noWrap w:val="0"/>
            <w:vAlign w:val="center"/>
          </w:tcPr>
          <w:p w14:paraId="40B3541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电气设备</w:t>
            </w:r>
          </w:p>
        </w:tc>
        <w:tc>
          <w:tcPr>
            <w:tcW w:w="1704" w:type="dxa"/>
            <w:gridSpan w:val="2"/>
            <w:noWrap w:val="0"/>
            <w:vAlign w:val="center"/>
          </w:tcPr>
          <w:p w14:paraId="4E441DD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0592537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E9270A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13BBC8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4388" w:type="dxa"/>
            <w:noWrap w:val="0"/>
            <w:vAlign w:val="center"/>
          </w:tcPr>
          <w:p w14:paraId="16B0535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低压变压器</w:t>
            </w:r>
          </w:p>
        </w:tc>
        <w:tc>
          <w:tcPr>
            <w:tcW w:w="1704" w:type="dxa"/>
            <w:gridSpan w:val="2"/>
            <w:noWrap w:val="0"/>
            <w:vAlign w:val="center"/>
          </w:tcPr>
          <w:p w14:paraId="70675882">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台</w:t>
            </w:r>
          </w:p>
        </w:tc>
        <w:tc>
          <w:tcPr>
            <w:tcW w:w="1555" w:type="dxa"/>
            <w:noWrap w:val="0"/>
            <w:vAlign w:val="center"/>
          </w:tcPr>
          <w:p w14:paraId="04468F8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7AB0E7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D80A42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14CDC2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变压器型式</w:t>
            </w:r>
          </w:p>
        </w:tc>
        <w:tc>
          <w:tcPr>
            <w:tcW w:w="1704" w:type="dxa"/>
            <w:gridSpan w:val="2"/>
            <w:noWrap w:val="0"/>
            <w:vAlign w:val="center"/>
          </w:tcPr>
          <w:p w14:paraId="6455D35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4D30F6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AAEDA8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DC1C4E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0AE4E2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额定容量</w:t>
            </w:r>
          </w:p>
        </w:tc>
        <w:tc>
          <w:tcPr>
            <w:tcW w:w="1704" w:type="dxa"/>
            <w:gridSpan w:val="2"/>
            <w:noWrap w:val="0"/>
            <w:vAlign w:val="center"/>
          </w:tcPr>
          <w:p w14:paraId="276E75C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kVA</w:t>
            </w:r>
          </w:p>
        </w:tc>
        <w:tc>
          <w:tcPr>
            <w:tcW w:w="1555" w:type="dxa"/>
            <w:noWrap w:val="0"/>
            <w:vAlign w:val="center"/>
          </w:tcPr>
          <w:p w14:paraId="13207E7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49EC00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DB9B95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60D84B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数量</w:t>
            </w:r>
          </w:p>
        </w:tc>
        <w:tc>
          <w:tcPr>
            <w:tcW w:w="1704" w:type="dxa"/>
            <w:gridSpan w:val="2"/>
            <w:noWrap w:val="0"/>
            <w:vAlign w:val="center"/>
          </w:tcPr>
          <w:p w14:paraId="30B98CF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台</w:t>
            </w:r>
          </w:p>
        </w:tc>
        <w:tc>
          <w:tcPr>
            <w:tcW w:w="1555" w:type="dxa"/>
            <w:noWrap w:val="0"/>
            <w:vAlign w:val="center"/>
          </w:tcPr>
          <w:p w14:paraId="1F495D8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0CEDB2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4B1A8A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9BBD37A">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冷却方式</w:t>
            </w:r>
          </w:p>
        </w:tc>
        <w:tc>
          <w:tcPr>
            <w:tcW w:w="1704" w:type="dxa"/>
            <w:gridSpan w:val="2"/>
            <w:noWrap w:val="0"/>
            <w:vAlign w:val="center"/>
          </w:tcPr>
          <w:p w14:paraId="3239CBB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5015483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AF385F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FCE862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BBD074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高压侧/低压侧</w:t>
            </w:r>
          </w:p>
        </w:tc>
        <w:tc>
          <w:tcPr>
            <w:tcW w:w="1704" w:type="dxa"/>
            <w:gridSpan w:val="2"/>
            <w:noWrap w:val="0"/>
            <w:vAlign w:val="center"/>
          </w:tcPr>
          <w:p w14:paraId="50F70A9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kV/kV</w:t>
            </w:r>
          </w:p>
        </w:tc>
        <w:tc>
          <w:tcPr>
            <w:tcW w:w="1555" w:type="dxa"/>
            <w:noWrap w:val="0"/>
            <w:vAlign w:val="center"/>
          </w:tcPr>
          <w:p w14:paraId="0C1A734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15542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EB5E1C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45AB27B3">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阻抗电压</w:t>
            </w:r>
          </w:p>
        </w:tc>
        <w:tc>
          <w:tcPr>
            <w:tcW w:w="1704" w:type="dxa"/>
            <w:gridSpan w:val="2"/>
            <w:noWrap w:val="0"/>
            <w:vAlign w:val="center"/>
          </w:tcPr>
          <w:p w14:paraId="724B75F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1E421118">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C222C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5C423B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325DED4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接线组别</w:t>
            </w:r>
          </w:p>
        </w:tc>
        <w:tc>
          <w:tcPr>
            <w:tcW w:w="1704" w:type="dxa"/>
            <w:gridSpan w:val="2"/>
            <w:noWrap w:val="0"/>
            <w:vAlign w:val="center"/>
          </w:tcPr>
          <w:p w14:paraId="0B0F0B1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w:t>
            </w:r>
          </w:p>
        </w:tc>
        <w:tc>
          <w:tcPr>
            <w:tcW w:w="1555" w:type="dxa"/>
            <w:noWrap w:val="0"/>
            <w:vAlign w:val="center"/>
          </w:tcPr>
          <w:p w14:paraId="4713839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47D1A2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325F7599">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4388" w:type="dxa"/>
            <w:noWrap w:val="0"/>
            <w:vAlign w:val="center"/>
          </w:tcPr>
          <w:p w14:paraId="704A81E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0.4kV开关柜</w:t>
            </w:r>
          </w:p>
        </w:tc>
        <w:tc>
          <w:tcPr>
            <w:tcW w:w="1704" w:type="dxa"/>
            <w:gridSpan w:val="2"/>
            <w:noWrap w:val="0"/>
            <w:vAlign w:val="center"/>
          </w:tcPr>
          <w:p w14:paraId="4FAB83AD">
            <w:pPr>
              <w:keepNext w:val="0"/>
              <w:keepLines w:val="0"/>
              <w:suppressLineNumbers w:val="0"/>
              <w:adjustRightInd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台</w:t>
            </w:r>
          </w:p>
        </w:tc>
        <w:tc>
          <w:tcPr>
            <w:tcW w:w="1555" w:type="dxa"/>
            <w:noWrap w:val="0"/>
            <w:vAlign w:val="center"/>
          </w:tcPr>
          <w:p w14:paraId="32AC5F2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3BE27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21C7249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8149CF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开关柜型式</w:t>
            </w:r>
          </w:p>
        </w:tc>
        <w:tc>
          <w:tcPr>
            <w:tcW w:w="1704" w:type="dxa"/>
            <w:gridSpan w:val="2"/>
            <w:noWrap w:val="0"/>
            <w:vAlign w:val="center"/>
          </w:tcPr>
          <w:p w14:paraId="39706E11">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555" w:type="dxa"/>
            <w:noWrap w:val="0"/>
            <w:vAlign w:val="center"/>
          </w:tcPr>
          <w:p w14:paraId="2EAE63D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A88D0A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609C5C9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CA5DEA2">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额定电压</w:t>
            </w:r>
          </w:p>
        </w:tc>
        <w:tc>
          <w:tcPr>
            <w:tcW w:w="1350" w:type="dxa"/>
            <w:noWrap w:val="0"/>
            <w:vAlign w:val="center"/>
          </w:tcPr>
          <w:p w14:paraId="1B648637">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kV</w:t>
            </w:r>
          </w:p>
        </w:tc>
        <w:tc>
          <w:tcPr>
            <w:tcW w:w="1909" w:type="dxa"/>
            <w:gridSpan w:val="2"/>
            <w:noWrap w:val="0"/>
            <w:vAlign w:val="center"/>
          </w:tcPr>
          <w:p w14:paraId="5D11B6A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C41CDE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7919438B">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28BDA62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额定短时（4S）耐受电流</w:t>
            </w:r>
          </w:p>
        </w:tc>
        <w:tc>
          <w:tcPr>
            <w:tcW w:w="1350" w:type="dxa"/>
            <w:noWrap w:val="0"/>
            <w:vAlign w:val="center"/>
          </w:tcPr>
          <w:p w14:paraId="47E540B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kA</w:t>
            </w:r>
          </w:p>
        </w:tc>
        <w:tc>
          <w:tcPr>
            <w:tcW w:w="1909" w:type="dxa"/>
            <w:gridSpan w:val="2"/>
            <w:noWrap w:val="0"/>
            <w:vAlign w:val="center"/>
          </w:tcPr>
          <w:p w14:paraId="3D681BD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A3DB6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1A8CCA10">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1C026D6E">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额定峰值耐受电流</w:t>
            </w:r>
          </w:p>
        </w:tc>
        <w:tc>
          <w:tcPr>
            <w:tcW w:w="1350" w:type="dxa"/>
            <w:noWrap w:val="0"/>
            <w:vAlign w:val="center"/>
          </w:tcPr>
          <w:p w14:paraId="70FED76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kA(峰值)</w:t>
            </w:r>
          </w:p>
        </w:tc>
        <w:tc>
          <w:tcPr>
            <w:tcW w:w="1909" w:type="dxa"/>
            <w:gridSpan w:val="2"/>
            <w:noWrap w:val="0"/>
            <w:vAlign w:val="center"/>
          </w:tcPr>
          <w:p w14:paraId="1719E3C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661C9B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5968760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0AD2BAED">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开关柜的防护等级</w:t>
            </w:r>
          </w:p>
        </w:tc>
        <w:tc>
          <w:tcPr>
            <w:tcW w:w="1350" w:type="dxa"/>
            <w:noWrap w:val="0"/>
            <w:vAlign w:val="center"/>
          </w:tcPr>
          <w:p w14:paraId="40CBF01C">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IP</w:t>
            </w:r>
          </w:p>
        </w:tc>
        <w:tc>
          <w:tcPr>
            <w:tcW w:w="1909" w:type="dxa"/>
            <w:gridSpan w:val="2"/>
            <w:noWrap w:val="0"/>
            <w:vAlign w:val="center"/>
          </w:tcPr>
          <w:p w14:paraId="19A7FA6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E1F057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816" w:type="dxa"/>
            <w:noWrap w:val="0"/>
            <w:vAlign w:val="center"/>
          </w:tcPr>
          <w:p w14:paraId="4031C924">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4388" w:type="dxa"/>
            <w:noWrap w:val="0"/>
            <w:vAlign w:val="center"/>
          </w:tcPr>
          <w:p w14:paraId="631D6B9F">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开关柜的尺寸（高×宽×深）</w:t>
            </w:r>
          </w:p>
        </w:tc>
        <w:tc>
          <w:tcPr>
            <w:tcW w:w="1350" w:type="dxa"/>
            <w:noWrap w:val="0"/>
            <w:vAlign w:val="center"/>
          </w:tcPr>
          <w:p w14:paraId="76C857A6">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mm</w:t>
            </w:r>
          </w:p>
        </w:tc>
        <w:tc>
          <w:tcPr>
            <w:tcW w:w="1909" w:type="dxa"/>
            <w:gridSpan w:val="2"/>
            <w:noWrap w:val="0"/>
            <w:vAlign w:val="center"/>
          </w:tcPr>
          <w:p w14:paraId="4319CFB5">
            <w:pPr>
              <w:keepNext w:val="0"/>
              <w:keepLines w:val="0"/>
              <w:suppressLineNumbers w:val="0"/>
              <w:adjustRightInd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bl>
    <w:p w14:paraId="2E1380CD">
      <w:pPr>
        <w:adjustRightInd w:val="0"/>
        <w:snapToGrid w:val="0"/>
        <w:spacing w:line="360" w:lineRule="auto"/>
        <w:rPr>
          <w:color w:val="auto"/>
          <w:sz w:val="24"/>
          <w:highlight w:val="none"/>
        </w:rPr>
      </w:pPr>
    </w:p>
    <w:p w14:paraId="77FBC205">
      <w:pPr>
        <w:adjustRightInd w:val="0"/>
        <w:snapToGrid w:val="0"/>
        <w:spacing w:line="360" w:lineRule="auto"/>
        <w:rPr>
          <w:color w:val="auto"/>
          <w:sz w:val="24"/>
          <w:highlight w:val="none"/>
        </w:rPr>
      </w:pPr>
      <w:r>
        <w:rPr>
          <w:color w:val="auto"/>
          <w:sz w:val="24"/>
          <w:highlight w:val="none"/>
        </w:rPr>
        <w:t>说明：</w:t>
      </w:r>
    </w:p>
    <w:p w14:paraId="73684CA9">
      <w:pPr>
        <w:adjustRightInd w:val="0"/>
        <w:snapToGrid w:val="0"/>
        <w:spacing w:line="360" w:lineRule="auto"/>
        <w:ind w:firstLine="480" w:firstLineChars="200"/>
        <w:rPr>
          <w:color w:val="auto"/>
          <w:sz w:val="24"/>
          <w:highlight w:val="none"/>
        </w:rPr>
      </w:pPr>
      <w:r>
        <w:rPr>
          <w:color w:val="auto"/>
          <w:sz w:val="24"/>
          <w:highlight w:val="none"/>
        </w:rPr>
        <w:t xml:space="preserve">1. </w:t>
      </w:r>
      <w:r>
        <w:rPr>
          <w:rFonts w:hint="eastAsia"/>
          <w:color w:val="auto"/>
          <w:sz w:val="24"/>
          <w:highlight w:val="none"/>
          <w:lang w:eastAsia="zh-CN"/>
        </w:rPr>
        <w:t>投标方</w:t>
      </w:r>
      <w:r>
        <w:rPr>
          <w:color w:val="auto"/>
          <w:sz w:val="24"/>
          <w:highlight w:val="none"/>
        </w:rPr>
        <w:t>应按照要求如实填写技术参数，并随着设计深化进行完善。</w:t>
      </w:r>
    </w:p>
    <w:p w14:paraId="21A647E7">
      <w:pPr>
        <w:adjustRightInd w:val="0"/>
        <w:snapToGrid w:val="0"/>
        <w:spacing w:line="360" w:lineRule="auto"/>
        <w:ind w:firstLine="480" w:firstLineChars="200"/>
        <w:rPr>
          <w:color w:val="auto"/>
          <w:sz w:val="24"/>
          <w:highlight w:val="none"/>
        </w:rPr>
      </w:pPr>
      <w:r>
        <w:rPr>
          <w:color w:val="auto"/>
          <w:sz w:val="24"/>
          <w:highlight w:val="none"/>
        </w:rPr>
        <w:t>2. 【</w:t>
      </w:r>
      <w:r>
        <w:rPr>
          <w:rFonts w:hint="eastAsia"/>
          <w:color w:val="auto"/>
          <w:sz w:val="24"/>
          <w:highlight w:val="none"/>
          <w:lang w:eastAsia="zh-CN"/>
        </w:rPr>
        <w:t>投标方</w:t>
      </w:r>
      <w:r>
        <w:rPr>
          <w:color w:val="auto"/>
          <w:sz w:val="24"/>
          <w:highlight w:val="none"/>
        </w:rPr>
        <w:t>应根据备注中的特殊要求按实际填写或分项列出】。</w:t>
      </w:r>
      <w:bookmarkEnd w:id="112"/>
      <w:bookmarkStart w:id="128" w:name="_Toc25755"/>
      <w:bookmarkStart w:id="129" w:name="_Toc9139"/>
      <w:bookmarkStart w:id="130" w:name="_Toc11486"/>
      <w:bookmarkStart w:id="131" w:name="_Toc12081"/>
      <w:bookmarkStart w:id="132" w:name="_Toc8135"/>
      <w:bookmarkStart w:id="133" w:name="_Toc42048217"/>
      <w:bookmarkStart w:id="134" w:name="_Toc21540"/>
      <w:bookmarkStart w:id="135" w:name="_Toc482189956"/>
    </w:p>
    <w:p w14:paraId="15640612">
      <w:pPr>
        <w:adjustRightInd w:val="0"/>
        <w:snapToGrid w:val="0"/>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3、投标方可增加补充列出设备参数，作为投标设备设计参数说明。</w:t>
      </w:r>
    </w:p>
    <w:p w14:paraId="55576CDF">
      <w:pPr>
        <w:pStyle w:val="2"/>
        <w:spacing w:before="240" w:after="240" w:line="36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t>附件2供货及工作范围</w:t>
      </w:r>
      <w:bookmarkEnd w:id="128"/>
      <w:bookmarkEnd w:id="129"/>
      <w:bookmarkEnd w:id="130"/>
      <w:bookmarkEnd w:id="131"/>
      <w:bookmarkEnd w:id="132"/>
      <w:bookmarkEnd w:id="133"/>
      <w:bookmarkEnd w:id="134"/>
      <w:bookmarkEnd w:id="135"/>
    </w:p>
    <w:p w14:paraId="0A069FB6">
      <w:pPr>
        <w:pStyle w:val="3"/>
        <w:spacing w:before="120" w:after="120"/>
        <w:rPr>
          <w:rFonts w:ascii="宋体" w:hAnsi="宋体" w:eastAsia="宋体" w:cs="宋体"/>
          <w:color w:val="auto"/>
          <w:sz w:val="28"/>
          <w:szCs w:val="28"/>
          <w:highlight w:val="none"/>
        </w:rPr>
      </w:pPr>
      <w:bookmarkStart w:id="136" w:name="_Toc16732"/>
      <w:bookmarkStart w:id="137" w:name="_Toc9107"/>
      <w:bookmarkStart w:id="138" w:name="_Toc41298043"/>
      <w:bookmarkStart w:id="139" w:name="_Toc38247541"/>
      <w:bookmarkStart w:id="140" w:name="_Toc14369"/>
      <w:bookmarkStart w:id="141" w:name="_Toc13214"/>
      <w:bookmarkStart w:id="142" w:name="_Toc16967"/>
      <w:bookmarkStart w:id="143" w:name="_Toc482189957"/>
      <w:bookmarkStart w:id="144" w:name="_Toc7597"/>
      <w:r>
        <w:rPr>
          <w:rFonts w:ascii="宋体" w:hAnsi="宋体" w:eastAsia="宋体" w:cs="宋体"/>
          <w:color w:val="auto"/>
          <w:sz w:val="28"/>
          <w:szCs w:val="28"/>
          <w:highlight w:val="none"/>
        </w:rPr>
        <w:t>1 概述</w:t>
      </w:r>
      <w:bookmarkEnd w:id="136"/>
      <w:bookmarkEnd w:id="137"/>
      <w:bookmarkEnd w:id="138"/>
      <w:bookmarkEnd w:id="139"/>
      <w:bookmarkEnd w:id="140"/>
      <w:bookmarkEnd w:id="141"/>
      <w:bookmarkEnd w:id="142"/>
      <w:bookmarkEnd w:id="143"/>
      <w:bookmarkEnd w:id="144"/>
    </w:p>
    <w:p w14:paraId="78911237">
      <w:pPr>
        <w:spacing w:line="360" w:lineRule="auto"/>
        <w:outlineLvl w:val="2"/>
        <w:rPr>
          <w:b/>
          <w:color w:val="auto"/>
          <w:sz w:val="24"/>
          <w:highlight w:val="none"/>
        </w:rPr>
      </w:pPr>
      <w:r>
        <w:rPr>
          <w:b/>
          <w:color w:val="auto"/>
          <w:sz w:val="24"/>
          <w:highlight w:val="none"/>
        </w:rPr>
        <w:t>1.1 总论</w:t>
      </w:r>
    </w:p>
    <w:p w14:paraId="5A447AC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color w:val="auto"/>
          <w:sz w:val="24"/>
          <w:highlight w:val="none"/>
        </w:rPr>
      </w:pPr>
      <w:r>
        <w:rPr>
          <w:color w:val="auto"/>
          <w:sz w:val="24"/>
          <w:highlight w:val="none"/>
        </w:rPr>
        <w:t>本工程</w:t>
      </w:r>
      <w:r>
        <w:rPr>
          <w:rFonts w:hint="eastAsia"/>
          <w:color w:val="auto"/>
          <w:sz w:val="24"/>
          <w:highlight w:val="none"/>
          <w:lang w:eastAsia="zh-CN"/>
        </w:rPr>
        <w:t>投标方</w:t>
      </w:r>
      <w:r>
        <w:rPr>
          <w:color w:val="auto"/>
          <w:sz w:val="24"/>
          <w:highlight w:val="none"/>
        </w:rPr>
        <w:t>的工作包括工程的设计、</w:t>
      </w:r>
      <w:r>
        <w:rPr>
          <w:rFonts w:hint="eastAsia"/>
          <w:color w:val="auto"/>
          <w:sz w:val="24"/>
          <w:highlight w:val="none"/>
          <w:lang w:val="en-US" w:eastAsia="zh-CN"/>
        </w:rPr>
        <w:t>供货</w:t>
      </w:r>
      <w:r>
        <w:rPr>
          <w:color w:val="auto"/>
          <w:sz w:val="24"/>
          <w:highlight w:val="none"/>
        </w:rPr>
        <w:t>、</w:t>
      </w:r>
      <w:r>
        <w:rPr>
          <w:rFonts w:hint="eastAsia"/>
          <w:color w:val="auto"/>
          <w:sz w:val="24"/>
          <w:highlight w:val="none"/>
          <w:lang w:val="en-US" w:eastAsia="zh-CN"/>
        </w:rPr>
        <w:t>安装的EPC模式</w:t>
      </w:r>
      <w:r>
        <w:rPr>
          <w:color w:val="auto"/>
          <w:sz w:val="24"/>
          <w:highlight w:val="none"/>
        </w:rPr>
        <w:t>。</w:t>
      </w:r>
      <w:r>
        <w:rPr>
          <w:rFonts w:hint="eastAsia" w:ascii="宋体" w:hAnsi="宋体" w:eastAsia="宋体" w:cs="宋体"/>
          <w:color w:val="auto"/>
          <w:sz w:val="24"/>
          <w:szCs w:val="24"/>
          <w:highlight w:val="none"/>
          <w:lang w:val="en-US" w:eastAsia="zh-CN"/>
        </w:rPr>
        <w:t>包括</w:t>
      </w:r>
      <w:r>
        <w:rPr>
          <w:color w:val="auto"/>
          <w:sz w:val="24"/>
          <w:highlight w:val="none"/>
        </w:rPr>
        <w:t>从项目建设开始到质保期结束所涉及到的烟气脱硫</w:t>
      </w:r>
      <w:r>
        <w:rPr>
          <w:rFonts w:hint="eastAsia"/>
          <w:color w:val="auto"/>
          <w:sz w:val="24"/>
          <w:highlight w:val="none"/>
          <w:lang w:val="en-US" w:eastAsia="zh-CN"/>
        </w:rPr>
        <w:t>各</w:t>
      </w:r>
      <w:r>
        <w:rPr>
          <w:color w:val="auto"/>
          <w:sz w:val="24"/>
          <w:highlight w:val="none"/>
        </w:rPr>
        <w:t>系统</w:t>
      </w:r>
      <w:r>
        <w:rPr>
          <w:rFonts w:hint="eastAsia"/>
          <w:color w:val="auto"/>
          <w:sz w:val="24"/>
          <w:highlight w:val="none"/>
          <w:lang w:val="en-US" w:eastAsia="zh-CN"/>
        </w:rPr>
        <w:t>及</w:t>
      </w:r>
      <w:r>
        <w:rPr>
          <w:rFonts w:hint="eastAsia" w:ascii="宋体" w:hAnsi="宋体" w:eastAsia="宋体" w:cs="宋体"/>
          <w:color w:val="auto"/>
          <w:kern w:val="0"/>
          <w:sz w:val="24"/>
          <w:szCs w:val="24"/>
          <w:highlight w:val="none"/>
          <w:lang w:val="en-US" w:eastAsia="zh-CN"/>
        </w:rPr>
        <w:t>脱硫</w:t>
      </w:r>
      <w:r>
        <w:rPr>
          <w:rFonts w:hint="eastAsia" w:ascii="宋体" w:hAnsi="宋体" w:eastAsia="宋体" w:cs="宋体"/>
          <w:color w:val="auto"/>
          <w:sz w:val="24"/>
          <w:szCs w:val="24"/>
          <w:highlight w:val="none"/>
          <w:lang w:val="en-US" w:eastAsia="zh-CN"/>
        </w:rPr>
        <w:t>废水三联箱处理系统</w:t>
      </w:r>
      <w:r>
        <w:rPr>
          <w:rFonts w:hint="eastAsia"/>
          <w:color w:val="auto"/>
          <w:sz w:val="24"/>
          <w:highlight w:val="none"/>
        </w:rPr>
        <w:t>的</w:t>
      </w:r>
      <w:r>
        <w:rPr>
          <w:snapToGrid w:val="0"/>
          <w:color w:val="auto"/>
          <w:sz w:val="24"/>
          <w:highlight w:val="none"/>
        </w:rPr>
        <w:t>设计、设备采购</w:t>
      </w:r>
      <w:r>
        <w:rPr>
          <w:rFonts w:hint="eastAsia"/>
          <w:snapToGrid w:val="0"/>
          <w:color w:val="auto"/>
          <w:sz w:val="24"/>
          <w:highlight w:val="none"/>
          <w:lang w:eastAsia="zh-CN"/>
        </w:rPr>
        <w:t>、</w:t>
      </w:r>
      <w:r>
        <w:rPr>
          <w:rFonts w:hint="eastAsia"/>
          <w:color w:val="auto"/>
          <w:sz w:val="24"/>
          <w:highlight w:val="none"/>
          <w:lang w:val="en-US" w:eastAsia="zh-CN"/>
        </w:rPr>
        <w:t>设备安装</w:t>
      </w:r>
      <w:r>
        <w:rPr>
          <w:snapToGrid w:val="0"/>
          <w:color w:val="auto"/>
          <w:sz w:val="24"/>
          <w:highlight w:val="none"/>
        </w:rPr>
        <w:t>相关的</w:t>
      </w:r>
      <w:r>
        <w:rPr>
          <w:color w:val="auto"/>
          <w:sz w:val="24"/>
          <w:highlight w:val="none"/>
        </w:rPr>
        <w:t>所有工作。具体包括</w:t>
      </w:r>
      <w:r>
        <w:rPr>
          <w:rFonts w:hint="eastAsia"/>
          <w:color w:val="auto"/>
          <w:sz w:val="24"/>
          <w:highlight w:val="none"/>
          <w:lang w:val="en-US" w:eastAsia="zh-CN"/>
        </w:rPr>
        <w:t>但不限于：</w:t>
      </w:r>
      <w:r>
        <w:rPr>
          <w:color w:val="auto"/>
          <w:sz w:val="24"/>
          <w:highlight w:val="none"/>
        </w:rPr>
        <w:t>工程设计、设备</w:t>
      </w:r>
      <w:r>
        <w:rPr>
          <w:rFonts w:hint="eastAsia"/>
          <w:color w:val="auto"/>
          <w:sz w:val="24"/>
          <w:highlight w:val="none"/>
          <w:lang w:val="en-US" w:eastAsia="zh-CN"/>
        </w:rPr>
        <w:t>及材料</w:t>
      </w:r>
      <w:r>
        <w:rPr>
          <w:color w:val="auto"/>
          <w:sz w:val="24"/>
          <w:highlight w:val="none"/>
        </w:rPr>
        <w:t>供货</w:t>
      </w:r>
      <w:r>
        <w:rPr>
          <w:rFonts w:hint="eastAsia"/>
          <w:color w:val="auto"/>
          <w:sz w:val="24"/>
          <w:highlight w:val="none"/>
          <w:lang w:eastAsia="zh-CN"/>
        </w:rPr>
        <w:t>（</w:t>
      </w:r>
      <w:r>
        <w:rPr>
          <w:rFonts w:hint="eastAsia"/>
          <w:color w:val="auto"/>
          <w:sz w:val="24"/>
          <w:highlight w:val="none"/>
          <w:lang w:val="en-US" w:eastAsia="zh-CN"/>
        </w:rPr>
        <w:t>含运输</w:t>
      </w:r>
      <w:r>
        <w:rPr>
          <w:rFonts w:hint="eastAsia"/>
          <w:color w:val="auto"/>
          <w:sz w:val="24"/>
          <w:highlight w:val="none"/>
          <w:lang w:eastAsia="zh-CN"/>
        </w:rPr>
        <w:t>）</w:t>
      </w:r>
      <w:r>
        <w:rPr>
          <w:rFonts w:hint="eastAsia"/>
          <w:color w:val="auto"/>
          <w:sz w:val="24"/>
          <w:highlight w:val="none"/>
          <w:lang w:val="en-US" w:eastAsia="zh-CN"/>
        </w:rPr>
        <w:t>及装卸</w:t>
      </w:r>
      <w:r>
        <w:rPr>
          <w:rFonts w:hint="eastAsia"/>
          <w:color w:val="auto"/>
          <w:sz w:val="24"/>
          <w:highlight w:val="none"/>
        </w:rPr>
        <w:t>、</w:t>
      </w:r>
      <w:r>
        <w:rPr>
          <w:rFonts w:hint="eastAsia"/>
          <w:color w:val="auto"/>
          <w:sz w:val="24"/>
          <w:highlight w:val="none"/>
          <w:lang w:val="en-US" w:eastAsia="zh-CN"/>
        </w:rPr>
        <w:t>设备安装（含单机调试）、</w:t>
      </w:r>
      <w:r>
        <w:rPr>
          <w:color w:val="auto"/>
          <w:sz w:val="24"/>
          <w:highlight w:val="none"/>
        </w:rPr>
        <w:t>配合</w:t>
      </w:r>
      <w:r>
        <w:rPr>
          <w:rFonts w:hint="eastAsia"/>
          <w:color w:val="auto"/>
          <w:sz w:val="24"/>
          <w:highlight w:val="none"/>
          <w:lang w:val="en-US" w:eastAsia="zh-CN"/>
        </w:rPr>
        <w:t>机组</w:t>
      </w:r>
      <w:r>
        <w:rPr>
          <w:color w:val="auto"/>
          <w:sz w:val="24"/>
          <w:highlight w:val="none"/>
        </w:rPr>
        <w:t>调试</w:t>
      </w:r>
      <w:r>
        <w:rPr>
          <w:rFonts w:hint="eastAsia"/>
          <w:color w:val="auto"/>
          <w:sz w:val="24"/>
          <w:highlight w:val="none"/>
          <w:lang w:val="en-US" w:eastAsia="zh-CN"/>
        </w:rPr>
        <w:t>及试运行</w:t>
      </w:r>
      <w:r>
        <w:rPr>
          <w:color w:val="auto"/>
          <w:sz w:val="24"/>
          <w:highlight w:val="none"/>
        </w:rPr>
        <w:t>、配合设备性能考核验收、设备消缺</w:t>
      </w:r>
      <w:r>
        <w:rPr>
          <w:rFonts w:hint="eastAsia"/>
          <w:color w:val="auto"/>
          <w:sz w:val="24"/>
          <w:highlight w:val="none"/>
          <w:lang w:eastAsia="zh-CN"/>
        </w:rPr>
        <w:t>、</w:t>
      </w:r>
      <w:r>
        <w:rPr>
          <w:rStyle w:val="54"/>
          <w:rFonts w:hint="default" w:ascii="Times New Roman" w:hAnsi="Times New Roman" w:eastAsia="宋体" w:cs="Times New Roman"/>
          <w:bCs w:val="0"/>
          <w:color w:val="auto"/>
          <w:sz w:val="24"/>
          <w:szCs w:val="24"/>
          <w:highlight w:val="none"/>
        </w:rPr>
        <w:t>培训、售后服务</w:t>
      </w:r>
      <w:r>
        <w:rPr>
          <w:color w:val="auto"/>
          <w:sz w:val="24"/>
          <w:highlight w:val="none"/>
        </w:rPr>
        <w:t>等方面的内容。</w:t>
      </w:r>
    </w:p>
    <w:p w14:paraId="5FF263FA">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应按照</w:t>
      </w:r>
      <w:r>
        <w:rPr>
          <w:rFonts w:hint="eastAsia"/>
          <w:color w:val="auto"/>
          <w:sz w:val="24"/>
          <w:highlight w:val="none"/>
          <w:lang w:eastAsia="zh-CN"/>
        </w:rPr>
        <w:t>招标方</w:t>
      </w:r>
      <w:r>
        <w:rPr>
          <w:color w:val="auto"/>
          <w:sz w:val="24"/>
          <w:highlight w:val="none"/>
        </w:rPr>
        <w:t>的总体进度要求，按时提供</w:t>
      </w:r>
      <w:r>
        <w:rPr>
          <w:rFonts w:hint="eastAsia"/>
          <w:color w:val="auto"/>
          <w:sz w:val="24"/>
          <w:highlight w:val="none"/>
          <w:lang w:val="en-US" w:eastAsia="zh-CN"/>
        </w:rPr>
        <w:t>初步设计、</w:t>
      </w:r>
      <w:r>
        <w:rPr>
          <w:color w:val="auto"/>
          <w:sz w:val="24"/>
          <w:highlight w:val="none"/>
        </w:rPr>
        <w:t>施工图设计文件及运行说明等。</w:t>
      </w:r>
    </w:p>
    <w:p w14:paraId="4F98A036">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应对建设单位的运行维护人员进行必要的技术培训，提供整套系统的运行操作手册及检修规程。</w:t>
      </w:r>
    </w:p>
    <w:p w14:paraId="745B7BA8">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应负责派遣技术专家检验和/或调试（包括功能试验）设备、装置、材料等，并配合由</w:t>
      </w:r>
      <w:r>
        <w:rPr>
          <w:rFonts w:hint="eastAsia"/>
          <w:color w:val="auto"/>
          <w:sz w:val="24"/>
          <w:highlight w:val="none"/>
          <w:lang w:eastAsia="zh-CN"/>
        </w:rPr>
        <w:t>招标方</w:t>
      </w:r>
      <w:r>
        <w:rPr>
          <w:color w:val="auto"/>
          <w:sz w:val="24"/>
          <w:highlight w:val="none"/>
        </w:rPr>
        <w:t>方组织的性能考核试验。</w:t>
      </w:r>
    </w:p>
    <w:p w14:paraId="6E734CB3">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应按系统分类，详细列出所供设备和材料的清单，备品备件清单，进口设备（如有）、部件和材料清单。</w:t>
      </w:r>
    </w:p>
    <w:p w14:paraId="5C581D2C">
      <w:pPr>
        <w:adjustRightInd w:val="0"/>
        <w:snapToGrid w:val="0"/>
        <w:spacing w:line="360" w:lineRule="auto"/>
        <w:ind w:firstLine="480" w:firstLineChars="200"/>
        <w:rPr>
          <w:color w:val="auto"/>
          <w:sz w:val="24"/>
          <w:highlight w:val="none"/>
        </w:rPr>
      </w:pPr>
    </w:p>
    <w:p w14:paraId="76EDDCD6">
      <w:pPr>
        <w:spacing w:line="360" w:lineRule="auto"/>
        <w:outlineLvl w:val="2"/>
        <w:rPr>
          <w:b/>
          <w:color w:val="auto"/>
          <w:sz w:val="24"/>
          <w:highlight w:val="none"/>
        </w:rPr>
      </w:pPr>
      <w:r>
        <w:rPr>
          <w:b/>
          <w:color w:val="auto"/>
          <w:sz w:val="24"/>
          <w:highlight w:val="none"/>
        </w:rPr>
        <w:t>1.2 供货原则</w:t>
      </w:r>
    </w:p>
    <w:p w14:paraId="18445515">
      <w:pPr>
        <w:numPr>
          <w:ilvl w:val="1"/>
          <w:numId w:val="0"/>
        </w:numPr>
        <w:spacing w:line="360" w:lineRule="auto"/>
        <w:ind w:firstLine="480" w:firstLineChars="200"/>
        <w:rPr>
          <w:rFonts w:hint="eastAsia" w:ascii="方正细圆简体" w:hAnsi="华文楷体" w:eastAsia="方正细圆简体"/>
          <w:color w:val="auto"/>
          <w:sz w:val="24"/>
          <w:highlight w:val="none"/>
        </w:rPr>
      </w:pPr>
      <w:r>
        <w:rPr>
          <w:rFonts w:hint="eastAsia" w:ascii="方正细圆简体" w:hAnsi="华文楷体" w:eastAsia="方正细圆简体"/>
          <w:color w:val="auto"/>
          <w:sz w:val="24"/>
          <w:highlight w:val="none"/>
        </w:rPr>
        <w:t>提供一套全新的、先进的、成熟的、完整的和安全可靠的，且设备的技术经济性能符合要求的烟气脱硫系统及其所有附属设备和附件。</w:t>
      </w:r>
    </w:p>
    <w:p w14:paraId="5B6DE34D">
      <w:pPr>
        <w:spacing w:line="360" w:lineRule="auto"/>
        <w:ind w:firstLine="480" w:firstLineChars="200"/>
        <w:rPr>
          <w:rFonts w:hint="eastAsia" w:ascii="方正细圆简体" w:hAnsi="华文楷体" w:eastAsia="方正细圆简体"/>
          <w:color w:val="auto"/>
          <w:sz w:val="24"/>
          <w:highlight w:val="none"/>
        </w:rPr>
      </w:pPr>
      <w:r>
        <w:rPr>
          <w:rFonts w:hint="eastAsia" w:ascii="方正细圆简体" w:hAnsi="华文楷体" w:eastAsia="方正细圆简体"/>
          <w:color w:val="auto"/>
          <w:sz w:val="24"/>
          <w:highlight w:val="none"/>
        </w:rPr>
        <w:t>投标方提供所有安装和检修的专用工具、随机备品备件。</w:t>
      </w:r>
    </w:p>
    <w:p w14:paraId="17802A5A">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应按供货范围供货，</w:t>
      </w:r>
      <w:r>
        <w:rPr>
          <w:rFonts w:hint="eastAsia"/>
          <w:color w:val="auto"/>
          <w:sz w:val="24"/>
          <w:highlight w:val="none"/>
          <w:lang w:eastAsia="zh-CN"/>
        </w:rPr>
        <w:t>投标方</w:t>
      </w:r>
      <w:r>
        <w:rPr>
          <w:color w:val="auto"/>
          <w:sz w:val="24"/>
          <w:highlight w:val="none"/>
        </w:rPr>
        <w:t>的供货应满足</w:t>
      </w:r>
      <w:r>
        <w:rPr>
          <w:rStyle w:val="54"/>
          <w:rFonts w:hint="eastAsia" w:ascii="Times New Roman" w:hAnsi="Times New Roman" w:eastAsia="宋体" w:cs="宋体"/>
          <w:color w:val="auto"/>
          <w:sz w:val="24"/>
          <w:highlight w:val="none"/>
          <w:lang w:bidi="ar"/>
        </w:rPr>
        <w:t>招标文件</w:t>
      </w:r>
      <w:r>
        <w:rPr>
          <w:color w:val="auto"/>
          <w:sz w:val="24"/>
          <w:highlight w:val="none"/>
        </w:rPr>
        <w:t>技术规范的要求。</w:t>
      </w:r>
      <w:r>
        <w:rPr>
          <w:rFonts w:hint="eastAsia" w:ascii="方正细圆简体" w:hAnsi="华文楷体" w:eastAsia="方正细圆简体"/>
          <w:color w:val="auto"/>
          <w:sz w:val="24"/>
          <w:highlight w:val="none"/>
        </w:rPr>
        <w:t>脱硫系统内所有的工艺、电气、仪控设备、材料都在供货和服务范围之内。</w:t>
      </w:r>
    </w:p>
    <w:p w14:paraId="090EEB2E">
      <w:pPr>
        <w:pStyle w:val="176"/>
        <w:adjustRightInd w:val="0"/>
        <w:snapToGrid w:val="0"/>
        <w:spacing w:line="360" w:lineRule="auto"/>
        <w:ind w:firstLine="480" w:firstLineChars="200"/>
        <w:rPr>
          <w:rStyle w:val="54"/>
          <w:rFonts w:hint="eastAsia" w:ascii="Times New Roman" w:hAnsi="Times New Roman" w:eastAsia="宋体" w:cs="宋体"/>
          <w:color w:val="auto"/>
          <w:sz w:val="24"/>
          <w:highlight w:val="none"/>
          <w:lang w:bidi="ar"/>
        </w:rPr>
      </w:pPr>
      <w:r>
        <w:rPr>
          <w:rFonts w:hint="eastAsia"/>
          <w:color w:val="auto"/>
          <w:sz w:val="24"/>
          <w:highlight w:val="none"/>
          <w:lang w:eastAsia="zh-CN"/>
        </w:rPr>
        <w:t>投标方</w:t>
      </w:r>
      <w:r>
        <w:rPr>
          <w:color w:val="auto"/>
          <w:sz w:val="24"/>
          <w:highlight w:val="none"/>
        </w:rPr>
        <w:t>应根据</w:t>
      </w:r>
      <w:r>
        <w:rPr>
          <w:rFonts w:hint="eastAsia"/>
          <w:color w:val="auto"/>
          <w:sz w:val="24"/>
          <w:highlight w:val="none"/>
          <w:lang w:eastAsia="zh-CN"/>
        </w:rPr>
        <w:t>招标方</w:t>
      </w:r>
      <w:r>
        <w:rPr>
          <w:color w:val="auto"/>
          <w:sz w:val="24"/>
          <w:highlight w:val="none"/>
        </w:rPr>
        <w:t>提供的原始数据、技术要求和现场限定的条件，合理选择其供货范围内的设备和材料，保证其性能指标和系统安全可靠地运行。</w:t>
      </w:r>
      <w:r>
        <w:rPr>
          <w:rStyle w:val="54"/>
          <w:rFonts w:hint="eastAsia" w:ascii="Times New Roman" w:hAnsi="Times New Roman" w:eastAsia="宋体" w:cs="宋体"/>
          <w:color w:val="auto"/>
          <w:sz w:val="24"/>
          <w:highlight w:val="none"/>
          <w:lang w:bidi="ar"/>
        </w:rPr>
        <w:t>本工程所采用的设备应采用目前先进的技术，即具有高的可靠性、可操作性、可维修性和可扩展性。投标人将对所供设备推荐三个及以上生产厂家供招标人确认。</w:t>
      </w:r>
    </w:p>
    <w:p w14:paraId="2361BBBF">
      <w:pPr>
        <w:adjustRightInd w:val="0"/>
        <w:snapToGrid w:val="0"/>
        <w:spacing w:line="360" w:lineRule="auto"/>
        <w:ind w:firstLine="0" w:firstLineChars="0"/>
        <w:rPr>
          <w:color w:val="auto"/>
          <w:sz w:val="24"/>
          <w:highlight w:val="none"/>
        </w:rPr>
      </w:pPr>
      <w:r>
        <w:rPr>
          <w:rFonts w:hint="eastAsia"/>
          <w:color w:val="auto"/>
          <w:sz w:val="24"/>
          <w:highlight w:val="none"/>
          <w:lang w:val="en-US" w:eastAsia="zh-CN"/>
        </w:rPr>
        <w:t xml:space="preserve">    </w:t>
      </w:r>
      <w:r>
        <w:rPr>
          <w:color w:val="auto"/>
          <w:sz w:val="24"/>
          <w:highlight w:val="none"/>
        </w:rPr>
        <w:t>以下为工艺、电气和仪表控制部分供货的最低要求，但不限于此：</w:t>
      </w:r>
    </w:p>
    <w:p w14:paraId="2038F6A0">
      <w:pPr>
        <w:adjustRightInd w:val="0"/>
        <w:snapToGrid w:val="0"/>
        <w:spacing w:line="360" w:lineRule="auto"/>
        <w:ind w:firstLine="480" w:firstLineChars="200"/>
        <w:rPr>
          <w:color w:val="auto"/>
          <w:sz w:val="24"/>
          <w:highlight w:val="none"/>
        </w:rPr>
      </w:pPr>
      <w:r>
        <w:rPr>
          <w:color w:val="auto"/>
          <w:sz w:val="24"/>
          <w:highlight w:val="none"/>
        </w:rPr>
        <w:t>·所有转动设备(泵、风机、搅拌设备等)的电动机及共同底座随主设备供货。</w:t>
      </w:r>
    </w:p>
    <w:p w14:paraId="1476E5B9">
      <w:pPr>
        <w:adjustRightInd w:val="0"/>
        <w:snapToGrid w:val="0"/>
        <w:spacing w:line="360" w:lineRule="auto"/>
        <w:ind w:firstLine="480" w:firstLineChars="200"/>
        <w:rPr>
          <w:color w:val="auto"/>
          <w:sz w:val="24"/>
          <w:highlight w:val="none"/>
        </w:rPr>
      </w:pPr>
      <w:r>
        <w:rPr>
          <w:color w:val="auto"/>
          <w:sz w:val="24"/>
          <w:highlight w:val="none"/>
        </w:rPr>
        <w:t>·所有设备(挡板、阀门等)的执行机构随主设备供货。</w:t>
      </w:r>
    </w:p>
    <w:p w14:paraId="097111CA">
      <w:pPr>
        <w:adjustRightInd w:val="0"/>
        <w:snapToGrid w:val="0"/>
        <w:spacing w:line="360" w:lineRule="auto"/>
        <w:ind w:firstLine="480" w:firstLineChars="200"/>
        <w:rPr>
          <w:color w:val="auto"/>
          <w:sz w:val="24"/>
          <w:highlight w:val="none"/>
        </w:rPr>
      </w:pPr>
      <w:r>
        <w:rPr>
          <w:color w:val="auto"/>
          <w:sz w:val="24"/>
          <w:highlight w:val="none"/>
        </w:rPr>
        <w:t>·所有安装于设备上的就地仪表，如：温度、压力（压差）及液位测点等，随设备一同供货。</w:t>
      </w:r>
    </w:p>
    <w:p w14:paraId="3EB71342">
      <w:pPr>
        <w:adjustRightInd w:val="0"/>
        <w:snapToGrid w:val="0"/>
        <w:spacing w:line="360" w:lineRule="auto"/>
        <w:ind w:firstLine="480" w:firstLineChars="200"/>
        <w:rPr>
          <w:color w:val="auto"/>
          <w:sz w:val="24"/>
          <w:highlight w:val="none"/>
        </w:rPr>
      </w:pPr>
      <w:r>
        <w:rPr>
          <w:color w:val="auto"/>
          <w:sz w:val="24"/>
          <w:highlight w:val="none"/>
        </w:rPr>
        <w:t>·用于机械设备紧固和安装所需材料以及螺栓，将随机械设备一起供货，除非另外规定。</w:t>
      </w:r>
    </w:p>
    <w:p w14:paraId="2BBFDFD0">
      <w:pPr>
        <w:adjustRightInd w:val="0"/>
        <w:snapToGrid w:val="0"/>
        <w:spacing w:line="360" w:lineRule="auto"/>
        <w:ind w:firstLine="480" w:firstLineChars="200"/>
        <w:rPr>
          <w:rStyle w:val="54"/>
          <w:rFonts w:hint="eastAsia" w:ascii="宋体" w:hAnsi="宋体" w:eastAsia="宋体" w:cs="宋体"/>
          <w:color w:val="auto"/>
          <w:sz w:val="24"/>
          <w:highlight w:val="none"/>
          <w:shd w:val="clear" w:color="auto" w:fill="FFFFFF"/>
        </w:rPr>
      </w:pPr>
      <w:r>
        <w:rPr>
          <w:rStyle w:val="54"/>
          <w:rFonts w:hint="eastAsia" w:ascii="宋体" w:hAnsi="宋体" w:eastAsia="宋体" w:cs="宋体"/>
          <w:color w:val="auto"/>
          <w:sz w:val="24"/>
          <w:highlight w:val="none"/>
          <w:shd w:val="clear" w:color="auto" w:fill="FFFFFF"/>
          <w:lang w:eastAsia="zh-CN"/>
        </w:rPr>
        <w:t>脱硫系统内电缆</w:t>
      </w:r>
      <w:r>
        <w:rPr>
          <w:rStyle w:val="54"/>
          <w:rFonts w:hint="eastAsia" w:ascii="宋体" w:hAnsi="宋体" w:eastAsia="宋体" w:cs="宋体"/>
          <w:color w:val="auto"/>
          <w:sz w:val="24"/>
          <w:highlight w:val="none"/>
          <w:shd w:val="clear" w:color="auto" w:fill="FFFFFF"/>
        </w:rPr>
        <w:t>由投标人负责设计、供货</w:t>
      </w:r>
      <w:r>
        <w:rPr>
          <w:rStyle w:val="54"/>
          <w:rFonts w:hint="eastAsia" w:ascii="宋体" w:hAnsi="宋体" w:eastAsia="宋体" w:cs="宋体"/>
          <w:color w:val="auto"/>
          <w:sz w:val="24"/>
          <w:highlight w:val="none"/>
          <w:shd w:val="clear" w:color="auto" w:fill="FFFFFF"/>
          <w:lang w:eastAsia="zh-CN"/>
        </w:rPr>
        <w:t>、安装；与主体系统连接的动力与控制电缆，</w:t>
      </w:r>
      <w:r>
        <w:rPr>
          <w:rStyle w:val="54"/>
          <w:rFonts w:hint="eastAsia" w:ascii="宋体" w:hAnsi="宋体" w:eastAsia="宋体" w:cs="宋体"/>
          <w:color w:val="auto"/>
          <w:sz w:val="24"/>
          <w:highlight w:val="none"/>
          <w:shd w:val="clear" w:color="auto" w:fill="FFFFFF"/>
          <w:lang w:val="en-US" w:eastAsia="zh-CN"/>
        </w:rPr>
        <w:t>DCS联络光纤及电气综合自动化系统通讯</w:t>
      </w:r>
      <w:r>
        <w:rPr>
          <w:rStyle w:val="54"/>
          <w:rFonts w:hint="eastAsia" w:ascii="宋体" w:hAnsi="宋体" w:eastAsia="宋体" w:cs="宋体"/>
          <w:color w:val="auto"/>
          <w:sz w:val="24"/>
          <w:highlight w:val="none"/>
          <w:shd w:val="clear" w:color="auto" w:fill="FFFFFF"/>
        </w:rPr>
        <w:t>由</w:t>
      </w:r>
      <w:r>
        <w:rPr>
          <w:rStyle w:val="54"/>
          <w:rFonts w:hint="eastAsia" w:ascii="宋体" w:hAnsi="宋体" w:eastAsia="宋体" w:cs="宋体"/>
          <w:color w:val="auto"/>
          <w:sz w:val="24"/>
          <w:highlight w:val="none"/>
          <w:shd w:val="clear" w:color="auto" w:fill="FFFFFF"/>
          <w:lang w:eastAsia="zh-CN"/>
        </w:rPr>
        <w:t>招</w:t>
      </w:r>
      <w:r>
        <w:rPr>
          <w:rStyle w:val="54"/>
          <w:rFonts w:hint="eastAsia" w:ascii="宋体" w:hAnsi="宋体" w:eastAsia="宋体" w:cs="宋体"/>
          <w:color w:val="auto"/>
          <w:sz w:val="24"/>
          <w:highlight w:val="none"/>
          <w:shd w:val="clear" w:color="auto" w:fill="FFFFFF"/>
        </w:rPr>
        <w:t>标人负责设计、供货</w:t>
      </w:r>
      <w:r>
        <w:rPr>
          <w:rStyle w:val="54"/>
          <w:rFonts w:hint="eastAsia" w:ascii="宋体" w:hAnsi="宋体" w:eastAsia="宋体" w:cs="宋体"/>
          <w:color w:val="auto"/>
          <w:sz w:val="24"/>
          <w:highlight w:val="none"/>
          <w:shd w:val="clear" w:color="auto" w:fill="FFFFFF"/>
          <w:lang w:eastAsia="zh-CN"/>
        </w:rPr>
        <w:t>、安装；消防报警、视频监控、门禁等</w:t>
      </w:r>
      <w:r>
        <w:rPr>
          <w:rStyle w:val="54"/>
          <w:rFonts w:hint="eastAsia" w:ascii="宋体" w:hAnsi="宋体" w:eastAsia="宋体" w:cs="宋体"/>
          <w:color w:val="auto"/>
          <w:sz w:val="24"/>
          <w:highlight w:val="none"/>
          <w:shd w:val="clear" w:color="auto" w:fill="FFFFFF"/>
        </w:rPr>
        <w:t>电缆由</w:t>
      </w:r>
      <w:r>
        <w:rPr>
          <w:rStyle w:val="54"/>
          <w:rFonts w:hint="eastAsia" w:ascii="宋体" w:hAnsi="宋体" w:eastAsia="宋体" w:cs="宋体"/>
          <w:color w:val="auto"/>
          <w:sz w:val="24"/>
          <w:highlight w:val="none"/>
          <w:shd w:val="clear" w:color="auto" w:fill="FFFFFF"/>
          <w:lang w:eastAsia="zh-CN"/>
        </w:rPr>
        <w:t>投</w:t>
      </w:r>
      <w:r>
        <w:rPr>
          <w:rStyle w:val="54"/>
          <w:rFonts w:hint="eastAsia" w:ascii="宋体" w:hAnsi="宋体" w:eastAsia="宋体" w:cs="宋体"/>
          <w:color w:val="auto"/>
          <w:sz w:val="24"/>
          <w:highlight w:val="none"/>
          <w:shd w:val="clear" w:color="auto" w:fill="FFFFFF"/>
        </w:rPr>
        <w:t>标人设计，</w:t>
      </w:r>
      <w:r>
        <w:rPr>
          <w:rStyle w:val="54"/>
          <w:rFonts w:hint="eastAsia" w:ascii="宋体" w:hAnsi="宋体" w:eastAsia="宋体" w:cs="宋体"/>
          <w:color w:val="auto"/>
          <w:sz w:val="24"/>
          <w:highlight w:val="none"/>
          <w:shd w:val="clear" w:color="auto" w:fill="FFFFFF"/>
          <w:lang w:eastAsia="zh-CN"/>
        </w:rPr>
        <w:t>招</w:t>
      </w:r>
      <w:r>
        <w:rPr>
          <w:rStyle w:val="54"/>
          <w:rFonts w:hint="eastAsia" w:ascii="宋体" w:hAnsi="宋体" w:eastAsia="宋体" w:cs="宋体"/>
          <w:color w:val="auto"/>
          <w:sz w:val="24"/>
          <w:highlight w:val="none"/>
          <w:shd w:val="clear" w:color="auto" w:fill="FFFFFF"/>
        </w:rPr>
        <w:t>标人供货</w:t>
      </w:r>
      <w:r>
        <w:rPr>
          <w:rStyle w:val="54"/>
          <w:rFonts w:hint="eastAsia" w:ascii="宋体" w:hAnsi="宋体" w:eastAsia="宋体" w:cs="宋体"/>
          <w:color w:val="auto"/>
          <w:sz w:val="24"/>
          <w:highlight w:val="none"/>
          <w:shd w:val="clear" w:color="auto" w:fill="FFFFFF"/>
          <w:lang w:eastAsia="zh-CN"/>
        </w:rPr>
        <w:t>及安装</w:t>
      </w:r>
      <w:r>
        <w:rPr>
          <w:rStyle w:val="54"/>
          <w:rFonts w:hint="eastAsia" w:ascii="宋体" w:hAnsi="宋体" w:eastAsia="宋体" w:cs="宋体"/>
          <w:color w:val="auto"/>
          <w:sz w:val="24"/>
          <w:highlight w:val="none"/>
          <w:shd w:val="clear" w:color="auto" w:fill="FFFFFF"/>
        </w:rPr>
        <w:t>。</w:t>
      </w:r>
    </w:p>
    <w:p w14:paraId="7AFA9AEC">
      <w:pPr>
        <w:adjustRightInd w:val="0"/>
        <w:snapToGrid w:val="0"/>
        <w:spacing w:line="360" w:lineRule="auto"/>
        <w:ind w:firstLine="420" w:firstLineChars="200"/>
        <w:rPr>
          <w:rStyle w:val="54"/>
          <w:rFonts w:ascii="宋体" w:hAnsi="宋体" w:cs="宋体"/>
          <w:color w:val="auto"/>
          <w:highlight w:val="none"/>
          <w:shd w:val="clear" w:color="auto" w:fill="FFFFFF"/>
        </w:rPr>
      </w:pPr>
      <w:r>
        <w:rPr>
          <w:rStyle w:val="54"/>
          <w:rFonts w:ascii="宋体" w:hAnsi="宋体" w:cs="宋体"/>
          <w:color w:val="auto"/>
          <w:highlight w:val="none"/>
          <w:shd w:val="clear" w:color="auto" w:fill="FFFFFF"/>
        </w:rPr>
        <w:t>脱硫区域内的</w:t>
      </w:r>
      <w:r>
        <w:rPr>
          <w:rStyle w:val="54"/>
          <w:rFonts w:hint="eastAsia" w:ascii="宋体" w:hAnsi="宋体" w:cs="宋体"/>
          <w:color w:val="auto"/>
          <w:highlight w:val="none"/>
          <w:shd w:val="clear" w:color="auto" w:fill="FFFFFF"/>
        </w:rPr>
        <w:t>防腐</w:t>
      </w:r>
      <w:r>
        <w:rPr>
          <w:rStyle w:val="54"/>
          <w:rFonts w:ascii="宋体" w:hAnsi="宋体" w:cs="宋体"/>
          <w:color w:val="auto"/>
          <w:highlight w:val="none"/>
          <w:shd w:val="clear" w:color="auto" w:fill="FFFFFF"/>
        </w:rPr>
        <w:t>由投标方负责，包括且不限于</w:t>
      </w:r>
      <w:r>
        <w:rPr>
          <w:rStyle w:val="54"/>
          <w:rFonts w:hint="eastAsia" w:ascii="宋体" w:hAnsi="宋体" w:cs="宋体"/>
          <w:color w:val="auto"/>
          <w:highlight w:val="none"/>
          <w:shd w:val="clear" w:color="auto" w:fill="FFFFFF"/>
        </w:rPr>
        <w:t>吸收塔</w:t>
      </w:r>
      <w:r>
        <w:rPr>
          <w:rStyle w:val="54"/>
          <w:rFonts w:ascii="宋体" w:hAnsi="宋体" w:cs="宋体"/>
          <w:color w:val="auto"/>
          <w:highlight w:val="none"/>
          <w:shd w:val="clear" w:color="auto" w:fill="FFFFFF"/>
        </w:rPr>
        <w:t>本体</w:t>
      </w:r>
      <w:r>
        <w:rPr>
          <w:rStyle w:val="54"/>
          <w:rFonts w:hint="eastAsia" w:ascii="宋体" w:hAnsi="宋体" w:cs="宋体"/>
          <w:color w:val="auto"/>
          <w:highlight w:val="none"/>
          <w:shd w:val="clear" w:color="auto" w:fill="FFFFFF"/>
        </w:rPr>
        <w:t>、烟道</w:t>
      </w:r>
      <w:r>
        <w:rPr>
          <w:rStyle w:val="54"/>
          <w:rFonts w:ascii="宋体" w:hAnsi="宋体" w:cs="宋体"/>
          <w:color w:val="auto"/>
          <w:highlight w:val="none"/>
          <w:shd w:val="clear" w:color="auto" w:fill="FFFFFF"/>
        </w:rPr>
        <w:t>（</w:t>
      </w:r>
      <w:r>
        <w:rPr>
          <w:rStyle w:val="54"/>
          <w:rFonts w:hint="eastAsia" w:ascii="宋体" w:hAnsi="宋体" w:cs="宋体"/>
          <w:color w:val="auto"/>
          <w:highlight w:val="none"/>
          <w:shd w:val="clear" w:color="auto" w:fill="FFFFFF"/>
        </w:rPr>
        <w:t>包括烟道的贴衬和事故喷淋装置</w:t>
      </w:r>
      <w:r>
        <w:rPr>
          <w:rStyle w:val="54"/>
          <w:rFonts w:ascii="宋体" w:hAnsi="宋体" w:cs="宋体"/>
          <w:color w:val="auto"/>
          <w:highlight w:val="none"/>
          <w:shd w:val="clear" w:color="auto" w:fill="FFFFFF"/>
        </w:rPr>
        <w:t>）</w:t>
      </w:r>
      <w:r>
        <w:rPr>
          <w:rStyle w:val="54"/>
          <w:rFonts w:hint="eastAsia" w:ascii="宋体" w:hAnsi="宋体" w:cs="宋体"/>
          <w:color w:val="auto"/>
          <w:highlight w:val="none"/>
          <w:shd w:val="clear" w:color="auto" w:fill="FFFFFF"/>
        </w:rPr>
        <w:t>、</w:t>
      </w:r>
      <w:r>
        <w:rPr>
          <w:rStyle w:val="54"/>
          <w:rFonts w:ascii="宋体" w:hAnsi="宋体" w:cs="宋体"/>
          <w:color w:val="auto"/>
          <w:highlight w:val="none"/>
          <w:shd w:val="clear" w:color="auto" w:fill="FFFFFF"/>
        </w:rPr>
        <w:t>浆液池及</w:t>
      </w:r>
      <w:r>
        <w:rPr>
          <w:rStyle w:val="54"/>
          <w:rFonts w:hint="eastAsia" w:ascii="宋体" w:hAnsi="宋体" w:cs="宋体"/>
          <w:color w:val="auto"/>
          <w:highlight w:val="none"/>
          <w:shd w:val="clear" w:color="auto" w:fill="FFFFFF"/>
        </w:rPr>
        <w:t>沟道</w:t>
      </w:r>
      <w:r>
        <w:rPr>
          <w:rStyle w:val="54"/>
          <w:rFonts w:ascii="宋体" w:hAnsi="宋体" w:cs="宋体"/>
          <w:color w:val="auto"/>
          <w:highlight w:val="none"/>
          <w:shd w:val="clear" w:color="auto" w:fill="FFFFFF"/>
        </w:rPr>
        <w:t>、水箱（池）等</w:t>
      </w:r>
      <w:r>
        <w:rPr>
          <w:rStyle w:val="54"/>
          <w:rFonts w:hint="eastAsia" w:ascii="宋体" w:hAnsi="宋体" w:cs="宋体"/>
          <w:color w:val="auto"/>
          <w:highlight w:val="none"/>
          <w:shd w:val="clear" w:color="auto" w:fill="FFFFFF"/>
        </w:rPr>
        <w:t>。</w:t>
      </w:r>
    </w:p>
    <w:p w14:paraId="096B662E">
      <w:pPr>
        <w:adjustRightInd w:val="0"/>
        <w:snapToGrid w:val="0"/>
        <w:spacing w:line="360" w:lineRule="auto"/>
        <w:ind w:firstLine="420" w:firstLineChars="200"/>
        <w:rPr>
          <w:rStyle w:val="54"/>
          <w:rFonts w:hint="eastAsia" w:ascii="宋体" w:hAnsi="宋体" w:cs="宋体"/>
          <w:color w:val="auto"/>
          <w:highlight w:val="none"/>
          <w:shd w:val="clear" w:color="auto" w:fill="FFFFFF"/>
        </w:rPr>
      </w:pPr>
      <w:r>
        <w:rPr>
          <w:rStyle w:val="54"/>
          <w:rFonts w:hint="eastAsia" w:ascii="宋体" w:hAnsi="宋体" w:cs="宋体"/>
          <w:color w:val="auto"/>
          <w:highlight w:val="none"/>
          <w:shd w:val="clear" w:color="auto" w:fill="FFFFFF"/>
        </w:rPr>
        <w:t>所供设备应油漆完好，所有</w:t>
      </w:r>
      <w:r>
        <w:rPr>
          <w:rStyle w:val="54"/>
          <w:rFonts w:ascii="宋体" w:hAnsi="宋体" w:cs="宋体"/>
          <w:color w:val="auto"/>
          <w:highlight w:val="none"/>
          <w:shd w:val="clear" w:color="auto" w:fill="FFFFFF"/>
        </w:rPr>
        <w:t>投标方</w:t>
      </w:r>
      <w:r>
        <w:rPr>
          <w:rStyle w:val="54"/>
          <w:rFonts w:hint="eastAsia" w:ascii="宋体" w:hAnsi="宋体" w:cs="宋体"/>
          <w:color w:val="auto"/>
          <w:highlight w:val="none"/>
          <w:shd w:val="clear" w:color="auto" w:fill="FFFFFF"/>
        </w:rPr>
        <w:t>供货范围内设备及设备本体自带的钢结构</w:t>
      </w:r>
      <w:r>
        <w:rPr>
          <w:rStyle w:val="54"/>
          <w:rFonts w:hint="eastAsia" w:ascii="宋体" w:hAnsi="宋体" w:eastAsia="宋体" w:cs="宋体"/>
          <w:color w:val="auto"/>
          <w:sz w:val="24"/>
          <w:highlight w:val="none"/>
          <w:shd w:val="clear" w:color="auto" w:fill="FFFFFF"/>
          <w:lang w:bidi="ar"/>
        </w:rPr>
        <w:t>、平台、栏杆、楼梯、管道、支吊架等</w:t>
      </w:r>
      <w:r>
        <w:rPr>
          <w:rStyle w:val="54"/>
          <w:rFonts w:hint="eastAsia" w:ascii="宋体" w:hAnsi="宋体" w:cs="宋体"/>
          <w:color w:val="auto"/>
          <w:highlight w:val="none"/>
          <w:shd w:val="clear" w:color="auto" w:fill="FFFFFF"/>
        </w:rPr>
        <w:t>油漆</w:t>
      </w:r>
      <w:r>
        <w:rPr>
          <w:rStyle w:val="54"/>
          <w:rFonts w:ascii="宋体" w:hAnsi="宋体" w:cs="宋体"/>
          <w:color w:val="auto"/>
          <w:highlight w:val="none"/>
          <w:shd w:val="clear" w:color="auto" w:fill="FFFFFF"/>
        </w:rPr>
        <w:t>，</w:t>
      </w:r>
      <w:r>
        <w:rPr>
          <w:rStyle w:val="54"/>
          <w:rFonts w:hint="eastAsia" w:ascii="宋体" w:hAnsi="宋体" w:eastAsia="宋体" w:cs="宋体"/>
          <w:color w:val="auto"/>
          <w:sz w:val="24"/>
          <w:highlight w:val="none"/>
          <w:shd w:val="clear" w:color="auto" w:fill="FFFFFF"/>
          <w:lang w:bidi="ar"/>
        </w:rPr>
        <w:t>包括补漆所需材料</w:t>
      </w:r>
      <w:r>
        <w:rPr>
          <w:rStyle w:val="54"/>
          <w:rFonts w:hint="eastAsia" w:ascii="宋体" w:hAnsi="宋体" w:cs="宋体"/>
          <w:color w:val="auto"/>
          <w:highlight w:val="none"/>
          <w:shd w:val="clear" w:color="auto" w:fill="FFFFFF"/>
        </w:rPr>
        <w:t>属于</w:t>
      </w:r>
      <w:r>
        <w:rPr>
          <w:rStyle w:val="54"/>
          <w:rFonts w:ascii="宋体" w:hAnsi="宋体" w:cs="宋体"/>
          <w:color w:val="auto"/>
          <w:highlight w:val="none"/>
          <w:shd w:val="clear" w:color="auto" w:fill="FFFFFF"/>
        </w:rPr>
        <w:t>投标方</w:t>
      </w:r>
      <w:r>
        <w:rPr>
          <w:rStyle w:val="54"/>
          <w:rFonts w:hint="eastAsia" w:ascii="宋体" w:hAnsi="宋体" w:cs="宋体"/>
          <w:color w:val="auto"/>
          <w:highlight w:val="none"/>
          <w:shd w:val="clear" w:color="auto" w:fill="FFFFFF"/>
        </w:rPr>
        <w:t>的供货内容。</w:t>
      </w:r>
    </w:p>
    <w:p w14:paraId="2000709F">
      <w:pPr>
        <w:adjustRightInd w:val="0"/>
        <w:snapToGrid w:val="0"/>
        <w:spacing w:line="360" w:lineRule="auto"/>
        <w:ind w:firstLine="420" w:firstLineChars="200"/>
        <w:rPr>
          <w:color w:val="auto"/>
          <w:sz w:val="24"/>
          <w:highlight w:val="none"/>
        </w:rPr>
      </w:pPr>
      <w:r>
        <w:rPr>
          <w:rStyle w:val="54"/>
          <w:rFonts w:hint="eastAsia" w:ascii="宋体" w:hAnsi="宋体" w:cs="宋体"/>
          <w:color w:val="auto"/>
          <w:highlight w:val="none"/>
          <w:shd w:val="clear" w:color="auto" w:fill="FFFFFF"/>
        </w:rPr>
        <w:t>除了机械设备外，所有其它设备和金属构件应在车间涂刷底漆，并根据合同的技术要求供货至现场。</w:t>
      </w:r>
    </w:p>
    <w:p w14:paraId="3342D026">
      <w:pPr>
        <w:adjustRightInd w:val="0"/>
        <w:snapToGrid w:val="0"/>
        <w:spacing w:line="360" w:lineRule="auto"/>
        <w:ind w:firstLine="420" w:firstLineChars="200"/>
        <w:rPr>
          <w:rFonts w:hint="default" w:eastAsia="宋体"/>
          <w:color w:val="auto"/>
          <w:sz w:val="24"/>
          <w:highlight w:val="none"/>
          <w:lang w:val="en-US" w:eastAsia="zh-CN"/>
        </w:rPr>
      </w:pPr>
      <w:r>
        <w:rPr>
          <w:rStyle w:val="54"/>
          <w:color w:val="auto"/>
          <w:highlight w:val="none"/>
          <w:shd w:val="clear" w:color="auto" w:fill="FFFFFF"/>
        </w:rPr>
        <w:t>吸收塔基础预埋螺栓、基础预埋型钢，</w:t>
      </w:r>
      <w:r>
        <w:rPr>
          <w:rStyle w:val="54"/>
          <w:rFonts w:ascii="宋体" w:hAnsi="宋体" w:cs="宋体"/>
          <w:color w:val="auto"/>
          <w:highlight w:val="none"/>
          <w:shd w:val="clear" w:color="auto" w:fill="FFFFFF"/>
        </w:rPr>
        <w:t>设备基础地脚螺栓及二次灌浆均由投标方负责。</w:t>
      </w:r>
    </w:p>
    <w:p w14:paraId="35525EA1">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应提供随机备品备件（包括安装、调试、试运行及质保期内所需要的），并提供一个大修期所推荐的备品备件清单</w:t>
      </w:r>
      <w:r>
        <w:rPr>
          <w:rFonts w:hint="eastAsia"/>
          <w:color w:val="auto"/>
          <w:sz w:val="24"/>
          <w:highlight w:val="none"/>
          <w:lang w:val="en-US" w:eastAsia="zh-CN"/>
        </w:rPr>
        <w:t>及易损件清单</w:t>
      </w:r>
      <w:r>
        <w:rPr>
          <w:color w:val="auto"/>
          <w:sz w:val="24"/>
          <w:highlight w:val="none"/>
        </w:rPr>
        <w:t>。</w:t>
      </w:r>
    </w:p>
    <w:p w14:paraId="27475240">
      <w:pPr>
        <w:spacing w:line="360" w:lineRule="auto"/>
        <w:outlineLvl w:val="2"/>
        <w:rPr>
          <w:b/>
          <w:color w:val="auto"/>
          <w:sz w:val="24"/>
          <w:highlight w:val="none"/>
        </w:rPr>
      </w:pPr>
      <w:r>
        <w:rPr>
          <w:b/>
          <w:color w:val="auto"/>
          <w:sz w:val="24"/>
          <w:highlight w:val="none"/>
        </w:rPr>
        <w:t>1.3 进口范围</w:t>
      </w:r>
    </w:p>
    <w:p w14:paraId="00230B42">
      <w:pPr>
        <w:spacing w:line="360" w:lineRule="auto"/>
        <w:ind w:firstLine="480" w:firstLineChars="200"/>
        <w:rPr>
          <w:rStyle w:val="54"/>
          <w:rFonts w:hint="eastAsia" w:cs="宋体"/>
          <w:color w:val="auto"/>
          <w:highlight w:val="none"/>
          <w:lang w:bidi="ar"/>
        </w:rPr>
      </w:pPr>
      <w:r>
        <w:rPr>
          <w:rStyle w:val="54"/>
          <w:rFonts w:hint="eastAsia" w:ascii="Times New Roman" w:hAnsi="Times New Roman" w:eastAsia="宋体" w:cs="宋体"/>
          <w:color w:val="auto"/>
          <w:sz w:val="24"/>
          <w:highlight w:val="none"/>
          <w:lang w:bidi="ar"/>
        </w:rPr>
        <w:t>投标人提供进口设备、部件和材料清单。</w:t>
      </w:r>
      <w:r>
        <w:rPr>
          <w:rStyle w:val="54"/>
          <w:rFonts w:hint="eastAsia" w:cs="宋体"/>
          <w:color w:val="auto"/>
          <w:highlight w:val="none"/>
          <w:lang w:bidi="ar"/>
        </w:rPr>
        <w:t>下列设备、材料的供货应采用进口品牌，但不限于：</w:t>
      </w:r>
    </w:p>
    <w:p w14:paraId="2BBA99DF">
      <w:pPr>
        <w:spacing w:line="360" w:lineRule="auto"/>
        <w:jc w:val="center"/>
        <w:rPr>
          <w:color w:val="auto"/>
          <w:highlight w:val="none"/>
        </w:rPr>
      </w:pPr>
      <w:r>
        <w:rPr>
          <w:color w:val="auto"/>
          <w:sz w:val="24"/>
          <w:highlight w:val="none"/>
        </w:rPr>
        <w:t>应采用进口品牌的设备、材料（包括但不限于）</w:t>
      </w:r>
    </w:p>
    <w:tbl>
      <w:tblPr>
        <w:tblStyle w:val="52"/>
        <w:tblW w:w="0" w:type="auto"/>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2"/>
        <w:gridCol w:w="6913"/>
        <w:gridCol w:w="819"/>
      </w:tblGrid>
      <w:tr w14:paraId="31B97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732" w:type="dxa"/>
            <w:noWrap w:val="0"/>
            <w:vAlign w:val="center"/>
          </w:tcPr>
          <w:p w14:paraId="1E771A15">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序号</w:t>
            </w:r>
          </w:p>
        </w:tc>
        <w:tc>
          <w:tcPr>
            <w:tcW w:w="6913" w:type="dxa"/>
            <w:noWrap w:val="0"/>
            <w:vAlign w:val="center"/>
          </w:tcPr>
          <w:p w14:paraId="56450DA9">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设备名称</w:t>
            </w:r>
          </w:p>
        </w:tc>
        <w:tc>
          <w:tcPr>
            <w:tcW w:w="819" w:type="dxa"/>
            <w:noWrap w:val="0"/>
            <w:vAlign w:val="center"/>
          </w:tcPr>
          <w:p w14:paraId="2ED45093">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备注</w:t>
            </w:r>
          </w:p>
        </w:tc>
      </w:tr>
      <w:tr w14:paraId="2E0ECC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32" w:type="dxa"/>
            <w:noWrap w:val="0"/>
            <w:vAlign w:val="center"/>
          </w:tcPr>
          <w:p w14:paraId="2AB6F857">
            <w:pPr>
              <w:keepNext w:val="0"/>
              <w:keepLines w:val="0"/>
              <w:suppressLineNumbers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w:t>
            </w:r>
          </w:p>
        </w:tc>
        <w:tc>
          <w:tcPr>
            <w:tcW w:w="6913" w:type="dxa"/>
            <w:noWrap w:val="0"/>
            <w:vAlign w:val="center"/>
          </w:tcPr>
          <w:p w14:paraId="52FFA2F7">
            <w:pPr>
              <w:keepNext w:val="0"/>
              <w:keepLines w:val="0"/>
              <w:suppressLineNumbers w:val="0"/>
              <w:snapToGrid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pH计、密度计（质量流量计）</w:t>
            </w:r>
            <w:r>
              <w:rPr>
                <w:rFonts w:hint="eastAsia" w:ascii="Times New Roman" w:hAnsi="Times New Roman" w:cs="Times New Roman"/>
                <w:color w:val="auto"/>
                <w:sz w:val="24"/>
                <w:highlight w:val="none"/>
                <w:lang w:eastAsia="zh-CN"/>
              </w:rPr>
              <w:t>、</w:t>
            </w:r>
            <w:r>
              <w:rPr>
                <w:rFonts w:hint="eastAsia" w:ascii="Times New Roman" w:hAnsi="Times New Roman" w:cs="Times New Roman"/>
                <w:color w:val="auto"/>
                <w:sz w:val="24"/>
                <w:highlight w:val="none"/>
                <w:lang w:val="en-US" w:eastAsia="zh-CN"/>
              </w:rPr>
              <w:t>超声波料位计、石膏厚度仪</w:t>
            </w:r>
            <w:r>
              <w:rPr>
                <w:rFonts w:hint="default" w:ascii="Times New Roman" w:hAnsi="Times New Roman" w:cs="Times New Roman"/>
                <w:color w:val="auto"/>
                <w:sz w:val="24"/>
                <w:highlight w:val="none"/>
              </w:rPr>
              <w:t>等</w:t>
            </w:r>
          </w:p>
        </w:tc>
        <w:tc>
          <w:tcPr>
            <w:tcW w:w="819" w:type="dxa"/>
            <w:noWrap w:val="0"/>
            <w:vAlign w:val="center"/>
          </w:tcPr>
          <w:p w14:paraId="52F8827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8BBA7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32" w:type="dxa"/>
            <w:noWrap w:val="0"/>
            <w:vAlign w:val="center"/>
          </w:tcPr>
          <w:p w14:paraId="4F6FD5FD">
            <w:pPr>
              <w:keepNext w:val="0"/>
              <w:keepLines w:val="0"/>
              <w:suppressLineNumbers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2</w:t>
            </w:r>
          </w:p>
        </w:tc>
        <w:tc>
          <w:tcPr>
            <w:tcW w:w="6913" w:type="dxa"/>
            <w:noWrap w:val="0"/>
            <w:vAlign w:val="center"/>
          </w:tcPr>
          <w:p w14:paraId="433B75D4">
            <w:pPr>
              <w:keepNext w:val="0"/>
              <w:keepLines w:val="0"/>
              <w:suppressLineNumbers w:val="0"/>
              <w:snapToGrid w:val="0"/>
              <w:spacing w:before="0" w:beforeAutospacing="0" w:after="0" w:afterAutospacing="0" w:line="360" w:lineRule="auto"/>
              <w:ind w:left="0" w:right="0"/>
              <w:rPr>
                <w:rFonts w:hint="eastAsia" w:ascii="Times New Roman" w:hAnsi="Times New Roman" w:eastAsia="宋体" w:cs="Times New Roman"/>
                <w:color w:val="auto"/>
                <w:sz w:val="24"/>
                <w:highlight w:val="none"/>
                <w:lang w:val="en-US" w:eastAsia="zh-CN"/>
              </w:rPr>
            </w:pPr>
            <w:r>
              <w:rPr>
                <w:rFonts w:hint="default" w:ascii="Times New Roman" w:hAnsi="Times New Roman" w:cs="Times New Roman"/>
                <w:color w:val="auto"/>
                <w:sz w:val="24"/>
                <w:highlight w:val="none"/>
              </w:rPr>
              <w:t>变送器</w:t>
            </w:r>
          </w:p>
        </w:tc>
        <w:tc>
          <w:tcPr>
            <w:tcW w:w="819" w:type="dxa"/>
            <w:noWrap w:val="0"/>
            <w:vAlign w:val="center"/>
          </w:tcPr>
          <w:p w14:paraId="55646BD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9D7DE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32" w:type="dxa"/>
            <w:noWrap w:val="0"/>
            <w:vAlign w:val="center"/>
          </w:tcPr>
          <w:p w14:paraId="4D2F2FF2">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lang w:val="en-US" w:eastAsia="zh-CN"/>
              </w:rPr>
            </w:pPr>
            <w:bookmarkStart w:id="145" w:name="_Toc24403"/>
            <w:bookmarkStart w:id="146" w:name="_Toc20113"/>
            <w:bookmarkStart w:id="147" w:name="_Toc14288"/>
            <w:bookmarkStart w:id="148" w:name="_Toc27064"/>
            <w:bookmarkStart w:id="149" w:name="_Toc38247542"/>
            <w:bookmarkStart w:id="150" w:name="_Toc482189958"/>
            <w:bookmarkStart w:id="151" w:name="_Toc10047"/>
            <w:bookmarkStart w:id="152" w:name="_Toc12652"/>
            <w:bookmarkStart w:id="153" w:name="_Toc41298044"/>
            <w:r>
              <w:rPr>
                <w:rFonts w:hint="eastAsia" w:ascii="Times New Roman" w:hAnsi="Times New Roman" w:cs="Times New Roman"/>
                <w:color w:val="auto"/>
                <w:sz w:val="24"/>
                <w:highlight w:val="none"/>
                <w:lang w:val="en-US" w:eastAsia="zh-CN"/>
              </w:rPr>
              <w:t>3</w:t>
            </w:r>
          </w:p>
        </w:tc>
        <w:tc>
          <w:tcPr>
            <w:tcW w:w="6913" w:type="dxa"/>
            <w:noWrap w:val="0"/>
            <w:vAlign w:val="center"/>
          </w:tcPr>
          <w:p w14:paraId="5AC830DE">
            <w:pPr>
              <w:keepNext w:val="0"/>
              <w:keepLines w:val="0"/>
              <w:suppressLineNumbers w:val="0"/>
              <w:snapToGrid w:val="0"/>
              <w:spacing w:before="0" w:beforeAutospacing="0" w:after="0" w:afterAutospacing="0" w:line="360" w:lineRule="auto"/>
              <w:ind w:left="0" w:right="0"/>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真空皮带机滤带、吸收塔侧搅拌器</w:t>
            </w:r>
          </w:p>
        </w:tc>
        <w:tc>
          <w:tcPr>
            <w:tcW w:w="819" w:type="dxa"/>
            <w:noWrap w:val="0"/>
            <w:vAlign w:val="center"/>
          </w:tcPr>
          <w:p w14:paraId="67C4F20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AA92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32" w:type="dxa"/>
            <w:noWrap w:val="0"/>
            <w:vAlign w:val="center"/>
          </w:tcPr>
          <w:p w14:paraId="6F883910">
            <w:pPr>
              <w:keepNext w:val="0"/>
              <w:keepLines w:val="0"/>
              <w:suppressLineNumbers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c>
          <w:tcPr>
            <w:tcW w:w="6913" w:type="dxa"/>
            <w:noWrap w:val="0"/>
            <w:vAlign w:val="center"/>
          </w:tcPr>
          <w:p w14:paraId="23F18C1C">
            <w:pPr>
              <w:keepNext w:val="0"/>
              <w:keepLines w:val="0"/>
              <w:suppressLineNumbers w:val="0"/>
              <w:snapToGrid w:val="0"/>
              <w:spacing w:before="0" w:beforeAutospacing="0" w:after="0" w:afterAutospacing="0" w:line="360" w:lineRule="auto"/>
              <w:ind w:left="0" w:right="0"/>
              <w:rPr>
                <w:rFonts w:hint="eastAsia" w:ascii="Times New Roman" w:hAnsi="Times New Roman" w:cs="Times New Roman"/>
                <w:color w:val="auto"/>
                <w:sz w:val="24"/>
                <w:highlight w:val="none"/>
                <w:lang w:val="en-US" w:eastAsia="zh-CN"/>
              </w:rPr>
            </w:pPr>
          </w:p>
        </w:tc>
        <w:tc>
          <w:tcPr>
            <w:tcW w:w="819" w:type="dxa"/>
            <w:noWrap w:val="0"/>
            <w:vAlign w:val="center"/>
          </w:tcPr>
          <w:p w14:paraId="25EB554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EE50E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32" w:type="dxa"/>
            <w:noWrap w:val="0"/>
            <w:vAlign w:val="center"/>
          </w:tcPr>
          <w:p w14:paraId="272E64CB">
            <w:pPr>
              <w:keepNext w:val="0"/>
              <w:keepLines w:val="0"/>
              <w:suppressLineNumbers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c>
          <w:tcPr>
            <w:tcW w:w="6913" w:type="dxa"/>
            <w:noWrap w:val="0"/>
            <w:vAlign w:val="center"/>
          </w:tcPr>
          <w:p w14:paraId="45FAC7B3">
            <w:pPr>
              <w:keepNext w:val="0"/>
              <w:keepLines w:val="0"/>
              <w:suppressLineNumbers w:val="0"/>
              <w:snapToGrid w:val="0"/>
              <w:spacing w:before="0" w:beforeAutospacing="0" w:after="0" w:afterAutospacing="0" w:line="360" w:lineRule="auto"/>
              <w:ind w:left="0" w:right="0"/>
              <w:rPr>
                <w:rFonts w:hint="eastAsia" w:ascii="Times New Roman" w:hAnsi="Times New Roman" w:cs="Times New Roman"/>
                <w:color w:val="auto"/>
                <w:sz w:val="24"/>
                <w:highlight w:val="none"/>
                <w:lang w:val="en-US" w:eastAsia="zh-CN"/>
              </w:rPr>
            </w:pPr>
          </w:p>
        </w:tc>
        <w:tc>
          <w:tcPr>
            <w:tcW w:w="819" w:type="dxa"/>
            <w:noWrap w:val="0"/>
            <w:vAlign w:val="center"/>
          </w:tcPr>
          <w:p w14:paraId="19238E3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bl>
    <w:p w14:paraId="137F55C4">
      <w:pPr>
        <w:pStyle w:val="3"/>
        <w:keepNext/>
        <w:pageBreakBefore w:val="0"/>
        <w:widowControl w:val="0"/>
        <w:kinsoku/>
        <w:wordWrap/>
        <w:overflowPunct/>
        <w:topLinePunct w:val="0"/>
        <w:autoSpaceDE/>
        <w:autoSpaceDN/>
        <w:bidi w:val="0"/>
        <w:adjustRightInd w:val="0"/>
        <w:spacing w:beforeLines="0" w:afterLines="0" w:line="360" w:lineRule="auto"/>
        <w:textAlignment w:val="baseline"/>
        <w:rPr>
          <w:rFonts w:hint="default" w:ascii="Times New Roman" w:hAnsi="Times New Roman" w:eastAsia="宋体"/>
          <w:color w:val="auto"/>
          <w:sz w:val="28"/>
          <w:szCs w:val="28"/>
          <w:highlight w:val="none"/>
        </w:rPr>
      </w:pPr>
      <w:r>
        <w:rPr>
          <w:rFonts w:hint="default" w:ascii="Times New Roman" w:hAnsi="Times New Roman" w:eastAsia="宋体"/>
          <w:color w:val="auto"/>
          <w:sz w:val="28"/>
          <w:szCs w:val="28"/>
          <w:highlight w:val="none"/>
        </w:rPr>
        <w:t>2</w:t>
      </w:r>
      <w:bookmarkStart w:id="154" w:name="_Hlt41297378"/>
      <w:bookmarkEnd w:id="154"/>
      <w:bookmarkStart w:id="155" w:name="_Hlt41297299"/>
      <w:bookmarkEnd w:id="155"/>
      <w:r>
        <w:rPr>
          <w:rFonts w:hint="default" w:ascii="Times New Roman" w:hAnsi="Times New Roman" w:eastAsia="宋体"/>
          <w:color w:val="auto"/>
          <w:sz w:val="28"/>
          <w:szCs w:val="28"/>
          <w:highlight w:val="none"/>
        </w:rPr>
        <w:t>设计接口、供货范围</w:t>
      </w:r>
      <w:bookmarkEnd w:id="145"/>
      <w:bookmarkEnd w:id="146"/>
      <w:bookmarkEnd w:id="147"/>
      <w:bookmarkEnd w:id="148"/>
      <w:bookmarkEnd w:id="149"/>
      <w:bookmarkEnd w:id="150"/>
      <w:bookmarkEnd w:id="151"/>
      <w:bookmarkEnd w:id="152"/>
      <w:bookmarkEnd w:id="153"/>
    </w:p>
    <w:p w14:paraId="47C09A7E">
      <w:pPr>
        <w:pStyle w:val="176"/>
        <w:adjustRightInd w:val="0"/>
        <w:snapToGrid w:val="0"/>
        <w:spacing w:line="360" w:lineRule="auto"/>
        <w:ind w:firstLine="480" w:firstLineChars="200"/>
        <w:rPr>
          <w:rStyle w:val="54"/>
          <w:rFonts w:hint="eastAsia" w:ascii="Times New Roman" w:hAnsi="Times New Roman" w:eastAsia="宋体" w:cs="Times New Roman"/>
          <w:bCs/>
          <w:color w:val="auto"/>
          <w:sz w:val="24"/>
          <w:highlight w:val="none"/>
        </w:rPr>
      </w:pPr>
      <w:r>
        <w:rPr>
          <w:rStyle w:val="54"/>
          <w:rFonts w:hint="eastAsia" w:ascii="Times New Roman" w:hAnsi="Times New Roman" w:eastAsia="宋体" w:cs="宋体"/>
          <w:color w:val="auto"/>
          <w:sz w:val="24"/>
          <w:highlight w:val="none"/>
          <w:lang w:bidi="ar"/>
        </w:rPr>
        <w:t>本工程脱硫系统整体工艺包包括石灰石浆液</w:t>
      </w:r>
      <w:r>
        <w:rPr>
          <w:rStyle w:val="54"/>
          <w:rFonts w:hint="eastAsia" w:cs="宋体"/>
          <w:color w:val="auto"/>
          <w:sz w:val="24"/>
          <w:highlight w:val="none"/>
          <w:lang w:val="en-US" w:eastAsia="zh-CN" w:bidi="ar"/>
        </w:rPr>
        <w:t>输送</w:t>
      </w:r>
      <w:r>
        <w:rPr>
          <w:rStyle w:val="54"/>
          <w:rFonts w:hint="eastAsia" w:ascii="Times New Roman" w:hAnsi="Times New Roman" w:eastAsia="宋体" w:cs="宋体"/>
          <w:color w:val="auto"/>
          <w:sz w:val="24"/>
          <w:highlight w:val="none"/>
          <w:lang w:bidi="ar"/>
        </w:rPr>
        <w:t>系统、烟气系统</w:t>
      </w:r>
      <w:r>
        <w:rPr>
          <w:rStyle w:val="54"/>
          <w:rFonts w:hint="eastAsia" w:cs="宋体"/>
          <w:color w:val="auto"/>
          <w:sz w:val="24"/>
          <w:highlight w:val="none"/>
          <w:lang w:eastAsia="zh-CN" w:bidi="ar"/>
        </w:rPr>
        <w:t>、</w:t>
      </w:r>
      <w:r>
        <w:rPr>
          <w:rStyle w:val="54"/>
          <w:rFonts w:hint="eastAsia" w:cs="宋体"/>
          <w:color w:val="auto"/>
          <w:sz w:val="24"/>
          <w:highlight w:val="none"/>
          <w:lang w:val="en-US" w:eastAsia="zh-CN" w:bidi="ar"/>
        </w:rPr>
        <w:t>烟气监测系统</w:t>
      </w:r>
      <w:r>
        <w:rPr>
          <w:rStyle w:val="54"/>
          <w:rFonts w:hint="eastAsia" w:ascii="Times New Roman" w:hAnsi="Times New Roman" w:eastAsia="宋体" w:cs="宋体"/>
          <w:color w:val="auto"/>
          <w:sz w:val="24"/>
          <w:highlight w:val="none"/>
          <w:lang w:bidi="ar"/>
        </w:rPr>
        <w:t>、</w:t>
      </w:r>
      <w:r>
        <w:rPr>
          <w:rStyle w:val="54"/>
          <w:rFonts w:ascii="Times New Roman" w:hAnsi="Times New Roman" w:eastAsia="宋体" w:cs="Times New Roman"/>
          <w:color w:val="auto"/>
          <w:sz w:val="24"/>
          <w:highlight w:val="none"/>
          <w:lang w:bidi="ar"/>
        </w:rPr>
        <w:t>SO</w:t>
      </w:r>
      <w:r>
        <w:rPr>
          <w:rStyle w:val="54"/>
          <w:rFonts w:ascii="Times New Roman" w:hAnsi="Times New Roman" w:eastAsia="宋体" w:cs="Times New Roman"/>
          <w:color w:val="auto"/>
          <w:sz w:val="24"/>
          <w:highlight w:val="none"/>
          <w:vertAlign w:val="subscript"/>
          <w:lang w:bidi="ar"/>
        </w:rPr>
        <w:t>2</w:t>
      </w:r>
      <w:r>
        <w:rPr>
          <w:rStyle w:val="54"/>
          <w:rFonts w:hint="eastAsia" w:ascii="Times New Roman" w:hAnsi="Times New Roman" w:eastAsia="宋体" w:cs="宋体"/>
          <w:color w:val="auto"/>
          <w:sz w:val="24"/>
          <w:highlight w:val="none"/>
          <w:lang w:bidi="ar"/>
        </w:rPr>
        <w:t>吸收系统、</w:t>
      </w:r>
      <w:r>
        <w:rPr>
          <w:rStyle w:val="54"/>
          <w:rFonts w:hint="eastAsia" w:cs="宋体"/>
          <w:color w:val="auto"/>
          <w:sz w:val="24"/>
          <w:highlight w:val="none"/>
          <w:lang w:val="en-US" w:eastAsia="zh-CN" w:bidi="ar"/>
        </w:rPr>
        <w:t>高效除雾除尘系统、</w:t>
      </w:r>
      <w:r>
        <w:rPr>
          <w:rStyle w:val="54"/>
          <w:rFonts w:hint="eastAsia" w:ascii="Times New Roman" w:hAnsi="Times New Roman" w:eastAsia="宋体" w:cs="宋体"/>
          <w:color w:val="auto"/>
          <w:sz w:val="24"/>
          <w:highlight w:val="none"/>
          <w:lang w:bidi="ar"/>
        </w:rPr>
        <w:t>石膏脱水系统、浆液排放系统、脱硫废水</w:t>
      </w:r>
      <w:r>
        <w:rPr>
          <w:rStyle w:val="54"/>
          <w:rFonts w:hint="eastAsia" w:cs="宋体"/>
          <w:color w:val="auto"/>
          <w:sz w:val="24"/>
          <w:highlight w:val="none"/>
          <w:lang w:val="en-US" w:eastAsia="zh-CN" w:bidi="ar"/>
        </w:rPr>
        <w:t>三联箱</w:t>
      </w:r>
      <w:r>
        <w:rPr>
          <w:rStyle w:val="54"/>
          <w:rFonts w:hint="eastAsia" w:ascii="Times New Roman" w:hAnsi="Times New Roman" w:eastAsia="宋体" w:cs="宋体"/>
          <w:color w:val="auto"/>
          <w:sz w:val="24"/>
          <w:highlight w:val="none"/>
          <w:lang w:bidi="ar"/>
        </w:rPr>
        <w:t>处理系统、工艺水系统、压缩空气系统</w:t>
      </w:r>
      <w:r>
        <w:rPr>
          <w:rStyle w:val="54"/>
          <w:rFonts w:hint="eastAsia" w:cs="宋体"/>
          <w:color w:val="auto"/>
          <w:sz w:val="24"/>
          <w:highlight w:val="none"/>
          <w:lang w:eastAsia="zh-CN" w:bidi="ar"/>
        </w:rPr>
        <w:t>、</w:t>
      </w:r>
      <w:r>
        <w:rPr>
          <w:rStyle w:val="54"/>
          <w:rFonts w:hint="eastAsia" w:cs="宋体"/>
          <w:color w:val="auto"/>
          <w:sz w:val="24"/>
          <w:highlight w:val="none"/>
          <w:lang w:val="en-US" w:eastAsia="zh-CN" w:bidi="ar"/>
        </w:rPr>
        <w:t>脱硫非水三联箱处理系统</w:t>
      </w:r>
      <w:r>
        <w:rPr>
          <w:rStyle w:val="54"/>
          <w:rFonts w:hint="eastAsia" w:ascii="Times New Roman" w:hAnsi="Times New Roman" w:eastAsia="宋体" w:cs="宋体"/>
          <w:color w:val="auto"/>
          <w:sz w:val="24"/>
          <w:highlight w:val="none"/>
          <w:lang w:bidi="ar"/>
        </w:rPr>
        <w:t>等工艺系统及</w:t>
      </w:r>
      <w:r>
        <w:rPr>
          <w:rStyle w:val="54"/>
          <w:rFonts w:hint="eastAsia" w:ascii="Times New Roman" w:hAnsi="Times New Roman" w:eastAsia="宋体" w:cs="Times New Roman"/>
          <w:color w:val="auto"/>
          <w:sz w:val="24"/>
          <w:highlight w:val="none"/>
        </w:rPr>
        <w:t>配套电气、</w:t>
      </w:r>
      <w:r>
        <w:rPr>
          <w:rStyle w:val="54"/>
          <w:rFonts w:hint="eastAsia" w:cs="Times New Roman"/>
          <w:color w:val="auto"/>
          <w:sz w:val="24"/>
          <w:highlight w:val="none"/>
          <w:lang w:val="en-US" w:eastAsia="zh-CN"/>
        </w:rPr>
        <w:t>仪</w:t>
      </w:r>
      <w:r>
        <w:rPr>
          <w:rStyle w:val="54"/>
          <w:rFonts w:hint="eastAsia" w:ascii="Times New Roman" w:hAnsi="Times New Roman" w:eastAsia="宋体" w:cs="Times New Roman"/>
          <w:color w:val="auto"/>
          <w:sz w:val="24"/>
          <w:highlight w:val="none"/>
        </w:rPr>
        <w:t>控等部分</w:t>
      </w:r>
      <w:r>
        <w:rPr>
          <w:rStyle w:val="54"/>
          <w:rFonts w:ascii="Times New Roman" w:hAnsi="Times New Roman" w:eastAsia="宋体" w:cs="Times New Roman"/>
          <w:color w:val="auto"/>
          <w:sz w:val="24"/>
          <w:highlight w:val="none"/>
        </w:rPr>
        <w:t>。</w:t>
      </w:r>
      <w:r>
        <w:rPr>
          <w:rStyle w:val="54"/>
          <w:rFonts w:hint="eastAsia" w:ascii="Times New Roman" w:hAnsi="Times New Roman" w:eastAsia="宋体" w:cs="Times New Roman"/>
          <w:color w:val="auto"/>
          <w:sz w:val="24"/>
          <w:highlight w:val="none"/>
        </w:rPr>
        <w:t>烟气系统</w:t>
      </w:r>
      <w:r>
        <w:rPr>
          <w:rStyle w:val="54"/>
          <w:rFonts w:hint="eastAsia" w:ascii="宋体" w:hAnsi="宋体" w:eastAsia="宋体" w:cs="宋体"/>
          <w:snapToGrid w:val="0"/>
          <w:color w:val="auto"/>
          <w:kern w:val="28"/>
          <w:sz w:val="24"/>
          <w:szCs w:val="24"/>
          <w:highlight w:val="none"/>
          <w:lang w:val="en-US" w:eastAsia="zh-CN" w:bidi="ar-SA"/>
        </w:rPr>
        <w:t>为引风机出口补偿器（不含补偿器）至烟囱东侧#3炉水平烟末端（含新增插板门改造）</w:t>
      </w:r>
      <w:r>
        <w:rPr>
          <w:rStyle w:val="54"/>
          <w:rFonts w:hint="eastAsia" w:ascii="Times New Roman" w:hAnsi="Times New Roman" w:eastAsia="宋体" w:cs="Times New Roman"/>
          <w:bCs/>
          <w:color w:val="auto"/>
          <w:sz w:val="24"/>
          <w:highlight w:val="none"/>
        </w:rPr>
        <w:t>的所有系统。</w:t>
      </w:r>
    </w:p>
    <w:p w14:paraId="60217EDC">
      <w:pPr>
        <w:pStyle w:val="4"/>
        <w:keepNext/>
        <w:pageBreakBefore w:val="0"/>
        <w:widowControl w:val="0"/>
        <w:kinsoku/>
        <w:wordWrap/>
        <w:overflowPunct/>
        <w:topLinePunct w:val="0"/>
        <w:autoSpaceDE/>
        <w:autoSpaceDN/>
        <w:bidi w:val="0"/>
        <w:adjustRightInd w:val="0"/>
        <w:spacing w:line="360" w:lineRule="auto"/>
        <w:textAlignment w:val="baseline"/>
        <w:rPr>
          <w:rFonts w:ascii="Times New Roman"/>
          <w:bCs/>
          <w:color w:val="auto"/>
          <w:szCs w:val="24"/>
          <w:highlight w:val="none"/>
        </w:rPr>
      </w:pPr>
      <w:bookmarkStart w:id="156" w:name="_Toc31810"/>
      <w:r>
        <w:rPr>
          <w:rFonts w:ascii="Times New Roman"/>
          <w:bCs/>
          <w:color w:val="auto"/>
          <w:szCs w:val="24"/>
          <w:highlight w:val="none"/>
        </w:rPr>
        <w:t>2.1工艺设计接口及供货</w:t>
      </w:r>
      <w:r>
        <w:rPr>
          <w:rFonts w:hint="eastAsia" w:ascii="Times New Roman"/>
          <w:bCs/>
          <w:color w:val="auto"/>
          <w:szCs w:val="24"/>
          <w:highlight w:val="none"/>
          <w:lang w:eastAsia="zh-CN"/>
        </w:rPr>
        <w:t>、</w:t>
      </w:r>
      <w:r>
        <w:rPr>
          <w:rFonts w:hint="eastAsia" w:ascii="Times New Roman"/>
          <w:bCs/>
          <w:color w:val="auto"/>
          <w:szCs w:val="24"/>
          <w:highlight w:val="none"/>
          <w:lang w:val="en-US" w:eastAsia="zh-CN"/>
        </w:rPr>
        <w:t>施工</w:t>
      </w:r>
      <w:r>
        <w:rPr>
          <w:rFonts w:ascii="Times New Roman"/>
          <w:bCs/>
          <w:color w:val="auto"/>
          <w:szCs w:val="24"/>
          <w:highlight w:val="none"/>
        </w:rPr>
        <w:t>范围</w:t>
      </w:r>
      <w:bookmarkEnd w:id="156"/>
    </w:p>
    <w:p w14:paraId="102AD615">
      <w:pPr>
        <w:pStyle w:val="4"/>
        <w:keepLines w:val="0"/>
        <w:pageBreakBefore w:val="0"/>
        <w:widowControl w:val="0"/>
        <w:numPr>
          <w:ilvl w:val="2"/>
          <w:numId w:val="18"/>
        </w:numPr>
        <w:tabs>
          <w:tab w:val="clear" w:pos="600"/>
        </w:tabs>
        <w:kinsoku/>
        <w:wordWrap/>
        <w:overflowPunct/>
        <w:topLinePunct w:val="0"/>
        <w:autoSpaceDE/>
        <w:autoSpaceDN/>
        <w:bidi w:val="0"/>
        <w:snapToGrid/>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工艺设计接口</w:t>
      </w:r>
    </w:p>
    <w:p w14:paraId="7EDA7796">
      <w:pPr>
        <w:keepLines w:val="0"/>
        <w:pageBreakBefore w:val="0"/>
        <w:widowControl w:val="0"/>
        <w:kinsoku/>
        <w:wordWrap/>
        <w:overflowPunct/>
        <w:topLinePunct w:val="0"/>
        <w:autoSpaceDE/>
        <w:autoSpaceDN/>
        <w:bidi w:val="0"/>
        <w:snapToGrid/>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2.1.1.1烟气系统</w:t>
      </w:r>
    </w:p>
    <w:p w14:paraId="1788C038">
      <w:pPr>
        <w:spacing w:line="360" w:lineRule="auto"/>
        <w:ind w:firstLine="480" w:firstLineChars="200"/>
        <w:rPr>
          <w:rStyle w:val="54"/>
          <w:rFonts w:hint="eastAsia" w:ascii="Times New Roman" w:hAnsi="Times New Roman" w:eastAsia="宋体" w:cs="宋体"/>
          <w:snapToGrid/>
          <w:color w:val="auto"/>
          <w:kern w:val="2"/>
          <w:sz w:val="24"/>
          <w:szCs w:val="24"/>
          <w:highlight w:val="none"/>
          <w:lang w:val="en-US" w:eastAsia="zh-CN" w:bidi="ar"/>
        </w:rPr>
      </w:pPr>
      <w:r>
        <w:rPr>
          <w:rStyle w:val="54"/>
          <w:rFonts w:hint="eastAsia" w:ascii="Times New Roman" w:hAnsi="Times New Roman" w:eastAsia="宋体" w:cs="宋体"/>
          <w:snapToGrid/>
          <w:color w:val="auto"/>
          <w:kern w:val="2"/>
          <w:sz w:val="24"/>
          <w:szCs w:val="24"/>
          <w:highlight w:val="none"/>
          <w:lang w:val="en-US" w:eastAsia="zh-CN" w:bidi="ar"/>
        </w:rPr>
        <w:t>进口：引风机出口烟道补偿器（</w:t>
      </w:r>
      <w:r>
        <w:rPr>
          <w:rStyle w:val="54"/>
          <w:rFonts w:hint="eastAsia" w:ascii="Times New Roman" w:hAnsi="Times New Roman" w:eastAsia="宋体" w:cs="宋体"/>
          <w:bCs w:val="0"/>
          <w:color w:val="auto"/>
          <w:sz w:val="24"/>
          <w:highlight w:val="none"/>
          <w:shd w:val="clear"/>
          <w:lang w:bidi="ar"/>
        </w:rPr>
        <w:t>不含膨胀节、法兰及反法兰</w:t>
      </w:r>
      <w:r>
        <w:rPr>
          <w:rStyle w:val="54"/>
          <w:rFonts w:hint="eastAsia" w:ascii="Times New Roman" w:hAnsi="Times New Roman" w:eastAsia="宋体" w:cs="宋体"/>
          <w:snapToGrid/>
          <w:color w:val="auto"/>
          <w:kern w:val="2"/>
          <w:sz w:val="24"/>
          <w:szCs w:val="24"/>
          <w:highlight w:val="none"/>
          <w:lang w:val="en-US" w:eastAsia="zh-CN" w:bidi="ar"/>
        </w:rPr>
        <w:t>）</w:t>
      </w:r>
    </w:p>
    <w:p w14:paraId="12D2E5DC">
      <w:pPr>
        <w:spacing w:line="360" w:lineRule="auto"/>
        <w:ind w:firstLine="480" w:firstLineChars="200"/>
        <w:rPr>
          <w:rStyle w:val="54"/>
          <w:rFonts w:hint="eastAsia" w:ascii="Times New Roman" w:hAnsi="Times New Roman" w:cs="宋体"/>
          <w:snapToGrid/>
          <w:color w:val="auto"/>
          <w:kern w:val="2"/>
          <w:sz w:val="24"/>
          <w:highlight w:val="none"/>
          <w:lang w:bidi="ar"/>
        </w:rPr>
      </w:pPr>
      <w:r>
        <w:rPr>
          <w:rStyle w:val="54"/>
          <w:rFonts w:hint="eastAsia" w:ascii="Times New Roman" w:hAnsi="Times New Roman" w:eastAsia="宋体" w:cs="宋体"/>
          <w:snapToGrid/>
          <w:color w:val="auto"/>
          <w:kern w:val="2"/>
          <w:sz w:val="24"/>
          <w:szCs w:val="24"/>
          <w:highlight w:val="none"/>
          <w:lang w:val="en-US" w:eastAsia="zh-CN" w:bidi="ar"/>
        </w:rPr>
        <w:t>出口：至烟囱东侧#3炉水平烟末端（含新增插板门及改造、防腐）</w:t>
      </w:r>
      <w:r>
        <w:rPr>
          <w:rStyle w:val="54"/>
          <w:rFonts w:hint="eastAsia" w:ascii="Times New Roman" w:hAnsi="Times New Roman" w:cs="宋体"/>
          <w:snapToGrid/>
          <w:color w:val="auto"/>
          <w:kern w:val="2"/>
          <w:sz w:val="24"/>
          <w:highlight w:val="none"/>
          <w:lang w:bidi="ar"/>
        </w:rPr>
        <w:t>吸收塔入口烟道需预留脱硫废水浓缩系统烟道接口（进、出口）。</w:t>
      </w:r>
    </w:p>
    <w:p w14:paraId="5B9331E5">
      <w:pPr>
        <w:spacing w:line="360" w:lineRule="auto"/>
        <w:ind w:firstLine="0" w:firstLineChars="0"/>
        <w:rPr>
          <w:rStyle w:val="54"/>
          <w:rFonts w:hint="eastAsia" w:ascii="Times New Roman" w:hAnsi="Times New Roman" w:cs="宋体"/>
          <w:snapToGrid/>
          <w:color w:val="auto"/>
          <w:kern w:val="2"/>
          <w:sz w:val="24"/>
          <w:highlight w:val="none"/>
          <w:lang w:bidi="ar"/>
        </w:rPr>
      </w:pPr>
      <w:r>
        <w:rPr>
          <w:rStyle w:val="54"/>
          <w:rFonts w:hint="eastAsia" w:ascii="Times New Roman" w:hAnsi="Times New Roman" w:cs="宋体"/>
          <w:snapToGrid/>
          <w:color w:val="auto"/>
          <w:kern w:val="2"/>
          <w:sz w:val="24"/>
          <w:highlight w:val="none"/>
          <w:lang w:bidi="ar"/>
        </w:rPr>
        <w:t>2.1.1.2石灰石浆液及输送系统；</w:t>
      </w:r>
    </w:p>
    <w:p w14:paraId="52335904">
      <w:pPr>
        <w:adjustRightInd w:val="0"/>
        <w:snapToGrid w:val="0"/>
        <w:spacing w:line="360" w:lineRule="auto"/>
        <w:ind w:firstLine="480" w:firstLineChars="200"/>
        <w:rPr>
          <w:rStyle w:val="54"/>
          <w:rFonts w:hint="eastAsia" w:ascii="Times New Roman" w:hAnsi="Times New Roman" w:cs="宋体"/>
          <w:snapToGrid/>
          <w:color w:val="auto"/>
          <w:kern w:val="2"/>
          <w:sz w:val="24"/>
          <w:highlight w:val="none"/>
          <w:lang w:bidi="ar"/>
        </w:rPr>
      </w:pPr>
      <w:r>
        <w:rPr>
          <w:rStyle w:val="54"/>
          <w:rFonts w:hint="eastAsia" w:ascii="Times New Roman" w:hAnsi="Times New Roman" w:cs="宋体"/>
          <w:snapToGrid/>
          <w:color w:val="auto"/>
          <w:kern w:val="2"/>
          <w:sz w:val="24"/>
          <w:highlight w:val="none"/>
          <w:lang w:bidi="ar"/>
        </w:rPr>
        <w:t>进口：浆液箱接口（含接口改造），原有石灰石粉仓及浆液箱利旧。</w:t>
      </w:r>
    </w:p>
    <w:p w14:paraId="672966B0">
      <w:pPr>
        <w:adjustRightInd w:val="0"/>
        <w:snapToGrid w:val="0"/>
        <w:spacing w:line="360" w:lineRule="auto"/>
        <w:ind w:firstLine="480" w:firstLineChars="200"/>
        <w:rPr>
          <w:rStyle w:val="54"/>
          <w:rFonts w:hint="eastAsia" w:ascii="Times New Roman" w:hAnsi="Times New Roman" w:cs="宋体"/>
          <w:snapToGrid/>
          <w:color w:val="auto"/>
          <w:kern w:val="2"/>
          <w:sz w:val="24"/>
          <w:highlight w:val="none"/>
          <w:lang w:bidi="ar"/>
        </w:rPr>
      </w:pPr>
      <w:r>
        <w:rPr>
          <w:rStyle w:val="54"/>
          <w:rFonts w:hint="eastAsia" w:ascii="Times New Roman" w:hAnsi="Times New Roman" w:cs="宋体"/>
          <w:snapToGrid/>
          <w:color w:val="auto"/>
          <w:kern w:val="2"/>
          <w:sz w:val="24"/>
          <w:highlight w:val="none"/>
          <w:lang w:bidi="ar"/>
        </w:rPr>
        <w:t>出口：至本项目吸收塔。</w:t>
      </w:r>
    </w:p>
    <w:p w14:paraId="0EE657A8">
      <w:pPr>
        <w:adjustRightInd w:val="0"/>
        <w:snapToGrid w:val="0"/>
        <w:spacing w:line="360" w:lineRule="auto"/>
        <w:ind w:firstLine="0" w:firstLineChars="0"/>
        <w:rPr>
          <w:rStyle w:val="54"/>
          <w:rFonts w:hint="eastAsia" w:ascii="Times New Roman" w:hAnsi="Times New Roman" w:cs="宋体"/>
          <w:snapToGrid/>
          <w:color w:val="auto"/>
          <w:kern w:val="2"/>
          <w:sz w:val="24"/>
          <w:highlight w:val="none"/>
          <w:lang w:bidi="ar"/>
        </w:rPr>
      </w:pPr>
      <w:r>
        <w:rPr>
          <w:rStyle w:val="54"/>
          <w:rFonts w:hint="eastAsia" w:ascii="Times New Roman" w:hAnsi="Times New Roman" w:cs="宋体"/>
          <w:snapToGrid/>
          <w:color w:val="auto"/>
          <w:kern w:val="2"/>
          <w:sz w:val="24"/>
          <w:highlight w:val="none"/>
          <w:lang w:bidi="ar"/>
        </w:rPr>
        <w:t>2.1.1.3工艺水系统：</w:t>
      </w:r>
    </w:p>
    <w:p w14:paraId="41B1A4AE">
      <w:pPr>
        <w:spacing w:line="360" w:lineRule="auto"/>
        <w:ind w:firstLine="480" w:firstLineChars="200"/>
        <w:rPr>
          <w:rStyle w:val="54"/>
          <w:rFonts w:hint="eastAsia" w:ascii="Times New Roman" w:hAnsi="Times New Roman" w:cs="宋体"/>
          <w:snapToGrid/>
          <w:color w:val="auto"/>
          <w:kern w:val="2"/>
          <w:sz w:val="24"/>
          <w:highlight w:val="none"/>
          <w:lang w:bidi="ar"/>
        </w:rPr>
      </w:pPr>
      <w:r>
        <w:rPr>
          <w:rStyle w:val="54"/>
          <w:rFonts w:hint="eastAsia" w:ascii="Times New Roman" w:hAnsi="Times New Roman" w:cs="宋体"/>
          <w:snapToGrid/>
          <w:color w:val="auto"/>
          <w:kern w:val="2"/>
          <w:sz w:val="24"/>
          <w:highlight w:val="none"/>
          <w:lang w:bidi="ar"/>
        </w:rPr>
        <w:t>进口接口：脱硫岛外1m。</w:t>
      </w:r>
    </w:p>
    <w:p w14:paraId="5D4643D5">
      <w:pPr>
        <w:adjustRightInd w:val="0"/>
        <w:ind w:firstLine="0" w:firstLineChars="0"/>
        <w:rPr>
          <w:rStyle w:val="54"/>
          <w:rFonts w:hint="eastAsia" w:ascii="Times New Roman" w:hAnsi="Times New Roman" w:cs="宋体"/>
          <w:snapToGrid/>
          <w:color w:val="auto"/>
          <w:kern w:val="2"/>
          <w:sz w:val="24"/>
          <w:highlight w:val="none"/>
          <w:lang w:bidi="ar"/>
        </w:rPr>
      </w:pPr>
      <w:r>
        <w:rPr>
          <w:rStyle w:val="54"/>
          <w:rFonts w:hint="eastAsia" w:ascii="Times New Roman" w:hAnsi="Times New Roman" w:cs="宋体"/>
          <w:snapToGrid/>
          <w:color w:val="auto"/>
          <w:kern w:val="2"/>
          <w:sz w:val="24"/>
          <w:highlight w:val="none"/>
          <w:lang w:bidi="ar"/>
        </w:rPr>
        <w:t>2.1.1.4石膏脱水系统</w:t>
      </w:r>
    </w:p>
    <w:p w14:paraId="79A85645">
      <w:pPr>
        <w:adjustRightInd w:val="0"/>
        <w:snapToGrid w:val="0"/>
        <w:spacing w:line="360" w:lineRule="auto"/>
        <w:ind w:firstLine="480" w:firstLineChars="200"/>
        <w:rPr>
          <w:rStyle w:val="54"/>
          <w:rFonts w:hint="eastAsia" w:ascii="Times New Roman" w:hAnsi="Times New Roman" w:cs="宋体"/>
          <w:snapToGrid/>
          <w:color w:val="auto"/>
          <w:kern w:val="2"/>
          <w:sz w:val="24"/>
          <w:highlight w:val="none"/>
          <w:lang w:bidi="ar"/>
        </w:rPr>
      </w:pPr>
      <w:r>
        <w:rPr>
          <w:rStyle w:val="54"/>
          <w:rFonts w:hint="eastAsia" w:ascii="Times New Roman" w:hAnsi="Times New Roman" w:cs="宋体"/>
          <w:snapToGrid/>
          <w:color w:val="auto"/>
          <w:kern w:val="2"/>
          <w:sz w:val="24"/>
          <w:highlight w:val="none"/>
          <w:lang w:bidi="ar"/>
        </w:rPr>
        <w:t>原一期石膏脱水系统作为新建石膏脱水系统备用，接口为原有石膏旋流器进口（含接口改造）。</w:t>
      </w:r>
    </w:p>
    <w:p w14:paraId="0AB4A550">
      <w:pPr>
        <w:adjustRightInd w:val="0"/>
        <w:snapToGrid w:val="0"/>
        <w:spacing w:line="360" w:lineRule="auto"/>
        <w:ind w:firstLine="0" w:firstLineChars="0"/>
        <w:rPr>
          <w:rStyle w:val="54"/>
          <w:rFonts w:hint="eastAsia" w:ascii="Times New Roman" w:hAnsi="Times New Roman" w:cs="宋体"/>
          <w:snapToGrid/>
          <w:color w:val="auto"/>
          <w:kern w:val="2"/>
          <w:sz w:val="24"/>
          <w:highlight w:val="none"/>
          <w:lang w:bidi="ar"/>
        </w:rPr>
      </w:pPr>
      <w:r>
        <w:rPr>
          <w:rStyle w:val="54"/>
          <w:rFonts w:hint="eastAsia" w:ascii="Times New Roman" w:hAnsi="Times New Roman" w:cs="宋体"/>
          <w:snapToGrid/>
          <w:color w:val="auto"/>
          <w:kern w:val="2"/>
          <w:sz w:val="24"/>
          <w:highlight w:val="none"/>
          <w:lang w:bidi="ar"/>
        </w:rPr>
        <w:t>2.1.1.5浆液疏放系统</w:t>
      </w:r>
    </w:p>
    <w:p w14:paraId="394B6C7A">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Style w:val="54"/>
          <w:rFonts w:hint="eastAsia" w:cs="宋体"/>
          <w:snapToGrid/>
          <w:color w:val="auto"/>
          <w:kern w:val="2"/>
          <w:sz w:val="24"/>
          <w:highlight w:val="none"/>
          <w:lang w:bidi="ar"/>
        </w:rPr>
      </w:pPr>
      <w:r>
        <w:rPr>
          <w:rStyle w:val="54"/>
          <w:rFonts w:hint="eastAsia" w:ascii="Times New Roman" w:hAnsi="Times New Roman" w:cs="宋体"/>
          <w:snapToGrid/>
          <w:color w:val="auto"/>
          <w:kern w:val="2"/>
          <w:sz w:val="24"/>
          <w:highlight w:val="none"/>
          <w:lang w:bidi="ar"/>
        </w:rPr>
        <w:t>出口：原一期事故浆液箱入口（事故浆液箱320m3利旧,容量不足由新建地坑考虑）。</w:t>
      </w:r>
    </w:p>
    <w:p w14:paraId="4BBA3854">
      <w:pPr>
        <w:keepNext w:val="0"/>
        <w:keepLines w:val="0"/>
        <w:pageBreakBefore w:val="0"/>
        <w:widowControl/>
        <w:suppressLineNumbers w:val="0"/>
        <w:kinsoku/>
        <w:wordWrap/>
        <w:overflowPunct/>
        <w:topLinePunct w:val="0"/>
        <w:autoSpaceDE/>
        <w:autoSpaceDN/>
        <w:bidi w:val="0"/>
        <w:spacing w:line="360" w:lineRule="auto"/>
        <w:ind w:firstLine="480"/>
        <w:jc w:val="left"/>
        <w:textAlignment w:val="auto"/>
        <w:rPr>
          <w:rStyle w:val="54"/>
          <w:rFonts w:hint="eastAsia" w:ascii="Times New Roman" w:hAnsi="Times New Roman"/>
          <w:color w:val="auto"/>
          <w:kern w:val="2"/>
          <w:sz w:val="24"/>
          <w:szCs w:val="24"/>
          <w:highlight w:val="none"/>
        </w:rPr>
      </w:pPr>
      <w:r>
        <w:rPr>
          <w:rStyle w:val="54"/>
          <w:rFonts w:hint="eastAsia" w:cs="宋体"/>
          <w:snapToGrid/>
          <w:color w:val="auto"/>
          <w:kern w:val="2"/>
          <w:sz w:val="24"/>
          <w:highlight w:val="none"/>
          <w:lang w:bidi="ar"/>
        </w:rPr>
        <w:t>进口：事故浆液泵出口（含接口改造）</w:t>
      </w:r>
    </w:p>
    <w:p w14:paraId="7F78723A">
      <w:pPr>
        <w:keepNext w:val="0"/>
        <w:keepLines w:val="0"/>
        <w:pageBreakBefore w:val="0"/>
        <w:kinsoku/>
        <w:wordWrap/>
        <w:overflowPunct/>
        <w:topLinePunct w:val="0"/>
        <w:autoSpaceDE/>
        <w:autoSpaceDN/>
        <w:bidi w:val="0"/>
        <w:adjustRightInd w:val="0"/>
        <w:snapToGrid w:val="0"/>
        <w:spacing w:line="360" w:lineRule="auto"/>
        <w:textAlignment w:val="auto"/>
        <w:rPr>
          <w:color w:val="auto"/>
          <w:sz w:val="24"/>
          <w:highlight w:val="none"/>
        </w:rPr>
      </w:pPr>
      <w:r>
        <w:rPr>
          <w:color w:val="auto"/>
          <w:sz w:val="24"/>
          <w:highlight w:val="none"/>
        </w:rPr>
        <w:t>2.1.1.</w:t>
      </w:r>
      <w:r>
        <w:rPr>
          <w:rFonts w:hint="eastAsia"/>
          <w:color w:val="auto"/>
          <w:sz w:val="24"/>
          <w:highlight w:val="none"/>
          <w:lang w:val="en-US" w:eastAsia="zh-CN"/>
        </w:rPr>
        <w:t>6</w:t>
      </w:r>
      <w:r>
        <w:rPr>
          <w:color w:val="auto"/>
          <w:sz w:val="24"/>
          <w:highlight w:val="none"/>
        </w:rPr>
        <w:t>仪用及厂用气：</w:t>
      </w:r>
    </w:p>
    <w:p w14:paraId="1C8F6340">
      <w:pPr>
        <w:spacing w:line="360" w:lineRule="auto"/>
        <w:ind w:firstLine="480" w:firstLineChars="200"/>
        <w:rPr>
          <w:color w:val="auto"/>
          <w:sz w:val="24"/>
          <w:highlight w:val="none"/>
        </w:rPr>
      </w:pPr>
      <w:r>
        <w:rPr>
          <w:rFonts w:hint="eastAsia"/>
          <w:color w:val="auto"/>
          <w:sz w:val="24"/>
          <w:szCs w:val="24"/>
          <w:highlight w:val="none"/>
          <w:lang w:val="en-US" w:eastAsia="zh-CN"/>
        </w:rPr>
        <w:t>进口接口：</w:t>
      </w:r>
      <w:r>
        <w:rPr>
          <w:rFonts w:hint="eastAsia"/>
          <w:color w:val="auto"/>
          <w:sz w:val="24"/>
          <w:szCs w:val="24"/>
          <w:highlight w:val="none"/>
        </w:rPr>
        <w:t>脱硫岛外1m。</w:t>
      </w:r>
    </w:p>
    <w:p w14:paraId="4B36D858">
      <w:pPr>
        <w:adjustRightInd w:val="0"/>
        <w:snapToGrid w:val="0"/>
        <w:spacing w:line="360" w:lineRule="auto"/>
        <w:rPr>
          <w:color w:val="auto"/>
          <w:sz w:val="24"/>
          <w:highlight w:val="none"/>
        </w:rPr>
      </w:pPr>
      <w:r>
        <w:rPr>
          <w:color w:val="auto"/>
          <w:sz w:val="24"/>
          <w:highlight w:val="none"/>
        </w:rPr>
        <w:t>2.1.1.</w:t>
      </w:r>
      <w:r>
        <w:rPr>
          <w:rFonts w:hint="eastAsia"/>
          <w:color w:val="auto"/>
          <w:sz w:val="24"/>
          <w:highlight w:val="none"/>
          <w:lang w:val="en-US" w:eastAsia="zh-CN"/>
        </w:rPr>
        <w:t>7</w:t>
      </w:r>
      <w:r>
        <w:rPr>
          <w:rFonts w:hint="eastAsia"/>
          <w:color w:val="auto"/>
          <w:sz w:val="24"/>
          <w:highlight w:val="none"/>
        </w:rPr>
        <w:t>脱硫</w:t>
      </w:r>
      <w:r>
        <w:rPr>
          <w:color w:val="auto"/>
          <w:sz w:val="24"/>
          <w:highlight w:val="none"/>
        </w:rPr>
        <w:t>废水</w:t>
      </w:r>
      <w:r>
        <w:rPr>
          <w:rFonts w:hint="eastAsia"/>
          <w:color w:val="auto"/>
          <w:sz w:val="24"/>
          <w:highlight w:val="none"/>
          <w:lang w:val="en-US" w:eastAsia="zh-CN"/>
        </w:rPr>
        <w:t>系统</w:t>
      </w:r>
      <w:r>
        <w:rPr>
          <w:color w:val="auto"/>
          <w:sz w:val="24"/>
          <w:highlight w:val="none"/>
        </w:rPr>
        <w:t>：</w:t>
      </w:r>
    </w:p>
    <w:p w14:paraId="24227DF1">
      <w:pPr>
        <w:widowControl/>
        <w:adjustRightInd/>
        <w:snapToGrid/>
        <w:spacing w:line="360" w:lineRule="auto"/>
        <w:ind w:firstLine="480" w:firstLineChars="0"/>
        <w:jc w:val="left"/>
        <w:rPr>
          <w:rStyle w:val="54"/>
          <w:rFonts w:hint="eastAsia" w:cs="宋体"/>
          <w:color w:val="auto"/>
          <w:sz w:val="24"/>
          <w:highlight w:val="none"/>
          <w:lang w:bidi="ar"/>
        </w:rPr>
      </w:pPr>
      <w:r>
        <w:rPr>
          <w:rStyle w:val="54"/>
          <w:rFonts w:hint="eastAsia" w:cs="宋体"/>
          <w:color w:val="auto"/>
          <w:sz w:val="24"/>
          <w:highlight w:val="none"/>
          <w:lang w:bidi="ar"/>
        </w:rPr>
        <w:t>进口：原一期脱硫废水管经过石灰石浆液箱附近开口(含开口改造）</w:t>
      </w:r>
    </w:p>
    <w:p w14:paraId="1E66008B">
      <w:pPr>
        <w:widowControl/>
        <w:adjustRightInd/>
        <w:snapToGrid/>
        <w:spacing w:line="360" w:lineRule="auto"/>
        <w:ind w:firstLine="480" w:firstLineChars="0"/>
        <w:jc w:val="left"/>
        <w:rPr>
          <w:rStyle w:val="54"/>
          <w:rFonts w:hint="eastAsia" w:cs="宋体"/>
          <w:color w:val="auto"/>
          <w:sz w:val="24"/>
          <w:highlight w:val="none"/>
          <w:lang w:bidi="ar"/>
        </w:rPr>
      </w:pPr>
      <w:r>
        <w:rPr>
          <w:rStyle w:val="54"/>
          <w:rFonts w:hint="eastAsia" w:cs="宋体"/>
          <w:color w:val="auto"/>
          <w:sz w:val="24"/>
          <w:highlight w:val="none"/>
          <w:lang w:bidi="ar"/>
        </w:rPr>
        <w:t>出口：废水清水箱预留接口（含法兰、密封件、螺栓）</w:t>
      </w:r>
    </w:p>
    <w:p w14:paraId="41CF3558">
      <w:pPr>
        <w:widowControl/>
        <w:adjustRightInd/>
        <w:snapToGrid/>
        <w:spacing w:line="360" w:lineRule="auto"/>
        <w:ind w:firstLine="0" w:firstLineChars="0"/>
        <w:jc w:val="left"/>
        <w:rPr>
          <w:rStyle w:val="54"/>
          <w:rFonts w:hint="eastAsia" w:cs="宋体"/>
          <w:color w:val="auto"/>
          <w:sz w:val="24"/>
          <w:highlight w:val="none"/>
          <w:lang w:bidi="ar"/>
        </w:rPr>
      </w:pPr>
      <w:r>
        <w:rPr>
          <w:rStyle w:val="54"/>
          <w:rFonts w:hint="eastAsia" w:cs="宋体"/>
          <w:color w:val="auto"/>
          <w:sz w:val="24"/>
          <w:highlight w:val="none"/>
          <w:lang w:bidi="ar"/>
        </w:rPr>
        <w:t>2.1.1.8厂用电中断事故喷淋系统:</w:t>
      </w:r>
    </w:p>
    <w:p w14:paraId="024B80B4">
      <w:pPr>
        <w:widowControl/>
        <w:adjustRightInd/>
        <w:snapToGrid/>
        <w:spacing w:line="360" w:lineRule="auto"/>
        <w:ind w:firstLine="480"/>
        <w:jc w:val="left"/>
        <w:rPr>
          <w:rStyle w:val="54"/>
          <w:rFonts w:hint="eastAsia" w:cs="宋体"/>
          <w:color w:val="auto"/>
          <w:sz w:val="24"/>
          <w:highlight w:val="none"/>
          <w:lang w:bidi="ar"/>
        </w:rPr>
      </w:pPr>
      <w:r>
        <w:rPr>
          <w:rStyle w:val="54"/>
          <w:rFonts w:hint="eastAsia" w:cs="宋体"/>
          <w:color w:val="auto"/>
          <w:sz w:val="24"/>
          <w:highlight w:val="none"/>
          <w:lang w:bidi="ar"/>
        </w:rPr>
        <w:t xml:space="preserve">  进口接口：#3吸收塔入口处事故喷淋水系统母管</w:t>
      </w:r>
    </w:p>
    <w:p w14:paraId="6D32535C">
      <w:pPr>
        <w:widowControl w:val="0"/>
        <w:adjustRightInd w:val="0"/>
        <w:snapToGrid w:val="0"/>
        <w:spacing w:line="360" w:lineRule="auto"/>
        <w:ind w:firstLine="0" w:firstLineChars="0"/>
        <w:jc w:val="left"/>
        <w:rPr>
          <w:rFonts w:hint="eastAsia" w:cs="Times New Roman"/>
          <w:color w:val="auto"/>
          <w:sz w:val="24"/>
          <w:highlight w:val="none"/>
          <w:lang w:bidi="ar"/>
        </w:rPr>
      </w:pPr>
      <w:r>
        <w:rPr>
          <w:rFonts w:hint="eastAsia" w:cs="Times New Roman"/>
          <w:color w:val="auto"/>
          <w:sz w:val="24"/>
          <w:highlight w:val="none"/>
          <w:lang w:bidi="ar"/>
        </w:rPr>
        <w:t>2.1.1.9 吸收塔除尘除雾系统：</w:t>
      </w:r>
    </w:p>
    <w:p w14:paraId="3E2D29A6">
      <w:pPr>
        <w:adjustRightInd w:val="0"/>
        <w:snapToGrid w:val="0"/>
        <w:spacing w:line="360" w:lineRule="auto"/>
        <w:ind w:firstLine="480" w:firstLineChars="200"/>
        <w:rPr>
          <w:rFonts w:hint="eastAsia" w:ascii="Times New Roman" w:hAnsi="Times New Roman" w:eastAsia="宋体" w:cs="Times New Roman"/>
          <w:snapToGrid/>
          <w:color w:val="auto"/>
          <w:kern w:val="2"/>
          <w:sz w:val="24"/>
          <w:szCs w:val="24"/>
          <w:highlight w:val="none"/>
          <w:lang w:val="en-US" w:eastAsia="zh-CN" w:bidi="ar"/>
        </w:rPr>
      </w:pPr>
      <w:r>
        <w:rPr>
          <w:rFonts w:hint="eastAsia" w:ascii="Times New Roman" w:hAnsi="Times New Roman" w:cs="Times New Roman"/>
          <w:snapToGrid/>
          <w:color w:val="auto"/>
          <w:kern w:val="2"/>
          <w:sz w:val="24"/>
          <w:szCs w:val="24"/>
          <w:highlight w:val="none"/>
          <w:lang w:val="en-US" w:eastAsia="zh-CN" w:bidi="ar"/>
        </w:rPr>
        <w:t>除盐水</w:t>
      </w:r>
      <w:r>
        <w:rPr>
          <w:rFonts w:hint="eastAsia" w:ascii="Times New Roman" w:hAnsi="Times New Roman" w:eastAsia="宋体" w:cs="Times New Roman"/>
          <w:snapToGrid/>
          <w:color w:val="auto"/>
          <w:kern w:val="2"/>
          <w:sz w:val="24"/>
          <w:szCs w:val="24"/>
          <w:highlight w:val="none"/>
          <w:lang w:val="en-US" w:eastAsia="zh-CN" w:bidi="ar"/>
        </w:rPr>
        <w:t>进口：脱硫岛外1m。</w:t>
      </w:r>
    </w:p>
    <w:p w14:paraId="2EC444C4">
      <w:pPr>
        <w:adjustRightInd w:val="0"/>
        <w:snapToGrid w:val="0"/>
        <w:spacing w:line="360" w:lineRule="auto"/>
        <w:ind w:firstLine="480" w:firstLineChars="200"/>
        <w:rPr>
          <w:rFonts w:hint="eastAsia" w:ascii="Times New Roman" w:hAnsi="Times New Roman" w:eastAsia="宋体" w:cs="Times New Roman"/>
          <w:snapToGrid/>
          <w:color w:val="auto"/>
          <w:kern w:val="2"/>
          <w:sz w:val="24"/>
          <w:szCs w:val="24"/>
          <w:highlight w:val="none"/>
          <w:lang w:val="en-US" w:eastAsia="zh-CN" w:bidi="ar"/>
        </w:rPr>
      </w:pPr>
      <w:r>
        <w:rPr>
          <w:rFonts w:hint="eastAsia" w:ascii="Times New Roman" w:hAnsi="Times New Roman" w:cs="Times New Roman"/>
          <w:snapToGrid/>
          <w:color w:val="auto"/>
          <w:kern w:val="2"/>
          <w:sz w:val="24"/>
          <w:szCs w:val="24"/>
          <w:highlight w:val="none"/>
          <w:lang w:val="en-US" w:eastAsia="zh-CN" w:bidi="ar"/>
        </w:rPr>
        <w:t>除盐水</w:t>
      </w:r>
      <w:r>
        <w:rPr>
          <w:rFonts w:hint="eastAsia" w:ascii="Times New Roman" w:hAnsi="Times New Roman" w:eastAsia="宋体" w:cs="Times New Roman"/>
          <w:snapToGrid/>
          <w:color w:val="auto"/>
          <w:kern w:val="2"/>
          <w:sz w:val="24"/>
          <w:szCs w:val="24"/>
          <w:highlight w:val="none"/>
          <w:lang w:val="en-US" w:eastAsia="zh-CN" w:bidi="ar"/>
        </w:rPr>
        <w:t>出口：脱硫岛外1m。</w:t>
      </w:r>
    </w:p>
    <w:p w14:paraId="2AC38E7A">
      <w:pPr>
        <w:adjustRightInd w:val="0"/>
        <w:snapToGrid w:val="0"/>
        <w:spacing w:line="360" w:lineRule="auto"/>
        <w:ind w:firstLine="0" w:firstLineChars="0"/>
        <w:rPr>
          <w:rFonts w:hint="eastAsia"/>
          <w:color w:val="auto"/>
          <w:sz w:val="24"/>
          <w:highlight w:val="none"/>
          <w:lang w:bidi="ar"/>
        </w:rPr>
      </w:pPr>
      <w:r>
        <w:rPr>
          <w:rFonts w:hint="eastAsia" w:ascii="Times New Roman" w:hAnsi="Times New Roman" w:eastAsia="宋体" w:cs="Times New Roman"/>
          <w:b w:val="0"/>
          <w:bCs w:val="0"/>
          <w:color w:val="auto"/>
          <w:sz w:val="24"/>
          <w:szCs w:val="24"/>
          <w:highlight w:val="none"/>
          <w:lang w:bidi="ar"/>
        </w:rPr>
        <w:t>2</w:t>
      </w:r>
      <w:r>
        <w:rPr>
          <w:rFonts w:hint="eastAsia" w:ascii="Times New Roman" w:hAnsi="Times New Roman" w:eastAsia="宋体" w:cs="Times New Roman"/>
          <w:b w:val="0"/>
          <w:bCs w:val="0"/>
          <w:color w:val="auto"/>
          <w:kern w:val="2"/>
          <w:sz w:val="24"/>
          <w:szCs w:val="24"/>
          <w:highlight w:val="none"/>
          <w:lang w:bidi="ar"/>
        </w:rPr>
        <w:t>.1.2</w:t>
      </w:r>
      <w:r>
        <w:rPr>
          <w:rFonts w:hint="eastAsia" w:ascii="Times New Roman" w:hAnsi="Times New Roman" w:eastAsia="宋体" w:cs="Times New Roman"/>
          <w:b w:val="0"/>
          <w:bCs w:val="0"/>
          <w:color w:val="auto"/>
          <w:kern w:val="2"/>
          <w:sz w:val="24"/>
          <w:szCs w:val="24"/>
          <w:highlight w:val="none"/>
          <w:lang w:val="en-US" w:eastAsia="zh-CN" w:bidi="ar"/>
        </w:rPr>
        <w:t>工艺</w:t>
      </w:r>
      <w:r>
        <w:rPr>
          <w:rFonts w:hint="eastAsia" w:hAnsi="Times New Roman" w:cs="Times New Roman"/>
          <w:b w:val="0"/>
          <w:bCs w:val="0"/>
          <w:color w:val="auto"/>
          <w:kern w:val="2"/>
          <w:sz w:val="24"/>
          <w:szCs w:val="24"/>
          <w:highlight w:val="none"/>
          <w:lang w:val="en-US" w:eastAsia="zh-CN" w:bidi="ar"/>
        </w:rPr>
        <w:t>设计、</w:t>
      </w:r>
      <w:r>
        <w:rPr>
          <w:rFonts w:hint="eastAsia" w:ascii="Times New Roman" w:hAnsi="Times New Roman" w:eastAsia="宋体" w:cs="Times New Roman"/>
          <w:b w:val="0"/>
          <w:bCs w:val="0"/>
          <w:color w:val="auto"/>
          <w:kern w:val="2"/>
          <w:sz w:val="24"/>
          <w:szCs w:val="24"/>
          <w:highlight w:val="none"/>
          <w:lang w:bidi="ar"/>
        </w:rPr>
        <w:t>供货</w:t>
      </w:r>
      <w:r>
        <w:rPr>
          <w:rFonts w:hint="eastAsia" w:hAnsi="Times New Roman" w:cs="Times New Roman"/>
          <w:b w:val="0"/>
          <w:bCs w:val="0"/>
          <w:color w:val="auto"/>
          <w:kern w:val="2"/>
          <w:sz w:val="24"/>
          <w:szCs w:val="24"/>
          <w:highlight w:val="none"/>
          <w:lang w:eastAsia="zh-CN" w:bidi="ar"/>
        </w:rPr>
        <w:t>、</w:t>
      </w:r>
      <w:r>
        <w:rPr>
          <w:rFonts w:hint="eastAsia" w:hAnsi="Times New Roman" w:cs="Times New Roman"/>
          <w:b w:val="0"/>
          <w:bCs w:val="0"/>
          <w:color w:val="auto"/>
          <w:kern w:val="2"/>
          <w:sz w:val="24"/>
          <w:szCs w:val="24"/>
          <w:highlight w:val="none"/>
          <w:lang w:val="en-US" w:eastAsia="zh-CN" w:bidi="ar"/>
        </w:rPr>
        <w:t>施工</w:t>
      </w:r>
      <w:r>
        <w:rPr>
          <w:rFonts w:hint="eastAsia" w:ascii="Times New Roman" w:hAnsi="Times New Roman" w:eastAsia="宋体" w:cs="Times New Roman"/>
          <w:b w:val="0"/>
          <w:bCs w:val="0"/>
          <w:color w:val="auto"/>
          <w:kern w:val="2"/>
          <w:sz w:val="24"/>
          <w:szCs w:val="24"/>
          <w:highlight w:val="none"/>
          <w:lang w:bidi="ar"/>
        </w:rPr>
        <w:t>范围</w:t>
      </w:r>
    </w:p>
    <w:p w14:paraId="18A780FA">
      <w:pPr>
        <w:keepLines w:val="0"/>
        <w:pageBreakBefore w:val="0"/>
        <w:widowControl w:val="0"/>
        <w:kinsoku/>
        <w:wordWrap/>
        <w:overflowPunct/>
        <w:topLinePunct w:val="0"/>
        <w:autoSpaceDE/>
        <w:autoSpaceDN/>
        <w:bidi w:val="0"/>
        <w:spacing w:line="360" w:lineRule="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4"/>
          <w:szCs w:val="24"/>
          <w:highlight w:val="none"/>
          <w:lang w:val="en-US" w:eastAsia="zh-CN"/>
        </w:rPr>
        <w:t>以下投标方提供</w:t>
      </w:r>
      <w:r>
        <w:rPr>
          <w:rFonts w:hint="eastAsia" w:ascii="宋体" w:hAnsi="宋体" w:cs="宋体"/>
          <w:color w:val="auto"/>
          <w:sz w:val="24"/>
          <w:szCs w:val="24"/>
          <w:highlight w:val="none"/>
          <w:lang w:val="en-US" w:eastAsia="zh-CN"/>
        </w:rPr>
        <w:t>并施工</w:t>
      </w:r>
      <w:r>
        <w:rPr>
          <w:rFonts w:hint="eastAsia" w:ascii="宋体" w:hAnsi="宋体" w:eastAsia="宋体" w:cs="宋体"/>
          <w:color w:val="auto"/>
          <w:sz w:val="24"/>
          <w:szCs w:val="24"/>
          <w:highlight w:val="none"/>
          <w:lang w:val="en-US" w:eastAsia="zh-CN"/>
        </w:rPr>
        <w:t>：</w:t>
      </w:r>
    </w:p>
    <w:p w14:paraId="715E4E9E">
      <w:pPr>
        <w:keepLines w:val="0"/>
        <w:pageBreakBefore w:val="0"/>
        <w:widowControl w:val="0"/>
        <w:kinsoku/>
        <w:wordWrap/>
        <w:overflowPunct/>
        <w:topLinePunct w:val="0"/>
        <w:autoSpaceDE/>
        <w:autoSpaceDN/>
        <w:bidi w:val="0"/>
        <w:adjustRightInd w:val="0"/>
        <w:snapToGrid w:val="0"/>
        <w:spacing w:line="360" w:lineRule="auto"/>
        <w:ind w:firstLine="480" w:firstLineChars="200"/>
        <w:rPr>
          <w:rFonts w:hint="default"/>
          <w:color w:val="auto"/>
          <w:sz w:val="24"/>
          <w:highlight w:val="none"/>
          <w:lang w:val="en-US" w:eastAsia="zh-CN"/>
        </w:rPr>
      </w:pPr>
      <w:r>
        <w:rPr>
          <w:rFonts w:hint="eastAsia"/>
          <w:color w:val="auto"/>
          <w:sz w:val="24"/>
          <w:highlight w:val="none"/>
          <w:lang w:val="en-US" w:eastAsia="zh-CN"/>
        </w:rPr>
        <w:t>2.1.2.1、一整套脱硫吸收塔系统 、高效除尘除雾器系统、烟道系统，</w:t>
      </w:r>
      <w:r>
        <w:rPr>
          <w:color w:val="auto"/>
          <w:sz w:val="24"/>
          <w:highlight w:val="none"/>
        </w:rPr>
        <w:t>包括吸收塔</w:t>
      </w:r>
      <w:r>
        <w:rPr>
          <w:rFonts w:hint="eastAsia"/>
          <w:color w:val="auto"/>
          <w:sz w:val="24"/>
          <w:highlight w:val="none"/>
          <w:lang w:eastAsia="zh-CN"/>
        </w:rPr>
        <w:t>、</w:t>
      </w:r>
      <w:r>
        <w:rPr>
          <w:rFonts w:hint="eastAsia"/>
          <w:color w:val="auto"/>
          <w:sz w:val="24"/>
          <w:highlight w:val="none"/>
          <w:lang w:val="en-US" w:eastAsia="zh-CN"/>
        </w:rPr>
        <w:t>各</w:t>
      </w:r>
      <w:r>
        <w:rPr>
          <w:color w:val="auto"/>
          <w:sz w:val="24"/>
          <w:highlight w:val="none"/>
        </w:rPr>
        <w:t>箱罐</w:t>
      </w:r>
      <w:r>
        <w:rPr>
          <w:rFonts w:hint="eastAsia"/>
          <w:color w:val="auto"/>
          <w:sz w:val="24"/>
          <w:highlight w:val="none"/>
          <w:lang w:val="en-US" w:eastAsia="zh-CN"/>
        </w:rPr>
        <w:t>本</w:t>
      </w:r>
      <w:r>
        <w:rPr>
          <w:color w:val="auto"/>
          <w:sz w:val="24"/>
          <w:highlight w:val="none"/>
        </w:rPr>
        <w:t>体及</w:t>
      </w:r>
      <w:r>
        <w:rPr>
          <w:rFonts w:hint="eastAsia"/>
          <w:color w:val="auto"/>
          <w:sz w:val="24"/>
          <w:highlight w:val="none"/>
          <w:lang w:val="en-US" w:eastAsia="zh-CN"/>
        </w:rPr>
        <w:t>各类配套泵、氧化风机、搅拌机、</w:t>
      </w:r>
      <w:r>
        <w:rPr>
          <w:color w:val="auto"/>
          <w:sz w:val="24"/>
          <w:highlight w:val="none"/>
        </w:rPr>
        <w:t>平台扶梯、烟道</w:t>
      </w:r>
      <w:r>
        <w:rPr>
          <w:rFonts w:hint="eastAsia"/>
          <w:color w:val="auto"/>
          <w:sz w:val="24"/>
          <w:highlight w:val="none"/>
          <w:lang w:eastAsia="zh-CN"/>
        </w:rPr>
        <w:t>、</w:t>
      </w:r>
      <w:r>
        <w:rPr>
          <w:rFonts w:hint="eastAsia"/>
          <w:color w:val="auto"/>
          <w:sz w:val="24"/>
          <w:highlight w:val="none"/>
          <w:lang w:val="en-US" w:eastAsia="zh-CN"/>
        </w:rPr>
        <w:t>补偿器、插板门、水平烟道及两台引风机出口烟道插板门、吸收塔进出口CEMS系统等</w:t>
      </w:r>
      <w:r>
        <w:rPr>
          <w:rFonts w:hint="eastAsia"/>
          <w:color w:val="auto"/>
          <w:sz w:val="24"/>
          <w:highlight w:val="none"/>
          <w:lang w:eastAsia="zh-CN"/>
        </w:rPr>
        <w:t>。</w:t>
      </w:r>
      <w:r>
        <w:rPr>
          <w:rFonts w:hint="eastAsia"/>
          <w:color w:val="auto"/>
          <w:sz w:val="24"/>
          <w:highlight w:val="none"/>
          <w:lang w:val="en-US" w:eastAsia="zh-CN"/>
        </w:rPr>
        <w:t xml:space="preserve"> </w:t>
      </w:r>
    </w:p>
    <w:p w14:paraId="70D686A7">
      <w:pPr>
        <w:adjustRightInd w:val="0"/>
        <w:snapToGrid w:val="0"/>
        <w:spacing w:line="360" w:lineRule="auto"/>
        <w:ind w:firstLine="480" w:firstLineChars="200"/>
        <w:rPr>
          <w:rFonts w:hint="default"/>
          <w:color w:val="auto"/>
          <w:sz w:val="24"/>
          <w:highlight w:val="none"/>
          <w:lang w:val="en-US" w:eastAsia="zh-CN"/>
        </w:rPr>
      </w:pPr>
      <w:r>
        <w:rPr>
          <w:rFonts w:hint="eastAsia"/>
          <w:color w:val="auto"/>
          <w:sz w:val="24"/>
          <w:highlight w:val="none"/>
          <w:lang w:val="en-US" w:eastAsia="zh-CN"/>
        </w:rPr>
        <w:t>2.1.2.2、一整套废水处理装置，包括</w:t>
      </w:r>
      <w:r>
        <w:rPr>
          <w:b w:val="0"/>
          <w:bCs w:val="0"/>
          <w:color w:val="auto"/>
          <w:sz w:val="24"/>
          <w:highlight w:val="none"/>
        </w:rPr>
        <w:t>三联箱反应系统</w:t>
      </w:r>
      <w:r>
        <w:rPr>
          <w:rFonts w:hint="eastAsia"/>
          <w:b w:val="0"/>
          <w:bCs w:val="0"/>
          <w:color w:val="auto"/>
          <w:sz w:val="24"/>
          <w:highlight w:val="none"/>
          <w:lang w:eastAsia="zh-CN"/>
        </w:rPr>
        <w:t>、</w:t>
      </w:r>
      <w:r>
        <w:rPr>
          <w:b w:val="0"/>
          <w:bCs w:val="0"/>
          <w:color w:val="auto"/>
          <w:sz w:val="24"/>
          <w:highlight w:val="none"/>
        </w:rPr>
        <w:t>污泥处理系统</w:t>
      </w:r>
      <w:r>
        <w:rPr>
          <w:rFonts w:hint="eastAsia"/>
          <w:b w:val="0"/>
          <w:bCs w:val="0"/>
          <w:color w:val="auto"/>
          <w:sz w:val="24"/>
          <w:highlight w:val="none"/>
          <w:lang w:eastAsia="zh-CN"/>
        </w:rPr>
        <w:t>、</w:t>
      </w:r>
      <w:r>
        <w:rPr>
          <w:b w:val="0"/>
          <w:bCs w:val="0"/>
          <w:color w:val="auto"/>
          <w:sz w:val="24"/>
          <w:highlight w:val="none"/>
        </w:rPr>
        <w:t>药剂制备与投加系统</w:t>
      </w:r>
      <w:r>
        <w:rPr>
          <w:rFonts w:hint="eastAsia"/>
          <w:b w:val="0"/>
          <w:bCs w:val="0"/>
          <w:color w:val="auto"/>
          <w:sz w:val="24"/>
          <w:highlight w:val="none"/>
          <w:lang w:eastAsia="zh-CN"/>
        </w:rPr>
        <w:t>、</w:t>
      </w:r>
      <w:r>
        <w:rPr>
          <w:b w:val="0"/>
          <w:bCs w:val="0"/>
          <w:color w:val="auto"/>
          <w:sz w:val="24"/>
          <w:highlight w:val="none"/>
        </w:rPr>
        <w:t>辅助设备</w:t>
      </w:r>
      <w:r>
        <w:rPr>
          <w:rFonts w:hint="eastAsia"/>
          <w:b w:val="0"/>
          <w:bCs w:val="0"/>
          <w:color w:val="auto"/>
          <w:sz w:val="24"/>
          <w:highlight w:val="none"/>
          <w:lang w:val="en-US" w:eastAsia="zh-CN"/>
        </w:rPr>
        <w:t>系统、</w:t>
      </w:r>
      <w:r>
        <w:rPr>
          <w:rFonts w:hint="eastAsia"/>
          <w:color w:val="auto"/>
          <w:sz w:val="24"/>
          <w:highlight w:val="none"/>
          <w:lang w:val="en-US" w:eastAsia="zh-CN"/>
        </w:rPr>
        <w:t>废水旋流器及给料系统、废水缓冲系统、清水箱系统、事故污水池等。</w:t>
      </w:r>
    </w:p>
    <w:p w14:paraId="50BFE958">
      <w:pPr>
        <w:adjustRightInd w:val="0"/>
        <w:snapToGrid w:val="0"/>
        <w:spacing w:line="360" w:lineRule="auto"/>
        <w:ind w:firstLine="480" w:firstLineChars="200"/>
        <w:rPr>
          <w:rFonts w:hint="eastAsia"/>
          <w:color w:val="auto"/>
          <w:sz w:val="24"/>
          <w:highlight w:val="none"/>
          <w:lang w:val="en-US" w:eastAsia="zh-CN"/>
        </w:rPr>
      </w:pPr>
      <w:r>
        <w:rPr>
          <w:rFonts w:hint="eastAsia"/>
          <w:color w:val="auto"/>
          <w:sz w:val="24"/>
          <w:highlight w:val="none"/>
          <w:lang w:val="en-US" w:eastAsia="zh-CN"/>
        </w:rPr>
        <w:t>2.1.2.3、一整套石膏脱水装置，包括真空皮带机、真空泵、废水旋流站供给水箱、石膏旋流器等。</w:t>
      </w:r>
    </w:p>
    <w:p w14:paraId="48287383">
      <w:pPr>
        <w:adjustRightInd w:val="0"/>
        <w:snapToGrid w:val="0"/>
        <w:spacing w:line="360" w:lineRule="auto"/>
        <w:ind w:firstLine="480" w:firstLineChars="200"/>
        <w:rPr>
          <w:rFonts w:hint="eastAsia"/>
          <w:color w:val="auto"/>
          <w:sz w:val="24"/>
          <w:highlight w:val="none"/>
          <w:lang w:val="en-US" w:eastAsia="zh-CN"/>
        </w:rPr>
      </w:pPr>
      <w:r>
        <w:rPr>
          <w:rFonts w:hint="eastAsia"/>
          <w:color w:val="auto"/>
          <w:sz w:val="24"/>
          <w:highlight w:val="none"/>
          <w:lang w:val="en-US" w:eastAsia="zh-CN"/>
        </w:rPr>
        <w:t>2.1.2.</w:t>
      </w:r>
      <w:r>
        <w:rPr>
          <w:rFonts w:hint="eastAsia"/>
          <w:color w:val="auto"/>
          <w:sz w:val="24"/>
          <w:highlight w:val="none"/>
          <w:lang w:val="en-US" w:eastAsia="zh-CN"/>
        </w:rPr>
        <w:t>4、有关接口改造、与原系统的连接管路、石灰石供浆液系统、浆液排放系统、沟道防腐、地坑池防腐等。</w:t>
      </w:r>
    </w:p>
    <w:p w14:paraId="5E1E9008">
      <w:pPr>
        <w:adjustRightInd w:val="0"/>
        <w:snapToGrid w:val="0"/>
        <w:spacing w:line="360" w:lineRule="auto"/>
        <w:ind w:firstLine="480" w:firstLineChars="200"/>
        <w:rPr>
          <w:rFonts w:hint="default"/>
          <w:color w:val="auto"/>
          <w:sz w:val="24"/>
          <w:highlight w:val="none"/>
          <w:lang w:val="en-US" w:eastAsia="zh-CN"/>
        </w:rPr>
      </w:pPr>
      <w:r>
        <w:rPr>
          <w:rFonts w:hint="eastAsia"/>
          <w:color w:val="auto"/>
          <w:sz w:val="24"/>
          <w:highlight w:val="none"/>
          <w:lang w:val="en-US" w:eastAsia="zh-CN"/>
        </w:rPr>
        <w:t>2.1.2.5</w:t>
      </w:r>
      <w:r>
        <w:rPr>
          <w:rFonts w:hint="eastAsia"/>
          <w:color w:val="auto"/>
          <w:sz w:val="24"/>
          <w:highlight w:val="none"/>
          <w:lang w:val="en-US" w:eastAsia="zh-CN"/>
        </w:rPr>
        <w:t>、冲洗水及工艺水系统、压缩空气系统等。</w:t>
      </w:r>
    </w:p>
    <w:p w14:paraId="6F2A349E">
      <w:pPr>
        <w:adjustRightInd w:val="0"/>
        <w:snapToGrid w:val="0"/>
        <w:spacing w:line="360" w:lineRule="auto"/>
        <w:ind w:firstLine="480" w:firstLineChars="200"/>
        <w:rPr>
          <w:color w:val="auto"/>
          <w:sz w:val="24"/>
          <w:highlight w:val="none"/>
        </w:rPr>
      </w:pPr>
      <w:r>
        <w:rPr>
          <w:rFonts w:hint="eastAsia"/>
          <w:color w:val="auto"/>
          <w:sz w:val="24"/>
          <w:highlight w:val="none"/>
          <w:lang w:val="en-US" w:eastAsia="zh-CN"/>
        </w:rPr>
        <w:t>以上各系统阀门、</w:t>
      </w:r>
      <w:r>
        <w:rPr>
          <w:color w:val="auto"/>
          <w:sz w:val="24"/>
          <w:highlight w:val="none"/>
        </w:rPr>
        <w:t>管道、防腐</w:t>
      </w:r>
      <w:r>
        <w:rPr>
          <w:rFonts w:hint="eastAsia"/>
          <w:color w:val="auto"/>
          <w:sz w:val="24"/>
          <w:highlight w:val="none"/>
          <w:lang w:eastAsia="zh-CN"/>
        </w:rPr>
        <w:t>、</w:t>
      </w:r>
      <w:r>
        <w:rPr>
          <w:color w:val="auto"/>
          <w:sz w:val="24"/>
          <w:highlight w:val="none"/>
        </w:rPr>
        <w:t>管道及烟道支</w:t>
      </w:r>
      <w:r>
        <w:rPr>
          <w:rFonts w:hint="eastAsia"/>
          <w:color w:val="auto"/>
          <w:sz w:val="24"/>
          <w:highlight w:val="none"/>
          <w:lang w:val="en-US" w:eastAsia="zh-CN"/>
        </w:rPr>
        <w:t>座</w:t>
      </w:r>
      <w:r>
        <w:rPr>
          <w:color w:val="auto"/>
          <w:sz w:val="24"/>
          <w:highlight w:val="none"/>
        </w:rPr>
        <w:t>吊架、保温、油漆、补偿器、</w:t>
      </w:r>
      <w:r>
        <w:rPr>
          <w:rFonts w:hint="eastAsia"/>
          <w:color w:val="auto"/>
          <w:sz w:val="24"/>
          <w:highlight w:val="none"/>
          <w:lang w:val="en-US" w:eastAsia="zh-CN"/>
        </w:rPr>
        <w:t>性能检测口及连接件、密封件等</w:t>
      </w:r>
      <w:r>
        <w:rPr>
          <w:color w:val="auto"/>
          <w:sz w:val="24"/>
          <w:highlight w:val="none"/>
        </w:rPr>
        <w:t>附件</w:t>
      </w:r>
      <w:r>
        <w:rPr>
          <w:rFonts w:hint="eastAsia"/>
          <w:color w:val="auto"/>
          <w:sz w:val="24"/>
          <w:highlight w:val="none"/>
          <w:lang w:eastAsia="zh-CN"/>
        </w:rPr>
        <w:t>。</w:t>
      </w:r>
    </w:p>
    <w:p w14:paraId="6360A435">
      <w:pPr>
        <w:pStyle w:val="4"/>
        <w:rPr>
          <w:rFonts w:ascii="Times New Roman"/>
          <w:bCs/>
          <w:color w:val="auto"/>
          <w:szCs w:val="24"/>
          <w:highlight w:val="none"/>
        </w:rPr>
      </w:pPr>
      <w:bookmarkStart w:id="157" w:name="_Toc4897"/>
      <w:r>
        <w:rPr>
          <w:rFonts w:ascii="Times New Roman"/>
          <w:bCs/>
          <w:color w:val="auto"/>
          <w:szCs w:val="24"/>
          <w:highlight w:val="none"/>
        </w:rPr>
        <w:t>2.2土建设计接口及供货范围</w:t>
      </w:r>
      <w:bookmarkEnd w:id="157"/>
    </w:p>
    <w:p w14:paraId="282FA252">
      <w:pPr>
        <w:pStyle w:val="4"/>
        <w:rPr>
          <w:rFonts w:ascii="Times New Roman"/>
          <w:b w:val="0"/>
          <w:color w:val="auto"/>
          <w:szCs w:val="24"/>
          <w:highlight w:val="none"/>
        </w:rPr>
      </w:pPr>
      <w:r>
        <w:rPr>
          <w:rFonts w:ascii="Times New Roman"/>
          <w:b w:val="0"/>
          <w:color w:val="auto"/>
          <w:szCs w:val="24"/>
          <w:highlight w:val="none"/>
        </w:rPr>
        <w:t>2.2.1土建设计接口</w:t>
      </w:r>
    </w:p>
    <w:p w14:paraId="66401FB4">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bCs/>
          <w:color w:val="auto"/>
          <w:sz w:val="24"/>
          <w:highlight w:val="none"/>
          <w:lang w:bidi="ar"/>
        </w:rPr>
      </w:pPr>
      <w:r>
        <w:rPr>
          <w:rStyle w:val="54"/>
          <w:rFonts w:hint="eastAsia" w:ascii="Times New Roman" w:hAnsi="Times New Roman" w:eastAsia="宋体" w:cs="Times New Roman"/>
          <w:b w:val="0"/>
          <w:bCs w:val="0"/>
          <w:color w:val="auto"/>
          <w:sz w:val="24"/>
          <w:highlight w:val="none"/>
          <w:shd w:val="clear" w:color="auto" w:fill="FFFFFF"/>
          <w:lang w:bidi="ar"/>
        </w:rPr>
        <w:t>本工程范围内的土建工程、消防</w:t>
      </w:r>
      <w:r>
        <w:rPr>
          <w:rStyle w:val="54"/>
          <w:rFonts w:hint="eastAsia" w:cs="Times New Roman"/>
          <w:b w:val="0"/>
          <w:bCs w:val="0"/>
          <w:color w:val="auto"/>
          <w:sz w:val="24"/>
          <w:highlight w:val="none"/>
          <w:shd w:val="clear" w:color="auto" w:fill="FFFFFF"/>
          <w:lang w:val="en-US" w:eastAsia="zh-CN" w:bidi="ar"/>
        </w:rPr>
        <w:t>及灭火器材</w:t>
      </w:r>
      <w:r>
        <w:rPr>
          <w:rStyle w:val="54"/>
          <w:rFonts w:hint="eastAsia" w:ascii="Times New Roman" w:hAnsi="Times New Roman" w:eastAsia="宋体" w:cs="Times New Roman"/>
          <w:b w:val="0"/>
          <w:bCs w:val="0"/>
          <w:color w:val="auto"/>
          <w:sz w:val="24"/>
          <w:highlight w:val="none"/>
          <w:shd w:val="clear" w:color="auto" w:fill="FFFFFF"/>
          <w:lang w:bidi="ar"/>
        </w:rPr>
        <w:t>、暖通、给排水</w:t>
      </w:r>
      <w:r>
        <w:rPr>
          <w:rStyle w:val="54"/>
          <w:rFonts w:hint="eastAsia" w:cs="Times New Roman"/>
          <w:b w:val="0"/>
          <w:bCs w:val="0"/>
          <w:color w:val="auto"/>
          <w:sz w:val="24"/>
          <w:highlight w:val="none"/>
          <w:shd w:val="clear" w:color="auto" w:fill="FFFFFF"/>
          <w:lang w:val="en-US" w:eastAsia="zh-CN" w:bidi="ar"/>
        </w:rPr>
        <w:t>等</w:t>
      </w:r>
      <w:r>
        <w:rPr>
          <w:rStyle w:val="54"/>
          <w:rFonts w:hint="eastAsia" w:ascii="Times New Roman" w:hAnsi="Times New Roman" w:eastAsia="宋体" w:cs="Times New Roman"/>
          <w:b w:val="0"/>
          <w:bCs w:val="0"/>
          <w:color w:val="auto"/>
          <w:sz w:val="24"/>
          <w:highlight w:val="none"/>
          <w:shd w:val="clear" w:color="auto" w:fill="FFFFFF"/>
          <w:lang w:bidi="ar"/>
        </w:rPr>
        <w:t>，</w:t>
      </w:r>
      <w:r>
        <w:rPr>
          <w:rStyle w:val="54"/>
          <w:rFonts w:hint="eastAsia" w:cs="Times New Roman"/>
          <w:b w:val="0"/>
          <w:bCs w:val="0"/>
          <w:color w:val="auto"/>
          <w:sz w:val="24"/>
          <w:highlight w:val="none"/>
          <w:shd w:val="clear" w:color="auto" w:fill="FFFFFF"/>
          <w:lang w:val="en-US" w:eastAsia="zh-CN" w:bidi="ar"/>
        </w:rPr>
        <w:t>由</w:t>
      </w:r>
      <w:r>
        <w:rPr>
          <w:rStyle w:val="54"/>
          <w:rFonts w:hint="eastAsia" w:ascii="Times New Roman" w:hAnsi="Times New Roman" w:eastAsia="宋体" w:cs="Times New Roman"/>
          <w:b w:val="0"/>
          <w:bCs w:val="0"/>
          <w:color w:val="auto"/>
          <w:sz w:val="24"/>
          <w:highlight w:val="none"/>
          <w:shd w:val="clear" w:color="auto" w:fill="FFFFFF"/>
          <w:lang w:bidi="ar"/>
        </w:rPr>
        <w:t>投标人</w:t>
      </w:r>
      <w:r>
        <w:rPr>
          <w:rStyle w:val="54"/>
          <w:rFonts w:hint="eastAsia" w:ascii="Times New Roman" w:hAnsi="Times New Roman" w:eastAsia="宋体" w:cs="Times New Roman"/>
          <w:b w:val="0"/>
          <w:bCs w:val="0"/>
          <w:color w:val="auto"/>
          <w:sz w:val="24"/>
          <w:highlight w:val="none"/>
          <w:shd w:val="clear" w:color="auto" w:fill="FFFFFF"/>
          <w:lang w:val="en-US" w:eastAsia="zh-CN" w:bidi="ar"/>
        </w:rPr>
        <w:t>设计并</w:t>
      </w:r>
      <w:r>
        <w:rPr>
          <w:rStyle w:val="54"/>
          <w:rFonts w:hint="eastAsia" w:ascii="Times New Roman" w:hAnsi="Times New Roman" w:eastAsia="宋体" w:cs="Times New Roman"/>
          <w:b w:val="0"/>
          <w:bCs w:val="0"/>
          <w:color w:val="auto"/>
          <w:sz w:val="24"/>
          <w:highlight w:val="none"/>
          <w:shd w:val="clear" w:color="auto" w:fill="FFFFFF"/>
          <w:lang w:bidi="ar"/>
        </w:rPr>
        <w:t>提</w:t>
      </w:r>
      <w:r>
        <w:rPr>
          <w:rStyle w:val="54"/>
          <w:rFonts w:hint="eastAsia" w:ascii="Times New Roman" w:hAnsi="Times New Roman" w:eastAsia="宋体" w:cs="Times New Roman"/>
          <w:b w:val="0"/>
          <w:bCs w:val="0"/>
          <w:color w:val="auto"/>
          <w:sz w:val="24"/>
          <w:highlight w:val="none"/>
          <w:shd w:val="clear" w:color="auto" w:fill="FFFFFF"/>
          <w:lang w:val="en-US" w:eastAsia="zh-CN" w:bidi="ar"/>
        </w:rPr>
        <w:t>资主体设计院</w:t>
      </w:r>
      <w:r>
        <w:rPr>
          <w:rStyle w:val="54"/>
          <w:rFonts w:hint="eastAsia" w:ascii="Times New Roman" w:hAnsi="Times New Roman" w:eastAsia="宋体" w:cs="Times New Roman"/>
          <w:b w:val="0"/>
          <w:bCs w:val="0"/>
          <w:color w:val="auto"/>
          <w:sz w:val="24"/>
          <w:highlight w:val="none"/>
          <w:shd w:val="clear" w:color="auto" w:fill="FFFFFF"/>
          <w:lang w:bidi="ar"/>
        </w:rPr>
        <w:t>，由招标方最终出图。</w:t>
      </w:r>
    </w:p>
    <w:p w14:paraId="56E5BF5A">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Style w:val="54"/>
          <w:rFonts w:hint="eastAsia" w:ascii="Times New Roman" w:hAnsi="Times New Roman" w:eastAsia="宋体" w:cs="Times New Roman"/>
          <w:snapToGrid/>
          <w:color w:val="auto"/>
          <w:kern w:val="2"/>
          <w:sz w:val="24"/>
          <w:szCs w:val="20"/>
          <w:highlight w:val="none"/>
          <w:shd w:val="clear" w:color="auto" w:fill="FFFFFF"/>
          <w:lang w:val="en-US" w:eastAsia="zh-CN" w:bidi="ar"/>
        </w:rPr>
      </w:pPr>
      <w:r>
        <w:rPr>
          <w:rStyle w:val="54"/>
          <w:rFonts w:hint="eastAsia"/>
          <w:bCs w:val="0"/>
          <w:color w:val="auto"/>
          <w:highlight w:val="none"/>
          <w:shd w:val="clear" w:color="auto" w:fill="FFFFFF"/>
        </w:rPr>
        <w:t>脱硫区域</w:t>
      </w:r>
      <w:r>
        <w:rPr>
          <w:rStyle w:val="54"/>
          <w:bCs w:val="0"/>
          <w:color w:val="auto"/>
          <w:highlight w:val="none"/>
          <w:shd w:val="clear" w:color="auto" w:fill="FFFFFF"/>
        </w:rPr>
        <w:t>桩基及</w:t>
      </w:r>
      <w:r>
        <w:rPr>
          <w:rStyle w:val="54"/>
          <w:rFonts w:hint="eastAsia"/>
          <w:bCs w:val="0"/>
          <w:color w:val="auto"/>
          <w:highlight w:val="none"/>
          <w:shd w:val="clear" w:color="auto" w:fill="FFFFFF"/>
        </w:rPr>
        <w:t>建（构）筑物、地下设施和地基处理设计</w:t>
      </w:r>
      <w:r>
        <w:rPr>
          <w:rStyle w:val="54"/>
          <w:bCs w:val="0"/>
          <w:color w:val="auto"/>
          <w:highlight w:val="none"/>
          <w:shd w:val="clear" w:color="auto" w:fill="FFFFFF"/>
        </w:rPr>
        <w:t>、烟道混凝土支架、</w:t>
      </w:r>
      <w:r>
        <w:rPr>
          <w:rStyle w:val="54"/>
          <w:bCs w:val="0"/>
          <w:color w:val="auto"/>
          <w:highlight w:val="none"/>
          <w:shd w:val="clear" w:color="auto" w:fill="FFFFFF"/>
          <w:lang w:bidi="ar"/>
        </w:rPr>
        <w:t>脱硫</w:t>
      </w:r>
      <w:r>
        <w:rPr>
          <w:rStyle w:val="54"/>
          <w:rFonts w:hint="eastAsia"/>
          <w:bCs w:val="0"/>
          <w:color w:val="auto"/>
          <w:highlight w:val="none"/>
          <w:shd w:val="clear" w:color="auto" w:fill="FFFFFF"/>
          <w:lang w:bidi="ar"/>
        </w:rPr>
        <w:t>区域内道路、场地硬化、绿化的设计</w:t>
      </w:r>
      <w:r>
        <w:rPr>
          <w:rStyle w:val="54"/>
          <w:rFonts w:hint="eastAsia"/>
          <w:bCs w:val="0"/>
          <w:color w:val="auto"/>
          <w:highlight w:val="none"/>
          <w:shd w:val="clear" w:color="auto" w:fill="FFFFFF"/>
        </w:rPr>
        <w:t>均由</w:t>
      </w:r>
      <w:r>
        <w:rPr>
          <w:rStyle w:val="54"/>
          <w:bCs w:val="0"/>
          <w:color w:val="auto"/>
          <w:highlight w:val="none"/>
          <w:shd w:val="clear" w:color="auto" w:fill="FFFFFF"/>
        </w:rPr>
        <w:t>投标方</w:t>
      </w:r>
      <w:r>
        <w:rPr>
          <w:rStyle w:val="54"/>
          <w:rFonts w:hint="eastAsia"/>
          <w:bCs w:val="0"/>
          <w:color w:val="auto"/>
          <w:highlight w:val="none"/>
          <w:shd w:val="clear" w:color="auto" w:fill="FFFFFF"/>
        </w:rPr>
        <w:t>负责</w:t>
      </w:r>
      <w:r>
        <w:rPr>
          <w:rStyle w:val="54"/>
          <w:bCs w:val="0"/>
          <w:color w:val="auto"/>
          <w:highlight w:val="none"/>
          <w:shd w:val="clear" w:color="auto" w:fill="FFFFFF"/>
        </w:rPr>
        <w:t>，</w:t>
      </w:r>
      <w:r>
        <w:rPr>
          <w:rStyle w:val="54"/>
          <w:bCs w:val="0"/>
          <w:color w:val="auto"/>
          <w:highlight w:val="none"/>
          <w:shd w:val="clear" w:color="auto" w:fill="FFFFFF"/>
          <w:lang w:bidi="ar"/>
        </w:rPr>
        <w:t>并提资给主体设计院</w:t>
      </w:r>
      <w:r>
        <w:rPr>
          <w:rStyle w:val="54"/>
          <w:rFonts w:hint="eastAsia"/>
          <w:bCs w:val="0"/>
          <w:color w:val="auto"/>
          <w:highlight w:val="none"/>
          <w:shd w:val="clear" w:color="auto" w:fill="FFFFFF"/>
          <w:lang w:bidi="ar"/>
        </w:rPr>
        <w:t>。</w:t>
      </w:r>
    </w:p>
    <w:p w14:paraId="6C8A7DAD">
      <w:pPr>
        <w:adjustRightInd w:val="0"/>
        <w:snapToGrid w:val="0"/>
        <w:spacing w:line="360" w:lineRule="auto"/>
        <w:rPr>
          <w:bCs/>
          <w:color w:val="auto"/>
          <w:sz w:val="24"/>
          <w:highlight w:val="none"/>
        </w:rPr>
      </w:pPr>
      <w:r>
        <w:rPr>
          <w:bCs/>
          <w:color w:val="auto"/>
          <w:sz w:val="24"/>
          <w:highlight w:val="none"/>
        </w:rPr>
        <w:t>2.2.1.2消防系统：</w:t>
      </w:r>
    </w:p>
    <w:p w14:paraId="42D4CA1C">
      <w:pPr>
        <w:adjustRightInd/>
        <w:snapToGrid/>
        <w:spacing w:line="360" w:lineRule="auto"/>
        <w:ind w:firstLine="523" w:firstLineChars="218"/>
        <w:rPr>
          <w:bCs/>
          <w:color w:val="auto"/>
          <w:sz w:val="24"/>
          <w:highlight w:val="none"/>
        </w:rPr>
      </w:pPr>
      <w:r>
        <w:rPr>
          <w:bCs/>
          <w:color w:val="auto"/>
          <w:sz w:val="24"/>
          <w:highlight w:val="none"/>
        </w:rPr>
        <w:t>脱硫区域火灾报警</w:t>
      </w:r>
      <w:r>
        <w:rPr>
          <w:bCs/>
          <w:color w:val="auto"/>
          <w:sz w:val="24"/>
          <w:highlight w:val="none"/>
          <w:lang w:bidi="ar"/>
        </w:rPr>
        <w:t>及其他消防系统</w:t>
      </w:r>
      <w:r>
        <w:rPr>
          <w:bCs/>
          <w:color w:val="auto"/>
          <w:sz w:val="24"/>
          <w:highlight w:val="none"/>
        </w:rPr>
        <w:t>的设计由</w:t>
      </w:r>
      <w:r>
        <w:rPr>
          <w:rFonts w:hint="eastAsia"/>
          <w:bCs/>
          <w:color w:val="auto"/>
          <w:sz w:val="24"/>
          <w:highlight w:val="none"/>
          <w:lang w:val="en-US" w:eastAsia="zh-CN"/>
        </w:rPr>
        <w:t>投</w:t>
      </w:r>
      <w:r>
        <w:rPr>
          <w:rFonts w:hint="eastAsia"/>
          <w:bCs/>
          <w:color w:val="auto"/>
          <w:sz w:val="24"/>
          <w:highlight w:val="none"/>
          <w:lang w:eastAsia="zh-CN"/>
        </w:rPr>
        <w:t>标方</w:t>
      </w:r>
      <w:r>
        <w:rPr>
          <w:bCs/>
          <w:color w:val="auto"/>
          <w:sz w:val="24"/>
          <w:highlight w:val="none"/>
        </w:rPr>
        <w:t>负责</w:t>
      </w:r>
      <w:r>
        <w:rPr>
          <w:rFonts w:hint="eastAsia"/>
          <w:bCs/>
          <w:color w:val="auto"/>
          <w:sz w:val="24"/>
          <w:highlight w:val="none"/>
          <w:lang w:val="en-US" w:eastAsia="zh-CN"/>
        </w:rPr>
        <w:t>并提资给主体设计院。</w:t>
      </w:r>
    </w:p>
    <w:p w14:paraId="595CE4E0">
      <w:pPr>
        <w:adjustRightInd w:val="0"/>
        <w:snapToGrid w:val="0"/>
        <w:spacing w:line="360" w:lineRule="auto"/>
        <w:rPr>
          <w:bCs/>
          <w:color w:val="auto"/>
          <w:sz w:val="24"/>
          <w:highlight w:val="none"/>
        </w:rPr>
      </w:pPr>
      <w:r>
        <w:rPr>
          <w:bCs/>
          <w:color w:val="auto"/>
          <w:sz w:val="24"/>
          <w:highlight w:val="none"/>
        </w:rPr>
        <w:t>2.2.1.</w:t>
      </w:r>
      <w:r>
        <w:rPr>
          <w:rFonts w:hint="eastAsia"/>
          <w:bCs/>
          <w:color w:val="auto"/>
          <w:sz w:val="24"/>
          <w:highlight w:val="none"/>
          <w:lang w:val="en-US" w:eastAsia="zh-CN"/>
        </w:rPr>
        <w:t>3</w:t>
      </w:r>
      <w:r>
        <w:rPr>
          <w:bCs/>
          <w:color w:val="auto"/>
          <w:sz w:val="24"/>
          <w:highlight w:val="none"/>
        </w:rPr>
        <w:t>雨水排水：</w:t>
      </w:r>
    </w:p>
    <w:p w14:paraId="7055D74D">
      <w:pPr>
        <w:keepNext w:val="0"/>
        <w:keepLines w:val="0"/>
        <w:pageBreakBefore w:val="0"/>
        <w:widowControl w:val="0"/>
        <w:kinsoku/>
        <w:wordWrap/>
        <w:overflowPunct/>
        <w:topLinePunct w:val="0"/>
        <w:autoSpaceDE/>
        <w:autoSpaceDN/>
        <w:bidi w:val="0"/>
        <w:adjustRightInd/>
        <w:snapToGrid/>
        <w:spacing w:line="360" w:lineRule="auto"/>
        <w:ind w:firstLine="523" w:firstLineChars="218"/>
        <w:textAlignment w:val="auto"/>
        <w:rPr>
          <w:rFonts w:hint="eastAsia" w:eastAsia="宋体"/>
          <w:bCs/>
          <w:color w:val="auto"/>
          <w:sz w:val="24"/>
          <w:highlight w:val="none"/>
          <w:lang w:eastAsia="zh-CN"/>
        </w:rPr>
      </w:pPr>
      <w:r>
        <w:rPr>
          <w:bCs/>
          <w:color w:val="auto"/>
          <w:sz w:val="24"/>
          <w:highlight w:val="none"/>
          <w:lang w:bidi="ar"/>
        </w:rPr>
        <w:t>脱硫区域</w:t>
      </w:r>
      <w:bookmarkStart w:id="158" w:name="OLE_LINK42"/>
      <w:r>
        <w:rPr>
          <w:bCs/>
          <w:color w:val="auto"/>
          <w:sz w:val="24"/>
          <w:highlight w:val="none"/>
          <w:lang w:bidi="ar"/>
        </w:rPr>
        <w:t>雨水</w:t>
      </w:r>
      <w:bookmarkEnd w:id="158"/>
      <w:r>
        <w:rPr>
          <w:bCs/>
          <w:color w:val="auto"/>
          <w:sz w:val="24"/>
          <w:highlight w:val="none"/>
          <w:lang w:bidi="ar"/>
        </w:rPr>
        <w:t>排水系统的设计由</w:t>
      </w:r>
      <w:r>
        <w:rPr>
          <w:rFonts w:hint="eastAsia"/>
          <w:bCs/>
          <w:color w:val="auto"/>
          <w:sz w:val="24"/>
          <w:highlight w:val="none"/>
          <w:lang w:val="en-US" w:eastAsia="zh-CN" w:bidi="ar"/>
        </w:rPr>
        <w:t>投</w:t>
      </w:r>
      <w:r>
        <w:rPr>
          <w:rFonts w:hint="eastAsia"/>
          <w:bCs/>
          <w:color w:val="auto"/>
          <w:sz w:val="24"/>
          <w:highlight w:val="none"/>
          <w:lang w:eastAsia="zh-CN" w:bidi="ar"/>
        </w:rPr>
        <w:t>标方</w:t>
      </w:r>
      <w:r>
        <w:rPr>
          <w:bCs/>
          <w:color w:val="auto"/>
          <w:sz w:val="24"/>
          <w:highlight w:val="none"/>
          <w:lang w:bidi="ar"/>
        </w:rPr>
        <w:t>负责</w:t>
      </w:r>
      <w:r>
        <w:rPr>
          <w:rFonts w:hint="eastAsia"/>
          <w:bCs/>
          <w:color w:val="auto"/>
          <w:sz w:val="24"/>
          <w:highlight w:val="none"/>
          <w:lang w:val="en-US" w:eastAsia="zh-CN" w:bidi="ar"/>
        </w:rPr>
        <w:t>并</w:t>
      </w:r>
      <w:r>
        <w:rPr>
          <w:rFonts w:hint="eastAsia"/>
          <w:bCs/>
          <w:color w:val="auto"/>
          <w:sz w:val="24"/>
          <w:highlight w:val="none"/>
          <w:lang w:val="en-US" w:eastAsia="zh-CN"/>
        </w:rPr>
        <w:t>提资给主体设计院。</w:t>
      </w:r>
    </w:p>
    <w:p w14:paraId="1469EE42">
      <w:pPr>
        <w:adjustRightInd w:val="0"/>
        <w:snapToGrid w:val="0"/>
        <w:spacing w:line="360" w:lineRule="auto"/>
        <w:rPr>
          <w:bCs/>
          <w:color w:val="auto"/>
          <w:sz w:val="24"/>
          <w:highlight w:val="none"/>
        </w:rPr>
      </w:pPr>
      <w:r>
        <w:rPr>
          <w:bCs/>
          <w:color w:val="auto"/>
          <w:sz w:val="24"/>
          <w:highlight w:val="none"/>
        </w:rPr>
        <w:t>2.2.1.</w:t>
      </w:r>
      <w:r>
        <w:rPr>
          <w:rFonts w:hint="eastAsia"/>
          <w:bCs/>
          <w:color w:val="auto"/>
          <w:sz w:val="24"/>
          <w:highlight w:val="none"/>
          <w:lang w:val="en-US" w:eastAsia="zh-CN"/>
        </w:rPr>
        <w:t>4</w:t>
      </w:r>
      <w:r>
        <w:rPr>
          <w:bCs/>
          <w:color w:val="auto"/>
          <w:sz w:val="24"/>
          <w:highlight w:val="none"/>
        </w:rPr>
        <w:t>暖通：</w:t>
      </w:r>
    </w:p>
    <w:p w14:paraId="266A7844">
      <w:pPr>
        <w:keepNext w:val="0"/>
        <w:keepLines w:val="0"/>
        <w:pageBreakBefore w:val="0"/>
        <w:widowControl w:val="0"/>
        <w:kinsoku/>
        <w:wordWrap/>
        <w:overflowPunct/>
        <w:topLinePunct w:val="0"/>
        <w:autoSpaceDE/>
        <w:autoSpaceDN/>
        <w:bidi w:val="0"/>
        <w:adjustRightInd/>
        <w:snapToGrid/>
        <w:spacing w:line="360" w:lineRule="auto"/>
        <w:ind w:firstLine="523" w:firstLineChars="218"/>
        <w:textAlignment w:val="auto"/>
        <w:rPr>
          <w:color w:val="auto"/>
          <w:sz w:val="24"/>
          <w:highlight w:val="none"/>
        </w:rPr>
      </w:pPr>
      <w:r>
        <w:rPr>
          <w:bCs/>
          <w:color w:val="auto"/>
          <w:sz w:val="24"/>
          <w:highlight w:val="none"/>
        </w:rPr>
        <w:t>脱硫区域建筑室内暖通的</w:t>
      </w:r>
      <w:r>
        <w:rPr>
          <w:rFonts w:hint="eastAsia"/>
          <w:bCs/>
          <w:color w:val="auto"/>
          <w:sz w:val="24"/>
          <w:highlight w:val="none"/>
          <w:lang w:val="en-US" w:eastAsia="zh-CN"/>
        </w:rPr>
        <w:t>投</w:t>
      </w:r>
      <w:r>
        <w:rPr>
          <w:rFonts w:hint="eastAsia"/>
          <w:bCs/>
          <w:color w:val="auto"/>
          <w:sz w:val="24"/>
          <w:highlight w:val="none"/>
          <w:lang w:eastAsia="zh-CN"/>
        </w:rPr>
        <w:t>标方</w:t>
      </w:r>
      <w:r>
        <w:rPr>
          <w:bCs/>
          <w:color w:val="auto"/>
          <w:sz w:val="24"/>
          <w:highlight w:val="none"/>
        </w:rPr>
        <w:t>负责设计由</w:t>
      </w:r>
      <w:r>
        <w:rPr>
          <w:rFonts w:hint="eastAsia"/>
          <w:bCs/>
          <w:color w:val="auto"/>
          <w:sz w:val="24"/>
          <w:highlight w:val="none"/>
          <w:lang w:val="en-US" w:eastAsia="zh-CN"/>
        </w:rPr>
        <w:t>并提资给主体设计院。</w:t>
      </w:r>
    </w:p>
    <w:p w14:paraId="3B11C338">
      <w:pPr>
        <w:pStyle w:val="4"/>
        <w:rPr>
          <w:rFonts w:ascii="Times New Roman"/>
          <w:b w:val="0"/>
          <w:color w:val="auto"/>
          <w:szCs w:val="24"/>
          <w:highlight w:val="none"/>
        </w:rPr>
      </w:pPr>
      <w:r>
        <w:rPr>
          <w:rFonts w:ascii="Times New Roman"/>
          <w:b w:val="0"/>
          <w:color w:val="auto"/>
          <w:szCs w:val="24"/>
          <w:highlight w:val="none"/>
        </w:rPr>
        <w:t>2.2.2土建供货</w:t>
      </w:r>
      <w:r>
        <w:rPr>
          <w:rFonts w:hint="eastAsia" w:ascii="Times New Roman"/>
          <w:b w:val="0"/>
          <w:color w:val="auto"/>
          <w:szCs w:val="24"/>
          <w:highlight w:val="none"/>
          <w:lang w:eastAsia="zh-CN"/>
        </w:rPr>
        <w:t>、</w:t>
      </w:r>
      <w:r>
        <w:rPr>
          <w:rFonts w:hint="eastAsia" w:ascii="Times New Roman"/>
          <w:b w:val="0"/>
          <w:color w:val="auto"/>
          <w:szCs w:val="24"/>
          <w:highlight w:val="none"/>
          <w:lang w:val="en-US" w:eastAsia="zh-CN"/>
        </w:rPr>
        <w:t>施工</w:t>
      </w:r>
      <w:r>
        <w:rPr>
          <w:rFonts w:ascii="Times New Roman"/>
          <w:b w:val="0"/>
          <w:color w:val="auto"/>
          <w:szCs w:val="24"/>
          <w:highlight w:val="none"/>
        </w:rPr>
        <w:t>范围</w:t>
      </w:r>
    </w:p>
    <w:p w14:paraId="7C7933F1">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Style w:val="54"/>
          <w:rFonts w:hint="eastAsia" w:ascii="Times New Roman" w:hAnsi="Times New Roman" w:eastAsia="宋体" w:cs="Times New Roman"/>
          <w:b w:val="0"/>
          <w:bCs w:val="0"/>
          <w:color w:val="auto"/>
          <w:sz w:val="24"/>
          <w:highlight w:val="none"/>
          <w:shd w:val="clear" w:color="auto" w:fill="FFFFFF"/>
          <w:lang w:bidi="ar"/>
        </w:rPr>
      </w:pPr>
      <w:r>
        <w:rPr>
          <w:rStyle w:val="54"/>
          <w:rFonts w:hint="eastAsia" w:ascii="Times New Roman" w:hAnsi="Times New Roman" w:eastAsia="宋体" w:cs="Times New Roman"/>
          <w:b w:val="0"/>
          <w:bCs w:val="0"/>
          <w:color w:val="auto"/>
          <w:sz w:val="24"/>
          <w:highlight w:val="none"/>
          <w:shd w:val="clear" w:color="auto" w:fill="FFFFFF"/>
          <w:lang w:bidi="ar"/>
        </w:rPr>
        <w:t>本工程范围内的土建工程、消防</w:t>
      </w:r>
      <w:r>
        <w:rPr>
          <w:rStyle w:val="54"/>
          <w:rFonts w:hint="eastAsia" w:cs="Times New Roman"/>
          <w:b w:val="0"/>
          <w:bCs w:val="0"/>
          <w:color w:val="auto"/>
          <w:sz w:val="24"/>
          <w:highlight w:val="none"/>
          <w:shd w:val="clear" w:color="auto" w:fill="FFFFFF"/>
          <w:lang w:val="en-US" w:eastAsia="zh-CN" w:bidi="ar"/>
        </w:rPr>
        <w:t>及灭火器材</w:t>
      </w:r>
      <w:r>
        <w:rPr>
          <w:rStyle w:val="54"/>
          <w:rFonts w:hint="eastAsia" w:ascii="Times New Roman" w:hAnsi="Times New Roman" w:eastAsia="宋体" w:cs="Times New Roman"/>
          <w:b w:val="0"/>
          <w:bCs w:val="0"/>
          <w:color w:val="auto"/>
          <w:sz w:val="24"/>
          <w:highlight w:val="none"/>
          <w:shd w:val="clear" w:color="auto" w:fill="FFFFFF"/>
          <w:lang w:bidi="ar"/>
        </w:rPr>
        <w:t>、暖通、给排水的设备和材料的</w:t>
      </w:r>
      <w:r>
        <w:rPr>
          <w:rStyle w:val="54"/>
          <w:rFonts w:hint="eastAsia" w:ascii="Times New Roman" w:hAnsi="Times New Roman" w:eastAsia="宋体" w:cs="Times New Roman"/>
          <w:b w:val="0"/>
          <w:bCs w:val="0"/>
          <w:color w:val="auto"/>
          <w:sz w:val="24"/>
          <w:highlight w:val="none"/>
          <w:shd w:val="clear" w:color="auto" w:fill="FFFFFF"/>
          <w:lang w:bidi="ar"/>
        </w:rPr>
        <w:t>供货、安装等由招标人负责。</w:t>
      </w:r>
    </w:p>
    <w:p w14:paraId="63283769">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Style w:val="54"/>
          <w:rFonts w:hint="eastAsia" w:ascii="宋体" w:hAnsi="宋体" w:eastAsia="宋体" w:cs="宋体"/>
          <w:snapToGrid w:val="0"/>
          <w:color w:val="auto"/>
          <w:kern w:val="28"/>
          <w:sz w:val="24"/>
          <w:szCs w:val="24"/>
          <w:highlight w:val="none"/>
          <w:lang w:val="en-US" w:eastAsia="zh-CN" w:bidi="ar-SA"/>
        </w:rPr>
      </w:pPr>
      <w:r>
        <w:rPr>
          <w:bCs/>
          <w:color w:val="auto"/>
          <w:sz w:val="24"/>
          <w:highlight w:val="none"/>
          <w:lang w:bidi="ar"/>
        </w:rPr>
        <w:t>脱硫区域</w:t>
      </w:r>
      <w:r>
        <w:rPr>
          <w:rFonts w:hint="eastAsia"/>
          <w:bCs/>
          <w:color w:val="auto"/>
          <w:sz w:val="24"/>
          <w:highlight w:val="none"/>
          <w:lang w:val="en-US" w:eastAsia="zh-CN" w:bidi="ar"/>
        </w:rPr>
        <w:t>桩基及</w:t>
      </w:r>
      <w:r>
        <w:rPr>
          <w:bCs/>
          <w:color w:val="auto"/>
          <w:sz w:val="24"/>
          <w:highlight w:val="none"/>
          <w:lang w:bidi="ar"/>
        </w:rPr>
        <w:t>建筑物和地基处理</w:t>
      </w:r>
      <w:r>
        <w:rPr>
          <w:rFonts w:hint="eastAsia"/>
          <w:bCs/>
          <w:color w:val="auto"/>
          <w:sz w:val="24"/>
          <w:highlight w:val="none"/>
          <w:lang w:eastAsia="zh-CN" w:bidi="ar"/>
        </w:rPr>
        <w:t>、</w:t>
      </w:r>
      <w:r>
        <w:rPr>
          <w:rFonts w:hint="eastAsia"/>
          <w:bCs/>
          <w:color w:val="auto"/>
          <w:sz w:val="24"/>
          <w:highlight w:val="none"/>
          <w:lang w:val="en-US" w:eastAsia="zh-CN" w:bidi="ar"/>
        </w:rPr>
        <w:t>烟道混凝土支架、</w:t>
      </w:r>
      <w:r>
        <w:rPr>
          <w:rFonts w:hint="eastAsia"/>
          <w:bCs/>
          <w:color w:val="auto"/>
          <w:sz w:val="24"/>
          <w:highlight w:val="none"/>
        </w:rPr>
        <w:t>脱硫</w:t>
      </w:r>
      <w:r>
        <w:rPr>
          <w:bCs/>
          <w:color w:val="auto"/>
          <w:sz w:val="24"/>
          <w:highlight w:val="none"/>
        </w:rPr>
        <w:t>区域内道路、场地硬化、绿化的</w:t>
      </w:r>
      <w:r>
        <w:rPr>
          <w:rFonts w:hint="eastAsia"/>
          <w:bCs/>
          <w:color w:val="auto"/>
          <w:sz w:val="24"/>
          <w:highlight w:val="none"/>
          <w:lang w:val="en-US" w:eastAsia="zh-CN"/>
        </w:rPr>
        <w:t>施工</w:t>
      </w:r>
      <w:r>
        <w:rPr>
          <w:bCs/>
          <w:color w:val="auto"/>
          <w:sz w:val="24"/>
          <w:highlight w:val="none"/>
          <w:lang w:bidi="ar"/>
        </w:rPr>
        <w:t>均由</w:t>
      </w:r>
      <w:r>
        <w:rPr>
          <w:rFonts w:hint="eastAsia"/>
          <w:bCs/>
          <w:color w:val="auto"/>
          <w:sz w:val="24"/>
          <w:highlight w:val="none"/>
          <w:lang w:val="en-US" w:eastAsia="zh-CN" w:bidi="ar"/>
        </w:rPr>
        <w:t>招</w:t>
      </w:r>
      <w:r>
        <w:rPr>
          <w:rFonts w:hint="eastAsia"/>
          <w:bCs/>
          <w:color w:val="auto"/>
          <w:sz w:val="24"/>
          <w:highlight w:val="none"/>
          <w:lang w:eastAsia="zh-CN" w:bidi="ar"/>
        </w:rPr>
        <w:t>标方</w:t>
      </w:r>
      <w:r>
        <w:rPr>
          <w:bCs/>
          <w:color w:val="auto"/>
          <w:sz w:val="24"/>
          <w:highlight w:val="none"/>
          <w:lang w:bidi="ar"/>
        </w:rPr>
        <w:t>负责</w:t>
      </w:r>
      <w:r>
        <w:rPr>
          <w:bCs/>
          <w:color w:val="auto"/>
          <w:sz w:val="24"/>
          <w:highlight w:val="none"/>
        </w:rPr>
        <w:t>。</w:t>
      </w:r>
    </w:p>
    <w:p w14:paraId="1E3DCDF8">
      <w:pPr>
        <w:keepNext w:val="0"/>
        <w:adjustRightInd/>
        <w:spacing w:line="360" w:lineRule="auto"/>
        <w:ind w:firstLine="480" w:firstLineChars="200"/>
        <w:textAlignment w:val="auto"/>
        <w:rPr>
          <w:rFonts w:hint="eastAsia" w:ascii="宋体" w:hAnsi="宋体" w:cs="宋体"/>
          <w:bCs/>
          <w:color w:val="auto"/>
          <w:sz w:val="24"/>
          <w:szCs w:val="24"/>
          <w:highlight w:val="none"/>
          <w:lang w:val="en-US" w:eastAsia="zh-CN"/>
        </w:rPr>
      </w:pPr>
      <w:bookmarkStart w:id="159" w:name="_Toc21987"/>
      <w:r>
        <w:rPr>
          <w:rFonts w:hint="eastAsia" w:ascii="宋体" w:hAnsi="宋体" w:cs="宋体"/>
          <w:bCs/>
          <w:color w:val="auto"/>
          <w:sz w:val="24"/>
          <w:szCs w:val="24"/>
          <w:highlight w:val="none"/>
          <w:lang w:val="en-US" w:eastAsia="zh-CN"/>
        </w:rPr>
        <w:t>二次灌浆、地脚螺丝由投标方负责。地下水池、浆液排放水沟防腐由投标方负责。</w:t>
      </w:r>
    </w:p>
    <w:p w14:paraId="4DE1789D">
      <w:pPr>
        <w:keepNext w:val="0"/>
        <w:adjustRightInd/>
        <w:spacing w:line="360" w:lineRule="auto"/>
        <w:ind w:firstLine="480" w:firstLineChars="200"/>
        <w:textAlignment w:val="auto"/>
        <w:rPr>
          <w:rFonts w:hint="default" w:ascii="宋体" w:hAnsi="宋体" w:cs="宋体"/>
          <w:bCs/>
          <w:color w:val="auto"/>
          <w:sz w:val="24"/>
          <w:szCs w:val="24"/>
          <w:highlight w:val="none"/>
          <w:lang w:val="en-US" w:eastAsia="zh-CN"/>
        </w:rPr>
      </w:pPr>
      <w:r>
        <w:rPr>
          <w:rFonts w:hint="eastAsia" w:ascii="宋体" w:hAnsi="宋体" w:eastAsia="宋体" w:cs="宋体"/>
          <w:b w:val="0"/>
          <w:bCs/>
          <w:color w:val="auto"/>
          <w:sz w:val="24"/>
          <w:highlight w:val="none"/>
          <w:shd w:val="clear"/>
          <w:lang w:val="en-US" w:eastAsia="zh-CN" w:bidi="ar"/>
        </w:rPr>
        <w:t>吸收塔本体的消防水系统由投标供</w:t>
      </w:r>
      <w:r>
        <w:rPr>
          <w:rFonts w:hint="eastAsia" w:ascii="宋体" w:hAnsi="宋体" w:cs="宋体"/>
          <w:b w:val="0"/>
          <w:bCs/>
          <w:color w:val="auto"/>
          <w:sz w:val="24"/>
          <w:highlight w:val="none"/>
          <w:shd w:val="clear"/>
          <w:lang w:val="en-US" w:eastAsia="zh-CN" w:bidi="ar"/>
        </w:rPr>
        <w:t>货</w:t>
      </w:r>
      <w:r>
        <w:rPr>
          <w:rFonts w:hint="eastAsia" w:ascii="宋体" w:hAnsi="宋体" w:eastAsia="宋体" w:cs="宋体"/>
          <w:b w:val="0"/>
          <w:bCs/>
          <w:color w:val="auto"/>
          <w:sz w:val="24"/>
          <w:highlight w:val="none"/>
          <w:shd w:val="clear"/>
          <w:lang w:val="en-US" w:eastAsia="zh-CN" w:bidi="ar"/>
        </w:rPr>
        <w:t>、施工</w:t>
      </w:r>
      <w:r>
        <w:rPr>
          <w:rFonts w:hint="eastAsia" w:ascii="宋体" w:hAnsi="宋体" w:cs="宋体"/>
          <w:b w:val="0"/>
          <w:bCs/>
          <w:color w:val="auto"/>
          <w:sz w:val="24"/>
          <w:highlight w:val="none"/>
          <w:shd w:val="clear"/>
          <w:lang w:val="en-US" w:eastAsia="zh-CN" w:bidi="ar"/>
        </w:rPr>
        <w:t>。</w:t>
      </w:r>
    </w:p>
    <w:p w14:paraId="17259A7D">
      <w:pPr>
        <w:adjustRightInd w:val="0"/>
        <w:snapToGrid w:val="0"/>
        <w:spacing w:line="360" w:lineRule="auto"/>
        <w:outlineLvl w:val="2"/>
        <w:rPr>
          <w:color w:val="auto"/>
          <w:sz w:val="24"/>
          <w:highlight w:val="none"/>
        </w:rPr>
      </w:pPr>
      <w:r>
        <w:rPr>
          <w:rFonts w:ascii="Times New Roman"/>
          <w:bCs/>
          <w:color w:val="auto"/>
          <w:szCs w:val="24"/>
          <w:highlight w:val="none"/>
        </w:rPr>
        <w:t>2.3 电气设计接口及供货</w:t>
      </w:r>
      <w:r>
        <w:rPr>
          <w:rFonts w:hint="eastAsia"/>
          <w:bCs/>
          <w:color w:val="auto"/>
          <w:szCs w:val="24"/>
          <w:highlight w:val="none"/>
          <w:lang w:val="en-US" w:eastAsia="zh-CN"/>
        </w:rPr>
        <w:t>施工</w:t>
      </w:r>
      <w:r>
        <w:rPr>
          <w:rFonts w:ascii="Times New Roman"/>
          <w:bCs/>
          <w:color w:val="auto"/>
          <w:szCs w:val="24"/>
          <w:highlight w:val="none"/>
        </w:rPr>
        <w:t>范围</w:t>
      </w:r>
      <w:bookmarkEnd w:id="159"/>
    </w:p>
    <w:p w14:paraId="4063A1B4">
      <w:pPr>
        <w:adjustRightInd w:val="0"/>
        <w:snapToGrid w:val="0"/>
        <w:spacing w:line="360" w:lineRule="auto"/>
        <w:outlineLvl w:val="2"/>
        <w:rPr>
          <w:rFonts w:hint="eastAsia"/>
          <w:color w:val="auto"/>
          <w:sz w:val="24"/>
          <w:highlight w:val="none"/>
        </w:rPr>
      </w:pPr>
      <w:r>
        <w:rPr>
          <w:color w:val="auto"/>
          <w:sz w:val="24"/>
          <w:highlight w:val="none"/>
        </w:rPr>
        <w:t>2.3.1 电气设计接口</w:t>
      </w:r>
    </w:p>
    <w:p w14:paraId="3928ABBA">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color w:val="auto"/>
          <w:sz w:val="24"/>
          <w:highlight w:val="none"/>
        </w:rPr>
      </w:pPr>
      <w:r>
        <w:rPr>
          <w:rFonts w:hint="eastAsia"/>
          <w:color w:val="auto"/>
          <w:sz w:val="24"/>
          <w:highlight w:val="none"/>
        </w:rPr>
        <w:t>电气系统设计包括供配电系统、电气控制与保护、</w:t>
      </w:r>
      <w:r>
        <w:rPr>
          <w:rFonts w:hint="eastAsia"/>
          <w:color w:val="auto"/>
          <w:sz w:val="24"/>
          <w:highlight w:val="none"/>
        </w:rPr>
        <w:t>照明</w:t>
      </w:r>
      <w:r>
        <w:rPr>
          <w:rFonts w:hint="eastAsia"/>
          <w:color w:val="auto"/>
          <w:sz w:val="24"/>
          <w:highlight w:val="none"/>
        </w:rPr>
        <w:t>及检修系统、接地系统、安全滑触线、电缆和电缆构筑物、通信及火灾报警等。其分界面为：</w:t>
      </w:r>
    </w:p>
    <w:p w14:paraId="65417DB7">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Style w:val="54"/>
          <w:rFonts w:hint="eastAsia" w:ascii="宋体" w:hAnsi="宋体" w:eastAsia="宋体" w:cs="宋体"/>
          <w:snapToGrid w:val="0"/>
          <w:color w:val="auto"/>
          <w:kern w:val="28"/>
          <w:sz w:val="24"/>
          <w:szCs w:val="24"/>
          <w:highlight w:val="none"/>
          <w:lang w:val="en-US" w:eastAsia="zh-CN" w:bidi="ar-SA"/>
        </w:rPr>
      </w:pPr>
      <w:r>
        <w:rPr>
          <w:rStyle w:val="54"/>
          <w:rFonts w:hint="eastAsia" w:ascii="宋体" w:hAnsi="宋体" w:eastAsia="宋体" w:cs="宋体"/>
          <w:snapToGrid w:val="0"/>
          <w:color w:val="auto"/>
          <w:kern w:val="28"/>
          <w:sz w:val="24"/>
          <w:szCs w:val="24"/>
          <w:highlight w:val="none"/>
          <w:lang w:val="en-US" w:eastAsia="zh-CN" w:bidi="ar-SA"/>
        </w:rPr>
        <w:t>动力电缆：电缆由</w:t>
      </w:r>
      <w:r>
        <w:rPr>
          <w:rStyle w:val="54"/>
          <w:rFonts w:hint="eastAsia" w:ascii="宋体" w:hAnsi="宋体" w:cs="宋体"/>
          <w:snapToGrid w:val="0"/>
          <w:color w:val="auto"/>
          <w:kern w:val="28"/>
          <w:sz w:val="24"/>
          <w:szCs w:val="24"/>
          <w:highlight w:val="none"/>
          <w:lang w:val="en-US" w:eastAsia="zh-CN" w:bidi="ar-SA"/>
        </w:rPr>
        <w:t>招标方</w:t>
      </w:r>
      <w:r>
        <w:rPr>
          <w:rStyle w:val="54"/>
          <w:rFonts w:hint="eastAsia" w:ascii="宋体" w:hAnsi="宋体" w:eastAsia="宋体" w:cs="宋体"/>
          <w:snapToGrid w:val="0"/>
          <w:color w:val="auto"/>
          <w:kern w:val="28"/>
          <w:sz w:val="24"/>
          <w:szCs w:val="24"/>
          <w:highlight w:val="none"/>
          <w:lang w:val="en-US" w:eastAsia="zh-CN" w:bidi="ar-SA"/>
        </w:rPr>
        <w:t>负责至脱硫变，一端设备属于本工程。</w:t>
      </w:r>
    </w:p>
    <w:p w14:paraId="7BFB6216">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Style w:val="54"/>
          <w:rFonts w:hint="eastAsia" w:ascii="宋体" w:hAnsi="宋体" w:eastAsia="宋体" w:cs="宋体"/>
          <w:snapToGrid w:val="0"/>
          <w:color w:val="auto"/>
          <w:kern w:val="28"/>
          <w:sz w:val="24"/>
          <w:szCs w:val="24"/>
          <w:highlight w:val="none"/>
          <w:lang w:val="en-US" w:eastAsia="zh-CN" w:bidi="ar-SA"/>
        </w:rPr>
      </w:pPr>
      <w:r>
        <w:rPr>
          <w:rStyle w:val="54"/>
          <w:rFonts w:hint="eastAsia" w:ascii="宋体" w:hAnsi="宋体" w:eastAsia="宋体" w:cs="宋体"/>
          <w:snapToGrid w:val="0"/>
          <w:color w:val="auto"/>
          <w:kern w:val="28"/>
          <w:sz w:val="24"/>
          <w:szCs w:val="24"/>
          <w:highlight w:val="none"/>
          <w:lang w:val="en-US" w:eastAsia="zh-CN" w:bidi="ar-SA"/>
        </w:rPr>
        <w:t>控制电缆：电缆由</w:t>
      </w:r>
      <w:r>
        <w:rPr>
          <w:rStyle w:val="54"/>
          <w:rFonts w:hint="eastAsia" w:ascii="宋体" w:hAnsi="宋体" w:cs="宋体"/>
          <w:snapToGrid w:val="0"/>
          <w:color w:val="auto"/>
          <w:kern w:val="28"/>
          <w:sz w:val="24"/>
          <w:szCs w:val="24"/>
          <w:highlight w:val="none"/>
          <w:lang w:val="en-US" w:eastAsia="zh-CN" w:bidi="ar-SA"/>
        </w:rPr>
        <w:t>招标方</w:t>
      </w:r>
      <w:r>
        <w:rPr>
          <w:rStyle w:val="54"/>
          <w:rFonts w:hint="eastAsia" w:ascii="宋体" w:hAnsi="宋体" w:eastAsia="宋体" w:cs="宋体"/>
          <w:snapToGrid w:val="0"/>
          <w:color w:val="auto"/>
          <w:kern w:val="28"/>
          <w:sz w:val="24"/>
          <w:szCs w:val="24"/>
          <w:highlight w:val="none"/>
          <w:lang w:val="en-US" w:eastAsia="zh-CN" w:bidi="ar-SA"/>
        </w:rPr>
        <w:t>负责至脱硫变，一端设备属于本工程。</w:t>
      </w:r>
    </w:p>
    <w:p w14:paraId="07CBC158">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Style w:val="54"/>
          <w:rFonts w:hint="default" w:ascii="宋体" w:hAnsi="宋体" w:eastAsia="宋体" w:cs="宋体"/>
          <w:snapToGrid w:val="0"/>
          <w:color w:val="auto"/>
          <w:kern w:val="28"/>
          <w:sz w:val="24"/>
          <w:szCs w:val="24"/>
          <w:highlight w:val="none"/>
          <w:lang w:val="en-US" w:eastAsia="zh-CN" w:bidi="ar-SA"/>
        </w:rPr>
      </w:pPr>
      <w:r>
        <w:rPr>
          <w:rStyle w:val="54"/>
          <w:rFonts w:hint="eastAsia" w:ascii="宋体" w:hAnsi="宋体" w:eastAsia="宋体" w:cs="宋体"/>
          <w:snapToGrid w:val="0"/>
          <w:color w:val="auto"/>
          <w:kern w:val="28"/>
          <w:sz w:val="24"/>
          <w:szCs w:val="24"/>
          <w:highlight w:val="none"/>
          <w:lang w:val="en-US" w:eastAsia="zh-CN" w:bidi="ar-SA"/>
        </w:rPr>
        <w:t>直流、UPS电源：电缆由</w:t>
      </w:r>
      <w:r>
        <w:rPr>
          <w:rStyle w:val="54"/>
          <w:rFonts w:hint="eastAsia" w:ascii="宋体" w:hAnsi="宋体" w:cs="宋体"/>
          <w:snapToGrid w:val="0"/>
          <w:color w:val="auto"/>
          <w:kern w:val="28"/>
          <w:sz w:val="24"/>
          <w:szCs w:val="24"/>
          <w:highlight w:val="none"/>
          <w:lang w:val="en-US" w:eastAsia="zh-CN" w:bidi="ar-SA"/>
        </w:rPr>
        <w:t>招标方</w:t>
      </w:r>
      <w:r>
        <w:rPr>
          <w:rStyle w:val="54"/>
          <w:rFonts w:hint="eastAsia" w:ascii="宋体" w:hAnsi="宋体" w:eastAsia="宋体" w:cs="宋体"/>
          <w:snapToGrid w:val="0"/>
          <w:color w:val="auto"/>
          <w:kern w:val="28"/>
          <w:sz w:val="24"/>
          <w:szCs w:val="24"/>
          <w:highlight w:val="none"/>
          <w:lang w:val="en-US" w:eastAsia="zh-CN" w:bidi="ar-SA"/>
        </w:rPr>
        <w:t>负责至脱硫配电柜及DCS机柜，一端设备属于本工程。</w:t>
      </w:r>
    </w:p>
    <w:p w14:paraId="23E8F30D">
      <w:pPr>
        <w:adjustRightInd w:val="0"/>
        <w:snapToGrid w:val="0"/>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布袋除尘器、脱硫废水浓缩干化系统用电容量及间隔本工程设计。</w:t>
      </w:r>
    </w:p>
    <w:p w14:paraId="26AC7EAC">
      <w:pPr>
        <w:adjustRightInd w:val="0"/>
        <w:snapToGrid w:val="0"/>
        <w:spacing w:line="360" w:lineRule="auto"/>
        <w:rPr>
          <w:color w:val="auto"/>
          <w:sz w:val="24"/>
          <w:highlight w:val="none"/>
        </w:rPr>
      </w:pPr>
      <w:r>
        <w:rPr>
          <w:color w:val="auto"/>
          <w:sz w:val="24"/>
          <w:highlight w:val="none"/>
        </w:rPr>
        <w:t>2.3.1</w:t>
      </w:r>
      <w:r>
        <w:rPr>
          <w:rFonts w:hint="eastAsia" w:ascii="宋体" w:hAnsi="宋体"/>
          <w:color w:val="auto"/>
          <w:kern w:val="0"/>
          <w:sz w:val="24"/>
          <w:highlight w:val="none"/>
        </w:rPr>
        <w:t>脱硫区10kV进线</w:t>
      </w:r>
      <w:r>
        <w:rPr>
          <w:rFonts w:ascii="宋体" w:hAnsi="宋体"/>
          <w:snapToGrid w:val="0"/>
          <w:color w:val="auto"/>
          <w:sz w:val="24"/>
          <w:highlight w:val="none"/>
        </w:rPr>
        <w:t>电源接口在脱硫</w:t>
      </w:r>
      <w:r>
        <w:rPr>
          <w:rFonts w:hint="eastAsia" w:ascii="宋体" w:hAnsi="宋体"/>
          <w:snapToGrid w:val="0"/>
          <w:color w:val="auto"/>
          <w:sz w:val="24"/>
          <w:highlight w:val="none"/>
        </w:rPr>
        <w:t>变压器</w:t>
      </w:r>
      <w:r>
        <w:rPr>
          <w:rFonts w:ascii="宋体" w:hAnsi="宋体"/>
          <w:snapToGrid w:val="0"/>
          <w:color w:val="auto"/>
          <w:sz w:val="24"/>
          <w:highlight w:val="none"/>
        </w:rPr>
        <w:t>进线端子处，</w:t>
      </w:r>
      <w:r>
        <w:rPr>
          <w:color w:val="auto"/>
          <w:sz w:val="24"/>
          <w:highlight w:val="none"/>
        </w:rPr>
        <w:t>10kV开关柜</w:t>
      </w:r>
      <w:bookmarkStart w:id="160" w:name="OLE_LINK43"/>
      <w:r>
        <w:rPr>
          <w:rFonts w:hint="eastAsia"/>
          <w:color w:val="auto"/>
          <w:sz w:val="24"/>
          <w:highlight w:val="none"/>
          <w:lang w:val="en-US" w:eastAsia="zh-CN"/>
        </w:rPr>
        <w:t>由招</w:t>
      </w:r>
      <w:r>
        <w:rPr>
          <w:rFonts w:hint="eastAsia"/>
          <w:color w:val="auto"/>
          <w:sz w:val="24"/>
          <w:highlight w:val="none"/>
          <w:lang w:eastAsia="zh-CN"/>
        </w:rPr>
        <w:t>标方</w:t>
      </w:r>
      <w:bookmarkEnd w:id="160"/>
      <w:r>
        <w:rPr>
          <w:rFonts w:hint="eastAsia"/>
          <w:color w:val="auto"/>
          <w:sz w:val="24"/>
          <w:highlight w:val="none"/>
          <w:lang w:val="en-US" w:eastAsia="zh-CN"/>
        </w:rPr>
        <w:t>负责</w:t>
      </w:r>
      <w:r>
        <w:rPr>
          <w:color w:val="auto"/>
          <w:sz w:val="24"/>
          <w:highlight w:val="none"/>
        </w:rPr>
        <w:t>。10kV以下</w:t>
      </w:r>
      <w:r>
        <w:rPr>
          <w:rFonts w:hint="eastAsia"/>
          <w:color w:val="auto"/>
          <w:sz w:val="24"/>
          <w:highlight w:val="none"/>
        </w:rPr>
        <w:t>配电</w:t>
      </w:r>
      <w:r>
        <w:rPr>
          <w:color w:val="auto"/>
          <w:sz w:val="24"/>
          <w:highlight w:val="none"/>
        </w:rPr>
        <w:t>系统由</w:t>
      </w:r>
      <w:bookmarkStart w:id="161" w:name="OLE_LINK44"/>
      <w:r>
        <w:rPr>
          <w:rFonts w:hint="eastAsia"/>
          <w:color w:val="auto"/>
          <w:sz w:val="24"/>
          <w:highlight w:val="none"/>
          <w:lang w:eastAsia="zh-CN"/>
        </w:rPr>
        <w:t>投标方</w:t>
      </w:r>
      <w:bookmarkEnd w:id="161"/>
      <w:r>
        <w:rPr>
          <w:color w:val="auto"/>
          <w:sz w:val="24"/>
          <w:highlight w:val="none"/>
        </w:rPr>
        <w:t>负责（含干式变压器）。</w:t>
      </w:r>
    </w:p>
    <w:p w14:paraId="5A1262FB">
      <w:pPr>
        <w:adjustRightInd w:val="0"/>
        <w:snapToGrid w:val="0"/>
        <w:spacing w:line="360" w:lineRule="auto"/>
        <w:rPr>
          <w:color w:val="auto"/>
          <w:sz w:val="24"/>
          <w:highlight w:val="none"/>
        </w:rPr>
      </w:pPr>
      <w:r>
        <w:rPr>
          <w:rFonts w:hint="eastAsia" w:ascii="宋体" w:hAnsi="宋体" w:cs="宋体"/>
          <w:color w:val="auto"/>
          <w:sz w:val="24"/>
          <w:highlight w:val="none"/>
        </w:rPr>
        <w:t>2.3.1.</w:t>
      </w:r>
      <w:r>
        <w:rPr>
          <w:rFonts w:hint="eastAsia" w:ascii="宋体" w:hAnsi="宋体" w:cs="宋体"/>
          <w:color w:val="auto"/>
          <w:sz w:val="24"/>
          <w:highlight w:val="none"/>
          <w:lang w:val="en-US" w:eastAsia="zh-CN"/>
        </w:rPr>
        <w:t>2</w:t>
      </w:r>
      <w:r>
        <w:rPr>
          <w:color w:val="auto"/>
          <w:sz w:val="24"/>
          <w:highlight w:val="none"/>
        </w:rPr>
        <w:t>脱硫区接地在脱硫区域外</w:t>
      </w:r>
      <w:r>
        <w:rPr>
          <w:rFonts w:hint="eastAsia"/>
          <w:color w:val="auto"/>
          <w:sz w:val="24"/>
          <w:highlight w:val="none"/>
          <w:lang w:eastAsia="zh-CN"/>
        </w:rPr>
        <w:t>附近</w:t>
      </w:r>
      <w:r>
        <w:rPr>
          <w:rFonts w:hint="eastAsia"/>
          <w:color w:val="auto"/>
          <w:sz w:val="24"/>
          <w:highlight w:val="none"/>
          <w:lang w:eastAsia="zh-CN"/>
        </w:rPr>
        <w:t>引入</w:t>
      </w:r>
      <w:r>
        <w:rPr>
          <w:rFonts w:hint="eastAsia"/>
          <w:color w:val="auto"/>
          <w:sz w:val="24"/>
          <w:highlight w:val="none"/>
        </w:rPr>
        <w:t>，</w:t>
      </w:r>
      <w:r>
        <w:rPr>
          <w:color w:val="auto"/>
          <w:sz w:val="24"/>
          <w:highlight w:val="none"/>
        </w:rPr>
        <w:t>并接入主体接地网。</w:t>
      </w:r>
    </w:p>
    <w:p w14:paraId="057B1B5A">
      <w:pPr>
        <w:adjustRightInd w:val="0"/>
        <w:snapToGrid w:val="0"/>
        <w:spacing w:line="360" w:lineRule="auto"/>
        <w:rPr>
          <w:color w:val="auto"/>
          <w:sz w:val="24"/>
          <w:highlight w:val="none"/>
        </w:rPr>
      </w:pPr>
      <w:r>
        <w:rPr>
          <w:color w:val="auto"/>
          <w:sz w:val="24"/>
          <w:highlight w:val="none"/>
        </w:rPr>
        <w:t>2.3.1.</w:t>
      </w:r>
      <w:r>
        <w:rPr>
          <w:rFonts w:hint="eastAsia"/>
          <w:color w:val="auto"/>
          <w:sz w:val="24"/>
          <w:highlight w:val="none"/>
          <w:lang w:val="en-US" w:eastAsia="zh-CN"/>
        </w:rPr>
        <w:t>3</w:t>
      </w:r>
      <w:r>
        <w:rPr>
          <w:color w:val="auto"/>
          <w:sz w:val="24"/>
          <w:highlight w:val="none"/>
        </w:rPr>
        <w:t>脱硫区照明</w:t>
      </w:r>
      <w:r>
        <w:rPr>
          <w:rFonts w:hint="eastAsia"/>
          <w:color w:val="auto"/>
          <w:sz w:val="24"/>
          <w:highlight w:val="none"/>
        </w:rPr>
        <w:t>（不含道路照明）</w:t>
      </w:r>
      <w:r>
        <w:rPr>
          <w:color w:val="auto"/>
          <w:sz w:val="24"/>
          <w:highlight w:val="none"/>
        </w:rPr>
        <w:t>。</w:t>
      </w:r>
    </w:p>
    <w:p w14:paraId="5673BEFD">
      <w:pPr>
        <w:adjustRightInd w:val="0"/>
        <w:snapToGrid w:val="0"/>
        <w:spacing w:line="360" w:lineRule="auto"/>
        <w:rPr>
          <w:rFonts w:hint="eastAsia"/>
          <w:color w:val="auto"/>
          <w:sz w:val="24"/>
          <w:highlight w:val="none"/>
        </w:rPr>
      </w:pPr>
      <w:r>
        <w:rPr>
          <w:color w:val="auto"/>
          <w:sz w:val="24"/>
          <w:highlight w:val="none"/>
        </w:rPr>
        <w:t>2.3.1.</w:t>
      </w:r>
      <w:r>
        <w:rPr>
          <w:rFonts w:hint="eastAsia"/>
          <w:color w:val="auto"/>
          <w:sz w:val="24"/>
          <w:highlight w:val="none"/>
          <w:lang w:val="en-US" w:eastAsia="zh-CN"/>
        </w:rPr>
        <w:t>4</w:t>
      </w:r>
      <w:r>
        <w:rPr>
          <w:color w:val="auto"/>
          <w:sz w:val="24"/>
          <w:highlight w:val="none"/>
        </w:rPr>
        <w:t>脱硫区</w:t>
      </w:r>
      <w:r>
        <w:rPr>
          <w:rFonts w:hint="eastAsia"/>
          <w:color w:val="auto"/>
          <w:sz w:val="24"/>
          <w:highlight w:val="none"/>
        </w:rPr>
        <w:t>连接电缆两头的设备其中有一头设备是</w:t>
      </w:r>
      <w:r>
        <w:rPr>
          <w:rFonts w:hint="eastAsia"/>
          <w:color w:val="auto"/>
          <w:sz w:val="24"/>
          <w:highlight w:val="none"/>
          <w:lang w:eastAsia="zh-CN"/>
        </w:rPr>
        <w:t>招标方</w:t>
      </w:r>
      <w:r>
        <w:rPr>
          <w:rFonts w:hint="eastAsia"/>
          <w:color w:val="auto"/>
          <w:sz w:val="24"/>
          <w:highlight w:val="none"/>
        </w:rPr>
        <w:t>供货的，则该电缆由</w:t>
      </w:r>
      <w:r>
        <w:rPr>
          <w:rFonts w:hint="eastAsia"/>
          <w:color w:val="auto"/>
          <w:sz w:val="24"/>
          <w:highlight w:val="none"/>
          <w:lang w:eastAsia="zh-CN"/>
        </w:rPr>
        <w:t>招标方</w:t>
      </w:r>
      <w:r>
        <w:rPr>
          <w:rFonts w:hint="eastAsia"/>
          <w:color w:val="auto"/>
          <w:sz w:val="24"/>
          <w:highlight w:val="none"/>
        </w:rPr>
        <w:t>设计，除非另有定义。</w:t>
      </w:r>
    </w:p>
    <w:p w14:paraId="58B106D3">
      <w:pPr>
        <w:adjustRightInd w:val="0"/>
        <w:snapToGrid w:val="0"/>
        <w:spacing w:line="360" w:lineRule="auto"/>
        <w:rPr>
          <w:color w:val="auto"/>
          <w:sz w:val="24"/>
          <w:highlight w:val="none"/>
        </w:rPr>
      </w:pPr>
      <w:r>
        <w:rPr>
          <w:color w:val="auto"/>
          <w:sz w:val="24"/>
          <w:highlight w:val="none"/>
        </w:rPr>
        <w:t>2.3.1.</w:t>
      </w:r>
      <w:r>
        <w:rPr>
          <w:rFonts w:hint="eastAsia"/>
          <w:color w:val="auto"/>
          <w:sz w:val="24"/>
          <w:highlight w:val="none"/>
          <w:lang w:val="en-US" w:eastAsia="zh-CN"/>
        </w:rPr>
        <w:t>5</w:t>
      </w:r>
      <w:r>
        <w:rPr>
          <w:rFonts w:hint="eastAsia"/>
          <w:color w:val="auto"/>
          <w:sz w:val="24"/>
          <w:highlight w:val="none"/>
          <w:lang w:eastAsia="zh-CN"/>
        </w:rPr>
        <w:t>脱硫区内通向布袋除尘及脱硫废水浓缩干化系统的电缆沟及桥架设计。</w:t>
      </w:r>
    </w:p>
    <w:p w14:paraId="7A48CB52">
      <w:pPr>
        <w:spacing w:line="360" w:lineRule="auto"/>
        <w:outlineLvl w:val="2"/>
        <w:rPr>
          <w:b/>
          <w:bCs/>
          <w:color w:val="auto"/>
          <w:sz w:val="24"/>
          <w:highlight w:val="none"/>
        </w:rPr>
      </w:pPr>
      <w:r>
        <w:rPr>
          <w:b/>
          <w:bCs/>
          <w:color w:val="auto"/>
          <w:sz w:val="24"/>
          <w:highlight w:val="none"/>
        </w:rPr>
        <w:t>2.3.2 电气供货</w:t>
      </w:r>
      <w:r>
        <w:rPr>
          <w:rFonts w:hint="eastAsia"/>
          <w:b/>
          <w:bCs/>
          <w:color w:val="auto"/>
          <w:sz w:val="24"/>
          <w:highlight w:val="none"/>
          <w:lang w:eastAsia="zh-CN"/>
        </w:rPr>
        <w:t>及安装</w:t>
      </w:r>
      <w:r>
        <w:rPr>
          <w:b/>
          <w:bCs/>
          <w:color w:val="auto"/>
          <w:sz w:val="24"/>
          <w:highlight w:val="none"/>
        </w:rPr>
        <w:t>范围</w:t>
      </w:r>
    </w:p>
    <w:p w14:paraId="7695FF80">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Fonts w:hint="eastAsia"/>
          <w:color w:val="auto"/>
          <w:sz w:val="24"/>
          <w:highlight w:val="none"/>
        </w:rPr>
      </w:pPr>
      <w:r>
        <w:rPr>
          <w:rFonts w:hint="eastAsia"/>
          <w:color w:val="auto"/>
          <w:sz w:val="24"/>
          <w:highlight w:val="none"/>
        </w:rPr>
        <w:t>电气系统包括供配电系统、电气控制与保护、</w:t>
      </w:r>
      <w:r>
        <w:rPr>
          <w:rFonts w:hint="eastAsia"/>
          <w:color w:val="auto"/>
          <w:sz w:val="24"/>
          <w:highlight w:val="none"/>
        </w:rPr>
        <w:t>照明</w:t>
      </w:r>
      <w:r>
        <w:rPr>
          <w:rFonts w:hint="eastAsia"/>
          <w:color w:val="auto"/>
          <w:sz w:val="24"/>
          <w:highlight w:val="none"/>
        </w:rPr>
        <w:t>及检修系统、接地系统、安全滑触线、电缆和电缆构筑物、通信及火灾报警等。其分界面为：</w:t>
      </w:r>
    </w:p>
    <w:p w14:paraId="338907A1">
      <w:pPr>
        <w:adjustRightInd w:val="0"/>
        <w:snapToGrid w:val="0"/>
        <w:spacing w:line="360" w:lineRule="auto"/>
        <w:ind w:firstLine="480" w:firstLineChars="200"/>
        <w:rPr>
          <w:rFonts w:hint="default"/>
          <w:color w:val="auto"/>
          <w:sz w:val="24"/>
          <w:highlight w:val="none"/>
          <w:lang w:val="en-US"/>
        </w:rPr>
      </w:pPr>
      <w:r>
        <w:rPr>
          <w:rFonts w:hint="eastAsia"/>
          <w:color w:val="auto"/>
          <w:sz w:val="24"/>
          <w:highlight w:val="none"/>
          <w:lang w:val="en-US" w:eastAsia="zh-CN"/>
        </w:rPr>
        <w:t>脱硫区</w:t>
      </w:r>
      <w:r>
        <w:rPr>
          <w:color w:val="auto"/>
          <w:sz w:val="24"/>
          <w:highlight w:val="none"/>
        </w:rPr>
        <w:t>干式变压器、低压开关柜、母线桥、</w:t>
      </w:r>
      <w:r>
        <w:rPr>
          <w:color w:val="auto"/>
          <w:sz w:val="24"/>
          <w:highlight w:val="none"/>
        </w:rPr>
        <w:t>低压MCC开关柜</w:t>
      </w:r>
      <w:r>
        <w:rPr>
          <w:rFonts w:hint="eastAsia"/>
          <w:color w:val="auto"/>
          <w:sz w:val="24"/>
          <w:szCs w:val="24"/>
          <w:highlight w:val="none"/>
          <w:lang w:val="en-US" w:eastAsia="zh-CN"/>
        </w:rPr>
        <w:t>电缆等所有电气设备及材料</w:t>
      </w:r>
      <w:r>
        <w:rPr>
          <w:color w:val="auto"/>
          <w:sz w:val="24"/>
          <w:highlight w:val="none"/>
        </w:rPr>
        <w:t>由</w:t>
      </w:r>
      <w:r>
        <w:rPr>
          <w:rFonts w:hint="eastAsia"/>
          <w:color w:val="auto"/>
          <w:sz w:val="24"/>
          <w:highlight w:val="none"/>
          <w:lang w:eastAsia="zh-CN"/>
        </w:rPr>
        <w:t>投标方</w:t>
      </w:r>
      <w:r>
        <w:rPr>
          <w:color w:val="auto"/>
          <w:sz w:val="24"/>
          <w:highlight w:val="none"/>
        </w:rPr>
        <w:t>供货</w:t>
      </w:r>
      <w:r>
        <w:rPr>
          <w:rFonts w:hint="eastAsia"/>
          <w:color w:val="auto"/>
          <w:sz w:val="24"/>
          <w:highlight w:val="none"/>
          <w:lang w:eastAsia="zh-CN"/>
        </w:rPr>
        <w:t>、</w:t>
      </w:r>
      <w:r>
        <w:rPr>
          <w:rFonts w:hint="eastAsia"/>
          <w:color w:val="auto"/>
          <w:sz w:val="24"/>
          <w:highlight w:val="none"/>
          <w:lang w:val="en-US" w:eastAsia="zh-CN"/>
        </w:rPr>
        <w:t>施工</w:t>
      </w:r>
      <w:r>
        <w:rPr>
          <w:color w:val="auto"/>
          <w:sz w:val="24"/>
          <w:highlight w:val="none"/>
        </w:rPr>
        <w:t>。</w:t>
      </w:r>
      <w:r>
        <w:rPr>
          <w:rFonts w:hint="eastAsia"/>
          <w:color w:val="auto"/>
          <w:sz w:val="24"/>
          <w:highlight w:val="none"/>
          <w:lang w:val="en-US" w:eastAsia="zh-CN"/>
        </w:rPr>
        <w:t>布袋除尘器、脱硫废水浓缩干化系</w:t>
      </w:r>
      <w:r>
        <w:rPr>
          <w:rStyle w:val="54"/>
          <w:rFonts w:hint="eastAsia" w:ascii="宋体" w:hAnsi="宋体" w:eastAsia="宋体" w:cs="宋体"/>
          <w:snapToGrid w:val="0"/>
          <w:color w:val="auto"/>
          <w:kern w:val="28"/>
          <w:sz w:val="24"/>
          <w:szCs w:val="24"/>
          <w:highlight w:val="none"/>
          <w:lang w:val="en-US" w:eastAsia="zh-CN" w:bidi="ar-SA"/>
        </w:rPr>
        <w:t>供电回路间隔</w:t>
      </w:r>
      <w:r>
        <w:rPr>
          <w:color w:val="auto"/>
          <w:sz w:val="24"/>
          <w:highlight w:val="none"/>
        </w:rPr>
        <w:t>由</w:t>
      </w:r>
      <w:r>
        <w:rPr>
          <w:rFonts w:hint="eastAsia"/>
          <w:color w:val="auto"/>
          <w:sz w:val="24"/>
          <w:highlight w:val="none"/>
          <w:lang w:eastAsia="zh-CN"/>
        </w:rPr>
        <w:t>投标方</w:t>
      </w:r>
      <w:r>
        <w:rPr>
          <w:color w:val="auto"/>
          <w:sz w:val="24"/>
          <w:highlight w:val="none"/>
        </w:rPr>
        <w:t>供货</w:t>
      </w:r>
      <w:r>
        <w:rPr>
          <w:rFonts w:hint="eastAsia"/>
          <w:color w:val="auto"/>
          <w:sz w:val="24"/>
          <w:highlight w:val="none"/>
          <w:lang w:eastAsia="zh-CN"/>
        </w:rPr>
        <w:t>、</w:t>
      </w:r>
      <w:r>
        <w:rPr>
          <w:rFonts w:hint="eastAsia"/>
          <w:color w:val="auto"/>
          <w:sz w:val="24"/>
          <w:highlight w:val="none"/>
          <w:lang w:val="en-US" w:eastAsia="zh-CN"/>
        </w:rPr>
        <w:t>施工。</w:t>
      </w:r>
    </w:p>
    <w:p w14:paraId="3DC0A14E">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Style w:val="54"/>
          <w:rFonts w:hint="default" w:ascii="宋体" w:hAnsi="宋体" w:eastAsia="宋体" w:cs="宋体"/>
          <w:snapToGrid w:val="0"/>
          <w:color w:val="auto"/>
          <w:kern w:val="28"/>
          <w:sz w:val="24"/>
          <w:szCs w:val="24"/>
          <w:highlight w:val="none"/>
          <w:lang w:val="en-US" w:eastAsia="zh-CN" w:bidi="ar-SA"/>
        </w:rPr>
      </w:pPr>
      <w:r>
        <w:rPr>
          <w:rStyle w:val="54"/>
          <w:rFonts w:hint="eastAsia" w:ascii="宋体" w:hAnsi="宋体" w:eastAsia="宋体" w:cs="宋体"/>
          <w:snapToGrid w:val="0"/>
          <w:color w:val="auto"/>
          <w:kern w:val="28"/>
          <w:sz w:val="24"/>
          <w:szCs w:val="24"/>
          <w:highlight w:val="none"/>
          <w:lang w:val="en-US" w:eastAsia="zh-CN" w:bidi="ar-SA"/>
        </w:rPr>
        <w:t>动力电缆：电缆由</w:t>
      </w:r>
      <w:r>
        <w:rPr>
          <w:rStyle w:val="54"/>
          <w:rFonts w:hint="eastAsia" w:ascii="宋体" w:hAnsi="宋体" w:cs="宋体"/>
          <w:snapToGrid w:val="0"/>
          <w:color w:val="auto"/>
          <w:kern w:val="28"/>
          <w:sz w:val="24"/>
          <w:szCs w:val="24"/>
          <w:highlight w:val="none"/>
          <w:lang w:val="en-US" w:eastAsia="zh-CN" w:bidi="ar-SA"/>
        </w:rPr>
        <w:t>招标方</w:t>
      </w:r>
      <w:r>
        <w:rPr>
          <w:rStyle w:val="54"/>
          <w:rFonts w:hint="eastAsia" w:ascii="宋体" w:hAnsi="宋体" w:eastAsia="宋体" w:cs="宋体"/>
          <w:snapToGrid w:val="0"/>
          <w:color w:val="auto"/>
          <w:kern w:val="28"/>
          <w:sz w:val="24"/>
          <w:szCs w:val="24"/>
          <w:highlight w:val="none"/>
          <w:lang w:val="en-US" w:eastAsia="zh-CN" w:bidi="ar-SA"/>
        </w:rPr>
        <w:t>负责至脱硫变，一端设备属于</w:t>
      </w:r>
      <w:r>
        <w:rPr>
          <w:rStyle w:val="54"/>
          <w:rFonts w:hint="eastAsia" w:ascii="宋体" w:hAnsi="宋体" w:cs="宋体"/>
          <w:snapToGrid w:val="0"/>
          <w:color w:val="auto"/>
          <w:kern w:val="28"/>
          <w:sz w:val="24"/>
          <w:szCs w:val="24"/>
          <w:highlight w:val="none"/>
          <w:lang w:val="en-US" w:eastAsia="zh-CN" w:bidi="ar-SA"/>
        </w:rPr>
        <w:t>投标方负责施工</w:t>
      </w:r>
      <w:r>
        <w:rPr>
          <w:rStyle w:val="54"/>
          <w:rFonts w:hint="eastAsia" w:ascii="宋体" w:hAnsi="宋体" w:eastAsia="宋体" w:cs="宋体"/>
          <w:snapToGrid w:val="0"/>
          <w:color w:val="auto"/>
          <w:kern w:val="28"/>
          <w:sz w:val="24"/>
          <w:szCs w:val="24"/>
          <w:highlight w:val="none"/>
          <w:lang w:val="en-US" w:eastAsia="zh-CN" w:bidi="ar-SA"/>
        </w:rPr>
        <w:t>。</w:t>
      </w:r>
      <w:r>
        <w:rPr>
          <w:rStyle w:val="54"/>
          <w:rFonts w:hint="eastAsia" w:ascii="宋体" w:hAnsi="宋体" w:cs="宋体"/>
          <w:snapToGrid w:val="0"/>
          <w:color w:val="auto"/>
          <w:kern w:val="28"/>
          <w:sz w:val="24"/>
          <w:szCs w:val="24"/>
          <w:highlight w:val="none"/>
          <w:lang w:val="en-US" w:eastAsia="zh-CN" w:bidi="ar-SA"/>
        </w:rPr>
        <w:t>其余本工程范围的动力电缆均属投标方供货、施工。</w:t>
      </w:r>
    </w:p>
    <w:p w14:paraId="5D5E3B82">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Style w:val="54"/>
          <w:rFonts w:hint="eastAsia" w:ascii="宋体" w:hAnsi="宋体" w:eastAsia="宋体" w:cs="宋体"/>
          <w:snapToGrid w:val="0"/>
          <w:color w:val="auto"/>
          <w:kern w:val="28"/>
          <w:sz w:val="24"/>
          <w:szCs w:val="24"/>
          <w:highlight w:val="none"/>
          <w:lang w:val="en-US" w:eastAsia="zh-CN" w:bidi="ar-SA"/>
        </w:rPr>
      </w:pPr>
      <w:r>
        <w:rPr>
          <w:rStyle w:val="54"/>
          <w:rFonts w:hint="eastAsia" w:ascii="宋体" w:hAnsi="宋体" w:eastAsia="宋体" w:cs="宋体"/>
          <w:snapToGrid w:val="0"/>
          <w:color w:val="auto"/>
          <w:kern w:val="28"/>
          <w:sz w:val="24"/>
          <w:szCs w:val="24"/>
          <w:highlight w:val="none"/>
          <w:lang w:val="en-US" w:eastAsia="zh-CN" w:bidi="ar-SA"/>
        </w:rPr>
        <w:t>控制电缆：电缆由</w:t>
      </w:r>
      <w:r>
        <w:rPr>
          <w:rStyle w:val="54"/>
          <w:rFonts w:hint="eastAsia" w:ascii="宋体" w:hAnsi="宋体" w:cs="宋体"/>
          <w:snapToGrid w:val="0"/>
          <w:color w:val="auto"/>
          <w:kern w:val="28"/>
          <w:sz w:val="24"/>
          <w:szCs w:val="24"/>
          <w:highlight w:val="none"/>
          <w:lang w:val="en-US" w:eastAsia="zh-CN" w:bidi="ar-SA"/>
        </w:rPr>
        <w:t>招标方</w:t>
      </w:r>
      <w:r>
        <w:rPr>
          <w:rStyle w:val="54"/>
          <w:rFonts w:hint="eastAsia" w:ascii="宋体" w:hAnsi="宋体" w:eastAsia="宋体" w:cs="宋体"/>
          <w:snapToGrid w:val="0"/>
          <w:color w:val="auto"/>
          <w:kern w:val="28"/>
          <w:sz w:val="24"/>
          <w:szCs w:val="24"/>
          <w:highlight w:val="none"/>
          <w:lang w:val="en-US" w:eastAsia="zh-CN" w:bidi="ar-SA"/>
        </w:rPr>
        <w:t>负责至脱硫变，一端设备</w:t>
      </w:r>
      <w:r>
        <w:rPr>
          <w:rStyle w:val="54"/>
          <w:rFonts w:hint="eastAsia" w:ascii="宋体" w:hAnsi="宋体" w:cs="宋体"/>
          <w:snapToGrid w:val="0"/>
          <w:color w:val="auto"/>
          <w:kern w:val="28"/>
          <w:sz w:val="24"/>
          <w:szCs w:val="24"/>
          <w:highlight w:val="none"/>
          <w:lang w:val="en-US" w:eastAsia="zh-CN" w:bidi="ar-SA"/>
        </w:rPr>
        <w:t>投标方负责施工</w:t>
      </w:r>
      <w:r>
        <w:rPr>
          <w:rStyle w:val="54"/>
          <w:rFonts w:hint="eastAsia" w:ascii="宋体" w:hAnsi="宋体" w:eastAsia="宋体" w:cs="宋体"/>
          <w:snapToGrid w:val="0"/>
          <w:color w:val="auto"/>
          <w:kern w:val="28"/>
          <w:sz w:val="24"/>
          <w:szCs w:val="24"/>
          <w:highlight w:val="none"/>
          <w:lang w:val="en-US" w:eastAsia="zh-CN" w:bidi="ar-SA"/>
        </w:rPr>
        <w:t>。</w:t>
      </w:r>
      <w:r>
        <w:rPr>
          <w:rStyle w:val="54"/>
          <w:rFonts w:hint="eastAsia" w:ascii="宋体" w:hAnsi="宋体" w:cs="宋体"/>
          <w:snapToGrid w:val="0"/>
          <w:color w:val="auto"/>
          <w:kern w:val="28"/>
          <w:sz w:val="24"/>
          <w:szCs w:val="24"/>
          <w:highlight w:val="none"/>
          <w:lang w:val="en-US" w:eastAsia="zh-CN" w:bidi="ar-SA"/>
        </w:rPr>
        <w:t>其余本工程范围的控制电缆均属投标方供货、施工。</w:t>
      </w:r>
    </w:p>
    <w:p w14:paraId="2426363E">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rStyle w:val="54"/>
          <w:rFonts w:hint="default" w:ascii="宋体" w:hAnsi="宋体" w:eastAsia="宋体" w:cs="宋体"/>
          <w:snapToGrid w:val="0"/>
          <w:color w:val="auto"/>
          <w:kern w:val="28"/>
          <w:sz w:val="24"/>
          <w:szCs w:val="24"/>
          <w:highlight w:val="none"/>
          <w:lang w:val="en-US" w:eastAsia="zh-CN" w:bidi="ar-SA"/>
        </w:rPr>
      </w:pPr>
      <w:r>
        <w:rPr>
          <w:rStyle w:val="54"/>
          <w:rFonts w:hint="eastAsia" w:ascii="宋体" w:hAnsi="宋体" w:eastAsia="宋体" w:cs="宋体"/>
          <w:snapToGrid w:val="0"/>
          <w:color w:val="auto"/>
          <w:kern w:val="28"/>
          <w:sz w:val="24"/>
          <w:szCs w:val="24"/>
          <w:highlight w:val="none"/>
          <w:lang w:val="en-US" w:eastAsia="zh-CN" w:bidi="ar-SA"/>
        </w:rPr>
        <w:t>直流、UPS电源：电缆由</w:t>
      </w:r>
      <w:r>
        <w:rPr>
          <w:rStyle w:val="54"/>
          <w:rFonts w:hint="eastAsia" w:ascii="宋体" w:hAnsi="宋体" w:cs="宋体"/>
          <w:snapToGrid w:val="0"/>
          <w:color w:val="auto"/>
          <w:kern w:val="28"/>
          <w:sz w:val="24"/>
          <w:szCs w:val="24"/>
          <w:highlight w:val="none"/>
          <w:lang w:val="en-US" w:eastAsia="zh-CN" w:bidi="ar-SA"/>
        </w:rPr>
        <w:t>招标方</w:t>
      </w:r>
      <w:r>
        <w:rPr>
          <w:rStyle w:val="54"/>
          <w:rFonts w:hint="eastAsia" w:ascii="宋体" w:hAnsi="宋体" w:eastAsia="宋体" w:cs="宋体"/>
          <w:snapToGrid w:val="0"/>
          <w:color w:val="auto"/>
          <w:kern w:val="28"/>
          <w:sz w:val="24"/>
          <w:szCs w:val="24"/>
          <w:highlight w:val="none"/>
          <w:lang w:val="en-US" w:eastAsia="zh-CN" w:bidi="ar-SA"/>
        </w:rPr>
        <w:t>负责至脱硫配电柜及DCS机柜，一端设备</w:t>
      </w:r>
      <w:r>
        <w:rPr>
          <w:rStyle w:val="54"/>
          <w:rFonts w:hint="eastAsia" w:ascii="宋体" w:hAnsi="宋体" w:cs="宋体"/>
          <w:snapToGrid w:val="0"/>
          <w:color w:val="auto"/>
          <w:kern w:val="28"/>
          <w:sz w:val="24"/>
          <w:szCs w:val="24"/>
          <w:highlight w:val="none"/>
          <w:lang w:val="en-US" w:eastAsia="zh-CN" w:bidi="ar-SA"/>
        </w:rPr>
        <w:t>投标方负责施工</w:t>
      </w:r>
      <w:r>
        <w:rPr>
          <w:rStyle w:val="54"/>
          <w:rFonts w:hint="eastAsia" w:ascii="宋体" w:hAnsi="宋体" w:eastAsia="宋体" w:cs="宋体"/>
          <w:snapToGrid w:val="0"/>
          <w:color w:val="auto"/>
          <w:kern w:val="28"/>
          <w:sz w:val="24"/>
          <w:szCs w:val="24"/>
          <w:highlight w:val="none"/>
          <w:lang w:val="en-US" w:eastAsia="zh-CN" w:bidi="ar-SA"/>
        </w:rPr>
        <w:t>。</w:t>
      </w:r>
      <w:r>
        <w:rPr>
          <w:rStyle w:val="54"/>
          <w:rFonts w:hint="eastAsia" w:ascii="宋体" w:hAnsi="宋体" w:cs="宋体"/>
          <w:snapToGrid w:val="0"/>
          <w:color w:val="auto"/>
          <w:kern w:val="28"/>
          <w:sz w:val="24"/>
          <w:szCs w:val="24"/>
          <w:highlight w:val="none"/>
          <w:lang w:val="en-US" w:eastAsia="zh-CN" w:bidi="ar-SA"/>
        </w:rPr>
        <w:t>其余本工程范围的</w:t>
      </w:r>
      <w:r>
        <w:rPr>
          <w:rStyle w:val="54"/>
          <w:rFonts w:hint="eastAsia" w:ascii="宋体" w:hAnsi="宋体" w:eastAsia="宋体" w:cs="宋体"/>
          <w:snapToGrid w:val="0"/>
          <w:color w:val="auto"/>
          <w:kern w:val="28"/>
          <w:sz w:val="24"/>
          <w:szCs w:val="24"/>
          <w:highlight w:val="none"/>
          <w:lang w:val="en-US" w:eastAsia="zh-CN" w:bidi="ar-SA"/>
        </w:rPr>
        <w:t>直流、UPS电源</w:t>
      </w:r>
      <w:r>
        <w:rPr>
          <w:rStyle w:val="54"/>
          <w:rFonts w:hint="eastAsia" w:ascii="宋体" w:hAnsi="宋体" w:cs="宋体"/>
          <w:snapToGrid w:val="0"/>
          <w:color w:val="auto"/>
          <w:kern w:val="28"/>
          <w:sz w:val="24"/>
          <w:szCs w:val="24"/>
          <w:highlight w:val="none"/>
          <w:lang w:val="en-US" w:eastAsia="zh-CN" w:bidi="ar-SA"/>
        </w:rPr>
        <w:t>系统均属投标方供货、施工</w:t>
      </w:r>
    </w:p>
    <w:p w14:paraId="2B118D7E">
      <w:pPr>
        <w:adjustRightInd w:val="0"/>
        <w:snapToGrid w:val="0"/>
        <w:spacing w:line="360" w:lineRule="auto"/>
        <w:ind w:firstLine="480" w:firstLineChars="200"/>
        <w:rPr>
          <w:color w:val="auto"/>
          <w:sz w:val="24"/>
          <w:highlight w:val="none"/>
        </w:rPr>
      </w:pPr>
      <w:r>
        <w:rPr>
          <w:rFonts w:hint="eastAsia" w:ascii="宋体" w:hAnsi="宋体"/>
          <w:color w:val="auto"/>
          <w:kern w:val="0"/>
          <w:sz w:val="24"/>
          <w:highlight w:val="none"/>
        </w:rPr>
        <w:t>脱硫区10kV进线</w:t>
      </w:r>
      <w:r>
        <w:rPr>
          <w:rFonts w:ascii="宋体" w:hAnsi="宋体"/>
          <w:snapToGrid w:val="0"/>
          <w:color w:val="auto"/>
          <w:sz w:val="24"/>
          <w:highlight w:val="none"/>
        </w:rPr>
        <w:t>电源接口在脱硫</w:t>
      </w:r>
      <w:r>
        <w:rPr>
          <w:rFonts w:hint="eastAsia" w:ascii="宋体" w:hAnsi="宋体"/>
          <w:snapToGrid w:val="0"/>
          <w:color w:val="auto"/>
          <w:sz w:val="24"/>
          <w:highlight w:val="none"/>
        </w:rPr>
        <w:t>变压器</w:t>
      </w:r>
      <w:r>
        <w:rPr>
          <w:rFonts w:ascii="宋体" w:hAnsi="宋体"/>
          <w:snapToGrid w:val="0"/>
          <w:color w:val="auto"/>
          <w:sz w:val="24"/>
          <w:highlight w:val="none"/>
        </w:rPr>
        <w:t>进线端子处，</w:t>
      </w:r>
      <w:r>
        <w:rPr>
          <w:color w:val="auto"/>
          <w:sz w:val="24"/>
          <w:highlight w:val="none"/>
        </w:rPr>
        <w:t>10kV开关柜</w:t>
      </w:r>
      <w:r>
        <w:rPr>
          <w:rFonts w:hint="eastAsia"/>
          <w:color w:val="auto"/>
          <w:sz w:val="24"/>
          <w:highlight w:val="none"/>
          <w:lang w:val="en-US" w:eastAsia="zh-CN"/>
        </w:rPr>
        <w:t>由招</w:t>
      </w:r>
      <w:r>
        <w:rPr>
          <w:rFonts w:hint="eastAsia"/>
          <w:color w:val="auto"/>
          <w:sz w:val="24"/>
          <w:highlight w:val="none"/>
          <w:lang w:eastAsia="zh-CN"/>
        </w:rPr>
        <w:t>标方</w:t>
      </w:r>
      <w:r>
        <w:rPr>
          <w:rFonts w:hint="eastAsia"/>
          <w:color w:val="auto"/>
          <w:sz w:val="24"/>
          <w:highlight w:val="none"/>
          <w:lang w:val="en-US" w:eastAsia="zh-CN"/>
        </w:rPr>
        <w:t>负责</w:t>
      </w:r>
      <w:r>
        <w:rPr>
          <w:rStyle w:val="54"/>
          <w:rFonts w:hint="eastAsia" w:ascii="宋体" w:hAnsi="宋体" w:cs="宋体"/>
          <w:snapToGrid w:val="0"/>
          <w:color w:val="auto"/>
          <w:kern w:val="28"/>
          <w:sz w:val="24"/>
          <w:szCs w:val="24"/>
          <w:highlight w:val="none"/>
          <w:lang w:val="en-US" w:eastAsia="zh-CN" w:bidi="ar-SA"/>
        </w:rPr>
        <w:t>供货、施工</w:t>
      </w:r>
      <w:r>
        <w:rPr>
          <w:color w:val="auto"/>
          <w:sz w:val="24"/>
          <w:highlight w:val="none"/>
        </w:rPr>
        <w:t>。10kV以下</w:t>
      </w:r>
      <w:r>
        <w:rPr>
          <w:rFonts w:hint="eastAsia"/>
          <w:color w:val="auto"/>
          <w:sz w:val="24"/>
          <w:highlight w:val="none"/>
        </w:rPr>
        <w:t>配电</w:t>
      </w:r>
      <w:r>
        <w:rPr>
          <w:color w:val="auto"/>
          <w:sz w:val="24"/>
          <w:highlight w:val="none"/>
        </w:rPr>
        <w:t>系统由</w:t>
      </w:r>
      <w:r>
        <w:rPr>
          <w:rFonts w:hint="eastAsia"/>
          <w:color w:val="auto"/>
          <w:sz w:val="24"/>
          <w:highlight w:val="none"/>
          <w:lang w:eastAsia="zh-CN"/>
        </w:rPr>
        <w:t>投标方</w:t>
      </w:r>
      <w:r>
        <w:rPr>
          <w:color w:val="auto"/>
          <w:sz w:val="24"/>
          <w:highlight w:val="none"/>
        </w:rPr>
        <w:t>负责（含干式变压器）</w:t>
      </w:r>
      <w:r>
        <w:rPr>
          <w:rStyle w:val="54"/>
          <w:rFonts w:hint="eastAsia" w:ascii="宋体" w:hAnsi="宋体" w:cs="宋体"/>
          <w:snapToGrid w:val="0"/>
          <w:color w:val="auto"/>
          <w:kern w:val="28"/>
          <w:sz w:val="24"/>
          <w:szCs w:val="24"/>
          <w:highlight w:val="none"/>
          <w:lang w:val="en-US" w:eastAsia="zh-CN" w:bidi="ar-SA"/>
        </w:rPr>
        <w:t>供货、施工</w:t>
      </w:r>
      <w:r>
        <w:rPr>
          <w:color w:val="auto"/>
          <w:sz w:val="24"/>
          <w:highlight w:val="none"/>
        </w:rPr>
        <w:t>。</w:t>
      </w:r>
    </w:p>
    <w:p w14:paraId="4BB43E42">
      <w:pPr>
        <w:adjustRightInd w:val="0"/>
        <w:snapToGrid w:val="0"/>
        <w:spacing w:line="360" w:lineRule="auto"/>
        <w:ind w:firstLine="480" w:firstLineChars="200"/>
        <w:rPr>
          <w:rFonts w:hint="eastAsia"/>
          <w:color w:val="auto"/>
          <w:sz w:val="24"/>
          <w:highlight w:val="none"/>
        </w:rPr>
      </w:pPr>
      <w:r>
        <w:rPr>
          <w:color w:val="auto"/>
          <w:sz w:val="24"/>
          <w:highlight w:val="none"/>
        </w:rPr>
        <w:t>脱硫区</w:t>
      </w:r>
      <w:r>
        <w:rPr>
          <w:rFonts w:hint="default"/>
          <w:color w:val="auto"/>
          <w:sz w:val="24"/>
          <w:highlight w:val="none"/>
        </w:rPr>
        <w:t>连接电缆两头的设备其中有一头设备是</w:t>
      </w:r>
      <w:r>
        <w:rPr>
          <w:rFonts w:hint="default"/>
          <w:color w:val="auto"/>
          <w:sz w:val="24"/>
          <w:highlight w:val="none"/>
          <w:lang w:eastAsia="zh-CN"/>
        </w:rPr>
        <w:t>招标方</w:t>
      </w:r>
      <w:r>
        <w:rPr>
          <w:rFonts w:hint="default"/>
          <w:color w:val="auto"/>
          <w:sz w:val="24"/>
          <w:highlight w:val="none"/>
        </w:rPr>
        <w:t>供货的，则该电缆由</w:t>
      </w:r>
      <w:r>
        <w:rPr>
          <w:rFonts w:hint="default"/>
          <w:color w:val="auto"/>
          <w:sz w:val="24"/>
          <w:highlight w:val="none"/>
          <w:lang w:eastAsia="zh-CN"/>
        </w:rPr>
        <w:t>招标方</w:t>
      </w:r>
      <w:r>
        <w:rPr>
          <w:rFonts w:hint="default" w:ascii="Times New Roman" w:hAnsi="Times New Roman" w:cs="Times New Roman"/>
          <w:snapToGrid/>
          <w:color w:val="auto"/>
          <w:kern w:val="2"/>
          <w:sz w:val="24"/>
          <w:szCs w:val="24"/>
          <w:highlight w:val="none"/>
          <w:lang w:val="en-US" w:eastAsia="zh-CN" w:bidi="ar-SA"/>
        </w:rPr>
        <w:t>供货、施工</w:t>
      </w:r>
      <w:r>
        <w:rPr>
          <w:rFonts w:hint="default"/>
          <w:color w:val="auto"/>
          <w:sz w:val="24"/>
          <w:highlight w:val="none"/>
        </w:rPr>
        <w:t>，除非另有定义。</w:t>
      </w:r>
    </w:p>
    <w:p w14:paraId="50D20C9C">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脱硫</w:t>
      </w:r>
      <w:r>
        <w:rPr>
          <w:rFonts w:hint="eastAsia"/>
          <w:color w:val="auto"/>
          <w:sz w:val="24"/>
          <w:highlight w:val="none"/>
          <w:lang w:val="en-US" w:eastAsia="zh-CN"/>
        </w:rPr>
        <w:t>及三联箱系统</w:t>
      </w:r>
      <w:r>
        <w:rPr>
          <w:rFonts w:hint="eastAsia"/>
          <w:color w:val="auto"/>
          <w:sz w:val="24"/>
          <w:highlight w:val="none"/>
          <w:lang w:eastAsia="zh-CN"/>
        </w:rPr>
        <w:t>内电桥架</w:t>
      </w:r>
      <w:r>
        <w:rPr>
          <w:rStyle w:val="54"/>
          <w:rFonts w:hint="eastAsia" w:ascii="宋体" w:hAnsi="宋体" w:cs="宋体"/>
          <w:snapToGrid w:val="0"/>
          <w:color w:val="auto"/>
          <w:kern w:val="28"/>
          <w:sz w:val="24"/>
          <w:szCs w:val="24"/>
          <w:highlight w:val="none"/>
          <w:lang w:val="en-US" w:eastAsia="zh-CN" w:bidi="ar-SA"/>
        </w:rPr>
        <w:t>供货、施工</w:t>
      </w:r>
      <w:r>
        <w:rPr>
          <w:rFonts w:hint="eastAsia"/>
          <w:color w:val="auto"/>
          <w:sz w:val="24"/>
          <w:highlight w:val="none"/>
          <w:lang w:eastAsia="zh-CN"/>
        </w:rPr>
        <w:t>。脱硫区内通向布袋除尘及脱硫废水浓缩干化系统的电桥架</w:t>
      </w:r>
      <w:r>
        <w:rPr>
          <w:rStyle w:val="54"/>
          <w:rFonts w:hint="eastAsia" w:ascii="宋体" w:hAnsi="宋体" w:cs="宋体"/>
          <w:snapToGrid w:val="0"/>
          <w:color w:val="auto"/>
          <w:kern w:val="28"/>
          <w:sz w:val="24"/>
          <w:szCs w:val="24"/>
          <w:highlight w:val="none"/>
          <w:lang w:val="en-US" w:eastAsia="zh-CN" w:bidi="ar-SA"/>
        </w:rPr>
        <w:t>供货、施工</w:t>
      </w:r>
      <w:r>
        <w:rPr>
          <w:rFonts w:hint="eastAsia"/>
          <w:color w:val="auto"/>
          <w:sz w:val="24"/>
          <w:highlight w:val="none"/>
          <w:lang w:eastAsia="zh-CN"/>
        </w:rPr>
        <w:t>。</w:t>
      </w:r>
    </w:p>
    <w:p w14:paraId="1DFA331B">
      <w:pPr>
        <w:pStyle w:val="174"/>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textAlignment w:val="auto"/>
        <w:rPr>
          <w:bCs/>
          <w:color w:val="auto"/>
          <w:sz w:val="24"/>
          <w:highlight w:val="none"/>
          <w:lang w:bidi="ar"/>
        </w:rPr>
      </w:pPr>
      <w:r>
        <w:rPr>
          <w:rStyle w:val="54"/>
          <w:rFonts w:hint="eastAsia" w:ascii="Times New Roman" w:hAnsi="Times New Roman" w:eastAsia="宋体" w:cs="Times New Roman"/>
          <w:b w:val="0"/>
          <w:bCs w:val="0"/>
          <w:color w:val="auto"/>
          <w:sz w:val="24"/>
          <w:highlight w:val="none"/>
          <w:shd w:val="clear" w:color="auto" w:fill="FFFFFF"/>
          <w:lang w:val="en-US" w:eastAsia="zh-CN" w:bidi="ar"/>
        </w:rPr>
        <w:t>建筑物外设备照明及吸收塔本体的消防水系统由投标供</w:t>
      </w:r>
      <w:r>
        <w:rPr>
          <w:rStyle w:val="54"/>
          <w:rFonts w:hint="eastAsia" w:cs="Times New Roman"/>
          <w:b w:val="0"/>
          <w:bCs w:val="0"/>
          <w:color w:val="auto"/>
          <w:sz w:val="24"/>
          <w:highlight w:val="none"/>
          <w:shd w:val="clear" w:color="auto" w:fill="FFFFFF"/>
          <w:lang w:val="en-US" w:eastAsia="zh-CN" w:bidi="ar"/>
        </w:rPr>
        <w:t>货</w:t>
      </w:r>
      <w:r>
        <w:rPr>
          <w:rStyle w:val="54"/>
          <w:rFonts w:hint="eastAsia" w:ascii="Times New Roman" w:hAnsi="Times New Roman" w:eastAsia="宋体" w:cs="Times New Roman"/>
          <w:b w:val="0"/>
          <w:bCs w:val="0"/>
          <w:color w:val="auto"/>
          <w:sz w:val="24"/>
          <w:highlight w:val="none"/>
          <w:shd w:val="clear" w:color="auto" w:fill="FFFFFF"/>
          <w:lang w:val="en-US" w:eastAsia="zh-CN" w:bidi="ar"/>
        </w:rPr>
        <w:t>、施工。设备至主接地网预留接口间的接地供货、施工由投标方负责。</w:t>
      </w:r>
    </w:p>
    <w:p w14:paraId="1FFA7778">
      <w:pPr>
        <w:pStyle w:val="50"/>
        <w:ind w:firstLine="426" w:firstLineChars="0"/>
        <w:jc w:val="left"/>
        <w:rPr>
          <w:color w:val="auto"/>
          <w:highlight w:val="none"/>
        </w:rPr>
      </w:pPr>
      <w:r>
        <w:rPr>
          <w:rFonts w:hint="eastAsia"/>
          <w:color w:val="auto"/>
          <w:sz w:val="24"/>
          <w:highlight w:val="none"/>
        </w:rPr>
        <w:t>说明：实际供货数量最终以施工图为准。</w:t>
      </w:r>
    </w:p>
    <w:p w14:paraId="28B54FB9">
      <w:pPr>
        <w:pStyle w:val="4"/>
        <w:rPr>
          <w:rFonts w:ascii="Times New Roman"/>
          <w:bCs/>
          <w:color w:val="auto"/>
          <w:szCs w:val="24"/>
          <w:highlight w:val="none"/>
        </w:rPr>
      </w:pPr>
      <w:bookmarkStart w:id="162" w:name="_Toc493"/>
      <w:r>
        <w:rPr>
          <w:rFonts w:ascii="Times New Roman"/>
          <w:bCs/>
          <w:color w:val="auto"/>
          <w:szCs w:val="24"/>
          <w:highlight w:val="none"/>
        </w:rPr>
        <w:t>2.4热控设计接口及供货范围</w:t>
      </w:r>
    </w:p>
    <w:p w14:paraId="7277D555">
      <w:pPr>
        <w:keepNext w:val="0"/>
        <w:keepLines w:val="0"/>
        <w:pageBreakBefore w:val="0"/>
        <w:kinsoku/>
        <w:wordWrap/>
        <w:overflowPunct/>
        <w:topLinePunct w:val="0"/>
        <w:autoSpaceDE/>
        <w:autoSpaceDN/>
        <w:bidi w:val="0"/>
        <w:adjustRightInd/>
        <w:snapToGrid w:val="0"/>
        <w:spacing w:line="360" w:lineRule="auto"/>
        <w:ind w:firstLineChars="200"/>
        <w:textAlignment w:val="auto"/>
        <w:outlineLvl w:val="2"/>
        <w:rPr>
          <w:rStyle w:val="54"/>
          <w:rFonts w:hint="eastAsia" w:ascii="宋体" w:hAnsi="宋体" w:eastAsia="宋体" w:cs="宋体"/>
          <w:snapToGrid w:val="0"/>
          <w:color w:val="auto"/>
          <w:kern w:val="28"/>
          <w:sz w:val="24"/>
          <w:szCs w:val="24"/>
          <w:highlight w:val="none"/>
          <w:lang w:val="en-US" w:eastAsia="zh-CN" w:bidi="ar-SA"/>
        </w:rPr>
      </w:pPr>
      <w:r>
        <w:rPr>
          <w:bCs/>
          <w:color w:val="auto"/>
          <w:sz w:val="24"/>
          <w:highlight w:val="none"/>
        </w:rPr>
        <w:t>2.4.1热控设计接口</w:t>
      </w:r>
    </w:p>
    <w:p w14:paraId="1E23AD6E">
      <w:pPr>
        <w:pStyle w:val="174"/>
        <w:snapToGrid w:val="0"/>
        <w:spacing w:line="360" w:lineRule="auto"/>
        <w:ind w:firstLine="480" w:firstLineChars="200"/>
        <w:rPr>
          <w:rStyle w:val="54"/>
          <w:rFonts w:hint="default"/>
          <w:bCs w:val="0"/>
          <w:color w:val="auto"/>
          <w:highlight w:val="none"/>
          <w:shd w:val="clear" w:color="auto" w:fill="FFFFFF"/>
          <w:lang w:bidi="ar"/>
        </w:rPr>
      </w:pPr>
      <w:r>
        <w:rPr>
          <w:rStyle w:val="54"/>
          <w:rFonts w:hint="eastAsia" w:ascii="Times New Roman" w:hAnsi="Times New Roman" w:eastAsia="宋体" w:cs="Times New Roman"/>
          <w:snapToGrid/>
          <w:color w:val="auto"/>
          <w:kern w:val="2"/>
          <w:sz w:val="24"/>
          <w:szCs w:val="20"/>
          <w:highlight w:val="none"/>
          <w:shd w:val="clear" w:color="auto" w:fill="FFFFFF"/>
          <w:lang w:val="en-US" w:eastAsia="zh-CN" w:bidi="ar"/>
        </w:rPr>
        <w:t>脱硫及脱硫废水三联箱控制系统的接口为脱硫工艺楼DCS机柜入口接线端子（</w:t>
      </w:r>
      <w:r>
        <w:rPr>
          <w:rStyle w:val="54"/>
          <w:rFonts w:hint="eastAsia" w:ascii="Times New Roman" w:hAnsi="Times New Roman" w:cs="Times New Roman"/>
          <w:snapToGrid/>
          <w:color w:val="auto"/>
          <w:kern w:val="2"/>
          <w:sz w:val="24"/>
          <w:szCs w:val="20"/>
          <w:highlight w:val="none"/>
          <w:shd w:val="clear" w:color="auto" w:fill="FFFFFF"/>
          <w:lang w:val="en-US" w:eastAsia="zh-CN" w:bidi="ar"/>
        </w:rPr>
        <w:t>不</w:t>
      </w:r>
      <w:r>
        <w:rPr>
          <w:rStyle w:val="54"/>
          <w:rFonts w:hint="eastAsia" w:ascii="Times New Roman" w:hAnsi="Times New Roman" w:eastAsia="宋体" w:cs="Times New Roman"/>
          <w:snapToGrid/>
          <w:color w:val="auto"/>
          <w:kern w:val="2"/>
          <w:sz w:val="24"/>
          <w:szCs w:val="20"/>
          <w:highlight w:val="none"/>
          <w:shd w:val="clear" w:color="auto" w:fill="FFFFFF"/>
          <w:lang w:val="en-US" w:eastAsia="zh-CN" w:bidi="ar"/>
        </w:rPr>
        <w:t>含DCS机柜，</w:t>
      </w:r>
      <w:r>
        <w:rPr>
          <w:rStyle w:val="54"/>
          <w:rFonts w:hint="eastAsia" w:cs="Times New Roman"/>
          <w:snapToGrid/>
          <w:color w:val="auto"/>
          <w:kern w:val="2"/>
          <w:sz w:val="24"/>
          <w:szCs w:val="20"/>
          <w:highlight w:val="none"/>
          <w:shd w:val="clear" w:color="auto" w:fill="FFFFFF"/>
          <w:lang w:val="en-US" w:eastAsia="zh-CN" w:bidi="ar"/>
        </w:rPr>
        <w:t>但</w:t>
      </w:r>
      <w:r>
        <w:rPr>
          <w:rStyle w:val="54"/>
          <w:rFonts w:hint="eastAsia" w:ascii="Times New Roman" w:hAnsi="Times New Roman" w:eastAsia="宋体" w:cs="Times New Roman"/>
          <w:snapToGrid/>
          <w:color w:val="auto"/>
          <w:kern w:val="2"/>
          <w:sz w:val="24"/>
          <w:szCs w:val="20"/>
          <w:highlight w:val="none"/>
          <w:shd w:val="clear" w:color="auto" w:fill="FFFFFF"/>
          <w:lang w:val="en-US" w:eastAsia="zh-CN" w:bidi="ar"/>
        </w:rPr>
        <w:t>含入口接线端子接线），控制策略和DCS点数由</w:t>
      </w:r>
      <w:r>
        <w:rPr>
          <w:rStyle w:val="54"/>
          <w:rFonts w:hint="eastAsia" w:ascii="Times New Roman" w:hAnsi="Times New Roman" w:cs="Times New Roman"/>
          <w:snapToGrid/>
          <w:color w:val="auto"/>
          <w:kern w:val="2"/>
          <w:sz w:val="24"/>
          <w:szCs w:val="20"/>
          <w:highlight w:val="none"/>
          <w:shd w:val="clear" w:color="auto" w:fill="FFFFFF"/>
          <w:lang w:val="en-US" w:eastAsia="zh-CN" w:bidi="ar"/>
        </w:rPr>
        <w:t>投标</w:t>
      </w:r>
      <w:r>
        <w:rPr>
          <w:rStyle w:val="54"/>
          <w:rFonts w:hint="eastAsia" w:ascii="Times New Roman" w:hAnsi="Times New Roman" w:eastAsia="宋体" w:cs="Times New Roman"/>
          <w:snapToGrid/>
          <w:color w:val="auto"/>
          <w:kern w:val="2"/>
          <w:sz w:val="24"/>
          <w:szCs w:val="20"/>
          <w:highlight w:val="none"/>
          <w:shd w:val="clear" w:color="auto" w:fill="FFFFFF"/>
          <w:lang w:val="en-US" w:eastAsia="zh-CN" w:bidi="ar"/>
        </w:rPr>
        <w:t>方提资</w:t>
      </w:r>
      <w:r>
        <w:rPr>
          <w:rStyle w:val="54"/>
          <w:rFonts w:hint="eastAsia" w:ascii="Times New Roman" w:hAnsi="Times New Roman" w:cs="Times New Roman"/>
          <w:snapToGrid/>
          <w:color w:val="auto"/>
          <w:kern w:val="2"/>
          <w:sz w:val="24"/>
          <w:szCs w:val="20"/>
          <w:highlight w:val="none"/>
          <w:shd w:val="clear" w:color="auto" w:fill="FFFFFF"/>
          <w:lang w:val="en-US" w:eastAsia="zh-CN" w:bidi="ar"/>
        </w:rPr>
        <w:t>主体设计院</w:t>
      </w:r>
      <w:r>
        <w:rPr>
          <w:rStyle w:val="54"/>
          <w:rFonts w:hint="eastAsia" w:ascii="Times New Roman" w:hAnsi="Times New Roman" w:eastAsia="宋体" w:cs="Times New Roman"/>
          <w:snapToGrid/>
          <w:color w:val="auto"/>
          <w:kern w:val="2"/>
          <w:sz w:val="24"/>
          <w:szCs w:val="20"/>
          <w:highlight w:val="none"/>
          <w:shd w:val="clear" w:color="auto" w:fill="FFFFFF"/>
          <w:lang w:val="en-US" w:eastAsia="zh-CN" w:bidi="ar"/>
        </w:rPr>
        <w:t>。</w:t>
      </w:r>
      <w:r>
        <w:rPr>
          <w:rStyle w:val="54"/>
          <w:rFonts w:hint="eastAsia" w:ascii="Times New Roman" w:hAnsi="Times New Roman" w:eastAsia="宋体" w:cs="Times New Roman"/>
          <w:b w:val="0"/>
          <w:snapToGrid/>
          <w:color w:val="auto"/>
          <w:kern w:val="2"/>
          <w:sz w:val="24"/>
          <w:szCs w:val="20"/>
          <w:highlight w:val="none"/>
          <w:shd w:val="clear" w:color="auto" w:fill="FFFFFF"/>
          <w:lang w:val="en-US" w:eastAsia="zh-CN" w:bidi="ar"/>
        </w:rPr>
        <w:t>场景监视、门禁、火灾报警</w:t>
      </w:r>
      <w:r>
        <w:rPr>
          <w:rStyle w:val="54"/>
          <w:rFonts w:hint="eastAsia" w:ascii="Times New Roman" w:hAnsi="Times New Roman" w:eastAsia="宋体" w:cs="Times New Roman"/>
          <w:b w:val="0"/>
          <w:bCs w:val="0"/>
          <w:color w:val="auto"/>
          <w:sz w:val="24"/>
          <w:highlight w:val="none"/>
          <w:shd w:val="clear" w:color="auto" w:fill="FFFFFF"/>
          <w:lang w:bidi="ar"/>
        </w:rPr>
        <w:t>等</w:t>
      </w:r>
      <w:r>
        <w:rPr>
          <w:rStyle w:val="54"/>
          <w:rFonts w:hint="eastAsia" w:ascii="Times New Roman" w:hAnsi="Times New Roman" w:eastAsia="宋体" w:cs="Times New Roman"/>
          <w:snapToGrid/>
          <w:color w:val="auto"/>
          <w:kern w:val="2"/>
          <w:sz w:val="24"/>
          <w:szCs w:val="20"/>
          <w:highlight w:val="none"/>
          <w:shd w:val="clear" w:color="auto" w:fill="FFFFFF"/>
          <w:lang w:val="en-US" w:eastAsia="zh-CN" w:bidi="ar"/>
        </w:rPr>
        <w:t>由</w:t>
      </w:r>
      <w:r>
        <w:rPr>
          <w:rStyle w:val="54"/>
          <w:rFonts w:hint="eastAsia" w:ascii="Times New Roman" w:hAnsi="Times New Roman" w:cs="Times New Roman"/>
          <w:snapToGrid/>
          <w:color w:val="auto"/>
          <w:kern w:val="2"/>
          <w:sz w:val="24"/>
          <w:szCs w:val="20"/>
          <w:highlight w:val="none"/>
          <w:shd w:val="clear" w:color="auto" w:fill="FFFFFF"/>
          <w:lang w:val="en-US" w:eastAsia="zh-CN" w:bidi="ar"/>
        </w:rPr>
        <w:t>投标</w:t>
      </w:r>
      <w:r>
        <w:rPr>
          <w:rStyle w:val="54"/>
          <w:rFonts w:hint="eastAsia" w:ascii="Times New Roman" w:hAnsi="Times New Roman" w:eastAsia="宋体" w:cs="Times New Roman"/>
          <w:snapToGrid/>
          <w:color w:val="auto"/>
          <w:kern w:val="2"/>
          <w:sz w:val="24"/>
          <w:szCs w:val="20"/>
          <w:highlight w:val="none"/>
          <w:shd w:val="clear" w:color="auto" w:fill="FFFFFF"/>
          <w:lang w:val="en-US" w:eastAsia="zh-CN" w:bidi="ar"/>
        </w:rPr>
        <w:t>方提资</w:t>
      </w:r>
      <w:r>
        <w:rPr>
          <w:rStyle w:val="54"/>
          <w:rFonts w:hint="eastAsia" w:ascii="Times New Roman" w:hAnsi="Times New Roman" w:cs="Times New Roman"/>
          <w:snapToGrid/>
          <w:color w:val="auto"/>
          <w:kern w:val="2"/>
          <w:sz w:val="24"/>
          <w:szCs w:val="20"/>
          <w:highlight w:val="none"/>
          <w:shd w:val="clear" w:color="auto" w:fill="FFFFFF"/>
          <w:lang w:val="en-US" w:eastAsia="zh-CN" w:bidi="ar"/>
        </w:rPr>
        <w:t>主体设计院</w:t>
      </w:r>
      <w:r>
        <w:rPr>
          <w:rStyle w:val="54"/>
          <w:rFonts w:hint="eastAsia" w:cs="Times New Roman"/>
          <w:snapToGrid/>
          <w:color w:val="auto"/>
          <w:kern w:val="2"/>
          <w:sz w:val="24"/>
          <w:szCs w:val="20"/>
          <w:highlight w:val="none"/>
          <w:shd w:val="clear" w:color="auto" w:fill="FFFFFF"/>
          <w:lang w:val="en-US" w:eastAsia="zh-CN" w:bidi="ar"/>
        </w:rPr>
        <w:t>。其余</w:t>
      </w:r>
      <w:r>
        <w:rPr>
          <w:rStyle w:val="54"/>
          <w:rFonts w:hint="eastAsia" w:ascii="Times New Roman" w:hAnsi="Times New Roman" w:eastAsia="宋体" w:cs="Times New Roman"/>
          <w:snapToGrid/>
          <w:color w:val="auto"/>
          <w:kern w:val="2"/>
          <w:sz w:val="24"/>
          <w:szCs w:val="20"/>
          <w:highlight w:val="none"/>
          <w:shd w:val="clear" w:color="auto" w:fill="FFFFFF"/>
          <w:lang w:val="en-US" w:eastAsia="zh-CN" w:bidi="ar"/>
        </w:rPr>
        <w:t>脱硫及脱硫废水三联箱系统</w:t>
      </w:r>
      <w:r>
        <w:rPr>
          <w:rStyle w:val="54"/>
          <w:rFonts w:hint="eastAsia" w:cs="Times New Roman"/>
          <w:snapToGrid/>
          <w:color w:val="auto"/>
          <w:kern w:val="2"/>
          <w:sz w:val="24"/>
          <w:szCs w:val="20"/>
          <w:highlight w:val="none"/>
          <w:shd w:val="clear" w:color="auto" w:fill="FFFFFF"/>
          <w:lang w:val="en-US" w:eastAsia="zh-CN" w:bidi="ar"/>
        </w:rPr>
        <w:t>的热控系统由投标方设计。</w:t>
      </w:r>
    </w:p>
    <w:p w14:paraId="7241B350">
      <w:pPr>
        <w:tabs>
          <w:tab w:val="left" w:pos="600"/>
        </w:tabs>
        <w:spacing w:line="360" w:lineRule="auto"/>
        <w:ind w:firstLine="480" w:firstLineChars="200"/>
        <w:rPr>
          <w:color w:val="auto"/>
          <w:sz w:val="24"/>
          <w:highlight w:val="none"/>
        </w:rPr>
      </w:pPr>
      <w:r>
        <w:rPr>
          <w:color w:val="auto"/>
          <w:sz w:val="24"/>
          <w:highlight w:val="none"/>
        </w:rPr>
        <w:t>场景监视系统接口</w:t>
      </w:r>
      <w:r>
        <w:rPr>
          <w:rFonts w:hint="eastAsia"/>
          <w:color w:val="auto"/>
          <w:sz w:val="24"/>
          <w:highlight w:val="none"/>
          <w:lang w:eastAsia="zh-CN"/>
        </w:rPr>
        <w:t>：</w:t>
      </w:r>
      <w:r>
        <w:rPr>
          <w:color w:val="auto"/>
          <w:sz w:val="24"/>
          <w:highlight w:val="none"/>
        </w:rPr>
        <w:t>脱硫场景监视系统纳入全厂场景监视系统，由</w:t>
      </w:r>
      <w:r>
        <w:rPr>
          <w:rFonts w:hint="eastAsia"/>
          <w:color w:val="auto"/>
          <w:sz w:val="24"/>
          <w:highlight w:val="none"/>
          <w:lang w:val="en-US" w:eastAsia="zh-CN"/>
        </w:rPr>
        <w:t>投</w:t>
      </w:r>
      <w:r>
        <w:rPr>
          <w:rFonts w:hint="eastAsia"/>
          <w:color w:val="auto"/>
          <w:sz w:val="24"/>
          <w:highlight w:val="none"/>
          <w:lang w:eastAsia="zh-CN"/>
        </w:rPr>
        <w:t>标方</w:t>
      </w:r>
      <w:r>
        <w:rPr>
          <w:color w:val="auto"/>
          <w:sz w:val="24"/>
          <w:highlight w:val="none"/>
        </w:rPr>
        <w:t>统一设计，</w:t>
      </w:r>
      <w:r>
        <w:rPr>
          <w:rFonts w:hint="eastAsia"/>
          <w:color w:val="auto"/>
          <w:sz w:val="24"/>
          <w:highlight w:val="none"/>
          <w:lang w:eastAsia="zh-CN"/>
        </w:rPr>
        <w:t>投标方</w:t>
      </w:r>
      <w:r>
        <w:rPr>
          <w:rFonts w:hint="eastAsia"/>
          <w:color w:val="auto"/>
          <w:sz w:val="24"/>
          <w:highlight w:val="none"/>
          <w:lang w:val="en-US" w:eastAsia="zh-CN"/>
        </w:rPr>
        <w:t>并</w:t>
      </w:r>
      <w:r>
        <w:rPr>
          <w:color w:val="auto"/>
          <w:sz w:val="24"/>
          <w:highlight w:val="none"/>
        </w:rPr>
        <w:t>提供场景数量</w:t>
      </w:r>
      <w:r>
        <w:rPr>
          <w:rFonts w:hint="eastAsia"/>
          <w:color w:val="auto"/>
          <w:sz w:val="24"/>
          <w:highlight w:val="none"/>
          <w:lang w:eastAsia="zh-CN"/>
        </w:rPr>
        <w:t>（</w:t>
      </w:r>
      <w:r>
        <w:rPr>
          <w:rFonts w:hint="eastAsia"/>
          <w:color w:val="auto"/>
          <w:sz w:val="24"/>
          <w:highlight w:val="none"/>
          <w:lang w:val="en-US" w:eastAsia="zh-CN"/>
        </w:rPr>
        <w:t>暂按40个点）</w:t>
      </w:r>
      <w:r>
        <w:rPr>
          <w:color w:val="auto"/>
          <w:sz w:val="24"/>
          <w:highlight w:val="none"/>
        </w:rPr>
        <w:t>、安装位置等清单。</w:t>
      </w:r>
    </w:p>
    <w:p w14:paraId="71D45F11">
      <w:pPr>
        <w:adjustRightInd w:val="0"/>
        <w:snapToGrid w:val="0"/>
        <w:spacing w:before="48" w:beforeLines="20" w:after="48" w:afterLines="20" w:line="360" w:lineRule="auto"/>
        <w:ind w:firstLine="480" w:firstLineChars="200"/>
        <w:rPr>
          <w:color w:val="auto"/>
          <w:sz w:val="24"/>
          <w:highlight w:val="none"/>
        </w:rPr>
      </w:pPr>
      <w:r>
        <w:rPr>
          <w:color w:val="auto"/>
          <w:sz w:val="24"/>
          <w:highlight w:val="none"/>
        </w:rPr>
        <w:t>门禁系统</w:t>
      </w:r>
      <w:r>
        <w:rPr>
          <w:rStyle w:val="54"/>
          <w:rFonts w:hint="eastAsia" w:ascii="宋体" w:hAnsi="宋体" w:eastAsia="宋体" w:cs="宋体"/>
          <w:snapToGrid w:val="0"/>
          <w:color w:val="auto"/>
          <w:kern w:val="28"/>
          <w:sz w:val="24"/>
          <w:szCs w:val="24"/>
          <w:highlight w:val="none"/>
          <w:lang w:val="en-US" w:eastAsia="zh-CN" w:bidi="ar-SA"/>
        </w:rPr>
        <w:t>、火灾报警</w:t>
      </w:r>
      <w:r>
        <w:rPr>
          <w:color w:val="auto"/>
          <w:sz w:val="24"/>
          <w:highlight w:val="none"/>
        </w:rPr>
        <w:t>接口</w:t>
      </w:r>
      <w:r>
        <w:rPr>
          <w:rFonts w:hint="eastAsia"/>
          <w:color w:val="auto"/>
          <w:sz w:val="24"/>
          <w:highlight w:val="none"/>
          <w:lang w:eastAsia="zh-CN"/>
        </w:rPr>
        <w:t>：</w:t>
      </w:r>
      <w:r>
        <w:rPr>
          <w:color w:val="auto"/>
          <w:sz w:val="24"/>
          <w:highlight w:val="none"/>
        </w:rPr>
        <w:t>脱硫门禁系统纳入全厂门禁系统，由</w:t>
      </w:r>
      <w:r>
        <w:rPr>
          <w:rFonts w:hint="eastAsia"/>
          <w:color w:val="auto"/>
          <w:sz w:val="24"/>
          <w:highlight w:val="none"/>
          <w:lang w:eastAsia="zh-CN"/>
        </w:rPr>
        <w:t>招标方</w:t>
      </w:r>
      <w:r>
        <w:rPr>
          <w:color w:val="auto"/>
          <w:sz w:val="24"/>
          <w:highlight w:val="none"/>
        </w:rPr>
        <w:t>统一设计，</w:t>
      </w:r>
      <w:r>
        <w:rPr>
          <w:rFonts w:hint="eastAsia"/>
          <w:color w:val="auto"/>
          <w:sz w:val="24"/>
          <w:highlight w:val="none"/>
          <w:lang w:eastAsia="zh-CN"/>
        </w:rPr>
        <w:t>投标方</w:t>
      </w:r>
      <w:r>
        <w:rPr>
          <w:color w:val="auto"/>
          <w:sz w:val="24"/>
          <w:highlight w:val="none"/>
        </w:rPr>
        <w:t>提供门禁数量、安装位置等清单</w:t>
      </w:r>
      <w:r>
        <w:rPr>
          <w:rFonts w:hint="eastAsia"/>
          <w:color w:val="auto"/>
          <w:sz w:val="24"/>
          <w:highlight w:val="none"/>
          <w:lang w:eastAsia="zh-CN"/>
        </w:rPr>
        <w:t>。</w:t>
      </w:r>
    </w:p>
    <w:p w14:paraId="74744E4B">
      <w:pPr>
        <w:adjustRightInd w:val="0"/>
        <w:snapToGrid w:val="0"/>
        <w:spacing w:before="48" w:beforeLines="20" w:after="48" w:afterLines="20" w:line="360" w:lineRule="auto"/>
        <w:ind w:firstLine="480" w:firstLineChars="200"/>
        <w:rPr>
          <w:color w:val="auto"/>
          <w:sz w:val="24"/>
          <w:highlight w:val="none"/>
        </w:rPr>
      </w:pPr>
      <w:bookmarkStart w:id="163" w:name="OLE_LINK31"/>
      <w:r>
        <w:rPr>
          <w:color w:val="auto"/>
          <w:sz w:val="24"/>
          <w:highlight w:val="none"/>
        </w:rPr>
        <w:t>CEMS</w:t>
      </w:r>
      <w:bookmarkEnd w:id="163"/>
      <w:r>
        <w:rPr>
          <w:color w:val="auto"/>
          <w:sz w:val="24"/>
          <w:highlight w:val="none"/>
        </w:rPr>
        <w:t>系统接口</w:t>
      </w:r>
      <w:r>
        <w:rPr>
          <w:rFonts w:hint="eastAsia"/>
          <w:color w:val="auto"/>
          <w:sz w:val="24"/>
          <w:highlight w:val="none"/>
          <w:lang w:eastAsia="zh-CN"/>
        </w:rPr>
        <w:t>：</w:t>
      </w:r>
      <w:r>
        <w:rPr>
          <w:color w:val="auto"/>
          <w:sz w:val="24"/>
          <w:highlight w:val="none"/>
        </w:rPr>
        <w:t>设计接口分界</w:t>
      </w:r>
      <w:r>
        <w:rPr>
          <w:rFonts w:hint="eastAsia"/>
          <w:color w:val="auto"/>
          <w:sz w:val="24"/>
          <w:highlight w:val="none"/>
          <w:lang w:val="en-US" w:eastAsia="zh-CN"/>
        </w:rPr>
        <w:t>为DCS机柜</w:t>
      </w:r>
      <w:r>
        <w:rPr>
          <w:rFonts w:hint="eastAsia"/>
          <w:color w:val="auto"/>
          <w:sz w:val="24"/>
          <w:highlight w:val="none"/>
          <w:lang w:eastAsia="zh-CN"/>
        </w:rPr>
        <w:t>入</w:t>
      </w:r>
      <w:r>
        <w:rPr>
          <w:rFonts w:hint="eastAsia"/>
          <w:color w:val="auto"/>
          <w:sz w:val="24"/>
          <w:highlight w:val="none"/>
          <w:lang w:val="en-US" w:eastAsia="zh-CN"/>
        </w:rPr>
        <w:t>口</w:t>
      </w:r>
      <w:r>
        <w:rPr>
          <w:color w:val="auto"/>
          <w:sz w:val="24"/>
          <w:highlight w:val="none"/>
        </w:rPr>
        <w:t>。</w:t>
      </w:r>
    </w:p>
    <w:p w14:paraId="2FEA7893">
      <w:pPr>
        <w:adjustRightInd w:val="0"/>
        <w:snapToGrid w:val="0"/>
        <w:spacing w:before="48" w:beforeLines="20" w:after="48" w:afterLines="20" w:line="360" w:lineRule="auto"/>
        <w:ind w:firstLine="480" w:firstLineChars="200"/>
        <w:rPr>
          <w:color w:val="auto"/>
          <w:sz w:val="24"/>
          <w:highlight w:val="none"/>
        </w:rPr>
      </w:pPr>
      <w:r>
        <w:rPr>
          <w:color w:val="auto"/>
          <w:sz w:val="24"/>
          <w:highlight w:val="none"/>
        </w:rPr>
        <w:t>电源</w:t>
      </w:r>
      <w:r>
        <w:rPr>
          <w:rFonts w:hint="eastAsia"/>
          <w:color w:val="auto"/>
          <w:sz w:val="24"/>
          <w:highlight w:val="none"/>
          <w:lang w:eastAsia="zh-CN"/>
        </w:rPr>
        <w:t>：</w:t>
      </w:r>
      <w:r>
        <w:rPr>
          <w:color w:val="auto"/>
          <w:sz w:val="24"/>
          <w:highlight w:val="none"/>
        </w:rPr>
        <w:t>脱硫</w:t>
      </w:r>
      <w:r>
        <w:rPr>
          <w:rFonts w:hint="eastAsia"/>
          <w:color w:val="auto"/>
          <w:sz w:val="24"/>
          <w:highlight w:val="none"/>
          <w:lang w:val="en-US" w:eastAsia="zh-CN"/>
        </w:rPr>
        <w:t>系统热</w:t>
      </w:r>
      <w:r>
        <w:rPr>
          <w:rFonts w:hint="default"/>
          <w:color w:val="auto"/>
          <w:sz w:val="24"/>
          <w:highlight w:val="none"/>
          <w:lang w:eastAsia="zh-CN"/>
        </w:rPr>
        <w:t>控</w:t>
      </w:r>
      <w:r>
        <w:rPr>
          <w:color w:val="auto"/>
          <w:sz w:val="24"/>
          <w:highlight w:val="none"/>
        </w:rPr>
        <w:t>电源</w:t>
      </w:r>
      <w:r>
        <w:rPr>
          <w:rFonts w:hint="default"/>
          <w:color w:val="auto"/>
          <w:sz w:val="24"/>
          <w:highlight w:val="none"/>
          <w:lang w:eastAsia="zh-CN"/>
        </w:rPr>
        <w:t>柜</w:t>
      </w:r>
      <w:r>
        <w:rPr>
          <w:color w:val="auto"/>
          <w:sz w:val="24"/>
          <w:highlight w:val="none"/>
        </w:rPr>
        <w:t>由</w:t>
      </w:r>
      <w:r>
        <w:rPr>
          <w:rFonts w:hint="eastAsia"/>
          <w:color w:val="auto"/>
          <w:sz w:val="24"/>
          <w:highlight w:val="none"/>
          <w:lang w:val="en-US" w:eastAsia="zh-CN"/>
        </w:rPr>
        <w:t>投</w:t>
      </w:r>
      <w:r>
        <w:rPr>
          <w:rFonts w:hint="eastAsia"/>
          <w:color w:val="auto"/>
          <w:sz w:val="24"/>
          <w:highlight w:val="none"/>
          <w:lang w:eastAsia="zh-CN"/>
        </w:rPr>
        <w:t>标方</w:t>
      </w:r>
      <w:r>
        <w:rPr>
          <w:color w:val="auto"/>
          <w:sz w:val="24"/>
          <w:highlight w:val="none"/>
        </w:rPr>
        <w:t>设计</w:t>
      </w:r>
      <w:r>
        <w:rPr>
          <w:rFonts w:hint="eastAsia"/>
          <w:color w:val="auto"/>
          <w:sz w:val="24"/>
          <w:highlight w:val="none"/>
          <w:lang w:val="en-US" w:eastAsia="zh-CN"/>
        </w:rPr>
        <w:t>和供货</w:t>
      </w:r>
      <w:r>
        <w:rPr>
          <w:color w:val="auto"/>
          <w:sz w:val="24"/>
          <w:highlight w:val="none"/>
        </w:rPr>
        <w:t>。</w:t>
      </w:r>
    </w:p>
    <w:bookmarkEnd w:id="162"/>
    <w:p w14:paraId="7B2D7581">
      <w:pPr>
        <w:snapToGrid w:val="0"/>
        <w:spacing w:line="360" w:lineRule="auto"/>
        <w:ind w:right="57"/>
        <w:outlineLvl w:val="2"/>
        <w:rPr>
          <w:color w:val="auto"/>
          <w:sz w:val="24"/>
          <w:highlight w:val="none"/>
        </w:rPr>
      </w:pPr>
      <w:r>
        <w:rPr>
          <w:color w:val="auto"/>
          <w:sz w:val="24"/>
          <w:highlight w:val="none"/>
        </w:rPr>
        <w:t>2.4.2</w:t>
      </w:r>
      <w:r>
        <w:rPr>
          <w:rFonts w:hint="eastAsia"/>
          <w:color w:val="auto"/>
          <w:sz w:val="24"/>
          <w:highlight w:val="none"/>
          <w:lang w:val="en-US" w:eastAsia="zh-CN"/>
        </w:rPr>
        <w:t>热</w:t>
      </w:r>
      <w:r>
        <w:rPr>
          <w:color w:val="auto"/>
          <w:sz w:val="24"/>
          <w:highlight w:val="none"/>
        </w:rPr>
        <w:t>控系统供货</w:t>
      </w:r>
      <w:r>
        <w:rPr>
          <w:rFonts w:hint="eastAsia"/>
          <w:color w:val="auto"/>
          <w:sz w:val="24"/>
          <w:highlight w:val="none"/>
          <w:lang w:val="en-US" w:eastAsia="zh-CN"/>
        </w:rPr>
        <w:t>施工</w:t>
      </w:r>
      <w:r>
        <w:rPr>
          <w:color w:val="auto"/>
          <w:sz w:val="24"/>
          <w:highlight w:val="none"/>
        </w:rPr>
        <w:t>范围</w:t>
      </w:r>
    </w:p>
    <w:p w14:paraId="0F26C0EB">
      <w:pPr>
        <w:tabs>
          <w:tab w:val="left" w:pos="1140"/>
        </w:tabs>
        <w:spacing w:line="360" w:lineRule="auto"/>
        <w:ind w:left="525"/>
        <w:rPr>
          <w:color w:val="auto"/>
          <w:sz w:val="24"/>
          <w:highlight w:val="none"/>
        </w:rPr>
      </w:pPr>
      <w:r>
        <w:rPr>
          <w:rStyle w:val="54"/>
          <w:rFonts w:hint="eastAsia" w:ascii="Times New Roman" w:hAnsi="Times New Roman" w:eastAsia="宋体" w:cs="Times New Roman"/>
          <w:snapToGrid/>
          <w:color w:val="auto"/>
          <w:kern w:val="2"/>
          <w:sz w:val="24"/>
          <w:szCs w:val="20"/>
          <w:highlight w:val="none"/>
          <w:shd w:val="clear" w:color="auto" w:fill="FFFFFF"/>
          <w:lang w:val="en-US" w:eastAsia="zh-CN" w:bidi="ar"/>
        </w:rPr>
        <w:t>脱硫及脱硫废水三联箱</w:t>
      </w:r>
      <w:r>
        <w:rPr>
          <w:rFonts w:hint="eastAsia"/>
          <w:color w:val="auto"/>
          <w:sz w:val="24"/>
          <w:highlight w:val="none"/>
          <w:lang w:val="en-US" w:eastAsia="zh-CN"/>
        </w:rPr>
        <w:t>工艺系统内所有</w:t>
      </w:r>
      <w:r>
        <w:rPr>
          <w:rFonts w:hint="eastAsia" w:ascii="方正细圆简体" w:hAnsi="华文楷体" w:eastAsia="方正细圆简体"/>
          <w:color w:val="auto"/>
          <w:szCs w:val="21"/>
          <w:highlight w:val="none"/>
        </w:rPr>
        <w:t>监测仪表</w:t>
      </w:r>
      <w:r>
        <w:rPr>
          <w:rFonts w:hint="eastAsia"/>
          <w:color w:val="auto"/>
          <w:sz w:val="24"/>
          <w:highlight w:val="none"/>
          <w:lang w:val="en-US" w:eastAsia="zh-CN"/>
        </w:rPr>
        <w:t>、执行器</w:t>
      </w:r>
      <w:r>
        <w:rPr>
          <w:rFonts w:hint="eastAsia"/>
          <w:color w:val="auto"/>
          <w:sz w:val="24"/>
          <w:highlight w:val="none"/>
          <w:lang w:eastAsia="zh-CN"/>
        </w:rPr>
        <w:t>、</w:t>
      </w:r>
      <w:r>
        <w:rPr>
          <w:color w:val="auto"/>
          <w:sz w:val="24"/>
          <w:highlight w:val="none"/>
        </w:rPr>
        <w:t>热控电源柜、保温保护箱、</w:t>
      </w:r>
      <w:r>
        <w:rPr>
          <w:rFonts w:hint="eastAsia"/>
          <w:snapToGrid w:val="0"/>
          <w:color w:val="auto"/>
          <w:sz w:val="24"/>
          <w:highlight w:val="none"/>
          <w:lang w:val="en-US" w:eastAsia="zh-CN"/>
        </w:rPr>
        <w:t>吸收塔进、出口</w:t>
      </w:r>
      <w:r>
        <w:rPr>
          <w:rFonts w:hint="eastAsia"/>
          <w:color w:val="auto"/>
          <w:sz w:val="24"/>
          <w:highlight w:val="none"/>
          <w:lang w:bidi="ar"/>
        </w:rPr>
        <w:t>烟气连续监测系统</w:t>
      </w:r>
      <w:r>
        <w:rPr>
          <w:color w:val="auto"/>
          <w:sz w:val="24"/>
          <w:highlight w:val="none"/>
        </w:rPr>
        <w:t>及就地仪控设备</w:t>
      </w:r>
      <w:r>
        <w:rPr>
          <w:rFonts w:hint="eastAsia"/>
          <w:color w:val="auto"/>
          <w:sz w:val="24"/>
          <w:highlight w:val="none"/>
          <w:lang w:eastAsia="zh-CN"/>
        </w:rPr>
        <w:t>，</w:t>
      </w:r>
      <w:r>
        <w:rPr>
          <w:rFonts w:hint="eastAsia" w:ascii="方正细圆简体" w:hAnsi="华文楷体" w:eastAsia="方正细圆简体"/>
          <w:color w:val="auto"/>
          <w:szCs w:val="21"/>
          <w:highlight w:val="none"/>
        </w:rPr>
        <w:t>控制盘、箱、柜、接线盒</w:t>
      </w:r>
      <w:r>
        <w:rPr>
          <w:rFonts w:hint="eastAsia" w:ascii="方正细圆简体" w:hAnsi="华文楷体" w:eastAsia="方正细圆简体"/>
          <w:color w:val="auto"/>
          <w:szCs w:val="21"/>
          <w:highlight w:val="none"/>
          <w:lang w:eastAsia="zh-CN"/>
        </w:rPr>
        <w:t>，</w:t>
      </w:r>
      <w:r>
        <w:rPr>
          <w:rFonts w:hint="eastAsia" w:ascii="方正细圆简体" w:hAnsi="华文楷体" w:eastAsia="方正细圆简体"/>
          <w:color w:val="auto"/>
          <w:szCs w:val="21"/>
          <w:highlight w:val="none"/>
        </w:rPr>
        <w:t>控制阀、电动门、执行机构、电磁阀</w:t>
      </w:r>
      <w:r>
        <w:rPr>
          <w:rFonts w:hint="eastAsia" w:ascii="方正细圆简体" w:hAnsi="华文楷体" w:eastAsia="方正细圆简体"/>
          <w:color w:val="auto"/>
          <w:szCs w:val="21"/>
          <w:highlight w:val="none"/>
          <w:lang w:eastAsia="zh-CN"/>
        </w:rPr>
        <w:t>、</w:t>
      </w:r>
      <w:r>
        <w:rPr>
          <w:rFonts w:hint="eastAsia" w:ascii="方正细圆简体" w:hAnsi="华文楷体" w:eastAsia="方正细圆简体"/>
          <w:color w:val="auto"/>
          <w:szCs w:val="21"/>
          <w:highlight w:val="none"/>
        </w:rPr>
        <w:t>电缆、电缆导管、仪表阀门</w:t>
      </w:r>
      <w:r>
        <w:rPr>
          <w:color w:val="auto"/>
          <w:sz w:val="24"/>
          <w:highlight w:val="none"/>
        </w:rPr>
        <w:t>由</w:t>
      </w:r>
      <w:r>
        <w:rPr>
          <w:rFonts w:hint="eastAsia"/>
          <w:color w:val="auto"/>
          <w:sz w:val="24"/>
          <w:highlight w:val="none"/>
          <w:lang w:eastAsia="zh-CN"/>
        </w:rPr>
        <w:t>投标方</w:t>
      </w:r>
      <w:r>
        <w:rPr>
          <w:color w:val="auto"/>
          <w:sz w:val="24"/>
          <w:highlight w:val="none"/>
        </w:rPr>
        <w:t>供货</w:t>
      </w:r>
      <w:r>
        <w:rPr>
          <w:rFonts w:hint="eastAsia"/>
          <w:color w:val="auto"/>
          <w:sz w:val="24"/>
          <w:highlight w:val="none"/>
          <w:lang w:eastAsia="zh-CN"/>
        </w:rPr>
        <w:t>、</w:t>
      </w:r>
      <w:r>
        <w:rPr>
          <w:rFonts w:hint="eastAsia"/>
          <w:color w:val="auto"/>
          <w:sz w:val="24"/>
          <w:highlight w:val="none"/>
          <w:lang w:val="en-US" w:eastAsia="zh-CN"/>
        </w:rPr>
        <w:t>施工</w:t>
      </w:r>
      <w:r>
        <w:rPr>
          <w:color w:val="auto"/>
          <w:sz w:val="24"/>
          <w:highlight w:val="none"/>
        </w:rPr>
        <w:t>。</w:t>
      </w:r>
      <w:r>
        <w:rPr>
          <w:rFonts w:hint="eastAsia" w:ascii="方正细圆简体" w:hAnsi="华文楷体" w:eastAsia="方正细圆简体"/>
          <w:color w:val="auto"/>
          <w:sz w:val="21"/>
          <w:szCs w:val="21"/>
          <w:highlight w:val="none"/>
        </w:rPr>
        <w:t>DCS</w:t>
      </w:r>
      <w:r>
        <w:rPr>
          <w:rFonts w:hint="eastAsia" w:ascii="方正细圆简体" w:hAnsi="华文楷体" w:eastAsia="方正细圆简体"/>
          <w:color w:val="auto"/>
          <w:sz w:val="21"/>
          <w:szCs w:val="21"/>
          <w:highlight w:val="none"/>
          <w:lang w:val="en-US" w:eastAsia="zh-CN"/>
        </w:rPr>
        <w:t>系统、</w:t>
      </w:r>
      <w:r>
        <w:rPr>
          <w:rStyle w:val="54"/>
          <w:rFonts w:hint="eastAsia" w:ascii="宋体" w:hAnsi="宋体" w:eastAsia="宋体" w:cs="宋体"/>
          <w:b w:val="0"/>
          <w:snapToGrid w:val="0"/>
          <w:color w:val="auto"/>
          <w:kern w:val="28"/>
          <w:sz w:val="24"/>
          <w:szCs w:val="24"/>
          <w:highlight w:val="none"/>
          <w:lang w:val="en-US" w:eastAsia="zh-CN" w:bidi="ar-SA"/>
        </w:rPr>
        <w:t>场景监视、门禁、火灾报警</w:t>
      </w:r>
      <w:r>
        <w:rPr>
          <w:rStyle w:val="54"/>
          <w:rFonts w:hint="eastAsia" w:ascii="Times New Roman" w:hAnsi="Times New Roman" w:eastAsia="宋体" w:cs="Times New Roman"/>
          <w:b w:val="0"/>
          <w:bCs w:val="0"/>
          <w:color w:val="auto"/>
          <w:sz w:val="24"/>
          <w:highlight w:val="none"/>
          <w:shd w:val="clear" w:color="auto" w:fill="FFFFFF"/>
          <w:lang w:bidi="ar"/>
        </w:rPr>
        <w:t>的设备和材料的供货、安装等由招标人负责</w:t>
      </w:r>
      <w:r>
        <w:rPr>
          <w:rStyle w:val="54"/>
          <w:rFonts w:hint="eastAsia" w:cs="Times New Roman"/>
          <w:b w:val="0"/>
          <w:bCs w:val="0"/>
          <w:color w:val="auto"/>
          <w:sz w:val="24"/>
          <w:highlight w:val="none"/>
          <w:shd w:val="clear" w:color="auto" w:fill="FFFFFF"/>
          <w:lang w:eastAsia="zh-CN" w:bidi="ar"/>
        </w:rPr>
        <w:t>。</w:t>
      </w:r>
    </w:p>
    <w:p w14:paraId="3200F118">
      <w:pPr>
        <w:pStyle w:val="50"/>
        <w:ind w:firstLine="566" w:firstLineChars="236"/>
        <w:rPr>
          <w:color w:val="auto"/>
          <w:sz w:val="24"/>
          <w:highlight w:val="none"/>
        </w:rPr>
      </w:pPr>
      <w:r>
        <w:rPr>
          <w:color w:val="auto"/>
          <w:sz w:val="24"/>
          <w:highlight w:val="none"/>
        </w:rPr>
        <w:t>注：实际供货数量</w:t>
      </w:r>
      <w:r>
        <w:rPr>
          <w:rFonts w:hint="eastAsia"/>
          <w:color w:val="auto"/>
          <w:sz w:val="24"/>
          <w:highlight w:val="none"/>
        </w:rPr>
        <w:t>最终</w:t>
      </w:r>
      <w:r>
        <w:rPr>
          <w:color w:val="auto"/>
          <w:sz w:val="24"/>
          <w:highlight w:val="none"/>
        </w:rPr>
        <w:t>以施工图为准。</w:t>
      </w:r>
    </w:p>
    <w:p w14:paraId="5AC08253">
      <w:pPr>
        <w:pStyle w:val="50"/>
        <w:ind w:left="0" w:leftChars="0" w:firstLine="0" w:firstLineChars="0"/>
        <w:rPr>
          <w:rFonts w:hint="eastAsia"/>
          <w:b/>
          <w:bCs/>
          <w:color w:val="auto"/>
          <w:sz w:val="24"/>
          <w:highlight w:val="none"/>
          <w:lang w:val="en-US" w:eastAsia="zh-CN"/>
        </w:rPr>
      </w:pPr>
      <w:r>
        <w:rPr>
          <w:rFonts w:hint="eastAsia"/>
          <w:b/>
          <w:bCs/>
          <w:color w:val="auto"/>
          <w:sz w:val="24"/>
          <w:highlight w:val="none"/>
          <w:lang w:val="en-US" w:eastAsia="zh-CN"/>
        </w:rPr>
        <w:t>2.5 供货设备详细清单，投标方需填写完整。（包括且不限于）</w:t>
      </w:r>
    </w:p>
    <w:p w14:paraId="5A3F748B">
      <w:pPr>
        <w:pStyle w:val="50"/>
        <w:ind w:left="0" w:leftChars="0" w:firstLine="0" w:firstLineChars="0"/>
        <w:rPr>
          <w:rFonts w:hint="default"/>
          <w:color w:val="auto"/>
          <w:sz w:val="24"/>
          <w:highlight w:val="none"/>
          <w:lang w:val="en-US" w:eastAsia="zh-CN"/>
        </w:rPr>
      </w:pPr>
    </w:p>
    <w:tbl>
      <w:tblPr>
        <w:tblStyle w:val="52"/>
        <w:tblW w:w="8812"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119"/>
        <w:gridCol w:w="2869"/>
        <w:gridCol w:w="3294"/>
        <w:gridCol w:w="1530"/>
      </w:tblGrid>
      <w:tr w14:paraId="1B3581B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tblHeader/>
          <w:jc w:val="center"/>
        </w:trPr>
        <w:tc>
          <w:tcPr>
            <w:tcW w:w="1119" w:type="dxa"/>
            <w:noWrap w:val="0"/>
            <w:tcMar>
              <w:top w:w="15" w:type="dxa"/>
              <w:left w:w="15" w:type="dxa"/>
              <w:right w:w="15" w:type="dxa"/>
            </w:tcMar>
            <w:vAlign w:val="center"/>
          </w:tcPr>
          <w:p w14:paraId="74C99586">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b/>
                <w:color w:val="auto"/>
                <w:sz w:val="24"/>
                <w:highlight w:val="none"/>
              </w:rPr>
            </w:pPr>
            <w:r>
              <w:rPr>
                <w:rStyle w:val="54"/>
                <w:rFonts w:hint="default" w:ascii="Times New Roman" w:hAnsi="Times New Roman" w:eastAsia="宋体" w:cs="Times New Roman"/>
                <w:b/>
                <w:color w:val="auto"/>
                <w:sz w:val="24"/>
                <w:highlight w:val="none"/>
              </w:rPr>
              <w:t>序号</w:t>
            </w:r>
          </w:p>
        </w:tc>
        <w:tc>
          <w:tcPr>
            <w:tcW w:w="2869" w:type="dxa"/>
            <w:noWrap w:val="0"/>
            <w:tcMar>
              <w:top w:w="15" w:type="dxa"/>
              <w:left w:w="15" w:type="dxa"/>
              <w:right w:w="15" w:type="dxa"/>
            </w:tcMar>
            <w:vAlign w:val="center"/>
          </w:tcPr>
          <w:p w14:paraId="362C1C5F">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b/>
                <w:color w:val="auto"/>
                <w:sz w:val="24"/>
                <w:highlight w:val="none"/>
              </w:rPr>
            </w:pPr>
            <w:r>
              <w:rPr>
                <w:rStyle w:val="54"/>
                <w:rFonts w:hint="default" w:ascii="Times New Roman" w:hAnsi="Times New Roman" w:eastAsia="宋体" w:cs="Times New Roman"/>
                <w:b/>
                <w:color w:val="auto"/>
                <w:sz w:val="24"/>
                <w:highlight w:val="none"/>
              </w:rPr>
              <w:t>名称</w:t>
            </w:r>
          </w:p>
        </w:tc>
        <w:tc>
          <w:tcPr>
            <w:tcW w:w="3294" w:type="dxa"/>
            <w:noWrap w:val="0"/>
            <w:tcMar>
              <w:top w:w="15" w:type="dxa"/>
              <w:left w:w="15" w:type="dxa"/>
              <w:right w:w="15" w:type="dxa"/>
            </w:tcMar>
            <w:vAlign w:val="center"/>
          </w:tcPr>
          <w:p w14:paraId="586303A4">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b/>
                <w:color w:val="auto"/>
                <w:sz w:val="24"/>
                <w:highlight w:val="none"/>
              </w:rPr>
            </w:pPr>
            <w:r>
              <w:rPr>
                <w:rStyle w:val="54"/>
                <w:rFonts w:hint="default" w:ascii="Times New Roman" w:hAnsi="Times New Roman" w:eastAsia="宋体" w:cs="Times New Roman"/>
                <w:b/>
                <w:color w:val="auto"/>
                <w:sz w:val="24"/>
                <w:highlight w:val="none"/>
              </w:rPr>
              <w:t>技术要求</w:t>
            </w:r>
          </w:p>
        </w:tc>
        <w:tc>
          <w:tcPr>
            <w:tcW w:w="1530" w:type="dxa"/>
            <w:noWrap w:val="0"/>
            <w:tcMar>
              <w:top w:w="15" w:type="dxa"/>
              <w:left w:w="15" w:type="dxa"/>
              <w:right w:w="15" w:type="dxa"/>
            </w:tcMar>
            <w:vAlign w:val="center"/>
          </w:tcPr>
          <w:p w14:paraId="2A004CD2">
            <w:pPr>
              <w:pStyle w:val="176"/>
              <w:keepNext w:val="0"/>
              <w:keepLines w:val="0"/>
              <w:suppressLineNumbers w:val="0"/>
              <w:spacing w:before="0" w:beforeAutospacing="0" w:after="0" w:afterAutospacing="0" w:line="360" w:lineRule="auto"/>
              <w:ind w:left="0" w:right="0"/>
              <w:jc w:val="center"/>
              <w:rPr>
                <w:rStyle w:val="54"/>
                <w:rFonts w:hint="eastAsia" w:ascii="Times New Roman" w:hAnsi="Times New Roman" w:eastAsia="宋体" w:cs="Times New Roman"/>
                <w:b/>
                <w:color w:val="auto"/>
                <w:sz w:val="24"/>
                <w:highlight w:val="none"/>
                <w:lang w:eastAsia="zh-CN"/>
              </w:rPr>
            </w:pPr>
            <w:r>
              <w:rPr>
                <w:rStyle w:val="54"/>
                <w:rFonts w:hint="eastAsia" w:cs="Times New Roman"/>
                <w:b/>
                <w:color w:val="auto"/>
                <w:sz w:val="24"/>
                <w:highlight w:val="none"/>
                <w:lang w:eastAsia="zh-CN"/>
              </w:rPr>
              <w:t>数量</w:t>
            </w:r>
          </w:p>
        </w:tc>
      </w:tr>
      <w:tr w14:paraId="57A42CB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3" w:hRule="atLeast"/>
          <w:jc w:val="center"/>
        </w:trPr>
        <w:tc>
          <w:tcPr>
            <w:tcW w:w="1119" w:type="dxa"/>
            <w:noWrap w:val="0"/>
            <w:tcMar>
              <w:top w:w="15" w:type="dxa"/>
              <w:left w:w="15" w:type="dxa"/>
              <w:right w:w="15" w:type="dxa"/>
            </w:tcMar>
            <w:vAlign w:val="center"/>
          </w:tcPr>
          <w:p w14:paraId="36FC9F39">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ascii="宋体" w:hAnsi="宋体" w:eastAsia="宋体" w:cs="宋体"/>
                <w:b/>
                <w:bCs/>
                <w:color w:val="auto"/>
                <w:kern w:val="0"/>
                <w:sz w:val="24"/>
                <w:highlight w:val="none"/>
                <w:lang w:bidi="ar"/>
              </w:rPr>
              <w:t>一</w:t>
            </w:r>
          </w:p>
        </w:tc>
        <w:tc>
          <w:tcPr>
            <w:tcW w:w="2869" w:type="dxa"/>
            <w:noWrap w:val="0"/>
            <w:tcMar>
              <w:top w:w="15" w:type="dxa"/>
              <w:left w:w="15" w:type="dxa"/>
              <w:right w:w="15" w:type="dxa"/>
            </w:tcMar>
            <w:vAlign w:val="center"/>
          </w:tcPr>
          <w:p w14:paraId="4861AF9E">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b/>
                <w:bCs/>
                <w:color w:val="auto"/>
                <w:sz w:val="24"/>
                <w:highlight w:val="none"/>
              </w:rPr>
              <w:t>工艺设备</w:t>
            </w:r>
          </w:p>
        </w:tc>
        <w:tc>
          <w:tcPr>
            <w:tcW w:w="3294" w:type="dxa"/>
            <w:noWrap w:val="0"/>
            <w:tcMar>
              <w:top w:w="15" w:type="dxa"/>
              <w:left w:w="15" w:type="dxa"/>
              <w:right w:w="15" w:type="dxa"/>
            </w:tcMar>
            <w:vAlign w:val="center"/>
          </w:tcPr>
          <w:p w14:paraId="6315BB3D">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所有设备如采用法兰连接，应配供反法兰及连接附件。</w:t>
            </w:r>
          </w:p>
        </w:tc>
        <w:tc>
          <w:tcPr>
            <w:tcW w:w="1530" w:type="dxa"/>
            <w:noWrap w:val="0"/>
            <w:tcMar>
              <w:top w:w="15" w:type="dxa"/>
              <w:left w:w="15" w:type="dxa"/>
              <w:right w:w="15" w:type="dxa"/>
            </w:tcMar>
            <w:vAlign w:val="center"/>
          </w:tcPr>
          <w:p w14:paraId="32C2F051">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7BDA776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4A0DCF1">
            <w:pPr>
              <w:pStyle w:val="176"/>
              <w:keepNext w:val="0"/>
              <w:keepLines w:val="0"/>
              <w:widowControl/>
              <w:suppressLineNumbers w:val="0"/>
              <w:spacing w:before="0" w:beforeAutospacing="0" w:after="0" w:afterAutospacing="0"/>
              <w:ind w:left="0" w:right="0"/>
              <w:jc w:val="center"/>
              <w:textAlignment w:val="center"/>
              <w:rPr>
                <w:rStyle w:val="54"/>
                <w:rFonts w:hint="eastAsia" w:ascii="Times New Roman" w:hAnsi="Times New Roman" w:eastAsia="宋体" w:cs="Times New Roman"/>
                <w:b/>
                <w:bCs/>
                <w:color w:val="auto"/>
                <w:sz w:val="24"/>
                <w:highlight w:val="none"/>
              </w:rPr>
            </w:pPr>
            <w:r>
              <w:rPr>
                <w:rStyle w:val="54"/>
                <w:rFonts w:hint="default" w:ascii="Times New Roman" w:hAnsi="Times New Roman" w:eastAsia="宋体" w:cs="Times New Roman"/>
                <w:b/>
                <w:bCs/>
                <w:color w:val="auto"/>
                <w:kern w:val="0"/>
                <w:sz w:val="24"/>
                <w:highlight w:val="none"/>
                <w:lang w:bidi="ar"/>
              </w:rPr>
              <w:t>1</w:t>
            </w:r>
          </w:p>
        </w:tc>
        <w:tc>
          <w:tcPr>
            <w:tcW w:w="2869" w:type="dxa"/>
            <w:noWrap w:val="0"/>
            <w:tcMar>
              <w:top w:w="15" w:type="dxa"/>
              <w:left w:w="15" w:type="dxa"/>
              <w:right w:w="15" w:type="dxa"/>
            </w:tcMar>
            <w:vAlign w:val="center"/>
          </w:tcPr>
          <w:p w14:paraId="4719A066">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b/>
                <w:bCs/>
                <w:color w:val="auto"/>
                <w:sz w:val="24"/>
                <w:highlight w:val="none"/>
              </w:rPr>
            </w:pPr>
            <w:r>
              <w:rPr>
                <w:rStyle w:val="54"/>
                <w:rFonts w:hint="eastAsia" w:ascii="Times New Roman" w:hAnsi="Times New Roman" w:eastAsia="宋体" w:cs="Times New Roman"/>
                <w:b/>
                <w:bCs/>
                <w:color w:val="auto"/>
                <w:sz w:val="24"/>
                <w:highlight w:val="none"/>
              </w:rPr>
              <w:t>烟气系统</w:t>
            </w:r>
          </w:p>
        </w:tc>
        <w:tc>
          <w:tcPr>
            <w:tcW w:w="3294" w:type="dxa"/>
            <w:noWrap w:val="0"/>
            <w:tcMar>
              <w:top w:w="15" w:type="dxa"/>
              <w:left w:w="15" w:type="dxa"/>
              <w:right w:w="15" w:type="dxa"/>
            </w:tcMar>
            <w:vAlign w:val="center"/>
          </w:tcPr>
          <w:p w14:paraId="4ABA38DF">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2A3C926E">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5E8FA01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5F1ED958">
            <w:pPr>
              <w:pStyle w:val="176"/>
              <w:keepNext w:val="0"/>
              <w:keepLines w:val="0"/>
              <w:widowControl/>
              <w:suppressLineNumbers w:val="0"/>
              <w:spacing w:before="0" w:beforeAutospacing="0" w:after="0" w:afterAutospacing="0"/>
              <w:ind w:left="0" w:right="0"/>
              <w:jc w:val="center"/>
              <w:textAlignment w:val="center"/>
              <w:rPr>
                <w:rStyle w:val="54"/>
                <w:rFonts w:hint="eastAsia" w:ascii="Times New Roman" w:hAnsi="Times New Roman" w:eastAsia="宋体" w:cs="Times New Roman"/>
                <w:color w:val="auto"/>
                <w:sz w:val="24"/>
                <w:highlight w:val="none"/>
              </w:rPr>
            </w:pPr>
            <w:r>
              <w:rPr>
                <w:rStyle w:val="54"/>
                <w:rFonts w:hint="default" w:ascii="Times New Roman" w:hAnsi="Times New Roman" w:eastAsia="宋体" w:cs="Times New Roman"/>
                <w:color w:val="auto"/>
                <w:kern w:val="0"/>
                <w:sz w:val="24"/>
                <w:highlight w:val="none"/>
                <w:lang w:bidi="ar"/>
              </w:rPr>
              <w:t>1.</w:t>
            </w:r>
            <w:r>
              <w:rPr>
                <w:rStyle w:val="54"/>
                <w:rFonts w:hint="eastAsia" w:ascii="Times New Roman" w:hAnsi="Times New Roman" w:eastAsia="宋体" w:cs="Times New Roman"/>
                <w:color w:val="auto"/>
                <w:kern w:val="0"/>
                <w:sz w:val="24"/>
                <w:highlight w:val="none"/>
                <w:lang w:bidi="ar"/>
              </w:rPr>
              <w:t>1</w:t>
            </w:r>
          </w:p>
        </w:tc>
        <w:tc>
          <w:tcPr>
            <w:tcW w:w="2869" w:type="dxa"/>
            <w:noWrap w:val="0"/>
            <w:tcMar>
              <w:top w:w="15" w:type="dxa"/>
              <w:left w:w="15" w:type="dxa"/>
              <w:right w:w="15" w:type="dxa"/>
            </w:tcMar>
            <w:vAlign w:val="center"/>
          </w:tcPr>
          <w:p w14:paraId="55B6EF03">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shd w:val="clear" w:color="auto" w:fill="FFFFFF"/>
              </w:rPr>
              <w:t>电动</w:t>
            </w:r>
            <w:r>
              <w:rPr>
                <w:rStyle w:val="54"/>
                <w:rFonts w:hint="eastAsia" w:cs="Times New Roman"/>
                <w:color w:val="auto"/>
                <w:sz w:val="24"/>
                <w:highlight w:val="none"/>
                <w:shd w:val="clear" w:color="auto" w:fill="FFFFFF"/>
                <w:lang w:val="en-US" w:eastAsia="zh-CN"/>
              </w:rPr>
              <w:t>插</w:t>
            </w:r>
            <w:r>
              <w:rPr>
                <w:rStyle w:val="54"/>
                <w:rFonts w:hint="eastAsia" w:ascii="Times New Roman" w:hAnsi="Times New Roman" w:eastAsia="宋体" w:cs="Times New Roman"/>
                <w:color w:val="auto"/>
                <w:sz w:val="24"/>
                <w:highlight w:val="none"/>
                <w:shd w:val="clear" w:color="auto" w:fill="FFFFFF"/>
              </w:rPr>
              <w:t>板门</w:t>
            </w:r>
          </w:p>
        </w:tc>
        <w:tc>
          <w:tcPr>
            <w:tcW w:w="3294" w:type="dxa"/>
            <w:noWrap w:val="0"/>
            <w:tcMar>
              <w:top w:w="15" w:type="dxa"/>
              <w:left w:w="15" w:type="dxa"/>
              <w:right w:w="15" w:type="dxa"/>
            </w:tcMar>
            <w:vAlign w:val="center"/>
          </w:tcPr>
          <w:p w14:paraId="779A41A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防腐型，含执行机构。</w:t>
            </w:r>
          </w:p>
        </w:tc>
        <w:tc>
          <w:tcPr>
            <w:tcW w:w="1530" w:type="dxa"/>
            <w:noWrap w:val="0"/>
            <w:tcMar>
              <w:top w:w="15" w:type="dxa"/>
              <w:left w:w="15" w:type="dxa"/>
              <w:right w:w="15" w:type="dxa"/>
            </w:tcMar>
            <w:vAlign w:val="center"/>
          </w:tcPr>
          <w:p w14:paraId="5406728A">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77E04C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2D587833">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kern w:val="0"/>
                <w:sz w:val="24"/>
                <w:highlight w:val="none"/>
                <w:lang w:val="en-US" w:eastAsia="zh-CN" w:bidi="ar"/>
              </w:rPr>
            </w:pPr>
            <w:r>
              <w:rPr>
                <w:rStyle w:val="54"/>
                <w:rFonts w:hint="eastAsia" w:cs="Times New Roman"/>
                <w:color w:val="auto"/>
                <w:kern w:val="0"/>
                <w:sz w:val="24"/>
                <w:highlight w:val="none"/>
                <w:lang w:val="en-US" w:eastAsia="zh-CN" w:bidi="ar"/>
              </w:rPr>
              <w:t>1.2</w:t>
            </w:r>
          </w:p>
        </w:tc>
        <w:tc>
          <w:tcPr>
            <w:tcW w:w="2869" w:type="dxa"/>
            <w:noWrap w:val="0"/>
            <w:tcMar>
              <w:top w:w="15" w:type="dxa"/>
              <w:left w:w="15" w:type="dxa"/>
              <w:right w:w="15" w:type="dxa"/>
            </w:tcMar>
            <w:vAlign w:val="center"/>
          </w:tcPr>
          <w:p w14:paraId="470911F2">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shd w:val="clear" w:color="auto" w:fill="FFFFFF"/>
                <w:lang w:val="en-US" w:eastAsia="zh-CN"/>
              </w:rPr>
            </w:pPr>
            <w:r>
              <w:rPr>
                <w:rStyle w:val="54"/>
                <w:rFonts w:hint="eastAsia" w:cs="Times New Roman"/>
                <w:color w:val="auto"/>
                <w:sz w:val="24"/>
                <w:highlight w:val="none"/>
                <w:shd w:val="clear" w:color="auto" w:fill="FFFFFF"/>
                <w:lang w:val="en-US" w:eastAsia="zh-CN"/>
              </w:rPr>
              <w:t>非金属补偿器</w:t>
            </w:r>
          </w:p>
        </w:tc>
        <w:tc>
          <w:tcPr>
            <w:tcW w:w="3294" w:type="dxa"/>
            <w:noWrap w:val="0"/>
            <w:tcMar>
              <w:top w:w="15" w:type="dxa"/>
              <w:left w:w="15" w:type="dxa"/>
              <w:right w:w="15" w:type="dxa"/>
            </w:tcMar>
            <w:vAlign w:val="center"/>
          </w:tcPr>
          <w:p w14:paraId="4C75E402">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与烟气接触部位补2205以上材料，压板、螺丝均选用2205材质</w:t>
            </w:r>
          </w:p>
        </w:tc>
        <w:tc>
          <w:tcPr>
            <w:tcW w:w="1530" w:type="dxa"/>
            <w:noWrap w:val="0"/>
            <w:tcMar>
              <w:top w:w="15" w:type="dxa"/>
              <w:left w:w="15" w:type="dxa"/>
              <w:right w:w="15" w:type="dxa"/>
            </w:tcMar>
            <w:vAlign w:val="center"/>
          </w:tcPr>
          <w:p w14:paraId="76A3CEC6">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786DC8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02E80FA2">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b/>
                <w:color w:val="auto"/>
                <w:sz w:val="24"/>
                <w:highlight w:val="none"/>
              </w:rPr>
            </w:pPr>
            <w:r>
              <w:rPr>
                <w:rStyle w:val="54"/>
                <w:rFonts w:hint="default" w:ascii="Times New Roman" w:hAnsi="Times New Roman" w:eastAsia="宋体" w:cs="Times New Roman"/>
                <w:b/>
                <w:bCs/>
                <w:color w:val="auto"/>
                <w:kern w:val="0"/>
                <w:sz w:val="24"/>
                <w:highlight w:val="none"/>
                <w:lang w:bidi="ar"/>
              </w:rPr>
              <w:t>2</w:t>
            </w:r>
          </w:p>
        </w:tc>
        <w:tc>
          <w:tcPr>
            <w:tcW w:w="2869" w:type="dxa"/>
            <w:noWrap w:val="0"/>
            <w:tcMar>
              <w:top w:w="15" w:type="dxa"/>
              <w:left w:w="15" w:type="dxa"/>
              <w:right w:w="15" w:type="dxa"/>
            </w:tcMar>
            <w:vAlign w:val="top"/>
          </w:tcPr>
          <w:p w14:paraId="7271185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b/>
                <w:color w:val="auto"/>
                <w:sz w:val="24"/>
                <w:highlight w:val="none"/>
              </w:rPr>
            </w:pPr>
            <w:r>
              <w:rPr>
                <w:rStyle w:val="54"/>
                <w:rFonts w:hint="default" w:ascii="Times New Roman" w:hAnsi="Times New Roman" w:eastAsia="宋体" w:cs="Times New Roman"/>
                <w:b/>
                <w:color w:val="auto"/>
                <w:sz w:val="24"/>
                <w:highlight w:val="none"/>
              </w:rPr>
              <w:t>SO</w:t>
            </w:r>
            <w:r>
              <w:rPr>
                <w:rStyle w:val="54"/>
                <w:rFonts w:hint="default" w:ascii="Times New Roman" w:hAnsi="Times New Roman" w:eastAsia="宋体" w:cs="Times New Roman"/>
                <w:b/>
                <w:color w:val="auto"/>
                <w:sz w:val="24"/>
                <w:highlight w:val="none"/>
                <w:vertAlign w:val="subscript"/>
              </w:rPr>
              <w:t>2</w:t>
            </w:r>
            <w:r>
              <w:rPr>
                <w:rStyle w:val="54"/>
                <w:rFonts w:hint="eastAsia" w:ascii="Times New Roman" w:hAnsi="Times New Roman" w:eastAsia="宋体" w:cs="Times New Roman"/>
                <w:b/>
                <w:color w:val="auto"/>
                <w:sz w:val="24"/>
                <w:highlight w:val="none"/>
              </w:rPr>
              <w:t>吸收</w:t>
            </w:r>
            <w:r>
              <w:rPr>
                <w:rStyle w:val="54"/>
                <w:rFonts w:hint="default" w:ascii="Times New Roman" w:hAnsi="Times New Roman" w:eastAsia="宋体" w:cs="Times New Roman"/>
                <w:b/>
                <w:color w:val="auto"/>
                <w:sz w:val="24"/>
                <w:highlight w:val="none"/>
              </w:rPr>
              <w:t>系统</w:t>
            </w:r>
          </w:p>
        </w:tc>
        <w:tc>
          <w:tcPr>
            <w:tcW w:w="3294" w:type="dxa"/>
            <w:noWrap w:val="0"/>
            <w:tcMar>
              <w:top w:w="15" w:type="dxa"/>
              <w:left w:w="15" w:type="dxa"/>
              <w:right w:w="15" w:type="dxa"/>
            </w:tcMar>
            <w:vAlign w:val="center"/>
          </w:tcPr>
          <w:p w14:paraId="188839B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62F2954D">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5A6BBE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9E96E15">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kern w:val="0"/>
                <w:sz w:val="24"/>
                <w:highlight w:val="none"/>
                <w:lang w:bidi="ar"/>
              </w:rPr>
              <w:t>2.1</w:t>
            </w:r>
          </w:p>
        </w:tc>
        <w:tc>
          <w:tcPr>
            <w:tcW w:w="2869" w:type="dxa"/>
            <w:noWrap w:val="0"/>
            <w:tcMar>
              <w:top w:w="15" w:type="dxa"/>
              <w:left w:w="15" w:type="dxa"/>
              <w:right w:w="15" w:type="dxa"/>
            </w:tcMar>
            <w:vAlign w:val="top"/>
          </w:tcPr>
          <w:p w14:paraId="02DC6C2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吸收塔本体（含本体上的平台、栏杆、楼梯、管道、支撑等附件）</w:t>
            </w:r>
          </w:p>
        </w:tc>
        <w:tc>
          <w:tcPr>
            <w:tcW w:w="3294" w:type="dxa"/>
            <w:noWrap w:val="0"/>
            <w:tcMar>
              <w:top w:w="15" w:type="dxa"/>
              <w:left w:w="15" w:type="dxa"/>
              <w:right w:w="15" w:type="dxa"/>
            </w:tcMar>
            <w:vAlign w:val="center"/>
          </w:tcPr>
          <w:p w14:paraId="7A9B316B">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逆流喷淋塔（变径）</w:t>
            </w:r>
          </w:p>
        </w:tc>
        <w:tc>
          <w:tcPr>
            <w:tcW w:w="1530" w:type="dxa"/>
            <w:noWrap w:val="0"/>
            <w:tcMar>
              <w:top w:w="15" w:type="dxa"/>
              <w:left w:w="15" w:type="dxa"/>
              <w:right w:w="15" w:type="dxa"/>
            </w:tcMar>
            <w:vAlign w:val="center"/>
          </w:tcPr>
          <w:p w14:paraId="2E64F367">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78AC42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0A330A9B">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kern w:val="0"/>
                <w:sz w:val="24"/>
                <w:highlight w:val="none"/>
                <w:lang w:bidi="ar"/>
              </w:rPr>
              <w:t>2.2</w:t>
            </w:r>
          </w:p>
        </w:tc>
        <w:tc>
          <w:tcPr>
            <w:tcW w:w="2869" w:type="dxa"/>
            <w:noWrap w:val="0"/>
            <w:tcMar>
              <w:top w:w="15" w:type="dxa"/>
              <w:left w:w="15" w:type="dxa"/>
              <w:right w:w="15" w:type="dxa"/>
            </w:tcMar>
            <w:vAlign w:val="top"/>
          </w:tcPr>
          <w:p w14:paraId="519EEFE5">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吸收塔入口</w:t>
            </w:r>
            <w:r>
              <w:rPr>
                <w:rStyle w:val="54"/>
                <w:rFonts w:hint="eastAsia" w:cs="Times New Roman"/>
                <w:color w:val="auto"/>
                <w:sz w:val="24"/>
                <w:highlight w:val="none"/>
                <w:lang w:val="en-US" w:eastAsia="zh-CN"/>
              </w:rPr>
              <w:t>烟道</w:t>
            </w:r>
            <w:r>
              <w:rPr>
                <w:rStyle w:val="54"/>
                <w:rFonts w:hint="eastAsia" w:ascii="Times New Roman" w:hAnsi="Times New Roman" w:eastAsia="宋体" w:cs="Times New Roman"/>
                <w:color w:val="auto"/>
                <w:sz w:val="24"/>
                <w:highlight w:val="none"/>
              </w:rPr>
              <w:t>贴衬</w:t>
            </w:r>
          </w:p>
        </w:tc>
        <w:tc>
          <w:tcPr>
            <w:tcW w:w="3294" w:type="dxa"/>
            <w:noWrap w:val="0"/>
            <w:tcMar>
              <w:top w:w="15" w:type="dxa"/>
              <w:left w:w="15" w:type="dxa"/>
              <w:right w:w="15" w:type="dxa"/>
            </w:tcMar>
            <w:vAlign w:val="center"/>
          </w:tcPr>
          <w:p w14:paraId="45CE8A4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衬2205</w:t>
            </w:r>
          </w:p>
        </w:tc>
        <w:tc>
          <w:tcPr>
            <w:tcW w:w="1530" w:type="dxa"/>
            <w:noWrap w:val="0"/>
            <w:tcMar>
              <w:top w:w="15" w:type="dxa"/>
              <w:left w:w="15" w:type="dxa"/>
              <w:right w:w="15" w:type="dxa"/>
            </w:tcMar>
            <w:vAlign w:val="center"/>
          </w:tcPr>
          <w:p w14:paraId="50C5C997">
            <w:pPr>
              <w:pStyle w:val="176"/>
              <w:keepNext w:val="0"/>
              <w:keepLines w:val="0"/>
              <w:suppressLineNumbers w:val="0"/>
              <w:spacing w:before="0" w:beforeAutospacing="0" w:after="0" w:afterAutospacing="0" w:line="360" w:lineRule="auto"/>
              <w:ind w:left="0" w:right="0"/>
              <w:rPr>
                <w:rStyle w:val="54"/>
                <w:rFonts w:hint="eastAsia" w:cs="Times New Roman"/>
                <w:color w:val="auto"/>
                <w:sz w:val="24"/>
                <w:highlight w:val="none"/>
                <w:lang w:val="en-US" w:eastAsia="zh-CN"/>
              </w:rPr>
            </w:pPr>
          </w:p>
        </w:tc>
      </w:tr>
      <w:tr w14:paraId="3C2B4B9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073E01D">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kern w:val="0"/>
                <w:sz w:val="24"/>
                <w:highlight w:val="none"/>
                <w:lang w:bidi="ar"/>
              </w:rPr>
              <w:t>2.3</w:t>
            </w:r>
          </w:p>
        </w:tc>
        <w:tc>
          <w:tcPr>
            <w:tcW w:w="2869" w:type="dxa"/>
            <w:noWrap w:val="0"/>
            <w:tcMar>
              <w:top w:w="15" w:type="dxa"/>
              <w:left w:w="15" w:type="dxa"/>
              <w:right w:w="15" w:type="dxa"/>
            </w:tcMar>
            <w:vAlign w:val="top"/>
          </w:tcPr>
          <w:p w14:paraId="07E90C42">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托盘</w:t>
            </w:r>
          </w:p>
        </w:tc>
        <w:tc>
          <w:tcPr>
            <w:tcW w:w="3294" w:type="dxa"/>
            <w:noWrap w:val="0"/>
            <w:tcMar>
              <w:top w:w="15" w:type="dxa"/>
              <w:left w:w="15" w:type="dxa"/>
              <w:right w:w="15" w:type="dxa"/>
            </w:tcMar>
            <w:vAlign w:val="center"/>
          </w:tcPr>
          <w:p w14:paraId="1AD91AF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材质：</w:t>
            </w:r>
            <w:r>
              <w:rPr>
                <w:rStyle w:val="54"/>
                <w:rFonts w:hint="default" w:ascii="Times New Roman" w:hAnsi="Times New Roman" w:eastAsia="宋体" w:cs="Times New Roman"/>
                <w:color w:val="auto"/>
                <w:sz w:val="24"/>
                <w:highlight w:val="none"/>
              </w:rPr>
              <w:t>2205</w:t>
            </w:r>
          </w:p>
        </w:tc>
        <w:tc>
          <w:tcPr>
            <w:tcW w:w="1530" w:type="dxa"/>
            <w:noWrap w:val="0"/>
            <w:tcMar>
              <w:top w:w="15" w:type="dxa"/>
              <w:left w:w="15" w:type="dxa"/>
              <w:right w:w="15" w:type="dxa"/>
            </w:tcMar>
            <w:vAlign w:val="center"/>
          </w:tcPr>
          <w:p w14:paraId="5F37908C">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3E7034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7C07FCBA">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default" w:ascii="Times New Roman" w:hAnsi="Times New Roman" w:eastAsia="宋体" w:cs="Times New Roman"/>
                <w:color w:val="auto"/>
                <w:kern w:val="0"/>
                <w:sz w:val="24"/>
                <w:highlight w:val="none"/>
                <w:lang w:bidi="ar"/>
              </w:rPr>
              <w:t>2.4</w:t>
            </w:r>
          </w:p>
        </w:tc>
        <w:tc>
          <w:tcPr>
            <w:tcW w:w="2869" w:type="dxa"/>
            <w:noWrap w:val="0"/>
            <w:tcMar>
              <w:top w:w="15" w:type="dxa"/>
              <w:left w:w="15" w:type="dxa"/>
              <w:right w:w="15" w:type="dxa"/>
            </w:tcMar>
            <w:vAlign w:val="top"/>
          </w:tcPr>
          <w:p w14:paraId="7FDB7F9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喷淋层（含喷嘴）</w:t>
            </w:r>
          </w:p>
        </w:tc>
        <w:tc>
          <w:tcPr>
            <w:tcW w:w="3294" w:type="dxa"/>
            <w:noWrap w:val="0"/>
            <w:tcMar>
              <w:top w:w="15" w:type="dxa"/>
              <w:left w:w="15" w:type="dxa"/>
              <w:right w:w="15" w:type="dxa"/>
            </w:tcMar>
            <w:vAlign w:val="center"/>
          </w:tcPr>
          <w:p w14:paraId="56BBCDFA">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2F6224CE">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4CE68E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7388F026">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default" w:ascii="Times New Roman" w:hAnsi="Times New Roman" w:eastAsia="宋体" w:cs="Times New Roman"/>
                <w:color w:val="auto"/>
                <w:kern w:val="0"/>
                <w:sz w:val="24"/>
                <w:highlight w:val="none"/>
                <w:lang w:bidi="ar"/>
              </w:rPr>
              <w:t>2.5</w:t>
            </w:r>
          </w:p>
        </w:tc>
        <w:tc>
          <w:tcPr>
            <w:tcW w:w="2869" w:type="dxa"/>
            <w:noWrap w:val="0"/>
            <w:tcMar>
              <w:top w:w="15" w:type="dxa"/>
              <w:left w:w="15" w:type="dxa"/>
              <w:right w:w="15" w:type="dxa"/>
            </w:tcMar>
            <w:vAlign w:val="top"/>
          </w:tcPr>
          <w:p w14:paraId="4EF4502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cs="Times New Roman"/>
                <w:color w:val="auto"/>
                <w:sz w:val="24"/>
                <w:highlight w:val="none"/>
                <w:lang w:val="en-US" w:eastAsia="zh-CN"/>
              </w:rPr>
              <w:t>高效除雾</w:t>
            </w:r>
            <w:r>
              <w:rPr>
                <w:rStyle w:val="54"/>
                <w:rFonts w:hint="eastAsia" w:ascii="Times New Roman" w:hAnsi="Times New Roman" w:eastAsia="宋体" w:cs="Times New Roman"/>
                <w:color w:val="auto"/>
                <w:sz w:val="24"/>
                <w:highlight w:val="none"/>
              </w:rPr>
              <w:t>除尘器</w:t>
            </w:r>
          </w:p>
        </w:tc>
        <w:tc>
          <w:tcPr>
            <w:tcW w:w="3294" w:type="dxa"/>
            <w:noWrap w:val="0"/>
            <w:tcMar>
              <w:top w:w="15" w:type="dxa"/>
              <w:left w:w="15" w:type="dxa"/>
              <w:right w:w="15" w:type="dxa"/>
            </w:tcMar>
            <w:vAlign w:val="center"/>
          </w:tcPr>
          <w:p w14:paraId="086AA35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ABA6382">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69275AB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49DE12D5">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default" w:ascii="Times New Roman" w:hAnsi="Times New Roman" w:eastAsia="宋体" w:cs="Times New Roman"/>
                <w:color w:val="auto"/>
                <w:kern w:val="0"/>
                <w:sz w:val="24"/>
                <w:highlight w:val="none"/>
                <w:lang w:bidi="ar"/>
              </w:rPr>
              <w:t>2.6</w:t>
            </w:r>
          </w:p>
        </w:tc>
        <w:tc>
          <w:tcPr>
            <w:tcW w:w="2869" w:type="dxa"/>
            <w:noWrap w:val="0"/>
            <w:tcMar>
              <w:top w:w="15" w:type="dxa"/>
              <w:left w:w="15" w:type="dxa"/>
              <w:right w:w="15" w:type="dxa"/>
            </w:tcMar>
            <w:vAlign w:val="top"/>
          </w:tcPr>
          <w:p w14:paraId="6564331C">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吸收塔循环泵</w:t>
            </w:r>
          </w:p>
        </w:tc>
        <w:tc>
          <w:tcPr>
            <w:tcW w:w="3294" w:type="dxa"/>
            <w:noWrap w:val="0"/>
            <w:tcMar>
              <w:top w:w="15" w:type="dxa"/>
              <w:left w:w="15" w:type="dxa"/>
              <w:right w:w="15" w:type="dxa"/>
            </w:tcMar>
            <w:vAlign w:val="center"/>
          </w:tcPr>
          <w:p w14:paraId="13A0E572">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7E50A076">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5FC35B9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7AF9922F">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default" w:ascii="Times New Roman" w:hAnsi="Times New Roman" w:eastAsia="宋体" w:cs="Times New Roman"/>
                <w:color w:val="auto"/>
                <w:kern w:val="0"/>
                <w:sz w:val="24"/>
                <w:highlight w:val="none"/>
                <w:lang w:bidi="ar"/>
              </w:rPr>
              <w:t>2.7</w:t>
            </w:r>
          </w:p>
        </w:tc>
        <w:tc>
          <w:tcPr>
            <w:tcW w:w="2869" w:type="dxa"/>
            <w:noWrap w:val="0"/>
            <w:tcMar>
              <w:top w:w="15" w:type="dxa"/>
              <w:left w:w="15" w:type="dxa"/>
              <w:right w:w="15" w:type="dxa"/>
            </w:tcMar>
            <w:vAlign w:val="top"/>
          </w:tcPr>
          <w:p w14:paraId="1D45851F">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吸收塔搅拌器</w:t>
            </w:r>
          </w:p>
        </w:tc>
        <w:tc>
          <w:tcPr>
            <w:tcW w:w="3294" w:type="dxa"/>
            <w:noWrap w:val="0"/>
            <w:tcMar>
              <w:top w:w="15" w:type="dxa"/>
              <w:left w:w="15" w:type="dxa"/>
              <w:right w:w="15" w:type="dxa"/>
            </w:tcMar>
            <w:vAlign w:val="center"/>
          </w:tcPr>
          <w:p w14:paraId="6035E5CA">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侧入式</w:t>
            </w:r>
          </w:p>
        </w:tc>
        <w:tc>
          <w:tcPr>
            <w:tcW w:w="1530" w:type="dxa"/>
            <w:noWrap w:val="0"/>
            <w:tcMar>
              <w:top w:w="15" w:type="dxa"/>
              <w:left w:w="15" w:type="dxa"/>
              <w:right w:w="15" w:type="dxa"/>
            </w:tcMar>
            <w:vAlign w:val="center"/>
          </w:tcPr>
          <w:p w14:paraId="3ABDDE33">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0ED7D6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D7030E0">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default" w:ascii="Times New Roman" w:hAnsi="Times New Roman" w:eastAsia="宋体" w:cs="Times New Roman"/>
                <w:color w:val="auto"/>
                <w:kern w:val="0"/>
                <w:sz w:val="24"/>
                <w:highlight w:val="none"/>
                <w:lang w:bidi="ar"/>
              </w:rPr>
              <w:t>2.8</w:t>
            </w:r>
          </w:p>
        </w:tc>
        <w:tc>
          <w:tcPr>
            <w:tcW w:w="2869" w:type="dxa"/>
            <w:noWrap w:val="0"/>
            <w:tcMar>
              <w:top w:w="15" w:type="dxa"/>
              <w:left w:w="15" w:type="dxa"/>
              <w:right w:w="15" w:type="dxa"/>
            </w:tcMar>
            <w:vAlign w:val="top"/>
          </w:tcPr>
          <w:p w14:paraId="14E5647F">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氧化风机</w:t>
            </w:r>
          </w:p>
        </w:tc>
        <w:tc>
          <w:tcPr>
            <w:tcW w:w="3294" w:type="dxa"/>
            <w:noWrap w:val="0"/>
            <w:tcMar>
              <w:top w:w="15" w:type="dxa"/>
              <w:left w:w="15" w:type="dxa"/>
              <w:right w:w="15" w:type="dxa"/>
            </w:tcMar>
            <w:vAlign w:val="center"/>
          </w:tcPr>
          <w:p w14:paraId="63FFF710">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cs="Times New Roman"/>
                <w:color w:val="auto"/>
                <w:sz w:val="24"/>
                <w:highlight w:val="none"/>
                <w:lang w:val="en-US" w:eastAsia="zh-CN"/>
              </w:rPr>
              <w:t>空气</w:t>
            </w:r>
            <w:r>
              <w:rPr>
                <w:rStyle w:val="54"/>
                <w:rFonts w:hint="eastAsia" w:ascii="Times New Roman" w:hAnsi="Times New Roman" w:eastAsia="宋体" w:cs="Times New Roman"/>
                <w:color w:val="auto"/>
                <w:sz w:val="24"/>
                <w:highlight w:val="none"/>
              </w:rPr>
              <w:t>悬浮</w:t>
            </w:r>
          </w:p>
        </w:tc>
        <w:tc>
          <w:tcPr>
            <w:tcW w:w="1530" w:type="dxa"/>
            <w:noWrap w:val="0"/>
            <w:tcMar>
              <w:top w:w="15" w:type="dxa"/>
              <w:left w:w="15" w:type="dxa"/>
              <w:right w:w="15" w:type="dxa"/>
            </w:tcMar>
            <w:vAlign w:val="center"/>
          </w:tcPr>
          <w:p w14:paraId="2F77BB6E">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748B3CE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781F3FE8">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default" w:ascii="Times New Roman" w:hAnsi="Times New Roman" w:eastAsia="宋体" w:cs="Times New Roman"/>
                <w:color w:val="auto"/>
                <w:kern w:val="0"/>
                <w:sz w:val="24"/>
                <w:highlight w:val="none"/>
                <w:lang w:bidi="ar"/>
              </w:rPr>
              <w:t>2.9</w:t>
            </w:r>
          </w:p>
        </w:tc>
        <w:tc>
          <w:tcPr>
            <w:tcW w:w="2869" w:type="dxa"/>
            <w:noWrap w:val="0"/>
            <w:tcMar>
              <w:top w:w="15" w:type="dxa"/>
              <w:left w:w="15" w:type="dxa"/>
              <w:right w:w="15" w:type="dxa"/>
            </w:tcMar>
            <w:vAlign w:val="top"/>
          </w:tcPr>
          <w:p w14:paraId="0F185FD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氧化空气喷管</w:t>
            </w:r>
          </w:p>
        </w:tc>
        <w:tc>
          <w:tcPr>
            <w:tcW w:w="3294" w:type="dxa"/>
            <w:noWrap w:val="0"/>
            <w:tcMar>
              <w:top w:w="15" w:type="dxa"/>
              <w:left w:w="15" w:type="dxa"/>
              <w:right w:w="15" w:type="dxa"/>
            </w:tcMar>
            <w:vAlign w:val="center"/>
          </w:tcPr>
          <w:p w14:paraId="48C1738D">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29849FB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3525DDC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06A468C9">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default" w:ascii="Times New Roman" w:hAnsi="Times New Roman" w:eastAsia="宋体" w:cs="Times New Roman"/>
                <w:color w:val="auto"/>
                <w:kern w:val="0"/>
                <w:sz w:val="24"/>
                <w:highlight w:val="none"/>
                <w:lang w:bidi="ar"/>
              </w:rPr>
              <w:t>2.10</w:t>
            </w:r>
          </w:p>
        </w:tc>
        <w:tc>
          <w:tcPr>
            <w:tcW w:w="2869" w:type="dxa"/>
            <w:noWrap w:val="0"/>
            <w:tcMar>
              <w:top w:w="15" w:type="dxa"/>
              <w:left w:w="15" w:type="dxa"/>
              <w:right w:w="15" w:type="dxa"/>
            </w:tcMar>
            <w:vAlign w:val="top"/>
          </w:tcPr>
          <w:p w14:paraId="7A8A1BC5">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石膏排出泵</w:t>
            </w:r>
          </w:p>
        </w:tc>
        <w:tc>
          <w:tcPr>
            <w:tcW w:w="3294" w:type="dxa"/>
            <w:noWrap w:val="0"/>
            <w:tcMar>
              <w:top w:w="15" w:type="dxa"/>
              <w:left w:w="15" w:type="dxa"/>
              <w:right w:w="15" w:type="dxa"/>
            </w:tcMar>
            <w:vAlign w:val="center"/>
          </w:tcPr>
          <w:p w14:paraId="49CDF04B">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6D6F5A3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0CE8AB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60D5C72">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default" w:ascii="Times New Roman" w:hAnsi="Times New Roman" w:eastAsia="宋体" w:cs="Times New Roman"/>
                <w:color w:val="auto"/>
                <w:kern w:val="0"/>
                <w:sz w:val="24"/>
                <w:highlight w:val="none"/>
                <w:lang w:bidi="ar"/>
              </w:rPr>
              <w:t>2.11</w:t>
            </w:r>
          </w:p>
        </w:tc>
        <w:tc>
          <w:tcPr>
            <w:tcW w:w="2869" w:type="dxa"/>
            <w:noWrap w:val="0"/>
            <w:tcMar>
              <w:top w:w="15" w:type="dxa"/>
              <w:left w:w="15" w:type="dxa"/>
              <w:right w:w="15" w:type="dxa"/>
            </w:tcMar>
            <w:vAlign w:val="top"/>
          </w:tcPr>
          <w:p w14:paraId="32256666">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密度计</w:t>
            </w:r>
          </w:p>
        </w:tc>
        <w:tc>
          <w:tcPr>
            <w:tcW w:w="3294" w:type="dxa"/>
            <w:noWrap w:val="0"/>
            <w:tcMar>
              <w:top w:w="15" w:type="dxa"/>
              <w:left w:w="15" w:type="dxa"/>
              <w:right w:w="15" w:type="dxa"/>
            </w:tcMar>
            <w:vAlign w:val="center"/>
          </w:tcPr>
          <w:p w14:paraId="28F4F04F">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5D669342">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33939B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AEB6BED">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kern w:val="0"/>
                <w:sz w:val="24"/>
                <w:highlight w:val="none"/>
                <w:lang w:val="en-US" w:eastAsia="zh-CN" w:bidi="ar"/>
              </w:rPr>
            </w:pPr>
            <w:r>
              <w:rPr>
                <w:rStyle w:val="54"/>
                <w:rFonts w:hint="eastAsia" w:cs="Times New Roman"/>
                <w:color w:val="auto"/>
                <w:kern w:val="0"/>
                <w:sz w:val="24"/>
                <w:highlight w:val="none"/>
                <w:lang w:val="en-US" w:eastAsia="zh-CN" w:bidi="ar"/>
              </w:rPr>
              <w:t>2.12</w:t>
            </w:r>
          </w:p>
        </w:tc>
        <w:tc>
          <w:tcPr>
            <w:tcW w:w="2869" w:type="dxa"/>
            <w:noWrap w:val="0"/>
            <w:tcMar>
              <w:top w:w="15" w:type="dxa"/>
              <w:left w:w="15" w:type="dxa"/>
              <w:right w:w="15" w:type="dxa"/>
            </w:tcMar>
            <w:vAlign w:val="top"/>
          </w:tcPr>
          <w:p w14:paraId="1764AA41">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PH计</w:t>
            </w:r>
          </w:p>
        </w:tc>
        <w:tc>
          <w:tcPr>
            <w:tcW w:w="3294" w:type="dxa"/>
            <w:noWrap w:val="0"/>
            <w:tcMar>
              <w:top w:w="15" w:type="dxa"/>
              <w:left w:w="15" w:type="dxa"/>
              <w:right w:w="15" w:type="dxa"/>
            </w:tcMar>
            <w:vAlign w:val="center"/>
          </w:tcPr>
          <w:p w14:paraId="3C759A2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6C970972">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2DE9F40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4709AC78">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b/>
                <w:bCs/>
                <w:color w:val="auto"/>
                <w:kern w:val="0"/>
                <w:sz w:val="24"/>
                <w:highlight w:val="none"/>
                <w:lang w:bidi="ar"/>
              </w:rPr>
              <w:t>3</w:t>
            </w:r>
          </w:p>
        </w:tc>
        <w:tc>
          <w:tcPr>
            <w:tcW w:w="2869" w:type="dxa"/>
            <w:noWrap w:val="0"/>
            <w:tcMar>
              <w:top w:w="15" w:type="dxa"/>
              <w:left w:w="15" w:type="dxa"/>
              <w:right w:w="15" w:type="dxa"/>
            </w:tcMar>
            <w:vAlign w:val="top"/>
          </w:tcPr>
          <w:p w14:paraId="3FAF0D9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b/>
                <w:color w:val="auto"/>
                <w:sz w:val="24"/>
                <w:highlight w:val="none"/>
              </w:rPr>
              <w:t>石灰石浆液制备</w:t>
            </w:r>
            <w:r>
              <w:rPr>
                <w:rStyle w:val="54"/>
                <w:rFonts w:hint="default" w:ascii="Times New Roman" w:hAnsi="Times New Roman" w:eastAsia="宋体" w:cs="Times New Roman"/>
                <w:b/>
                <w:color w:val="auto"/>
                <w:sz w:val="24"/>
                <w:highlight w:val="none"/>
              </w:rPr>
              <w:t>系统</w:t>
            </w:r>
          </w:p>
        </w:tc>
        <w:tc>
          <w:tcPr>
            <w:tcW w:w="3294" w:type="dxa"/>
            <w:noWrap w:val="0"/>
            <w:tcMar>
              <w:top w:w="15" w:type="dxa"/>
              <w:left w:w="15" w:type="dxa"/>
              <w:right w:w="15" w:type="dxa"/>
            </w:tcMar>
            <w:vAlign w:val="center"/>
          </w:tcPr>
          <w:p w14:paraId="6723386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62532D91">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392937E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20145663">
            <w:pPr>
              <w:pStyle w:val="176"/>
              <w:keepNext w:val="0"/>
              <w:keepLines w:val="0"/>
              <w:widowControl/>
              <w:suppressLineNumbers w:val="0"/>
              <w:spacing w:before="0" w:beforeAutospacing="0" w:after="0" w:afterAutospacing="0"/>
              <w:ind w:left="0" w:right="0"/>
              <w:jc w:val="center"/>
              <w:textAlignment w:val="center"/>
              <w:rPr>
                <w:rStyle w:val="54"/>
                <w:rFonts w:hint="eastAsia" w:ascii="Times New Roman" w:hAnsi="Times New Roman" w:eastAsia="宋体" w:cs="Times New Roman"/>
                <w:color w:val="auto"/>
                <w:sz w:val="24"/>
                <w:highlight w:val="none"/>
                <w:lang w:val="en-US" w:eastAsia="zh-CN"/>
              </w:rPr>
            </w:pPr>
            <w:r>
              <w:rPr>
                <w:rStyle w:val="54"/>
                <w:rFonts w:hint="default" w:ascii="Times New Roman" w:hAnsi="Times New Roman" w:eastAsia="宋体" w:cs="Times New Roman"/>
                <w:color w:val="auto"/>
                <w:kern w:val="0"/>
                <w:sz w:val="24"/>
                <w:highlight w:val="none"/>
                <w:lang w:bidi="ar"/>
              </w:rPr>
              <w:t>3.</w:t>
            </w:r>
            <w:r>
              <w:rPr>
                <w:rStyle w:val="54"/>
                <w:rFonts w:hint="eastAsia" w:cs="Times New Roman"/>
                <w:color w:val="auto"/>
                <w:kern w:val="0"/>
                <w:sz w:val="24"/>
                <w:highlight w:val="none"/>
                <w:lang w:val="en-US" w:eastAsia="zh-CN" w:bidi="ar"/>
              </w:rPr>
              <w:t>1</w:t>
            </w:r>
          </w:p>
        </w:tc>
        <w:tc>
          <w:tcPr>
            <w:tcW w:w="2869" w:type="dxa"/>
            <w:noWrap w:val="0"/>
            <w:tcMar>
              <w:top w:w="15" w:type="dxa"/>
              <w:left w:w="15" w:type="dxa"/>
              <w:right w:w="15" w:type="dxa"/>
            </w:tcMar>
            <w:vAlign w:val="top"/>
          </w:tcPr>
          <w:p w14:paraId="0ACEAEE7">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石灰石浆液泵</w:t>
            </w:r>
          </w:p>
        </w:tc>
        <w:tc>
          <w:tcPr>
            <w:tcW w:w="3294" w:type="dxa"/>
            <w:noWrap w:val="0"/>
            <w:tcMar>
              <w:top w:w="15" w:type="dxa"/>
              <w:left w:w="15" w:type="dxa"/>
              <w:right w:w="15" w:type="dxa"/>
            </w:tcMar>
            <w:vAlign w:val="center"/>
          </w:tcPr>
          <w:p w14:paraId="3D91F2B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431C72FC">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1CC4E03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73A95F44">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b/>
                <w:bCs/>
                <w:color w:val="auto"/>
                <w:kern w:val="0"/>
                <w:sz w:val="24"/>
                <w:highlight w:val="none"/>
                <w:lang w:bidi="ar"/>
              </w:rPr>
              <w:t>4</w:t>
            </w:r>
          </w:p>
        </w:tc>
        <w:tc>
          <w:tcPr>
            <w:tcW w:w="2869" w:type="dxa"/>
            <w:noWrap w:val="0"/>
            <w:tcMar>
              <w:top w:w="15" w:type="dxa"/>
              <w:left w:w="15" w:type="dxa"/>
              <w:right w:w="15" w:type="dxa"/>
            </w:tcMar>
            <w:vAlign w:val="top"/>
          </w:tcPr>
          <w:p w14:paraId="57D3BD6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b/>
                <w:color w:val="auto"/>
                <w:sz w:val="24"/>
                <w:highlight w:val="none"/>
              </w:rPr>
              <w:t>石膏脱水系统</w:t>
            </w:r>
          </w:p>
        </w:tc>
        <w:tc>
          <w:tcPr>
            <w:tcW w:w="3294" w:type="dxa"/>
            <w:noWrap w:val="0"/>
            <w:tcMar>
              <w:top w:w="15" w:type="dxa"/>
              <w:left w:w="15" w:type="dxa"/>
              <w:right w:w="15" w:type="dxa"/>
            </w:tcMar>
            <w:vAlign w:val="center"/>
          </w:tcPr>
          <w:p w14:paraId="79FD650D">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244B30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42918EE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AF7E59F">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kern w:val="0"/>
                <w:sz w:val="24"/>
                <w:highlight w:val="none"/>
                <w:lang w:bidi="ar"/>
              </w:rPr>
              <w:t>4.1</w:t>
            </w:r>
          </w:p>
        </w:tc>
        <w:tc>
          <w:tcPr>
            <w:tcW w:w="2869" w:type="dxa"/>
            <w:noWrap w:val="0"/>
            <w:tcMar>
              <w:top w:w="15" w:type="dxa"/>
              <w:left w:w="15" w:type="dxa"/>
              <w:right w:w="15" w:type="dxa"/>
            </w:tcMar>
            <w:vAlign w:val="top"/>
          </w:tcPr>
          <w:p w14:paraId="65F932E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石膏旋流站</w:t>
            </w:r>
          </w:p>
        </w:tc>
        <w:tc>
          <w:tcPr>
            <w:tcW w:w="3294" w:type="dxa"/>
            <w:noWrap w:val="0"/>
            <w:tcMar>
              <w:top w:w="15" w:type="dxa"/>
              <w:left w:w="15" w:type="dxa"/>
              <w:right w:w="15" w:type="dxa"/>
            </w:tcMar>
            <w:vAlign w:val="center"/>
          </w:tcPr>
          <w:p w14:paraId="727D2BA1">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458D341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6931580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548339D">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kern w:val="0"/>
                <w:sz w:val="24"/>
                <w:highlight w:val="none"/>
                <w:lang w:bidi="ar"/>
              </w:rPr>
              <w:t>4.2</w:t>
            </w:r>
          </w:p>
        </w:tc>
        <w:tc>
          <w:tcPr>
            <w:tcW w:w="2869" w:type="dxa"/>
            <w:noWrap w:val="0"/>
            <w:tcMar>
              <w:top w:w="15" w:type="dxa"/>
              <w:left w:w="15" w:type="dxa"/>
              <w:right w:w="15" w:type="dxa"/>
            </w:tcMar>
            <w:vAlign w:val="top"/>
          </w:tcPr>
          <w:p w14:paraId="476384F7">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真空皮带脱水机</w:t>
            </w:r>
          </w:p>
        </w:tc>
        <w:tc>
          <w:tcPr>
            <w:tcW w:w="3294" w:type="dxa"/>
            <w:noWrap w:val="0"/>
            <w:tcMar>
              <w:top w:w="15" w:type="dxa"/>
              <w:left w:w="15" w:type="dxa"/>
              <w:right w:w="15" w:type="dxa"/>
            </w:tcMar>
            <w:vAlign w:val="center"/>
          </w:tcPr>
          <w:p w14:paraId="42995CB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55704CE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60B91AC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752E8916">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kern w:val="0"/>
                <w:sz w:val="24"/>
                <w:highlight w:val="none"/>
                <w:lang w:bidi="ar"/>
              </w:rPr>
              <w:t>4.3</w:t>
            </w:r>
          </w:p>
        </w:tc>
        <w:tc>
          <w:tcPr>
            <w:tcW w:w="2869" w:type="dxa"/>
            <w:noWrap w:val="0"/>
            <w:tcMar>
              <w:top w:w="15" w:type="dxa"/>
              <w:left w:w="15" w:type="dxa"/>
              <w:right w:w="15" w:type="dxa"/>
            </w:tcMar>
            <w:vAlign w:val="top"/>
          </w:tcPr>
          <w:p w14:paraId="7C94DA7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真空泵</w:t>
            </w:r>
          </w:p>
        </w:tc>
        <w:tc>
          <w:tcPr>
            <w:tcW w:w="3294" w:type="dxa"/>
            <w:noWrap w:val="0"/>
            <w:tcMar>
              <w:top w:w="15" w:type="dxa"/>
              <w:left w:w="15" w:type="dxa"/>
              <w:right w:w="15" w:type="dxa"/>
            </w:tcMar>
            <w:vAlign w:val="center"/>
          </w:tcPr>
          <w:p w14:paraId="02B530CC">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AD36E1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713067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C40F042">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kern w:val="0"/>
                <w:sz w:val="24"/>
                <w:highlight w:val="none"/>
                <w:lang w:val="en-US" w:eastAsia="zh-CN" w:bidi="ar"/>
              </w:rPr>
            </w:pPr>
            <w:r>
              <w:rPr>
                <w:rStyle w:val="54"/>
                <w:rFonts w:hint="eastAsia" w:cs="Times New Roman"/>
                <w:color w:val="auto"/>
                <w:kern w:val="0"/>
                <w:sz w:val="24"/>
                <w:highlight w:val="none"/>
                <w:lang w:val="en-US" w:eastAsia="zh-CN" w:bidi="ar"/>
              </w:rPr>
              <w:t>4.4</w:t>
            </w:r>
          </w:p>
        </w:tc>
        <w:tc>
          <w:tcPr>
            <w:tcW w:w="2869" w:type="dxa"/>
            <w:noWrap w:val="0"/>
            <w:tcMar>
              <w:top w:w="15" w:type="dxa"/>
              <w:left w:w="15" w:type="dxa"/>
              <w:right w:w="15" w:type="dxa"/>
            </w:tcMar>
            <w:vAlign w:val="top"/>
          </w:tcPr>
          <w:p w14:paraId="0FBE8F02">
            <w:pPr>
              <w:pStyle w:val="176"/>
              <w:keepNext w:val="0"/>
              <w:keepLines w:val="0"/>
              <w:suppressLineNumbers w:val="0"/>
              <w:spacing w:before="0" w:beforeAutospacing="0" w:after="0" w:afterAutospacing="0" w:line="360" w:lineRule="auto"/>
              <w:ind w:left="0" w:right="0"/>
              <w:rPr>
                <w:rStyle w:val="54"/>
                <w:rFonts w:hint="eastAsia" w:cs="Times New Roman"/>
                <w:color w:val="auto"/>
                <w:sz w:val="24"/>
                <w:highlight w:val="none"/>
                <w:lang w:val="en-US" w:eastAsia="zh-CN"/>
              </w:rPr>
            </w:pPr>
            <w:r>
              <w:rPr>
                <w:rStyle w:val="54"/>
                <w:rFonts w:hint="eastAsia" w:ascii="Times New Roman" w:hAnsi="Times New Roman" w:eastAsia="宋体" w:cs="Times New Roman"/>
                <w:color w:val="auto"/>
                <w:sz w:val="24"/>
                <w:highlight w:val="none"/>
              </w:rPr>
              <w:t>废水旋流站</w:t>
            </w:r>
            <w:r>
              <w:rPr>
                <w:rStyle w:val="54"/>
                <w:rFonts w:hint="eastAsia" w:cs="Times New Roman"/>
                <w:color w:val="auto"/>
                <w:sz w:val="24"/>
                <w:highlight w:val="none"/>
                <w:lang w:val="en-US" w:eastAsia="zh-CN"/>
              </w:rPr>
              <w:t>供给</w:t>
            </w:r>
            <w:r>
              <w:rPr>
                <w:rStyle w:val="54"/>
                <w:rFonts w:hint="eastAsia" w:ascii="Times New Roman" w:hAnsi="Times New Roman" w:eastAsia="宋体" w:cs="Times New Roman"/>
                <w:color w:val="auto"/>
                <w:sz w:val="24"/>
                <w:highlight w:val="none"/>
              </w:rPr>
              <w:t>泵</w:t>
            </w:r>
          </w:p>
        </w:tc>
        <w:tc>
          <w:tcPr>
            <w:tcW w:w="3294" w:type="dxa"/>
            <w:noWrap w:val="0"/>
            <w:tcMar>
              <w:top w:w="15" w:type="dxa"/>
              <w:left w:w="15" w:type="dxa"/>
              <w:right w:w="15" w:type="dxa"/>
            </w:tcMar>
            <w:vAlign w:val="center"/>
          </w:tcPr>
          <w:p w14:paraId="1BD62201">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122578A">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3ED1AD0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414565F">
            <w:pPr>
              <w:pStyle w:val="176"/>
              <w:keepNext w:val="0"/>
              <w:keepLines w:val="0"/>
              <w:widowControl/>
              <w:suppressLineNumbers w:val="0"/>
              <w:spacing w:before="0" w:beforeAutospacing="0" w:after="0" w:afterAutospacing="0"/>
              <w:ind w:left="0" w:right="0"/>
              <w:jc w:val="center"/>
              <w:textAlignment w:val="center"/>
              <w:rPr>
                <w:rStyle w:val="54"/>
                <w:rFonts w:hint="default" w:cs="Times New Roman"/>
                <w:color w:val="auto"/>
                <w:kern w:val="0"/>
                <w:sz w:val="24"/>
                <w:highlight w:val="none"/>
                <w:lang w:val="en-US" w:eastAsia="zh-CN" w:bidi="ar"/>
              </w:rPr>
            </w:pPr>
            <w:r>
              <w:rPr>
                <w:rStyle w:val="54"/>
                <w:rFonts w:hint="eastAsia" w:cs="Times New Roman"/>
                <w:color w:val="auto"/>
                <w:kern w:val="0"/>
                <w:sz w:val="24"/>
                <w:highlight w:val="none"/>
                <w:lang w:val="en-US" w:eastAsia="zh-CN" w:bidi="ar"/>
              </w:rPr>
              <w:t>5</w:t>
            </w:r>
          </w:p>
        </w:tc>
        <w:tc>
          <w:tcPr>
            <w:tcW w:w="2869" w:type="dxa"/>
            <w:noWrap w:val="0"/>
            <w:tcMar>
              <w:top w:w="15" w:type="dxa"/>
              <w:left w:w="15" w:type="dxa"/>
              <w:right w:w="15" w:type="dxa"/>
            </w:tcMar>
            <w:vAlign w:val="top"/>
          </w:tcPr>
          <w:p w14:paraId="09BD8E8C">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废水旋流站</w:t>
            </w:r>
          </w:p>
        </w:tc>
        <w:tc>
          <w:tcPr>
            <w:tcW w:w="3294" w:type="dxa"/>
            <w:noWrap w:val="0"/>
            <w:tcMar>
              <w:top w:w="15" w:type="dxa"/>
              <w:left w:w="15" w:type="dxa"/>
              <w:right w:w="15" w:type="dxa"/>
            </w:tcMar>
            <w:vAlign w:val="center"/>
          </w:tcPr>
          <w:p w14:paraId="1E3478D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2636438B">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3E262BB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534752A">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5</w:t>
            </w:r>
            <w:r>
              <w:rPr>
                <w:rStyle w:val="54"/>
                <w:rFonts w:hint="default" w:ascii="Times New Roman" w:hAnsi="Times New Roman" w:eastAsia="宋体" w:cs="Times New Roman"/>
                <w:color w:val="auto"/>
                <w:kern w:val="0"/>
                <w:sz w:val="24"/>
                <w:highlight w:val="none"/>
                <w:lang w:bidi="ar"/>
              </w:rPr>
              <w:t>.</w:t>
            </w:r>
            <w:r>
              <w:rPr>
                <w:rStyle w:val="54"/>
                <w:rFonts w:hint="eastAsia" w:cs="Times New Roman"/>
                <w:color w:val="auto"/>
                <w:kern w:val="0"/>
                <w:sz w:val="24"/>
                <w:highlight w:val="none"/>
                <w:lang w:val="en-US" w:eastAsia="zh-CN" w:bidi="ar"/>
              </w:rPr>
              <w:t>1</w:t>
            </w:r>
          </w:p>
        </w:tc>
        <w:tc>
          <w:tcPr>
            <w:tcW w:w="2869" w:type="dxa"/>
            <w:noWrap w:val="0"/>
            <w:tcMar>
              <w:top w:w="15" w:type="dxa"/>
              <w:left w:w="15" w:type="dxa"/>
              <w:right w:w="15" w:type="dxa"/>
            </w:tcMar>
            <w:vAlign w:val="top"/>
          </w:tcPr>
          <w:p w14:paraId="2E15A6E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废水旋流站</w:t>
            </w:r>
            <w:r>
              <w:rPr>
                <w:rStyle w:val="54"/>
                <w:rFonts w:hint="eastAsia" w:cs="Times New Roman"/>
                <w:color w:val="auto"/>
                <w:sz w:val="24"/>
                <w:highlight w:val="none"/>
                <w:lang w:val="en-US" w:eastAsia="zh-CN"/>
              </w:rPr>
              <w:t>供给</w:t>
            </w:r>
            <w:r>
              <w:rPr>
                <w:rStyle w:val="54"/>
                <w:rFonts w:hint="eastAsia" w:ascii="Times New Roman" w:hAnsi="Times New Roman" w:eastAsia="宋体" w:cs="Times New Roman"/>
                <w:color w:val="auto"/>
                <w:sz w:val="24"/>
                <w:highlight w:val="none"/>
              </w:rPr>
              <w:t>箱</w:t>
            </w:r>
          </w:p>
        </w:tc>
        <w:tc>
          <w:tcPr>
            <w:tcW w:w="3294" w:type="dxa"/>
            <w:noWrap w:val="0"/>
            <w:tcMar>
              <w:top w:w="15" w:type="dxa"/>
              <w:left w:w="15" w:type="dxa"/>
              <w:right w:w="15" w:type="dxa"/>
            </w:tcMar>
            <w:vAlign w:val="center"/>
          </w:tcPr>
          <w:p w14:paraId="4EA953F6">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71FD68B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15F484E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77EFB857">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5</w:t>
            </w:r>
            <w:r>
              <w:rPr>
                <w:rStyle w:val="54"/>
                <w:rFonts w:hint="default" w:ascii="Times New Roman" w:hAnsi="Times New Roman" w:eastAsia="宋体" w:cs="Times New Roman"/>
                <w:color w:val="auto"/>
                <w:kern w:val="0"/>
                <w:sz w:val="24"/>
                <w:highlight w:val="none"/>
                <w:lang w:bidi="ar"/>
              </w:rPr>
              <w:t>.</w:t>
            </w:r>
            <w:r>
              <w:rPr>
                <w:rStyle w:val="54"/>
                <w:rFonts w:hint="eastAsia" w:cs="Times New Roman"/>
                <w:color w:val="auto"/>
                <w:kern w:val="0"/>
                <w:sz w:val="24"/>
                <w:highlight w:val="none"/>
                <w:lang w:val="en-US" w:eastAsia="zh-CN" w:bidi="ar"/>
              </w:rPr>
              <w:t>2</w:t>
            </w:r>
          </w:p>
        </w:tc>
        <w:tc>
          <w:tcPr>
            <w:tcW w:w="2869" w:type="dxa"/>
            <w:noWrap w:val="0"/>
            <w:tcMar>
              <w:top w:w="15" w:type="dxa"/>
              <w:left w:w="15" w:type="dxa"/>
              <w:right w:w="15" w:type="dxa"/>
            </w:tcMar>
            <w:vAlign w:val="top"/>
          </w:tcPr>
          <w:p w14:paraId="072017A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废水旋流站</w:t>
            </w:r>
            <w:r>
              <w:rPr>
                <w:rStyle w:val="54"/>
                <w:rFonts w:hint="eastAsia" w:cs="Times New Roman"/>
                <w:color w:val="auto"/>
                <w:sz w:val="24"/>
                <w:highlight w:val="none"/>
                <w:lang w:val="en-US" w:eastAsia="zh-CN"/>
              </w:rPr>
              <w:t>供给</w:t>
            </w:r>
            <w:r>
              <w:rPr>
                <w:rStyle w:val="54"/>
                <w:rFonts w:hint="eastAsia" w:ascii="Times New Roman" w:hAnsi="Times New Roman" w:eastAsia="宋体" w:cs="Times New Roman"/>
                <w:color w:val="auto"/>
                <w:sz w:val="24"/>
                <w:highlight w:val="none"/>
              </w:rPr>
              <w:t>箱搅拌器</w:t>
            </w:r>
          </w:p>
        </w:tc>
        <w:tc>
          <w:tcPr>
            <w:tcW w:w="3294" w:type="dxa"/>
            <w:noWrap w:val="0"/>
            <w:tcMar>
              <w:top w:w="15" w:type="dxa"/>
              <w:left w:w="15" w:type="dxa"/>
              <w:right w:w="15" w:type="dxa"/>
            </w:tcMar>
            <w:vAlign w:val="center"/>
          </w:tcPr>
          <w:p w14:paraId="02C42146">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626F187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24B4350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7C3BA041">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5</w:t>
            </w:r>
            <w:r>
              <w:rPr>
                <w:rStyle w:val="54"/>
                <w:rFonts w:hint="default" w:ascii="Times New Roman" w:hAnsi="Times New Roman" w:eastAsia="宋体" w:cs="Times New Roman"/>
                <w:color w:val="auto"/>
                <w:kern w:val="0"/>
                <w:sz w:val="24"/>
                <w:highlight w:val="none"/>
                <w:lang w:bidi="ar"/>
              </w:rPr>
              <w:t>.</w:t>
            </w:r>
            <w:r>
              <w:rPr>
                <w:rStyle w:val="54"/>
                <w:rFonts w:hint="eastAsia" w:cs="Times New Roman"/>
                <w:color w:val="auto"/>
                <w:kern w:val="0"/>
                <w:sz w:val="24"/>
                <w:highlight w:val="none"/>
                <w:lang w:val="en-US" w:eastAsia="zh-CN" w:bidi="ar"/>
              </w:rPr>
              <w:t>3</w:t>
            </w:r>
          </w:p>
        </w:tc>
        <w:tc>
          <w:tcPr>
            <w:tcW w:w="2869" w:type="dxa"/>
            <w:noWrap w:val="0"/>
            <w:tcMar>
              <w:top w:w="15" w:type="dxa"/>
              <w:left w:w="15" w:type="dxa"/>
              <w:right w:w="15" w:type="dxa"/>
            </w:tcMar>
            <w:vAlign w:val="top"/>
          </w:tcPr>
          <w:p w14:paraId="3AD0F04E">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废水</w:t>
            </w:r>
            <w:r>
              <w:rPr>
                <w:rStyle w:val="54"/>
                <w:rFonts w:hint="eastAsia" w:cs="Times New Roman"/>
                <w:color w:val="auto"/>
                <w:sz w:val="24"/>
                <w:highlight w:val="none"/>
                <w:lang w:val="en-US" w:eastAsia="zh-CN"/>
              </w:rPr>
              <w:t>泵</w:t>
            </w:r>
          </w:p>
        </w:tc>
        <w:tc>
          <w:tcPr>
            <w:tcW w:w="3294" w:type="dxa"/>
            <w:noWrap w:val="0"/>
            <w:tcMar>
              <w:top w:w="15" w:type="dxa"/>
              <w:left w:w="15" w:type="dxa"/>
              <w:right w:w="15" w:type="dxa"/>
            </w:tcMar>
            <w:vAlign w:val="center"/>
          </w:tcPr>
          <w:p w14:paraId="6BFC882C">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661C6DE6">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09FC3D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0C8FC45D">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b/>
                <w:bCs/>
                <w:color w:val="auto"/>
                <w:sz w:val="24"/>
                <w:highlight w:val="none"/>
              </w:rPr>
            </w:pPr>
            <w:r>
              <w:rPr>
                <w:rStyle w:val="54"/>
                <w:rFonts w:hint="eastAsia" w:cs="Times New Roman"/>
                <w:b/>
                <w:bCs/>
                <w:color w:val="auto"/>
                <w:kern w:val="0"/>
                <w:sz w:val="24"/>
                <w:highlight w:val="none"/>
                <w:lang w:val="en-US" w:eastAsia="zh-CN" w:bidi="ar"/>
              </w:rPr>
              <w:t>6</w:t>
            </w:r>
          </w:p>
        </w:tc>
        <w:tc>
          <w:tcPr>
            <w:tcW w:w="2869" w:type="dxa"/>
            <w:noWrap w:val="0"/>
            <w:tcMar>
              <w:top w:w="15" w:type="dxa"/>
              <w:left w:w="15" w:type="dxa"/>
              <w:right w:w="15" w:type="dxa"/>
            </w:tcMar>
            <w:vAlign w:val="top"/>
          </w:tcPr>
          <w:p w14:paraId="709F5B5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b/>
                <w:bCs/>
                <w:color w:val="auto"/>
                <w:sz w:val="24"/>
                <w:highlight w:val="none"/>
              </w:rPr>
            </w:pPr>
            <w:r>
              <w:rPr>
                <w:rStyle w:val="54"/>
                <w:rFonts w:hint="eastAsia" w:ascii="Times New Roman" w:hAnsi="Times New Roman" w:eastAsia="宋体" w:cs="Times New Roman"/>
                <w:b/>
                <w:bCs/>
                <w:color w:val="auto"/>
                <w:sz w:val="24"/>
                <w:highlight w:val="none"/>
              </w:rPr>
              <w:t>浆液排放系统</w:t>
            </w:r>
          </w:p>
        </w:tc>
        <w:tc>
          <w:tcPr>
            <w:tcW w:w="3294" w:type="dxa"/>
            <w:noWrap w:val="0"/>
            <w:tcMar>
              <w:top w:w="15" w:type="dxa"/>
              <w:left w:w="15" w:type="dxa"/>
              <w:right w:w="15" w:type="dxa"/>
            </w:tcMar>
            <w:vAlign w:val="center"/>
          </w:tcPr>
          <w:p w14:paraId="04C07C2A">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9C31B85">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728FD7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40D734C2">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6</w:t>
            </w:r>
            <w:r>
              <w:rPr>
                <w:rStyle w:val="54"/>
                <w:rFonts w:hint="default" w:ascii="Times New Roman" w:hAnsi="Times New Roman" w:eastAsia="宋体" w:cs="Times New Roman"/>
                <w:color w:val="auto"/>
                <w:kern w:val="0"/>
                <w:sz w:val="24"/>
                <w:highlight w:val="none"/>
                <w:lang w:bidi="ar"/>
              </w:rPr>
              <w:t>.</w:t>
            </w:r>
            <w:r>
              <w:rPr>
                <w:rStyle w:val="54"/>
                <w:rFonts w:hint="eastAsia" w:cs="Times New Roman"/>
                <w:color w:val="auto"/>
                <w:kern w:val="0"/>
                <w:sz w:val="24"/>
                <w:highlight w:val="none"/>
                <w:lang w:val="en-US" w:eastAsia="zh-CN" w:bidi="ar"/>
              </w:rPr>
              <w:t>1</w:t>
            </w:r>
          </w:p>
        </w:tc>
        <w:tc>
          <w:tcPr>
            <w:tcW w:w="2869" w:type="dxa"/>
            <w:noWrap w:val="0"/>
            <w:tcMar>
              <w:top w:w="15" w:type="dxa"/>
              <w:left w:w="15" w:type="dxa"/>
              <w:right w:w="15" w:type="dxa"/>
            </w:tcMar>
            <w:vAlign w:val="top"/>
          </w:tcPr>
          <w:p w14:paraId="6E0EE9FC">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吸收塔区域浆池搅拌器</w:t>
            </w:r>
          </w:p>
        </w:tc>
        <w:tc>
          <w:tcPr>
            <w:tcW w:w="3294" w:type="dxa"/>
            <w:noWrap w:val="0"/>
            <w:tcMar>
              <w:top w:w="15" w:type="dxa"/>
              <w:left w:w="15" w:type="dxa"/>
              <w:right w:w="15" w:type="dxa"/>
            </w:tcMar>
            <w:vAlign w:val="center"/>
          </w:tcPr>
          <w:p w14:paraId="1ADE6F8C">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6EAE16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7C3BF6F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2B14AD21">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6</w:t>
            </w:r>
            <w:r>
              <w:rPr>
                <w:rStyle w:val="54"/>
                <w:rFonts w:hint="default" w:ascii="Times New Roman" w:hAnsi="Times New Roman" w:eastAsia="宋体" w:cs="Times New Roman"/>
                <w:color w:val="auto"/>
                <w:kern w:val="0"/>
                <w:sz w:val="24"/>
                <w:highlight w:val="none"/>
                <w:lang w:bidi="ar"/>
              </w:rPr>
              <w:t>.</w:t>
            </w:r>
            <w:r>
              <w:rPr>
                <w:rStyle w:val="54"/>
                <w:rFonts w:hint="eastAsia" w:cs="Times New Roman"/>
                <w:color w:val="auto"/>
                <w:kern w:val="0"/>
                <w:sz w:val="24"/>
                <w:highlight w:val="none"/>
                <w:lang w:val="en-US" w:eastAsia="zh-CN" w:bidi="ar"/>
              </w:rPr>
              <w:t>2</w:t>
            </w:r>
          </w:p>
        </w:tc>
        <w:tc>
          <w:tcPr>
            <w:tcW w:w="2869" w:type="dxa"/>
            <w:noWrap w:val="0"/>
            <w:tcMar>
              <w:top w:w="15" w:type="dxa"/>
              <w:left w:w="15" w:type="dxa"/>
              <w:right w:w="15" w:type="dxa"/>
            </w:tcMar>
            <w:vAlign w:val="top"/>
          </w:tcPr>
          <w:p w14:paraId="0664D24F">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吸收塔区域浆池浆液泵</w:t>
            </w:r>
          </w:p>
        </w:tc>
        <w:tc>
          <w:tcPr>
            <w:tcW w:w="3294" w:type="dxa"/>
            <w:noWrap w:val="0"/>
            <w:tcMar>
              <w:top w:w="15" w:type="dxa"/>
              <w:left w:w="15" w:type="dxa"/>
              <w:right w:w="15" w:type="dxa"/>
            </w:tcMar>
            <w:vAlign w:val="center"/>
          </w:tcPr>
          <w:p w14:paraId="5F75CCC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490716AD">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4CBE116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C7F14EF">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b/>
                <w:bCs/>
                <w:color w:val="auto"/>
                <w:kern w:val="0"/>
                <w:sz w:val="24"/>
                <w:highlight w:val="none"/>
                <w:lang w:val="en-US" w:eastAsia="zh-CN" w:bidi="ar"/>
              </w:rPr>
              <w:t>7</w:t>
            </w:r>
          </w:p>
        </w:tc>
        <w:tc>
          <w:tcPr>
            <w:tcW w:w="2869" w:type="dxa"/>
            <w:noWrap w:val="0"/>
            <w:tcMar>
              <w:top w:w="15" w:type="dxa"/>
              <w:left w:w="15" w:type="dxa"/>
              <w:right w:w="15" w:type="dxa"/>
            </w:tcMar>
            <w:vAlign w:val="top"/>
          </w:tcPr>
          <w:p w14:paraId="3DE15411">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b/>
                <w:color w:val="auto"/>
                <w:sz w:val="24"/>
                <w:highlight w:val="none"/>
              </w:rPr>
              <w:t>工艺水</w:t>
            </w:r>
            <w:r>
              <w:rPr>
                <w:rStyle w:val="54"/>
                <w:rFonts w:hint="default" w:ascii="Times New Roman" w:hAnsi="Times New Roman" w:eastAsia="宋体" w:cs="Times New Roman"/>
                <w:b/>
                <w:color w:val="auto"/>
                <w:sz w:val="24"/>
                <w:highlight w:val="none"/>
              </w:rPr>
              <w:t>系统</w:t>
            </w:r>
          </w:p>
        </w:tc>
        <w:tc>
          <w:tcPr>
            <w:tcW w:w="3294" w:type="dxa"/>
            <w:noWrap w:val="0"/>
            <w:tcMar>
              <w:top w:w="15" w:type="dxa"/>
              <w:left w:w="15" w:type="dxa"/>
              <w:right w:w="15" w:type="dxa"/>
            </w:tcMar>
            <w:vAlign w:val="center"/>
          </w:tcPr>
          <w:p w14:paraId="325B7E4E">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DEA751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2F6801E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5F7CB74">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7</w:t>
            </w:r>
            <w:r>
              <w:rPr>
                <w:rStyle w:val="54"/>
                <w:rFonts w:hint="default" w:ascii="Times New Roman" w:hAnsi="Times New Roman" w:eastAsia="宋体" w:cs="Times New Roman"/>
                <w:color w:val="auto"/>
                <w:kern w:val="0"/>
                <w:sz w:val="24"/>
                <w:highlight w:val="none"/>
                <w:lang w:bidi="ar"/>
              </w:rPr>
              <w:t>.1</w:t>
            </w:r>
          </w:p>
        </w:tc>
        <w:tc>
          <w:tcPr>
            <w:tcW w:w="2869" w:type="dxa"/>
            <w:noWrap w:val="0"/>
            <w:tcMar>
              <w:top w:w="15" w:type="dxa"/>
              <w:left w:w="15" w:type="dxa"/>
              <w:right w:w="15" w:type="dxa"/>
            </w:tcMar>
            <w:vAlign w:val="top"/>
          </w:tcPr>
          <w:p w14:paraId="6EFD43EE">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b/>
                <w:color w:val="auto"/>
                <w:sz w:val="24"/>
                <w:highlight w:val="none"/>
              </w:rPr>
            </w:pPr>
            <w:r>
              <w:rPr>
                <w:rStyle w:val="54"/>
                <w:rFonts w:hint="eastAsia" w:ascii="Times New Roman" w:hAnsi="Times New Roman" w:eastAsia="宋体" w:cs="Times New Roman"/>
                <w:color w:val="auto"/>
                <w:sz w:val="24"/>
                <w:highlight w:val="none"/>
              </w:rPr>
              <w:t>工艺水箱（含本体上的平台、栏杆、楼梯、管道、等所带附件）</w:t>
            </w:r>
          </w:p>
        </w:tc>
        <w:tc>
          <w:tcPr>
            <w:tcW w:w="3294" w:type="dxa"/>
            <w:noWrap w:val="0"/>
            <w:tcMar>
              <w:top w:w="15" w:type="dxa"/>
              <w:left w:w="15" w:type="dxa"/>
              <w:right w:w="15" w:type="dxa"/>
            </w:tcMar>
            <w:vAlign w:val="center"/>
          </w:tcPr>
          <w:p w14:paraId="148B8D0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08CAAF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1289B7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34FB779">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7</w:t>
            </w:r>
            <w:r>
              <w:rPr>
                <w:rStyle w:val="54"/>
                <w:rFonts w:hint="default" w:ascii="Times New Roman" w:hAnsi="Times New Roman" w:eastAsia="宋体" w:cs="Times New Roman"/>
                <w:color w:val="auto"/>
                <w:kern w:val="0"/>
                <w:sz w:val="24"/>
                <w:highlight w:val="none"/>
                <w:lang w:bidi="ar"/>
              </w:rPr>
              <w:t>.2</w:t>
            </w:r>
          </w:p>
        </w:tc>
        <w:tc>
          <w:tcPr>
            <w:tcW w:w="2869" w:type="dxa"/>
            <w:noWrap w:val="0"/>
            <w:tcMar>
              <w:top w:w="15" w:type="dxa"/>
              <w:left w:w="15" w:type="dxa"/>
              <w:right w:w="15" w:type="dxa"/>
            </w:tcMar>
            <w:vAlign w:val="top"/>
          </w:tcPr>
          <w:p w14:paraId="5604F715">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工艺水泵</w:t>
            </w:r>
          </w:p>
        </w:tc>
        <w:tc>
          <w:tcPr>
            <w:tcW w:w="3294" w:type="dxa"/>
            <w:noWrap w:val="0"/>
            <w:tcMar>
              <w:top w:w="15" w:type="dxa"/>
              <w:left w:w="15" w:type="dxa"/>
              <w:right w:w="15" w:type="dxa"/>
            </w:tcMar>
            <w:vAlign w:val="center"/>
          </w:tcPr>
          <w:p w14:paraId="4AB59BED">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2E6DE838">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5F09FE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3E083A2">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7</w:t>
            </w:r>
            <w:r>
              <w:rPr>
                <w:rStyle w:val="54"/>
                <w:rFonts w:hint="default" w:ascii="Times New Roman" w:hAnsi="Times New Roman" w:eastAsia="宋体" w:cs="Times New Roman"/>
                <w:color w:val="auto"/>
                <w:kern w:val="0"/>
                <w:sz w:val="24"/>
                <w:highlight w:val="none"/>
                <w:lang w:bidi="ar"/>
              </w:rPr>
              <w:t>.3</w:t>
            </w:r>
          </w:p>
        </w:tc>
        <w:tc>
          <w:tcPr>
            <w:tcW w:w="2869" w:type="dxa"/>
            <w:noWrap w:val="0"/>
            <w:tcMar>
              <w:top w:w="15" w:type="dxa"/>
              <w:left w:w="15" w:type="dxa"/>
              <w:right w:w="15" w:type="dxa"/>
            </w:tcMar>
            <w:vAlign w:val="top"/>
          </w:tcPr>
          <w:p w14:paraId="49B5DFEB">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除</w:t>
            </w:r>
            <w:r>
              <w:rPr>
                <w:rStyle w:val="54"/>
                <w:rFonts w:hint="eastAsia" w:cs="Times New Roman"/>
                <w:color w:val="auto"/>
                <w:sz w:val="24"/>
                <w:highlight w:val="none"/>
                <w:lang w:val="en-US" w:eastAsia="zh-CN"/>
              </w:rPr>
              <w:t>雾器</w:t>
            </w:r>
            <w:r>
              <w:rPr>
                <w:rStyle w:val="54"/>
                <w:rFonts w:hint="eastAsia" w:ascii="Times New Roman" w:hAnsi="Times New Roman" w:eastAsia="宋体" w:cs="Times New Roman"/>
                <w:color w:val="auto"/>
                <w:sz w:val="24"/>
                <w:highlight w:val="none"/>
              </w:rPr>
              <w:t>冲洗水泵</w:t>
            </w:r>
          </w:p>
        </w:tc>
        <w:tc>
          <w:tcPr>
            <w:tcW w:w="3294" w:type="dxa"/>
            <w:noWrap w:val="0"/>
            <w:tcMar>
              <w:top w:w="15" w:type="dxa"/>
              <w:left w:w="15" w:type="dxa"/>
              <w:right w:w="15" w:type="dxa"/>
            </w:tcMar>
            <w:vAlign w:val="center"/>
          </w:tcPr>
          <w:p w14:paraId="540AC1B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551B6B97">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2A9BF9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15993CD5">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b/>
                <w:color w:val="auto"/>
                <w:sz w:val="24"/>
                <w:highlight w:val="none"/>
              </w:rPr>
            </w:pPr>
            <w:r>
              <w:rPr>
                <w:rStyle w:val="54"/>
                <w:rFonts w:hint="eastAsia" w:cs="Times New Roman"/>
                <w:b/>
                <w:bCs/>
                <w:color w:val="auto"/>
                <w:kern w:val="0"/>
                <w:sz w:val="24"/>
                <w:highlight w:val="none"/>
                <w:lang w:val="en-US" w:eastAsia="zh-CN" w:bidi="ar"/>
              </w:rPr>
              <w:t>8</w:t>
            </w:r>
          </w:p>
        </w:tc>
        <w:tc>
          <w:tcPr>
            <w:tcW w:w="2869" w:type="dxa"/>
            <w:noWrap w:val="0"/>
            <w:tcMar>
              <w:top w:w="15" w:type="dxa"/>
              <w:left w:w="15" w:type="dxa"/>
              <w:right w:w="15" w:type="dxa"/>
            </w:tcMar>
            <w:vAlign w:val="top"/>
          </w:tcPr>
          <w:p w14:paraId="1DD3B5C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b/>
                <w:color w:val="auto"/>
                <w:sz w:val="24"/>
                <w:highlight w:val="none"/>
              </w:rPr>
            </w:pPr>
            <w:r>
              <w:rPr>
                <w:rStyle w:val="54"/>
                <w:rFonts w:hint="eastAsia" w:ascii="Times New Roman" w:hAnsi="Times New Roman" w:eastAsia="宋体" w:cs="Times New Roman"/>
                <w:b/>
                <w:color w:val="auto"/>
                <w:sz w:val="24"/>
                <w:highlight w:val="none"/>
              </w:rPr>
              <w:t>脱硫废水处理系统</w:t>
            </w:r>
          </w:p>
        </w:tc>
        <w:tc>
          <w:tcPr>
            <w:tcW w:w="3294" w:type="dxa"/>
            <w:noWrap w:val="0"/>
            <w:tcMar>
              <w:top w:w="15" w:type="dxa"/>
              <w:left w:w="15" w:type="dxa"/>
              <w:right w:w="15" w:type="dxa"/>
            </w:tcMar>
            <w:vAlign w:val="center"/>
          </w:tcPr>
          <w:p w14:paraId="1DFF212D">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41FF341E">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6B2775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25948FFA">
            <w:pPr>
              <w:pStyle w:val="176"/>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eastAsia="宋体" w:cs="Times New Roman"/>
                <w:color w:val="auto"/>
                <w:kern w:val="2"/>
                <w:sz w:val="21"/>
                <w:szCs w:val="24"/>
                <w:highlight w:val="none"/>
                <w:lang w:val="en-US" w:eastAsia="zh-CN" w:bidi="ar-SA"/>
              </w:rPr>
            </w:pPr>
            <w:r>
              <w:rPr>
                <w:rStyle w:val="54"/>
                <w:rFonts w:hint="eastAsia" w:cs="Times New Roman"/>
                <w:color w:val="auto"/>
                <w:kern w:val="0"/>
                <w:sz w:val="24"/>
                <w:highlight w:val="none"/>
                <w:lang w:val="en-US" w:eastAsia="zh-CN" w:bidi="ar"/>
              </w:rPr>
              <w:t>8</w:t>
            </w:r>
            <w:r>
              <w:rPr>
                <w:rStyle w:val="54"/>
                <w:rFonts w:hint="default" w:ascii="Times New Roman" w:hAnsi="Times New Roman" w:eastAsia="宋体" w:cs="Times New Roman"/>
                <w:color w:val="auto"/>
                <w:kern w:val="0"/>
                <w:sz w:val="24"/>
                <w:highlight w:val="none"/>
                <w:lang w:bidi="ar"/>
              </w:rPr>
              <w:t>.</w:t>
            </w:r>
            <w:r>
              <w:rPr>
                <w:rStyle w:val="54"/>
                <w:rFonts w:hint="eastAsia" w:cs="Times New Roman"/>
                <w:color w:val="auto"/>
                <w:kern w:val="0"/>
                <w:sz w:val="24"/>
                <w:highlight w:val="none"/>
                <w:lang w:val="en-US" w:eastAsia="zh-CN" w:bidi="ar"/>
              </w:rPr>
              <w:t>1</w:t>
            </w:r>
          </w:p>
        </w:tc>
        <w:tc>
          <w:tcPr>
            <w:tcW w:w="2869" w:type="dxa"/>
            <w:noWrap w:val="0"/>
            <w:tcMar>
              <w:top w:w="15" w:type="dxa"/>
              <w:left w:w="15" w:type="dxa"/>
              <w:right w:w="15" w:type="dxa"/>
            </w:tcMar>
            <w:vAlign w:val="top"/>
          </w:tcPr>
          <w:p w14:paraId="0118C82E">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b/>
                <w:color w:val="auto"/>
                <w:sz w:val="24"/>
                <w:highlight w:val="none"/>
              </w:rPr>
            </w:pPr>
            <w:r>
              <w:rPr>
                <w:rStyle w:val="54"/>
                <w:rFonts w:hint="eastAsia" w:cs="Times New Roman"/>
                <w:color w:val="auto"/>
                <w:sz w:val="24"/>
                <w:highlight w:val="none"/>
                <w:lang w:val="en-US" w:eastAsia="zh-CN"/>
              </w:rPr>
              <w:t>三联箱</w:t>
            </w:r>
            <w:r>
              <w:rPr>
                <w:rStyle w:val="54"/>
                <w:rFonts w:hint="eastAsia" w:ascii="Times New Roman" w:hAnsi="Times New Roman" w:eastAsia="宋体" w:cs="Times New Roman"/>
                <w:color w:val="auto"/>
                <w:sz w:val="24"/>
                <w:highlight w:val="none"/>
              </w:rPr>
              <w:t>废水处理装置（含本体上的平台、栏杆、楼梯、管道、等所带附件）</w:t>
            </w:r>
          </w:p>
        </w:tc>
        <w:tc>
          <w:tcPr>
            <w:tcW w:w="3294" w:type="dxa"/>
            <w:noWrap w:val="0"/>
            <w:tcMar>
              <w:top w:w="15" w:type="dxa"/>
              <w:left w:w="15" w:type="dxa"/>
              <w:right w:w="15" w:type="dxa"/>
            </w:tcMar>
            <w:vAlign w:val="center"/>
          </w:tcPr>
          <w:p w14:paraId="51FD8E17">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94CA37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510252B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062AEC7E">
            <w:pPr>
              <w:pStyle w:val="176"/>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color w:val="auto"/>
                <w:kern w:val="0"/>
                <w:sz w:val="24"/>
                <w:szCs w:val="24"/>
                <w:highlight w:val="none"/>
                <w:lang w:val="en-US" w:eastAsia="zh-CN" w:bidi="ar"/>
              </w:rPr>
            </w:pPr>
            <w:r>
              <w:rPr>
                <w:rStyle w:val="54"/>
                <w:rFonts w:hint="eastAsia" w:cs="Times New Roman"/>
                <w:color w:val="auto"/>
                <w:kern w:val="0"/>
                <w:sz w:val="24"/>
                <w:highlight w:val="none"/>
                <w:lang w:val="en-US" w:eastAsia="zh-CN" w:bidi="ar"/>
              </w:rPr>
              <w:t>8.2</w:t>
            </w:r>
          </w:p>
        </w:tc>
        <w:tc>
          <w:tcPr>
            <w:tcW w:w="2869" w:type="dxa"/>
            <w:noWrap w:val="0"/>
            <w:tcMar>
              <w:top w:w="15" w:type="dxa"/>
              <w:left w:w="15" w:type="dxa"/>
              <w:right w:w="15" w:type="dxa"/>
            </w:tcMar>
            <w:vAlign w:val="top"/>
          </w:tcPr>
          <w:p w14:paraId="03FF138D">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预澄清器及刮泥机（含本体上的平台、栏杆、楼梯、管道、等所带附件）</w:t>
            </w:r>
          </w:p>
        </w:tc>
        <w:tc>
          <w:tcPr>
            <w:tcW w:w="3294" w:type="dxa"/>
            <w:noWrap w:val="0"/>
            <w:tcMar>
              <w:top w:w="15" w:type="dxa"/>
              <w:left w:w="15" w:type="dxa"/>
              <w:right w:w="15" w:type="dxa"/>
            </w:tcMar>
            <w:vAlign w:val="center"/>
          </w:tcPr>
          <w:p w14:paraId="03EFC35B">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8AC6F8A">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31E2561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2D42F7F5">
            <w:pPr>
              <w:pStyle w:val="176"/>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color w:val="auto"/>
                <w:kern w:val="2"/>
                <w:sz w:val="21"/>
                <w:szCs w:val="24"/>
                <w:highlight w:val="none"/>
                <w:lang w:val="en-US" w:eastAsia="zh-CN" w:bidi="ar-SA"/>
              </w:rPr>
            </w:pPr>
            <w:r>
              <w:rPr>
                <w:rStyle w:val="54"/>
                <w:rFonts w:hint="eastAsia" w:cs="Times New Roman"/>
                <w:color w:val="auto"/>
                <w:kern w:val="0"/>
                <w:sz w:val="24"/>
                <w:highlight w:val="none"/>
                <w:lang w:val="en-US" w:eastAsia="zh-CN" w:bidi="ar"/>
              </w:rPr>
              <w:t>8</w:t>
            </w:r>
            <w:r>
              <w:rPr>
                <w:rStyle w:val="54"/>
                <w:rFonts w:hint="default" w:ascii="Times New Roman" w:hAnsi="Times New Roman" w:eastAsia="宋体" w:cs="Times New Roman"/>
                <w:color w:val="auto"/>
                <w:kern w:val="0"/>
                <w:sz w:val="24"/>
                <w:highlight w:val="none"/>
                <w:lang w:bidi="ar"/>
              </w:rPr>
              <w:t>.</w:t>
            </w:r>
            <w:r>
              <w:rPr>
                <w:rStyle w:val="54"/>
                <w:rFonts w:hint="eastAsia" w:cs="Times New Roman"/>
                <w:color w:val="auto"/>
                <w:kern w:val="0"/>
                <w:sz w:val="24"/>
                <w:highlight w:val="none"/>
                <w:lang w:val="en-US" w:eastAsia="zh-CN" w:bidi="ar"/>
              </w:rPr>
              <w:t>3</w:t>
            </w:r>
          </w:p>
        </w:tc>
        <w:tc>
          <w:tcPr>
            <w:tcW w:w="2869" w:type="dxa"/>
            <w:noWrap w:val="0"/>
            <w:tcMar>
              <w:top w:w="15" w:type="dxa"/>
              <w:left w:w="15" w:type="dxa"/>
              <w:right w:w="15" w:type="dxa"/>
            </w:tcMar>
            <w:vAlign w:val="top"/>
          </w:tcPr>
          <w:p w14:paraId="40DB528D">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清水箱</w:t>
            </w:r>
          </w:p>
        </w:tc>
        <w:tc>
          <w:tcPr>
            <w:tcW w:w="3294" w:type="dxa"/>
            <w:noWrap w:val="0"/>
            <w:tcMar>
              <w:top w:w="15" w:type="dxa"/>
              <w:left w:w="15" w:type="dxa"/>
              <w:right w:w="15" w:type="dxa"/>
            </w:tcMar>
            <w:vAlign w:val="center"/>
          </w:tcPr>
          <w:p w14:paraId="6D3971C1">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6AB82DD2">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106F36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188643D">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eastAsia" w:cs="Times New Roman"/>
                <w:color w:val="auto"/>
                <w:kern w:val="0"/>
                <w:sz w:val="24"/>
                <w:highlight w:val="none"/>
                <w:lang w:val="en-US" w:eastAsia="zh-CN" w:bidi="ar"/>
              </w:rPr>
              <w:t>8.4</w:t>
            </w:r>
          </w:p>
        </w:tc>
        <w:tc>
          <w:tcPr>
            <w:tcW w:w="2869" w:type="dxa"/>
            <w:noWrap w:val="0"/>
            <w:tcMar>
              <w:top w:w="15" w:type="dxa"/>
              <w:left w:w="15" w:type="dxa"/>
              <w:right w:w="15" w:type="dxa"/>
            </w:tcMar>
            <w:vAlign w:val="top"/>
          </w:tcPr>
          <w:p w14:paraId="0C987BF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污泥输送泵</w:t>
            </w:r>
          </w:p>
        </w:tc>
        <w:tc>
          <w:tcPr>
            <w:tcW w:w="3294" w:type="dxa"/>
            <w:noWrap w:val="0"/>
            <w:tcMar>
              <w:top w:w="15" w:type="dxa"/>
              <w:left w:w="15" w:type="dxa"/>
              <w:right w:w="15" w:type="dxa"/>
            </w:tcMar>
            <w:vAlign w:val="center"/>
          </w:tcPr>
          <w:p w14:paraId="6441AC97">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7846DDBC">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70FBE2F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916C9CD">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eastAsia" w:cs="Times New Roman"/>
                <w:color w:val="auto"/>
                <w:kern w:val="0"/>
                <w:sz w:val="24"/>
                <w:highlight w:val="none"/>
                <w:lang w:val="en-US" w:eastAsia="zh-CN" w:bidi="ar"/>
              </w:rPr>
              <w:t>8.5</w:t>
            </w:r>
          </w:p>
        </w:tc>
        <w:tc>
          <w:tcPr>
            <w:tcW w:w="2869" w:type="dxa"/>
            <w:noWrap w:val="0"/>
            <w:tcMar>
              <w:top w:w="15" w:type="dxa"/>
              <w:left w:w="15" w:type="dxa"/>
              <w:right w:w="15" w:type="dxa"/>
            </w:tcMar>
            <w:vAlign w:val="top"/>
          </w:tcPr>
          <w:p w14:paraId="5DE036DA">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加药装置</w:t>
            </w:r>
          </w:p>
        </w:tc>
        <w:tc>
          <w:tcPr>
            <w:tcW w:w="3294" w:type="dxa"/>
            <w:noWrap w:val="0"/>
            <w:tcMar>
              <w:top w:w="15" w:type="dxa"/>
              <w:left w:w="15" w:type="dxa"/>
              <w:right w:w="15" w:type="dxa"/>
            </w:tcMar>
            <w:vAlign w:val="center"/>
          </w:tcPr>
          <w:p w14:paraId="2F4FF338">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0C22B1C6">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1193F6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CD4391E">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eastAsia" w:cs="Times New Roman"/>
                <w:color w:val="auto"/>
                <w:kern w:val="0"/>
                <w:sz w:val="24"/>
                <w:highlight w:val="none"/>
                <w:lang w:val="en-US" w:eastAsia="zh-CN" w:bidi="ar"/>
              </w:rPr>
              <w:t>8.6</w:t>
            </w:r>
          </w:p>
        </w:tc>
        <w:tc>
          <w:tcPr>
            <w:tcW w:w="2869" w:type="dxa"/>
            <w:noWrap w:val="0"/>
            <w:tcMar>
              <w:top w:w="15" w:type="dxa"/>
              <w:left w:w="15" w:type="dxa"/>
              <w:right w:w="15" w:type="dxa"/>
            </w:tcMar>
            <w:vAlign w:val="top"/>
          </w:tcPr>
          <w:p w14:paraId="580980AB">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贮罐</w:t>
            </w:r>
          </w:p>
        </w:tc>
        <w:tc>
          <w:tcPr>
            <w:tcW w:w="3294" w:type="dxa"/>
            <w:noWrap w:val="0"/>
            <w:tcMar>
              <w:top w:w="15" w:type="dxa"/>
              <w:left w:w="15" w:type="dxa"/>
              <w:right w:w="15" w:type="dxa"/>
            </w:tcMar>
            <w:vAlign w:val="center"/>
          </w:tcPr>
          <w:p w14:paraId="2ED31A5F">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642F32B9">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4F5759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81EAB48">
            <w:pPr>
              <w:pStyle w:val="176"/>
              <w:keepNext w:val="0"/>
              <w:keepLines w:val="0"/>
              <w:widowControl/>
              <w:suppressLineNumbers w:val="0"/>
              <w:spacing w:before="0" w:beforeAutospacing="0" w:after="0" w:afterAutospacing="0"/>
              <w:ind w:left="0" w:right="0"/>
              <w:jc w:val="center"/>
              <w:textAlignment w:val="center"/>
              <w:rPr>
                <w:rStyle w:val="54"/>
                <w:rFonts w:hint="default" w:cs="Times New Roman"/>
                <w:color w:val="auto"/>
                <w:kern w:val="0"/>
                <w:sz w:val="24"/>
                <w:highlight w:val="none"/>
                <w:lang w:val="en-US" w:eastAsia="zh-CN" w:bidi="ar"/>
              </w:rPr>
            </w:pPr>
            <w:r>
              <w:rPr>
                <w:rStyle w:val="54"/>
                <w:rFonts w:hint="eastAsia" w:cs="Times New Roman"/>
                <w:color w:val="auto"/>
                <w:kern w:val="0"/>
                <w:sz w:val="24"/>
                <w:highlight w:val="none"/>
                <w:lang w:val="en-US" w:eastAsia="zh-CN" w:bidi="ar"/>
              </w:rPr>
              <w:t>8.7</w:t>
            </w:r>
          </w:p>
        </w:tc>
        <w:tc>
          <w:tcPr>
            <w:tcW w:w="2869" w:type="dxa"/>
            <w:noWrap w:val="0"/>
            <w:tcMar>
              <w:top w:w="15" w:type="dxa"/>
              <w:left w:w="15" w:type="dxa"/>
              <w:right w:w="15" w:type="dxa"/>
            </w:tcMar>
            <w:vAlign w:val="top"/>
          </w:tcPr>
          <w:p w14:paraId="3CF24432">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石膏冲洗区域浆液泵</w:t>
            </w:r>
          </w:p>
        </w:tc>
        <w:tc>
          <w:tcPr>
            <w:tcW w:w="3294" w:type="dxa"/>
            <w:noWrap w:val="0"/>
            <w:tcMar>
              <w:top w:w="15" w:type="dxa"/>
              <w:left w:w="15" w:type="dxa"/>
              <w:right w:w="15" w:type="dxa"/>
            </w:tcMar>
            <w:vAlign w:val="center"/>
          </w:tcPr>
          <w:p w14:paraId="34C930B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9DDB209">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269D677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509317D5">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b/>
                <w:bCs/>
                <w:color w:val="auto"/>
                <w:kern w:val="0"/>
                <w:sz w:val="24"/>
                <w:highlight w:val="none"/>
                <w:lang w:val="en-US" w:eastAsia="zh-CN" w:bidi="ar"/>
              </w:rPr>
              <w:t>9</w:t>
            </w:r>
          </w:p>
        </w:tc>
        <w:tc>
          <w:tcPr>
            <w:tcW w:w="2869" w:type="dxa"/>
            <w:noWrap w:val="0"/>
            <w:tcMar>
              <w:top w:w="15" w:type="dxa"/>
              <w:left w:w="15" w:type="dxa"/>
              <w:right w:w="15" w:type="dxa"/>
            </w:tcMar>
            <w:vAlign w:val="top"/>
          </w:tcPr>
          <w:p w14:paraId="78F0CF8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b/>
                <w:color w:val="auto"/>
                <w:sz w:val="24"/>
                <w:highlight w:val="none"/>
              </w:rPr>
              <w:t>压缩空气系统</w:t>
            </w:r>
          </w:p>
        </w:tc>
        <w:tc>
          <w:tcPr>
            <w:tcW w:w="3294" w:type="dxa"/>
            <w:noWrap w:val="0"/>
            <w:tcMar>
              <w:top w:w="15" w:type="dxa"/>
              <w:left w:w="15" w:type="dxa"/>
              <w:right w:w="15" w:type="dxa"/>
            </w:tcMar>
            <w:vAlign w:val="center"/>
          </w:tcPr>
          <w:p w14:paraId="303A0749">
            <w:pPr>
              <w:pStyle w:val="176"/>
              <w:keepNext w:val="0"/>
              <w:keepLines w:val="0"/>
              <w:suppressLineNumbers w:val="0"/>
              <w:spacing w:before="0" w:beforeAutospacing="0" w:after="0" w:afterAutospacing="0" w:line="360" w:lineRule="auto"/>
              <w:ind w:left="0" w:right="0" w:firstLine="480" w:firstLineChars="20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658A312A">
            <w:pPr>
              <w:pStyle w:val="176"/>
              <w:keepNext w:val="0"/>
              <w:keepLines w:val="0"/>
              <w:suppressLineNumbers w:val="0"/>
              <w:spacing w:before="0" w:beforeAutospacing="0" w:after="0" w:afterAutospacing="0" w:line="360" w:lineRule="auto"/>
              <w:ind w:left="0" w:right="0" w:firstLine="480" w:firstLineChars="200"/>
              <w:rPr>
                <w:rStyle w:val="54"/>
                <w:rFonts w:hint="default" w:ascii="Times New Roman" w:hAnsi="Times New Roman" w:eastAsia="宋体" w:cs="Times New Roman"/>
                <w:color w:val="auto"/>
                <w:sz w:val="24"/>
                <w:highlight w:val="none"/>
              </w:rPr>
            </w:pPr>
          </w:p>
        </w:tc>
      </w:tr>
      <w:tr w14:paraId="3BE3B2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7C3894BF">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9</w:t>
            </w:r>
            <w:r>
              <w:rPr>
                <w:rStyle w:val="54"/>
                <w:rFonts w:hint="default" w:ascii="Times New Roman" w:hAnsi="Times New Roman" w:eastAsia="宋体" w:cs="Times New Roman"/>
                <w:color w:val="auto"/>
                <w:kern w:val="0"/>
                <w:sz w:val="24"/>
                <w:highlight w:val="none"/>
                <w:lang w:bidi="ar"/>
              </w:rPr>
              <w:t>.1</w:t>
            </w:r>
          </w:p>
        </w:tc>
        <w:tc>
          <w:tcPr>
            <w:tcW w:w="2869" w:type="dxa"/>
            <w:noWrap w:val="0"/>
            <w:tcMar>
              <w:top w:w="15" w:type="dxa"/>
              <w:left w:w="15" w:type="dxa"/>
              <w:right w:w="15" w:type="dxa"/>
            </w:tcMar>
            <w:vAlign w:val="top"/>
          </w:tcPr>
          <w:p w14:paraId="0F82A11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sz w:val="24"/>
                <w:highlight w:val="none"/>
              </w:rPr>
              <w:t>仪用压缩空气储气罐</w:t>
            </w:r>
          </w:p>
        </w:tc>
        <w:tc>
          <w:tcPr>
            <w:tcW w:w="3294" w:type="dxa"/>
            <w:noWrap w:val="0"/>
            <w:tcMar>
              <w:top w:w="15" w:type="dxa"/>
              <w:left w:w="15" w:type="dxa"/>
              <w:right w:w="15" w:type="dxa"/>
            </w:tcMar>
            <w:vAlign w:val="center"/>
          </w:tcPr>
          <w:p w14:paraId="314D2FC8">
            <w:pPr>
              <w:pStyle w:val="176"/>
              <w:keepNext w:val="0"/>
              <w:keepLines w:val="0"/>
              <w:suppressLineNumbers w:val="0"/>
              <w:spacing w:before="0" w:beforeAutospacing="0" w:after="0" w:afterAutospacing="0" w:line="360" w:lineRule="auto"/>
              <w:ind w:left="0" w:right="0" w:firstLine="480" w:firstLineChars="20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7C57096B">
            <w:pPr>
              <w:pStyle w:val="176"/>
              <w:keepNext w:val="0"/>
              <w:keepLines w:val="0"/>
              <w:suppressLineNumbers w:val="0"/>
              <w:spacing w:before="0" w:beforeAutospacing="0" w:after="0" w:afterAutospacing="0" w:line="360" w:lineRule="auto"/>
              <w:ind w:left="0" w:right="0" w:firstLine="480" w:firstLineChars="200"/>
              <w:rPr>
                <w:rStyle w:val="54"/>
                <w:rFonts w:hint="default" w:ascii="Times New Roman" w:hAnsi="Times New Roman" w:eastAsia="宋体" w:cs="Times New Roman"/>
                <w:color w:val="auto"/>
                <w:sz w:val="24"/>
                <w:highlight w:val="none"/>
              </w:rPr>
            </w:pPr>
          </w:p>
        </w:tc>
      </w:tr>
      <w:tr w14:paraId="2AB085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0E41C723">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b/>
                <w:bCs/>
                <w:color w:val="auto"/>
                <w:kern w:val="0"/>
                <w:sz w:val="24"/>
                <w:highlight w:val="none"/>
                <w:lang w:val="en-US" w:eastAsia="zh-CN" w:bidi="ar"/>
              </w:rPr>
              <w:t>10</w:t>
            </w:r>
          </w:p>
        </w:tc>
        <w:tc>
          <w:tcPr>
            <w:tcW w:w="2869" w:type="dxa"/>
            <w:noWrap w:val="0"/>
            <w:tcMar>
              <w:top w:w="15" w:type="dxa"/>
              <w:left w:w="15" w:type="dxa"/>
              <w:right w:w="15" w:type="dxa"/>
            </w:tcMar>
            <w:vAlign w:val="top"/>
          </w:tcPr>
          <w:p w14:paraId="3DD4FC3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b/>
                <w:color w:val="auto"/>
                <w:sz w:val="24"/>
                <w:highlight w:val="none"/>
              </w:rPr>
              <w:t>检修设备</w:t>
            </w:r>
          </w:p>
        </w:tc>
        <w:tc>
          <w:tcPr>
            <w:tcW w:w="3294" w:type="dxa"/>
            <w:noWrap w:val="0"/>
            <w:tcMar>
              <w:top w:w="15" w:type="dxa"/>
              <w:left w:w="15" w:type="dxa"/>
              <w:right w:w="15" w:type="dxa"/>
            </w:tcMar>
            <w:vAlign w:val="center"/>
          </w:tcPr>
          <w:p w14:paraId="47CD6281">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7B51D9AA">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2D498A1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4E88D760">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10.1</w:t>
            </w:r>
          </w:p>
        </w:tc>
        <w:tc>
          <w:tcPr>
            <w:tcW w:w="2869" w:type="dxa"/>
            <w:noWrap w:val="0"/>
            <w:tcMar>
              <w:top w:w="15" w:type="dxa"/>
              <w:left w:w="15" w:type="dxa"/>
              <w:right w:w="15" w:type="dxa"/>
            </w:tcMar>
            <w:vAlign w:val="center"/>
          </w:tcPr>
          <w:p w14:paraId="5A83647A">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吸收塔循环泵</w:t>
            </w:r>
            <w:r>
              <w:rPr>
                <w:rStyle w:val="54"/>
                <w:rFonts w:hint="default" w:ascii="Times New Roman" w:hAnsi="Times New Roman" w:eastAsia="宋体" w:cs="Times New Roman"/>
                <w:color w:val="auto"/>
                <w:sz w:val="24"/>
                <w:highlight w:val="none"/>
              </w:rPr>
              <w:t>起吊</w:t>
            </w:r>
          </w:p>
        </w:tc>
        <w:tc>
          <w:tcPr>
            <w:tcW w:w="3294" w:type="dxa"/>
            <w:noWrap w:val="0"/>
            <w:tcMar>
              <w:top w:w="15" w:type="dxa"/>
              <w:left w:w="15" w:type="dxa"/>
              <w:right w:w="15" w:type="dxa"/>
            </w:tcMar>
            <w:vAlign w:val="center"/>
          </w:tcPr>
          <w:p w14:paraId="79BEC66C">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750DF65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4E62D97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B5F67CC">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10.2</w:t>
            </w:r>
          </w:p>
        </w:tc>
        <w:tc>
          <w:tcPr>
            <w:tcW w:w="2869" w:type="dxa"/>
            <w:noWrap w:val="0"/>
            <w:tcMar>
              <w:top w:w="15" w:type="dxa"/>
              <w:left w:w="15" w:type="dxa"/>
              <w:right w:w="15" w:type="dxa"/>
            </w:tcMar>
            <w:vAlign w:val="center"/>
          </w:tcPr>
          <w:p w14:paraId="43C52EFE">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氧化风机</w:t>
            </w:r>
            <w:r>
              <w:rPr>
                <w:rStyle w:val="54"/>
                <w:rFonts w:hint="default" w:ascii="Times New Roman" w:hAnsi="Times New Roman" w:eastAsia="宋体" w:cs="Times New Roman"/>
                <w:color w:val="auto"/>
                <w:sz w:val="24"/>
                <w:highlight w:val="none"/>
              </w:rPr>
              <w:t>起吊</w:t>
            </w:r>
          </w:p>
        </w:tc>
        <w:tc>
          <w:tcPr>
            <w:tcW w:w="3294" w:type="dxa"/>
            <w:noWrap w:val="0"/>
            <w:tcMar>
              <w:top w:w="15" w:type="dxa"/>
              <w:left w:w="15" w:type="dxa"/>
              <w:right w:w="15" w:type="dxa"/>
            </w:tcMar>
            <w:vAlign w:val="center"/>
          </w:tcPr>
          <w:p w14:paraId="27BABBE1">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B320E7B">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579B9A4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1079CCB8">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10.3</w:t>
            </w:r>
          </w:p>
        </w:tc>
        <w:tc>
          <w:tcPr>
            <w:tcW w:w="2869" w:type="dxa"/>
            <w:noWrap w:val="0"/>
            <w:tcMar>
              <w:top w:w="15" w:type="dxa"/>
              <w:left w:w="15" w:type="dxa"/>
              <w:right w:w="15" w:type="dxa"/>
            </w:tcMar>
            <w:vAlign w:val="center"/>
          </w:tcPr>
          <w:p w14:paraId="59869DE5">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真空泵</w:t>
            </w:r>
            <w:r>
              <w:rPr>
                <w:rStyle w:val="54"/>
                <w:rFonts w:hint="default" w:ascii="Times New Roman" w:hAnsi="Times New Roman" w:eastAsia="宋体" w:cs="Times New Roman"/>
                <w:color w:val="auto"/>
                <w:sz w:val="24"/>
                <w:highlight w:val="none"/>
              </w:rPr>
              <w:t>起吊</w:t>
            </w:r>
          </w:p>
        </w:tc>
        <w:tc>
          <w:tcPr>
            <w:tcW w:w="3294" w:type="dxa"/>
            <w:noWrap w:val="0"/>
            <w:tcMar>
              <w:top w:w="15" w:type="dxa"/>
              <w:left w:w="15" w:type="dxa"/>
              <w:right w:w="15" w:type="dxa"/>
            </w:tcMar>
            <w:vAlign w:val="center"/>
          </w:tcPr>
          <w:p w14:paraId="298406F7">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046533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6F8A95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260C9EE9">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eastAsia" w:cs="Times New Roman"/>
                <w:color w:val="auto"/>
                <w:kern w:val="0"/>
                <w:sz w:val="24"/>
                <w:highlight w:val="none"/>
                <w:lang w:val="en-US" w:eastAsia="zh-CN" w:bidi="ar"/>
              </w:rPr>
              <w:t>10.4</w:t>
            </w:r>
          </w:p>
        </w:tc>
        <w:tc>
          <w:tcPr>
            <w:tcW w:w="2869" w:type="dxa"/>
            <w:noWrap w:val="0"/>
            <w:tcMar>
              <w:top w:w="15" w:type="dxa"/>
              <w:left w:w="15" w:type="dxa"/>
              <w:right w:w="15" w:type="dxa"/>
            </w:tcMar>
            <w:vAlign w:val="center"/>
          </w:tcPr>
          <w:p w14:paraId="06E997F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真空皮带机起吊</w:t>
            </w:r>
          </w:p>
        </w:tc>
        <w:tc>
          <w:tcPr>
            <w:tcW w:w="3294" w:type="dxa"/>
            <w:noWrap w:val="0"/>
            <w:tcMar>
              <w:top w:w="15" w:type="dxa"/>
              <w:left w:w="15" w:type="dxa"/>
              <w:right w:w="15" w:type="dxa"/>
            </w:tcMar>
            <w:vAlign w:val="center"/>
          </w:tcPr>
          <w:p w14:paraId="725B624E">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020FFE91">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2A4AB8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624774F6">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eastAsia" w:cs="Times New Roman"/>
                <w:color w:val="auto"/>
                <w:kern w:val="0"/>
                <w:sz w:val="24"/>
                <w:highlight w:val="none"/>
                <w:lang w:val="en-US" w:eastAsia="zh-CN" w:bidi="ar"/>
              </w:rPr>
              <w:t>10.5</w:t>
            </w:r>
          </w:p>
        </w:tc>
        <w:tc>
          <w:tcPr>
            <w:tcW w:w="2869" w:type="dxa"/>
            <w:noWrap w:val="0"/>
            <w:tcMar>
              <w:top w:w="15" w:type="dxa"/>
              <w:left w:w="15" w:type="dxa"/>
              <w:right w:w="15" w:type="dxa"/>
            </w:tcMar>
            <w:vAlign w:val="center"/>
          </w:tcPr>
          <w:p w14:paraId="20F28115">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废水加药用起吊</w:t>
            </w:r>
          </w:p>
        </w:tc>
        <w:tc>
          <w:tcPr>
            <w:tcW w:w="3294" w:type="dxa"/>
            <w:noWrap w:val="0"/>
            <w:tcMar>
              <w:top w:w="15" w:type="dxa"/>
              <w:left w:w="15" w:type="dxa"/>
              <w:right w:w="15" w:type="dxa"/>
            </w:tcMar>
            <w:vAlign w:val="center"/>
          </w:tcPr>
          <w:p w14:paraId="7FC2F02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DE598D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2AF8DA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5AFB4935">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highlight w:val="none"/>
              </w:rPr>
            </w:pPr>
            <w:r>
              <w:rPr>
                <w:rStyle w:val="54"/>
                <w:rFonts w:hint="eastAsia" w:cs="Times New Roman"/>
                <w:color w:val="auto"/>
                <w:kern w:val="0"/>
                <w:sz w:val="24"/>
                <w:highlight w:val="none"/>
                <w:lang w:val="en-US" w:eastAsia="zh-CN" w:bidi="ar"/>
              </w:rPr>
              <w:t>10.6</w:t>
            </w:r>
          </w:p>
        </w:tc>
        <w:tc>
          <w:tcPr>
            <w:tcW w:w="2869" w:type="dxa"/>
            <w:noWrap w:val="0"/>
            <w:tcMar>
              <w:top w:w="15" w:type="dxa"/>
              <w:left w:w="15" w:type="dxa"/>
              <w:right w:w="15" w:type="dxa"/>
            </w:tcMar>
            <w:vAlign w:val="center"/>
          </w:tcPr>
          <w:p w14:paraId="5C36C332">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压滤机起吊</w:t>
            </w:r>
          </w:p>
        </w:tc>
        <w:tc>
          <w:tcPr>
            <w:tcW w:w="3294" w:type="dxa"/>
            <w:noWrap w:val="0"/>
            <w:tcMar>
              <w:top w:w="15" w:type="dxa"/>
              <w:left w:w="15" w:type="dxa"/>
              <w:right w:w="15" w:type="dxa"/>
            </w:tcMar>
            <w:vAlign w:val="center"/>
          </w:tcPr>
          <w:p w14:paraId="585DC08D">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4BBDD38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143F998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5CE8CFF7">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eastAsia" w:cs="Times New Roman"/>
                <w:color w:val="auto"/>
                <w:kern w:val="0"/>
                <w:sz w:val="24"/>
                <w:highlight w:val="none"/>
                <w:lang w:val="en-US" w:eastAsia="zh-CN" w:bidi="ar"/>
              </w:rPr>
              <w:t>10.7</w:t>
            </w:r>
          </w:p>
        </w:tc>
        <w:tc>
          <w:tcPr>
            <w:tcW w:w="2869" w:type="dxa"/>
            <w:noWrap w:val="0"/>
            <w:tcMar>
              <w:top w:w="15" w:type="dxa"/>
              <w:left w:w="15" w:type="dxa"/>
              <w:right w:w="15" w:type="dxa"/>
            </w:tcMar>
            <w:vAlign w:val="center"/>
          </w:tcPr>
          <w:p w14:paraId="6DFE8262">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脱硫综合楼吊物孔起吊</w:t>
            </w:r>
          </w:p>
        </w:tc>
        <w:tc>
          <w:tcPr>
            <w:tcW w:w="3294" w:type="dxa"/>
            <w:noWrap w:val="0"/>
            <w:tcMar>
              <w:top w:w="15" w:type="dxa"/>
              <w:left w:w="15" w:type="dxa"/>
              <w:right w:w="15" w:type="dxa"/>
            </w:tcMar>
            <w:vAlign w:val="center"/>
          </w:tcPr>
          <w:p w14:paraId="7F16E255">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9E7C12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541DDC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shd w:val="clear" w:color="auto" w:fill="FFFFFF"/>
            <w:noWrap w:val="0"/>
            <w:tcMar>
              <w:top w:w="15" w:type="dxa"/>
              <w:left w:w="15" w:type="dxa"/>
              <w:right w:w="15" w:type="dxa"/>
            </w:tcMar>
            <w:vAlign w:val="center"/>
          </w:tcPr>
          <w:p w14:paraId="0FAD002C">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b/>
                <w:bCs/>
                <w:color w:val="auto"/>
                <w:kern w:val="0"/>
                <w:sz w:val="24"/>
                <w:highlight w:val="none"/>
                <w:lang w:bidi="ar"/>
              </w:rPr>
              <w:t>1</w:t>
            </w:r>
            <w:r>
              <w:rPr>
                <w:rStyle w:val="54"/>
                <w:rFonts w:hint="eastAsia" w:cs="Times New Roman"/>
                <w:b/>
                <w:bCs/>
                <w:color w:val="auto"/>
                <w:kern w:val="0"/>
                <w:sz w:val="24"/>
                <w:highlight w:val="none"/>
                <w:lang w:val="en-US" w:eastAsia="zh-CN" w:bidi="ar"/>
              </w:rPr>
              <w:t>1</w:t>
            </w:r>
          </w:p>
        </w:tc>
        <w:tc>
          <w:tcPr>
            <w:tcW w:w="2869" w:type="dxa"/>
            <w:shd w:val="clear" w:color="auto" w:fill="FFFFFF"/>
            <w:noWrap w:val="0"/>
            <w:tcMar>
              <w:top w:w="15" w:type="dxa"/>
              <w:left w:w="15" w:type="dxa"/>
              <w:right w:w="15" w:type="dxa"/>
            </w:tcMar>
            <w:vAlign w:val="center"/>
          </w:tcPr>
          <w:p w14:paraId="28ADAA87">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宋体"/>
                <w:b/>
                <w:color w:val="auto"/>
                <w:sz w:val="24"/>
                <w:highlight w:val="none"/>
                <w:lang w:bidi="ar"/>
              </w:rPr>
              <w:t>阀门</w:t>
            </w:r>
          </w:p>
        </w:tc>
        <w:tc>
          <w:tcPr>
            <w:tcW w:w="3294" w:type="dxa"/>
            <w:shd w:val="clear" w:color="auto" w:fill="FFFFFF"/>
            <w:noWrap w:val="0"/>
            <w:tcMar>
              <w:top w:w="15" w:type="dxa"/>
              <w:left w:w="15" w:type="dxa"/>
              <w:right w:w="15" w:type="dxa"/>
            </w:tcMar>
            <w:vAlign w:val="center"/>
          </w:tcPr>
          <w:p w14:paraId="7894A290">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shd w:val="clear" w:color="auto" w:fill="FFFFFF"/>
            <w:noWrap w:val="0"/>
            <w:tcMar>
              <w:top w:w="15" w:type="dxa"/>
              <w:left w:w="15" w:type="dxa"/>
              <w:right w:w="15" w:type="dxa"/>
            </w:tcMar>
            <w:vAlign w:val="center"/>
          </w:tcPr>
          <w:p w14:paraId="5136954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5D096D3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shd w:val="clear" w:color="auto" w:fill="FFFFFF"/>
            <w:noWrap w:val="0"/>
            <w:tcMar>
              <w:top w:w="15" w:type="dxa"/>
              <w:left w:w="15" w:type="dxa"/>
              <w:right w:w="15" w:type="dxa"/>
            </w:tcMar>
            <w:vAlign w:val="center"/>
          </w:tcPr>
          <w:p w14:paraId="18A3D7C2">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kern w:val="0"/>
                <w:sz w:val="24"/>
                <w:highlight w:val="none"/>
                <w:lang w:bidi="ar"/>
              </w:rPr>
              <w:t>1</w:t>
            </w:r>
            <w:r>
              <w:rPr>
                <w:rStyle w:val="54"/>
                <w:rFonts w:hint="eastAsia" w:cs="Times New Roman"/>
                <w:color w:val="auto"/>
                <w:kern w:val="0"/>
                <w:sz w:val="24"/>
                <w:highlight w:val="none"/>
                <w:lang w:val="en-US" w:eastAsia="zh-CN" w:bidi="ar"/>
              </w:rPr>
              <w:t>1</w:t>
            </w:r>
            <w:r>
              <w:rPr>
                <w:rStyle w:val="54"/>
                <w:rFonts w:hint="default" w:ascii="Times New Roman" w:hAnsi="Times New Roman" w:eastAsia="宋体" w:cs="Times New Roman"/>
                <w:color w:val="auto"/>
                <w:kern w:val="0"/>
                <w:sz w:val="24"/>
                <w:highlight w:val="none"/>
                <w:lang w:bidi="ar"/>
              </w:rPr>
              <w:t>.1</w:t>
            </w:r>
          </w:p>
        </w:tc>
        <w:tc>
          <w:tcPr>
            <w:tcW w:w="2869" w:type="dxa"/>
            <w:shd w:val="clear" w:color="auto" w:fill="FFFFFF"/>
            <w:noWrap w:val="0"/>
            <w:tcMar>
              <w:top w:w="15" w:type="dxa"/>
              <w:left w:w="15" w:type="dxa"/>
              <w:right w:w="15" w:type="dxa"/>
            </w:tcMar>
            <w:vAlign w:val="top"/>
          </w:tcPr>
          <w:p w14:paraId="76AC757A">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宋体"/>
                <w:color w:val="auto"/>
                <w:sz w:val="24"/>
                <w:highlight w:val="none"/>
                <w:lang w:bidi="ar"/>
              </w:rPr>
              <w:t>浆液偱环泵入口隔离电动</w:t>
            </w:r>
            <w:r>
              <w:rPr>
                <w:rStyle w:val="54"/>
                <w:rFonts w:hint="eastAsia" w:cs="宋体"/>
                <w:color w:val="auto"/>
                <w:sz w:val="24"/>
                <w:highlight w:val="none"/>
                <w:lang w:val="en-US" w:eastAsia="zh-CN" w:bidi="ar"/>
              </w:rPr>
              <w:t>衬胶</w:t>
            </w:r>
            <w:r>
              <w:rPr>
                <w:rStyle w:val="54"/>
                <w:rFonts w:hint="eastAsia" w:ascii="Times New Roman" w:hAnsi="Times New Roman" w:eastAsia="宋体" w:cs="宋体"/>
                <w:color w:val="auto"/>
                <w:sz w:val="24"/>
                <w:highlight w:val="none"/>
                <w:lang w:bidi="ar"/>
              </w:rPr>
              <w:t>蝶阀</w:t>
            </w:r>
          </w:p>
        </w:tc>
        <w:tc>
          <w:tcPr>
            <w:tcW w:w="3294" w:type="dxa"/>
            <w:shd w:val="clear" w:color="auto" w:fill="FFFFFF"/>
            <w:noWrap w:val="0"/>
            <w:tcMar>
              <w:top w:w="15" w:type="dxa"/>
              <w:left w:w="15" w:type="dxa"/>
              <w:right w:w="15" w:type="dxa"/>
            </w:tcMar>
            <w:vAlign w:val="center"/>
          </w:tcPr>
          <w:p w14:paraId="71B3ECAC">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shd w:val="clear" w:color="auto" w:fill="FFFFFF"/>
            <w:noWrap w:val="0"/>
            <w:tcMar>
              <w:top w:w="15" w:type="dxa"/>
              <w:left w:w="15" w:type="dxa"/>
              <w:right w:w="15" w:type="dxa"/>
            </w:tcMar>
            <w:vAlign w:val="center"/>
          </w:tcPr>
          <w:p w14:paraId="3E28A0B0">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00BD635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shd w:val="clear" w:color="auto" w:fill="FFFFFF"/>
            <w:noWrap w:val="0"/>
            <w:tcMar>
              <w:top w:w="15" w:type="dxa"/>
              <w:left w:w="15" w:type="dxa"/>
              <w:right w:w="15" w:type="dxa"/>
            </w:tcMar>
            <w:vAlign w:val="center"/>
          </w:tcPr>
          <w:p w14:paraId="0B052A79">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color w:val="auto"/>
                <w:kern w:val="0"/>
                <w:sz w:val="24"/>
                <w:highlight w:val="none"/>
                <w:lang w:bidi="ar"/>
              </w:rPr>
              <w:t>1</w:t>
            </w:r>
            <w:r>
              <w:rPr>
                <w:rStyle w:val="54"/>
                <w:rFonts w:hint="eastAsia" w:cs="Times New Roman"/>
                <w:color w:val="auto"/>
                <w:kern w:val="0"/>
                <w:sz w:val="24"/>
                <w:highlight w:val="none"/>
                <w:lang w:val="en-US" w:eastAsia="zh-CN" w:bidi="ar"/>
              </w:rPr>
              <w:t>1.</w:t>
            </w:r>
            <w:r>
              <w:rPr>
                <w:rStyle w:val="54"/>
                <w:rFonts w:hint="default" w:ascii="Times New Roman" w:hAnsi="Times New Roman" w:eastAsia="宋体" w:cs="Times New Roman"/>
                <w:color w:val="auto"/>
                <w:kern w:val="0"/>
                <w:sz w:val="24"/>
                <w:highlight w:val="none"/>
                <w:lang w:bidi="ar"/>
              </w:rPr>
              <w:t>2</w:t>
            </w:r>
          </w:p>
        </w:tc>
        <w:tc>
          <w:tcPr>
            <w:tcW w:w="2869" w:type="dxa"/>
            <w:shd w:val="clear" w:color="auto" w:fill="FFFFFF"/>
            <w:noWrap w:val="0"/>
            <w:tcMar>
              <w:top w:w="15" w:type="dxa"/>
              <w:left w:w="15" w:type="dxa"/>
              <w:right w:w="15" w:type="dxa"/>
            </w:tcMar>
            <w:vAlign w:val="top"/>
          </w:tcPr>
          <w:p w14:paraId="4CDA7506">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宋体"/>
                <w:color w:val="auto"/>
                <w:sz w:val="24"/>
                <w:highlight w:val="none"/>
                <w:lang w:bidi="ar"/>
              </w:rPr>
              <w:t>吸收塔供浆电动调节陶瓷球阀</w:t>
            </w:r>
          </w:p>
        </w:tc>
        <w:tc>
          <w:tcPr>
            <w:tcW w:w="3294" w:type="dxa"/>
            <w:shd w:val="clear" w:color="auto" w:fill="FFFFFF"/>
            <w:noWrap w:val="0"/>
            <w:tcMar>
              <w:top w:w="15" w:type="dxa"/>
              <w:left w:w="15" w:type="dxa"/>
              <w:right w:w="15" w:type="dxa"/>
            </w:tcMar>
            <w:vAlign w:val="center"/>
          </w:tcPr>
          <w:p w14:paraId="1F8527E0">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shd w:val="clear" w:color="auto" w:fill="FFFFFF"/>
            <w:noWrap w:val="0"/>
            <w:tcMar>
              <w:top w:w="15" w:type="dxa"/>
              <w:left w:w="15" w:type="dxa"/>
              <w:right w:w="15" w:type="dxa"/>
            </w:tcMar>
            <w:vAlign w:val="center"/>
          </w:tcPr>
          <w:p w14:paraId="5B15C96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64C1A1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shd w:val="clear" w:color="auto" w:fill="FFFFFF"/>
            <w:noWrap w:val="0"/>
            <w:tcMar>
              <w:top w:w="15" w:type="dxa"/>
              <w:left w:w="15" w:type="dxa"/>
              <w:right w:w="15" w:type="dxa"/>
            </w:tcMar>
            <w:vAlign w:val="center"/>
          </w:tcPr>
          <w:p w14:paraId="380F5AB8">
            <w:pPr>
              <w:pStyle w:val="176"/>
              <w:keepNext w:val="0"/>
              <w:keepLines w:val="0"/>
              <w:widowControl/>
              <w:suppressLineNumbers w:val="0"/>
              <w:spacing w:before="0" w:beforeAutospacing="0" w:after="0" w:afterAutospacing="0"/>
              <w:ind w:left="0" w:right="0"/>
              <w:jc w:val="center"/>
              <w:textAlignment w:val="center"/>
              <w:rPr>
                <w:rStyle w:val="54"/>
                <w:rFonts w:hint="eastAsia" w:ascii="Times New Roman" w:hAnsi="Times New Roman" w:eastAsia="宋体" w:cs="Times New Roman"/>
                <w:color w:val="auto"/>
                <w:sz w:val="24"/>
                <w:highlight w:val="none"/>
              </w:rPr>
            </w:pPr>
            <w:r>
              <w:rPr>
                <w:rStyle w:val="54"/>
                <w:rFonts w:hint="default" w:ascii="Times New Roman" w:hAnsi="Times New Roman" w:eastAsia="宋体" w:cs="Times New Roman"/>
                <w:color w:val="auto"/>
                <w:kern w:val="0"/>
                <w:sz w:val="24"/>
                <w:highlight w:val="none"/>
                <w:lang w:bidi="ar"/>
              </w:rPr>
              <w:t>1</w:t>
            </w:r>
            <w:r>
              <w:rPr>
                <w:rStyle w:val="54"/>
                <w:rFonts w:hint="eastAsia" w:cs="Times New Roman"/>
                <w:color w:val="auto"/>
                <w:kern w:val="0"/>
                <w:sz w:val="24"/>
                <w:highlight w:val="none"/>
                <w:lang w:val="en-US" w:eastAsia="zh-CN" w:bidi="ar"/>
              </w:rPr>
              <w:t>1</w:t>
            </w:r>
            <w:r>
              <w:rPr>
                <w:rStyle w:val="54"/>
                <w:rFonts w:hint="default" w:ascii="Times New Roman" w:hAnsi="Times New Roman" w:eastAsia="宋体" w:cs="Times New Roman"/>
                <w:color w:val="auto"/>
                <w:kern w:val="0"/>
                <w:sz w:val="24"/>
                <w:highlight w:val="none"/>
                <w:lang w:bidi="ar"/>
              </w:rPr>
              <w:t>.3</w:t>
            </w:r>
          </w:p>
        </w:tc>
        <w:tc>
          <w:tcPr>
            <w:tcW w:w="2869" w:type="dxa"/>
            <w:shd w:val="clear" w:color="auto" w:fill="FFFFFF"/>
            <w:noWrap w:val="0"/>
            <w:tcMar>
              <w:top w:w="15" w:type="dxa"/>
              <w:left w:w="15" w:type="dxa"/>
              <w:right w:w="15" w:type="dxa"/>
            </w:tcMar>
            <w:vAlign w:val="top"/>
          </w:tcPr>
          <w:p w14:paraId="742F582B">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回用水制浆液的电动调节</w:t>
            </w:r>
            <w:r>
              <w:rPr>
                <w:rStyle w:val="54"/>
                <w:rFonts w:hint="eastAsia" w:ascii="Times New Roman" w:hAnsi="Times New Roman" w:eastAsia="宋体" w:cs="宋体"/>
                <w:color w:val="auto"/>
                <w:sz w:val="24"/>
                <w:highlight w:val="none"/>
                <w:lang w:bidi="ar"/>
              </w:rPr>
              <w:t>陶瓷</w:t>
            </w:r>
            <w:r>
              <w:rPr>
                <w:rStyle w:val="54"/>
                <w:rFonts w:hint="eastAsia" w:ascii="Times New Roman" w:hAnsi="Times New Roman" w:eastAsia="宋体" w:cs="Times New Roman"/>
                <w:color w:val="auto"/>
                <w:sz w:val="24"/>
                <w:highlight w:val="none"/>
              </w:rPr>
              <w:t>球阀</w:t>
            </w:r>
          </w:p>
        </w:tc>
        <w:tc>
          <w:tcPr>
            <w:tcW w:w="3294" w:type="dxa"/>
            <w:shd w:val="clear" w:color="auto" w:fill="FFFFFF"/>
            <w:noWrap w:val="0"/>
            <w:tcMar>
              <w:top w:w="15" w:type="dxa"/>
              <w:left w:w="15" w:type="dxa"/>
              <w:right w:w="15" w:type="dxa"/>
            </w:tcMar>
            <w:vAlign w:val="center"/>
          </w:tcPr>
          <w:p w14:paraId="4637E0E4">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shd w:val="clear" w:color="auto" w:fill="FFFFFF"/>
            <w:noWrap w:val="0"/>
            <w:tcMar>
              <w:top w:w="15" w:type="dxa"/>
              <w:left w:w="15" w:type="dxa"/>
              <w:right w:w="15" w:type="dxa"/>
            </w:tcMar>
            <w:vAlign w:val="center"/>
          </w:tcPr>
          <w:p w14:paraId="08AF978D">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5549F5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shd w:val="clear" w:color="auto" w:fill="FFFFFF"/>
            <w:noWrap w:val="0"/>
            <w:tcMar>
              <w:top w:w="15" w:type="dxa"/>
              <w:left w:w="15" w:type="dxa"/>
              <w:right w:w="15" w:type="dxa"/>
            </w:tcMar>
            <w:vAlign w:val="center"/>
          </w:tcPr>
          <w:p w14:paraId="6D330472">
            <w:pPr>
              <w:pStyle w:val="176"/>
              <w:keepNext w:val="0"/>
              <w:keepLines w:val="0"/>
              <w:widowControl/>
              <w:suppressLineNumbers w:val="0"/>
              <w:spacing w:before="0" w:beforeAutospacing="0" w:after="0" w:afterAutospacing="0"/>
              <w:ind w:left="0" w:right="0"/>
              <w:jc w:val="center"/>
              <w:textAlignment w:val="center"/>
              <w:rPr>
                <w:rStyle w:val="54"/>
                <w:rFonts w:hint="default" w:ascii="Times New Roman" w:hAnsi="Times New Roman" w:eastAsia="宋体" w:cs="Times New Roman"/>
                <w:color w:val="auto"/>
                <w:kern w:val="0"/>
                <w:sz w:val="24"/>
                <w:highlight w:val="none"/>
                <w:lang w:val="en-US" w:eastAsia="zh-CN" w:bidi="ar"/>
              </w:rPr>
            </w:pPr>
            <w:r>
              <w:rPr>
                <w:rStyle w:val="54"/>
                <w:rFonts w:hint="eastAsia" w:cs="Times New Roman"/>
                <w:color w:val="auto"/>
                <w:kern w:val="0"/>
                <w:sz w:val="24"/>
                <w:highlight w:val="none"/>
                <w:lang w:val="en-US" w:eastAsia="zh-CN" w:bidi="ar"/>
              </w:rPr>
              <w:t>11.4</w:t>
            </w:r>
          </w:p>
        </w:tc>
        <w:tc>
          <w:tcPr>
            <w:tcW w:w="2869" w:type="dxa"/>
            <w:shd w:val="clear" w:color="auto" w:fill="FFFFFF"/>
            <w:noWrap w:val="0"/>
            <w:tcMar>
              <w:top w:w="15" w:type="dxa"/>
              <w:left w:w="15" w:type="dxa"/>
              <w:right w:w="15" w:type="dxa"/>
            </w:tcMar>
            <w:vAlign w:val="top"/>
          </w:tcPr>
          <w:p w14:paraId="2208941A">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引风机出口插板阀</w:t>
            </w:r>
          </w:p>
        </w:tc>
        <w:tc>
          <w:tcPr>
            <w:tcW w:w="3294" w:type="dxa"/>
            <w:shd w:val="clear" w:color="auto" w:fill="FFFFFF"/>
            <w:noWrap w:val="0"/>
            <w:tcMar>
              <w:top w:w="15" w:type="dxa"/>
              <w:left w:w="15" w:type="dxa"/>
              <w:right w:w="15" w:type="dxa"/>
            </w:tcMar>
            <w:vAlign w:val="center"/>
          </w:tcPr>
          <w:p w14:paraId="188474EC">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shd w:val="clear" w:color="auto" w:fill="FFFFFF"/>
            <w:noWrap w:val="0"/>
            <w:tcMar>
              <w:top w:w="15" w:type="dxa"/>
              <w:left w:w="15" w:type="dxa"/>
              <w:right w:w="15" w:type="dxa"/>
            </w:tcMar>
            <w:vAlign w:val="center"/>
          </w:tcPr>
          <w:p w14:paraId="7AE79A9A">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718EBC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736A041B">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b/>
                <w:color w:val="auto"/>
                <w:sz w:val="24"/>
                <w:highlight w:val="none"/>
              </w:rPr>
              <w:t>二</w:t>
            </w:r>
          </w:p>
        </w:tc>
        <w:tc>
          <w:tcPr>
            <w:tcW w:w="2869" w:type="dxa"/>
            <w:noWrap w:val="0"/>
            <w:tcMar>
              <w:top w:w="15" w:type="dxa"/>
              <w:left w:w="15" w:type="dxa"/>
              <w:right w:w="15" w:type="dxa"/>
            </w:tcMar>
            <w:vAlign w:val="top"/>
          </w:tcPr>
          <w:p w14:paraId="69D49DD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default" w:ascii="Times New Roman" w:hAnsi="Times New Roman" w:eastAsia="宋体" w:cs="Times New Roman"/>
                <w:b/>
                <w:color w:val="auto"/>
                <w:sz w:val="24"/>
                <w:highlight w:val="none"/>
              </w:rPr>
              <w:t>电气部分</w:t>
            </w:r>
          </w:p>
        </w:tc>
        <w:tc>
          <w:tcPr>
            <w:tcW w:w="3294" w:type="dxa"/>
            <w:noWrap w:val="0"/>
            <w:tcMar>
              <w:top w:w="15" w:type="dxa"/>
              <w:left w:w="15" w:type="dxa"/>
              <w:right w:w="15" w:type="dxa"/>
            </w:tcMar>
            <w:vAlign w:val="center"/>
          </w:tcPr>
          <w:p w14:paraId="1437BB8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2E432536">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72861BA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A0BEAEE">
            <w:pPr>
              <w:pStyle w:val="176"/>
              <w:keepNext w:val="0"/>
              <w:keepLines w:val="0"/>
              <w:suppressLineNumbers w:val="0"/>
              <w:spacing w:before="0" w:beforeAutospacing="0" w:after="0" w:afterAutospacing="0" w:line="360" w:lineRule="auto"/>
              <w:ind w:left="0" w:right="0"/>
              <w:jc w:val="center"/>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1</w:t>
            </w:r>
          </w:p>
        </w:tc>
        <w:tc>
          <w:tcPr>
            <w:tcW w:w="2869" w:type="dxa"/>
            <w:noWrap w:val="0"/>
            <w:tcMar>
              <w:top w:w="15" w:type="dxa"/>
              <w:left w:w="15" w:type="dxa"/>
              <w:right w:w="15" w:type="dxa"/>
            </w:tcMar>
            <w:vAlign w:val="center"/>
          </w:tcPr>
          <w:p w14:paraId="2AA84962">
            <w:pPr>
              <w:pStyle w:val="176"/>
              <w:keepNext w:val="0"/>
              <w:keepLines w:val="0"/>
              <w:suppressLineNumbers w:val="0"/>
              <w:spacing w:before="0" w:beforeAutospacing="0" w:after="0" w:afterAutospacing="0" w:line="360" w:lineRule="auto"/>
              <w:ind w:left="0" w:right="0"/>
              <w:jc w:val="left"/>
              <w:rPr>
                <w:rStyle w:val="54"/>
                <w:rFonts w:hint="eastAsia" w:ascii="Times New Roman" w:hAnsi="Times New Roman" w:eastAsia="宋体" w:cs="Times New Roman"/>
                <w:color w:val="auto"/>
                <w:sz w:val="24"/>
                <w:highlight w:val="none"/>
              </w:rPr>
            </w:pPr>
            <w:r>
              <w:rPr>
                <w:rFonts w:hint="eastAsia" w:ascii="方正细圆简体" w:hAnsi="华文楷体" w:eastAsia="方正细圆简体"/>
                <w:color w:val="auto"/>
                <w:szCs w:val="21"/>
                <w:highlight w:val="none"/>
              </w:rPr>
              <w:t>变压器</w:t>
            </w:r>
          </w:p>
        </w:tc>
        <w:tc>
          <w:tcPr>
            <w:tcW w:w="3294" w:type="dxa"/>
            <w:noWrap w:val="0"/>
            <w:tcMar>
              <w:top w:w="15" w:type="dxa"/>
              <w:left w:w="15" w:type="dxa"/>
              <w:right w:w="15" w:type="dxa"/>
            </w:tcMar>
            <w:vAlign w:val="center"/>
          </w:tcPr>
          <w:p w14:paraId="0E3160B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highlight w:val="none"/>
              </w:rPr>
            </w:pPr>
          </w:p>
        </w:tc>
        <w:tc>
          <w:tcPr>
            <w:tcW w:w="1530" w:type="dxa"/>
            <w:noWrap w:val="0"/>
            <w:tcMar>
              <w:top w:w="15" w:type="dxa"/>
              <w:left w:w="15" w:type="dxa"/>
              <w:right w:w="15" w:type="dxa"/>
            </w:tcMar>
            <w:vAlign w:val="center"/>
          </w:tcPr>
          <w:p w14:paraId="0B099B46">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highlight w:val="none"/>
              </w:rPr>
            </w:pPr>
          </w:p>
        </w:tc>
      </w:tr>
      <w:tr w14:paraId="615D62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20417CC9">
            <w:pPr>
              <w:pStyle w:val="176"/>
              <w:keepNext w:val="0"/>
              <w:keepLines w:val="0"/>
              <w:suppressLineNumbers w:val="0"/>
              <w:spacing w:before="0" w:beforeAutospacing="0" w:after="0" w:afterAutospacing="0" w:line="360" w:lineRule="auto"/>
              <w:ind w:left="0" w:right="0"/>
              <w:jc w:val="center"/>
              <w:rPr>
                <w:rStyle w:val="54"/>
                <w:rFonts w:hint="eastAsia"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2</w:t>
            </w:r>
          </w:p>
        </w:tc>
        <w:tc>
          <w:tcPr>
            <w:tcW w:w="2869" w:type="dxa"/>
            <w:noWrap w:val="0"/>
            <w:tcMar>
              <w:top w:w="15" w:type="dxa"/>
              <w:left w:w="15" w:type="dxa"/>
              <w:right w:w="15" w:type="dxa"/>
            </w:tcMar>
            <w:vAlign w:val="center"/>
          </w:tcPr>
          <w:p w14:paraId="3C532DFF">
            <w:pPr>
              <w:pStyle w:val="176"/>
              <w:keepNext w:val="0"/>
              <w:keepLines w:val="0"/>
              <w:suppressLineNumbers w:val="0"/>
              <w:spacing w:before="0" w:beforeAutospacing="0" w:after="0" w:afterAutospacing="0" w:line="360" w:lineRule="auto"/>
              <w:ind w:left="0" w:right="0"/>
              <w:jc w:val="left"/>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动力配电箱</w:t>
            </w:r>
          </w:p>
        </w:tc>
        <w:tc>
          <w:tcPr>
            <w:tcW w:w="3294" w:type="dxa"/>
            <w:noWrap w:val="0"/>
            <w:tcMar>
              <w:top w:w="15" w:type="dxa"/>
              <w:left w:w="15" w:type="dxa"/>
              <w:right w:w="15" w:type="dxa"/>
            </w:tcMar>
            <w:vAlign w:val="center"/>
          </w:tcPr>
          <w:p w14:paraId="46D32F4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highlight w:val="none"/>
              </w:rPr>
            </w:pPr>
            <w:r>
              <w:rPr>
                <w:rStyle w:val="54"/>
                <w:rFonts w:hint="eastAsia" w:ascii="Times New Roman" w:hAnsi="Times New Roman" w:eastAsia="宋体" w:cs="Times New Roman"/>
                <w:color w:val="auto"/>
                <w:sz w:val="24"/>
                <w:highlight w:val="none"/>
              </w:rPr>
              <w:t>16L，≥</w:t>
            </w:r>
            <w:r>
              <w:rPr>
                <w:rStyle w:val="54"/>
                <w:rFonts w:hint="default" w:ascii="Times New Roman" w:hAnsi="Times New Roman" w:eastAsia="宋体" w:cs="Times New Roman"/>
                <w:color w:val="auto"/>
                <w:sz w:val="24"/>
                <w:highlight w:val="none"/>
              </w:rPr>
              <w:t>2.</w:t>
            </w:r>
            <w:r>
              <w:rPr>
                <w:rStyle w:val="54"/>
                <w:rFonts w:hint="eastAsia" w:ascii="Times New Roman" w:hAnsi="Times New Roman" w:eastAsia="宋体" w:cs="Times New Roman"/>
                <w:color w:val="auto"/>
                <w:sz w:val="24"/>
                <w:highlight w:val="none"/>
              </w:rPr>
              <w:t>0</w:t>
            </w:r>
            <w:r>
              <w:rPr>
                <w:rStyle w:val="54"/>
                <w:rFonts w:hint="default" w:ascii="Times New Roman" w:hAnsi="Times New Roman" w:eastAsia="宋体" w:cs="Times New Roman"/>
                <w:color w:val="auto"/>
                <w:sz w:val="24"/>
                <w:highlight w:val="none"/>
              </w:rPr>
              <w:t>mm，IP56。</w:t>
            </w:r>
          </w:p>
        </w:tc>
        <w:tc>
          <w:tcPr>
            <w:tcW w:w="1530" w:type="dxa"/>
            <w:noWrap w:val="0"/>
            <w:tcMar>
              <w:top w:w="15" w:type="dxa"/>
              <w:left w:w="15" w:type="dxa"/>
              <w:right w:w="15" w:type="dxa"/>
            </w:tcMar>
            <w:vAlign w:val="center"/>
          </w:tcPr>
          <w:p w14:paraId="6357E7EF">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6BF717E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207C8014">
            <w:pPr>
              <w:pStyle w:val="176"/>
              <w:keepNext w:val="0"/>
              <w:keepLines w:val="0"/>
              <w:suppressLineNumbers w:val="0"/>
              <w:spacing w:before="0" w:beforeAutospacing="0" w:after="0" w:afterAutospacing="0" w:line="360" w:lineRule="auto"/>
              <w:ind w:left="0" w:right="0"/>
              <w:jc w:val="center"/>
              <w:rPr>
                <w:rStyle w:val="54"/>
                <w:rFonts w:hint="eastAsia"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3</w:t>
            </w:r>
          </w:p>
        </w:tc>
        <w:tc>
          <w:tcPr>
            <w:tcW w:w="2869" w:type="dxa"/>
            <w:noWrap w:val="0"/>
            <w:tcMar>
              <w:top w:w="15" w:type="dxa"/>
              <w:left w:w="15" w:type="dxa"/>
              <w:right w:w="15" w:type="dxa"/>
            </w:tcMar>
            <w:vAlign w:val="center"/>
          </w:tcPr>
          <w:p w14:paraId="7F91785F">
            <w:pPr>
              <w:pStyle w:val="176"/>
              <w:keepNext w:val="0"/>
              <w:keepLines w:val="0"/>
              <w:suppressLineNumbers w:val="0"/>
              <w:spacing w:before="0" w:beforeAutospacing="0" w:after="0" w:afterAutospacing="0" w:line="360" w:lineRule="auto"/>
              <w:ind w:left="0" w:right="0"/>
              <w:jc w:val="left"/>
              <w:rPr>
                <w:rStyle w:val="54"/>
                <w:rFonts w:hint="eastAsia" w:ascii="Times New Roman" w:hAnsi="Times New Roman" w:eastAsia="宋体" w:cs="Times New Roman"/>
                <w:color w:val="auto"/>
                <w:sz w:val="24"/>
                <w:highlight w:val="none"/>
              </w:rPr>
            </w:pPr>
            <w:r>
              <w:rPr>
                <w:rFonts w:hint="eastAsia" w:ascii="方正细圆简体" w:hAnsi="华文楷体" w:eastAsia="方正细圆简体"/>
                <w:color w:val="auto"/>
                <w:szCs w:val="21"/>
                <w:highlight w:val="none"/>
              </w:rPr>
              <w:t>开关柜</w:t>
            </w:r>
          </w:p>
        </w:tc>
        <w:tc>
          <w:tcPr>
            <w:tcW w:w="3294" w:type="dxa"/>
            <w:noWrap w:val="0"/>
            <w:tcMar>
              <w:top w:w="15" w:type="dxa"/>
              <w:left w:w="15" w:type="dxa"/>
              <w:right w:w="15" w:type="dxa"/>
            </w:tcMar>
            <w:vAlign w:val="center"/>
          </w:tcPr>
          <w:p w14:paraId="210263B0">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5AC33C08">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4A594F7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2BB04CAB">
            <w:pPr>
              <w:pStyle w:val="176"/>
              <w:keepNext w:val="0"/>
              <w:keepLines w:val="0"/>
              <w:suppressLineNumbers w:val="0"/>
              <w:spacing w:before="0" w:beforeAutospacing="0" w:after="0" w:afterAutospacing="0" w:line="360" w:lineRule="auto"/>
              <w:ind w:left="0" w:right="0"/>
              <w:jc w:val="center"/>
              <w:rPr>
                <w:rStyle w:val="54"/>
                <w:rFonts w:hint="eastAsia"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4</w:t>
            </w:r>
          </w:p>
        </w:tc>
        <w:tc>
          <w:tcPr>
            <w:tcW w:w="2869" w:type="dxa"/>
            <w:noWrap w:val="0"/>
            <w:tcMar>
              <w:top w:w="15" w:type="dxa"/>
              <w:left w:w="15" w:type="dxa"/>
              <w:right w:w="15" w:type="dxa"/>
            </w:tcMar>
            <w:vAlign w:val="center"/>
          </w:tcPr>
          <w:p w14:paraId="369DF277">
            <w:pPr>
              <w:pStyle w:val="176"/>
              <w:keepNext w:val="0"/>
              <w:keepLines w:val="0"/>
              <w:suppressLineNumbers w:val="0"/>
              <w:spacing w:before="0" w:beforeAutospacing="0" w:after="0" w:afterAutospacing="0" w:line="360" w:lineRule="auto"/>
              <w:ind w:left="0" w:right="0"/>
              <w:jc w:val="left"/>
              <w:rPr>
                <w:rStyle w:val="54"/>
                <w:rFonts w:hint="eastAsia" w:ascii="Times New Roman" w:hAnsi="Times New Roman" w:eastAsia="宋体" w:cs="Times New Roman"/>
                <w:color w:val="auto"/>
                <w:sz w:val="24"/>
                <w:highlight w:val="none"/>
              </w:rPr>
            </w:pPr>
            <w:r>
              <w:rPr>
                <w:rFonts w:hint="eastAsia" w:ascii="方正细圆简体" w:hAnsi="华文楷体" w:eastAsia="方正细圆简体"/>
                <w:color w:val="auto"/>
                <w:szCs w:val="21"/>
                <w:highlight w:val="none"/>
              </w:rPr>
              <w:t>保护管、桥架、竖井等</w:t>
            </w:r>
          </w:p>
        </w:tc>
        <w:tc>
          <w:tcPr>
            <w:tcW w:w="3294" w:type="dxa"/>
            <w:noWrap w:val="0"/>
            <w:tcMar>
              <w:top w:w="15" w:type="dxa"/>
              <w:left w:w="15" w:type="dxa"/>
              <w:right w:w="15" w:type="dxa"/>
            </w:tcMar>
            <w:vAlign w:val="center"/>
          </w:tcPr>
          <w:p w14:paraId="5C89695F">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3E571D3">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1E1DC2B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1D0C6849">
            <w:pPr>
              <w:pStyle w:val="176"/>
              <w:keepNext w:val="0"/>
              <w:keepLines w:val="0"/>
              <w:suppressLineNumbers w:val="0"/>
              <w:spacing w:before="0" w:beforeAutospacing="0" w:after="0" w:afterAutospacing="0" w:line="360" w:lineRule="auto"/>
              <w:ind w:left="0" w:right="0"/>
              <w:jc w:val="center"/>
              <w:rPr>
                <w:rStyle w:val="54"/>
                <w:rFonts w:hint="eastAsia"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5</w:t>
            </w:r>
          </w:p>
        </w:tc>
        <w:tc>
          <w:tcPr>
            <w:tcW w:w="2869" w:type="dxa"/>
            <w:noWrap w:val="0"/>
            <w:tcMar>
              <w:top w:w="15" w:type="dxa"/>
              <w:left w:w="15" w:type="dxa"/>
              <w:right w:w="15" w:type="dxa"/>
            </w:tcMar>
            <w:vAlign w:val="center"/>
          </w:tcPr>
          <w:p w14:paraId="1D12E73F">
            <w:pPr>
              <w:pStyle w:val="176"/>
              <w:keepNext w:val="0"/>
              <w:keepLines w:val="0"/>
              <w:suppressLineNumbers w:val="0"/>
              <w:spacing w:before="0" w:beforeAutospacing="0" w:after="0" w:afterAutospacing="0" w:line="360" w:lineRule="auto"/>
              <w:ind w:left="0" w:right="0"/>
              <w:jc w:val="left"/>
              <w:rPr>
                <w:rStyle w:val="54"/>
                <w:rFonts w:hint="eastAsia" w:ascii="Times New Roman" w:hAnsi="Times New Roman" w:eastAsia="宋体" w:cs="Times New Roman"/>
                <w:color w:val="auto"/>
                <w:sz w:val="24"/>
                <w:highlight w:val="none"/>
              </w:rPr>
            </w:pPr>
            <w:r>
              <w:rPr>
                <w:rFonts w:hint="eastAsia" w:ascii="方正细圆简体" w:hAnsi="华文楷体" w:eastAsia="方正细圆简体"/>
                <w:color w:val="auto"/>
                <w:szCs w:val="21"/>
                <w:highlight w:val="none"/>
              </w:rPr>
              <w:t>照明和检修电气设备</w:t>
            </w:r>
          </w:p>
        </w:tc>
        <w:tc>
          <w:tcPr>
            <w:tcW w:w="3294" w:type="dxa"/>
            <w:noWrap w:val="0"/>
            <w:tcMar>
              <w:top w:w="15" w:type="dxa"/>
              <w:left w:w="15" w:type="dxa"/>
              <w:right w:w="15" w:type="dxa"/>
            </w:tcMar>
            <w:vAlign w:val="center"/>
          </w:tcPr>
          <w:p w14:paraId="355D7205">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0E53B26D">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2A696A1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center"/>
          </w:tcPr>
          <w:p w14:paraId="384F9AB9">
            <w:pPr>
              <w:pStyle w:val="176"/>
              <w:keepNext w:val="0"/>
              <w:keepLines w:val="0"/>
              <w:suppressLineNumbers w:val="0"/>
              <w:spacing w:before="0" w:beforeAutospacing="0" w:after="0" w:afterAutospacing="0" w:line="360" w:lineRule="auto"/>
              <w:ind w:left="0" w:right="0"/>
              <w:jc w:val="center"/>
              <w:rPr>
                <w:rStyle w:val="54"/>
                <w:rFonts w:hint="eastAsia" w:ascii="Times New Roman" w:hAnsi="Times New Roman" w:eastAsia="宋体" w:cs="Times New Roman"/>
                <w:color w:val="auto"/>
                <w:sz w:val="24"/>
                <w:highlight w:val="none"/>
              </w:rPr>
            </w:pPr>
            <w:r>
              <w:rPr>
                <w:rStyle w:val="54"/>
                <w:rFonts w:hint="eastAsia" w:cs="Times New Roman"/>
                <w:color w:val="auto"/>
                <w:sz w:val="24"/>
                <w:highlight w:val="none"/>
                <w:lang w:val="en-US" w:eastAsia="zh-CN"/>
              </w:rPr>
              <w:t>6</w:t>
            </w:r>
          </w:p>
        </w:tc>
        <w:tc>
          <w:tcPr>
            <w:tcW w:w="2869" w:type="dxa"/>
            <w:noWrap w:val="0"/>
            <w:tcMar>
              <w:top w:w="15" w:type="dxa"/>
              <w:left w:w="15" w:type="dxa"/>
              <w:right w:w="15" w:type="dxa"/>
            </w:tcMar>
            <w:vAlign w:val="center"/>
          </w:tcPr>
          <w:p w14:paraId="61D28AC6">
            <w:pPr>
              <w:pStyle w:val="176"/>
              <w:keepNext w:val="0"/>
              <w:keepLines w:val="0"/>
              <w:suppressLineNumbers w:val="0"/>
              <w:spacing w:before="0" w:beforeAutospacing="0" w:after="0" w:afterAutospacing="0" w:line="360" w:lineRule="auto"/>
              <w:ind w:left="0" w:right="0"/>
              <w:jc w:val="left"/>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shd w:val="clear" w:color="auto" w:fill="FFFFFF"/>
              </w:rPr>
              <w:t>投标人供货设备间连接电缆</w:t>
            </w:r>
          </w:p>
        </w:tc>
        <w:tc>
          <w:tcPr>
            <w:tcW w:w="3294" w:type="dxa"/>
            <w:noWrap w:val="0"/>
            <w:tcMar>
              <w:top w:w="15" w:type="dxa"/>
              <w:left w:w="15" w:type="dxa"/>
              <w:right w:w="15" w:type="dxa"/>
            </w:tcMar>
            <w:vAlign w:val="center"/>
          </w:tcPr>
          <w:p w14:paraId="337F8A35">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highlight w:val="none"/>
              </w:rPr>
            </w:pPr>
          </w:p>
        </w:tc>
        <w:tc>
          <w:tcPr>
            <w:tcW w:w="1530" w:type="dxa"/>
            <w:noWrap w:val="0"/>
            <w:tcMar>
              <w:top w:w="15" w:type="dxa"/>
              <w:left w:w="15" w:type="dxa"/>
              <w:right w:w="15" w:type="dxa"/>
            </w:tcMar>
            <w:vAlign w:val="center"/>
          </w:tcPr>
          <w:p w14:paraId="2EA76E4A">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highlight w:val="none"/>
              </w:rPr>
            </w:pPr>
          </w:p>
        </w:tc>
      </w:tr>
      <w:tr w14:paraId="15AE89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37DB1A8A">
            <w:pPr>
              <w:pStyle w:val="176"/>
              <w:keepNext w:val="0"/>
              <w:keepLines w:val="0"/>
              <w:suppressLineNumbers w:val="0"/>
              <w:spacing w:before="0" w:beforeAutospacing="0" w:after="0" w:afterAutospacing="0" w:line="360" w:lineRule="auto"/>
              <w:ind w:left="0" w:right="0"/>
              <w:jc w:val="center"/>
              <w:rPr>
                <w:rStyle w:val="54"/>
                <w:rFonts w:hint="eastAsia" w:ascii="Times New Roman" w:hAnsi="Times New Roman" w:eastAsia="宋体" w:cs="Times New Roman"/>
                <w:color w:val="auto"/>
                <w:sz w:val="24"/>
                <w:highlight w:val="none"/>
              </w:rPr>
            </w:pPr>
            <w:r>
              <w:rPr>
                <w:rStyle w:val="54"/>
                <w:rFonts w:hint="default" w:ascii="Times New Roman" w:hAnsi="Times New Roman" w:eastAsia="宋体" w:cs="Times New Roman"/>
                <w:b/>
                <w:color w:val="auto"/>
                <w:sz w:val="24"/>
                <w:highlight w:val="none"/>
              </w:rPr>
              <w:t>三</w:t>
            </w:r>
          </w:p>
        </w:tc>
        <w:tc>
          <w:tcPr>
            <w:tcW w:w="2869" w:type="dxa"/>
            <w:noWrap w:val="0"/>
            <w:tcMar>
              <w:top w:w="15" w:type="dxa"/>
              <w:left w:w="15" w:type="dxa"/>
              <w:right w:w="15" w:type="dxa"/>
            </w:tcMar>
            <w:vAlign w:val="top"/>
          </w:tcPr>
          <w:p w14:paraId="106EDD5B">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r>
              <w:rPr>
                <w:rStyle w:val="54"/>
                <w:rFonts w:hint="default" w:ascii="Times New Roman" w:hAnsi="Times New Roman" w:eastAsia="宋体" w:cs="Times New Roman"/>
                <w:b/>
                <w:color w:val="auto"/>
                <w:sz w:val="24"/>
                <w:highlight w:val="none"/>
              </w:rPr>
              <w:t>热控部分</w:t>
            </w:r>
          </w:p>
        </w:tc>
        <w:tc>
          <w:tcPr>
            <w:tcW w:w="3294" w:type="dxa"/>
            <w:noWrap w:val="0"/>
            <w:tcMar>
              <w:top w:w="15" w:type="dxa"/>
              <w:left w:w="15" w:type="dxa"/>
              <w:right w:w="15" w:type="dxa"/>
            </w:tcMar>
            <w:vAlign w:val="center"/>
          </w:tcPr>
          <w:p w14:paraId="788C96CB">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highlight w:val="none"/>
              </w:rPr>
            </w:pPr>
          </w:p>
        </w:tc>
        <w:tc>
          <w:tcPr>
            <w:tcW w:w="1530" w:type="dxa"/>
            <w:noWrap w:val="0"/>
            <w:tcMar>
              <w:top w:w="15" w:type="dxa"/>
              <w:left w:w="15" w:type="dxa"/>
              <w:right w:w="15" w:type="dxa"/>
            </w:tcMar>
            <w:vAlign w:val="center"/>
          </w:tcPr>
          <w:p w14:paraId="1DEEB857">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highlight w:val="none"/>
              </w:rPr>
            </w:pPr>
          </w:p>
        </w:tc>
      </w:tr>
      <w:tr w14:paraId="54D8D9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4076836C">
            <w:pPr>
              <w:pStyle w:val="176"/>
              <w:keepNext w:val="0"/>
              <w:keepLines w:val="0"/>
              <w:suppressLineNumbers w:val="0"/>
              <w:spacing w:before="0" w:beforeAutospacing="0" w:after="0" w:afterAutospacing="0" w:line="360" w:lineRule="auto"/>
              <w:ind w:left="0" w:right="0"/>
              <w:jc w:val="center"/>
              <w:rPr>
                <w:rStyle w:val="54"/>
                <w:rFonts w:hint="eastAsia" w:ascii="Times New Roman" w:hAnsi="Times New Roman" w:eastAsia="宋体" w:cs="Times New Roman"/>
                <w:color w:val="auto"/>
                <w:sz w:val="24"/>
                <w:highlight w:val="none"/>
              </w:rPr>
            </w:pPr>
            <w:r>
              <w:rPr>
                <w:rStyle w:val="54"/>
                <w:rFonts w:hint="default" w:ascii="Times New Roman" w:hAnsi="Times New Roman" w:eastAsia="宋体" w:cs="Times New Roman"/>
                <w:color w:val="auto"/>
                <w:sz w:val="24"/>
                <w:highlight w:val="none"/>
              </w:rPr>
              <w:t>1</w:t>
            </w:r>
          </w:p>
        </w:tc>
        <w:tc>
          <w:tcPr>
            <w:tcW w:w="2869" w:type="dxa"/>
            <w:noWrap w:val="0"/>
            <w:tcMar>
              <w:top w:w="15" w:type="dxa"/>
              <w:left w:w="15" w:type="dxa"/>
              <w:right w:w="15" w:type="dxa"/>
            </w:tcMar>
            <w:vAlign w:val="top"/>
          </w:tcPr>
          <w:p w14:paraId="468AC9BD">
            <w:pPr>
              <w:pStyle w:val="176"/>
              <w:keepNext w:val="0"/>
              <w:keepLines w:val="0"/>
              <w:suppressLineNumbers w:val="0"/>
              <w:spacing w:before="0" w:beforeAutospacing="0" w:after="0" w:afterAutospacing="0"/>
              <w:ind w:left="0" w:right="0"/>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b/>
                <w:color w:val="auto"/>
                <w:highlight w:val="none"/>
              </w:rPr>
              <w:t>箱柜</w:t>
            </w:r>
          </w:p>
        </w:tc>
        <w:tc>
          <w:tcPr>
            <w:tcW w:w="3294" w:type="dxa"/>
            <w:noWrap w:val="0"/>
            <w:tcMar>
              <w:top w:w="15" w:type="dxa"/>
              <w:left w:w="15" w:type="dxa"/>
              <w:right w:w="15" w:type="dxa"/>
            </w:tcMar>
            <w:vAlign w:val="center"/>
          </w:tcPr>
          <w:p w14:paraId="5B72016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highlight w:val="none"/>
              </w:rPr>
            </w:pPr>
          </w:p>
        </w:tc>
        <w:tc>
          <w:tcPr>
            <w:tcW w:w="1530" w:type="dxa"/>
            <w:noWrap w:val="0"/>
            <w:tcMar>
              <w:top w:w="15" w:type="dxa"/>
              <w:left w:w="15" w:type="dxa"/>
              <w:right w:w="15" w:type="dxa"/>
            </w:tcMar>
            <w:vAlign w:val="center"/>
          </w:tcPr>
          <w:p w14:paraId="37C9DD1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highlight w:val="none"/>
              </w:rPr>
            </w:pPr>
          </w:p>
        </w:tc>
      </w:tr>
      <w:tr w14:paraId="47F31DC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06579D49">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1.1</w:t>
            </w:r>
          </w:p>
        </w:tc>
        <w:tc>
          <w:tcPr>
            <w:tcW w:w="2869" w:type="dxa"/>
            <w:noWrap w:val="0"/>
            <w:tcMar>
              <w:top w:w="15" w:type="dxa"/>
              <w:left w:w="15" w:type="dxa"/>
              <w:right w:w="15" w:type="dxa"/>
            </w:tcMar>
            <w:vAlign w:val="center"/>
          </w:tcPr>
          <w:p w14:paraId="244A5FF3">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热控电源柜</w:t>
            </w:r>
          </w:p>
        </w:tc>
        <w:tc>
          <w:tcPr>
            <w:tcW w:w="3294" w:type="dxa"/>
            <w:noWrap w:val="0"/>
            <w:tcMar>
              <w:top w:w="15" w:type="dxa"/>
              <w:left w:w="15" w:type="dxa"/>
              <w:right w:w="15" w:type="dxa"/>
            </w:tcMar>
            <w:vAlign w:val="center"/>
          </w:tcPr>
          <w:p w14:paraId="2F743875">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3F7CE7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675CD7A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148EC4F5">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1.2</w:t>
            </w:r>
          </w:p>
        </w:tc>
        <w:tc>
          <w:tcPr>
            <w:tcW w:w="2869" w:type="dxa"/>
            <w:noWrap w:val="0"/>
            <w:tcMar>
              <w:top w:w="15" w:type="dxa"/>
              <w:left w:w="15" w:type="dxa"/>
              <w:right w:w="15" w:type="dxa"/>
            </w:tcMar>
            <w:vAlign w:val="center"/>
          </w:tcPr>
          <w:p w14:paraId="5829D92C">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b/>
                <w:color w:val="auto"/>
                <w:highlight w:val="none"/>
              </w:rPr>
            </w:pPr>
            <w:r>
              <w:rPr>
                <w:rStyle w:val="54"/>
                <w:rFonts w:hint="eastAsia" w:ascii="Times New Roman" w:hAnsi="Times New Roman" w:eastAsia="宋体" w:cs="Times New Roman"/>
                <w:color w:val="auto"/>
                <w:sz w:val="24"/>
                <w:highlight w:val="none"/>
              </w:rPr>
              <w:t>仪表电源柜</w:t>
            </w:r>
          </w:p>
        </w:tc>
        <w:tc>
          <w:tcPr>
            <w:tcW w:w="3294" w:type="dxa"/>
            <w:noWrap w:val="0"/>
            <w:tcMar>
              <w:top w:w="15" w:type="dxa"/>
              <w:left w:w="15" w:type="dxa"/>
              <w:right w:w="15" w:type="dxa"/>
            </w:tcMar>
            <w:vAlign w:val="center"/>
          </w:tcPr>
          <w:p w14:paraId="7A3C4168">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659D982">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09E8E0B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5F8D729F">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1.3</w:t>
            </w:r>
          </w:p>
        </w:tc>
        <w:tc>
          <w:tcPr>
            <w:tcW w:w="2869" w:type="dxa"/>
            <w:noWrap w:val="0"/>
            <w:tcMar>
              <w:top w:w="15" w:type="dxa"/>
              <w:left w:w="15" w:type="dxa"/>
              <w:right w:w="15" w:type="dxa"/>
            </w:tcMar>
            <w:vAlign w:val="center"/>
          </w:tcPr>
          <w:p w14:paraId="33B3C0B5">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保温保护箱</w:t>
            </w:r>
          </w:p>
        </w:tc>
        <w:tc>
          <w:tcPr>
            <w:tcW w:w="3294" w:type="dxa"/>
            <w:noWrap w:val="0"/>
            <w:tcMar>
              <w:top w:w="15" w:type="dxa"/>
              <w:left w:w="15" w:type="dxa"/>
              <w:right w:w="15" w:type="dxa"/>
            </w:tcMar>
            <w:vAlign w:val="center"/>
          </w:tcPr>
          <w:p w14:paraId="208594B1">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01EB64BC">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337A5D2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32376DF1">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2</w:t>
            </w:r>
          </w:p>
        </w:tc>
        <w:tc>
          <w:tcPr>
            <w:tcW w:w="2869" w:type="dxa"/>
            <w:noWrap w:val="0"/>
            <w:tcMar>
              <w:top w:w="15" w:type="dxa"/>
              <w:left w:w="15" w:type="dxa"/>
              <w:right w:w="15" w:type="dxa"/>
            </w:tcMar>
            <w:vAlign w:val="center"/>
          </w:tcPr>
          <w:p w14:paraId="30A66531">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b/>
                <w:bCs/>
                <w:color w:val="auto"/>
                <w:sz w:val="24"/>
                <w:highlight w:val="none"/>
              </w:rPr>
              <w:t>就地仪表</w:t>
            </w:r>
          </w:p>
        </w:tc>
        <w:tc>
          <w:tcPr>
            <w:tcW w:w="3294" w:type="dxa"/>
            <w:noWrap w:val="0"/>
            <w:tcMar>
              <w:top w:w="15" w:type="dxa"/>
              <w:left w:w="15" w:type="dxa"/>
              <w:right w:w="15" w:type="dxa"/>
            </w:tcMar>
            <w:vAlign w:val="center"/>
          </w:tcPr>
          <w:p w14:paraId="28941C92">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060D2C73">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p>
        </w:tc>
      </w:tr>
      <w:tr w14:paraId="1FDA997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26BE2A63">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2</w:t>
            </w:r>
            <w:r>
              <w:rPr>
                <w:rStyle w:val="54"/>
                <w:rFonts w:hint="default" w:ascii="Times New Roman" w:hAnsi="Times New Roman" w:eastAsia="宋体" w:cs="Times New Roman"/>
                <w:color w:val="auto"/>
                <w:sz w:val="24"/>
                <w:highlight w:val="none"/>
              </w:rPr>
              <w:t>.1</w:t>
            </w:r>
          </w:p>
        </w:tc>
        <w:tc>
          <w:tcPr>
            <w:tcW w:w="2869" w:type="dxa"/>
            <w:noWrap w:val="0"/>
            <w:tcMar>
              <w:top w:w="15" w:type="dxa"/>
              <w:left w:w="15" w:type="dxa"/>
              <w:right w:w="15" w:type="dxa"/>
            </w:tcMar>
            <w:vAlign w:val="center"/>
          </w:tcPr>
          <w:p w14:paraId="4C780FC6">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就地压力表</w:t>
            </w:r>
          </w:p>
        </w:tc>
        <w:tc>
          <w:tcPr>
            <w:tcW w:w="3294" w:type="dxa"/>
            <w:noWrap w:val="0"/>
            <w:tcMar>
              <w:top w:w="15" w:type="dxa"/>
              <w:left w:w="15" w:type="dxa"/>
              <w:right w:w="15" w:type="dxa"/>
            </w:tcMar>
            <w:vAlign w:val="center"/>
          </w:tcPr>
          <w:p w14:paraId="7BF1A31D">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6758BEE">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6C86F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452E4320">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2</w:t>
            </w:r>
            <w:r>
              <w:rPr>
                <w:rStyle w:val="54"/>
                <w:rFonts w:hint="default" w:ascii="Times New Roman" w:hAnsi="Times New Roman" w:eastAsia="宋体" w:cs="Times New Roman"/>
                <w:color w:val="auto"/>
                <w:sz w:val="24"/>
                <w:highlight w:val="none"/>
              </w:rPr>
              <w:t>.2</w:t>
            </w:r>
          </w:p>
        </w:tc>
        <w:tc>
          <w:tcPr>
            <w:tcW w:w="2869" w:type="dxa"/>
            <w:noWrap w:val="0"/>
            <w:tcMar>
              <w:top w:w="15" w:type="dxa"/>
              <w:left w:w="15" w:type="dxa"/>
              <w:right w:w="15" w:type="dxa"/>
            </w:tcMar>
            <w:vAlign w:val="center"/>
          </w:tcPr>
          <w:p w14:paraId="1F33332E">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b/>
                <w:bCs/>
                <w:color w:val="auto"/>
                <w:sz w:val="24"/>
                <w:highlight w:val="none"/>
              </w:rPr>
            </w:pPr>
            <w:r>
              <w:rPr>
                <w:rStyle w:val="54"/>
                <w:rFonts w:hint="eastAsia" w:ascii="Times New Roman" w:hAnsi="Times New Roman" w:eastAsia="宋体" w:cs="Times New Roman"/>
                <w:color w:val="auto"/>
                <w:sz w:val="24"/>
                <w:highlight w:val="none"/>
              </w:rPr>
              <w:t>隔膜压力表</w:t>
            </w:r>
          </w:p>
        </w:tc>
        <w:tc>
          <w:tcPr>
            <w:tcW w:w="3294" w:type="dxa"/>
            <w:noWrap w:val="0"/>
            <w:tcMar>
              <w:top w:w="15" w:type="dxa"/>
              <w:left w:w="15" w:type="dxa"/>
              <w:right w:w="15" w:type="dxa"/>
            </w:tcMar>
            <w:vAlign w:val="center"/>
          </w:tcPr>
          <w:p w14:paraId="32EDC48E">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3E3A21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5173A6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249DD68E">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2</w:t>
            </w:r>
            <w:r>
              <w:rPr>
                <w:rStyle w:val="54"/>
                <w:rFonts w:hint="default" w:ascii="Times New Roman" w:hAnsi="Times New Roman" w:eastAsia="宋体" w:cs="Times New Roman"/>
                <w:color w:val="auto"/>
                <w:sz w:val="24"/>
                <w:highlight w:val="none"/>
              </w:rPr>
              <w:t>.3</w:t>
            </w:r>
          </w:p>
        </w:tc>
        <w:tc>
          <w:tcPr>
            <w:tcW w:w="2869" w:type="dxa"/>
            <w:noWrap w:val="0"/>
            <w:tcMar>
              <w:top w:w="15" w:type="dxa"/>
              <w:left w:w="15" w:type="dxa"/>
              <w:right w:w="15" w:type="dxa"/>
            </w:tcMar>
            <w:vAlign w:val="center"/>
          </w:tcPr>
          <w:p w14:paraId="5926161B">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法兰式压力（液位）变送器</w:t>
            </w:r>
          </w:p>
        </w:tc>
        <w:tc>
          <w:tcPr>
            <w:tcW w:w="3294" w:type="dxa"/>
            <w:noWrap w:val="0"/>
            <w:tcMar>
              <w:top w:w="15" w:type="dxa"/>
              <w:left w:w="15" w:type="dxa"/>
              <w:right w:w="15" w:type="dxa"/>
            </w:tcMar>
            <w:vAlign w:val="center"/>
          </w:tcPr>
          <w:p w14:paraId="2E1C8705">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29E66A9E">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099A49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54485281">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2</w:t>
            </w:r>
            <w:r>
              <w:rPr>
                <w:rStyle w:val="54"/>
                <w:rFonts w:hint="default" w:ascii="Times New Roman" w:hAnsi="Times New Roman" w:eastAsia="宋体" w:cs="Times New Roman"/>
                <w:color w:val="auto"/>
                <w:sz w:val="24"/>
                <w:highlight w:val="none"/>
              </w:rPr>
              <w:t>.4</w:t>
            </w:r>
          </w:p>
        </w:tc>
        <w:tc>
          <w:tcPr>
            <w:tcW w:w="2869" w:type="dxa"/>
            <w:noWrap w:val="0"/>
            <w:tcMar>
              <w:top w:w="15" w:type="dxa"/>
              <w:left w:w="15" w:type="dxa"/>
              <w:right w:w="15" w:type="dxa"/>
            </w:tcMar>
            <w:vAlign w:val="center"/>
          </w:tcPr>
          <w:p w14:paraId="316EB5B0">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压力（差压）变送器</w:t>
            </w:r>
          </w:p>
        </w:tc>
        <w:tc>
          <w:tcPr>
            <w:tcW w:w="3294" w:type="dxa"/>
            <w:noWrap w:val="0"/>
            <w:tcMar>
              <w:top w:w="15" w:type="dxa"/>
              <w:left w:w="15" w:type="dxa"/>
              <w:right w:w="15" w:type="dxa"/>
            </w:tcMar>
            <w:vAlign w:val="center"/>
          </w:tcPr>
          <w:p w14:paraId="664CFF21">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38AFF3F6">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6AD0485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0EE67AFE">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2</w:t>
            </w:r>
            <w:r>
              <w:rPr>
                <w:rStyle w:val="54"/>
                <w:rFonts w:hint="default" w:ascii="Times New Roman" w:hAnsi="Times New Roman" w:eastAsia="宋体" w:cs="Times New Roman"/>
                <w:color w:val="auto"/>
                <w:sz w:val="24"/>
                <w:highlight w:val="none"/>
              </w:rPr>
              <w:t>.5</w:t>
            </w:r>
          </w:p>
        </w:tc>
        <w:tc>
          <w:tcPr>
            <w:tcW w:w="2869" w:type="dxa"/>
            <w:noWrap w:val="0"/>
            <w:tcMar>
              <w:top w:w="15" w:type="dxa"/>
              <w:left w:w="15" w:type="dxa"/>
              <w:right w:w="15" w:type="dxa"/>
            </w:tcMar>
            <w:vAlign w:val="center"/>
          </w:tcPr>
          <w:p w14:paraId="70515B62">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热电阻、热电偶</w:t>
            </w:r>
          </w:p>
        </w:tc>
        <w:tc>
          <w:tcPr>
            <w:tcW w:w="3294" w:type="dxa"/>
            <w:noWrap w:val="0"/>
            <w:tcMar>
              <w:top w:w="15" w:type="dxa"/>
              <w:left w:w="15" w:type="dxa"/>
              <w:right w:w="15" w:type="dxa"/>
            </w:tcMar>
            <w:vAlign w:val="center"/>
          </w:tcPr>
          <w:p w14:paraId="5D7FD05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3784AD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19071C0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tcMar>
              <w:top w:w="15" w:type="dxa"/>
              <w:left w:w="15" w:type="dxa"/>
              <w:right w:w="15" w:type="dxa"/>
            </w:tcMar>
            <w:vAlign w:val="top"/>
          </w:tcPr>
          <w:p w14:paraId="2D08615A">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2</w:t>
            </w:r>
            <w:r>
              <w:rPr>
                <w:rStyle w:val="54"/>
                <w:rFonts w:hint="default" w:ascii="Times New Roman" w:hAnsi="Times New Roman" w:eastAsia="宋体" w:cs="Times New Roman"/>
                <w:color w:val="auto"/>
                <w:sz w:val="24"/>
                <w:highlight w:val="none"/>
              </w:rPr>
              <w:t>.6</w:t>
            </w:r>
          </w:p>
        </w:tc>
        <w:tc>
          <w:tcPr>
            <w:tcW w:w="2869" w:type="dxa"/>
            <w:noWrap w:val="0"/>
            <w:tcMar>
              <w:top w:w="15" w:type="dxa"/>
              <w:left w:w="15" w:type="dxa"/>
              <w:right w:w="15" w:type="dxa"/>
            </w:tcMar>
            <w:vAlign w:val="center"/>
          </w:tcPr>
          <w:p w14:paraId="4665D2E9">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双金属温度计</w:t>
            </w:r>
          </w:p>
        </w:tc>
        <w:tc>
          <w:tcPr>
            <w:tcW w:w="3294" w:type="dxa"/>
            <w:noWrap w:val="0"/>
            <w:tcMar>
              <w:top w:w="15" w:type="dxa"/>
              <w:left w:w="15" w:type="dxa"/>
              <w:right w:w="15" w:type="dxa"/>
            </w:tcMar>
            <w:vAlign w:val="center"/>
          </w:tcPr>
          <w:p w14:paraId="74CFBBF7">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tcMar>
              <w:top w:w="15" w:type="dxa"/>
              <w:left w:w="15" w:type="dxa"/>
              <w:right w:w="15" w:type="dxa"/>
            </w:tcMar>
            <w:vAlign w:val="center"/>
          </w:tcPr>
          <w:p w14:paraId="19A39CC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4153E94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34313E9B">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2.7</w:t>
            </w:r>
          </w:p>
        </w:tc>
        <w:tc>
          <w:tcPr>
            <w:tcW w:w="2869" w:type="dxa"/>
            <w:noWrap w:val="0"/>
            <w:vAlign w:val="top"/>
          </w:tcPr>
          <w:p w14:paraId="71D1E800">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雷达波物位计</w:t>
            </w:r>
          </w:p>
        </w:tc>
        <w:tc>
          <w:tcPr>
            <w:tcW w:w="3294" w:type="dxa"/>
            <w:noWrap w:val="0"/>
            <w:vAlign w:val="top"/>
          </w:tcPr>
          <w:p w14:paraId="0895E3D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5908642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1050AFC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35591298">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2.8</w:t>
            </w:r>
          </w:p>
        </w:tc>
        <w:tc>
          <w:tcPr>
            <w:tcW w:w="2869" w:type="dxa"/>
            <w:noWrap w:val="0"/>
            <w:vAlign w:val="top"/>
          </w:tcPr>
          <w:p w14:paraId="20C7A7A3">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电磁流量计</w:t>
            </w:r>
          </w:p>
        </w:tc>
        <w:tc>
          <w:tcPr>
            <w:tcW w:w="3294" w:type="dxa"/>
            <w:noWrap w:val="0"/>
            <w:vAlign w:val="top"/>
          </w:tcPr>
          <w:p w14:paraId="5DD7F86A">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299658C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4D59F08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5590E819">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2.9</w:t>
            </w:r>
          </w:p>
        </w:tc>
        <w:tc>
          <w:tcPr>
            <w:tcW w:w="2869" w:type="dxa"/>
            <w:noWrap w:val="0"/>
            <w:vAlign w:val="top"/>
          </w:tcPr>
          <w:p w14:paraId="6670BC13">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pH计</w:t>
            </w:r>
          </w:p>
        </w:tc>
        <w:tc>
          <w:tcPr>
            <w:tcW w:w="3294" w:type="dxa"/>
            <w:noWrap w:val="0"/>
            <w:vAlign w:val="top"/>
          </w:tcPr>
          <w:p w14:paraId="6090533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3BCA2CD7">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7B7D0C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20458E61">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2.10</w:t>
            </w:r>
          </w:p>
        </w:tc>
        <w:tc>
          <w:tcPr>
            <w:tcW w:w="2869" w:type="dxa"/>
            <w:noWrap w:val="0"/>
            <w:vAlign w:val="top"/>
          </w:tcPr>
          <w:p w14:paraId="1F2B28B9">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磁翻板液位计</w:t>
            </w:r>
          </w:p>
        </w:tc>
        <w:tc>
          <w:tcPr>
            <w:tcW w:w="3294" w:type="dxa"/>
            <w:noWrap w:val="0"/>
            <w:vAlign w:val="top"/>
          </w:tcPr>
          <w:p w14:paraId="15BD0720">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21E881E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14A09E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63F8CA6C">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3</w:t>
            </w:r>
          </w:p>
        </w:tc>
        <w:tc>
          <w:tcPr>
            <w:tcW w:w="2869" w:type="dxa"/>
            <w:noWrap w:val="0"/>
            <w:vAlign w:val="top"/>
          </w:tcPr>
          <w:p w14:paraId="4B1FFD53">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b/>
                <w:bCs/>
                <w:color w:val="auto"/>
                <w:sz w:val="24"/>
                <w:highlight w:val="none"/>
              </w:rPr>
              <w:t>分析仪表</w:t>
            </w:r>
          </w:p>
        </w:tc>
        <w:tc>
          <w:tcPr>
            <w:tcW w:w="3294" w:type="dxa"/>
            <w:noWrap w:val="0"/>
            <w:vAlign w:val="top"/>
          </w:tcPr>
          <w:p w14:paraId="01A3A47E">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57815E6F">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11DD205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shd w:val="clear" w:color="auto" w:fill="FFFFFF"/>
            <w:noWrap w:val="0"/>
            <w:vAlign w:val="top"/>
          </w:tcPr>
          <w:p w14:paraId="705CED11">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3.1</w:t>
            </w:r>
          </w:p>
        </w:tc>
        <w:tc>
          <w:tcPr>
            <w:tcW w:w="2869" w:type="dxa"/>
            <w:shd w:val="clear" w:color="auto" w:fill="FFFFFF"/>
            <w:noWrap w:val="0"/>
            <w:vAlign w:val="center"/>
          </w:tcPr>
          <w:p w14:paraId="3FD19F61">
            <w:pPr>
              <w:pStyle w:val="176"/>
              <w:keepNext w:val="0"/>
              <w:keepLines w:val="0"/>
              <w:suppressLineNumbers w:val="0"/>
              <w:spacing w:before="0" w:beforeAutospacing="0" w:after="0" w:afterAutospacing="0"/>
              <w:ind w:left="0" w:right="0"/>
              <w:rPr>
                <w:rStyle w:val="54"/>
                <w:rFonts w:hint="default" w:ascii="Calibri" w:hAnsi="Calibri" w:eastAsia="宋体" w:cs="Times New Roman"/>
                <w:color w:val="auto"/>
                <w:sz w:val="24"/>
                <w:highlight w:val="none"/>
              </w:rPr>
            </w:pPr>
            <w:r>
              <w:rPr>
                <w:rStyle w:val="54"/>
                <w:rFonts w:hint="eastAsia" w:ascii="Times New Roman" w:hAnsi="Times New Roman" w:eastAsia="宋体" w:cs="Times New Roman"/>
                <w:color w:val="auto"/>
                <w:sz w:val="24"/>
                <w:highlight w:val="none"/>
              </w:rPr>
              <w:t>脱硫原烟气分析系统（包括小室）</w:t>
            </w:r>
          </w:p>
        </w:tc>
        <w:tc>
          <w:tcPr>
            <w:tcW w:w="3294" w:type="dxa"/>
            <w:shd w:val="clear" w:color="auto" w:fill="FFFFFF"/>
            <w:noWrap w:val="0"/>
            <w:vAlign w:val="top"/>
          </w:tcPr>
          <w:p w14:paraId="156221AC">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SO</w:t>
            </w:r>
            <w:r>
              <w:rPr>
                <w:rStyle w:val="54"/>
                <w:rFonts w:hint="eastAsia" w:ascii="Times New Roman" w:hAnsi="Times New Roman" w:eastAsia="宋体" w:cs="Times New Roman"/>
                <w:color w:val="auto"/>
                <w:sz w:val="24"/>
                <w:highlight w:val="none"/>
                <w:vertAlign w:val="subscript"/>
              </w:rPr>
              <w:t>2</w:t>
            </w:r>
            <w:r>
              <w:rPr>
                <w:rStyle w:val="54"/>
                <w:rFonts w:hint="eastAsia" w:ascii="Times New Roman" w:hAnsi="Times New Roman" w:eastAsia="宋体" w:cs="Times New Roman"/>
                <w:color w:val="auto"/>
                <w:sz w:val="24"/>
                <w:highlight w:val="none"/>
              </w:rPr>
              <w:t>/O</w:t>
            </w:r>
            <w:r>
              <w:rPr>
                <w:rStyle w:val="54"/>
                <w:rFonts w:hint="eastAsia" w:ascii="Times New Roman" w:hAnsi="Times New Roman" w:eastAsia="宋体" w:cs="Times New Roman"/>
                <w:color w:val="auto"/>
                <w:sz w:val="24"/>
                <w:highlight w:val="none"/>
                <w:vertAlign w:val="subscript"/>
              </w:rPr>
              <w:t>2</w:t>
            </w:r>
            <w:r>
              <w:rPr>
                <w:rStyle w:val="54"/>
                <w:rFonts w:hint="eastAsia" w:cs="Times New Roman"/>
                <w:color w:val="auto"/>
                <w:sz w:val="24"/>
                <w:highlight w:val="none"/>
                <w:vertAlign w:val="subscript"/>
                <w:lang w:eastAsia="zh-CN"/>
              </w:rPr>
              <w:t>、</w:t>
            </w:r>
            <w:r>
              <w:rPr>
                <w:rStyle w:val="54"/>
                <w:rFonts w:hint="eastAsia" w:ascii="Times New Roman" w:hAnsi="Times New Roman" w:eastAsia="宋体" w:cs="Times New Roman"/>
                <w:color w:val="auto"/>
                <w:sz w:val="24"/>
                <w:highlight w:val="none"/>
              </w:rPr>
              <w:t>分析仪，含机柜、烟气采样及预处理系统、反吹装置、校正系统等</w:t>
            </w:r>
          </w:p>
        </w:tc>
        <w:tc>
          <w:tcPr>
            <w:tcW w:w="1530" w:type="dxa"/>
            <w:shd w:val="clear" w:color="auto" w:fill="FFFFFF"/>
            <w:noWrap w:val="0"/>
            <w:vAlign w:val="top"/>
          </w:tcPr>
          <w:p w14:paraId="098F0A6E">
            <w:pPr>
              <w:pStyle w:val="176"/>
              <w:keepNext w:val="0"/>
              <w:keepLines w:val="0"/>
              <w:suppressLineNumbers w:val="0"/>
              <w:spacing w:before="0" w:beforeAutospacing="0" w:after="0" w:afterAutospacing="0"/>
              <w:ind w:left="0" w:right="0"/>
              <w:rPr>
                <w:rStyle w:val="54"/>
                <w:rFonts w:hint="eastAsia" w:ascii="Times New Roman" w:hAnsi="Times New Roman" w:eastAsia="宋体" w:cs="Times New Roman"/>
                <w:color w:val="auto"/>
                <w:sz w:val="24"/>
                <w:highlight w:val="none"/>
              </w:rPr>
            </w:pPr>
          </w:p>
        </w:tc>
      </w:tr>
      <w:tr w14:paraId="7D6F53C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shd w:val="clear" w:color="auto" w:fill="FFFFFF"/>
            <w:noWrap w:val="0"/>
            <w:vAlign w:val="top"/>
          </w:tcPr>
          <w:p w14:paraId="54509ED2">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3.2</w:t>
            </w:r>
          </w:p>
        </w:tc>
        <w:tc>
          <w:tcPr>
            <w:tcW w:w="2869" w:type="dxa"/>
            <w:shd w:val="clear" w:color="auto" w:fill="FFFFFF"/>
            <w:noWrap w:val="0"/>
            <w:vAlign w:val="center"/>
          </w:tcPr>
          <w:p w14:paraId="34B3FAFC">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脱硫净烟气分析系统（包括小室）</w:t>
            </w:r>
          </w:p>
        </w:tc>
        <w:tc>
          <w:tcPr>
            <w:tcW w:w="3294" w:type="dxa"/>
            <w:shd w:val="clear" w:color="auto" w:fill="FFFFFF"/>
            <w:noWrap w:val="0"/>
            <w:vAlign w:val="top"/>
          </w:tcPr>
          <w:p w14:paraId="62146D7B">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SO</w:t>
            </w:r>
            <w:r>
              <w:rPr>
                <w:rStyle w:val="54"/>
                <w:rFonts w:hint="eastAsia" w:ascii="Times New Roman" w:hAnsi="Times New Roman" w:eastAsia="宋体" w:cs="Times New Roman"/>
                <w:color w:val="auto"/>
                <w:sz w:val="24"/>
                <w:highlight w:val="none"/>
                <w:vertAlign w:val="subscript"/>
              </w:rPr>
              <w:t>2</w:t>
            </w:r>
            <w:r>
              <w:rPr>
                <w:rStyle w:val="54"/>
                <w:rFonts w:hint="eastAsia" w:ascii="Times New Roman" w:hAnsi="Times New Roman" w:eastAsia="宋体" w:cs="Times New Roman"/>
                <w:color w:val="auto"/>
                <w:sz w:val="24"/>
                <w:highlight w:val="none"/>
              </w:rPr>
              <w:t>/O</w:t>
            </w:r>
            <w:r>
              <w:rPr>
                <w:rStyle w:val="54"/>
                <w:rFonts w:hint="eastAsia" w:ascii="Times New Roman" w:hAnsi="Times New Roman" w:eastAsia="宋体" w:cs="Times New Roman"/>
                <w:color w:val="auto"/>
                <w:sz w:val="24"/>
                <w:highlight w:val="none"/>
                <w:vertAlign w:val="subscript"/>
              </w:rPr>
              <w:t>2</w:t>
            </w:r>
            <w:r>
              <w:rPr>
                <w:rStyle w:val="54"/>
                <w:rFonts w:hint="eastAsia" w:ascii="Times New Roman" w:hAnsi="Times New Roman" w:eastAsia="宋体" w:cs="Times New Roman"/>
                <w:color w:val="auto"/>
                <w:sz w:val="24"/>
                <w:highlight w:val="none"/>
              </w:rPr>
              <w:t>分析仪（带通讯接口），含机柜、烟气采样及预处理系统、反吹装置、校正系统等</w:t>
            </w:r>
          </w:p>
        </w:tc>
        <w:tc>
          <w:tcPr>
            <w:tcW w:w="1530" w:type="dxa"/>
            <w:shd w:val="clear" w:color="auto" w:fill="FFFFFF"/>
            <w:noWrap w:val="0"/>
            <w:vAlign w:val="top"/>
          </w:tcPr>
          <w:p w14:paraId="2418C4FC">
            <w:pPr>
              <w:pStyle w:val="176"/>
              <w:keepNext w:val="0"/>
              <w:keepLines w:val="0"/>
              <w:suppressLineNumbers w:val="0"/>
              <w:spacing w:before="0" w:beforeAutospacing="0" w:after="0" w:afterAutospacing="0"/>
              <w:ind w:left="0" w:right="0"/>
              <w:rPr>
                <w:rStyle w:val="54"/>
                <w:rFonts w:hint="eastAsia" w:ascii="Times New Roman" w:hAnsi="Times New Roman" w:eastAsia="宋体" w:cs="Times New Roman"/>
                <w:color w:val="auto"/>
                <w:sz w:val="24"/>
                <w:highlight w:val="none"/>
              </w:rPr>
            </w:pPr>
          </w:p>
        </w:tc>
      </w:tr>
      <w:tr w14:paraId="58567A7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510D2BD5">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3.3</w:t>
            </w:r>
          </w:p>
        </w:tc>
        <w:tc>
          <w:tcPr>
            <w:tcW w:w="2869" w:type="dxa"/>
            <w:noWrap w:val="0"/>
            <w:vAlign w:val="center"/>
          </w:tcPr>
          <w:p w14:paraId="1C3AA62C">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烟气分析系统电源柜</w:t>
            </w:r>
          </w:p>
        </w:tc>
        <w:tc>
          <w:tcPr>
            <w:tcW w:w="3294" w:type="dxa"/>
            <w:noWrap w:val="0"/>
            <w:vAlign w:val="top"/>
          </w:tcPr>
          <w:p w14:paraId="7D1C57D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500CF34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66CE485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3FBD8A87">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3.4</w:t>
            </w:r>
          </w:p>
        </w:tc>
        <w:tc>
          <w:tcPr>
            <w:tcW w:w="2869" w:type="dxa"/>
            <w:noWrap w:val="0"/>
            <w:vAlign w:val="center"/>
          </w:tcPr>
          <w:p w14:paraId="5E36D844">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烟气分析系统数采仪机柜</w:t>
            </w:r>
          </w:p>
        </w:tc>
        <w:tc>
          <w:tcPr>
            <w:tcW w:w="3294" w:type="dxa"/>
            <w:noWrap w:val="0"/>
            <w:vAlign w:val="top"/>
          </w:tcPr>
          <w:p w14:paraId="3FCDE5A0">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带通讯接口</w:t>
            </w:r>
          </w:p>
        </w:tc>
        <w:tc>
          <w:tcPr>
            <w:tcW w:w="1530" w:type="dxa"/>
            <w:noWrap w:val="0"/>
            <w:vAlign w:val="top"/>
          </w:tcPr>
          <w:p w14:paraId="1144AFCA">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643BDF6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079B5583">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3.5</w:t>
            </w:r>
          </w:p>
        </w:tc>
        <w:tc>
          <w:tcPr>
            <w:tcW w:w="2869" w:type="dxa"/>
            <w:noWrap w:val="0"/>
            <w:vAlign w:val="center"/>
          </w:tcPr>
          <w:p w14:paraId="0E331673">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烟尘仪</w:t>
            </w:r>
          </w:p>
        </w:tc>
        <w:tc>
          <w:tcPr>
            <w:tcW w:w="3294" w:type="dxa"/>
            <w:noWrap w:val="0"/>
            <w:vAlign w:val="top"/>
          </w:tcPr>
          <w:p w14:paraId="7FC67941">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带通讯接口</w:t>
            </w:r>
          </w:p>
        </w:tc>
        <w:tc>
          <w:tcPr>
            <w:tcW w:w="1530" w:type="dxa"/>
            <w:noWrap w:val="0"/>
            <w:vAlign w:val="top"/>
          </w:tcPr>
          <w:p w14:paraId="1ED5967A">
            <w:pPr>
              <w:pStyle w:val="176"/>
              <w:keepNext w:val="0"/>
              <w:keepLines w:val="0"/>
              <w:suppressLineNumbers w:val="0"/>
              <w:spacing w:before="0" w:beforeAutospacing="0" w:after="0" w:afterAutospacing="0" w:line="360" w:lineRule="auto"/>
              <w:ind w:left="0" w:right="0"/>
              <w:rPr>
                <w:rStyle w:val="54"/>
                <w:rFonts w:hint="eastAsia" w:ascii="Times New Roman" w:hAnsi="Times New Roman" w:eastAsia="宋体" w:cs="Times New Roman"/>
                <w:color w:val="auto"/>
                <w:sz w:val="24"/>
                <w:highlight w:val="none"/>
              </w:rPr>
            </w:pPr>
          </w:p>
        </w:tc>
      </w:tr>
      <w:tr w14:paraId="62E0A14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4744D4C6">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3.</w:t>
            </w:r>
            <w:r>
              <w:rPr>
                <w:rStyle w:val="54"/>
                <w:rFonts w:hint="eastAsia" w:cs="Times New Roman"/>
                <w:color w:val="auto"/>
                <w:sz w:val="24"/>
                <w:highlight w:val="none"/>
                <w:lang w:val="en-US" w:eastAsia="zh-CN"/>
              </w:rPr>
              <w:t>6</w:t>
            </w:r>
          </w:p>
        </w:tc>
        <w:tc>
          <w:tcPr>
            <w:tcW w:w="2869" w:type="dxa"/>
            <w:noWrap w:val="0"/>
            <w:vAlign w:val="top"/>
          </w:tcPr>
          <w:p w14:paraId="7CDCFA0D">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多点矩阵烟气流量测量装置</w:t>
            </w:r>
          </w:p>
        </w:tc>
        <w:tc>
          <w:tcPr>
            <w:tcW w:w="3294" w:type="dxa"/>
            <w:noWrap w:val="0"/>
            <w:vAlign w:val="top"/>
          </w:tcPr>
          <w:p w14:paraId="47E08A1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483ADE1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4AD92A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619BC88E">
            <w:pPr>
              <w:pStyle w:val="176"/>
              <w:keepNext w:val="0"/>
              <w:keepLines w:val="0"/>
              <w:suppressLineNumbers w:val="0"/>
              <w:spacing w:before="0" w:beforeAutospacing="0" w:after="0" w:afterAutospacing="0" w:line="360" w:lineRule="auto"/>
              <w:ind w:left="0" w:right="0"/>
              <w:jc w:val="center"/>
              <w:rPr>
                <w:rStyle w:val="54"/>
                <w:rFonts w:hint="eastAsia"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4</w:t>
            </w:r>
          </w:p>
        </w:tc>
        <w:tc>
          <w:tcPr>
            <w:tcW w:w="2869" w:type="dxa"/>
            <w:noWrap w:val="0"/>
            <w:vAlign w:val="top"/>
          </w:tcPr>
          <w:p w14:paraId="6D1CC4CF">
            <w:pPr>
              <w:pStyle w:val="176"/>
              <w:keepNext w:val="0"/>
              <w:keepLines w:val="0"/>
              <w:suppressLineNumbers w:val="0"/>
              <w:spacing w:before="0" w:beforeAutospacing="0" w:after="0" w:afterAutospacing="0"/>
              <w:ind w:left="0" w:right="0"/>
              <w:rPr>
                <w:rStyle w:val="54"/>
                <w:rFonts w:hint="default" w:ascii="Times New Roman" w:hAnsi="Times New Roman" w:eastAsia="宋体" w:cs="Times New Roman"/>
                <w:color w:val="auto"/>
                <w:sz w:val="24"/>
                <w:highlight w:val="none"/>
              </w:rPr>
            </w:pPr>
            <w:r>
              <w:rPr>
                <w:rStyle w:val="54"/>
                <w:rFonts w:hint="eastAsia" w:ascii="Times New Roman" w:hAnsi="Times New Roman" w:eastAsia="宋体" w:cs="Times New Roman"/>
                <w:color w:val="auto"/>
                <w:sz w:val="24"/>
                <w:highlight w:val="none"/>
              </w:rPr>
              <w:t>投标人供货设备间连接电缆</w:t>
            </w:r>
          </w:p>
        </w:tc>
        <w:tc>
          <w:tcPr>
            <w:tcW w:w="3294" w:type="dxa"/>
            <w:noWrap w:val="0"/>
            <w:vAlign w:val="top"/>
          </w:tcPr>
          <w:p w14:paraId="3B640D5E">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70E03EE4">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4BF592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1156B521">
            <w:pPr>
              <w:pStyle w:val="176"/>
              <w:keepNext w:val="0"/>
              <w:keepLines w:val="0"/>
              <w:suppressLineNumbers w:val="0"/>
              <w:spacing w:before="0" w:beforeAutospacing="0" w:after="0" w:afterAutospacing="0" w:line="360" w:lineRule="auto"/>
              <w:ind w:left="0" w:right="0"/>
              <w:jc w:val="center"/>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5</w:t>
            </w:r>
          </w:p>
        </w:tc>
        <w:tc>
          <w:tcPr>
            <w:tcW w:w="2869" w:type="dxa"/>
            <w:noWrap w:val="0"/>
            <w:vAlign w:val="top"/>
          </w:tcPr>
          <w:p w14:paraId="275AAB82">
            <w:pPr>
              <w:pStyle w:val="176"/>
              <w:keepNext w:val="0"/>
              <w:keepLines w:val="0"/>
              <w:suppressLineNumbers w:val="0"/>
              <w:spacing w:before="0" w:beforeAutospacing="0" w:after="0" w:afterAutospacing="0"/>
              <w:ind w:left="0" w:right="0" w:firstLine="720" w:firstLineChars="300"/>
              <w:rPr>
                <w:rStyle w:val="54"/>
                <w:rFonts w:hint="default" w:ascii="Times New Roman" w:hAnsi="Times New Roman" w:eastAsia="宋体" w:cs="Times New Roman"/>
                <w:color w:val="auto"/>
                <w:sz w:val="24"/>
                <w:highlight w:val="none"/>
                <w:lang w:val="en-US" w:eastAsia="zh-CN"/>
              </w:rPr>
            </w:pPr>
            <w:r>
              <w:rPr>
                <w:rStyle w:val="54"/>
                <w:rFonts w:hint="eastAsia" w:cs="Times New Roman"/>
                <w:color w:val="auto"/>
                <w:sz w:val="24"/>
                <w:highlight w:val="none"/>
                <w:lang w:val="en-US" w:eastAsia="zh-CN"/>
              </w:rPr>
              <w:t>其他</w:t>
            </w:r>
          </w:p>
        </w:tc>
        <w:tc>
          <w:tcPr>
            <w:tcW w:w="3294" w:type="dxa"/>
            <w:noWrap w:val="0"/>
            <w:vAlign w:val="top"/>
          </w:tcPr>
          <w:p w14:paraId="19CF764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5B9A2600">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10E2595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47A4A04D">
            <w:pPr>
              <w:pStyle w:val="176"/>
              <w:keepNext w:val="0"/>
              <w:keepLines w:val="0"/>
              <w:suppressLineNumbers w:val="0"/>
              <w:spacing w:before="0" w:beforeAutospacing="0" w:after="0" w:afterAutospacing="0" w:line="360" w:lineRule="auto"/>
              <w:ind w:left="0" w:right="0"/>
              <w:jc w:val="center"/>
              <w:rPr>
                <w:rStyle w:val="54"/>
                <w:rFonts w:hint="eastAsia" w:cs="Times New Roman"/>
                <w:color w:val="auto"/>
                <w:sz w:val="24"/>
                <w:highlight w:val="none"/>
                <w:lang w:val="en-US" w:eastAsia="zh-CN"/>
              </w:rPr>
            </w:pPr>
          </w:p>
        </w:tc>
        <w:tc>
          <w:tcPr>
            <w:tcW w:w="2869" w:type="dxa"/>
            <w:noWrap w:val="0"/>
            <w:vAlign w:val="top"/>
          </w:tcPr>
          <w:p w14:paraId="3A6ADDE6">
            <w:pPr>
              <w:pStyle w:val="176"/>
              <w:keepNext w:val="0"/>
              <w:keepLines w:val="0"/>
              <w:suppressLineNumbers w:val="0"/>
              <w:spacing w:before="0" w:beforeAutospacing="0" w:after="0" w:afterAutospacing="0"/>
              <w:ind w:left="0" w:right="0" w:firstLine="720" w:firstLineChars="300"/>
              <w:rPr>
                <w:rStyle w:val="54"/>
                <w:rFonts w:hint="default" w:cs="Times New Roman"/>
                <w:color w:val="auto"/>
                <w:sz w:val="24"/>
                <w:highlight w:val="none"/>
                <w:lang w:val="en-US" w:eastAsia="zh-CN"/>
              </w:rPr>
            </w:pPr>
            <w:r>
              <w:rPr>
                <w:rStyle w:val="54"/>
                <w:rFonts w:hint="eastAsia" w:cs="Times New Roman"/>
                <w:color w:val="auto"/>
                <w:sz w:val="24"/>
                <w:highlight w:val="none"/>
                <w:lang w:val="en-US" w:eastAsia="zh-CN"/>
              </w:rPr>
              <w:t>三防灯</w:t>
            </w:r>
          </w:p>
        </w:tc>
        <w:tc>
          <w:tcPr>
            <w:tcW w:w="3294" w:type="dxa"/>
            <w:noWrap w:val="0"/>
            <w:vAlign w:val="top"/>
          </w:tcPr>
          <w:p w14:paraId="776FFC89">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62B0F903">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r w14:paraId="186E364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285" w:hRule="atLeast"/>
          <w:jc w:val="center"/>
        </w:trPr>
        <w:tc>
          <w:tcPr>
            <w:tcW w:w="1119" w:type="dxa"/>
            <w:noWrap w:val="0"/>
            <w:vAlign w:val="top"/>
          </w:tcPr>
          <w:p w14:paraId="0A3F045C">
            <w:pPr>
              <w:pStyle w:val="176"/>
              <w:keepNext w:val="0"/>
              <w:keepLines w:val="0"/>
              <w:suppressLineNumbers w:val="0"/>
              <w:spacing w:before="0" w:beforeAutospacing="0" w:after="0" w:afterAutospacing="0" w:line="360" w:lineRule="auto"/>
              <w:ind w:left="0" w:right="0"/>
              <w:jc w:val="center"/>
              <w:rPr>
                <w:rStyle w:val="54"/>
                <w:rFonts w:hint="default" w:cs="Times New Roman"/>
                <w:color w:val="auto"/>
                <w:sz w:val="24"/>
                <w:highlight w:val="none"/>
                <w:lang w:val="en-US" w:eastAsia="zh-CN"/>
              </w:rPr>
            </w:pPr>
            <w:r>
              <w:rPr>
                <w:rStyle w:val="54"/>
                <w:rFonts w:hint="eastAsia" w:cs="Times New Roman"/>
                <w:color w:val="auto"/>
                <w:sz w:val="24"/>
                <w:highlight w:val="none"/>
                <w:lang w:val="en-US" w:eastAsia="zh-CN"/>
              </w:rPr>
              <w:t>..</w:t>
            </w:r>
          </w:p>
        </w:tc>
        <w:tc>
          <w:tcPr>
            <w:tcW w:w="2869" w:type="dxa"/>
            <w:noWrap w:val="0"/>
            <w:vAlign w:val="top"/>
          </w:tcPr>
          <w:p w14:paraId="2814C2AD">
            <w:pPr>
              <w:pStyle w:val="176"/>
              <w:keepNext w:val="0"/>
              <w:keepLines w:val="0"/>
              <w:suppressLineNumbers w:val="0"/>
              <w:spacing w:before="0" w:beforeAutospacing="0" w:after="0" w:afterAutospacing="0"/>
              <w:ind w:left="0" w:right="0" w:firstLine="720" w:firstLineChars="300"/>
              <w:rPr>
                <w:rStyle w:val="54"/>
                <w:rFonts w:hint="default" w:cs="Times New Roman"/>
                <w:color w:val="auto"/>
                <w:sz w:val="24"/>
                <w:highlight w:val="none"/>
                <w:lang w:val="en-US" w:eastAsia="zh-CN"/>
              </w:rPr>
            </w:pPr>
            <w:r>
              <w:rPr>
                <w:rStyle w:val="54"/>
                <w:rFonts w:hint="eastAsia" w:cs="Times New Roman"/>
                <w:color w:val="auto"/>
                <w:sz w:val="24"/>
                <w:highlight w:val="none"/>
                <w:lang w:val="en-US" w:eastAsia="zh-CN"/>
              </w:rPr>
              <w:t>..</w:t>
            </w:r>
          </w:p>
        </w:tc>
        <w:tc>
          <w:tcPr>
            <w:tcW w:w="3294" w:type="dxa"/>
            <w:noWrap w:val="0"/>
            <w:vAlign w:val="top"/>
          </w:tcPr>
          <w:p w14:paraId="5F98CC22">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c>
          <w:tcPr>
            <w:tcW w:w="1530" w:type="dxa"/>
            <w:noWrap w:val="0"/>
            <w:vAlign w:val="top"/>
          </w:tcPr>
          <w:p w14:paraId="587EA007">
            <w:pPr>
              <w:pStyle w:val="176"/>
              <w:keepNext w:val="0"/>
              <w:keepLines w:val="0"/>
              <w:suppressLineNumbers w:val="0"/>
              <w:spacing w:before="0" w:beforeAutospacing="0" w:after="0" w:afterAutospacing="0" w:line="360" w:lineRule="auto"/>
              <w:ind w:left="0" w:right="0"/>
              <w:rPr>
                <w:rStyle w:val="54"/>
                <w:rFonts w:hint="default" w:ascii="Times New Roman" w:hAnsi="Times New Roman" w:eastAsia="宋体" w:cs="Times New Roman"/>
                <w:color w:val="auto"/>
                <w:sz w:val="24"/>
                <w:highlight w:val="none"/>
              </w:rPr>
            </w:pPr>
          </w:p>
        </w:tc>
      </w:tr>
    </w:tbl>
    <w:p w14:paraId="3E9F294F">
      <w:pPr>
        <w:pStyle w:val="50"/>
        <w:ind w:left="0" w:leftChars="0" w:firstLine="0" w:firstLineChars="0"/>
        <w:rPr>
          <w:rFonts w:hint="default"/>
          <w:color w:val="auto"/>
          <w:sz w:val="24"/>
          <w:highlight w:val="none"/>
          <w:lang w:val="en-US" w:eastAsia="zh-CN"/>
        </w:rPr>
      </w:pPr>
    </w:p>
    <w:p w14:paraId="0E073431">
      <w:pPr>
        <w:pStyle w:val="4"/>
        <w:spacing w:before="120"/>
        <w:rPr>
          <w:rFonts w:ascii="Times New Roman"/>
          <w:bCs/>
          <w:color w:val="auto"/>
          <w:szCs w:val="24"/>
          <w:highlight w:val="none"/>
        </w:rPr>
      </w:pPr>
      <w:bookmarkStart w:id="164" w:name="_Toc482189960"/>
      <w:r>
        <w:rPr>
          <w:rFonts w:ascii="Times New Roman"/>
          <w:bCs/>
          <w:color w:val="auto"/>
          <w:szCs w:val="24"/>
          <w:highlight w:val="none"/>
        </w:rPr>
        <w:t>2.6备品备件和专用工具清单</w:t>
      </w:r>
    </w:p>
    <w:p w14:paraId="283378FB">
      <w:pPr>
        <w:spacing w:before="120"/>
        <w:ind w:firstLine="424" w:firstLineChars="177"/>
        <w:rPr>
          <w:color w:val="auto"/>
          <w:sz w:val="24"/>
          <w:highlight w:val="none"/>
        </w:rPr>
      </w:pPr>
      <w:r>
        <w:rPr>
          <w:rFonts w:hint="eastAsia"/>
          <w:color w:val="auto"/>
          <w:sz w:val="24"/>
          <w:highlight w:val="none"/>
          <w:lang w:eastAsia="zh-CN"/>
        </w:rPr>
        <w:t>投标方</w:t>
      </w:r>
      <w:r>
        <w:rPr>
          <w:color w:val="auto"/>
          <w:sz w:val="24"/>
          <w:highlight w:val="none"/>
        </w:rPr>
        <w:t>应至少提供下列备品备件，并不限于：</w:t>
      </w:r>
    </w:p>
    <w:p w14:paraId="3232C3E1">
      <w:pPr>
        <w:spacing w:before="120"/>
        <w:rPr>
          <w:rFonts w:hint="eastAsia" w:eastAsia="宋体"/>
          <w:color w:val="auto"/>
          <w:sz w:val="24"/>
          <w:highlight w:val="none"/>
          <w:lang w:eastAsia="zh-CN"/>
        </w:rPr>
      </w:pPr>
      <w:r>
        <w:rPr>
          <w:rFonts w:hint="eastAsia"/>
          <w:color w:val="auto"/>
          <w:sz w:val="24"/>
          <w:highlight w:val="none"/>
        </w:rPr>
        <w:t>2</w:t>
      </w:r>
      <w:r>
        <w:rPr>
          <w:color w:val="auto"/>
          <w:sz w:val="24"/>
          <w:highlight w:val="none"/>
        </w:rPr>
        <w:t>.6.1随机备品备件清单</w:t>
      </w:r>
      <w:r>
        <w:rPr>
          <w:rFonts w:hint="eastAsia"/>
          <w:color w:val="auto"/>
          <w:sz w:val="24"/>
          <w:highlight w:val="none"/>
          <w:lang w:eastAsia="zh-CN"/>
        </w:rPr>
        <w:t>（</w:t>
      </w:r>
      <w:r>
        <w:rPr>
          <w:rFonts w:hint="eastAsia"/>
          <w:color w:val="auto"/>
          <w:sz w:val="24"/>
          <w:highlight w:val="none"/>
          <w:lang w:val="en-US" w:eastAsia="zh-CN"/>
        </w:rPr>
        <w:t>卖方填写</w:t>
      </w:r>
      <w:r>
        <w:rPr>
          <w:rFonts w:hint="eastAsia"/>
          <w:color w:val="auto"/>
          <w:sz w:val="24"/>
          <w:highlight w:val="none"/>
          <w:lang w:eastAsia="zh-CN"/>
        </w:rPr>
        <w:t>）</w:t>
      </w:r>
    </w:p>
    <w:tbl>
      <w:tblPr>
        <w:tblStyle w:val="5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8"/>
        <w:gridCol w:w="2694"/>
        <w:gridCol w:w="1188"/>
        <w:gridCol w:w="1054"/>
        <w:gridCol w:w="746"/>
        <w:gridCol w:w="1997"/>
      </w:tblGrid>
      <w:tr w14:paraId="6C9BB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58" w:type="dxa"/>
            <w:noWrap w:val="0"/>
            <w:vAlign w:val="center"/>
          </w:tcPr>
          <w:p w14:paraId="4F99E98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序号</w:t>
            </w:r>
          </w:p>
        </w:tc>
        <w:tc>
          <w:tcPr>
            <w:tcW w:w="2694" w:type="dxa"/>
            <w:noWrap w:val="0"/>
            <w:vAlign w:val="center"/>
          </w:tcPr>
          <w:p w14:paraId="61198979">
            <w:pPr>
              <w:keepNext w:val="0"/>
              <w:keepLines w:val="0"/>
              <w:suppressLineNumbers w:val="0"/>
              <w:spacing w:before="0" w:beforeAutospacing="0" w:after="0" w:afterAutospacing="0" w:line="360" w:lineRule="auto"/>
              <w:ind w:left="0" w:right="-94" w:rightChars="-45"/>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项目</w:t>
            </w:r>
          </w:p>
        </w:tc>
        <w:tc>
          <w:tcPr>
            <w:tcW w:w="1188" w:type="dxa"/>
            <w:noWrap w:val="0"/>
            <w:vAlign w:val="center"/>
          </w:tcPr>
          <w:p w14:paraId="2DB09B4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规格</w:t>
            </w:r>
          </w:p>
        </w:tc>
        <w:tc>
          <w:tcPr>
            <w:tcW w:w="1054" w:type="dxa"/>
            <w:noWrap w:val="0"/>
            <w:vAlign w:val="center"/>
          </w:tcPr>
          <w:p w14:paraId="18E05EA3">
            <w:pPr>
              <w:keepNext w:val="0"/>
              <w:keepLines w:val="0"/>
              <w:suppressLineNumbers w:val="0"/>
              <w:spacing w:before="0" w:beforeAutospacing="0" w:after="0" w:afterAutospacing="0" w:line="360" w:lineRule="auto"/>
              <w:ind w:left="0" w:right="0"/>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单位</w:t>
            </w:r>
          </w:p>
        </w:tc>
        <w:tc>
          <w:tcPr>
            <w:tcW w:w="746" w:type="dxa"/>
            <w:noWrap w:val="0"/>
            <w:vAlign w:val="center"/>
          </w:tcPr>
          <w:p w14:paraId="59F2D705">
            <w:pPr>
              <w:keepNext w:val="0"/>
              <w:keepLines w:val="0"/>
              <w:suppressLineNumbers w:val="0"/>
              <w:spacing w:before="0" w:beforeAutospacing="0" w:after="0" w:afterAutospacing="0" w:line="360" w:lineRule="auto"/>
              <w:ind w:left="0" w:right="-94" w:rightChars="-45"/>
              <w:jc w:val="left"/>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数量</w:t>
            </w:r>
          </w:p>
        </w:tc>
        <w:tc>
          <w:tcPr>
            <w:tcW w:w="1997" w:type="dxa"/>
            <w:noWrap w:val="0"/>
            <w:vAlign w:val="center"/>
          </w:tcPr>
          <w:p w14:paraId="7F9D3EDB">
            <w:pPr>
              <w:keepNext w:val="0"/>
              <w:keepLines w:val="0"/>
              <w:suppressLineNumbers w:val="0"/>
              <w:spacing w:before="0" w:beforeAutospacing="0" w:after="0" w:afterAutospacing="0" w:line="360" w:lineRule="auto"/>
              <w:ind w:left="0" w:right="-94" w:rightChars="-45"/>
              <w:jc w:val="left"/>
              <w:rPr>
                <w:rFonts w:hint="eastAsia" w:ascii="Times New Roman" w:hAnsi="Times New Roman" w:cs="Times New Roman"/>
                <w:b/>
                <w:bCs/>
                <w:color w:val="auto"/>
                <w:sz w:val="24"/>
                <w:highlight w:val="none"/>
              </w:rPr>
            </w:pPr>
            <w:r>
              <w:rPr>
                <w:rFonts w:hint="eastAsia" w:ascii="Times New Roman" w:hAnsi="Times New Roman" w:cs="Times New Roman"/>
                <w:b/>
                <w:bCs/>
                <w:color w:val="auto"/>
                <w:sz w:val="24"/>
                <w:highlight w:val="none"/>
              </w:rPr>
              <w:t>备注</w:t>
            </w:r>
          </w:p>
        </w:tc>
      </w:tr>
      <w:tr w14:paraId="290B2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top"/>
          </w:tcPr>
          <w:p w14:paraId="737C7F17">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一</w:t>
            </w:r>
          </w:p>
        </w:tc>
        <w:tc>
          <w:tcPr>
            <w:tcW w:w="2694" w:type="dxa"/>
            <w:noWrap w:val="0"/>
            <w:vAlign w:val="bottom"/>
          </w:tcPr>
          <w:p w14:paraId="5959D50A">
            <w:pPr>
              <w:keepNext w:val="0"/>
              <w:keepLines w:val="0"/>
              <w:suppressLineNumbers w:val="0"/>
              <w:autoSpaceDE w:val="0"/>
              <w:autoSpaceDN w:val="0"/>
              <w:snapToGrid w:val="0"/>
              <w:spacing w:before="0" w:beforeAutospacing="0" w:after="0" w:afterAutospacing="0" w:line="360" w:lineRule="auto"/>
              <w:ind w:left="0" w:right="0"/>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机务部分</w:t>
            </w:r>
          </w:p>
        </w:tc>
        <w:tc>
          <w:tcPr>
            <w:tcW w:w="1188" w:type="dxa"/>
            <w:noWrap w:val="0"/>
            <w:vAlign w:val="top"/>
          </w:tcPr>
          <w:p w14:paraId="0BFDA561">
            <w:pPr>
              <w:keepNext w:val="0"/>
              <w:keepLines w:val="0"/>
              <w:suppressLineNumbers w:val="0"/>
              <w:autoSpaceDE w:val="0"/>
              <w:autoSpaceDN w:val="0"/>
              <w:snapToGrid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top"/>
          </w:tcPr>
          <w:p w14:paraId="185EF059">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46" w:type="dxa"/>
            <w:noWrap w:val="0"/>
            <w:vAlign w:val="top"/>
          </w:tcPr>
          <w:p w14:paraId="3298EC0B">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997" w:type="dxa"/>
            <w:noWrap w:val="0"/>
            <w:vAlign w:val="top"/>
          </w:tcPr>
          <w:p w14:paraId="653AD8CC">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F8931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top"/>
          </w:tcPr>
          <w:p w14:paraId="689D04C2">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2694" w:type="dxa"/>
            <w:noWrap w:val="0"/>
            <w:vAlign w:val="top"/>
          </w:tcPr>
          <w:p w14:paraId="12A60051">
            <w:pPr>
              <w:keepNext w:val="0"/>
              <w:keepLines w:val="0"/>
              <w:suppressLineNumbers w:val="0"/>
              <w:autoSpaceDE w:val="0"/>
              <w:autoSpaceDN w:val="0"/>
              <w:snapToGrid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color w:val="auto"/>
                <w:sz w:val="24"/>
                <w:highlight w:val="none"/>
              </w:rPr>
              <w:t>泵</w:t>
            </w:r>
          </w:p>
        </w:tc>
        <w:tc>
          <w:tcPr>
            <w:tcW w:w="1188" w:type="dxa"/>
            <w:noWrap w:val="0"/>
            <w:vAlign w:val="top"/>
          </w:tcPr>
          <w:p w14:paraId="6D81DA37">
            <w:pPr>
              <w:keepNext w:val="0"/>
              <w:keepLines w:val="0"/>
              <w:suppressLineNumbers w:val="0"/>
              <w:autoSpaceDE w:val="0"/>
              <w:autoSpaceDN w:val="0"/>
              <w:snapToGrid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top"/>
          </w:tcPr>
          <w:p w14:paraId="016CAB86">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46" w:type="dxa"/>
            <w:noWrap w:val="0"/>
            <w:vAlign w:val="top"/>
          </w:tcPr>
          <w:p w14:paraId="77396D3D">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997" w:type="dxa"/>
            <w:noWrap w:val="0"/>
            <w:vAlign w:val="top"/>
          </w:tcPr>
          <w:p w14:paraId="7357691A">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E59EB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top"/>
          </w:tcPr>
          <w:p w14:paraId="06E6341A">
            <w:pPr>
              <w:keepNext w:val="0"/>
              <w:keepLines w:val="0"/>
              <w:suppressLineNumbers w:val="0"/>
              <w:autoSpaceDE w:val="0"/>
              <w:autoSpaceDN w:val="0"/>
              <w:snapToGrid w:val="0"/>
              <w:spacing w:before="0" w:beforeAutospacing="0" w:after="0" w:afterAutospacing="0" w:line="360" w:lineRule="auto"/>
              <w:ind w:left="0" w:right="0"/>
              <w:jc w:val="center"/>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1.3</w:t>
            </w:r>
          </w:p>
        </w:tc>
        <w:tc>
          <w:tcPr>
            <w:tcW w:w="2694" w:type="dxa"/>
            <w:noWrap w:val="0"/>
            <w:vAlign w:val="center"/>
          </w:tcPr>
          <w:p w14:paraId="78EBA2C0">
            <w:pPr>
              <w:keepNext w:val="0"/>
              <w:keepLines w:val="0"/>
              <w:suppressLineNumbers w:val="0"/>
              <w:autoSpaceDE w:val="0"/>
              <w:autoSpaceDN w:val="0"/>
              <w:snapToGrid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机械密封</w:t>
            </w:r>
          </w:p>
        </w:tc>
        <w:tc>
          <w:tcPr>
            <w:tcW w:w="1188" w:type="dxa"/>
            <w:noWrap w:val="0"/>
            <w:vAlign w:val="center"/>
          </w:tcPr>
          <w:p w14:paraId="5CCB088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center"/>
          </w:tcPr>
          <w:p w14:paraId="77E0B74F">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w:t>
            </w:r>
          </w:p>
        </w:tc>
        <w:tc>
          <w:tcPr>
            <w:tcW w:w="746" w:type="dxa"/>
            <w:noWrap w:val="0"/>
            <w:vAlign w:val="center"/>
          </w:tcPr>
          <w:p w14:paraId="7A4B6E18">
            <w:pPr>
              <w:keepNext w:val="0"/>
              <w:keepLines w:val="0"/>
              <w:suppressLineNumbers w:val="0"/>
              <w:autoSpaceDE w:val="0"/>
              <w:autoSpaceDN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w:t>
            </w:r>
          </w:p>
        </w:tc>
        <w:tc>
          <w:tcPr>
            <w:tcW w:w="1997" w:type="dxa"/>
            <w:noWrap w:val="0"/>
            <w:vAlign w:val="center"/>
          </w:tcPr>
          <w:p w14:paraId="17D07A40">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sz w:val="24"/>
                <w:highlight w:val="none"/>
                <w:lang w:eastAsia="zh-CN"/>
              </w:rPr>
            </w:pPr>
            <w:r>
              <w:rPr>
                <w:rFonts w:hint="eastAsia" w:ascii="Times New Roman" w:hAnsi="Times New Roman" w:cs="Times New Roman"/>
                <w:color w:val="auto"/>
                <w:sz w:val="24"/>
                <w:highlight w:val="none"/>
                <w:lang w:eastAsia="zh-CN"/>
              </w:rPr>
              <w:t>石膏排出泵、石灰石浆液泵、循环泵</w:t>
            </w:r>
            <w:r>
              <w:rPr>
                <w:rFonts w:hint="eastAsia" w:cs="Times New Roman"/>
                <w:color w:val="auto"/>
                <w:sz w:val="24"/>
                <w:highlight w:val="none"/>
                <w:lang w:eastAsia="zh-CN"/>
              </w:rPr>
              <w:t>（</w:t>
            </w:r>
            <w:r>
              <w:rPr>
                <w:rFonts w:hint="eastAsia" w:cs="Times New Roman"/>
                <w:color w:val="auto"/>
                <w:sz w:val="24"/>
                <w:highlight w:val="none"/>
                <w:lang w:val="en-US" w:eastAsia="zh-CN"/>
              </w:rPr>
              <w:t>各规格</w:t>
            </w:r>
            <w:r>
              <w:rPr>
                <w:rFonts w:hint="eastAsia" w:cs="Times New Roman"/>
                <w:color w:val="auto"/>
                <w:sz w:val="24"/>
                <w:highlight w:val="none"/>
                <w:lang w:eastAsia="zh-CN"/>
              </w:rPr>
              <w:t>）</w:t>
            </w:r>
          </w:p>
        </w:tc>
      </w:tr>
      <w:tr w14:paraId="64AE5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center"/>
          </w:tcPr>
          <w:p w14:paraId="566A753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2694" w:type="dxa"/>
            <w:noWrap w:val="0"/>
            <w:vAlign w:val="top"/>
          </w:tcPr>
          <w:p w14:paraId="4C584CFE">
            <w:pPr>
              <w:keepNext w:val="0"/>
              <w:keepLines w:val="0"/>
              <w:suppressLineNumbers w:val="0"/>
              <w:autoSpaceDE w:val="0"/>
              <w:autoSpaceDN w:val="0"/>
              <w:snapToGrid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氧化风机（</w:t>
            </w:r>
            <w:r>
              <w:rPr>
                <w:rFonts w:hint="eastAsia" w:ascii="Times New Roman" w:hAnsi="Times New Roman" w:cs="Times New Roman"/>
                <w:color w:val="auto"/>
                <w:sz w:val="24"/>
                <w:highlight w:val="none"/>
                <w:lang w:val="en-US" w:eastAsia="zh-CN"/>
              </w:rPr>
              <w:t>2</w:t>
            </w:r>
            <w:r>
              <w:rPr>
                <w:rFonts w:hint="default" w:ascii="Times New Roman" w:hAnsi="Times New Roman" w:cs="Times New Roman"/>
                <w:color w:val="auto"/>
                <w:sz w:val="24"/>
                <w:highlight w:val="none"/>
              </w:rPr>
              <w:t>台）</w:t>
            </w:r>
          </w:p>
        </w:tc>
        <w:tc>
          <w:tcPr>
            <w:tcW w:w="1188" w:type="dxa"/>
            <w:noWrap w:val="0"/>
            <w:vAlign w:val="center"/>
          </w:tcPr>
          <w:p w14:paraId="6EE8B7D0">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054" w:type="dxa"/>
            <w:noWrap w:val="0"/>
            <w:vAlign w:val="center"/>
          </w:tcPr>
          <w:p w14:paraId="78B6795C">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46" w:type="dxa"/>
            <w:noWrap w:val="0"/>
            <w:vAlign w:val="center"/>
          </w:tcPr>
          <w:p w14:paraId="65B6F520">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997" w:type="dxa"/>
            <w:noWrap w:val="0"/>
            <w:vAlign w:val="center"/>
          </w:tcPr>
          <w:p w14:paraId="01905498">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9D903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center"/>
          </w:tcPr>
          <w:p w14:paraId="1ECF4087">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2.1</w:t>
            </w:r>
          </w:p>
        </w:tc>
        <w:tc>
          <w:tcPr>
            <w:tcW w:w="2694" w:type="dxa"/>
            <w:noWrap w:val="0"/>
            <w:vAlign w:val="center"/>
          </w:tcPr>
          <w:p w14:paraId="1C168B14">
            <w:pPr>
              <w:keepNext w:val="0"/>
              <w:keepLines w:val="0"/>
              <w:suppressLineNumbers w:val="0"/>
              <w:autoSpaceDE w:val="0"/>
              <w:autoSpaceDN w:val="0"/>
              <w:snapToGrid w:val="0"/>
              <w:spacing w:before="0" w:beforeAutospacing="0" w:after="0" w:afterAutospacing="0" w:line="360" w:lineRule="auto"/>
              <w:ind w:left="0" w:right="0"/>
              <w:jc w:val="left"/>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过滤网</w:t>
            </w:r>
          </w:p>
        </w:tc>
        <w:tc>
          <w:tcPr>
            <w:tcW w:w="1188" w:type="dxa"/>
            <w:noWrap w:val="0"/>
            <w:vAlign w:val="center"/>
          </w:tcPr>
          <w:p w14:paraId="4D2FA042">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054" w:type="dxa"/>
            <w:noWrap w:val="0"/>
            <w:vAlign w:val="center"/>
          </w:tcPr>
          <w:p w14:paraId="64C65B55">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w:t>
            </w:r>
          </w:p>
        </w:tc>
        <w:tc>
          <w:tcPr>
            <w:tcW w:w="746" w:type="dxa"/>
            <w:noWrap w:val="0"/>
            <w:vAlign w:val="center"/>
          </w:tcPr>
          <w:p w14:paraId="258106CC">
            <w:pPr>
              <w:keepNext w:val="0"/>
              <w:keepLines w:val="0"/>
              <w:suppressLineNumbers w:val="0"/>
              <w:autoSpaceDE w:val="0"/>
              <w:autoSpaceDN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3</w:t>
            </w:r>
          </w:p>
        </w:tc>
        <w:tc>
          <w:tcPr>
            <w:tcW w:w="1997" w:type="dxa"/>
            <w:noWrap w:val="0"/>
            <w:vAlign w:val="center"/>
          </w:tcPr>
          <w:p w14:paraId="328BAA78">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01A0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center"/>
          </w:tcPr>
          <w:p w14:paraId="2244B402">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2</w:t>
            </w:r>
            <w:r>
              <w:rPr>
                <w:rFonts w:hint="default" w:ascii="Times New Roman" w:hAnsi="Times New Roman" w:cs="Times New Roman"/>
                <w:color w:val="auto"/>
                <w:sz w:val="24"/>
                <w:highlight w:val="none"/>
              </w:rPr>
              <w:t>.2</w:t>
            </w:r>
          </w:p>
        </w:tc>
        <w:tc>
          <w:tcPr>
            <w:tcW w:w="2694" w:type="dxa"/>
            <w:noWrap w:val="0"/>
            <w:vAlign w:val="center"/>
          </w:tcPr>
          <w:p w14:paraId="3A2A10B7">
            <w:pPr>
              <w:keepNext w:val="0"/>
              <w:keepLines w:val="0"/>
              <w:suppressLineNumbers w:val="0"/>
              <w:autoSpaceDE w:val="0"/>
              <w:autoSpaceDN w:val="0"/>
              <w:snapToGrid w:val="0"/>
              <w:spacing w:before="0" w:beforeAutospacing="0" w:after="0" w:afterAutospacing="0" w:line="360" w:lineRule="auto"/>
              <w:ind w:left="0" w:right="0"/>
              <w:jc w:val="left"/>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过滤棉</w:t>
            </w:r>
          </w:p>
        </w:tc>
        <w:tc>
          <w:tcPr>
            <w:tcW w:w="1188" w:type="dxa"/>
            <w:noWrap w:val="0"/>
            <w:vAlign w:val="center"/>
          </w:tcPr>
          <w:p w14:paraId="51C38BA3">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center"/>
          </w:tcPr>
          <w:p w14:paraId="6FA062BC">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w:t>
            </w:r>
          </w:p>
        </w:tc>
        <w:tc>
          <w:tcPr>
            <w:tcW w:w="746" w:type="dxa"/>
            <w:noWrap w:val="0"/>
            <w:vAlign w:val="center"/>
          </w:tcPr>
          <w:p w14:paraId="6DDA9E27">
            <w:pPr>
              <w:keepNext w:val="0"/>
              <w:keepLines w:val="0"/>
              <w:suppressLineNumbers w:val="0"/>
              <w:autoSpaceDE w:val="0"/>
              <w:autoSpaceDN w:val="0"/>
              <w:snapToGrid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3</w:t>
            </w:r>
          </w:p>
        </w:tc>
        <w:tc>
          <w:tcPr>
            <w:tcW w:w="1997" w:type="dxa"/>
            <w:noWrap w:val="0"/>
            <w:vAlign w:val="center"/>
          </w:tcPr>
          <w:p w14:paraId="6D31F763">
            <w:pPr>
              <w:keepNext w:val="0"/>
              <w:keepLines w:val="0"/>
              <w:suppressLineNumbers w:val="0"/>
              <w:autoSpaceDE w:val="0"/>
              <w:autoSpaceDN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A3B04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center"/>
          </w:tcPr>
          <w:p w14:paraId="2948B79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w:t>
            </w:r>
          </w:p>
        </w:tc>
        <w:tc>
          <w:tcPr>
            <w:tcW w:w="2694" w:type="dxa"/>
            <w:noWrap w:val="0"/>
            <w:vAlign w:val="top"/>
          </w:tcPr>
          <w:p w14:paraId="0B767D63">
            <w:pPr>
              <w:keepNext w:val="0"/>
              <w:keepLines w:val="0"/>
              <w:suppressLineNumbers w:val="0"/>
              <w:autoSpaceDE w:val="0"/>
              <w:autoSpaceDN w:val="0"/>
              <w:snapToGrid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color w:val="auto"/>
                <w:sz w:val="24"/>
                <w:highlight w:val="none"/>
              </w:rPr>
              <w:t>真空皮带机系统（</w:t>
            </w:r>
            <w:r>
              <w:rPr>
                <w:rFonts w:hint="eastAsia"/>
                <w:color w:val="auto"/>
                <w:sz w:val="24"/>
                <w:highlight w:val="none"/>
                <w:lang w:val="en-US" w:eastAsia="zh-CN"/>
              </w:rPr>
              <w:t>1</w:t>
            </w:r>
            <w:r>
              <w:rPr>
                <w:rFonts w:hint="default"/>
                <w:color w:val="auto"/>
                <w:sz w:val="24"/>
                <w:highlight w:val="none"/>
              </w:rPr>
              <w:t>套）</w:t>
            </w:r>
          </w:p>
        </w:tc>
        <w:tc>
          <w:tcPr>
            <w:tcW w:w="1188" w:type="dxa"/>
            <w:noWrap w:val="0"/>
            <w:vAlign w:val="center"/>
          </w:tcPr>
          <w:p w14:paraId="75AE9C05">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center"/>
          </w:tcPr>
          <w:p w14:paraId="14E761D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746" w:type="dxa"/>
            <w:noWrap w:val="0"/>
            <w:vAlign w:val="center"/>
          </w:tcPr>
          <w:p w14:paraId="502F966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1997" w:type="dxa"/>
            <w:noWrap w:val="0"/>
            <w:vAlign w:val="center"/>
          </w:tcPr>
          <w:p w14:paraId="3BEC668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3A27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center"/>
          </w:tcPr>
          <w:p w14:paraId="77D3A1DA">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default" w:ascii="Times New Roman" w:hAnsi="Times New Roman" w:cs="Times New Roman"/>
                <w:color w:val="auto"/>
                <w:sz w:val="24"/>
                <w:highlight w:val="none"/>
              </w:rPr>
              <w:t>3.</w:t>
            </w:r>
            <w:r>
              <w:rPr>
                <w:rFonts w:hint="eastAsia" w:ascii="Times New Roman" w:hAnsi="Times New Roman" w:cs="Times New Roman"/>
                <w:color w:val="auto"/>
                <w:sz w:val="24"/>
                <w:highlight w:val="none"/>
                <w:lang w:val="en-US" w:eastAsia="zh-CN"/>
              </w:rPr>
              <w:t>1</w:t>
            </w:r>
          </w:p>
        </w:tc>
        <w:tc>
          <w:tcPr>
            <w:tcW w:w="2694" w:type="dxa"/>
            <w:noWrap w:val="0"/>
            <w:vAlign w:val="center"/>
          </w:tcPr>
          <w:p w14:paraId="65CFE4F5">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卸饼刮刀</w:t>
            </w:r>
          </w:p>
        </w:tc>
        <w:tc>
          <w:tcPr>
            <w:tcW w:w="1188" w:type="dxa"/>
            <w:noWrap w:val="0"/>
            <w:vAlign w:val="center"/>
          </w:tcPr>
          <w:p w14:paraId="2D609F30">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center"/>
          </w:tcPr>
          <w:p w14:paraId="15EAD66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w:t>
            </w:r>
          </w:p>
        </w:tc>
        <w:tc>
          <w:tcPr>
            <w:tcW w:w="746" w:type="dxa"/>
            <w:noWrap w:val="0"/>
            <w:vAlign w:val="center"/>
          </w:tcPr>
          <w:p w14:paraId="61A53CB9">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w:t>
            </w:r>
          </w:p>
        </w:tc>
        <w:tc>
          <w:tcPr>
            <w:tcW w:w="1997" w:type="dxa"/>
            <w:noWrap w:val="0"/>
            <w:vAlign w:val="center"/>
          </w:tcPr>
          <w:p w14:paraId="000C794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01EF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center"/>
          </w:tcPr>
          <w:p w14:paraId="4F3B0723">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default" w:ascii="Times New Roman" w:hAnsi="Times New Roman" w:cs="Times New Roman"/>
                <w:color w:val="auto"/>
                <w:sz w:val="24"/>
                <w:highlight w:val="none"/>
              </w:rPr>
              <w:t>3.</w:t>
            </w:r>
            <w:r>
              <w:rPr>
                <w:rFonts w:hint="eastAsia" w:ascii="Times New Roman" w:hAnsi="Times New Roman" w:cs="Times New Roman"/>
                <w:color w:val="auto"/>
                <w:sz w:val="24"/>
                <w:highlight w:val="none"/>
                <w:lang w:val="en-US" w:eastAsia="zh-CN"/>
              </w:rPr>
              <w:t>2</w:t>
            </w:r>
          </w:p>
        </w:tc>
        <w:tc>
          <w:tcPr>
            <w:tcW w:w="2694" w:type="dxa"/>
            <w:noWrap w:val="0"/>
            <w:vAlign w:val="center"/>
          </w:tcPr>
          <w:p w14:paraId="65B297C7">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滤布洗涤喷嘴</w:t>
            </w:r>
          </w:p>
        </w:tc>
        <w:tc>
          <w:tcPr>
            <w:tcW w:w="1188" w:type="dxa"/>
            <w:noWrap w:val="0"/>
            <w:vAlign w:val="center"/>
          </w:tcPr>
          <w:p w14:paraId="46AA0305">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center"/>
          </w:tcPr>
          <w:p w14:paraId="59E607B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746" w:type="dxa"/>
            <w:noWrap w:val="0"/>
            <w:vAlign w:val="center"/>
          </w:tcPr>
          <w:p w14:paraId="280DAFB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6</w:t>
            </w:r>
          </w:p>
        </w:tc>
        <w:tc>
          <w:tcPr>
            <w:tcW w:w="1997" w:type="dxa"/>
            <w:noWrap w:val="0"/>
            <w:vAlign w:val="center"/>
          </w:tcPr>
          <w:p w14:paraId="266D26E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CF37F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center"/>
          </w:tcPr>
          <w:p w14:paraId="3E233D9B">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default" w:ascii="Times New Roman" w:hAnsi="Times New Roman" w:cs="Times New Roman"/>
                <w:color w:val="auto"/>
                <w:sz w:val="24"/>
                <w:highlight w:val="none"/>
              </w:rPr>
              <w:t>3.</w:t>
            </w:r>
            <w:r>
              <w:rPr>
                <w:rFonts w:hint="eastAsia" w:ascii="Times New Roman" w:hAnsi="Times New Roman" w:cs="Times New Roman"/>
                <w:color w:val="auto"/>
                <w:sz w:val="24"/>
                <w:highlight w:val="none"/>
                <w:lang w:val="en-US" w:eastAsia="zh-CN"/>
              </w:rPr>
              <w:t>3</w:t>
            </w:r>
          </w:p>
        </w:tc>
        <w:tc>
          <w:tcPr>
            <w:tcW w:w="2694" w:type="dxa"/>
            <w:noWrap w:val="0"/>
            <w:vAlign w:val="center"/>
          </w:tcPr>
          <w:p w14:paraId="01A7F1F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气管接头</w:t>
            </w:r>
          </w:p>
        </w:tc>
        <w:tc>
          <w:tcPr>
            <w:tcW w:w="1188" w:type="dxa"/>
            <w:noWrap w:val="0"/>
            <w:vAlign w:val="center"/>
          </w:tcPr>
          <w:p w14:paraId="10968AEF">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center"/>
          </w:tcPr>
          <w:p w14:paraId="63B03E0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746" w:type="dxa"/>
            <w:noWrap w:val="0"/>
            <w:vAlign w:val="center"/>
          </w:tcPr>
          <w:p w14:paraId="3106C01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10</w:t>
            </w:r>
          </w:p>
        </w:tc>
        <w:tc>
          <w:tcPr>
            <w:tcW w:w="1997" w:type="dxa"/>
            <w:noWrap w:val="0"/>
            <w:vAlign w:val="center"/>
          </w:tcPr>
          <w:p w14:paraId="05FA908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473E9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center"/>
          </w:tcPr>
          <w:p w14:paraId="44B5AEF4">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default" w:ascii="Times New Roman" w:hAnsi="Times New Roman" w:cs="Times New Roman"/>
                <w:color w:val="auto"/>
                <w:sz w:val="24"/>
                <w:highlight w:val="none"/>
              </w:rPr>
              <w:t>3.</w:t>
            </w:r>
            <w:r>
              <w:rPr>
                <w:rFonts w:hint="eastAsia" w:cs="Times New Roman"/>
                <w:color w:val="auto"/>
                <w:sz w:val="24"/>
                <w:highlight w:val="none"/>
                <w:lang w:val="en-US" w:eastAsia="zh-CN"/>
              </w:rPr>
              <w:t>4</w:t>
            </w:r>
          </w:p>
        </w:tc>
        <w:tc>
          <w:tcPr>
            <w:tcW w:w="2694" w:type="dxa"/>
            <w:noWrap w:val="0"/>
            <w:vAlign w:val="center"/>
          </w:tcPr>
          <w:p w14:paraId="5E23CEB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电磁阀</w:t>
            </w:r>
          </w:p>
        </w:tc>
        <w:tc>
          <w:tcPr>
            <w:tcW w:w="1188" w:type="dxa"/>
            <w:noWrap w:val="0"/>
            <w:vAlign w:val="center"/>
          </w:tcPr>
          <w:p w14:paraId="0B2646D8">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center"/>
          </w:tcPr>
          <w:p w14:paraId="218B2A8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个</w:t>
            </w:r>
          </w:p>
        </w:tc>
        <w:tc>
          <w:tcPr>
            <w:tcW w:w="746" w:type="dxa"/>
            <w:noWrap w:val="0"/>
            <w:vAlign w:val="center"/>
          </w:tcPr>
          <w:p w14:paraId="320D39D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1997" w:type="dxa"/>
            <w:noWrap w:val="0"/>
            <w:vAlign w:val="center"/>
          </w:tcPr>
          <w:p w14:paraId="465DAFD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61364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center"/>
          </w:tcPr>
          <w:p w14:paraId="633AC0A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3.5</w:t>
            </w:r>
          </w:p>
        </w:tc>
        <w:tc>
          <w:tcPr>
            <w:tcW w:w="2694" w:type="dxa"/>
            <w:noWrap w:val="0"/>
            <w:vAlign w:val="center"/>
          </w:tcPr>
          <w:p w14:paraId="67977AE0">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托辊</w:t>
            </w:r>
          </w:p>
        </w:tc>
        <w:tc>
          <w:tcPr>
            <w:tcW w:w="1188" w:type="dxa"/>
            <w:noWrap w:val="0"/>
            <w:vAlign w:val="center"/>
          </w:tcPr>
          <w:p w14:paraId="0224C7E3">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center"/>
          </w:tcPr>
          <w:p w14:paraId="38FB456D">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eastAsia="zh-CN"/>
              </w:rPr>
            </w:pPr>
            <w:r>
              <w:rPr>
                <w:rFonts w:hint="eastAsia" w:cs="Times New Roman"/>
                <w:color w:val="auto"/>
                <w:sz w:val="24"/>
                <w:highlight w:val="none"/>
                <w:lang w:eastAsia="zh-CN"/>
              </w:rPr>
              <w:t>个</w:t>
            </w:r>
          </w:p>
        </w:tc>
        <w:tc>
          <w:tcPr>
            <w:tcW w:w="746" w:type="dxa"/>
            <w:noWrap w:val="0"/>
            <w:vAlign w:val="center"/>
          </w:tcPr>
          <w:p w14:paraId="7E169027">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5</w:t>
            </w:r>
          </w:p>
        </w:tc>
        <w:tc>
          <w:tcPr>
            <w:tcW w:w="1997" w:type="dxa"/>
            <w:noWrap w:val="0"/>
            <w:vAlign w:val="center"/>
          </w:tcPr>
          <w:p w14:paraId="5CBC2E1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3AEF5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58" w:type="dxa"/>
            <w:noWrap w:val="0"/>
            <w:vAlign w:val="center"/>
          </w:tcPr>
          <w:p w14:paraId="768E0F5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4</w:t>
            </w:r>
          </w:p>
        </w:tc>
        <w:tc>
          <w:tcPr>
            <w:tcW w:w="2694" w:type="dxa"/>
            <w:noWrap w:val="0"/>
            <w:vAlign w:val="center"/>
          </w:tcPr>
          <w:p w14:paraId="18840E84">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碳化硅喷嘴</w:t>
            </w:r>
          </w:p>
        </w:tc>
        <w:tc>
          <w:tcPr>
            <w:tcW w:w="1188" w:type="dxa"/>
            <w:noWrap w:val="0"/>
            <w:vAlign w:val="center"/>
          </w:tcPr>
          <w:p w14:paraId="42307C28">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p>
        </w:tc>
        <w:tc>
          <w:tcPr>
            <w:tcW w:w="1054" w:type="dxa"/>
            <w:noWrap w:val="0"/>
            <w:vAlign w:val="center"/>
          </w:tcPr>
          <w:p w14:paraId="14B25EB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个</w:t>
            </w:r>
          </w:p>
        </w:tc>
        <w:tc>
          <w:tcPr>
            <w:tcW w:w="746" w:type="dxa"/>
            <w:noWrap w:val="0"/>
            <w:vAlign w:val="center"/>
          </w:tcPr>
          <w:p w14:paraId="3E78F5F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10</w:t>
            </w:r>
          </w:p>
        </w:tc>
        <w:tc>
          <w:tcPr>
            <w:tcW w:w="1997" w:type="dxa"/>
            <w:noWrap w:val="0"/>
            <w:vAlign w:val="center"/>
          </w:tcPr>
          <w:p w14:paraId="2DECC58F">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各种规格共</w:t>
            </w:r>
            <w:r>
              <w:rPr>
                <w:rFonts w:hint="eastAsia" w:ascii="Times New Roman" w:hAnsi="Times New Roman" w:cs="Times New Roman"/>
                <w:color w:val="auto"/>
                <w:sz w:val="24"/>
                <w:highlight w:val="none"/>
                <w:lang w:val="en-US" w:eastAsia="zh-CN"/>
              </w:rPr>
              <w:t>10</w:t>
            </w:r>
            <w:r>
              <w:rPr>
                <w:rFonts w:hint="eastAsia" w:ascii="Times New Roman" w:hAnsi="Times New Roman" w:cs="Times New Roman"/>
                <w:color w:val="auto"/>
                <w:sz w:val="24"/>
                <w:highlight w:val="none"/>
              </w:rPr>
              <w:t>个</w:t>
            </w:r>
          </w:p>
        </w:tc>
      </w:tr>
    </w:tbl>
    <w:p w14:paraId="37D1D07A">
      <w:pPr>
        <w:spacing w:before="120"/>
        <w:rPr>
          <w:color w:val="auto"/>
          <w:sz w:val="24"/>
          <w:highlight w:val="none"/>
        </w:rPr>
      </w:pPr>
      <w:r>
        <w:rPr>
          <w:rFonts w:hint="eastAsia"/>
          <w:color w:val="auto"/>
          <w:sz w:val="24"/>
          <w:highlight w:val="none"/>
          <w:lang w:eastAsia="zh-CN"/>
        </w:rPr>
        <w:t>投标方</w:t>
      </w:r>
      <w:r>
        <w:rPr>
          <w:color w:val="auto"/>
          <w:sz w:val="24"/>
          <w:highlight w:val="none"/>
        </w:rPr>
        <w:t>应至少提供下列专用工具，并不限于：</w:t>
      </w:r>
    </w:p>
    <w:p w14:paraId="61893E4A">
      <w:pPr>
        <w:spacing w:before="120"/>
        <w:rPr>
          <w:color w:val="auto"/>
          <w:sz w:val="24"/>
          <w:highlight w:val="none"/>
        </w:rPr>
      </w:pPr>
      <w:r>
        <w:rPr>
          <w:rFonts w:hint="eastAsia"/>
          <w:color w:val="auto"/>
          <w:sz w:val="24"/>
          <w:highlight w:val="none"/>
        </w:rPr>
        <w:t>2</w:t>
      </w:r>
      <w:r>
        <w:rPr>
          <w:color w:val="auto"/>
          <w:sz w:val="24"/>
          <w:highlight w:val="none"/>
        </w:rPr>
        <w:t>.6.2专用工具清单</w:t>
      </w:r>
    </w:p>
    <w:tbl>
      <w:tblPr>
        <w:tblStyle w:val="52"/>
        <w:tblW w:w="0" w:type="auto"/>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3"/>
        <w:gridCol w:w="1927"/>
        <w:gridCol w:w="1284"/>
        <w:gridCol w:w="981"/>
        <w:gridCol w:w="1185"/>
        <w:gridCol w:w="1185"/>
        <w:gridCol w:w="1056"/>
      </w:tblGrid>
      <w:tr w14:paraId="3928FB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43" w:type="dxa"/>
            <w:noWrap w:val="0"/>
            <w:vAlign w:val="center"/>
          </w:tcPr>
          <w:p w14:paraId="75BF35C7">
            <w:pPr>
              <w:pStyle w:val="50"/>
              <w:ind w:firstLine="0" w:firstLineChars="0"/>
              <w:jc w:val="center"/>
              <w:rPr>
                <w:rFonts w:hint="default" w:ascii="Times New Roman" w:hAnsi="Times New Roman" w:cs="Times New Roman"/>
                <w:b/>
                <w:color w:val="auto"/>
                <w:kern w:val="2"/>
                <w:sz w:val="24"/>
                <w:szCs w:val="24"/>
                <w:highlight w:val="none"/>
                <w:lang w:bidi="ar"/>
              </w:rPr>
            </w:pPr>
            <w:r>
              <w:rPr>
                <w:rFonts w:hint="default" w:ascii="Times New Roman" w:hAnsi="Times New Roman" w:cs="Times New Roman"/>
                <w:b/>
                <w:color w:val="auto"/>
                <w:kern w:val="2"/>
                <w:sz w:val="24"/>
                <w:szCs w:val="24"/>
                <w:highlight w:val="none"/>
                <w:lang w:bidi="ar"/>
              </w:rPr>
              <w:t>序号</w:t>
            </w:r>
          </w:p>
        </w:tc>
        <w:tc>
          <w:tcPr>
            <w:tcW w:w="1927" w:type="dxa"/>
            <w:noWrap w:val="0"/>
            <w:vAlign w:val="center"/>
          </w:tcPr>
          <w:p w14:paraId="459F8A21">
            <w:pPr>
              <w:pStyle w:val="50"/>
              <w:ind w:firstLine="0" w:firstLineChars="0"/>
              <w:jc w:val="center"/>
              <w:rPr>
                <w:rFonts w:hint="default" w:ascii="Times New Roman" w:hAnsi="Times New Roman" w:cs="Times New Roman"/>
                <w:b/>
                <w:color w:val="auto"/>
                <w:kern w:val="2"/>
                <w:sz w:val="24"/>
                <w:szCs w:val="24"/>
                <w:highlight w:val="none"/>
                <w:lang w:bidi="ar"/>
              </w:rPr>
            </w:pPr>
            <w:r>
              <w:rPr>
                <w:rFonts w:hint="default" w:ascii="Times New Roman" w:hAnsi="Times New Roman" w:cs="Times New Roman"/>
                <w:b/>
                <w:color w:val="auto"/>
                <w:kern w:val="2"/>
                <w:sz w:val="24"/>
                <w:szCs w:val="24"/>
                <w:highlight w:val="none"/>
                <w:lang w:bidi="ar"/>
              </w:rPr>
              <w:t>项目</w:t>
            </w:r>
          </w:p>
        </w:tc>
        <w:tc>
          <w:tcPr>
            <w:tcW w:w="1284" w:type="dxa"/>
            <w:noWrap w:val="0"/>
            <w:vAlign w:val="center"/>
          </w:tcPr>
          <w:p w14:paraId="29BCF7F6">
            <w:pPr>
              <w:pStyle w:val="50"/>
              <w:ind w:firstLine="0" w:firstLineChars="0"/>
              <w:jc w:val="center"/>
              <w:rPr>
                <w:rFonts w:hint="default" w:ascii="Times New Roman" w:hAnsi="Times New Roman" w:cs="Times New Roman"/>
                <w:b/>
                <w:color w:val="auto"/>
                <w:kern w:val="2"/>
                <w:sz w:val="24"/>
                <w:szCs w:val="24"/>
                <w:highlight w:val="none"/>
                <w:lang w:bidi="ar"/>
              </w:rPr>
            </w:pPr>
            <w:r>
              <w:rPr>
                <w:rFonts w:hint="default" w:ascii="Times New Roman" w:hAnsi="Times New Roman" w:cs="Times New Roman"/>
                <w:b/>
                <w:color w:val="auto"/>
                <w:kern w:val="2"/>
                <w:sz w:val="24"/>
                <w:szCs w:val="24"/>
                <w:highlight w:val="none"/>
                <w:lang w:bidi="ar"/>
              </w:rPr>
              <w:t>规格</w:t>
            </w:r>
          </w:p>
        </w:tc>
        <w:tc>
          <w:tcPr>
            <w:tcW w:w="981" w:type="dxa"/>
            <w:noWrap w:val="0"/>
            <w:vAlign w:val="center"/>
          </w:tcPr>
          <w:p w14:paraId="0490521E">
            <w:pPr>
              <w:pStyle w:val="50"/>
              <w:ind w:firstLine="0" w:firstLineChars="0"/>
              <w:jc w:val="center"/>
              <w:rPr>
                <w:rFonts w:hint="default" w:ascii="Times New Roman" w:hAnsi="Times New Roman" w:cs="Times New Roman"/>
                <w:b/>
                <w:color w:val="auto"/>
                <w:kern w:val="2"/>
                <w:sz w:val="24"/>
                <w:szCs w:val="24"/>
                <w:highlight w:val="none"/>
                <w:lang w:bidi="ar"/>
              </w:rPr>
            </w:pPr>
            <w:r>
              <w:rPr>
                <w:rFonts w:hint="default" w:ascii="Times New Roman" w:hAnsi="Times New Roman" w:cs="Times New Roman"/>
                <w:b/>
                <w:color w:val="auto"/>
                <w:kern w:val="2"/>
                <w:sz w:val="24"/>
                <w:szCs w:val="24"/>
                <w:highlight w:val="none"/>
                <w:lang w:bidi="ar"/>
              </w:rPr>
              <w:t>单位</w:t>
            </w:r>
          </w:p>
        </w:tc>
        <w:tc>
          <w:tcPr>
            <w:tcW w:w="1185" w:type="dxa"/>
            <w:noWrap w:val="0"/>
            <w:vAlign w:val="center"/>
          </w:tcPr>
          <w:p w14:paraId="5624F548">
            <w:pPr>
              <w:pStyle w:val="50"/>
              <w:ind w:firstLine="0" w:firstLineChars="0"/>
              <w:jc w:val="center"/>
              <w:rPr>
                <w:rFonts w:hint="default" w:ascii="Times New Roman" w:hAnsi="Times New Roman" w:cs="Times New Roman"/>
                <w:b/>
                <w:color w:val="auto"/>
                <w:kern w:val="2"/>
                <w:sz w:val="24"/>
                <w:szCs w:val="24"/>
                <w:highlight w:val="none"/>
                <w:lang w:bidi="ar"/>
              </w:rPr>
            </w:pPr>
            <w:r>
              <w:rPr>
                <w:rFonts w:hint="default" w:ascii="Times New Roman" w:hAnsi="Times New Roman" w:cs="Times New Roman"/>
                <w:b/>
                <w:color w:val="auto"/>
                <w:kern w:val="2"/>
                <w:sz w:val="24"/>
                <w:szCs w:val="24"/>
                <w:highlight w:val="none"/>
                <w:lang w:bidi="ar"/>
              </w:rPr>
              <w:t>数量</w:t>
            </w:r>
          </w:p>
        </w:tc>
        <w:tc>
          <w:tcPr>
            <w:tcW w:w="1185" w:type="dxa"/>
            <w:noWrap w:val="0"/>
            <w:vAlign w:val="center"/>
          </w:tcPr>
          <w:p w14:paraId="613491D2">
            <w:pPr>
              <w:pStyle w:val="50"/>
              <w:ind w:firstLine="0" w:firstLineChars="0"/>
              <w:jc w:val="center"/>
              <w:rPr>
                <w:rFonts w:hint="default" w:ascii="Times New Roman" w:hAnsi="Times New Roman" w:cs="Times New Roman"/>
                <w:b/>
                <w:color w:val="auto"/>
                <w:kern w:val="2"/>
                <w:sz w:val="24"/>
                <w:szCs w:val="24"/>
                <w:highlight w:val="none"/>
                <w:lang w:bidi="ar"/>
              </w:rPr>
            </w:pPr>
            <w:r>
              <w:rPr>
                <w:rFonts w:hint="default" w:ascii="Times New Roman" w:hAnsi="Times New Roman" w:cs="Times New Roman"/>
                <w:b/>
                <w:color w:val="auto"/>
                <w:kern w:val="2"/>
                <w:sz w:val="24"/>
                <w:szCs w:val="24"/>
                <w:highlight w:val="none"/>
                <w:lang w:bidi="ar"/>
              </w:rPr>
              <w:t>制造商</w:t>
            </w:r>
          </w:p>
        </w:tc>
        <w:tc>
          <w:tcPr>
            <w:tcW w:w="1056" w:type="dxa"/>
            <w:noWrap w:val="0"/>
            <w:vAlign w:val="center"/>
          </w:tcPr>
          <w:p w14:paraId="3B61F92D">
            <w:pPr>
              <w:pStyle w:val="50"/>
              <w:ind w:firstLine="0" w:firstLineChars="0"/>
              <w:jc w:val="center"/>
              <w:rPr>
                <w:rFonts w:hint="default" w:ascii="Times New Roman" w:hAnsi="Times New Roman" w:cs="Times New Roman"/>
                <w:b/>
                <w:color w:val="auto"/>
                <w:kern w:val="2"/>
                <w:sz w:val="24"/>
                <w:szCs w:val="24"/>
                <w:highlight w:val="none"/>
                <w:lang w:bidi="ar"/>
              </w:rPr>
            </w:pPr>
            <w:r>
              <w:rPr>
                <w:rFonts w:hint="default" w:ascii="Times New Roman" w:hAnsi="Times New Roman" w:cs="Times New Roman"/>
                <w:b/>
                <w:color w:val="auto"/>
                <w:kern w:val="2"/>
                <w:sz w:val="24"/>
                <w:szCs w:val="24"/>
                <w:highlight w:val="none"/>
                <w:lang w:bidi="ar"/>
              </w:rPr>
              <w:t>产地</w:t>
            </w:r>
          </w:p>
        </w:tc>
      </w:tr>
      <w:tr w14:paraId="0DB971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43" w:type="dxa"/>
            <w:noWrap w:val="0"/>
            <w:vAlign w:val="center"/>
          </w:tcPr>
          <w:p w14:paraId="141780B6">
            <w:pPr>
              <w:pStyle w:val="50"/>
              <w:ind w:firstLine="0" w:firstLineChars="0"/>
              <w:jc w:val="center"/>
              <w:rPr>
                <w:rFonts w:hint="default" w:ascii="Times New Roman" w:hAnsi="Times New Roman" w:cs="Times New Roman"/>
                <w:bCs/>
                <w:color w:val="auto"/>
                <w:kern w:val="2"/>
                <w:sz w:val="24"/>
                <w:szCs w:val="24"/>
                <w:highlight w:val="none"/>
                <w:lang w:bidi="ar"/>
              </w:rPr>
            </w:pPr>
            <w:r>
              <w:rPr>
                <w:rFonts w:hint="default" w:ascii="Times New Roman" w:hAnsi="Times New Roman" w:cs="Times New Roman"/>
                <w:bCs/>
                <w:color w:val="auto"/>
                <w:kern w:val="2"/>
                <w:sz w:val="24"/>
                <w:szCs w:val="24"/>
                <w:highlight w:val="none"/>
                <w:lang w:bidi="ar"/>
              </w:rPr>
              <w:t>一</w:t>
            </w:r>
          </w:p>
        </w:tc>
        <w:tc>
          <w:tcPr>
            <w:tcW w:w="1927" w:type="dxa"/>
            <w:noWrap w:val="0"/>
            <w:vAlign w:val="center"/>
          </w:tcPr>
          <w:p w14:paraId="3304ACC8">
            <w:pPr>
              <w:pStyle w:val="50"/>
              <w:ind w:firstLine="241"/>
              <w:rPr>
                <w:rFonts w:hint="default" w:ascii="Times New Roman" w:hAnsi="Times New Roman" w:cs="Times New Roman"/>
                <w:b/>
                <w:color w:val="auto"/>
                <w:kern w:val="2"/>
                <w:sz w:val="24"/>
                <w:szCs w:val="24"/>
                <w:highlight w:val="none"/>
                <w:lang w:bidi="ar"/>
              </w:rPr>
            </w:pPr>
            <w:r>
              <w:rPr>
                <w:rFonts w:hint="default" w:ascii="Times New Roman" w:hAnsi="Times New Roman" w:cs="Times New Roman"/>
                <w:b/>
                <w:color w:val="auto"/>
                <w:kern w:val="2"/>
                <w:sz w:val="24"/>
                <w:szCs w:val="24"/>
                <w:highlight w:val="none"/>
                <w:lang w:bidi="ar"/>
              </w:rPr>
              <w:t>电气部分</w:t>
            </w:r>
          </w:p>
        </w:tc>
        <w:tc>
          <w:tcPr>
            <w:tcW w:w="1284" w:type="dxa"/>
            <w:noWrap w:val="0"/>
            <w:vAlign w:val="center"/>
          </w:tcPr>
          <w:p w14:paraId="62634D7A">
            <w:pPr>
              <w:pStyle w:val="50"/>
              <w:ind w:firstLine="240"/>
              <w:rPr>
                <w:rFonts w:hint="default" w:ascii="Times New Roman" w:hAnsi="Times New Roman" w:cs="Times New Roman"/>
                <w:color w:val="auto"/>
                <w:kern w:val="2"/>
                <w:sz w:val="24"/>
                <w:szCs w:val="24"/>
                <w:highlight w:val="none"/>
                <w:lang w:bidi="ar"/>
              </w:rPr>
            </w:pPr>
          </w:p>
        </w:tc>
        <w:tc>
          <w:tcPr>
            <w:tcW w:w="981" w:type="dxa"/>
            <w:noWrap w:val="0"/>
            <w:vAlign w:val="center"/>
          </w:tcPr>
          <w:p w14:paraId="2304EA38">
            <w:pPr>
              <w:pStyle w:val="50"/>
              <w:ind w:firstLine="240"/>
              <w:rPr>
                <w:rFonts w:hint="default" w:ascii="Times New Roman" w:hAnsi="Times New Roman" w:cs="Times New Roman"/>
                <w:color w:val="auto"/>
                <w:kern w:val="2"/>
                <w:sz w:val="24"/>
                <w:szCs w:val="24"/>
                <w:highlight w:val="none"/>
                <w:lang w:bidi="ar"/>
              </w:rPr>
            </w:pPr>
          </w:p>
        </w:tc>
        <w:tc>
          <w:tcPr>
            <w:tcW w:w="1185" w:type="dxa"/>
            <w:noWrap w:val="0"/>
            <w:vAlign w:val="center"/>
          </w:tcPr>
          <w:p w14:paraId="3A6CCB24">
            <w:pPr>
              <w:pStyle w:val="50"/>
              <w:ind w:firstLine="240"/>
              <w:rPr>
                <w:rFonts w:hint="default" w:ascii="Times New Roman" w:hAnsi="Times New Roman" w:cs="Times New Roman"/>
                <w:color w:val="auto"/>
                <w:kern w:val="2"/>
                <w:sz w:val="24"/>
                <w:szCs w:val="24"/>
                <w:highlight w:val="none"/>
                <w:lang w:bidi="ar"/>
              </w:rPr>
            </w:pPr>
          </w:p>
        </w:tc>
        <w:tc>
          <w:tcPr>
            <w:tcW w:w="1185" w:type="dxa"/>
            <w:noWrap w:val="0"/>
            <w:vAlign w:val="center"/>
          </w:tcPr>
          <w:p w14:paraId="2BCF4F61">
            <w:pPr>
              <w:pStyle w:val="50"/>
              <w:ind w:firstLine="240"/>
              <w:rPr>
                <w:rFonts w:hint="default" w:ascii="Times New Roman" w:hAnsi="Times New Roman" w:cs="Times New Roman"/>
                <w:color w:val="auto"/>
                <w:kern w:val="2"/>
                <w:sz w:val="24"/>
                <w:szCs w:val="24"/>
                <w:highlight w:val="none"/>
                <w:lang w:bidi="ar"/>
              </w:rPr>
            </w:pPr>
          </w:p>
        </w:tc>
        <w:tc>
          <w:tcPr>
            <w:tcW w:w="1056" w:type="dxa"/>
            <w:noWrap w:val="0"/>
            <w:vAlign w:val="center"/>
          </w:tcPr>
          <w:p w14:paraId="629D091D">
            <w:pPr>
              <w:pStyle w:val="50"/>
              <w:ind w:firstLine="240"/>
              <w:rPr>
                <w:rFonts w:hint="default" w:ascii="Times New Roman" w:hAnsi="Times New Roman" w:cs="Times New Roman"/>
                <w:color w:val="auto"/>
                <w:kern w:val="2"/>
                <w:sz w:val="24"/>
                <w:szCs w:val="24"/>
                <w:highlight w:val="none"/>
                <w:lang w:bidi="ar"/>
              </w:rPr>
            </w:pPr>
          </w:p>
        </w:tc>
      </w:tr>
      <w:tr w14:paraId="5CA67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43" w:type="dxa"/>
            <w:noWrap w:val="0"/>
            <w:vAlign w:val="center"/>
          </w:tcPr>
          <w:p w14:paraId="3DB3B8EE">
            <w:pPr>
              <w:pStyle w:val="50"/>
              <w:ind w:firstLine="0" w:firstLineChars="0"/>
              <w:jc w:val="center"/>
              <w:rPr>
                <w:rFonts w:hint="default" w:ascii="Times New Roman" w:hAnsi="Times New Roman" w:cs="Times New Roman"/>
                <w:bCs/>
                <w:color w:val="auto"/>
                <w:kern w:val="2"/>
                <w:sz w:val="24"/>
                <w:szCs w:val="24"/>
                <w:highlight w:val="none"/>
                <w:lang w:bidi="ar"/>
              </w:rPr>
            </w:pPr>
            <w:r>
              <w:rPr>
                <w:rFonts w:hint="default" w:ascii="Times New Roman" w:hAnsi="Times New Roman" w:cs="Times New Roman"/>
                <w:bCs/>
                <w:color w:val="auto"/>
                <w:kern w:val="2"/>
                <w:sz w:val="24"/>
                <w:szCs w:val="24"/>
                <w:highlight w:val="none"/>
                <w:lang w:bidi="ar"/>
              </w:rPr>
              <w:t>1</w:t>
            </w:r>
          </w:p>
        </w:tc>
        <w:tc>
          <w:tcPr>
            <w:tcW w:w="1927" w:type="dxa"/>
            <w:noWrap w:val="0"/>
            <w:vAlign w:val="center"/>
          </w:tcPr>
          <w:p w14:paraId="318CD99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开关柜门锁钥匙</w:t>
            </w:r>
          </w:p>
        </w:tc>
        <w:tc>
          <w:tcPr>
            <w:tcW w:w="1284" w:type="dxa"/>
            <w:noWrap w:val="0"/>
            <w:vAlign w:val="center"/>
          </w:tcPr>
          <w:p w14:paraId="01A08CB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c>
          <w:tcPr>
            <w:tcW w:w="981" w:type="dxa"/>
            <w:noWrap w:val="0"/>
            <w:vAlign w:val="center"/>
          </w:tcPr>
          <w:p w14:paraId="60CF84A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把</w:t>
            </w:r>
          </w:p>
        </w:tc>
        <w:tc>
          <w:tcPr>
            <w:tcW w:w="1185" w:type="dxa"/>
            <w:noWrap w:val="0"/>
            <w:vAlign w:val="center"/>
          </w:tcPr>
          <w:p w14:paraId="364E8A7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10</w:t>
            </w:r>
          </w:p>
        </w:tc>
        <w:tc>
          <w:tcPr>
            <w:tcW w:w="1185" w:type="dxa"/>
            <w:noWrap w:val="0"/>
            <w:vAlign w:val="center"/>
          </w:tcPr>
          <w:p w14:paraId="72085590">
            <w:pPr>
              <w:pStyle w:val="50"/>
              <w:ind w:firstLine="240"/>
              <w:rPr>
                <w:rFonts w:hint="default" w:ascii="Times New Roman" w:hAnsi="Times New Roman" w:cs="Times New Roman"/>
                <w:color w:val="auto"/>
                <w:kern w:val="2"/>
                <w:sz w:val="24"/>
                <w:szCs w:val="24"/>
                <w:highlight w:val="none"/>
                <w:lang w:bidi="ar"/>
              </w:rPr>
            </w:pPr>
          </w:p>
        </w:tc>
        <w:tc>
          <w:tcPr>
            <w:tcW w:w="1056" w:type="dxa"/>
            <w:noWrap w:val="0"/>
            <w:vAlign w:val="center"/>
          </w:tcPr>
          <w:p w14:paraId="56F9F301">
            <w:pPr>
              <w:pStyle w:val="50"/>
              <w:ind w:firstLine="240"/>
              <w:rPr>
                <w:rFonts w:hint="default" w:ascii="Times New Roman" w:hAnsi="Times New Roman" w:cs="Times New Roman"/>
                <w:color w:val="auto"/>
                <w:kern w:val="2"/>
                <w:sz w:val="24"/>
                <w:szCs w:val="24"/>
                <w:highlight w:val="none"/>
                <w:lang w:bidi="ar"/>
              </w:rPr>
            </w:pPr>
          </w:p>
        </w:tc>
      </w:tr>
      <w:tr w14:paraId="3D88B9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43" w:type="dxa"/>
            <w:noWrap w:val="0"/>
            <w:vAlign w:val="center"/>
          </w:tcPr>
          <w:p w14:paraId="6D987F6B">
            <w:pPr>
              <w:pStyle w:val="50"/>
              <w:ind w:firstLine="0" w:firstLineChars="0"/>
              <w:jc w:val="center"/>
              <w:rPr>
                <w:rFonts w:hint="default" w:ascii="Times New Roman" w:hAnsi="Times New Roman" w:cs="Times New Roman"/>
                <w:bCs/>
                <w:color w:val="auto"/>
                <w:kern w:val="2"/>
                <w:sz w:val="24"/>
                <w:szCs w:val="24"/>
                <w:highlight w:val="none"/>
                <w:lang w:bidi="ar"/>
              </w:rPr>
            </w:pPr>
            <w:r>
              <w:rPr>
                <w:rFonts w:hint="default" w:ascii="Times New Roman" w:hAnsi="Times New Roman" w:cs="Times New Roman"/>
                <w:bCs/>
                <w:color w:val="auto"/>
                <w:kern w:val="2"/>
                <w:sz w:val="24"/>
                <w:szCs w:val="24"/>
                <w:highlight w:val="none"/>
                <w:lang w:bidi="ar"/>
              </w:rPr>
              <w:t>二</w:t>
            </w:r>
          </w:p>
        </w:tc>
        <w:tc>
          <w:tcPr>
            <w:tcW w:w="1927" w:type="dxa"/>
            <w:noWrap w:val="0"/>
            <w:vAlign w:val="center"/>
          </w:tcPr>
          <w:p w14:paraId="32326265">
            <w:pPr>
              <w:pStyle w:val="50"/>
              <w:ind w:firstLine="241"/>
              <w:rPr>
                <w:rFonts w:hint="default" w:ascii="Times New Roman" w:hAnsi="Times New Roman" w:cs="Times New Roman"/>
                <w:b/>
                <w:color w:val="auto"/>
                <w:sz w:val="24"/>
                <w:highlight w:val="none"/>
                <w:lang w:bidi="ar"/>
              </w:rPr>
            </w:pPr>
            <w:r>
              <w:rPr>
                <w:rFonts w:hint="default" w:ascii="Times New Roman" w:hAnsi="Times New Roman" w:cs="Times New Roman"/>
                <w:b/>
                <w:color w:val="auto"/>
                <w:kern w:val="2"/>
                <w:sz w:val="24"/>
                <w:szCs w:val="24"/>
                <w:highlight w:val="none"/>
                <w:lang w:bidi="ar"/>
              </w:rPr>
              <w:t>热控部分</w:t>
            </w:r>
          </w:p>
        </w:tc>
        <w:tc>
          <w:tcPr>
            <w:tcW w:w="1284" w:type="dxa"/>
            <w:noWrap w:val="0"/>
            <w:vAlign w:val="center"/>
          </w:tcPr>
          <w:p w14:paraId="6C9A2719">
            <w:pPr>
              <w:pStyle w:val="50"/>
              <w:ind w:firstLine="240"/>
              <w:rPr>
                <w:rFonts w:hint="default" w:ascii="Times New Roman" w:hAnsi="Times New Roman" w:cs="Times New Roman"/>
                <w:color w:val="auto"/>
                <w:kern w:val="2"/>
                <w:sz w:val="24"/>
                <w:szCs w:val="24"/>
                <w:highlight w:val="none"/>
                <w:lang w:bidi="ar"/>
              </w:rPr>
            </w:pPr>
          </w:p>
        </w:tc>
        <w:tc>
          <w:tcPr>
            <w:tcW w:w="981" w:type="dxa"/>
            <w:noWrap w:val="0"/>
            <w:vAlign w:val="center"/>
          </w:tcPr>
          <w:p w14:paraId="535A55C4">
            <w:pPr>
              <w:pStyle w:val="50"/>
              <w:ind w:firstLine="240"/>
              <w:rPr>
                <w:rFonts w:hint="default" w:ascii="Times New Roman" w:hAnsi="Times New Roman" w:cs="Times New Roman"/>
                <w:color w:val="auto"/>
                <w:kern w:val="2"/>
                <w:sz w:val="24"/>
                <w:szCs w:val="24"/>
                <w:highlight w:val="none"/>
                <w:lang w:bidi="ar"/>
              </w:rPr>
            </w:pPr>
          </w:p>
        </w:tc>
        <w:tc>
          <w:tcPr>
            <w:tcW w:w="1185" w:type="dxa"/>
            <w:noWrap w:val="0"/>
            <w:vAlign w:val="center"/>
          </w:tcPr>
          <w:p w14:paraId="7230312F">
            <w:pPr>
              <w:pStyle w:val="50"/>
              <w:ind w:firstLine="240"/>
              <w:rPr>
                <w:rFonts w:hint="default" w:ascii="Times New Roman" w:hAnsi="Times New Roman" w:cs="Times New Roman"/>
                <w:color w:val="auto"/>
                <w:kern w:val="2"/>
                <w:sz w:val="24"/>
                <w:szCs w:val="24"/>
                <w:highlight w:val="none"/>
                <w:lang w:bidi="ar"/>
              </w:rPr>
            </w:pPr>
          </w:p>
        </w:tc>
        <w:tc>
          <w:tcPr>
            <w:tcW w:w="1185" w:type="dxa"/>
            <w:noWrap w:val="0"/>
            <w:vAlign w:val="center"/>
          </w:tcPr>
          <w:p w14:paraId="337BA6C5">
            <w:pPr>
              <w:pStyle w:val="50"/>
              <w:ind w:firstLine="240"/>
              <w:rPr>
                <w:rFonts w:hint="default" w:ascii="Times New Roman" w:hAnsi="Times New Roman" w:cs="Times New Roman"/>
                <w:color w:val="auto"/>
                <w:kern w:val="2"/>
                <w:sz w:val="24"/>
                <w:szCs w:val="24"/>
                <w:highlight w:val="none"/>
                <w:lang w:bidi="ar"/>
              </w:rPr>
            </w:pPr>
          </w:p>
        </w:tc>
        <w:tc>
          <w:tcPr>
            <w:tcW w:w="1056" w:type="dxa"/>
            <w:noWrap w:val="0"/>
            <w:vAlign w:val="center"/>
          </w:tcPr>
          <w:p w14:paraId="2D5656C5">
            <w:pPr>
              <w:pStyle w:val="50"/>
              <w:ind w:firstLine="240"/>
              <w:rPr>
                <w:rFonts w:hint="default" w:ascii="Times New Roman" w:hAnsi="Times New Roman" w:cs="Times New Roman"/>
                <w:color w:val="auto"/>
                <w:kern w:val="2"/>
                <w:sz w:val="24"/>
                <w:szCs w:val="24"/>
                <w:highlight w:val="none"/>
                <w:lang w:bidi="ar"/>
              </w:rPr>
            </w:pPr>
          </w:p>
        </w:tc>
      </w:tr>
      <w:tr w14:paraId="3B3D41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43" w:type="dxa"/>
            <w:noWrap w:val="0"/>
            <w:vAlign w:val="center"/>
          </w:tcPr>
          <w:p w14:paraId="194E232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Cs/>
                <w:color w:val="auto"/>
                <w:sz w:val="24"/>
                <w:highlight w:val="none"/>
                <w:lang w:bidi="ar"/>
              </w:rPr>
            </w:pPr>
            <w:r>
              <w:rPr>
                <w:rFonts w:hint="eastAsia" w:ascii="Times New Roman" w:hAnsi="Times New Roman" w:cs="Times New Roman"/>
                <w:bCs/>
                <w:color w:val="auto"/>
                <w:sz w:val="24"/>
                <w:highlight w:val="none"/>
              </w:rPr>
              <w:t>1</w:t>
            </w:r>
          </w:p>
        </w:tc>
        <w:tc>
          <w:tcPr>
            <w:tcW w:w="1927" w:type="dxa"/>
            <w:noWrap w:val="0"/>
            <w:vAlign w:val="center"/>
          </w:tcPr>
          <w:p w14:paraId="7B96504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color w:val="auto"/>
                <w:sz w:val="24"/>
                <w:highlight w:val="none"/>
                <w:lang w:val="en-US" w:eastAsia="zh-CN" w:bidi="ar"/>
              </w:rPr>
            </w:pPr>
            <w:r>
              <w:rPr>
                <w:rFonts w:hint="eastAsia" w:cs="Times New Roman"/>
                <w:color w:val="auto"/>
                <w:highlight w:val="none"/>
                <w:lang w:val="en-US" w:eastAsia="zh-CN"/>
              </w:rPr>
              <w:t>遥控器</w:t>
            </w:r>
          </w:p>
        </w:tc>
        <w:tc>
          <w:tcPr>
            <w:tcW w:w="1284" w:type="dxa"/>
            <w:noWrap w:val="0"/>
            <w:vAlign w:val="center"/>
          </w:tcPr>
          <w:p w14:paraId="029ADAD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981" w:type="dxa"/>
            <w:noWrap w:val="0"/>
            <w:vAlign w:val="center"/>
          </w:tcPr>
          <w:p w14:paraId="1750FCC5">
            <w:pPr>
              <w:keepNext w:val="0"/>
              <w:keepLines w:val="0"/>
              <w:suppressLineNumbers w:val="0"/>
              <w:spacing w:before="0" w:beforeAutospacing="0" w:after="0" w:afterAutospacing="0" w:line="360" w:lineRule="auto"/>
              <w:ind w:left="0" w:right="0"/>
              <w:jc w:val="both"/>
              <w:rPr>
                <w:rFonts w:hint="default" w:ascii="Times New Roman" w:hAnsi="Times New Roman" w:cs="Times New Roman"/>
                <w:color w:val="auto"/>
                <w:sz w:val="24"/>
                <w:highlight w:val="none"/>
                <w:lang w:bidi="ar"/>
              </w:rPr>
            </w:pPr>
          </w:p>
        </w:tc>
        <w:tc>
          <w:tcPr>
            <w:tcW w:w="1185" w:type="dxa"/>
            <w:noWrap w:val="0"/>
            <w:vAlign w:val="center"/>
          </w:tcPr>
          <w:p w14:paraId="47FE525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1185" w:type="dxa"/>
            <w:noWrap w:val="0"/>
            <w:vAlign w:val="center"/>
          </w:tcPr>
          <w:p w14:paraId="1E4F36B4">
            <w:pPr>
              <w:pStyle w:val="50"/>
              <w:ind w:firstLine="240"/>
              <w:rPr>
                <w:rFonts w:hint="default" w:ascii="Times New Roman" w:hAnsi="Times New Roman" w:cs="Times New Roman"/>
                <w:color w:val="auto"/>
                <w:kern w:val="2"/>
                <w:sz w:val="24"/>
                <w:szCs w:val="24"/>
                <w:highlight w:val="none"/>
                <w:lang w:bidi="ar"/>
              </w:rPr>
            </w:pPr>
          </w:p>
        </w:tc>
        <w:tc>
          <w:tcPr>
            <w:tcW w:w="1056" w:type="dxa"/>
            <w:noWrap w:val="0"/>
            <w:vAlign w:val="center"/>
          </w:tcPr>
          <w:p w14:paraId="00570002">
            <w:pPr>
              <w:pStyle w:val="50"/>
              <w:ind w:firstLine="240"/>
              <w:rPr>
                <w:rFonts w:hint="default" w:ascii="Times New Roman" w:hAnsi="Times New Roman" w:cs="Times New Roman"/>
                <w:color w:val="auto"/>
                <w:kern w:val="2"/>
                <w:sz w:val="24"/>
                <w:szCs w:val="24"/>
                <w:highlight w:val="none"/>
                <w:lang w:bidi="ar"/>
              </w:rPr>
            </w:pPr>
          </w:p>
        </w:tc>
      </w:tr>
      <w:tr w14:paraId="5B232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43" w:type="dxa"/>
            <w:noWrap w:val="0"/>
            <w:vAlign w:val="center"/>
          </w:tcPr>
          <w:p w14:paraId="44D62817">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bCs/>
                <w:color w:val="auto"/>
                <w:sz w:val="24"/>
                <w:highlight w:val="none"/>
                <w:lang w:bidi="ar"/>
              </w:rPr>
            </w:pPr>
            <w:r>
              <w:rPr>
                <w:rFonts w:hint="eastAsia" w:ascii="Times New Roman" w:hAnsi="Times New Roman" w:cs="Times New Roman"/>
                <w:bCs/>
                <w:color w:val="auto"/>
                <w:sz w:val="24"/>
                <w:highlight w:val="none"/>
                <w:lang w:bidi="ar"/>
              </w:rPr>
              <w:t>2</w:t>
            </w:r>
          </w:p>
        </w:tc>
        <w:tc>
          <w:tcPr>
            <w:tcW w:w="1927" w:type="dxa"/>
            <w:noWrap w:val="0"/>
            <w:vAlign w:val="top"/>
          </w:tcPr>
          <w:p w14:paraId="7AA4E66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sz w:val="24"/>
                <w:highlight w:val="none"/>
                <w:lang w:bidi="ar"/>
              </w:rPr>
            </w:pPr>
          </w:p>
        </w:tc>
        <w:tc>
          <w:tcPr>
            <w:tcW w:w="1284" w:type="dxa"/>
            <w:noWrap w:val="0"/>
            <w:vAlign w:val="top"/>
          </w:tcPr>
          <w:p w14:paraId="5B4325C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981" w:type="dxa"/>
            <w:noWrap w:val="0"/>
            <w:vAlign w:val="top"/>
          </w:tcPr>
          <w:p w14:paraId="28CDBD9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1185" w:type="dxa"/>
            <w:noWrap w:val="0"/>
            <w:vAlign w:val="top"/>
          </w:tcPr>
          <w:p w14:paraId="138F315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1185" w:type="dxa"/>
            <w:noWrap w:val="0"/>
            <w:vAlign w:val="center"/>
          </w:tcPr>
          <w:p w14:paraId="220A07BD">
            <w:pPr>
              <w:pStyle w:val="50"/>
              <w:ind w:firstLine="240"/>
              <w:rPr>
                <w:rFonts w:hint="default" w:ascii="Times New Roman" w:hAnsi="Times New Roman" w:cs="Times New Roman"/>
                <w:color w:val="auto"/>
                <w:kern w:val="2"/>
                <w:sz w:val="24"/>
                <w:szCs w:val="24"/>
                <w:highlight w:val="none"/>
                <w:lang w:bidi="ar"/>
              </w:rPr>
            </w:pPr>
          </w:p>
        </w:tc>
        <w:tc>
          <w:tcPr>
            <w:tcW w:w="1056" w:type="dxa"/>
            <w:noWrap w:val="0"/>
            <w:vAlign w:val="center"/>
          </w:tcPr>
          <w:p w14:paraId="42CCC115">
            <w:pPr>
              <w:pStyle w:val="50"/>
              <w:ind w:firstLine="240"/>
              <w:rPr>
                <w:rFonts w:hint="default" w:ascii="Times New Roman" w:hAnsi="Times New Roman" w:cs="Times New Roman"/>
                <w:color w:val="auto"/>
                <w:kern w:val="2"/>
                <w:sz w:val="24"/>
                <w:szCs w:val="24"/>
                <w:highlight w:val="none"/>
                <w:lang w:bidi="ar"/>
              </w:rPr>
            </w:pPr>
          </w:p>
        </w:tc>
      </w:tr>
      <w:tr w14:paraId="6DF54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43" w:type="dxa"/>
            <w:noWrap w:val="0"/>
            <w:vAlign w:val="center"/>
          </w:tcPr>
          <w:p w14:paraId="79021F70">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Cs/>
                <w:color w:val="auto"/>
                <w:sz w:val="24"/>
                <w:highlight w:val="none"/>
                <w:lang w:val="en-US" w:eastAsia="zh-CN" w:bidi="ar"/>
              </w:rPr>
            </w:pPr>
            <w:bookmarkStart w:id="165" w:name="_Toc27567"/>
            <w:bookmarkStart w:id="166" w:name="_Toc24976"/>
            <w:bookmarkStart w:id="167" w:name="_Toc5472"/>
            <w:bookmarkStart w:id="168" w:name="_Toc4089"/>
            <w:bookmarkStart w:id="169" w:name="_Toc2899"/>
            <w:bookmarkStart w:id="170" w:name="_Toc4609"/>
            <w:r>
              <w:rPr>
                <w:rFonts w:hint="eastAsia" w:cs="Times New Roman"/>
                <w:bCs/>
                <w:color w:val="auto"/>
                <w:sz w:val="24"/>
                <w:highlight w:val="none"/>
                <w:lang w:val="en-US" w:eastAsia="zh-CN" w:bidi="ar"/>
              </w:rPr>
              <w:t>三</w:t>
            </w:r>
          </w:p>
        </w:tc>
        <w:tc>
          <w:tcPr>
            <w:tcW w:w="1927" w:type="dxa"/>
            <w:noWrap w:val="0"/>
            <w:vAlign w:val="top"/>
          </w:tcPr>
          <w:p w14:paraId="41A2401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color w:val="auto"/>
                <w:sz w:val="24"/>
                <w:highlight w:val="none"/>
                <w:lang w:val="en-US" w:eastAsia="zh-CN" w:bidi="ar"/>
              </w:rPr>
            </w:pPr>
            <w:r>
              <w:rPr>
                <w:rFonts w:hint="eastAsia" w:cs="Times New Roman"/>
                <w:b/>
                <w:color w:val="auto"/>
                <w:sz w:val="24"/>
                <w:highlight w:val="none"/>
                <w:lang w:val="en-US" w:eastAsia="zh-CN" w:bidi="ar"/>
              </w:rPr>
              <w:t>机械部分</w:t>
            </w:r>
          </w:p>
        </w:tc>
        <w:tc>
          <w:tcPr>
            <w:tcW w:w="1284" w:type="dxa"/>
            <w:noWrap w:val="0"/>
            <w:vAlign w:val="top"/>
          </w:tcPr>
          <w:p w14:paraId="0F96564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981" w:type="dxa"/>
            <w:noWrap w:val="0"/>
            <w:vAlign w:val="top"/>
          </w:tcPr>
          <w:p w14:paraId="6B6492E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1185" w:type="dxa"/>
            <w:noWrap w:val="0"/>
            <w:vAlign w:val="top"/>
          </w:tcPr>
          <w:p w14:paraId="36038E3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1185" w:type="dxa"/>
            <w:noWrap w:val="0"/>
            <w:vAlign w:val="center"/>
          </w:tcPr>
          <w:p w14:paraId="5EDC5F7A">
            <w:pPr>
              <w:pStyle w:val="50"/>
              <w:ind w:firstLine="240"/>
              <w:rPr>
                <w:rFonts w:hint="default" w:ascii="Times New Roman" w:hAnsi="Times New Roman" w:cs="Times New Roman"/>
                <w:color w:val="auto"/>
                <w:kern w:val="2"/>
                <w:sz w:val="24"/>
                <w:szCs w:val="24"/>
                <w:highlight w:val="none"/>
                <w:lang w:bidi="ar"/>
              </w:rPr>
            </w:pPr>
          </w:p>
        </w:tc>
        <w:tc>
          <w:tcPr>
            <w:tcW w:w="1056" w:type="dxa"/>
            <w:noWrap w:val="0"/>
            <w:vAlign w:val="center"/>
          </w:tcPr>
          <w:p w14:paraId="73528973">
            <w:pPr>
              <w:pStyle w:val="50"/>
              <w:ind w:firstLine="240"/>
              <w:rPr>
                <w:rFonts w:hint="default" w:ascii="Times New Roman" w:hAnsi="Times New Roman" w:cs="Times New Roman"/>
                <w:color w:val="auto"/>
                <w:kern w:val="2"/>
                <w:sz w:val="24"/>
                <w:szCs w:val="24"/>
                <w:highlight w:val="none"/>
                <w:lang w:bidi="ar"/>
              </w:rPr>
            </w:pPr>
          </w:p>
        </w:tc>
      </w:tr>
      <w:tr w14:paraId="6A6F4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43" w:type="dxa"/>
            <w:noWrap w:val="0"/>
            <w:vAlign w:val="center"/>
          </w:tcPr>
          <w:p w14:paraId="5641FB95">
            <w:pPr>
              <w:keepNext w:val="0"/>
              <w:keepLines w:val="0"/>
              <w:suppressLineNumbers w:val="0"/>
              <w:spacing w:before="0" w:beforeAutospacing="0" w:after="0" w:afterAutospacing="0" w:line="360" w:lineRule="auto"/>
              <w:ind w:left="0" w:right="0"/>
              <w:jc w:val="center"/>
              <w:rPr>
                <w:rFonts w:hint="default" w:cs="Times New Roman"/>
                <w:bCs/>
                <w:color w:val="auto"/>
                <w:sz w:val="24"/>
                <w:highlight w:val="none"/>
                <w:lang w:val="en-US" w:eastAsia="zh-CN" w:bidi="ar"/>
              </w:rPr>
            </w:pPr>
            <w:r>
              <w:rPr>
                <w:rFonts w:hint="eastAsia" w:cs="Times New Roman"/>
                <w:bCs/>
                <w:color w:val="auto"/>
                <w:sz w:val="24"/>
                <w:highlight w:val="none"/>
                <w:lang w:val="en-US" w:eastAsia="zh-CN" w:bidi="ar"/>
              </w:rPr>
              <w:t>1</w:t>
            </w:r>
          </w:p>
        </w:tc>
        <w:tc>
          <w:tcPr>
            <w:tcW w:w="1927" w:type="dxa"/>
            <w:noWrap w:val="0"/>
            <w:vAlign w:val="top"/>
          </w:tcPr>
          <w:p w14:paraId="5CC49B6A">
            <w:pPr>
              <w:keepNext w:val="0"/>
              <w:keepLines w:val="0"/>
              <w:suppressLineNumbers w:val="0"/>
              <w:spacing w:before="0" w:beforeAutospacing="0" w:after="0" w:afterAutospacing="0" w:line="360" w:lineRule="auto"/>
              <w:ind w:left="0" w:right="0"/>
              <w:jc w:val="center"/>
              <w:rPr>
                <w:rFonts w:hint="default" w:cs="Times New Roman"/>
                <w:b/>
                <w:color w:val="auto"/>
                <w:sz w:val="24"/>
                <w:highlight w:val="none"/>
                <w:lang w:val="en-US" w:eastAsia="zh-CN" w:bidi="ar"/>
              </w:rPr>
            </w:pPr>
            <w:r>
              <w:rPr>
                <w:rFonts w:hint="eastAsia" w:cs="Times New Roman"/>
                <w:b/>
                <w:color w:val="auto"/>
                <w:sz w:val="24"/>
                <w:highlight w:val="none"/>
                <w:lang w:val="en-US" w:eastAsia="zh-CN" w:bidi="ar"/>
              </w:rPr>
              <w:t>侧搅拌器机封更换专用工具</w:t>
            </w:r>
          </w:p>
        </w:tc>
        <w:tc>
          <w:tcPr>
            <w:tcW w:w="1284" w:type="dxa"/>
            <w:noWrap w:val="0"/>
            <w:vAlign w:val="top"/>
          </w:tcPr>
          <w:p w14:paraId="1B4F9BD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981" w:type="dxa"/>
            <w:noWrap w:val="0"/>
            <w:vAlign w:val="top"/>
          </w:tcPr>
          <w:p w14:paraId="4EE6A51A">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bidi="ar"/>
              </w:rPr>
            </w:pPr>
            <w:r>
              <w:rPr>
                <w:rFonts w:hint="eastAsia" w:cs="Times New Roman"/>
                <w:color w:val="auto"/>
                <w:sz w:val="24"/>
                <w:highlight w:val="none"/>
                <w:lang w:val="en-US" w:eastAsia="zh-CN" w:bidi="ar"/>
              </w:rPr>
              <w:t>套</w:t>
            </w:r>
          </w:p>
        </w:tc>
        <w:tc>
          <w:tcPr>
            <w:tcW w:w="1185" w:type="dxa"/>
            <w:noWrap w:val="0"/>
            <w:vAlign w:val="top"/>
          </w:tcPr>
          <w:p w14:paraId="4B561E2E">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sz w:val="24"/>
                <w:highlight w:val="none"/>
                <w:lang w:val="en-US" w:eastAsia="zh-CN" w:bidi="ar"/>
              </w:rPr>
            </w:pPr>
            <w:r>
              <w:rPr>
                <w:rFonts w:hint="eastAsia" w:cs="Times New Roman"/>
                <w:color w:val="auto"/>
                <w:sz w:val="24"/>
                <w:highlight w:val="none"/>
                <w:lang w:val="en-US" w:eastAsia="zh-CN" w:bidi="ar"/>
              </w:rPr>
              <w:t>1</w:t>
            </w:r>
          </w:p>
        </w:tc>
        <w:tc>
          <w:tcPr>
            <w:tcW w:w="1185" w:type="dxa"/>
            <w:noWrap w:val="0"/>
            <w:vAlign w:val="center"/>
          </w:tcPr>
          <w:p w14:paraId="37DB0CCD">
            <w:pPr>
              <w:pStyle w:val="50"/>
              <w:ind w:firstLine="240"/>
              <w:rPr>
                <w:rFonts w:hint="default" w:ascii="Times New Roman" w:hAnsi="Times New Roman" w:cs="Times New Roman"/>
                <w:color w:val="auto"/>
                <w:kern w:val="2"/>
                <w:sz w:val="24"/>
                <w:szCs w:val="24"/>
                <w:highlight w:val="none"/>
                <w:lang w:bidi="ar"/>
              </w:rPr>
            </w:pPr>
          </w:p>
        </w:tc>
        <w:tc>
          <w:tcPr>
            <w:tcW w:w="1056" w:type="dxa"/>
            <w:noWrap w:val="0"/>
            <w:vAlign w:val="center"/>
          </w:tcPr>
          <w:p w14:paraId="1474DA17">
            <w:pPr>
              <w:pStyle w:val="50"/>
              <w:ind w:firstLine="240"/>
              <w:rPr>
                <w:rFonts w:hint="default" w:ascii="Times New Roman" w:hAnsi="Times New Roman" w:cs="Times New Roman"/>
                <w:color w:val="auto"/>
                <w:kern w:val="2"/>
                <w:sz w:val="24"/>
                <w:szCs w:val="24"/>
                <w:highlight w:val="none"/>
                <w:lang w:bidi="ar"/>
              </w:rPr>
            </w:pPr>
          </w:p>
        </w:tc>
      </w:tr>
      <w:tr w14:paraId="5E10C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43" w:type="dxa"/>
            <w:noWrap w:val="0"/>
            <w:vAlign w:val="center"/>
          </w:tcPr>
          <w:p w14:paraId="70C1A91E">
            <w:pPr>
              <w:keepNext w:val="0"/>
              <w:keepLines w:val="0"/>
              <w:suppressLineNumbers w:val="0"/>
              <w:spacing w:before="0" w:beforeAutospacing="0" w:after="0" w:afterAutospacing="0" w:line="360" w:lineRule="auto"/>
              <w:ind w:left="0" w:right="0"/>
              <w:jc w:val="center"/>
              <w:rPr>
                <w:rFonts w:hint="eastAsia" w:cs="Times New Roman"/>
                <w:bCs/>
                <w:color w:val="auto"/>
                <w:sz w:val="24"/>
                <w:highlight w:val="none"/>
                <w:lang w:val="en-US" w:eastAsia="zh-CN" w:bidi="ar"/>
              </w:rPr>
            </w:pPr>
          </w:p>
        </w:tc>
        <w:tc>
          <w:tcPr>
            <w:tcW w:w="1927" w:type="dxa"/>
            <w:noWrap w:val="0"/>
            <w:vAlign w:val="top"/>
          </w:tcPr>
          <w:p w14:paraId="390C8345">
            <w:pPr>
              <w:keepNext w:val="0"/>
              <w:keepLines w:val="0"/>
              <w:suppressLineNumbers w:val="0"/>
              <w:spacing w:before="0" w:beforeAutospacing="0" w:after="0" w:afterAutospacing="0" w:line="360" w:lineRule="auto"/>
              <w:ind w:left="0" w:right="0"/>
              <w:jc w:val="center"/>
              <w:rPr>
                <w:rFonts w:hint="eastAsia" w:cs="Times New Roman"/>
                <w:b/>
                <w:color w:val="auto"/>
                <w:sz w:val="24"/>
                <w:highlight w:val="none"/>
                <w:lang w:val="en-US" w:eastAsia="zh-CN" w:bidi="ar"/>
              </w:rPr>
            </w:pPr>
          </w:p>
        </w:tc>
        <w:tc>
          <w:tcPr>
            <w:tcW w:w="1284" w:type="dxa"/>
            <w:noWrap w:val="0"/>
            <w:vAlign w:val="top"/>
          </w:tcPr>
          <w:p w14:paraId="6C89D98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981" w:type="dxa"/>
            <w:noWrap w:val="0"/>
            <w:vAlign w:val="top"/>
          </w:tcPr>
          <w:p w14:paraId="7402289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1185" w:type="dxa"/>
            <w:noWrap w:val="0"/>
            <w:vAlign w:val="top"/>
          </w:tcPr>
          <w:p w14:paraId="4E5A89E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lang w:bidi="ar"/>
              </w:rPr>
            </w:pPr>
          </w:p>
        </w:tc>
        <w:tc>
          <w:tcPr>
            <w:tcW w:w="1185" w:type="dxa"/>
            <w:noWrap w:val="0"/>
            <w:vAlign w:val="center"/>
          </w:tcPr>
          <w:p w14:paraId="02221A9A">
            <w:pPr>
              <w:pStyle w:val="50"/>
              <w:ind w:firstLine="240"/>
              <w:rPr>
                <w:rFonts w:hint="default" w:ascii="Times New Roman" w:hAnsi="Times New Roman" w:cs="Times New Roman"/>
                <w:color w:val="auto"/>
                <w:kern w:val="2"/>
                <w:sz w:val="24"/>
                <w:szCs w:val="24"/>
                <w:highlight w:val="none"/>
                <w:lang w:bidi="ar"/>
              </w:rPr>
            </w:pPr>
          </w:p>
        </w:tc>
        <w:tc>
          <w:tcPr>
            <w:tcW w:w="1056" w:type="dxa"/>
            <w:noWrap w:val="0"/>
            <w:vAlign w:val="center"/>
          </w:tcPr>
          <w:p w14:paraId="02A5337F">
            <w:pPr>
              <w:pStyle w:val="50"/>
              <w:ind w:firstLine="240"/>
              <w:rPr>
                <w:rFonts w:hint="default" w:ascii="Times New Roman" w:hAnsi="Times New Roman" w:cs="Times New Roman"/>
                <w:color w:val="auto"/>
                <w:kern w:val="2"/>
                <w:sz w:val="24"/>
                <w:szCs w:val="24"/>
                <w:highlight w:val="none"/>
                <w:lang w:bidi="ar"/>
              </w:rPr>
            </w:pPr>
          </w:p>
        </w:tc>
      </w:tr>
    </w:tbl>
    <w:p w14:paraId="509CF8E6">
      <w:pPr>
        <w:pStyle w:val="3"/>
        <w:spacing w:before="120" w:after="120"/>
        <w:rPr>
          <w:rFonts w:hint="default" w:ascii="Times New Roman" w:hAnsi="Times New Roman" w:eastAsia="宋体"/>
          <w:color w:val="auto"/>
          <w:sz w:val="28"/>
          <w:szCs w:val="28"/>
          <w:highlight w:val="none"/>
        </w:rPr>
      </w:pPr>
      <w:r>
        <w:rPr>
          <w:rFonts w:hint="default" w:ascii="Times New Roman" w:hAnsi="Times New Roman" w:eastAsia="宋体"/>
          <w:color w:val="auto"/>
          <w:sz w:val="28"/>
          <w:szCs w:val="28"/>
          <w:highlight w:val="none"/>
        </w:rPr>
        <w:t>3服务范围</w:t>
      </w:r>
      <w:bookmarkEnd w:id="164"/>
      <w:bookmarkEnd w:id="165"/>
      <w:bookmarkEnd w:id="166"/>
      <w:bookmarkEnd w:id="167"/>
      <w:bookmarkEnd w:id="168"/>
      <w:bookmarkEnd w:id="169"/>
      <w:bookmarkEnd w:id="170"/>
    </w:p>
    <w:p w14:paraId="7F4C0A51">
      <w:pPr>
        <w:spacing w:line="360" w:lineRule="auto"/>
        <w:outlineLvl w:val="2"/>
        <w:rPr>
          <w:b/>
          <w:color w:val="auto"/>
          <w:sz w:val="24"/>
          <w:highlight w:val="none"/>
        </w:rPr>
      </w:pPr>
      <w:r>
        <w:rPr>
          <w:b/>
          <w:color w:val="auto"/>
          <w:sz w:val="24"/>
          <w:highlight w:val="none"/>
        </w:rPr>
        <w:t>3.1 概述</w:t>
      </w:r>
    </w:p>
    <w:p w14:paraId="644613B2">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应在本协议规定的工期内按技术协议要求负责工程设计、供货</w:t>
      </w:r>
      <w:r>
        <w:rPr>
          <w:rFonts w:hint="eastAsia"/>
          <w:color w:val="auto"/>
          <w:sz w:val="24"/>
          <w:highlight w:val="none"/>
          <w:lang w:eastAsia="zh-CN"/>
        </w:rPr>
        <w:t>、</w:t>
      </w:r>
      <w:r>
        <w:rPr>
          <w:rFonts w:hint="eastAsia"/>
          <w:color w:val="auto"/>
          <w:sz w:val="24"/>
          <w:highlight w:val="none"/>
          <w:lang w:val="en-US" w:eastAsia="zh-CN"/>
        </w:rPr>
        <w:t>施工</w:t>
      </w:r>
      <w:r>
        <w:rPr>
          <w:color w:val="auto"/>
          <w:sz w:val="24"/>
          <w:highlight w:val="none"/>
        </w:rPr>
        <w:t>，范围包括本工程烟气脱硫系统的</w:t>
      </w:r>
      <w:r>
        <w:rPr>
          <w:rFonts w:hint="eastAsia"/>
          <w:color w:val="auto"/>
          <w:sz w:val="24"/>
          <w:highlight w:val="none"/>
          <w:lang w:eastAsia="zh-CN"/>
        </w:rPr>
        <w:t>投标方</w:t>
      </w:r>
      <w:r>
        <w:rPr>
          <w:color w:val="auto"/>
          <w:sz w:val="24"/>
          <w:highlight w:val="none"/>
        </w:rPr>
        <w:t>所供设备范围内的设备及材料供货、运输、技术服务、人员培训及设备消缺、整套系统的性能保证的考核验收</w:t>
      </w:r>
      <w:r>
        <w:rPr>
          <w:rFonts w:hint="eastAsia"/>
          <w:color w:val="auto"/>
          <w:sz w:val="24"/>
          <w:highlight w:val="none"/>
          <w:lang w:val="en-US" w:eastAsia="zh-CN"/>
        </w:rPr>
        <w:t>及调试</w:t>
      </w:r>
      <w:r>
        <w:rPr>
          <w:color w:val="auto"/>
          <w:sz w:val="24"/>
          <w:highlight w:val="none"/>
        </w:rPr>
        <w:t>配合。</w:t>
      </w:r>
    </w:p>
    <w:p w14:paraId="29DDAA3B">
      <w:pPr>
        <w:adjustRightInd w:val="0"/>
        <w:snapToGrid w:val="0"/>
        <w:spacing w:line="360" w:lineRule="auto"/>
        <w:ind w:firstLine="480" w:firstLineChars="200"/>
        <w:rPr>
          <w:color w:val="auto"/>
          <w:sz w:val="24"/>
          <w:highlight w:val="none"/>
        </w:rPr>
      </w:pPr>
      <w:r>
        <w:rPr>
          <w:color w:val="auto"/>
          <w:sz w:val="24"/>
          <w:highlight w:val="none"/>
        </w:rPr>
        <w:t>在符合上述原则的前提下，</w:t>
      </w:r>
      <w:r>
        <w:rPr>
          <w:rFonts w:hint="eastAsia"/>
          <w:color w:val="auto"/>
          <w:sz w:val="24"/>
          <w:highlight w:val="none"/>
          <w:lang w:eastAsia="zh-CN"/>
        </w:rPr>
        <w:t>投标方</w:t>
      </w:r>
      <w:r>
        <w:rPr>
          <w:color w:val="auto"/>
          <w:sz w:val="24"/>
          <w:highlight w:val="none"/>
        </w:rPr>
        <w:t>应负责：</w:t>
      </w:r>
    </w:p>
    <w:p w14:paraId="297D98E9">
      <w:pPr>
        <w:adjustRightInd w:val="0"/>
        <w:snapToGrid w:val="0"/>
        <w:spacing w:line="360" w:lineRule="auto"/>
        <w:ind w:firstLine="480" w:firstLineChars="200"/>
        <w:rPr>
          <w:color w:val="auto"/>
          <w:sz w:val="24"/>
          <w:highlight w:val="none"/>
        </w:rPr>
      </w:pPr>
      <w:r>
        <w:rPr>
          <w:color w:val="auto"/>
          <w:sz w:val="24"/>
          <w:highlight w:val="none"/>
        </w:rPr>
        <w:t>（</w:t>
      </w:r>
      <w:r>
        <w:rPr>
          <w:rFonts w:hint="eastAsia"/>
          <w:color w:val="auto"/>
          <w:sz w:val="24"/>
          <w:highlight w:val="none"/>
        </w:rPr>
        <w:t>1</w:t>
      </w:r>
      <w:r>
        <w:rPr>
          <w:color w:val="auto"/>
          <w:sz w:val="24"/>
          <w:highlight w:val="none"/>
        </w:rPr>
        <w:t>）确定供货范围内供应的设备、材料、设施、工具和采用的加工工艺及技术。</w:t>
      </w:r>
    </w:p>
    <w:p w14:paraId="64F15FCC">
      <w:pPr>
        <w:adjustRightInd w:val="0"/>
        <w:snapToGrid w:val="0"/>
        <w:spacing w:line="360" w:lineRule="auto"/>
        <w:ind w:firstLine="480" w:firstLineChars="200"/>
        <w:rPr>
          <w:color w:val="auto"/>
          <w:sz w:val="24"/>
          <w:highlight w:val="none"/>
        </w:rPr>
      </w:pPr>
      <w:r>
        <w:rPr>
          <w:color w:val="auto"/>
          <w:sz w:val="24"/>
          <w:highlight w:val="none"/>
        </w:rPr>
        <w:t>（</w:t>
      </w:r>
      <w:r>
        <w:rPr>
          <w:rFonts w:hint="eastAsia"/>
          <w:color w:val="auto"/>
          <w:sz w:val="24"/>
          <w:highlight w:val="none"/>
        </w:rPr>
        <w:t>2</w:t>
      </w:r>
      <w:r>
        <w:rPr>
          <w:color w:val="auto"/>
          <w:sz w:val="24"/>
          <w:highlight w:val="none"/>
        </w:rPr>
        <w:t>）采购设备、材料、设施、机具以及其他物品。</w:t>
      </w:r>
    </w:p>
    <w:p w14:paraId="3779AB2D">
      <w:pPr>
        <w:adjustRightInd w:val="0"/>
        <w:snapToGrid w:val="0"/>
        <w:spacing w:line="360" w:lineRule="auto"/>
        <w:ind w:firstLine="480" w:firstLineChars="200"/>
        <w:rPr>
          <w:color w:val="auto"/>
          <w:sz w:val="24"/>
          <w:highlight w:val="none"/>
        </w:rPr>
      </w:pPr>
      <w:r>
        <w:rPr>
          <w:color w:val="auto"/>
          <w:sz w:val="24"/>
          <w:highlight w:val="none"/>
        </w:rPr>
        <w:t>（3）把设备、材料、设施、机具以及其它货物运输到项目场地</w:t>
      </w:r>
      <w:r>
        <w:rPr>
          <w:rFonts w:hint="eastAsia"/>
          <w:color w:val="auto"/>
          <w:sz w:val="24"/>
          <w:highlight w:val="none"/>
          <w:lang w:val="en-US" w:eastAsia="zh-CN"/>
        </w:rPr>
        <w:t>并装卸、保管</w:t>
      </w:r>
      <w:r>
        <w:rPr>
          <w:color w:val="auto"/>
          <w:sz w:val="24"/>
          <w:highlight w:val="none"/>
        </w:rPr>
        <w:t>。</w:t>
      </w:r>
    </w:p>
    <w:p w14:paraId="32A6A505">
      <w:pPr>
        <w:adjustRightInd w:val="0"/>
        <w:snapToGrid w:val="0"/>
        <w:spacing w:line="360" w:lineRule="auto"/>
        <w:ind w:firstLine="480" w:firstLineChars="200"/>
        <w:rPr>
          <w:color w:val="auto"/>
          <w:sz w:val="24"/>
          <w:highlight w:val="none"/>
        </w:rPr>
      </w:pPr>
      <w:r>
        <w:rPr>
          <w:color w:val="auto"/>
          <w:sz w:val="24"/>
          <w:highlight w:val="none"/>
        </w:rPr>
        <w:t>（4）按本协议规定进行试验、调试、校正和修理及配合性能验收试验。</w:t>
      </w:r>
    </w:p>
    <w:p w14:paraId="7E81E411">
      <w:pPr>
        <w:adjustRightInd w:val="0"/>
        <w:snapToGrid w:val="0"/>
        <w:spacing w:line="360" w:lineRule="auto"/>
        <w:ind w:firstLine="480" w:firstLineChars="200"/>
        <w:rPr>
          <w:color w:val="auto"/>
          <w:sz w:val="24"/>
          <w:highlight w:val="none"/>
        </w:rPr>
      </w:pPr>
      <w:r>
        <w:rPr>
          <w:color w:val="auto"/>
          <w:sz w:val="24"/>
          <w:highlight w:val="none"/>
        </w:rPr>
        <w:t>（5）在机组的质量保证期内，对因</w:t>
      </w:r>
      <w:r>
        <w:rPr>
          <w:rFonts w:hint="eastAsia"/>
          <w:color w:val="auto"/>
          <w:sz w:val="24"/>
          <w:highlight w:val="none"/>
          <w:lang w:eastAsia="zh-CN"/>
        </w:rPr>
        <w:t>投标方</w:t>
      </w:r>
      <w:r>
        <w:rPr>
          <w:color w:val="auto"/>
          <w:sz w:val="24"/>
          <w:highlight w:val="none"/>
        </w:rPr>
        <w:t>原因造成的缺陷的补救提供缺陷补救所需要的人员和设备、材料或其他物品。</w:t>
      </w:r>
    </w:p>
    <w:p w14:paraId="5733C958">
      <w:pPr>
        <w:adjustRightInd w:val="0"/>
        <w:snapToGrid w:val="0"/>
        <w:spacing w:line="360" w:lineRule="auto"/>
        <w:ind w:firstLine="480" w:firstLineChars="200"/>
        <w:rPr>
          <w:color w:val="auto"/>
          <w:sz w:val="24"/>
          <w:highlight w:val="none"/>
        </w:rPr>
      </w:pPr>
      <w:r>
        <w:rPr>
          <w:color w:val="auto"/>
          <w:sz w:val="24"/>
          <w:highlight w:val="none"/>
        </w:rPr>
        <w:t>（6）提供设备采购合同项下的生产备品备件和剩余的消耗性材料、设备竣工图纸和运行与维护手册说明书、技术规范等。</w:t>
      </w:r>
    </w:p>
    <w:p w14:paraId="1BA32DDF">
      <w:pPr>
        <w:spacing w:line="360" w:lineRule="auto"/>
        <w:outlineLvl w:val="2"/>
        <w:rPr>
          <w:b/>
          <w:color w:val="auto"/>
          <w:sz w:val="24"/>
          <w:highlight w:val="none"/>
        </w:rPr>
      </w:pPr>
      <w:r>
        <w:rPr>
          <w:b/>
          <w:color w:val="auto"/>
          <w:sz w:val="24"/>
          <w:highlight w:val="none"/>
        </w:rPr>
        <w:t>3.2设计</w:t>
      </w:r>
    </w:p>
    <w:p w14:paraId="4CE89C61">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应负责提供本协议项目下所需的所有设计工作。包括：</w:t>
      </w:r>
    </w:p>
    <w:p w14:paraId="48BCE6D9">
      <w:pPr>
        <w:adjustRightInd w:val="0"/>
        <w:snapToGrid w:val="0"/>
        <w:spacing w:line="360" w:lineRule="auto"/>
        <w:ind w:firstLine="480" w:firstLineChars="200"/>
        <w:rPr>
          <w:color w:val="auto"/>
          <w:sz w:val="24"/>
          <w:highlight w:val="none"/>
        </w:rPr>
      </w:pPr>
      <w:r>
        <w:rPr>
          <w:color w:val="auto"/>
          <w:sz w:val="24"/>
          <w:highlight w:val="none"/>
        </w:rPr>
        <w:t>（</w:t>
      </w:r>
      <w:r>
        <w:rPr>
          <w:rFonts w:hint="eastAsia"/>
          <w:color w:val="auto"/>
          <w:sz w:val="24"/>
          <w:highlight w:val="none"/>
        </w:rPr>
        <w:t>1</w:t>
      </w:r>
      <w:r>
        <w:rPr>
          <w:color w:val="auto"/>
          <w:sz w:val="24"/>
          <w:highlight w:val="none"/>
        </w:rPr>
        <w:t>）</w:t>
      </w:r>
      <w:r>
        <w:rPr>
          <w:rFonts w:hint="eastAsia"/>
          <w:color w:val="auto"/>
          <w:sz w:val="24"/>
          <w:highlight w:val="none"/>
          <w:lang w:val="en-US" w:eastAsia="zh-CN"/>
        </w:rPr>
        <w:t>初步设计、</w:t>
      </w:r>
      <w:r>
        <w:rPr>
          <w:color w:val="auto"/>
          <w:sz w:val="24"/>
          <w:highlight w:val="none"/>
        </w:rPr>
        <w:t>施工图设计：</w:t>
      </w:r>
      <w:r>
        <w:rPr>
          <w:rFonts w:hint="eastAsia"/>
          <w:color w:val="auto"/>
          <w:sz w:val="24"/>
          <w:highlight w:val="none"/>
          <w:lang w:eastAsia="zh-CN"/>
        </w:rPr>
        <w:t>投标方</w:t>
      </w:r>
      <w:r>
        <w:rPr>
          <w:color w:val="auto"/>
          <w:sz w:val="24"/>
          <w:highlight w:val="none"/>
        </w:rPr>
        <w:t>应按照施工进度的要求，进行</w:t>
      </w:r>
      <w:r>
        <w:rPr>
          <w:rFonts w:hint="eastAsia"/>
          <w:color w:val="auto"/>
          <w:sz w:val="24"/>
          <w:highlight w:val="none"/>
          <w:lang w:val="en-US" w:eastAsia="zh-CN"/>
        </w:rPr>
        <w:t>初步设计、</w:t>
      </w:r>
      <w:r>
        <w:rPr>
          <w:color w:val="auto"/>
          <w:sz w:val="24"/>
          <w:highlight w:val="none"/>
        </w:rPr>
        <w:t>施工图设计；</w:t>
      </w:r>
    </w:p>
    <w:p w14:paraId="4E31D358">
      <w:pPr>
        <w:adjustRightInd w:val="0"/>
        <w:snapToGrid w:val="0"/>
        <w:spacing w:line="360" w:lineRule="auto"/>
        <w:ind w:firstLine="480" w:firstLineChars="200"/>
        <w:rPr>
          <w:color w:val="auto"/>
          <w:sz w:val="24"/>
          <w:highlight w:val="none"/>
        </w:rPr>
      </w:pPr>
      <w:r>
        <w:rPr>
          <w:color w:val="auto"/>
          <w:sz w:val="24"/>
          <w:highlight w:val="none"/>
        </w:rPr>
        <w:t>（2）竣工资料：</w:t>
      </w:r>
      <w:r>
        <w:rPr>
          <w:rFonts w:hint="eastAsia"/>
          <w:color w:val="auto"/>
          <w:sz w:val="24"/>
          <w:highlight w:val="none"/>
          <w:lang w:eastAsia="zh-CN"/>
        </w:rPr>
        <w:t>投标方</w:t>
      </w:r>
      <w:r>
        <w:rPr>
          <w:color w:val="auto"/>
          <w:sz w:val="24"/>
          <w:highlight w:val="none"/>
        </w:rPr>
        <w:t>应按照法律及</w:t>
      </w:r>
      <w:r>
        <w:rPr>
          <w:rFonts w:hint="eastAsia"/>
          <w:color w:val="auto"/>
          <w:sz w:val="24"/>
          <w:highlight w:val="none"/>
          <w:lang w:eastAsia="zh-CN"/>
        </w:rPr>
        <w:t>招标方</w:t>
      </w:r>
      <w:r>
        <w:rPr>
          <w:color w:val="auto"/>
          <w:sz w:val="24"/>
          <w:highlight w:val="none"/>
        </w:rPr>
        <w:t>管理部门规定的要求编制本工程的竣工资料并提交给</w:t>
      </w:r>
      <w:r>
        <w:rPr>
          <w:rFonts w:hint="eastAsia"/>
          <w:color w:val="auto"/>
          <w:sz w:val="24"/>
          <w:highlight w:val="none"/>
          <w:lang w:eastAsia="zh-CN"/>
        </w:rPr>
        <w:t>招标方</w:t>
      </w:r>
      <w:r>
        <w:rPr>
          <w:color w:val="auto"/>
          <w:sz w:val="24"/>
          <w:highlight w:val="none"/>
        </w:rPr>
        <w:t>。</w:t>
      </w:r>
    </w:p>
    <w:p w14:paraId="7F1123EA">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在完成前述设计工作的任何一项或一部分后，应在随后的15日内将有关设计的依据、图纸及相关的技术资料提交给</w:t>
      </w:r>
      <w:r>
        <w:rPr>
          <w:rFonts w:hint="eastAsia"/>
          <w:color w:val="auto"/>
          <w:sz w:val="24"/>
          <w:highlight w:val="none"/>
          <w:lang w:eastAsia="zh-CN"/>
        </w:rPr>
        <w:t>招标方</w:t>
      </w:r>
      <w:r>
        <w:rPr>
          <w:color w:val="auto"/>
          <w:sz w:val="24"/>
          <w:highlight w:val="none"/>
        </w:rPr>
        <w:t>，如果</w:t>
      </w:r>
      <w:r>
        <w:rPr>
          <w:rFonts w:hint="eastAsia"/>
          <w:color w:val="auto"/>
          <w:sz w:val="24"/>
          <w:highlight w:val="none"/>
          <w:lang w:eastAsia="zh-CN"/>
        </w:rPr>
        <w:t>招标方</w:t>
      </w:r>
      <w:r>
        <w:rPr>
          <w:color w:val="auto"/>
          <w:sz w:val="24"/>
          <w:highlight w:val="none"/>
        </w:rPr>
        <w:t>要求，则</w:t>
      </w:r>
      <w:r>
        <w:rPr>
          <w:rFonts w:hint="eastAsia"/>
          <w:color w:val="auto"/>
          <w:sz w:val="24"/>
          <w:highlight w:val="none"/>
          <w:lang w:eastAsia="zh-CN"/>
        </w:rPr>
        <w:t>投标方</w:t>
      </w:r>
      <w:r>
        <w:rPr>
          <w:color w:val="auto"/>
          <w:sz w:val="24"/>
          <w:highlight w:val="none"/>
        </w:rPr>
        <w:t>还应提供有关设计的计算书。</w:t>
      </w:r>
      <w:r>
        <w:rPr>
          <w:rFonts w:hint="eastAsia"/>
          <w:color w:val="auto"/>
          <w:sz w:val="24"/>
          <w:highlight w:val="none"/>
          <w:lang w:eastAsia="zh-CN"/>
        </w:rPr>
        <w:t>招标方</w:t>
      </w:r>
      <w:r>
        <w:rPr>
          <w:color w:val="auto"/>
          <w:sz w:val="24"/>
          <w:highlight w:val="none"/>
        </w:rPr>
        <w:t>有权对施工设计提出建议和意见，但</w:t>
      </w:r>
      <w:r>
        <w:rPr>
          <w:rFonts w:hint="eastAsia"/>
          <w:color w:val="auto"/>
          <w:sz w:val="24"/>
          <w:highlight w:val="none"/>
          <w:lang w:eastAsia="zh-CN"/>
        </w:rPr>
        <w:t>招标方</w:t>
      </w:r>
      <w:r>
        <w:rPr>
          <w:color w:val="auto"/>
          <w:sz w:val="24"/>
          <w:highlight w:val="none"/>
        </w:rPr>
        <w:t>的此类建议和意见均不免除</w:t>
      </w:r>
      <w:r>
        <w:rPr>
          <w:rFonts w:hint="eastAsia"/>
          <w:color w:val="auto"/>
          <w:sz w:val="24"/>
          <w:highlight w:val="none"/>
          <w:lang w:eastAsia="zh-CN"/>
        </w:rPr>
        <w:t>投标方</w:t>
      </w:r>
      <w:r>
        <w:rPr>
          <w:color w:val="auto"/>
          <w:sz w:val="24"/>
          <w:highlight w:val="none"/>
        </w:rPr>
        <w:t>在本协议项下的任何责任和义务。</w:t>
      </w:r>
      <w:r>
        <w:rPr>
          <w:rFonts w:hint="eastAsia"/>
          <w:color w:val="auto"/>
          <w:sz w:val="24"/>
          <w:highlight w:val="none"/>
          <w:lang w:eastAsia="zh-CN"/>
        </w:rPr>
        <w:t>投标方</w:t>
      </w:r>
      <w:r>
        <w:rPr>
          <w:color w:val="auto"/>
          <w:sz w:val="24"/>
          <w:highlight w:val="none"/>
        </w:rPr>
        <w:t>应合理考虑</w:t>
      </w:r>
      <w:r>
        <w:rPr>
          <w:rFonts w:hint="eastAsia"/>
          <w:color w:val="auto"/>
          <w:sz w:val="24"/>
          <w:highlight w:val="none"/>
          <w:lang w:eastAsia="zh-CN"/>
        </w:rPr>
        <w:t>招标方</w:t>
      </w:r>
      <w:r>
        <w:rPr>
          <w:color w:val="auto"/>
          <w:sz w:val="24"/>
          <w:highlight w:val="none"/>
        </w:rPr>
        <w:t>提出的任何建议或意见。</w:t>
      </w:r>
    </w:p>
    <w:p w14:paraId="63835368">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提供的设计服务应符合有关设计优化的要求，使机组在安全、稳定、经济状态下运行，并使其性能达到最佳状态。</w:t>
      </w:r>
    </w:p>
    <w:p w14:paraId="338EF429">
      <w:pPr>
        <w:spacing w:line="360" w:lineRule="auto"/>
        <w:outlineLvl w:val="2"/>
        <w:rPr>
          <w:b/>
          <w:color w:val="auto"/>
          <w:sz w:val="24"/>
          <w:highlight w:val="none"/>
        </w:rPr>
      </w:pPr>
      <w:r>
        <w:rPr>
          <w:b/>
          <w:color w:val="auto"/>
          <w:sz w:val="24"/>
          <w:highlight w:val="none"/>
        </w:rPr>
        <w:t>3.3</w:t>
      </w:r>
      <w:r>
        <w:rPr>
          <w:b/>
          <w:color w:val="auto"/>
          <w:sz w:val="24"/>
          <w:highlight w:val="none"/>
        </w:rPr>
        <w:tab/>
      </w:r>
      <w:r>
        <w:rPr>
          <w:b/>
          <w:color w:val="auto"/>
          <w:sz w:val="24"/>
          <w:highlight w:val="none"/>
        </w:rPr>
        <w:t>采购及管理</w:t>
      </w:r>
    </w:p>
    <w:p w14:paraId="700C6A07">
      <w:pPr>
        <w:adjustRightInd w:val="0"/>
        <w:snapToGrid w:val="0"/>
        <w:spacing w:line="360" w:lineRule="auto"/>
        <w:ind w:firstLine="480" w:firstLineChars="200"/>
        <w:rPr>
          <w:color w:val="auto"/>
          <w:sz w:val="24"/>
          <w:highlight w:val="none"/>
        </w:rPr>
      </w:pPr>
      <w:r>
        <w:rPr>
          <w:color w:val="auto"/>
          <w:sz w:val="24"/>
          <w:highlight w:val="none"/>
        </w:rPr>
        <w:t>3.3.1</w:t>
      </w:r>
      <w:r>
        <w:rPr>
          <w:rFonts w:hint="eastAsia"/>
          <w:color w:val="auto"/>
          <w:sz w:val="24"/>
          <w:highlight w:val="none"/>
          <w:lang w:eastAsia="zh-CN"/>
        </w:rPr>
        <w:t>投标方</w:t>
      </w:r>
      <w:r>
        <w:rPr>
          <w:color w:val="auto"/>
          <w:sz w:val="24"/>
          <w:highlight w:val="none"/>
        </w:rPr>
        <w:t>对于设备材料采购合同应履行合理的权利和义务，包括：设计联络、工厂检验、催交、项目场地检验(压力容器的检测由</w:t>
      </w:r>
      <w:r>
        <w:rPr>
          <w:rFonts w:hint="eastAsia"/>
          <w:color w:val="auto"/>
          <w:sz w:val="24"/>
          <w:highlight w:val="none"/>
          <w:lang w:eastAsia="zh-CN"/>
        </w:rPr>
        <w:t>招标方</w:t>
      </w:r>
      <w:r>
        <w:rPr>
          <w:color w:val="auto"/>
          <w:sz w:val="24"/>
          <w:highlight w:val="none"/>
        </w:rPr>
        <w:t>负责)、索赔等。</w:t>
      </w:r>
    </w:p>
    <w:p w14:paraId="646B7C9A">
      <w:pPr>
        <w:adjustRightInd w:val="0"/>
        <w:snapToGrid w:val="0"/>
        <w:spacing w:line="360" w:lineRule="auto"/>
        <w:ind w:firstLine="480" w:firstLineChars="200"/>
        <w:rPr>
          <w:color w:val="auto"/>
          <w:sz w:val="24"/>
          <w:highlight w:val="none"/>
        </w:rPr>
      </w:pPr>
      <w:r>
        <w:rPr>
          <w:color w:val="auto"/>
          <w:sz w:val="24"/>
          <w:highlight w:val="none"/>
        </w:rPr>
        <w:t>对于本协议中的进口设备，</w:t>
      </w:r>
      <w:r>
        <w:rPr>
          <w:rFonts w:hint="eastAsia"/>
          <w:color w:val="auto"/>
          <w:sz w:val="24"/>
          <w:highlight w:val="none"/>
          <w:lang w:eastAsia="zh-CN"/>
        </w:rPr>
        <w:t>投标方</w:t>
      </w:r>
      <w:r>
        <w:rPr>
          <w:color w:val="auto"/>
          <w:sz w:val="24"/>
          <w:highlight w:val="none"/>
        </w:rPr>
        <w:t>应负责到项目场地为止的所有国内段运输及运输保险等事项。</w:t>
      </w:r>
    </w:p>
    <w:p w14:paraId="45023CE7">
      <w:pPr>
        <w:adjustRightInd w:val="0"/>
        <w:snapToGrid w:val="0"/>
        <w:spacing w:line="360" w:lineRule="auto"/>
        <w:ind w:firstLine="480" w:firstLineChars="200"/>
        <w:rPr>
          <w:color w:val="auto"/>
          <w:sz w:val="24"/>
          <w:highlight w:val="none"/>
        </w:rPr>
      </w:pPr>
      <w:r>
        <w:rPr>
          <w:color w:val="auto"/>
          <w:sz w:val="24"/>
          <w:highlight w:val="none"/>
        </w:rPr>
        <w:t>3.3.2</w:t>
      </w:r>
      <w:r>
        <w:rPr>
          <w:rFonts w:hint="eastAsia"/>
          <w:color w:val="auto"/>
          <w:sz w:val="24"/>
          <w:highlight w:val="none"/>
          <w:lang w:eastAsia="zh-CN"/>
        </w:rPr>
        <w:t>投标方</w:t>
      </w:r>
      <w:r>
        <w:rPr>
          <w:color w:val="auto"/>
          <w:sz w:val="24"/>
          <w:highlight w:val="none"/>
        </w:rPr>
        <w:t>履行其在本协议项下的服务所需的所有设备、材料、用品及其他服务，</w:t>
      </w:r>
      <w:r>
        <w:rPr>
          <w:rFonts w:hint="eastAsia"/>
          <w:color w:val="auto"/>
          <w:sz w:val="24"/>
          <w:highlight w:val="none"/>
          <w:lang w:eastAsia="zh-CN"/>
        </w:rPr>
        <w:t>投标方</w:t>
      </w:r>
      <w:r>
        <w:rPr>
          <w:color w:val="auto"/>
          <w:sz w:val="24"/>
          <w:highlight w:val="none"/>
        </w:rPr>
        <w:t>应以自己的名义采购，</w:t>
      </w:r>
      <w:r>
        <w:rPr>
          <w:rFonts w:hint="eastAsia"/>
          <w:color w:val="auto"/>
          <w:sz w:val="24"/>
          <w:highlight w:val="none"/>
          <w:lang w:eastAsia="zh-CN"/>
        </w:rPr>
        <w:t>投标方</w:t>
      </w:r>
      <w:r>
        <w:rPr>
          <w:color w:val="auto"/>
          <w:sz w:val="24"/>
          <w:highlight w:val="none"/>
        </w:rPr>
        <w:t>在此类本协议中的全部权利应按本协议的规定转让给</w:t>
      </w:r>
      <w:r>
        <w:rPr>
          <w:rFonts w:hint="eastAsia"/>
          <w:color w:val="auto"/>
          <w:sz w:val="24"/>
          <w:highlight w:val="none"/>
          <w:lang w:eastAsia="zh-CN"/>
        </w:rPr>
        <w:t>招标方</w:t>
      </w:r>
      <w:r>
        <w:rPr>
          <w:color w:val="auto"/>
          <w:sz w:val="24"/>
          <w:highlight w:val="none"/>
        </w:rPr>
        <w:t>。</w:t>
      </w:r>
    </w:p>
    <w:p w14:paraId="41AECE38">
      <w:pPr>
        <w:adjustRightInd w:val="0"/>
        <w:snapToGrid w:val="0"/>
        <w:spacing w:line="360" w:lineRule="auto"/>
        <w:ind w:firstLine="480" w:firstLineChars="200"/>
        <w:rPr>
          <w:color w:val="auto"/>
          <w:sz w:val="24"/>
          <w:highlight w:val="none"/>
        </w:rPr>
      </w:pPr>
      <w:r>
        <w:rPr>
          <w:color w:val="auto"/>
          <w:sz w:val="24"/>
          <w:highlight w:val="none"/>
        </w:rPr>
        <w:t>3.3.3</w:t>
      </w:r>
      <w:r>
        <w:rPr>
          <w:rFonts w:hint="eastAsia"/>
          <w:color w:val="auto"/>
          <w:sz w:val="24"/>
          <w:highlight w:val="none"/>
          <w:lang w:eastAsia="zh-CN"/>
        </w:rPr>
        <w:t>投标方</w:t>
      </w:r>
      <w:r>
        <w:rPr>
          <w:color w:val="auto"/>
          <w:sz w:val="24"/>
          <w:highlight w:val="none"/>
        </w:rPr>
        <w:t>应按照设备采购合同的规定，对所有重要设备进行工厂检验和监造。</w:t>
      </w:r>
    </w:p>
    <w:p w14:paraId="23C3CCF5">
      <w:pPr>
        <w:adjustRightInd w:val="0"/>
        <w:snapToGrid w:val="0"/>
        <w:spacing w:line="360" w:lineRule="auto"/>
        <w:ind w:firstLine="480" w:firstLineChars="200"/>
        <w:rPr>
          <w:color w:val="auto"/>
          <w:sz w:val="24"/>
          <w:highlight w:val="none"/>
        </w:rPr>
      </w:pPr>
      <w:r>
        <w:rPr>
          <w:color w:val="auto"/>
          <w:sz w:val="24"/>
          <w:highlight w:val="none"/>
        </w:rPr>
        <w:t>3.3.4</w:t>
      </w:r>
      <w:r>
        <w:rPr>
          <w:rFonts w:hint="eastAsia"/>
          <w:color w:val="auto"/>
          <w:sz w:val="24"/>
          <w:highlight w:val="none"/>
          <w:lang w:eastAsia="zh-CN"/>
        </w:rPr>
        <w:t>投标方</w:t>
      </w:r>
      <w:r>
        <w:rPr>
          <w:color w:val="auto"/>
          <w:sz w:val="24"/>
          <w:highlight w:val="none"/>
        </w:rPr>
        <w:t>应对构成工程的所有设备和材料进行检验或促使他人检验，拒收那些经确定与本协议的要求不相符合的设备和材料。</w:t>
      </w:r>
    </w:p>
    <w:p w14:paraId="733ADF9C">
      <w:pPr>
        <w:adjustRightInd w:val="0"/>
        <w:snapToGrid w:val="0"/>
        <w:spacing w:line="360" w:lineRule="auto"/>
        <w:ind w:firstLine="480" w:firstLineChars="200"/>
        <w:rPr>
          <w:color w:val="auto"/>
          <w:sz w:val="24"/>
          <w:highlight w:val="none"/>
        </w:rPr>
      </w:pPr>
      <w:r>
        <w:rPr>
          <w:color w:val="auto"/>
          <w:sz w:val="24"/>
          <w:highlight w:val="none"/>
        </w:rPr>
        <w:t>所有设备或材料运抵项目场地后，</w:t>
      </w:r>
      <w:r>
        <w:rPr>
          <w:rFonts w:hint="eastAsia"/>
          <w:color w:val="auto"/>
          <w:sz w:val="24"/>
          <w:highlight w:val="none"/>
          <w:lang w:eastAsia="zh-CN"/>
        </w:rPr>
        <w:t>投标方</w:t>
      </w:r>
      <w:r>
        <w:rPr>
          <w:color w:val="auto"/>
          <w:sz w:val="24"/>
          <w:highlight w:val="none"/>
        </w:rPr>
        <w:t>应按照相应设备采购合同的规定进行验收或检验。</w:t>
      </w:r>
      <w:r>
        <w:rPr>
          <w:rFonts w:hint="eastAsia"/>
          <w:color w:val="auto"/>
          <w:sz w:val="24"/>
          <w:highlight w:val="none"/>
          <w:lang w:eastAsia="zh-CN"/>
        </w:rPr>
        <w:t>投标方</w:t>
      </w:r>
      <w:r>
        <w:rPr>
          <w:color w:val="auto"/>
          <w:sz w:val="24"/>
          <w:highlight w:val="none"/>
        </w:rPr>
        <w:t>对关键部分的设备或材料进行检验或验收时，应提前3日通知</w:t>
      </w:r>
      <w:r>
        <w:rPr>
          <w:rFonts w:hint="eastAsia"/>
          <w:color w:val="auto"/>
          <w:sz w:val="24"/>
          <w:highlight w:val="none"/>
          <w:lang w:eastAsia="zh-CN"/>
        </w:rPr>
        <w:t>招标方</w:t>
      </w:r>
      <w:r>
        <w:rPr>
          <w:color w:val="auto"/>
          <w:sz w:val="24"/>
          <w:highlight w:val="none"/>
        </w:rPr>
        <w:t>，</w:t>
      </w:r>
      <w:r>
        <w:rPr>
          <w:rFonts w:hint="eastAsia"/>
          <w:color w:val="auto"/>
          <w:sz w:val="24"/>
          <w:highlight w:val="none"/>
          <w:lang w:eastAsia="zh-CN"/>
        </w:rPr>
        <w:t>招标方</w:t>
      </w:r>
      <w:r>
        <w:rPr>
          <w:color w:val="auto"/>
          <w:sz w:val="24"/>
          <w:highlight w:val="none"/>
        </w:rPr>
        <w:t>有权派人员参加关键部分的设备和/或材料的检验和/或验收。</w:t>
      </w:r>
    </w:p>
    <w:p w14:paraId="1F16BAF0">
      <w:pPr>
        <w:adjustRightInd w:val="0"/>
        <w:snapToGrid w:val="0"/>
        <w:spacing w:line="360" w:lineRule="auto"/>
        <w:ind w:firstLine="480" w:firstLineChars="200"/>
        <w:rPr>
          <w:color w:val="auto"/>
          <w:sz w:val="24"/>
          <w:highlight w:val="none"/>
        </w:rPr>
      </w:pPr>
      <w:r>
        <w:rPr>
          <w:color w:val="auto"/>
          <w:sz w:val="24"/>
          <w:highlight w:val="none"/>
        </w:rPr>
        <w:t>3.3.5</w:t>
      </w:r>
      <w:r>
        <w:rPr>
          <w:rFonts w:hint="eastAsia"/>
          <w:color w:val="auto"/>
          <w:sz w:val="24"/>
          <w:highlight w:val="none"/>
          <w:lang w:eastAsia="zh-CN"/>
        </w:rPr>
        <w:t>投标方</w:t>
      </w:r>
      <w:r>
        <w:rPr>
          <w:color w:val="auto"/>
          <w:sz w:val="24"/>
          <w:highlight w:val="none"/>
        </w:rPr>
        <w:t>应要求为工程提供设备的所有分包商在其所供设备上贴上永久的耐磨性铭牌，以载明制造商的名称、设备型号、编号及其他所有适当的设计数据。</w:t>
      </w:r>
    </w:p>
    <w:p w14:paraId="396613AD">
      <w:pPr>
        <w:spacing w:line="360" w:lineRule="auto"/>
        <w:outlineLvl w:val="2"/>
        <w:rPr>
          <w:b/>
          <w:color w:val="auto"/>
          <w:sz w:val="24"/>
          <w:highlight w:val="none"/>
        </w:rPr>
      </w:pPr>
      <w:r>
        <w:rPr>
          <w:b/>
          <w:color w:val="auto"/>
          <w:sz w:val="24"/>
          <w:highlight w:val="none"/>
        </w:rPr>
        <w:t>3.4</w:t>
      </w:r>
      <w:r>
        <w:rPr>
          <w:b/>
          <w:color w:val="auto"/>
          <w:sz w:val="24"/>
          <w:highlight w:val="none"/>
        </w:rPr>
        <w:tab/>
      </w:r>
      <w:r>
        <w:rPr>
          <w:rFonts w:hint="eastAsia"/>
          <w:b/>
          <w:color w:val="auto"/>
          <w:sz w:val="24"/>
          <w:highlight w:val="none"/>
          <w:lang w:val="en-US" w:eastAsia="zh-CN"/>
        </w:rPr>
        <w:t>施工、</w:t>
      </w:r>
      <w:r>
        <w:rPr>
          <w:b/>
          <w:color w:val="auto"/>
          <w:sz w:val="24"/>
          <w:highlight w:val="none"/>
        </w:rPr>
        <w:t>调试、试运行及性能验收试验</w:t>
      </w:r>
    </w:p>
    <w:p w14:paraId="773405D8">
      <w:pPr>
        <w:adjustRightInd w:val="0"/>
        <w:snapToGrid w:val="0"/>
        <w:spacing w:line="360" w:lineRule="auto"/>
        <w:ind w:firstLine="480" w:firstLineChars="200"/>
        <w:rPr>
          <w:color w:val="auto"/>
          <w:sz w:val="24"/>
          <w:highlight w:val="none"/>
        </w:rPr>
      </w:pPr>
      <w:r>
        <w:rPr>
          <w:color w:val="auto"/>
          <w:sz w:val="24"/>
          <w:highlight w:val="none"/>
        </w:rPr>
        <w:t>服务应包括脱硫系统范围内各部分设备</w:t>
      </w:r>
      <w:r>
        <w:rPr>
          <w:rFonts w:hint="eastAsia"/>
          <w:b/>
          <w:color w:val="auto"/>
          <w:sz w:val="24"/>
          <w:highlight w:val="none"/>
          <w:lang w:val="en-US" w:eastAsia="zh-CN"/>
        </w:rPr>
        <w:t>施工（</w:t>
      </w:r>
      <w:r>
        <w:rPr>
          <w:color w:val="auto"/>
          <w:sz w:val="24"/>
          <w:highlight w:val="none"/>
        </w:rPr>
        <w:t>包括单体调试</w:t>
      </w:r>
      <w:r>
        <w:rPr>
          <w:rFonts w:hint="eastAsia"/>
          <w:color w:val="auto"/>
          <w:sz w:val="24"/>
          <w:highlight w:val="none"/>
          <w:lang w:eastAsia="zh-CN"/>
        </w:rPr>
        <w:t>）</w:t>
      </w:r>
      <w:r>
        <w:rPr>
          <w:rFonts w:hint="eastAsia"/>
          <w:color w:val="auto"/>
          <w:sz w:val="24"/>
          <w:highlight w:val="none"/>
          <w:lang w:val="en-US" w:eastAsia="zh-CN"/>
        </w:rPr>
        <w:t>、</w:t>
      </w:r>
      <w:r>
        <w:rPr>
          <w:color w:val="auto"/>
          <w:sz w:val="24"/>
          <w:highlight w:val="none"/>
        </w:rPr>
        <w:t>调试（包括分系统调试和整套启动）的配合和设备性能考核试验的配合。</w:t>
      </w:r>
    </w:p>
    <w:p w14:paraId="1549EC66">
      <w:pPr>
        <w:spacing w:line="360" w:lineRule="auto"/>
        <w:outlineLvl w:val="2"/>
        <w:rPr>
          <w:b/>
          <w:color w:val="auto"/>
          <w:sz w:val="24"/>
          <w:highlight w:val="none"/>
        </w:rPr>
      </w:pPr>
      <w:r>
        <w:rPr>
          <w:b/>
          <w:color w:val="auto"/>
          <w:sz w:val="24"/>
          <w:highlight w:val="none"/>
        </w:rPr>
        <w:t>3.5</w:t>
      </w:r>
      <w:r>
        <w:rPr>
          <w:b/>
          <w:color w:val="auto"/>
          <w:sz w:val="24"/>
          <w:highlight w:val="none"/>
        </w:rPr>
        <w:tab/>
      </w:r>
      <w:r>
        <w:rPr>
          <w:b/>
          <w:color w:val="auto"/>
          <w:sz w:val="24"/>
          <w:highlight w:val="none"/>
        </w:rPr>
        <w:t>质量保证</w:t>
      </w:r>
    </w:p>
    <w:p w14:paraId="398DABE7">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在整个质保期内将在项目内维持熟悉项目并具有电力工业经验的工程技术人员，以完成本协议规定的质量保证责任和义务。</w:t>
      </w:r>
    </w:p>
    <w:p w14:paraId="09A16A76">
      <w:pPr>
        <w:spacing w:line="360" w:lineRule="auto"/>
        <w:outlineLvl w:val="2"/>
        <w:rPr>
          <w:b/>
          <w:color w:val="auto"/>
          <w:sz w:val="24"/>
          <w:highlight w:val="none"/>
        </w:rPr>
      </w:pPr>
      <w:r>
        <w:rPr>
          <w:b/>
          <w:color w:val="auto"/>
          <w:sz w:val="24"/>
          <w:highlight w:val="none"/>
        </w:rPr>
        <w:t>3.6</w:t>
      </w:r>
      <w:r>
        <w:rPr>
          <w:b/>
          <w:color w:val="auto"/>
          <w:sz w:val="24"/>
          <w:highlight w:val="none"/>
        </w:rPr>
        <w:tab/>
      </w:r>
      <w:r>
        <w:rPr>
          <w:b/>
          <w:color w:val="auto"/>
          <w:sz w:val="24"/>
          <w:highlight w:val="none"/>
        </w:rPr>
        <w:t>文件和手册</w:t>
      </w:r>
    </w:p>
    <w:p w14:paraId="0357D1E4">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应尽快(最晚不得迟于项目进度表所要求的日期)向</w:t>
      </w:r>
      <w:r>
        <w:rPr>
          <w:rFonts w:hint="eastAsia"/>
          <w:color w:val="auto"/>
          <w:sz w:val="24"/>
          <w:highlight w:val="none"/>
          <w:lang w:eastAsia="zh-CN"/>
        </w:rPr>
        <w:t>招标方</w:t>
      </w:r>
      <w:r>
        <w:rPr>
          <w:color w:val="auto"/>
          <w:sz w:val="24"/>
          <w:highlight w:val="none"/>
        </w:rPr>
        <w:t>提交与服务有关的规范、数据表、图纸和计划以及其他资料和文件。</w:t>
      </w:r>
    </w:p>
    <w:p w14:paraId="1F4657E2">
      <w:pPr>
        <w:adjustRightInd w:val="0"/>
        <w:snapToGrid w:val="0"/>
        <w:spacing w:line="360" w:lineRule="auto"/>
        <w:ind w:firstLine="480" w:firstLineChars="200"/>
        <w:rPr>
          <w:color w:val="auto"/>
          <w:sz w:val="24"/>
          <w:highlight w:val="none"/>
        </w:rPr>
      </w:pPr>
      <w:r>
        <w:rPr>
          <w:color w:val="auto"/>
          <w:sz w:val="24"/>
          <w:highlight w:val="none"/>
        </w:rPr>
        <w:t>在各机组完工日期的12个月前，</w:t>
      </w:r>
      <w:r>
        <w:rPr>
          <w:rFonts w:hint="eastAsia"/>
          <w:color w:val="auto"/>
          <w:sz w:val="24"/>
          <w:highlight w:val="none"/>
          <w:lang w:eastAsia="zh-CN"/>
        </w:rPr>
        <w:t>投标方</w:t>
      </w:r>
      <w:r>
        <w:rPr>
          <w:color w:val="auto"/>
          <w:sz w:val="24"/>
          <w:highlight w:val="none"/>
        </w:rPr>
        <w:t>应分批向</w:t>
      </w:r>
      <w:r>
        <w:rPr>
          <w:rFonts w:hint="eastAsia"/>
          <w:color w:val="auto"/>
          <w:sz w:val="24"/>
          <w:highlight w:val="none"/>
          <w:lang w:eastAsia="zh-CN"/>
        </w:rPr>
        <w:t>招标方</w:t>
      </w:r>
      <w:r>
        <w:rPr>
          <w:color w:val="auto"/>
          <w:sz w:val="24"/>
          <w:highlight w:val="none"/>
        </w:rPr>
        <w:t>提交详尽的包括该机组全套设备和各系统、装订成册的运行及维护手册等资料(包括</w:t>
      </w:r>
      <w:r>
        <w:rPr>
          <w:rFonts w:hint="eastAsia"/>
          <w:color w:val="auto"/>
          <w:sz w:val="24"/>
          <w:highlight w:val="none"/>
          <w:lang w:eastAsia="zh-CN"/>
        </w:rPr>
        <w:t>投标方</w:t>
      </w:r>
      <w:r>
        <w:rPr>
          <w:color w:val="auto"/>
          <w:sz w:val="24"/>
          <w:highlight w:val="none"/>
        </w:rPr>
        <w:t>自行编制的和其自设备供应商处获得的全部操作资料和特殊指令要求)，以供</w:t>
      </w:r>
      <w:r>
        <w:rPr>
          <w:rFonts w:hint="eastAsia"/>
          <w:color w:val="auto"/>
          <w:sz w:val="24"/>
          <w:highlight w:val="none"/>
          <w:lang w:eastAsia="zh-CN"/>
        </w:rPr>
        <w:t>招标方</w:t>
      </w:r>
      <w:r>
        <w:rPr>
          <w:color w:val="auto"/>
          <w:sz w:val="24"/>
          <w:highlight w:val="none"/>
        </w:rPr>
        <w:t>编制运行维护规程(以下简称“运行规程”)，但对于不影响运行规程编制的资料最迟应在该机组完工日期的6个月前全部提交。在</w:t>
      </w:r>
      <w:r>
        <w:rPr>
          <w:rFonts w:hint="eastAsia"/>
          <w:color w:val="auto"/>
          <w:sz w:val="24"/>
          <w:highlight w:val="none"/>
          <w:lang w:eastAsia="zh-CN"/>
        </w:rPr>
        <w:t>招标方</w:t>
      </w:r>
      <w:r>
        <w:rPr>
          <w:color w:val="auto"/>
          <w:sz w:val="24"/>
          <w:highlight w:val="none"/>
        </w:rPr>
        <w:t>编制运行规程过程中，</w:t>
      </w:r>
      <w:r>
        <w:rPr>
          <w:rFonts w:hint="eastAsia"/>
          <w:color w:val="auto"/>
          <w:sz w:val="24"/>
          <w:highlight w:val="none"/>
          <w:lang w:eastAsia="zh-CN"/>
        </w:rPr>
        <w:t>投标方</w:t>
      </w:r>
      <w:r>
        <w:rPr>
          <w:color w:val="auto"/>
          <w:sz w:val="24"/>
          <w:highlight w:val="none"/>
        </w:rPr>
        <w:t>应按</w:t>
      </w:r>
      <w:r>
        <w:rPr>
          <w:rFonts w:hint="eastAsia"/>
          <w:color w:val="auto"/>
          <w:sz w:val="24"/>
          <w:highlight w:val="none"/>
          <w:lang w:eastAsia="zh-CN"/>
        </w:rPr>
        <w:t>招标方</w:t>
      </w:r>
      <w:r>
        <w:rPr>
          <w:color w:val="auto"/>
          <w:sz w:val="24"/>
          <w:highlight w:val="none"/>
        </w:rPr>
        <w:t>的要求提供必要的协助。此外，</w:t>
      </w:r>
      <w:r>
        <w:rPr>
          <w:rFonts w:hint="eastAsia"/>
          <w:color w:val="auto"/>
          <w:sz w:val="24"/>
          <w:highlight w:val="none"/>
          <w:lang w:eastAsia="zh-CN"/>
        </w:rPr>
        <w:t>投标方</w:t>
      </w:r>
      <w:r>
        <w:rPr>
          <w:color w:val="auto"/>
          <w:sz w:val="24"/>
          <w:highlight w:val="none"/>
        </w:rPr>
        <w:t>还应在质保期内，按</w:t>
      </w:r>
      <w:r>
        <w:rPr>
          <w:rFonts w:hint="eastAsia"/>
          <w:color w:val="auto"/>
          <w:sz w:val="24"/>
          <w:highlight w:val="none"/>
          <w:lang w:eastAsia="zh-CN"/>
        </w:rPr>
        <w:t>招标方</w:t>
      </w:r>
      <w:r>
        <w:rPr>
          <w:color w:val="auto"/>
          <w:sz w:val="24"/>
          <w:highlight w:val="none"/>
        </w:rPr>
        <w:t>要求更新或更改该等操作资料，以反映操作或维修程序上的变化。</w:t>
      </w:r>
    </w:p>
    <w:p w14:paraId="5757C325">
      <w:pPr>
        <w:spacing w:line="360" w:lineRule="auto"/>
        <w:outlineLvl w:val="2"/>
        <w:rPr>
          <w:b/>
          <w:color w:val="auto"/>
          <w:sz w:val="24"/>
          <w:highlight w:val="none"/>
        </w:rPr>
      </w:pPr>
      <w:r>
        <w:rPr>
          <w:b/>
          <w:color w:val="auto"/>
          <w:sz w:val="24"/>
          <w:highlight w:val="none"/>
        </w:rPr>
        <w:t>3.7</w:t>
      </w:r>
      <w:r>
        <w:rPr>
          <w:b/>
          <w:color w:val="auto"/>
          <w:sz w:val="24"/>
          <w:highlight w:val="none"/>
        </w:rPr>
        <w:tab/>
      </w:r>
      <w:r>
        <w:rPr>
          <w:b/>
          <w:color w:val="auto"/>
          <w:sz w:val="24"/>
          <w:highlight w:val="none"/>
        </w:rPr>
        <w:t>储存</w:t>
      </w:r>
    </w:p>
    <w:p w14:paraId="357A45E7">
      <w:pPr>
        <w:adjustRightInd w:val="0"/>
        <w:snapToGrid w:val="0"/>
        <w:spacing w:line="360" w:lineRule="auto"/>
        <w:ind w:firstLine="480" w:firstLineChars="200"/>
        <w:rPr>
          <w:color w:val="auto"/>
          <w:sz w:val="24"/>
          <w:highlight w:val="none"/>
        </w:rPr>
      </w:pPr>
      <w:r>
        <w:rPr>
          <w:color w:val="auto"/>
          <w:sz w:val="24"/>
          <w:highlight w:val="none"/>
        </w:rPr>
        <w:t>本范围所供设备到场后由</w:t>
      </w:r>
      <w:r>
        <w:rPr>
          <w:rFonts w:hint="eastAsia"/>
          <w:color w:val="auto"/>
          <w:sz w:val="24"/>
          <w:highlight w:val="none"/>
          <w:lang w:eastAsia="zh-CN"/>
        </w:rPr>
        <w:t>招标方</w:t>
      </w:r>
      <w:r>
        <w:rPr>
          <w:color w:val="auto"/>
          <w:sz w:val="24"/>
          <w:highlight w:val="none"/>
        </w:rPr>
        <w:t>负责保管。所有储存在项目场地外的材料、物品和设备应：</w:t>
      </w:r>
    </w:p>
    <w:p w14:paraId="57609FAB">
      <w:pPr>
        <w:adjustRightInd w:val="0"/>
        <w:snapToGrid w:val="0"/>
        <w:spacing w:line="360" w:lineRule="auto"/>
        <w:ind w:firstLine="480" w:firstLineChars="200"/>
        <w:rPr>
          <w:color w:val="auto"/>
          <w:sz w:val="24"/>
          <w:highlight w:val="none"/>
        </w:rPr>
      </w:pPr>
      <w:r>
        <w:rPr>
          <w:color w:val="auto"/>
          <w:sz w:val="24"/>
          <w:highlight w:val="none"/>
        </w:rPr>
        <w:t>(1)安全可靠地存放在仓库或</w:t>
      </w:r>
      <w:r>
        <w:rPr>
          <w:rFonts w:hint="eastAsia"/>
          <w:color w:val="auto"/>
          <w:sz w:val="24"/>
          <w:highlight w:val="none"/>
          <w:lang w:eastAsia="zh-CN"/>
        </w:rPr>
        <w:t>招标方</w:t>
      </w:r>
      <w:r>
        <w:rPr>
          <w:color w:val="auto"/>
          <w:sz w:val="24"/>
          <w:highlight w:val="none"/>
        </w:rPr>
        <w:t>事先同意的其它合适场所；</w:t>
      </w:r>
    </w:p>
    <w:p w14:paraId="3455D8CD">
      <w:pPr>
        <w:spacing w:line="360" w:lineRule="auto"/>
        <w:ind w:firstLine="480" w:firstLineChars="200"/>
        <w:rPr>
          <w:color w:val="auto"/>
          <w:sz w:val="24"/>
          <w:highlight w:val="none"/>
        </w:rPr>
      </w:pPr>
      <w:r>
        <w:rPr>
          <w:color w:val="auto"/>
          <w:sz w:val="24"/>
          <w:highlight w:val="none"/>
        </w:rPr>
        <w:t>(2)贴上适当标签，标明为项目所用以与其它物品分开。</w:t>
      </w:r>
    </w:p>
    <w:p w14:paraId="71F81383">
      <w:pPr>
        <w:spacing w:line="360" w:lineRule="auto"/>
        <w:outlineLvl w:val="2"/>
        <w:rPr>
          <w:b/>
          <w:color w:val="auto"/>
          <w:sz w:val="24"/>
          <w:highlight w:val="none"/>
        </w:rPr>
      </w:pPr>
      <w:r>
        <w:rPr>
          <w:b/>
          <w:color w:val="auto"/>
          <w:sz w:val="24"/>
          <w:highlight w:val="none"/>
        </w:rPr>
        <w:t>3.9</w:t>
      </w:r>
      <w:r>
        <w:rPr>
          <w:b/>
          <w:color w:val="auto"/>
          <w:sz w:val="24"/>
          <w:highlight w:val="none"/>
        </w:rPr>
        <w:tab/>
      </w:r>
      <w:r>
        <w:rPr>
          <w:b/>
          <w:color w:val="auto"/>
          <w:sz w:val="24"/>
          <w:highlight w:val="none"/>
        </w:rPr>
        <w:t>跟班实习</w:t>
      </w:r>
    </w:p>
    <w:p w14:paraId="4B4DFD62">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应向</w:t>
      </w:r>
      <w:r>
        <w:rPr>
          <w:rFonts w:hint="eastAsia"/>
          <w:color w:val="auto"/>
          <w:sz w:val="24"/>
          <w:highlight w:val="none"/>
          <w:lang w:eastAsia="zh-CN"/>
        </w:rPr>
        <w:t>招标方</w:t>
      </w:r>
      <w:r>
        <w:rPr>
          <w:color w:val="auto"/>
          <w:sz w:val="24"/>
          <w:highlight w:val="none"/>
        </w:rPr>
        <w:t>运行人员提供跟班实习及熟悉工程各系统的机会、方便及有关资料。该类实习的目的是使运行人员对机组有关运行维护的各方面有全面的了解和熟悉。</w:t>
      </w:r>
    </w:p>
    <w:p w14:paraId="4C950B38">
      <w:pPr>
        <w:spacing w:line="360" w:lineRule="auto"/>
        <w:outlineLvl w:val="2"/>
        <w:rPr>
          <w:color w:val="auto"/>
          <w:sz w:val="24"/>
          <w:highlight w:val="none"/>
        </w:rPr>
      </w:pPr>
      <w:r>
        <w:rPr>
          <w:b/>
          <w:color w:val="auto"/>
          <w:sz w:val="24"/>
          <w:highlight w:val="none"/>
        </w:rPr>
        <w:t>3.10生产备品备件和专用工具</w:t>
      </w:r>
    </w:p>
    <w:p w14:paraId="4FFD9F51">
      <w:pPr>
        <w:adjustRightInd w:val="0"/>
        <w:snapToGrid w:val="0"/>
        <w:spacing w:line="360" w:lineRule="auto"/>
        <w:ind w:firstLine="480" w:firstLineChars="200"/>
        <w:rPr>
          <w:rFonts w:hint="eastAsia" w:eastAsia="宋体"/>
          <w:color w:val="auto"/>
          <w:sz w:val="24"/>
          <w:highlight w:val="none"/>
          <w:lang w:eastAsia="zh-CN"/>
        </w:rPr>
      </w:pPr>
      <w:r>
        <w:rPr>
          <w:color w:val="auto"/>
          <w:sz w:val="24"/>
          <w:highlight w:val="none"/>
        </w:rPr>
        <w:t>设备采购合同项下的所有随机备品备件和专用工具(包括试验仪器)应在抵达项目场地经验收后即移交给</w:t>
      </w:r>
      <w:r>
        <w:rPr>
          <w:rFonts w:hint="eastAsia"/>
          <w:color w:val="auto"/>
          <w:sz w:val="24"/>
          <w:highlight w:val="none"/>
          <w:lang w:eastAsia="zh-CN"/>
        </w:rPr>
        <w:t>招标方</w:t>
      </w:r>
      <w:r>
        <w:rPr>
          <w:color w:val="auto"/>
          <w:sz w:val="24"/>
          <w:highlight w:val="none"/>
        </w:rPr>
        <w:t>(或</w:t>
      </w:r>
      <w:r>
        <w:rPr>
          <w:rFonts w:hint="eastAsia"/>
          <w:color w:val="auto"/>
          <w:sz w:val="24"/>
          <w:highlight w:val="none"/>
          <w:lang w:eastAsia="zh-CN"/>
        </w:rPr>
        <w:t>招标方</w:t>
      </w:r>
      <w:r>
        <w:rPr>
          <w:color w:val="auto"/>
          <w:sz w:val="24"/>
          <w:highlight w:val="none"/>
        </w:rPr>
        <w:t>指定人)。如果</w:t>
      </w:r>
      <w:r>
        <w:rPr>
          <w:rFonts w:hint="eastAsia"/>
          <w:color w:val="auto"/>
          <w:sz w:val="24"/>
          <w:highlight w:val="none"/>
          <w:lang w:eastAsia="zh-CN"/>
        </w:rPr>
        <w:t>投标方</w:t>
      </w:r>
      <w:r>
        <w:rPr>
          <w:color w:val="auto"/>
          <w:sz w:val="24"/>
          <w:highlight w:val="none"/>
        </w:rPr>
        <w:t>在履行服务过程中需要使用此类生产备品备件和/或专用工具(包括试验仪器)，则应按照</w:t>
      </w:r>
      <w:r>
        <w:rPr>
          <w:rFonts w:hint="eastAsia"/>
          <w:color w:val="auto"/>
          <w:sz w:val="24"/>
          <w:highlight w:val="none"/>
          <w:lang w:eastAsia="zh-CN"/>
        </w:rPr>
        <w:t>招标方</w:t>
      </w:r>
      <w:r>
        <w:rPr>
          <w:color w:val="auto"/>
          <w:sz w:val="24"/>
          <w:highlight w:val="none"/>
        </w:rPr>
        <w:t>(或其指定人)的规定办理借用手续</w:t>
      </w:r>
      <w:bookmarkStart w:id="171" w:name="_Toc4460"/>
      <w:bookmarkStart w:id="172" w:name="_Toc19304"/>
      <w:bookmarkStart w:id="173" w:name="_Toc4196"/>
      <w:bookmarkStart w:id="174" w:name="_Toc2047"/>
      <w:bookmarkStart w:id="175" w:name="_Toc482189961"/>
      <w:bookmarkStart w:id="176" w:name="_Toc14778"/>
      <w:bookmarkStart w:id="177" w:name="_Toc18041"/>
      <w:bookmarkStart w:id="178" w:name="_Toc42048218"/>
      <w:r>
        <w:rPr>
          <w:rFonts w:hint="eastAsia"/>
          <w:color w:val="auto"/>
          <w:sz w:val="24"/>
          <w:highlight w:val="none"/>
          <w:lang w:eastAsia="zh-CN"/>
        </w:rPr>
        <w:t>。</w:t>
      </w:r>
    </w:p>
    <w:p w14:paraId="5506EBDA">
      <w:pPr>
        <w:adjustRightInd w:val="0"/>
        <w:snapToGrid w:val="0"/>
        <w:spacing w:line="360" w:lineRule="auto"/>
        <w:ind w:firstLine="480" w:firstLineChars="200"/>
        <w:rPr>
          <w:color w:val="auto"/>
          <w:sz w:val="24"/>
          <w:highlight w:val="none"/>
        </w:rPr>
      </w:pPr>
    </w:p>
    <w:p w14:paraId="17009C9E">
      <w:pPr>
        <w:adjustRightInd w:val="0"/>
        <w:snapToGrid w:val="0"/>
        <w:spacing w:line="360" w:lineRule="auto"/>
        <w:ind w:firstLine="480" w:firstLineChars="200"/>
        <w:rPr>
          <w:color w:val="auto"/>
          <w:sz w:val="24"/>
          <w:highlight w:val="none"/>
        </w:rPr>
      </w:pPr>
    </w:p>
    <w:p w14:paraId="0B40D820">
      <w:pPr>
        <w:adjustRightInd w:val="0"/>
        <w:snapToGrid w:val="0"/>
        <w:spacing w:line="360" w:lineRule="auto"/>
        <w:ind w:firstLine="480" w:firstLineChars="200"/>
        <w:rPr>
          <w:color w:val="auto"/>
          <w:sz w:val="24"/>
          <w:highlight w:val="none"/>
        </w:rPr>
      </w:pPr>
    </w:p>
    <w:p w14:paraId="6BCB5FF7">
      <w:pPr>
        <w:adjustRightInd w:val="0"/>
        <w:snapToGrid w:val="0"/>
        <w:spacing w:line="360" w:lineRule="auto"/>
        <w:ind w:firstLine="480" w:firstLineChars="200"/>
        <w:rPr>
          <w:color w:val="auto"/>
          <w:sz w:val="24"/>
          <w:highlight w:val="none"/>
        </w:rPr>
      </w:pPr>
    </w:p>
    <w:p w14:paraId="5DF704A8">
      <w:pPr>
        <w:adjustRightInd w:val="0"/>
        <w:snapToGrid w:val="0"/>
        <w:spacing w:line="360" w:lineRule="auto"/>
        <w:ind w:firstLine="480" w:firstLineChars="200"/>
        <w:rPr>
          <w:color w:val="auto"/>
          <w:sz w:val="24"/>
          <w:highlight w:val="none"/>
        </w:rPr>
      </w:pPr>
    </w:p>
    <w:p w14:paraId="0AA12582">
      <w:pPr>
        <w:adjustRightInd w:val="0"/>
        <w:snapToGrid w:val="0"/>
        <w:spacing w:line="360" w:lineRule="auto"/>
        <w:ind w:firstLine="480" w:firstLineChars="200"/>
        <w:rPr>
          <w:color w:val="auto"/>
          <w:sz w:val="24"/>
          <w:highlight w:val="none"/>
        </w:rPr>
      </w:pPr>
    </w:p>
    <w:p w14:paraId="2B9E3266">
      <w:pPr>
        <w:adjustRightInd w:val="0"/>
        <w:snapToGrid w:val="0"/>
        <w:spacing w:line="360" w:lineRule="auto"/>
        <w:ind w:firstLine="480" w:firstLineChars="200"/>
        <w:rPr>
          <w:color w:val="auto"/>
          <w:sz w:val="24"/>
          <w:highlight w:val="none"/>
        </w:rPr>
      </w:pPr>
    </w:p>
    <w:p w14:paraId="39D4CA03">
      <w:pPr>
        <w:adjustRightInd w:val="0"/>
        <w:snapToGrid w:val="0"/>
        <w:spacing w:line="360" w:lineRule="auto"/>
        <w:ind w:firstLine="480" w:firstLineChars="200"/>
        <w:rPr>
          <w:color w:val="auto"/>
          <w:sz w:val="24"/>
          <w:highlight w:val="none"/>
        </w:rPr>
      </w:pPr>
    </w:p>
    <w:p w14:paraId="1D41842F">
      <w:pPr>
        <w:adjustRightInd w:val="0"/>
        <w:snapToGrid w:val="0"/>
        <w:spacing w:line="360" w:lineRule="auto"/>
        <w:ind w:firstLine="640" w:firstLineChars="200"/>
        <w:rPr>
          <w:color w:val="auto"/>
          <w:sz w:val="32"/>
          <w:szCs w:val="32"/>
          <w:highlight w:val="none"/>
        </w:rPr>
      </w:pPr>
      <w:r>
        <w:rPr>
          <w:color w:val="auto"/>
          <w:sz w:val="32"/>
          <w:szCs w:val="32"/>
          <w:highlight w:val="none"/>
        </w:rPr>
        <w:t>附件3设计范围与设计联络会</w:t>
      </w:r>
      <w:bookmarkEnd w:id="171"/>
      <w:bookmarkEnd w:id="172"/>
      <w:bookmarkEnd w:id="173"/>
      <w:bookmarkEnd w:id="174"/>
      <w:bookmarkEnd w:id="175"/>
      <w:bookmarkEnd w:id="176"/>
      <w:bookmarkEnd w:id="177"/>
    </w:p>
    <w:p w14:paraId="6B3CEB3A">
      <w:pPr>
        <w:pStyle w:val="3"/>
        <w:spacing w:before="156" w:after="156"/>
        <w:rPr>
          <w:rFonts w:hint="default" w:ascii="Times New Roman" w:hAnsi="Times New Roman" w:eastAsia="宋体"/>
          <w:color w:val="auto"/>
          <w:sz w:val="28"/>
          <w:szCs w:val="28"/>
          <w:highlight w:val="none"/>
        </w:rPr>
      </w:pPr>
      <w:bookmarkStart w:id="179" w:name="_Toc30279"/>
      <w:bookmarkStart w:id="180" w:name="_Toc2566"/>
      <w:bookmarkStart w:id="181" w:name="_Toc10745"/>
      <w:bookmarkStart w:id="182" w:name="_Toc482189962"/>
      <w:bookmarkStart w:id="183" w:name="_Toc8275"/>
      <w:bookmarkStart w:id="184" w:name="_Toc13140"/>
      <w:bookmarkStart w:id="185" w:name="_Toc21436"/>
      <w:r>
        <w:rPr>
          <w:rFonts w:hint="default" w:ascii="Times New Roman" w:hAnsi="Times New Roman" w:eastAsia="宋体"/>
          <w:color w:val="auto"/>
          <w:sz w:val="28"/>
          <w:szCs w:val="28"/>
          <w:highlight w:val="none"/>
        </w:rPr>
        <w:t>1 设计范围</w:t>
      </w:r>
      <w:bookmarkEnd w:id="179"/>
      <w:bookmarkEnd w:id="180"/>
      <w:bookmarkEnd w:id="181"/>
      <w:bookmarkEnd w:id="182"/>
      <w:bookmarkEnd w:id="183"/>
      <w:bookmarkEnd w:id="184"/>
      <w:bookmarkEnd w:id="185"/>
    </w:p>
    <w:p w14:paraId="4FE6EAB1">
      <w:pPr>
        <w:adjustRightInd w:val="0"/>
        <w:snapToGrid w:val="0"/>
        <w:spacing w:line="360" w:lineRule="auto"/>
        <w:ind w:firstLine="480" w:firstLineChars="200"/>
        <w:rPr>
          <w:color w:val="auto"/>
          <w:sz w:val="24"/>
          <w:highlight w:val="none"/>
        </w:rPr>
      </w:pPr>
      <w:r>
        <w:rPr>
          <w:color w:val="auto"/>
          <w:sz w:val="24"/>
          <w:highlight w:val="none"/>
        </w:rPr>
        <w:t>本章所指的设计范围与设计联络是指</w:t>
      </w:r>
      <w:r>
        <w:rPr>
          <w:rFonts w:hint="eastAsia"/>
          <w:color w:val="auto"/>
          <w:sz w:val="24"/>
          <w:highlight w:val="none"/>
          <w:lang w:eastAsia="zh-CN"/>
        </w:rPr>
        <w:t>投标方</w:t>
      </w:r>
      <w:r>
        <w:rPr>
          <w:color w:val="auto"/>
          <w:sz w:val="24"/>
          <w:highlight w:val="none"/>
        </w:rPr>
        <w:t>与</w:t>
      </w:r>
      <w:r>
        <w:rPr>
          <w:rFonts w:hint="eastAsia"/>
          <w:color w:val="auto"/>
          <w:sz w:val="24"/>
          <w:highlight w:val="none"/>
          <w:lang w:eastAsia="zh-CN"/>
        </w:rPr>
        <w:t>招标方</w:t>
      </w:r>
      <w:r>
        <w:rPr>
          <w:color w:val="auto"/>
          <w:sz w:val="24"/>
          <w:highlight w:val="none"/>
        </w:rPr>
        <w:t>之间的设计范围与设计联络，</w:t>
      </w:r>
      <w:r>
        <w:rPr>
          <w:rFonts w:hint="eastAsia"/>
          <w:color w:val="auto"/>
          <w:sz w:val="24"/>
          <w:highlight w:val="none"/>
          <w:lang w:eastAsia="zh-CN"/>
        </w:rPr>
        <w:t>投标方</w:t>
      </w:r>
      <w:r>
        <w:rPr>
          <w:color w:val="auto"/>
          <w:sz w:val="24"/>
          <w:highlight w:val="none"/>
        </w:rPr>
        <w:t>与其委托的设计分包商的设计联络在此不作要求。</w:t>
      </w:r>
    </w:p>
    <w:p w14:paraId="3677E034">
      <w:pPr>
        <w:spacing w:line="360" w:lineRule="auto"/>
        <w:outlineLvl w:val="2"/>
        <w:rPr>
          <w:b/>
          <w:color w:val="auto"/>
          <w:sz w:val="24"/>
          <w:highlight w:val="none"/>
        </w:rPr>
      </w:pPr>
      <w:bookmarkStart w:id="186" w:name="_Toc482189963"/>
      <w:r>
        <w:rPr>
          <w:b/>
          <w:color w:val="auto"/>
          <w:sz w:val="24"/>
          <w:highlight w:val="none"/>
        </w:rPr>
        <w:t>1.1 设计依据</w:t>
      </w:r>
      <w:bookmarkEnd w:id="186"/>
    </w:p>
    <w:p w14:paraId="207F79A3">
      <w:pPr>
        <w:adjustRightInd w:val="0"/>
        <w:snapToGrid w:val="0"/>
        <w:spacing w:line="360" w:lineRule="auto"/>
        <w:ind w:firstLine="480" w:firstLineChars="200"/>
        <w:rPr>
          <w:color w:val="auto"/>
          <w:sz w:val="24"/>
          <w:highlight w:val="none"/>
        </w:rPr>
      </w:pPr>
      <w:r>
        <w:rPr>
          <w:color w:val="auto"/>
          <w:sz w:val="24"/>
          <w:highlight w:val="none"/>
        </w:rPr>
        <w:t>本章规定了本工程的设计范围。</w:t>
      </w:r>
      <w:r>
        <w:rPr>
          <w:rFonts w:hint="eastAsia"/>
          <w:color w:val="auto"/>
          <w:sz w:val="24"/>
          <w:highlight w:val="none"/>
          <w:lang w:eastAsia="zh-CN"/>
        </w:rPr>
        <w:t>投标方</w:t>
      </w:r>
      <w:r>
        <w:rPr>
          <w:color w:val="auto"/>
          <w:sz w:val="24"/>
          <w:highlight w:val="none"/>
        </w:rPr>
        <w:t>提供的设计应是先进、完整和合理的。脱硫系统的设计应符合</w:t>
      </w:r>
      <w:r>
        <w:rPr>
          <w:rFonts w:hint="eastAsia"/>
          <w:color w:val="auto"/>
          <w:sz w:val="24"/>
          <w:highlight w:val="none"/>
        </w:rPr>
        <w:t>协议</w:t>
      </w:r>
      <w:r>
        <w:rPr>
          <w:color w:val="auto"/>
          <w:sz w:val="24"/>
          <w:highlight w:val="none"/>
        </w:rPr>
        <w:t>中的技术规范和性能保证值。</w:t>
      </w:r>
    </w:p>
    <w:p w14:paraId="49703EB0">
      <w:pPr>
        <w:numPr>
          <w:ilvl w:val="1"/>
          <w:numId w:val="9"/>
        </w:numPr>
        <w:spacing w:line="360" w:lineRule="auto"/>
        <w:ind w:left="777" w:leftChars="0" w:hanging="567" w:firstLineChars="0"/>
        <w:outlineLvl w:val="2"/>
        <w:rPr>
          <w:b/>
          <w:color w:val="auto"/>
          <w:sz w:val="24"/>
          <w:highlight w:val="none"/>
        </w:rPr>
      </w:pPr>
      <w:bookmarkStart w:id="187" w:name="_Toc482189964"/>
      <w:r>
        <w:rPr>
          <w:rFonts w:hint="eastAsia"/>
          <w:b/>
          <w:color w:val="auto"/>
          <w:sz w:val="24"/>
          <w:highlight w:val="none"/>
          <w:lang w:eastAsia="zh-CN"/>
        </w:rPr>
        <w:t>投标方</w:t>
      </w:r>
      <w:r>
        <w:rPr>
          <w:b/>
          <w:color w:val="auto"/>
          <w:sz w:val="24"/>
          <w:highlight w:val="none"/>
        </w:rPr>
        <w:t>设计范围</w:t>
      </w:r>
      <w:bookmarkEnd w:id="187"/>
    </w:p>
    <w:p w14:paraId="07387B66">
      <w:pPr>
        <w:adjustRightInd w:val="0"/>
        <w:snapToGrid w:val="0"/>
        <w:spacing w:line="360" w:lineRule="auto"/>
        <w:ind w:firstLine="480" w:firstLineChars="200"/>
        <w:rPr>
          <w:rFonts w:hint="default" w:eastAsia="宋体"/>
          <w:color w:val="auto"/>
          <w:sz w:val="24"/>
          <w:highlight w:val="none"/>
          <w:lang w:val="en-US" w:eastAsia="zh-CN"/>
        </w:rPr>
      </w:pPr>
      <w:r>
        <w:rPr>
          <w:color w:val="auto"/>
          <w:sz w:val="24"/>
          <w:highlight w:val="none"/>
        </w:rPr>
        <w:t>脱硫</w:t>
      </w:r>
      <w:r>
        <w:rPr>
          <w:rFonts w:hint="eastAsia"/>
          <w:color w:val="auto"/>
          <w:sz w:val="24"/>
          <w:highlight w:val="none"/>
          <w:lang w:val="en-US" w:eastAsia="zh-CN"/>
        </w:rPr>
        <w:t>及脱硫废水三联箱</w:t>
      </w:r>
      <w:r>
        <w:rPr>
          <w:color w:val="auto"/>
          <w:sz w:val="24"/>
          <w:highlight w:val="none"/>
        </w:rPr>
        <w:t>系统的完整设计将包括脱硫系统范围内系统拟定</w:t>
      </w:r>
      <w:r>
        <w:rPr>
          <w:rFonts w:hint="eastAsia"/>
          <w:color w:val="auto"/>
          <w:sz w:val="24"/>
          <w:highlight w:val="none"/>
          <w:lang w:eastAsia="zh-CN"/>
        </w:rPr>
        <w:t>，</w:t>
      </w:r>
      <w:r>
        <w:rPr>
          <w:rFonts w:hint="eastAsia"/>
          <w:color w:val="auto"/>
          <w:sz w:val="24"/>
          <w:highlight w:val="none"/>
          <w:lang w:val="en-US" w:eastAsia="zh-CN"/>
        </w:rPr>
        <w:t>工艺、</w:t>
      </w:r>
      <w:r>
        <w:rPr>
          <w:color w:val="auto"/>
          <w:sz w:val="24"/>
          <w:highlight w:val="none"/>
        </w:rPr>
        <w:t>设备和组件选型</w:t>
      </w:r>
      <w:r>
        <w:rPr>
          <w:rFonts w:hint="eastAsia"/>
          <w:color w:val="auto"/>
          <w:sz w:val="24"/>
          <w:highlight w:val="none"/>
          <w:lang w:eastAsia="zh-CN"/>
        </w:rPr>
        <w:t>，</w:t>
      </w:r>
      <w:r>
        <w:rPr>
          <w:color w:val="auto"/>
          <w:sz w:val="24"/>
          <w:highlight w:val="none"/>
        </w:rPr>
        <w:t>电气、热控</w:t>
      </w:r>
      <w:r>
        <w:rPr>
          <w:rFonts w:hint="eastAsia"/>
          <w:color w:val="auto"/>
          <w:sz w:val="24"/>
          <w:highlight w:val="none"/>
          <w:lang w:val="en-US" w:eastAsia="zh-CN"/>
        </w:rPr>
        <w:t>、</w:t>
      </w:r>
      <w:r>
        <w:rPr>
          <w:color w:val="auto"/>
          <w:sz w:val="24"/>
          <w:highlight w:val="none"/>
        </w:rPr>
        <w:t>保温、油漆、接口及与脱硫系统外部的机械、热控和电气设备的接口等专业</w:t>
      </w:r>
      <w:r>
        <w:rPr>
          <w:rFonts w:hint="eastAsia"/>
          <w:color w:val="auto"/>
          <w:sz w:val="24"/>
          <w:highlight w:val="none"/>
          <w:lang w:val="en-US" w:eastAsia="zh-CN"/>
        </w:rPr>
        <w:t>初步设计、</w:t>
      </w:r>
      <w:r>
        <w:rPr>
          <w:color w:val="auto"/>
          <w:sz w:val="24"/>
          <w:highlight w:val="none"/>
        </w:rPr>
        <w:t>施工图设计和竣工图编制。土建、结构</w:t>
      </w:r>
      <w:r>
        <w:rPr>
          <w:rFonts w:hint="eastAsia"/>
          <w:color w:val="auto"/>
          <w:sz w:val="24"/>
          <w:highlight w:val="none"/>
          <w:lang w:val="en-US" w:eastAsia="zh-CN"/>
        </w:rPr>
        <w:t>照明</w:t>
      </w:r>
      <w:r>
        <w:rPr>
          <w:color w:val="auto"/>
          <w:sz w:val="24"/>
          <w:highlight w:val="none"/>
        </w:rPr>
        <w:t>、暖通、</w:t>
      </w:r>
      <w:r>
        <w:rPr>
          <w:rFonts w:hint="eastAsia"/>
          <w:color w:val="auto"/>
          <w:sz w:val="24"/>
          <w:highlight w:val="none"/>
          <w:lang w:val="en-US" w:eastAsia="zh-CN"/>
        </w:rPr>
        <w:t>消防、</w:t>
      </w:r>
      <w:r>
        <w:rPr>
          <w:color w:val="auto"/>
          <w:sz w:val="24"/>
          <w:highlight w:val="none"/>
        </w:rPr>
        <w:t>给排水</w:t>
      </w:r>
      <w:r>
        <w:rPr>
          <w:rFonts w:hint="eastAsia"/>
          <w:color w:val="auto"/>
          <w:sz w:val="24"/>
          <w:highlight w:val="none"/>
          <w:lang w:val="en-US" w:eastAsia="zh-CN"/>
        </w:rPr>
        <w:t>初步设计、</w:t>
      </w:r>
      <w:r>
        <w:rPr>
          <w:color w:val="auto"/>
          <w:sz w:val="24"/>
          <w:highlight w:val="none"/>
        </w:rPr>
        <w:t>施工图设计</w:t>
      </w:r>
      <w:r>
        <w:rPr>
          <w:rFonts w:hint="eastAsia"/>
          <w:color w:val="auto"/>
          <w:sz w:val="24"/>
          <w:highlight w:val="none"/>
          <w:lang w:val="en-US" w:eastAsia="zh-CN"/>
        </w:rPr>
        <w:t>并提供给主体设计院。</w:t>
      </w:r>
    </w:p>
    <w:p w14:paraId="50383C92">
      <w:pPr>
        <w:adjustRightInd w:val="0"/>
        <w:snapToGrid w:val="0"/>
        <w:spacing w:line="360" w:lineRule="auto"/>
        <w:rPr>
          <w:color w:val="auto"/>
          <w:sz w:val="24"/>
          <w:highlight w:val="none"/>
        </w:rPr>
      </w:pPr>
      <w:r>
        <w:rPr>
          <w:color w:val="auto"/>
          <w:sz w:val="24"/>
          <w:highlight w:val="none"/>
        </w:rPr>
        <w:t>1.2.1 基本设计（设计文件至少包括，但不限于此）</w:t>
      </w:r>
    </w:p>
    <w:p w14:paraId="44A43BDA">
      <w:pPr>
        <w:adjustRightInd w:val="0"/>
        <w:snapToGrid w:val="0"/>
        <w:spacing w:line="360" w:lineRule="auto"/>
        <w:rPr>
          <w:color w:val="auto"/>
          <w:sz w:val="24"/>
          <w:highlight w:val="none"/>
        </w:rPr>
      </w:pPr>
      <w:r>
        <w:rPr>
          <w:color w:val="auto"/>
          <w:sz w:val="24"/>
          <w:highlight w:val="none"/>
        </w:rPr>
        <w:t>1.2.1.1 工艺部分（即机械部分）</w:t>
      </w:r>
    </w:p>
    <w:p w14:paraId="6844A328">
      <w:pPr>
        <w:numPr>
          <w:ilvl w:val="0"/>
          <w:numId w:val="14"/>
        </w:numPr>
        <w:adjustRightInd w:val="0"/>
        <w:snapToGrid w:val="0"/>
        <w:spacing w:line="360" w:lineRule="auto"/>
        <w:rPr>
          <w:color w:val="auto"/>
          <w:sz w:val="24"/>
          <w:highlight w:val="none"/>
        </w:rPr>
      </w:pPr>
      <w:bookmarkStart w:id="188" w:name="OLE_LINK48"/>
      <w:r>
        <w:rPr>
          <w:color w:val="auto"/>
          <w:sz w:val="24"/>
          <w:highlight w:val="none"/>
        </w:rPr>
        <w:t>整套</w:t>
      </w:r>
      <w:r>
        <w:rPr>
          <w:rFonts w:hint="eastAsia"/>
          <w:color w:val="auto"/>
          <w:sz w:val="24"/>
          <w:highlight w:val="none"/>
          <w:lang w:val="en-US" w:eastAsia="zh-CN"/>
        </w:rPr>
        <w:t>招标范围内</w:t>
      </w:r>
      <w:bookmarkEnd w:id="188"/>
      <w:r>
        <w:rPr>
          <w:color w:val="auto"/>
          <w:sz w:val="24"/>
          <w:highlight w:val="none"/>
        </w:rPr>
        <w:t>装置及公用设施的整体布置图；</w:t>
      </w:r>
    </w:p>
    <w:p w14:paraId="39A4A848">
      <w:pPr>
        <w:numPr>
          <w:ilvl w:val="0"/>
          <w:numId w:val="14"/>
        </w:numPr>
        <w:adjustRightInd w:val="0"/>
        <w:snapToGrid w:val="0"/>
        <w:spacing w:line="360" w:lineRule="auto"/>
        <w:rPr>
          <w:color w:val="auto"/>
          <w:sz w:val="24"/>
          <w:highlight w:val="none"/>
        </w:rPr>
      </w:pPr>
      <w:r>
        <w:rPr>
          <w:color w:val="auto"/>
          <w:sz w:val="24"/>
          <w:highlight w:val="none"/>
        </w:rPr>
        <w:t>整套</w:t>
      </w:r>
      <w:r>
        <w:rPr>
          <w:rFonts w:hint="eastAsia"/>
          <w:color w:val="auto"/>
          <w:sz w:val="24"/>
          <w:highlight w:val="none"/>
          <w:lang w:val="en-US" w:eastAsia="zh-CN"/>
        </w:rPr>
        <w:t>招标范围内</w:t>
      </w:r>
      <w:r>
        <w:rPr>
          <w:color w:val="auto"/>
          <w:sz w:val="24"/>
          <w:highlight w:val="none"/>
        </w:rPr>
        <w:t>装置及各车间平断面布置图；</w:t>
      </w:r>
    </w:p>
    <w:p w14:paraId="1F3BF62E">
      <w:pPr>
        <w:numPr>
          <w:ilvl w:val="0"/>
          <w:numId w:val="14"/>
        </w:numPr>
        <w:adjustRightInd w:val="0"/>
        <w:snapToGrid w:val="0"/>
        <w:spacing w:line="360" w:lineRule="auto"/>
        <w:rPr>
          <w:color w:val="auto"/>
          <w:sz w:val="24"/>
          <w:highlight w:val="none"/>
        </w:rPr>
      </w:pPr>
      <w:r>
        <w:rPr>
          <w:color w:val="auto"/>
          <w:sz w:val="24"/>
          <w:highlight w:val="none"/>
        </w:rPr>
        <w:t>管道布置总图（平面和断面）；</w:t>
      </w:r>
    </w:p>
    <w:p w14:paraId="76F80AA6">
      <w:pPr>
        <w:adjustRightInd w:val="0"/>
        <w:snapToGrid w:val="0"/>
        <w:spacing w:line="360" w:lineRule="auto"/>
        <w:rPr>
          <w:color w:val="auto"/>
          <w:sz w:val="24"/>
          <w:highlight w:val="none"/>
        </w:rPr>
      </w:pPr>
      <w:r>
        <w:rPr>
          <w:color w:val="auto"/>
          <w:sz w:val="24"/>
          <w:highlight w:val="none"/>
        </w:rPr>
        <w:t>1.2.1.2 仪表控制部分</w:t>
      </w:r>
    </w:p>
    <w:p w14:paraId="5A42BD66">
      <w:pPr>
        <w:numPr>
          <w:ilvl w:val="0"/>
          <w:numId w:val="14"/>
        </w:numPr>
        <w:adjustRightInd w:val="0"/>
        <w:snapToGrid w:val="0"/>
        <w:spacing w:line="360" w:lineRule="auto"/>
        <w:rPr>
          <w:color w:val="auto"/>
          <w:sz w:val="24"/>
          <w:highlight w:val="none"/>
        </w:rPr>
      </w:pPr>
      <w:r>
        <w:rPr>
          <w:color w:val="auto"/>
          <w:sz w:val="24"/>
          <w:highlight w:val="none"/>
        </w:rPr>
        <w:t>电子设备间的平面布置图；</w:t>
      </w:r>
    </w:p>
    <w:p w14:paraId="2E8D8166">
      <w:pPr>
        <w:numPr>
          <w:ilvl w:val="0"/>
          <w:numId w:val="14"/>
        </w:numPr>
        <w:adjustRightInd w:val="0"/>
        <w:snapToGrid w:val="0"/>
        <w:spacing w:line="360" w:lineRule="auto"/>
        <w:rPr>
          <w:color w:val="auto"/>
          <w:sz w:val="24"/>
          <w:highlight w:val="none"/>
        </w:rPr>
      </w:pPr>
      <w:r>
        <w:rPr>
          <w:color w:val="auto"/>
          <w:sz w:val="24"/>
          <w:highlight w:val="none"/>
        </w:rPr>
        <w:t>控制电缆主通道走向图；</w:t>
      </w:r>
    </w:p>
    <w:p w14:paraId="253FD06F">
      <w:pPr>
        <w:numPr>
          <w:ilvl w:val="0"/>
          <w:numId w:val="14"/>
        </w:numPr>
        <w:adjustRightInd w:val="0"/>
        <w:snapToGrid w:val="0"/>
        <w:spacing w:line="360" w:lineRule="auto"/>
        <w:rPr>
          <w:color w:val="auto"/>
          <w:sz w:val="24"/>
          <w:highlight w:val="none"/>
        </w:rPr>
      </w:pPr>
      <w:r>
        <w:rPr>
          <w:color w:val="auto"/>
          <w:sz w:val="24"/>
          <w:highlight w:val="none"/>
        </w:rPr>
        <w:t>工艺系统PID图；</w:t>
      </w:r>
    </w:p>
    <w:p w14:paraId="754562C8">
      <w:pPr>
        <w:numPr>
          <w:ilvl w:val="0"/>
          <w:numId w:val="14"/>
        </w:numPr>
        <w:adjustRightInd w:val="0"/>
        <w:snapToGrid w:val="0"/>
        <w:spacing w:line="360" w:lineRule="auto"/>
        <w:rPr>
          <w:color w:val="auto"/>
          <w:sz w:val="24"/>
          <w:highlight w:val="none"/>
        </w:rPr>
      </w:pPr>
      <w:r>
        <w:rPr>
          <w:color w:val="auto"/>
          <w:sz w:val="24"/>
          <w:highlight w:val="none"/>
        </w:rPr>
        <w:t>DCS的信号清单；</w:t>
      </w:r>
    </w:p>
    <w:p w14:paraId="0FA1C2E5">
      <w:pPr>
        <w:adjustRightInd w:val="0"/>
        <w:snapToGrid w:val="0"/>
        <w:spacing w:line="360" w:lineRule="auto"/>
        <w:rPr>
          <w:color w:val="auto"/>
          <w:sz w:val="24"/>
          <w:highlight w:val="none"/>
        </w:rPr>
      </w:pPr>
      <w:r>
        <w:rPr>
          <w:color w:val="auto"/>
          <w:sz w:val="24"/>
          <w:highlight w:val="none"/>
        </w:rPr>
        <w:t>1.2.1.3电气部分</w:t>
      </w:r>
    </w:p>
    <w:p w14:paraId="5177A0B2">
      <w:pPr>
        <w:numPr>
          <w:ilvl w:val="0"/>
          <w:numId w:val="14"/>
        </w:numPr>
        <w:adjustRightInd w:val="0"/>
        <w:snapToGrid w:val="0"/>
        <w:spacing w:line="360" w:lineRule="auto"/>
        <w:rPr>
          <w:color w:val="auto"/>
          <w:sz w:val="24"/>
          <w:highlight w:val="none"/>
        </w:rPr>
      </w:pPr>
      <w:r>
        <w:rPr>
          <w:color w:val="auto"/>
          <w:sz w:val="24"/>
          <w:highlight w:val="none"/>
        </w:rPr>
        <w:t>电气系统原则供电系统图；</w:t>
      </w:r>
    </w:p>
    <w:p w14:paraId="184CEEF5">
      <w:pPr>
        <w:numPr>
          <w:ilvl w:val="0"/>
          <w:numId w:val="14"/>
        </w:numPr>
        <w:adjustRightInd w:val="0"/>
        <w:snapToGrid w:val="0"/>
        <w:spacing w:line="360" w:lineRule="auto"/>
        <w:rPr>
          <w:color w:val="auto"/>
          <w:sz w:val="24"/>
          <w:highlight w:val="none"/>
        </w:rPr>
      </w:pPr>
      <w:r>
        <w:rPr>
          <w:color w:val="auto"/>
          <w:sz w:val="24"/>
          <w:highlight w:val="none"/>
        </w:rPr>
        <w:t>电气配电间布置图；</w:t>
      </w:r>
    </w:p>
    <w:p w14:paraId="7823CEA7">
      <w:pPr>
        <w:numPr>
          <w:ilvl w:val="0"/>
          <w:numId w:val="14"/>
        </w:numPr>
        <w:adjustRightInd w:val="0"/>
        <w:snapToGrid w:val="0"/>
        <w:spacing w:line="360" w:lineRule="auto"/>
        <w:rPr>
          <w:color w:val="auto"/>
          <w:sz w:val="24"/>
          <w:highlight w:val="none"/>
        </w:rPr>
      </w:pPr>
      <w:r>
        <w:rPr>
          <w:color w:val="auto"/>
          <w:sz w:val="24"/>
          <w:highlight w:val="none"/>
        </w:rPr>
        <w:t>变压器容量选择表；</w:t>
      </w:r>
    </w:p>
    <w:p w14:paraId="70AC7DCB">
      <w:pPr>
        <w:numPr>
          <w:ilvl w:val="0"/>
          <w:numId w:val="14"/>
        </w:numPr>
        <w:adjustRightInd w:val="0"/>
        <w:snapToGrid w:val="0"/>
        <w:spacing w:line="360" w:lineRule="auto"/>
        <w:rPr>
          <w:color w:val="auto"/>
          <w:sz w:val="24"/>
          <w:highlight w:val="none"/>
        </w:rPr>
      </w:pPr>
      <w:r>
        <w:rPr>
          <w:color w:val="auto"/>
          <w:sz w:val="24"/>
          <w:highlight w:val="none"/>
        </w:rPr>
        <w:t>电缆主通道布置图</w:t>
      </w:r>
    </w:p>
    <w:p w14:paraId="26F3DE77">
      <w:pPr>
        <w:numPr>
          <w:ilvl w:val="0"/>
          <w:numId w:val="14"/>
        </w:numPr>
        <w:adjustRightInd w:val="0"/>
        <w:snapToGrid w:val="0"/>
        <w:spacing w:line="360" w:lineRule="auto"/>
        <w:rPr>
          <w:color w:val="auto"/>
          <w:sz w:val="24"/>
          <w:highlight w:val="none"/>
        </w:rPr>
      </w:pPr>
      <w:r>
        <w:rPr>
          <w:color w:val="auto"/>
          <w:sz w:val="24"/>
          <w:highlight w:val="none"/>
        </w:rPr>
        <w:t>通讯系统图；</w:t>
      </w:r>
    </w:p>
    <w:p w14:paraId="2E1F0E56">
      <w:pPr>
        <w:numPr>
          <w:ilvl w:val="0"/>
          <w:numId w:val="14"/>
        </w:numPr>
        <w:adjustRightInd w:val="0"/>
        <w:snapToGrid w:val="0"/>
        <w:spacing w:line="360" w:lineRule="auto"/>
        <w:rPr>
          <w:color w:val="auto"/>
          <w:sz w:val="24"/>
          <w:highlight w:val="none"/>
        </w:rPr>
      </w:pPr>
      <w:r>
        <w:rPr>
          <w:rFonts w:hint="eastAsia"/>
          <w:color w:val="auto"/>
          <w:sz w:val="24"/>
          <w:highlight w:val="none"/>
          <w:lang w:val="en-US" w:eastAsia="zh-CN"/>
        </w:rPr>
        <w:t>室外设备</w:t>
      </w:r>
      <w:r>
        <w:rPr>
          <w:color w:val="auto"/>
          <w:sz w:val="24"/>
          <w:highlight w:val="none"/>
        </w:rPr>
        <w:t>照明布置图；</w:t>
      </w:r>
    </w:p>
    <w:p w14:paraId="438DEA93">
      <w:pPr>
        <w:numPr>
          <w:ilvl w:val="0"/>
          <w:numId w:val="14"/>
        </w:numPr>
        <w:adjustRightInd w:val="0"/>
        <w:snapToGrid w:val="0"/>
        <w:spacing w:line="360" w:lineRule="auto"/>
        <w:rPr>
          <w:color w:val="auto"/>
          <w:sz w:val="24"/>
          <w:highlight w:val="none"/>
        </w:rPr>
      </w:pPr>
      <w:r>
        <w:rPr>
          <w:color w:val="auto"/>
          <w:sz w:val="24"/>
          <w:highlight w:val="none"/>
        </w:rPr>
        <w:t>检修电源系统图；</w:t>
      </w:r>
    </w:p>
    <w:p w14:paraId="68005F2B">
      <w:pPr>
        <w:numPr>
          <w:ilvl w:val="0"/>
          <w:numId w:val="14"/>
        </w:numPr>
        <w:adjustRightInd w:val="0"/>
        <w:snapToGrid w:val="0"/>
        <w:spacing w:line="360" w:lineRule="auto"/>
        <w:rPr>
          <w:color w:val="auto"/>
          <w:sz w:val="24"/>
          <w:highlight w:val="none"/>
        </w:rPr>
      </w:pPr>
      <w:r>
        <w:rPr>
          <w:color w:val="auto"/>
          <w:sz w:val="24"/>
          <w:highlight w:val="none"/>
        </w:rPr>
        <w:t>防雷接地系统图。</w:t>
      </w:r>
    </w:p>
    <w:p w14:paraId="19EDB783">
      <w:pPr>
        <w:adjustRightInd w:val="0"/>
        <w:snapToGrid w:val="0"/>
        <w:spacing w:line="360" w:lineRule="auto"/>
        <w:rPr>
          <w:color w:val="auto"/>
          <w:sz w:val="24"/>
          <w:highlight w:val="none"/>
          <w:u w:val="single"/>
        </w:rPr>
      </w:pPr>
      <w:bookmarkStart w:id="189" w:name="OLE_LINK81"/>
      <w:r>
        <w:rPr>
          <w:color w:val="auto"/>
          <w:sz w:val="24"/>
          <w:highlight w:val="none"/>
          <w:u w:val="single"/>
        </w:rPr>
        <w:t>1.2.1.4通风及空调部分</w:t>
      </w:r>
    </w:p>
    <w:p w14:paraId="2935C185">
      <w:pPr>
        <w:adjustRightInd w:val="0"/>
        <w:snapToGrid w:val="0"/>
        <w:spacing w:line="360" w:lineRule="auto"/>
        <w:ind w:firstLine="480" w:firstLineChars="200"/>
        <w:rPr>
          <w:color w:val="auto"/>
          <w:sz w:val="24"/>
          <w:highlight w:val="none"/>
          <w:u w:val="single"/>
        </w:rPr>
      </w:pPr>
      <w:r>
        <w:rPr>
          <w:color w:val="auto"/>
          <w:sz w:val="24"/>
          <w:highlight w:val="none"/>
          <w:u w:val="single"/>
        </w:rPr>
        <w:t>设计说明书；</w:t>
      </w:r>
    </w:p>
    <w:p w14:paraId="49F0B87E">
      <w:pPr>
        <w:adjustRightInd w:val="0"/>
        <w:snapToGrid w:val="0"/>
        <w:spacing w:line="360" w:lineRule="auto"/>
        <w:rPr>
          <w:color w:val="auto"/>
          <w:sz w:val="24"/>
          <w:highlight w:val="none"/>
        </w:rPr>
      </w:pPr>
      <w:r>
        <w:rPr>
          <w:color w:val="auto"/>
          <w:sz w:val="24"/>
          <w:highlight w:val="none"/>
        </w:rPr>
        <w:t>1.2.1.5消防系统</w:t>
      </w:r>
    </w:p>
    <w:p w14:paraId="02325014">
      <w:pPr>
        <w:adjustRightInd w:val="0"/>
        <w:snapToGrid w:val="0"/>
        <w:spacing w:line="360" w:lineRule="auto"/>
        <w:ind w:firstLine="480" w:firstLineChars="200"/>
        <w:rPr>
          <w:color w:val="auto"/>
          <w:sz w:val="24"/>
          <w:highlight w:val="none"/>
        </w:rPr>
      </w:pPr>
      <w:r>
        <w:rPr>
          <w:color w:val="auto"/>
          <w:sz w:val="24"/>
          <w:highlight w:val="none"/>
        </w:rPr>
        <w:t>水消防平面布置图；</w:t>
      </w:r>
    </w:p>
    <w:p w14:paraId="78EEEFD5">
      <w:pPr>
        <w:adjustRightInd w:val="0"/>
        <w:snapToGrid w:val="0"/>
        <w:spacing w:line="360" w:lineRule="auto"/>
        <w:rPr>
          <w:color w:val="auto"/>
          <w:sz w:val="24"/>
          <w:highlight w:val="none"/>
        </w:rPr>
      </w:pPr>
      <w:r>
        <w:rPr>
          <w:color w:val="auto"/>
          <w:sz w:val="24"/>
          <w:highlight w:val="none"/>
        </w:rPr>
        <w:t>1.2.1.6给水排水系统</w:t>
      </w:r>
    </w:p>
    <w:p w14:paraId="08DE61DE">
      <w:pPr>
        <w:numPr>
          <w:ilvl w:val="0"/>
          <w:numId w:val="14"/>
        </w:numPr>
        <w:adjustRightInd w:val="0"/>
        <w:snapToGrid w:val="0"/>
        <w:spacing w:line="360" w:lineRule="auto"/>
        <w:rPr>
          <w:color w:val="auto"/>
          <w:sz w:val="24"/>
          <w:highlight w:val="none"/>
        </w:rPr>
      </w:pPr>
      <w:r>
        <w:rPr>
          <w:color w:val="auto"/>
          <w:sz w:val="24"/>
          <w:highlight w:val="none"/>
        </w:rPr>
        <w:t>雨水排水系统图；</w:t>
      </w:r>
    </w:p>
    <w:p w14:paraId="7EB7B91A">
      <w:pPr>
        <w:numPr>
          <w:ilvl w:val="0"/>
          <w:numId w:val="14"/>
        </w:numPr>
        <w:adjustRightInd w:val="0"/>
        <w:snapToGrid w:val="0"/>
        <w:spacing w:line="360" w:lineRule="auto"/>
        <w:rPr>
          <w:color w:val="auto"/>
          <w:sz w:val="24"/>
          <w:highlight w:val="none"/>
        </w:rPr>
      </w:pPr>
      <w:r>
        <w:rPr>
          <w:color w:val="auto"/>
          <w:sz w:val="24"/>
          <w:highlight w:val="none"/>
        </w:rPr>
        <w:t>雨水排水平面布置图；</w:t>
      </w:r>
      <w:bookmarkEnd w:id="189"/>
    </w:p>
    <w:p w14:paraId="1563CC15">
      <w:pPr>
        <w:adjustRightInd w:val="0"/>
        <w:snapToGrid w:val="0"/>
        <w:spacing w:line="360" w:lineRule="auto"/>
        <w:rPr>
          <w:color w:val="auto"/>
          <w:sz w:val="24"/>
          <w:highlight w:val="none"/>
        </w:rPr>
      </w:pPr>
      <w:r>
        <w:rPr>
          <w:color w:val="auto"/>
          <w:sz w:val="24"/>
          <w:highlight w:val="none"/>
        </w:rPr>
        <w:t>1.2.1.</w:t>
      </w:r>
      <w:r>
        <w:rPr>
          <w:rFonts w:hint="eastAsia"/>
          <w:color w:val="auto"/>
          <w:sz w:val="24"/>
          <w:highlight w:val="none"/>
          <w:lang w:val="en-US" w:eastAsia="zh-CN"/>
        </w:rPr>
        <w:t>7</w:t>
      </w:r>
      <w:r>
        <w:rPr>
          <w:color w:val="auto"/>
          <w:sz w:val="24"/>
          <w:highlight w:val="none"/>
        </w:rPr>
        <w:t>土木建筑工程</w:t>
      </w:r>
    </w:p>
    <w:p w14:paraId="0F3ED315">
      <w:pPr>
        <w:numPr>
          <w:ilvl w:val="0"/>
          <w:numId w:val="14"/>
        </w:numPr>
        <w:adjustRightInd w:val="0"/>
        <w:snapToGrid w:val="0"/>
        <w:spacing w:line="360" w:lineRule="auto"/>
        <w:rPr>
          <w:color w:val="auto"/>
          <w:sz w:val="24"/>
          <w:highlight w:val="none"/>
        </w:rPr>
      </w:pPr>
      <w:r>
        <w:rPr>
          <w:color w:val="auto"/>
          <w:sz w:val="24"/>
          <w:highlight w:val="none"/>
        </w:rPr>
        <w:t>脱硫系统区域总平面布置图；</w:t>
      </w:r>
    </w:p>
    <w:p w14:paraId="3245D8B6">
      <w:pPr>
        <w:numPr>
          <w:ilvl w:val="0"/>
          <w:numId w:val="14"/>
        </w:numPr>
        <w:adjustRightInd w:val="0"/>
        <w:snapToGrid w:val="0"/>
        <w:spacing w:line="360" w:lineRule="auto"/>
        <w:rPr>
          <w:color w:val="auto"/>
          <w:sz w:val="24"/>
          <w:highlight w:val="none"/>
        </w:rPr>
      </w:pPr>
      <w:r>
        <w:rPr>
          <w:color w:val="auto"/>
          <w:sz w:val="24"/>
          <w:highlight w:val="none"/>
        </w:rPr>
        <w:t>脱硫系统各建筑物建筑布置图；</w:t>
      </w:r>
    </w:p>
    <w:p w14:paraId="532957EC">
      <w:pPr>
        <w:adjustRightInd w:val="0"/>
        <w:snapToGrid w:val="0"/>
        <w:spacing w:line="360" w:lineRule="auto"/>
        <w:rPr>
          <w:color w:val="auto"/>
          <w:sz w:val="24"/>
          <w:highlight w:val="none"/>
        </w:rPr>
      </w:pPr>
      <w:r>
        <w:rPr>
          <w:color w:val="auto"/>
          <w:sz w:val="24"/>
          <w:highlight w:val="none"/>
        </w:rPr>
        <w:t>1.2.2施工图设计</w:t>
      </w:r>
    </w:p>
    <w:p w14:paraId="443D7DE6">
      <w:pPr>
        <w:adjustRightInd w:val="0"/>
        <w:snapToGrid w:val="0"/>
        <w:spacing w:line="360" w:lineRule="auto"/>
        <w:ind w:firstLine="480" w:firstLineChars="200"/>
        <w:rPr>
          <w:color w:val="auto"/>
          <w:sz w:val="24"/>
          <w:highlight w:val="none"/>
        </w:rPr>
      </w:pPr>
      <w:r>
        <w:rPr>
          <w:color w:val="auto"/>
          <w:sz w:val="24"/>
          <w:highlight w:val="none"/>
        </w:rPr>
        <w:t>施工图设计包括从基本设计后到工程结束前的所有设计图纸、文件，在基本设计中未明确规定的该工程所需的所有设计内容均属施工图设计范畴。</w:t>
      </w:r>
    </w:p>
    <w:p w14:paraId="78CD11D1">
      <w:pPr>
        <w:adjustRightInd w:val="0"/>
        <w:snapToGrid w:val="0"/>
        <w:spacing w:line="360" w:lineRule="auto"/>
        <w:ind w:firstLine="480" w:firstLineChars="200"/>
        <w:rPr>
          <w:color w:val="auto"/>
          <w:sz w:val="24"/>
          <w:highlight w:val="none"/>
        </w:rPr>
      </w:pPr>
      <w:r>
        <w:rPr>
          <w:color w:val="auto"/>
          <w:sz w:val="24"/>
          <w:highlight w:val="none"/>
        </w:rPr>
        <w:t>施工图设计文件内容和深度应符合约定的标准和规定的要求。</w:t>
      </w:r>
    </w:p>
    <w:p w14:paraId="6E5B9962">
      <w:pPr>
        <w:adjustRightInd w:val="0"/>
        <w:snapToGrid w:val="0"/>
        <w:spacing w:line="360" w:lineRule="auto"/>
        <w:ind w:firstLine="480" w:firstLineChars="200"/>
        <w:rPr>
          <w:color w:val="auto"/>
          <w:sz w:val="24"/>
          <w:highlight w:val="none"/>
        </w:rPr>
      </w:pPr>
      <w:r>
        <w:rPr>
          <w:color w:val="auto"/>
          <w:sz w:val="24"/>
          <w:highlight w:val="none"/>
        </w:rPr>
        <w:t>施工图设计应根据经</w:t>
      </w:r>
      <w:r>
        <w:rPr>
          <w:rFonts w:hint="eastAsia"/>
          <w:color w:val="auto"/>
          <w:sz w:val="24"/>
          <w:highlight w:val="none"/>
          <w:lang w:eastAsia="zh-CN"/>
        </w:rPr>
        <w:t>招标方</w:t>
      </w:r>
      <w:r>
        <w:rPr>
          <w:color w:val="auto"/>
          <w:sz w:val="24"/>
          <w:highlight w:val="none"/>
        </w:rPr>
        <w:t>确认后的基本设计文件进行。</w:t>
      </w:r>
    </w:p>
    <w:p w14:paraId="282203EB">
      <w:pPr>
        <w:adjustRightInd w:val="0"/>
        <w:snapToGrid w:val="0"/>
        <w:spacing w:line="360" w:lineRule="auto"/>
        <w:ind w:firstLine="480" w:firstLineChars="200"/>
        <w:rPr>
          <w:color w:val="auto"/>
          <w:sz w:val="24"/>
          <w:highlight w:val="none"/>
        </w:rPr>
      </w:pPr>
      <w:r>
        <w:rPr>
          <w:color w:val="auto"/>
          <w:sz w:val="24"/>
          <w:highlight w:val="none"/>
        </w:rPr>
        <w:t>施工图设计文件至少包括，但不限于此：</w:t>
      </w:r>
    </w:p>
    <w:p w14:paraId="63BE2558">
      <w:pPr>
        <w:adjustRightInd w:val="0"/>
        <w:snapToGrid w:val="0"/>
        <w:spacing w:line="360" w:lineRule="auto"/>
        <w:rPr>
          <w:color w:val="auto"/>
          <w:sz w:val="24"/>
          <w:highlight w:val="none"/>
        </w:rPr>
      </w:pPr>
      <w:r>
        <w:rPr>
          <w:color w:val="auto"/>
          <w:sz w:val="24"/>
          <w:highlight w:val="none"/>
        </w:rPr>
        <w:t>1.2.2.1工艺部分</w:t>
      </w:r>
    </w:p>
    <w:p w14:paraId="2C7F576D">
      <w:pPr>
        <w:numPr>
          <w:ilvl w:val="0"/>
          <w:numId w:val="14"/>
        </w:numPr>
        <w:adjustRightInd w:val="0"/>
        <w:snapToGrid w:val="0"/>
        <w:spacing w:line="360" w:lineRule="auto"/>
        <w:rPr>
          <w:color w:val="auto"/>
          <w:sz w:val="24"/>
          <w:highlight w:val="none"/>
        </w:rPr>
      </w:pPr>
      <w:r>
        <w:rPr>
          <w:rFonts w:hint="eastAsia"/>
          <w:color w:val="auto"/>
          <w:sz w:val="24"/>
          <w:highlight w:val="none"/>
          <w:lang w:val="en-US" w:eastAsia="zh-CN"/>
        </w:rPr>
        <w:t>供货范围内</w:t>
      </w:r>
      <w:r>
        <w:rPr>
          <w:color w:val="auto"/>
          <w:sz w:val="24"/>
          <w:highlight w:val="none"/>
        </w:rPr>
        <w:t>施工图设计总说明；</w:t>
      </w:r>
    </w:p>
    <w:p w14:paraId="55FDF313">
      <w:pPr>
        <w:numPr>
          <w:ilvl w:val="0"/>
          <w:numId w:val="14"/>
        </w:numPr>
        <w:adjustRightInd w:val="0"/>
        <w:snapToGrid w:val="0"/>
        <w:spacing w:line="360" w:lineRule="auto"/>
        <w:rPr>
          <w:color w:val="auto"/>
          <w:sz w:val="24"/>
          <w:highlight w:val="none"/>
        </w:rPr>
      </w:pPr>
      <w:bookmarkStart w:id="190" w:name="OLE_LINK46"/>
      <w:r>
        <w:rPr>
          <w:rFonts w:hint="eastAsia"/>
          <w:color w:val="auto"/>
          <w:sz w:val="24"/>
          <w:highlight w:val="none"/>
          <w:lang w:val="en-US" w:eastAsia="zh-CN"/>
        </w:rPr>
        <w:t>供货范围内</w:t>
      </w:r>
      <w:bookmarkEnd w:id="190"/>
      <w:r>
        <w:rPr>
          <w:rFonts w:hint="eastAsia"/>
          <w:color w:val="auto"/>
          <w:sz w:val="24"/>
          <w:highlight w:val="none"/>
          <w:lang w:val="en-US" w:eastAsia="zh-CN"/>
        </w:rPr>
        <w:t>设备</w:t>
      </w:r>
      <w:r>
        <w:rPr>
          <w:color w:val="auto"/>
          <w:sz w:val="24"/>
          <w:highlight w:val="none"/>
        </w:rPr>
        <w:t>的总布置图；</w:t>
      </w:r>
    </w:p>
    <w:p w14:paraId="1422BF16">
      <w:pPr>
        <w:numPr>
          <w:ilvl w:val="0"/>
          <w:numId w:val="14"/>
        </w:numPr>
        <w:adjustRightInd w:val="0"/>
        <w:snapToGrid w:val="0"/>
        <w:spacing w:line="360" w:lineRule="auto"/>
        <w:rPr>
          <w:color w:val="auto"/>
          <w:sz w:val="24"/>
          <w:highlight w:val="none"/>
        </w:rPr>
      </w:pPr>
      <w:r>
        <w:rPr>
          <w:rFonts w:hint="eastAsia"/>
          <w:color w:val="auto"/>
          <w:sz w:val="24"/>
          <w:highlight w:val="none"/>
          <w:lang w:val="en-US" w:eastAsia="zh-CN"/>
        </w:rPr>
        <w:t>供货范围内装置</w:t>
      </w:r>
      <w:r>
        <w:rPr>
          <w:color w:val="auto"/>
          <w:sz w:val="24"/>
          <w:highlight w:val="none"/>
        </w:rPr>
        <w:t>安装图；</w:t>
      </w:r>
    </w:p>
    <w:p w14:paraId="66644982">
      <w:pPr>
        <w:numPr>
          <w:ilvl w:val="0"/>
          <w:numId w:val="14"/>
        </w:numPr>
        <w:adjustRightInd w:val="0"/>
        <w:snapToGrid w:val="0"/>
        <w:spacing w:line="360" w:lineRule="auto"/>
        <w:rPr>
          <w:color w:val="auto"/>
          <w:sz w:val="24"/>
          <w:highlight w:val="none"/>
        </w:rPr>
      </w:pPr>
      <w:r>
        <w:rPr>
          <w:color w:val="auto"/>
          <w:sz w:val="24"/>
          <w:highlight w:val="none"/>
        </w:rPr>
        <w:t>吸收塔及非标准箱罐的工厂制造图；</w:t>
      </w:r>
    </w:p>
    <w:p w14:paraId="04712BD3">
      <w:pPr>
        <w:numPr>
          <w:ilvl w:val="0"/>
          <w:numId w:val="14"/>
        </w:numPr>
        <w:adjustRightInd w:val="0"/>
        <w:snapToGrid w:val="0"/>
        <w:spacing w:line="360" w:lineRule="auto"/>
        <w:rPr>
          <w:color w:val="auto"/>
          <w:sz w:val="24"/>
          <w:highlight w:val="none"/>
        </w:rPr>
      </w:pPr>
      <w:r>
        <w:rPr>
          <w:rFonts w:hint="eastAsia"/>
          <w:color w:val="auto"/>
          <w:sz w:val="24"/>
          <w:highlight w:val="none"/>
          <w:lang w:val="en-US" w:eastAsia="zh-CN"/>
        </w:rPr>
        <w:t>供货范围内</w:t>
      </w:r>
      <w:r>
        <w:rPr>
          <w:color w:val="auto"/>
          <w:sz w:val="24"/>
          <w:highlight w:val="none"/>
        </w:rPr>
        <w:t>平台扶梯、检修轨道和吊车的安装图；</w:t>
      </w:r>
    </w:p>
    <w:p w14:paraId="46945DD4">
      <w:pPr>
        <w:numPr>
          <w:ilvl w:val="0"/>
          <w:numId w:val="14"/>
        </w:numPr>
        <w:adjustRightInd w:val="0"/>
        <w:snapToGrid w:val="0"/>
        <w:spacing w:line="360" w:lineRule="auto"/>
        <w:rPr>
          <w:color w:val="auto"/>
          <w:sz w:val="24"/>
          <w:highlight w:val="none"/>
        </w:rPr>
      </w:pPr>
      <w:r>
        <w:rPr>
          <w:rFonts w:hint="eastAsia"/>
          <w:color w:val="auto"/>
          <w:sz w:val="24"/>
          <w:highlight w:val="none"/>
          <w:lang w:val="en-US" w:eastAsia="zh-CN"/>
        </w:rPr>
        <w:t>供货范围内</w:t>
      </w:r>
      <w:r>
        <w:rPr>
          <w:color w:val="auto"/>
          <w:sz w:val="24"/>
          <w:highlight w:val="none"/>
        </w:rPr>
        <w:t>所有管道安装图,包括支吊架详图；</w:t>
      </w:r>
    </w:p>
    <w:p w14:paraId="7A5E6637">
      <w:pPr>
        <w:numPr>
          <w:ilvl w:val="0"/>
          <w:numId w:val="14"/>
        </w:numPr>
        <w:adjustRightInd w:val="0"/>
        <w:snapToGrid w:val="0"/>
        <w:spacing w:line="360" w:lineRule="auto"/>
        <w:rPr>
          <w:color w:val="auto"/>
          <w:sz w:val="24"/>
          <w:highlight w:val="none"/>
        </w:rPr>
      </w:pPr>
      <w:r>
        <w:rPr>
          <w:color w:val="auto"/>
          <w:sz w:val="24"/>
          <w:highlight w:val="none"/>
        </w:rPr>
        <w:t>设备和材料总清单；</w:t>
      </w:r>
    </w:p>
    <w:p w14:paraId="760AF0C9">
      <w:pPr>
        <w:numPr>
          <w:ilvl w:val="0"/>
          <w:numId w:val="14"/>
        </w:numPr>
        <w:adjustRightInd w:val="0"/>
        <w:snapToGrid w:val="0"/>
        <w:spacing w:line="360" w:lineRule="auto"/>
        <w:rPr>
          <w:color w:val="auto"/>
          <w:sz w:val="24"/>
          <w:highlight w:val="none"/>
        </w:rPr>
      </w:pPr>
      <w:r>
        <w:rPr>
          <w:rFonts w:hint="eastAsia"/>
          <w:color w:val="auto"/>
          <w:sz w:val="24"/>
          <w:highlight w:val="none"/>
          <w:lang w:val="en-US" w:eastAsia="zh-CN"/>
        </w:rPr>
        <w:t>供货范围内</w:t>
      </w:r>
      <w:r>
        <w:rPr>
          <w:color w:val="auto"/>
          <w:sz w:val="24"/>
          <w:highlight w:val="none"/>
        </w:rPr>
        <w:t>油漆和保温施工图设计；</w:t>
      </w:r>
    </w:p>
    <w:p w14:paraId="74BE0C1A">
      <w:pPr>
        <w:numPr>
          <w:ilvl w:val="0"/>
          <w:numId w:val="14"/>
        </w:numPr>
        <w:adjustRightInd w:val="0"/>
        <w:snapToGrid w:val="0"/>
        <w:spacing w:line="360" w:lineRule="auto"/>
        <w:rPr>
          <w:color w:val="auto"/>
          <w:sz w:val="24"/>
          <w:highlight w:val="none"/>
        </w:rPr>
      </w:pPr>
      <w:r>
        <w:rPr>
          <w:color w:val="auto"/>
          <w:sz w:val="24"/>
          <w:highlight w:val="none"/>
        </w:rPr>
        <w:t>防腐设计</w:t>
      </w:r>
      <w:r>
        <w:rPr>
          <w:rFonts w:hint="eastAsia"/>
          <w:color w:val="auto"/>
          <w:sz w:val="24"/>
          <w:highlight w:val="none"/>
          <w:lang w:eastAsia="zh-CN"/>
        </w:rPr>
        <w:t>，</w:t>
      </w:r>
      <w:r>
        <w:rPr>
          <w:rFonts w:hint="eastAsia"/>
          <w:color w:val="auto"/>
          <w:sz w:val="24"/>
          <w:highlight w:val="none"/>
          <w:lang w:val="en-US" w:eastAsia="zh-CN"/>
        </w:rPr>
        <w:t>包括水泥结构罐箱、沟道、地下水池</w:t>
      </w:r>
      <w:r>
        <w:rPr>
          <w:color w:val="auto"/>
          <w:sz w:val="24"/>
          <w:highlight w:val="none"/>
        </w:rPr>
        <w:t>。</w:t>
      </w:r>
    </w:p>
    <w:p w14:paraId="49D9F294">
      <w:pPr>
        <w:adjustRightInd w:val="0"/>
        <w:snapToGrid w:val="0"/>
        <w:spacing w:line="360" w:lineRule="auto"/>
        <w:rPr>
          <w:color w:val="auto"/>
          <w:sz w:val="24"/>
          <w:highlight w:val="none"/>
        </w:rPr>
      </w:pPr>
      <w:r>
        <w:rPr>
          <w:color w:val="auto"/>
          <w:sz w:val="24"/>
          <w:highlight w:val="none"/>
        </w:rPr>
        <w:t>1.2.2.2仪表和控制部分</w:t>
      </w:r>
    </w:p>
    <w:p w14:paraId="16548D95">
      <w:pPr>
        <w:numPr>
          <w:ilvl w:val="0"/>
          <w:numId w:val="14"/>
        </w:numPr>
        <w:adjustRightInd w:val="0"/>
        <w:snapToGrid w:val="0"/>
        <w:spacing w:line="360" w:lineRule="auto"/>
        <w:rPr>
          <w:color w:val="auto"/>
          <w:sz w:val="24"/>
          <w:highlight w:val="none"/>
        </w:rPr>
      </w:pPr>
      <w:r>
        <w:rPr>
          <w:color w:val="auto"/>
          <w:sz w:val="24"/>
          <w:highlight w:val="none"/>
        </w:rPr>
        <w:t>施工图总说明；</w:t>
      </w:r>
    </w:p>
    <w:p w14:paraId="486636CE">
      <w:pPr>
        <w:numPr>
          <w:ilvl w:val="0"/>
          <w:numId w:val="14"/>
        </w:numPr>
        <w:adjustRightInd w:val="0"/>
        <w:snapToGrid w:val="0"/>
        <w:spacing w:line="360" w:lineRule="auto"/>
        <w:rPr>
          <w:color w:val="auto"/>
          <w:sz w:val="24"/>
          <w:highlight w:val="none"/>
        </w:rPr>
      </w:pPr>
      <w:r>
        <w:rPr>
          <w:color w:val="auto"/>
          <w:sz w:val="24"/>
          <w:highlight w:val="none"/>
        </w:rPr>
        <w:t>工艺各系统的PID图；</w:t>
      </w:r>
    </w:p>
    <w:p w14:paraId="54DD97C8">
      <w:pPr>
        <w:numPr>
          <w:ilvl w:val="0"/>
          <w:numId w:val="14"/>
        </w:numPr>
        <w:adjustRightInd w:val="0"/>
        <w:snapToGrid w:val="0"/>
        <w:spacing w:line="360" w:lineRule="auto"/>
        <w:rPr>
          <w:color w:val="auto"/>
          <w:sz w:val="24"/>
          <w:highlight w:val="none"/>
        </w:rPr>
      </w:pPr>
      <w:r>
        <w:rPr>
          <w:color w:val="auto"/>
          <w:sz w:val="24"/>
          <w:highlight w:val="none"/>
        </w:rPr>
        <w:t>电子室布置图；</w:t>
      </w:r>
    </w:p>
    <w:p w14:paraId="20336C40">
      <w:pPr>
        <w:numPr>
          <w:ilvl w:val="0"/>
          <w:numId w:val="14"/>
        </w:numPr>
        <w:adjustRightInd w:val="0"/>
        <w:snapToGrid w:val="0"/>
        <w:spacing w:line="360" w:lineRule="auto"/>
        <w:rPr>
          <w:color w:val="auto"/>
          <w:sz w:val="24"/>
          <w:highlight w:val="none"/>
        </w:rPr>
      </w:pPr>
      <w:r>
        <w:rPr>
          <w:color w:val="auto"/>
          <w:sz w:val="24"/>
          <w:highlight w:val="none"/>
        </w:rPr>
        <w:t>详细的设备材料清单；</w:t>
      </w:r>
    </w:p>
    <w:p w14:paraId="0E162FC8">
      <w:pPr>
        <w:numPr>
          <w:ilvl w:val="0"/>
          <w:numId w:val="14"/>
        </w:numPr>
        <w:adjustRightInd w:val="0"/>
        <w:snapToGrid w:val="0"/>
        <w:spacing w:line="360" w:lineRule="auto"/>
        <w:rPr>
          <w:color w:val="auto"/>
          <w:sz w:val="24"/>
          <w:highlight w:val="none"/>
        </w:rPr>
      </w:pPr>
      <w:r>
        <w:rPr>
          <w:color w:val="auto"/>
          <w:sz w:val="24"/>
          <w:highlight w:val="none"/>
        </w:rPr>
        <w:t>原理及安装接线图；</w:t>
      </w:r>
    </w:p>
    <w:p w14:paraId="0FCD879C">
      <w:pPr>
        <w:numPr>
          <w:ilvl w:val="0"/>
          <w:numId w:val="14"/>
        </w:numPr>
        <w:adjustRightInd w:val="0"/>
        <w:snapToGrid w:val="0"/>
        <w:spacing w:line="360" w:lineRule="auto"/>
        <w:rPr>
          <w:color w:val="auto"/>
          <w:sz w:val="24"/>
          <w:highlight w:val="none"/>
        </w:rPr>
      </w:pPr>
      <w:r>
        <w:rPr>
          <w:color w:val="auto"/>
          <w:sz w:val="24"/>
          <w:highlight w:val="none"/>
        </w:rPr>
        <w:t>控制电缆主通道走向图；</w:t>
      </w:r>
    </w:p>
    <w:p w14:paraId="3235BAFB">
      <w:pPr>
        <w:numPr>
          <w:ilvl w:val="0"/>
          <w:numId w:val="14"/>
        </w:numPr>
        <w:adjustRightInd w:val="0"/>
        <w:snapToGrid w:val="0"/>
        <w:spacing w:line="360" w:lineRule="auto"/>
        <w:rPr>
          <w:color w:val="auto"/>
          <w:sz w:val="24"/>
          <w:highlight w:val="none"/>
        </w:rPr>
      </w:pPr>
      <w:r>
        <w:rPr>
          <w:color w:val="auto"/>
          <w:sz w:val="24"/>
          <w:highlight w:val="none"/>
        </w:rPr>
        <w:t>分包商的相关图纸资料；</w:t>
      </w:r>
    </w:p>
    <w:p w14:paraId="6778B7D0">
      <w:pPr>
        <w:numPr>
          <w:ilvl w:val="0"/>
          <w:numId w:val="14"/>
        </w:numPr>
        <w:adjustRightInd w:val="0"/>
        <w:snapToGrid w:val="0"/>
        <w:spacing w:line="360" w:lineRule="auto"/>
        <w:rPr>
          <w:color w:val="auto"/>
          <w:sz w:val="24"/>
          <w:highlight w:val="none"/>
        </w:rPr>
      </w:pPr>
      <w:r>
        <w:rPr>
          <w:color w:val="auto"/>
          <w:sz w:val="24"/>
          <w:highlight w:val="none"/>
        </w:rPr>
        <w:t>脱硫DCS系统端子出线图。</w:t>
      </w:r>
    </w:p>
    <w:p w14:paraId="22157D3E">
      <w:pPr>
        <w:adjustRightInd w:val="0"/>
        <w:snapToGrid w:val="0"/>
        <w:spacing w:line="360" w:lineRule="auto"/>
        <w:rPr>
          <w:color w:val="auto"/>
          <w:sz w:val="24"/>
          <w:highlight w:val="none"/>
        </w:rPr>
      </w:pPr>
      <w:r>
        <w:rPr>
          <w:color w:val="auto"/>
          <w:sz w:val="24"/>
          <w:highlight w:val="none"/>
        </w:rPr>
        <w:t>1.2.2.3电气部分</w:t>
      </w:r>
    </w:p>
    <w:p w14:paraId="130425D1">
      <w:pPr>
        <w:numPr>
          <w:ilvl w:val="0"/>
          <w:numId w:val="14"/>
        </w:numPr>
        <w:adjustRightInd w:val="0"/>
        <w:snapToGrid w:val="0"/>
        <w:spacing w:line="360" w:lineRule="auto"/>
        <w:rPr>
          <w:color w:val="auto"/>
          <w:sz w:val="24"/>
          <w:highlight w:val="none"/>
        </w:rPr>
      </w:pPr>
      <w:r>
        <w:rPr>
          <w:color w:val="auto"/>
          <w:sz w:val="24"/>
          <w:highlight w:val="none"/>
        </w:rPr>
        <w:t>供电系统原理接线图；</w:t>
      </w:r>
    </w:p>
    <w:p w14:paraId="7A5E6B85">
      <w:pPr>
        <w:numPr>
          <w:ilvl w:val="0"/>
          <w:numId w:val="14"/>
        </w:numPr>
        <w:adjustRightInd w:val="0"/>
        <w:snapToGrid w:val="0"/>
        <w:spacing w:line="360" w:lineRule="auto"/>
        <w:rPr>
          <w:color w:val="auto"/>
          <w:sz w:val="24"/>
          <w:highlight w:val="none"/>
        </w:rPr>
      </w:pPr>
      <w:r>
        <w:rPr>
          <w:color w:val="auto"/>
          <w:sz w:val="24"/>
          <w:highlight w:val="none"/>
        </w:rPr>
        <w:t>电气平面布置图；</w:t>
      </w:r>
    </w:p>
    <w:p w14:paraId="7C9FA342">
      <w:pPr>
        <w:numPr>
          <w:ilvl w:val="0"/>
          <w:numId w:val="14"/>
        </w:numPr>
        <w:adjustRightInd w:val="0"/>
        <w:snapToGrid w:val="0"/>
        <w:spacing w:line="360" w:lineRule="auto"/>
        <w:rPr>
          <w:color w:val="auto"/>
          <w:sz w:val="24"/>
          <w:highlight w:val="none"/>
        </w:rPr>
      </w:pPr>
      <w:r>
        <w:rPr>
          <w:color w:val="auto"/>
          <w:sz w:val="24"/>
          <w:highlight w:val="none"/>
        </w:rPr>
        <w:t>220／380V配电装置配置图；</w:t>
      </w:r>
    </w:p>
    <w:p w14:paraId="7742FA94">
      <w:pPr>
        <w:numPr>
          <w:ilvl w:val="0"/>
          <w:numId w:val="14"/>
        </w:numPr>
        <w:adjustRightInd w:val="0"/>
        <w:snapToGrid w:val="0"/>
        <w:spacing w:line="360" w:lineRule="auto"/>
        <w:rPr>
          <w:color w:val="auto"/>
          <w:sz w:val="24"/>
          <w:highlight w:val="none"/>
        </w:rPr>
      </w:pPr>
      <w:r>
        <w:rPr>
          <w:color w:val="auto"/>
          <w:sz w:val="24"/>
          <w:highlight w:val="none"/>
        </w:rPr>
        <w:t>电气设备布置安装图；</w:t>
      </w:r>
    </w:p>
    <w:p w14:paraId="26A277DF">
      <w:pPr>
        <w:numPr>
          <w:ilvl w:val="0"/>
          <w:numId w:val="14"/>
        </w:numPr>
        <w:adjustRightInd w:val="0"/>
        <w:snapToGrid w:val="0"/>
        <w:spacing w:line="360" w:lineRule="auto"/>
        <w:rPr>
          <w:color w:val="auto"/>
          <w:sz w:val="24"/>
          <w:highlight w:val="none"/>
        </w:rPr>
      </w:pPr>
      <w:r>
        <w:rPr>
          <w:color w:val="auto"/>
          <w:sz w:val="24"/>
          <w:highlight w:val="none"/>
        </w:rPr>
        <w:t>通信及火灾报警系统；</w:t>
      </w:r>
    </w:p>
    <w:p w14:paraId="752C39CB">
      <w:pPr>
        <w:numPr>
          <w:ilvl w:val="0"/>
          <w:numId w:val="14"/>
        </w:numPr>
        <w:adjustRightInd w:val="0"/>
        <w:snapToGrid w:val="0"/>
        <w:spacing w:line="360" w:lineRule="auto"/>
        <w:rPr>
          <w:color w:val="auto"/>
          <w:sz w:val="24"/>
          <w:highlight w:val="none"/>
        </w:rPr>
      </w:pPr>
      <w:r>
        <w:rPr>
          <w:color w:val="auto"/>
          <w:sz w:val="24"/>
          <w:highlight w:val="none"/>
        </w:rPr>
        <w:t>设备及材料清册。</w:t>
      </w:r>
    </w:p>
    <w:p w14:paraId="2EA78BC3">
      <w:pPr>
        <w:numPr>
          <w:ilvl w:val="0"/>
          <w:numId w:val="14"/>
        </w:numPr>
        <w:adjustRightInd w:val="0"/>
        <w:snapToGrid w:val="0"/>
        <w:spacing w:line="360" w:lineRule="auto"/>
        <w:rPr>
          <w:color w:val="auto"/>
          <w:sz w:val="24"/>
          <w:highlight w:val="none"/>
        </w:rPr>
      </w:pPr>
      <w:r>
        <w:rPr>
          <w:color w:val="auto"/>
          <w:sz w:val="24"/>
          <w:highlight w:val="none"/>
        </w:rPr>
        <w:t>防雷接地；</w:t>
      </w:r>
    </w:p>
    <w:p w14:paraId="22D1546C">
      <w:pPr>
        <w:adjustRightInd w:val="0"/>
        <w:snapToGrid w:val="0"/>
        <w:spacing w:line="360" w:lineRule="auto"/>
        <w:rPr>
          <w:color w:val="auto"/>
          <w:sz w:val="24"/>
          <w:highlight w:val="none"/>
        </w:rPr>
      </w:pPr>
      <w:r>
        <w:rPr>
          <w:color w:val="auto"/>
          <w:sz w:val="24"/>
          <w:highlight w:val="none"/>
        </w:rPr>
        <w:t>1.2.2.4采暖通风及空调部分</w:t>
      </w:r>
    </w:p>
    <w:p w14:paraId="5F42D612">
      <w:pPr>
        <w:numPr>
          <w:ilvl w:val="0"/>
          <w:numId w:val="14"/>
        </w:numPr>
        <w:adjustRightInd w:val="0"/>
        <w:snapToGrid w:val="0"/>
        <w:spacing w:line="360" w:lineRule="auto"/>
        <w:rPr>
          <w:color w:val="auto"/>
          <w:sz w:val="24"/>
          <w:highlight w:val="none"/>
        </w:rPr>
      </w:pPr>
      <w:r>
        <w:rPr>
          <w:color w:val="auto"/>
          <w:sz w:val="24"/>
          <w:highlight w:val="none"/>
        </w:rPr>
        <w:t>施工总说明；</w:t>
      </w:r>
    </w:p>
    <w:p w14:paraId="1E507E6C">
      <w:pPr>
        <w:numPr>
          <w:ilvl w:val="0"/>
          <w:numId w:val="14"/>
        </w:numPr>
        <w:adjustRightInd w:val="0"/>
        <w:snapToGrid w:val="0"/>
        <w:spacing w:line="360" w:lineRule="auto"/>
        <w:rPr>
          <w:color w:val="auto"/>
          <w:sz w:val="24"/>
          <w:highlight w:val="none"/>
        </w:rPr>
      </w:pPr>
      <w:r>
        <w:rPr>
          <w:color w:val="auto"/>
          <w:sz w:val="24"/>
          <w:highlight w:val="none"/>
        </w:rPr>
        <w:t>设备及材料清册。</w:t>
      </w:r>
    </w:p>
    <w:p w14:paraId="18C74075">
      <w:pPr>
        <w:adjustRightInd w:val="0"/>
        <w:snapToGrid w:val="0"/>
        <w:spacing w:line="360" w:lineRule="auto"/>
        <w:rPr>
          <w:color w:val="auto"/>
          <w:sz w:val="24"/>
          <w:highlight w:val="none"/>
        </w:rPr>
      </w:pPr>
      <w:r>
        <w:rPr>
          <w:color w:val="auto"/>
          <w:sz w:val="24"/>
          <w:highlight w:val="none"/>
        </w:rPr>
        <w:t>1.2.2.5消防部分</w:t>
      </w:r>
    </w:p>
    <w:p w14:paraId="46AA4BC2">
      <w:pPr>
        <w:numPr>
          <w:ilvl w:val="0"/>
          <w:numId w:val="14"/>
        </w:numPr>
        <w:adjustRightInd w:val="0"/>
        <w:snapToGrid w:val="0"/>
        <w:spacing w:line="360" w:lineRule="auto"/>
        <w:rPr>
          <w:color w:val="auto"/>
          <w:sz w:val="24"/>
          <w:highlight w:val="none"/>
        </w:rPr>
      </w:pPr>
      <w:r>
        <w:rPr>
          <w:color w:val="auto"/>
          <w:sz w:val="24"/>
          <w:highlight w:val="none"/>
        </w:rPr>
        <w:t>消防系统设计施工及运行总说明；</w:t>
      </w:r>
    </w:p>
    <w:p w14:paraId="40774840">
      <w:pPr>
        <w:numPr>
          <w:ilvl w:val="0"/>
          <w:numId w:val="14"/>
        </w:numPr>
        <w:adjustRightInd w:val="0"/>
        <w:snapToGrid w:val="0"/>
        <w:spacing w:line="360" w:lineRule="auto"/>
        <w:rPr>
          <w:color w:val="auto"/>
          <w:sz w:val="24"/>
          <w:highlight w:val="none"/>
        </w:rPr>
      </w:pPr>
      <w:r>
        <w:rPr>
          <w:color w:val="auto"/>
          <w:sz w:val="24"/>
          <w:highlight w:val="none"/>
        </w:rPr>
        <w:t>水消防系统施工图；</w:t>
      </w:r>
    </w:p>
    <w:p w14:paraId="23049D55">
      <w:pPr>
        <w:numPr>
          <w:ilvl w:val="0"/>
          <w:numId w:val="14"/>
        </w:numPr>
        <w:adjustRightInd w:val="0"/>
        <w:snapToGrid w:val="0"/>
        <w:spacing w:line="360" w:lineRule="auto"/>
        <w:rPr>
          <w:color w:val="auto"/>
          <w:sz w:val="24"/>
          <w:highlight w:val="none"/>
        </w:rPr>
      </w:pPr>
      <w:r>
        <w:rPr>
          <w:color w:val="auto"/>
          <w:sz w:val="24"/>
          <w:highlight w:val="none"/>
        </w:rPr>
        <w:t>设备和材料总清单；</w:t>
      </w:r>
    </w:p>
    <w:p w14:paraId="17F99CDD">
      <w:pPr>
        <w:adjustRightInd w:val="0"/>
        <w:snapToGrid w:val="0"/>
        <w:spacing w:line="360" w:lineRule="auto"/>
        <w:rPr>
          <w:color w:val="auto"/>
          <w:sz w:val="24"/>
          <w:highlight w:val="none"/>
        </w:rPr>
      </w:pPr>
      <w:r>
        <w:rPr>
          <w:color w:val="auto"/>
          <w:sz w:val="24"/>
          <w:highlight w:val="none"/>
        </w:rPr>
        <w:t>1.2.2.6给水排水部分</w:t>
      </w:r>
    </w:p>
    <w:p w14:paraId="743A4D43">
      <w:pPr>
        <w:numPr>
          <w:ilvl w:val="0"/>
          <w:numId w:val="14"/>
        </w:numPr>
        <w:adjustRightInd w:val="0"/>
        <w:snapToGrid w:val="0"/>
        <w:spacing w:line="360" w:lineRule="auto"/>
        <w:rPr>
          <w:color w:val="auto"/>
          <w:sz w:val="24"/>
          <w:highlight w:val="none"/>
        </w:rPr>
      </w:pPr>
      <w:r>
        <w:rPr>
          <w:color w:val="auto"/>
          <w:sz w:val="24"/>
          <w:highlight w:val="none"/>
        </w:rPr>
        <w:t>脱硫系统区域排水管道施工图；</w:t>
      </w:r>
    </w:p>
    <w:p w14:paraId="6A528742">
      <w:pPr>
        <w:numPr>
          <w:ilvl w:val="0"/>
          <w:numId w:val="14"/>
        </w:numPr>
        <w:adjustRightInd w:val="0"/>
        <w:snapToGrid w:val="0"/>
        <w:spacing w:line="360" w:lineRule="auto"/>
        <w:rPr>
          <w:color w:val="auto"/>
          <w:sz w:val="24"/>
          <w:highlight w:val="none"/>
        </w:rPr>
      </w:pPr>
      <w:r>
        <w:rPr>
          <w:color w:val="auto"/>
          <w:sz w:val="24"/>
          <w:highlight w:val="none"/>
        </w:rPr>
        <w:t>脱硫系统区域雨水排水管道施工图；</w:t>
      </w:r>
    </w:p>
    <w:p w14:paraId="244EB1E3">
      <w:pPr>
        <w:adjustRightInd w:val="0"/>
        <w:snapToGrid w:val="0"/>
        <w:spacing w:line="360" w:lineRule="auto"/>
        <w:rPr>
          <w:color w:val="auto"/>
          <w:sz w:val="24"/>
          <w:highlight w:val="none"/>
        </w:rPr>
      </w:pPr>
      <w:r>
        <w:rPr>
          <w:color w:val="auto"/>
          <w:sz w:val="24"/>
          <w:highlight w:val="none"/>
        </w:rPr>
        <w:t>1.2.2.</w:t>
      </w:r>
      <w:r>
        <w:rPr>
          <w:rFonts w:hint="eastAsia"/>
          <w:color w:val="auto"/>
          <w:sz w:val="24"/>
          <w:highlight w:val="none"/>
          <w:lang w:val="en-US" w:eastAsia="zh-CN"/>
        </w:rPr>
        <w:t>7</w:t>
      </w:r>
      <w:r>
        <w:rPr>
          <w:rFonts w:hint="eastAsia"/>
          <w:color w:val="auto"/>
          <w:sz w:val="24"/>
          <w:highlight w:val="none"/>
          <w:lang w:eastAsia="zh-CN"/>
        </w:rPr>
        <w:t>投标方</w:t>
      </w:r>
      <w:r>
        <w:rPr>
          <w:color w:val="auto"/>
          <w:sz w:val="24"/>
          <w:highlight w:val="none"/>
        </w:rPr>
        <w:t>应提供的其它文件</w:t>
      </w:r>
    </w:p>
    <w:p w14:paraId="21549E92">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还应提供用于脱硫系统的设计、制造、监造、检验、安装、调试、性能验收、试验和技术指导等文件（包括图纸、各种文字说明、标准清单），和用于</w:t>
      </w:r>
      <w:r>
        <w:rPr>
          <w:rFonts w:hint="eastAsia"/>
          <w:color w:val="auto"/>
          <w:sz w:val="24"/>
          <w:highlight w:val="none"/>
          <w:lang w:val="en-US" w:eastAsia="zh-CN"/>
        </w:rPr>
        <w:t>招标方</w:t>
      </w:r>
      <w:r>
        <w:rPr>
          <w:color w:val="auto"/>
          <w:sz w:val="24"/>
          <w:highlight w:val="none"/>
        </w:rPr>
        <w:t>正确运行和维护的文件。</w:t>
      </w:r>
    </w:p>
    <w:p w14:paraId="5EF177AE">
      <w:pPr>
        <w:pStyle w:val="3"/>
        <w:spacing w:before="156" w:after="156"/>
        <w:rPr>
          <w:rFonts w:hint="default" w:ascii="Times New Roman" w:hAnsi="Times New Roman" w:eastAsia="宋体"/>
          <w:color w:val="auto"/>
          <w:sz w:val="28"/>
          <w:szCs w:val="28"/>
          <w:highlight w:val="none"/>
        </w:rPr>
      </w:pPr>
      <w:bookmarkStart w:id="191" w:name="_Toc15275"/>
      <w:bookmarkStart w:id="192" w:name="_Toc32621"/>
      <w:bookmarkStart w:id="193" w:name="_Toc482189966"/>
      <w:bookmarkStart w:id="194" w:name="_Toc18775"/>
      <w:bookmarkStart w:id="195" w:name="_Toc7467"/>
      <w:bookmarkStart w:id="196" w:name="_Toc17397"/>
      <w:bookmarkStart w:id="197" w:name="_Toc4428"/>
      <w:r>
        <w:rPr>
          <w:rFonts w:hint="default" w:ascii="Times New Roman" w:hAnsi="Times New Roman" w:eastAsia="宋体"/>
          <w:color w:val="auto"/>
          <w:sz w:val="28"/>
          <w:szCs w:val="28"/>
          <w:highlight w:val="none"/>
        </w:rPr>
        <w:t>2设计联络会</w:t>
      </w:r>
      <w:bookmarkEnd w:id="191"/>
      <w:bookmarkEnd w:id="192"/>
      <w:bookmarkEnd w:id="193"/>
      <w:bookmarkEnd w:id="194"/>
      <w:bookmarkEnd w:id="195"/>
      <w:bookmarkEnd w:id="196"/>
      <w:bookmarkEnd w:id="197"/>
    </w:p>
    <w:p w14:paraId="42FC0C53">
      <w:pPr>
        <w:spacing w:line="360" w:lineRule="auto"/>
        <w:outlineLvl w:val="2"/>
        <w:rPr>
          <w:b/>
          <w:color w:val="auto"/>
          <w:sz w:val="24"/>
          <w:highlight w:val="none"/>
        </w:rPr>
      </w:pPr>
      <w:bookmarkStart w:id="198" w:name="_Toc482189967"/>
      <w:r>
        <w:rPr>
          <w:b/>
          <w:color w:val="auto"/>
          <w:sz w:val="24"/>
          <w:highlight w:val="none"/>
        </w:rPr>
        <w:t>2.1目的</w:t>
      </w:r>
      <w:bookmarkEnd w:id="198"/>
    </w:p>
    <w:p w14:paraId="394D8F7A">
      <w:pPr>
        <w:adjustRightInd w:val="0"/>
        <w:snapToGrid w:val="0"/>
        <w:spacing w:line="360" w:lineRule="auto"/>
        <w:ind w:firstLine="480" w:firstLineChars="200"/>
        <w:rPr>
          <w:color w:val="auto"/>
          <w:sz w:val="24"/>
          <w:highlight w:val="none"/>
        </w:rPr>
      </w:pPr>
      <w:r>
        <w:rPr>
          <w:color w:val="auto"/>
          <w:sz w:val="24"/>
          <w:highlight w:val="none"/>
        </w:rPr>
        <w:t>设计联络会议的目的是保证脱硫装置设计阶段工作的顺利进行，以及协调和解决设计和各部分之间接口中的问题。</w:t>
      </w:r>
    </w:p>
    <w:p w14:paraId="14FBB1BF">
      <w:pPr>
        <w:spacing w:line="360" w:lineRule="auto"/>
        <w:outlineLvl w:val="2"/>
        <w:rPr>
          <w:b/>
          <w:color w:val="auto"/>
          <w:sz w:val="24"/>
          <w:highlight w:val="none"/>
        </w:rPr>
      </w:pPr>
      <w:bookmarkStart w:id="199" w:name="_Toc482189968"/>
      <w:r>
        <w:rPr>
          <w:b/>
          <w:color w:val="auto"/>
          <w:sz w:val="24"/>
          <w:highlight w:val="none"/>
        </w:rPr>
        <w:t>2.2第一次设计联络会</w:t>
      </w:r>
      <w:bookmarkEnd w:id="199"/>
    </w:p>
    <w:p w14:paraId="3A5AE5C8">
      <w:pPr>
        <w:adjustRightInd w:val="0"/>
        <w:snapToGrid w:val="0"/>
        <w:spacing w:line="360" w:lineRule="auto"/>
        <w:ind w:firstLine="480" w:firstLineChars="200"/>
        <w:rPr>
          <w:color w:val="auto"/>
          <w:sz w:val="24"/>
          <w:highlight w:val="none"/>
        </w:rPr>
      </w:pPr>
      <w:r>
        <w:rPr>
          <w:color w:val="auto"/>
          <w:sz w:val="24"/>
          <w:highlight w:val="none"/>
        </w:rPr>
        <w:t>时间：合同生效后</w:t>
      </w:r>
      <w:r>
        <w:rPr>
          <w:color w:val="auto"/>
          <w:sz w:val="24"/>
          <w:highlight w:val="none"/>
          <w:u w:val="single"/>
        </w:rPr>
        <w:t xml:space="preserve"> </w:t>
      </w:r>
      <w:r>
        <w:rPr>
          <w:rFonts w:hint="eastAsia"/>
          <w:color w:val="auto"/>
          <w:sz w:val="24"/>
          <w:highlight w:val="none"/>
          <w:u w:val="single"/>
        </w:rPr>
        <w:t xml:space="preserve"> </w:t>
      </w:r>
      <w:r>
        <w:rPr>
          <w:rFonts w:hint="eastAsia"/>
          <w:color w:val="auto"/>
          <w:sz w:val="24"/>
          <w:highlight w:val="none"/>
          <w:u w:val="single"/>
          <w:lang w:val="en-US" w:eastAsia="zh-CN"/>
        </w:rPr>
        <w:t>1</w:t>
      </w:r>
      <w:r>
        <w:rPr>
          <w:color w:val="auto"/>
          <w:sz w:val="24"/>
          <w:highlight w:val="none"/>
          <w:u w:val="single"/>
        </w:rPr>
        <w:t xml:space="preserve">  </w:t>
      </w:r>
      <w:r>
        <w:rPr>
          <w:color w:val="auto"/>
          <w:sz w:val="24"/>
          <w:highlight w:val="none"/>
        </w:rPr>
        <w:t>周</w:t>
      </w:r>
    </w:p>
    <w:p w14:paraId="08DAE5D3">
      <w:pPr>
        <w:adjustRightInd w:val="0"/>
        <w:snapToGrid w:val="0"/>
        <w:spacing w:line="360" w:lineRule="auto"/>
        <w:ind w:firstLine="480" w:firstLineChars="200"/>
        <w:rPr>
          <w:color w:val="auto"/>
          <w:sz w:val="24"/>
          <w:highlight w:val="none"/>
        </w:rPr>
      </w:pPr>
      <w:r>
        <w:rPr>
          <w:color w:val="auto"/>
          <w:sz w:val="24"/>
          <w:highlight w:val="none"/>
        </w:rPr>
        <w:t>地点、会期：</w:t>
      </w:r>
      <w:r>
        <w:rPr>
          <w:rFonts w:hint="eastAsia"/>
          <w:color w:val="auto"/>
          <w:sz w:val="24"/>
          <w:highlight w:val="none"/>
          <w:lang w:val="en-US" w:eastAsia="zh-CN"/>
        </w:rPr>
        <w:t>招</w:t>
      </w:r>
      <w:r>
        <w:rPr>
          <w:rFonts w:hint="eastAsia"/>
          <w:color w:val="auto"/>
          <w:sz w:val="24"/>
          <w:highlight w:val="none"/>
          <w:lang w:eastAsia="zh-CN"/>
        </w:rPr>
        <w:t>标方</w:t>
      </w:r>
      <w:r>
        <w:rPr>
          <w:color w:val="auto"/>
          <w:sz w:val="24"/>
          <w:highlight w:val="none"/>
        </w:rPr>
        <w:t>所在地，</w:t>
      </w:r>
      <w:r>
        <w:rPr>
          <w:color w:val="auto"/>
          <w:sz w:val="24"/>
          <w:highlight w:val="none"/>
          <w:u w:val="single"/>
        </w:rPr>
        <w:t xml:space="preserve"> </w:t>
      </w:r>
      <w:r>
        <w:rPr>
          <w:rFonts w:hint="eastAsia"/>
          <w:color w:val="auto"/>
          <w:sz w:val="24"/>
          <w:highlight w:val="none"/>
          <w:u w:val="single"/>
          <w:lang w:val="en-US" w:eastAsia="zh-CN"/>
        </w:rPr>
        <w:t>1</w:t>
      </w:r>
      <w:r>
        <w:rPr>
          <w:color w:val="auto"/>
          <w:sz w:val="24"/>
          <w:highlight w:val="none"/>
          <w:u w:val="single"/>
        </w:rPr>
        <w:t xml:space="preserve"> </w:t>
      </w:r>
      <w:r>
        <w:rPr>
          <w:color w:val="auto"/>
          <w:sz w:val="24"/>
          <w:highlight w:val="none"/>
        </w:rPr>
        <w:t>天</w:t>
      </w:r>
    </w:p>
    <w:p w14:paraId="39835A32">
      <w:pPr>
        <w:adjustRightInd w:val="0"/>
        <w:snapToGrid w:val="0"/>
        <w:spacing w:line="360" w:lineRule="auto"/>
        <w:ind w:firstLine="480" w:firstLineChars="200"/>
        <w:rPr>
          <w:color w:val="auto"/>
          <w:sz w:val="24"/>
          <w:highlight w:val="none"/>
        </w:rPr>
      </w:pPr>
      <w:r>
        <w:rPr>
          <w:color w:val="auto"/>
          <w:sz w:val="24"/>
          <w:highlight w:val="none"/>
        </w:rPr>
        <w:t>到会人员：</w:t>
      </w:r>
      <w:r>
        <w:rPr>
          <w:rFonts w:hint="eastAsia"/>
          <w:color w:val="auto"/>
          <w:sz w:val="24"/>
          <w:highlight w:val="none"/>
          <w:lang w:eastAsia="zh-CN"/>
        </w:rPr>
        <w:t>招标方</w:t>
      </w:r>
      <w:r>
        <w:rPr>
          <w:color w:val="auto"/>
          <w:sz w:val="24"/>
          <w:highlight w:val="none"/>
        </w:rPr>
        <w:t>代表、</w:t>
      </w:r>
      <w:r>
        <w:rPr>
          <w:rFonts w:hint="eastAsia"/>
          <w:color w:val="auto"/>
          <w:sz w:val="24"/>
          <w:highlight w:val="none"/>
          <w:lang w:eastAsia="zh-CN"/>
        </w:rPr>
        <w:t>投标方</w:t>
      </w:r>
      <w:r>
        <w:rPr>
          <w:color w:val="auto"/>
          <w:sz w:val="24"/>
          <w:highlight w:val="none"/>
        </w:rPr>
        <w:t>代表</w:t>
      </w:r>
    </w:p>
    <w:p w14:paraId="1D48D057">
      <w:pPr>
        <w:adjustRightInd w:val="0"/>
        <w:snapToGrid w:val="0"/>
        <w:spacing w:line="360" w:lineRule="auto"/>
        <w:ind w:firstLine="480" w:firstLineChars="200"/>
        <w:rPr>
          <w:color w:val="auto"/>
          <w:sz w:val="24"/>
          <w:highlight w:val="none"/>
        </w:rPr>
      </w:pPr>
      <w:r>
        <w:rPr>
          <w:color w:val="auto"/>
          <w:sz w:val="24"/>
          <w:highlight w:val="none"/>
        </w:rPr>
        <w:t>会议议程</w:t>
      </w:r>
    </w:p>
    <w:p w14:paraId="23E1AC6F">
      <w:pPr>
        <w:numPr>
          <w:ilvl w:val="0"/>
          <w:numId w:val="14"/>
        </w:numPr>
        <w:adjustRightInd w:val="0"/>
        <w:snapToGrid w:val="0"/>
        <w:spacing w:line="360" w:lineRule="auto"/>
        <w:rPr>
          <w:color w:val="auto"/>
          <w:sz w:val="24"/>
          <w:highlight w:val="none"/>
        </w:rPr>
      </w:pPr>
      <w:r>
        <w:rPr>
          <w:color w:val="auto"/>
          <w:sz w:val="24"/>
          <w:highlight w:val="none"/>
        </w:rPr>
        <w:t>讨论和协调基本设计的技术原则。</w:t>
      </w:r>
    </w:p>
    <w:p w14:paraId="1BE3FC39">
      <w:pPr>
        <w:numPr>
          <w:ilvl w:val="0"/>
          <w:numId w:val="14"/>
        </w:numPr>
        <w:adjustRightInd w:val="0"/>
        <w:snapToGrid w:val="0"/>
        <w:spacing w:line="360" w:lineRule="auto"/>
        <w:rPr>
          <w:color w:val="auto"/>
          <w:sz w:val="24"/>
          <w:highlight w:val="none"/>
        </w:rPr>
      </w:pPr>
      <w:r>
        <w:rPr>
          <w:color w:val="auto"/>
          <w:sz w:val="24"/>
          <w:highlight w:val="none"/>
        </w:rPr>
        <w:t>讨论</w:t>
      </w:r>
      <w:r>
        <w:rPr>
          <w:rFonts w:hint="eastAsia"/>
          <w:color w:val="auto"/>
          <w:sz w:val="24"/>
          <w:highlight w:val="none"/>
          <w:lang w:eastAsia="zh-CN"/>
        </w:rPr>
        <w:t>投标方</w:t>
      </w:r>
      <w:r>
        <w:rPr>
          <w:color w:val="auto"/>
          <w:sz w:val="24"/>
          <w:highlight w:val="none"/>
        </w:rPr>
        <w:t>提交的基本设计的技术资料及图纸。</w:t>
      </w:r>
    </w:p>
    <w:p w14:paraId="3AF3DA27">
      <w:pPr>
        <w:numPr>
          <w:ilvl w:val="0"/>
          <w:numId w:val="14"/>
        </w:numPr>
        <w:adjustRightInd w:val="0"/>
        <w:snapToGrid w:val="0"/>
        <w:spacing w:line="360" w:lineRule="auto"/>
        <w:rPr>
          <w:color w:val="auto"/>
          <w:sz w:val="24"/>
          <w:highlight w:val="none"/>
        </w:rPr>
      </w:pPr>
      <w:r>
        <w:rPr>
          <w:color w:val="auto"/>
          <w:sz w:val="24"/>
          <w:highlight w:val="none"/>
        </w:rPr>
        <w:t>讨论各部分的接口位置及参数。</w:t>
      </w:r>
    </w:p>
    <w:p w14:paraId="1ACDFF74">
      <w:pPr>
        <w:numPr>
          <w:ilvl w:val="0"/>
          <w:numId w:val="14"/>
        </w:numPr>
        <w:adjustRightInd w:val="0"/>
        <w:snapToGrid w:val="0"/>
        <w:spacing w:line="360" w:lineRule="auto"/>
        <w:rPr>
          <w:color w:val="auto"/>
          <w:sz w:val="24"/>
          <w:highlight w:val="none"/>
        </w:rPr>
      </w:pPr>
      <w:r>
        <w:rPr>
          <w:color w:val="auto"/>
          <w:sz w:val="24"/>
          <w:highlight w:val="none"/>
        </w:rPr>
        <w:t>讨论布置图，包括立面布置，地下设施，及设计界线。</w:t>
      </w:r>
    </w:p>
    <w:p w14:paraId="5DBA4655">
      <w:pPr>
        <w:numPr>
          <w:ilvl w:val="0"/>
          <w:numId w:val="14"/>
        </w:numPr>
        <w:adjustRightInd w:val="0"/>
        <w:snapToGrid w:val="0"/>
        <w:spacing w:line="360" w:lineRule="auto"/>
        <w:rPr>
          <w:color w:val="auto"/>
          <w:sz w:val="24"/>
          <w:highlight w:val="none"/>
        </w:rPr>
      </w:pPr>
      <w:r>
        <w:rPr>
          <w:color w:val="auto"/>
          <w:sz w:val="24"/>
          <w:highlight w:val="none"/>
        </w:rPr>
        <w:t>会议纪要。</w:t>
      </w:r>
    </w:p>
    <w:p w14:paraId="739F1313">
      <w:pPr>
        <w:numPr>
          <w:ilvl w:val="0"/>
          <w:numId w:val="14"/>
        </w:numPr>
        <w:adjustRightInd w:val="0"/>
        <w:snapToGrid w:val="0"/>
        <w:spacing w:line="360" w:lineRule="auto"/>
        <w:rPr>
          <w:color w:val="auto"/>
          <w:sz w:val="24"/>
          <w:highlight w:val="none"/>
        </w:rPr>
      </w:pPr>
      <w:r>
        <w:rPr>
          <w:color w:val="auto"/>
          <w:sz w:val="24"/>
          <w:highlight w:val="none"/>
        </w:rPr>
        <w:t>讨论下次联络会议题。</w:t>
      </w:r>
    </w:p>
    <w:p w14:paraId="101C08E6">
      <w:pPr>
        <w:spacing w:line="360" w:lineRule="auto"/>
        <w:outlineLvl w:val="2"/>
        <w:rPr>
          <w:b/>
          <w:color w:val="auto"/>
          <w:sz w:val="24"/>
          <w:highlight w:val="none"/>
        </w:rPr>
      </w:pPr>
      <w:bookmarkStart w:id="200" w:name="_Toc482189969"/>
      <w:r>
        <w:rPr>
          <w:b/>
          <w:color w:val="auto"/>
          <w:sz w:val="24"/>
          <w:highlight w:val="none"/>
        </w:rPr>
        <w:t>2.3第二次设计联络会</w:t>
      </w:r>
      <w:bookmarkEnd w:id="200"/>
    </w:p>
    <w:p w14:paraId="75061E78">
      <w:pPr>
        <w:adjustRightInd w:val="0"/>
        <w:snapToGrid w:val="0"/>
        <w:spacing w:line="360" w:lineRule="auto"/>
        <w:ind w:firstLine="480" w:firstLineChars="200"/>
        <w:rPr>
          <w:rFonts w:hint="eastAsia" w:eastAsia="宋体"/>
          <w:color w:val="auto"/>
          <w:sz w:val="24"/>
          <w:highlight w:val="none"/>
          <w:lang w:val="en-US" w:eastAsia="zh-CN"/>
        </w:rPr>
      </w:pPr>
      <w:r>
        <w:rPr>
          <w:color w:val="auto"/>
          <w:sz w:val="24"/>
          <w:highlight w:val="none"/>
        </w:rPr>
        <w:t>时间：合同生效后</w:t>
      </w:r>
      <w:r>
        <w:rPr>
          <w:color w:val="auto"/>
          <w:sz w:val="24"/>
          <w:highlight w:val="none"/>
          <w:u w:val="single"/>
        </w:rPr>
        <w:t xml:space="preserve"> </w:t>
      </w:r>
      <w:r>
        <w:rPr>
          <w:rFonts w:hint="eastAsia"/>
          <w:color w:val="auto"/>
          <w:sz w:val="24"/>
          <w:highlight w:val="none"/>
          <w:u w:val="single"/>
          <w:lang w:val="en-US" w:eastAsia="zh-CN"/>
        </w:rPr>
        <w:t>2</w:t>
      </w:r>
      <w:r>
        <w:rPr>
          <w:color w:val="auto"/>
          <w:sz w:val="24"/>
          <w:highlight w:val="none"/>
          <w:u w:val="single"/>
        </w:rPr>
        <w:t xml:space="preserve"> </w:t>
      </w:r>
      <w:r>
        <w:rPr>
          <w:rFonts w:hint="eastAsia"/>
          <w:color w:val="auto"/>
          <w:sz w:val="24"/>
          <w:highlight w:val="none"/>
          <w:u w:val="single"/>
          <w:lang w:val="en-US" w:eastAsia="zh-CN"/>
        </w:rPr>
        <w:t>周</w:t>
      </w:r>
    </w:p>
    <w:p w14:paraId="26112BCF">
      <w:pPr>
        <w:adjustRightInd w:val="0"/>
        <w:snapToGrid w:val="0"/>
        <w:spacing w:line="360" w:lineRule="auto"/>
        <w:ind w:firstLine="480" w:firstLineChars="200"/>
        <w:rPr>
          <w:color w:val="auto"/>
          <w:sz w:val="24"/>
          <w:highlight w:val="none"/>
        </w:rPr>
      </w:pPr>
      <w:r>
        <w:rPr>
          <w:color w:val="auto"/>
          <w:sz w:val="24"/>
          <w:highlight w:val="none"/>
        </w:rPr>
        <w:t>地点、会期：</w:t>
      </w:r>
      <w:r>
        <w:rPr>
          <w:rFonts w:hint="eastAsia"/>
          <w:color w:val="auto"/>
          <w:sz w:val="24"/>
          <w:highlight w:val="none"/>
          <w:lang w:val="en-US" w:eastAsia="zh-CN"/>
        </w:rPr>
        <w:t>招</w:t>
      </w:r>
      <w:r>
        <w:rPr>
          <w:rFonts w:hint="eastAsia"/>
          <w:color w:val="auto"/>
          <w:sz w:val="24"/>
          <w:highlight w:val="none"/>
          <w:lang w:eastAsia="zh-CN"/>
        </w:rPr>
        <w:t>标方</w:t>
      </w:r>
      <w:r>
        <w:rPr>
          <w:color w:val="auto"/>
          <w:sz w:val="24"/>
          <w:highlight w:val="none"/>
        </w:rPr>
        <w:t>所在地，</w:t>
      </w:r>
      <w:r>
        <w:rPr>
          <w:color w:val="auto"/>
          <w:sz w:val="24"/>
          <w:highlight w:val="none"/>
          <w:u w:val="single"/>
        </w:rPr>
        <w:t xml:space="preserve"> </w:t>
      </w:r>
      <w:r>
        <w:rPr>
          <w:rFonts w:hint="eastAsia"/>
          <w:color w:val="auto"/>
          <w:sz w:val="24"/>
          <w:highlight w:val="none"/>
          <w:u w:val="single"/>
          <w:lang w:val="en-US" w:eastAsia="zh-CN"/>
        </w:rPr>
        <w:t>1</w:t>
      </w:r>
      <w:r>
        <w:rPr>
          <w:color w:val="auto"/>
          <w:sz w:val="24"/>
          <w:highlight w:val="none"/>
          <w:u w:val="single"/>
        </w:rPr>
        <w:t xml:space="preserve"> </w:t>
      </w:r>
      <w:r>
        <w:rPr>
          <w:color w:val="auto"/>
          <w:sz w:val="24"/>
          <w:highlight w:val="none"/>
        </w:rPr>
        <w:t>天</w:t>
      </w:r>
    </w:p>
    <w:p w14:paraId="7313C98B">
      <w:pPr>
        <w:adjustRightInd w:val="0"/>
        <w:snapToGrid w:val="0"/>
        <w:spacing w:line="360" w:lineRule="auto"/>
        <w:ind w:firstLine="480" w:firstLineChars="200"/>
        <w:rPr>
          <w:color w:val="auto"/>
          <w:sz w:val="24"/>
          <w:highlight w:val="none"/>
        </w:rPr>
      </w:pPr>
      <w:r>
        <w:rPr>
          <w:color w:val="auto"/>
          <w:sz w:val="24"/>
          <w:highlight w:val="none"/>
        </w:rPr>
        <w:t>到会人员：</w:t>
      </w:r>
      <w:r>
        <w:rPr>
          <w:rFonts w:hint="eastAsia"/>
          <w:color w:val="auto"/>
          <w:sz w:val="24"/>
          <w:highlight w:val="none"/>
          <w:lang w:eastAsia="zh-CN"/>
        </w:rPr>
        <w:t>招标方</w:t>
      </w:r>
      <w:r>
        <w:rPr>
          <w:color w:val="auto"/>
          <w:sz w:val="24"/>
          <w:highlight w:val="none"/>
        </w:rPr>
        <w:t>代表和</w:t>
      </w:r>
      <w:r>
        <w:rPr>
          <w:rFonts w:hint="eastAsia"/>
          <w:color w:val="auto"/>
          <w:sz w:val="24"/>
          <w:highlight w:val="none"/>
          <w:lang w:eastAsia="zh-CN"/>
        </w:rPr>
        <w:t>投标方</w:t>
      </w:r>
      <w:r>
        <w:rPr>
          <w:color w:val="auto"/>
          <w:sz w:val="24"/>
          <w:highlight w:val="none"/>
        </w:rPr>
        <w:t>代表</w:t>
      </w:r>
    </w:p>
    <w:p w14:paraId="680D79DA">
      <w:pPr>
        <w:adjustRightInd w:val="0"/>
        <w:snapToGrid w:val="0"/>
        <w:spacing w:line="360" w:lineRule="auto"/>
        <w:ind w:firstLine="480" w:firstLineChars="200"/>
        <w:rPr>
          <w:color w:val="auto"/>
          <w:sz w:val="24"/>
          <w:highlight w:val="none"/>
        </w:rPr>
      </w:pPr>
      <w:r>
        <w:rPr>
          <w:color w:val="auto"/>
          <w:sz w:val="24"/>
          <w:highlight w:val="none"/>
        </w:rPr>
        <w:t>会议议程</w:t>
      </w:r>
    </w:p>
    <w:p w14:paraId="3624C49E">
      <w:pPr>
        <w:numPr>
          <w:ilvl w:val="0"/>
          <w:numId w:val="14"/>
        </w:numPr>
        <w:adjustRightInd w:val="0"/>
        <w:snapToGrid w:val="0"/>
        <w:spacing w:line="360" w:lineRule="auto"/>
        <w:rPr>
          <w:color w:val="auto"/>
          <w:sz w:val="24"/>
          <w:highlight w:val="none"/>
        </w:rPr>
      </w:pPr>
      <w:r>
        <w:rPr>
          <w:rFonts w:hint="eastAsia"/>
          <w:color w:val="auto"/>
          <w:sz w:val="24"/>
          <w:highlight w:val="none"/>
          <w:lang w:eastAsia="zh-CN"/>
        </w:rPr>
        <w:t>投标方</w:t>
      </w:r>
      <w:r>
        <w:rPr>
          <w:color w:val="auto"/>
          <w:sz w:val="24"/>
          <w:highlight w:val="none"/>
        </w:rPr>
        <w:t>介绍基本设计，</w:t>
      </w:r>
      <w:r>
        <w:rPr>
          <w:rFonts w:hint="eastAsia"/>
          <w:color w:val="auto"/>
          <w:sz w:val="24"/>
          <w:highlight w:val="none"/>
          <w:lang w:eastAsia="zh-CN"/>
        </w:rPr>
        <w:t>招标</w:t>
      </w:r>
      <w:r>
        <w:rPr>
          <w:color w:val="auto"/>
          <w:sz w:val="24"/>
          <w:highlight w:val="none"/>
        </w:rPr>
        <w:t>方检查并确认设计文件。</w:t>
      </w:r>
    </w:p>
    <w:p w14:paraId="323069ED">
      <w:pPr>
        <w:numPr>
          <w:ilvl w:val="0"/>
          <w:numId w:val="14"/>
        </w:numPr>
        <w:adjustRightInd w:val="0"/>
        <w:snapToGrid w:val="0"/>
        <w:spacing w:line="360" w:lineRule="auto"/>
        <w:rPr>
          <w:color w:val="auto"/>
          <w:sz w:val="24"/>
          <w:highlight w:val="none"/>
        </w:rPr>
      </w:pPr>
      <w:r>
        <w:rPr>
          <w:color w:val="auto"/>
          <w:sz w:val="24"/>
          <w:highlight w:val="none"/>
        </w:rPr>
        <w:t>进一步讨论各部分接口位置及参数。</w:t>
      </w:r>
    </w:p>
    <w:p w14:paraId="3332F079">
      <w:pPr>
        <w:numPr>
          <w:ilvl w:val="0"/>
          <w:numId w:val="14"/>
        </w:numPr>
        <w:adjustRightInd w:val="0"/>
        <w:snapToGrid w:val="0"/>
        <w:spacing w:line="360" w:lineRule="auto"/>
        <w:rPr>
          <w:color w:val="auto"/>
          <w:sz w:val="24"/>
          <w:highlight w:val="none"/>
        </w:rPr>
      </w:pPr>
      <w:r>
        <w:rPr>
          <w:color w:val="auto"/>
          <w:sz w:val="24"/>
          <w:highlight w:val="none"/>
        </w:rPr>
        <w:t>讨论和协调总平面布置包括竖向布置、地下设施布置和场地平整。</w:t>
      </w:r>
    </w:p>
    <w:p w14:paraId="7CBBFF96">
      <w:pPr>
        <w:numPr>
          <w:ilvl w:val="0"/>
          <w:numId w:val="14"/>
        </w:numPr>
        <w:adjustRightInd w:val="0"/>
        <w:snapToGrid w:val="0"/>
        <w:spacing w:line="360" w:lineRule="auto"/>
        <w:rPr>
          <w:color w:val="auto"/>
          <w:sz w:val="24"/>
          <w:highlight w:val="none"/>
        </w:rPr>
      </w:pPr>
      <w:r>
        <w:rPr>
          <w:color w:val="auto"/>
          <w:sz w:val="24"/>
          <w:highlight w:val="none"/>
        </w:rPr>
        <w:t>土建打桩、基础和地下设施施工方案和施工场地的协调和讨论。</w:t>
      </w:r>
    </w:p>
    <w:p w14:paraId="226860A4">
      <w:pPr>
        <w:numPr>
          <w:ilvl w:val="0"/>
          <w:numId w:val="14"/>
        </w:numPr>
        <w:adjustRightInd w:val="0"/>
        <w:snapToGrid w:val="0"/>
        <w:spacing w:line="360" w:lineRule="auto"/>
        <w:rPr>
          <w:color w:val="auto"/>
          <w:sz w:val="24"/>
          <w:highlight w:val="none"/>
        </w:rPr>
      </w:pPr>
      <w:r>
        <w:rPr>
          <w:color w:val="auto"/>
          <w:sz w:val="24"/>
          <w:highlight w:val="none"/>
        </w:rPr>
        <w:t>讨论</w:t>
      </w:r>
      <w:r>
        <w:rPr>
          <w:rFonts w:hint="eastAsia"/>
          <w:color w:val="auto"/>
          <w:sz w:val="24"/>
          <w:highlight w:val="none"/>
          <w:lang w:eastAsia="zh-CN"/>
        </w:rPr>
        <w:t>投标方</w:t>
      </w:r>
      <w:r>
        <w:rPr>
          <w:color w:val="auto"/>
          <w:sz w:val="24"/>
          <w:highlight w:val="none"/>
        </w:rPr>
        <w:t>用于施工图设计的技术资料。</w:t>
      </w:r>
    </w:p>
    <w:p w14:paraId="247A03C6">
      <w:pPr>
        <w:numPr>
          <w:ilvl w:val="0"/>
          <w:numId w:val="14"/>
        </w:numPr>
        <w:adjustRightInd w:val="0"/>
        <w:snapToGrid w:val="0"/>
        <w:spacing w:line="360" w:lineRule="auto"/>
        <w:rPr>
          <w:color w:val="auto"/>
          <w:sz w:val="24"/>
          <w:highlight w:val="none"/>
        </w:rPr>
      </w:pPr>
      <w:r>
        <w:rPr>
          <w:color w:val="auto"/>
          <w:sz w:val="24"/>
          <w:highlight w:val="none"/>
        </w:rPr>
        <w:t>会议纪要。</w:t>
      </w:r>
    </w:p>
    <w:p w14:paraId="44145C5D">
      <w:pPr>
        <w:numPr>
          <w:ilvl w:val="0"/>
          <w:numId w:val="14"/>
        </w:numPr>
        <w:adjustRightInd w:val="0"/>
        <w:snapToGrid w:val="0"/>
        <w:spacing w:line="360" w:lineRule="auto"/>
        <w:rPr>
          <w:color w:val="auto"/>
          <w:sz w:val="24"/>
          <w:highlight w:val="none"/>
        </w:rPr>
      </w:pPr>
      <w:r>
        <w:rPr>
          <w:color w:val="auto"/>
          <w:sz w:val="24"/>
          <w:highlight w:val="none"/>
        </w:rPr>
        <w:t>讨论下次联络会议题。</w:t>
      </w:r>
    </w:p>
    <w:p w14:paraId="26B41758">
      <w:pPr>
        <w:spacing w:line="360" w:lineRule="auto"/>
        <w:outlineLvl w:val="2"/>
        <w:rPr>
          <w:b/>
          <w:color w:val="auto"/>
          <w:sz w:val="24"/>
          <w:highlight w:val="none"/>
        </w:rPr>
      </w:pPr>
      <w:bookmarkStart w:id="201" w:name="_Toc482189970"/>
      <w:r>
        <w:rPr>
          <w:b/>
          <w:color w:val="auto"/>
          <w:sz w:val="24"/>
          <w:highlight w:val="none"/>
        </w:rPr>
        <w:t>2.4第三次设计联络会</w:t>
      </w:r>
      <w:bookmarkEnd w:id="201"/>
    </w:p>
    <w:p w14:paraId="35926DFD">
      <w:pPr>
        <w:adjustRightInd w:val="0"/>
        <w:snapToGrid w:val="0"/>
        <w:spacing w:line="360" w:lineRule="auto"/>
        <w:ind w:firstLine="480" w:firstLineChars="200"/>
        <w:rPr>
          <w:color w:val="auto"/>
          <w:sz w:val="24"/>
          <w:highlight w:val="none"/>
        </w:rPr>
      </w:pPr>
      <w:r>
        <w:rPr>
          <w:color w:val="auto"/>
          <w:sz w:val="24"/>
          <w:highlight w:val="none"/>
        </w:rPr>
        <w:t>时间：合同生效后</w:t>
      </w:r>
      <w:r>
        <w:rPr>
          <w:color w:val="auto"/>
          <w:sz w:val="24"/>
          <w:highlight w:val="none"/>
          <w:u w:val="single"/>
        </w:rPr>
        <w:t xml:space="preserve"> </w:t>
      </w:r>
      <w:r>
        <w:rPr>
          <w:rFonts w:hint="eastAsia"/>
          <w:color w:val="auto"/>
          <w:sz w:val="24"/>
          <w:highlight w:val="none"/>
          <w:u w:val="single"/>
        </w:rPr>
        <w:t xml:space="preserve"> </w:t>
      </w:r>
      <w:r>
        <w:rPr>
          <w:rFonts w:hint="eastAsia"/>
          <w:color w:val="auto"/>
          <w:sz w:val="24"/>
          <w:highlight w:val="none"/>
          <w:u w:val="single"/>
          <w:lang w:val="en-US" w:eastAsia="zh-CN"/>
        </w:rPr>
        <w:t>1</w:t>
      </w:r>
      <w:r>
        <w:rPr>
          <w:color w:val="auto"/>
          <w:sz w:val="24"/>
          <w:highlight w:val="none"/>
          <w:u w:val="single"/>
        </w:rPr>
        <w:t xml:space="preserve"> </w:t>
      </w:r>
      <w:r>
        <w:rPr>
          <w:color w:val="auto"/>
          <w:sz w:val="24"/>
          <w:highlight w:val="none"/>
          <w:u w:val="single"/>
        </w:rPr>
        <w:t xml:space="preserve"> </w:t>
      </w:r>
      <w:r>
        <w:rPr>
          <w:color w:val="auto"/>
          <w:sz w:val="24"/>
          <w:highlight w:val="none"/>
        </w:rPr>
        <w:t>个月</w:t>
      </w:r>
    </w:p>
    <w:p w14:paraId="08E66A0F">
      <w:pPr>
        <w:adjustRightInd w:val="0"/>
        <w:snapToGrid w:val="0"/>
        <w:spacing w:line="360" w:lineRule="auto"/>
        <w:ind w:firstLine="480" w:firstLineChars="200"/>
        <w:rPr>
          <w:color w:val="auto"/>
          <w:sz w:val="24"/>
          <w:highlight w:val="none"/>
        </w:rPr>
      </w:pPr>
      <w:r>
        <w:rPr>
          <w:color w:val="auto"/>
          <w:sz w:val="24"/>
          <w:highlight w:val="none"/>
        </w:rPr>
        <w:t>地点、会期：</w:t>
      </w:r>
      <w:r>
        <w:rPr>
          <w:rFonts w:hint="eastAsia"/>
          <w:color w:val="auto"/>
          <w:sz w:val="24"/>
          <w:highlight w:val="none"/>
          <w:lang w:eastAsia="zh-CN"/>
        </w:rPr>
        <w:t>招标方</w:t>
      </w:r>
      <w:r>
        <w:rPr>
          <w:color w:val="auto"/>
          <w:sz w:val="24"/>
          <w:highlight w:val="none"/>
        </w:rPr>
        <w:t>所在地，</w:t>
      </w:r>
      <w:r>
        <w:rPr>
          <w:color w:val="auto"/>
          <w:sz w:val="24"/>
          <w:highlight w:val="none"/>
          <w:u w:val="single"/>
        </w:rPr>
        <w:t xml:space="preserve">  </w:t>
      </w:r>
      <w:r>
        <w:rPr>
          <w:rFonts w:hint="eastAsia"/>
          <w:color w:val="auto"/>
          <w:sz w:val="24"/>
          <w:highlight w:val="none"/>
          <w:u w:val="single"/>
          <w:lang w:val="en-US" w:eastAsia="zh-CN"/>
        </w:rPr>
        <w:t>1</w:t>
      </w:r>
      <w:r>
        <w:rPr>
          <w:color w:val="auto"/>
          <w:sz w:val="24"/>
          <w:highlight w:val="none"/>
          <w:u w:val="single"/>
        </w:rPr>
        <w:t xml:space="preserve"> </w:t>
      </w:r>
      <w:r>
        <w:rPr>
          <w:color w:val="auto"/>
          <w:sz w:val="24"/>
          <w:highlight w:val="none"/>
          <w:u w:val="single"/>
        </w:rPr>
        <w:t xml:space="preserve"> </w:t>
      </w:r>
      <w:r>
        <w:rPr>
          <w:color w:val="auto"/>
          <w:sz w:val="24"/>
          <w:highlight w:val="none"/>
        </w:rPr>
        <w:t>天</w:t>
      </w:r>
    </w:p>
    <w:p w14:paraId="7A5BDAF7">
      <w:pPr>
        <w:adjustRightInd w:val="0"/>
        <w:snapToGrid w:val="0"/>
        <w:spacing w:line="360" w:lineRule="auto"/>
        <w:ind w:firstLine="480" w:firstLineChars="200"/>
        <w:rPr>
          <w:color w:val="auto"/>
          <w:sz w:val="24"/>
          <w:highlight w:val="none"/>
        </w:rPr>
      </w:pPr>
      <w:r>
        <w:rPr>
          <w:color w:val="auto"/>
          <w:sz w:val="24"/>
          <w:highlight w:val="none"/>
        </w:rPr>
        <w:t>到会人员：</w:t>
      </w:r>
      <w:r>
        <w:rPr>
          <w:rFonts w:hint="eastAsia"/>
          <w:color w:val="auto"/>
          <w:sz w:val="24"/>
          <w:highlight w:val="none"/>
          <w:lang w:eastAsia="zh-CN"/>
        </w:rPr>
        <w:t>招标方</w:t>
      </w:r>
      <w:r>
        <w:rPr>
          <w:color w:val="auto"/>
          <w:sz w:val="24"/>
          <w:highlight w:val="none"/>
        </w:rPr>
        <w:t>代表和</w:t>
      </w:r>
      <w:r>
        <w:rPr>
          <w:rFonts w:hint="eastAsia"/>
          <w:color w:val="auto"/>
          <w:sz w:val="24"/>
          <w:highlight w:val="none"/>
          <w:lang w:eastAsia="zh-CN"/>
        </w:rPr>
        <w:t>投标方</w:t>
      </w:r>
      <w:r>
        <w:rPr>
          <w:color w:val="auto"/>
          <w:sz w:val="24"/>
          <w:highlight w:val="none"/>
        </w:rPr>
        <w:t>代表</w:t>
      </w:r>
    </w:p>
    <w:p w14:paraId="200A9CBE">
      <w:pPr>
        <w:adjustRightInd w:val="0"/>
        <w:snapToGrid w:val="0"/>
        <w:spacing w:line="360" w:lineRule="auto"/>
        <w:ind w:firstLine="480" w:firstLineChars="200"/>
        <w:rPr>
          <w:color w:val="auto"/>
          <w:sz w:val="24"/>
          <w:highlight w:val="none"/>
        </w:rPr>
      </w:pPr>
      <w:r>
        <w:rPr>
          <w:color w:val="auto"/>
          <w:sz w:val="24"/>
          <w:highlight w:val="none"/>
        </w:rPr>
        <w:t>会议议程</w:t>
      </w:r>
    </w:p>
    <w:p w14:paraId="14E969D9">
      <w:pPr>
        <w:numPr>
          <w:ilvl w:val="0"/>
          <w:numId w:val="14"/>
        </w:numPr>
        <w:adjustRightInd w:val="0"/>
        <w:snapToGrid w:val="0"/>
        <w:spacing w:line="360" w:lineRule="auto"/>
        <w:rPr>
          <w:color w:val="auto"/>
          <w:sz w:val="24"/>
          <w:highlight w:val="none"/>
        </w:rPr>
      </w:pPr>
      <w:r>
        <w:rPr>
          <w:color w:val="auto"/>
          <w:sz w:val="24"/>
          <w:highlight w:val="none"/>
        </w:rPr>
        <w:t>讨论和协调施工图设计的技术原则和技术资料。</w:t>
      </w:r>
    </w:p>
    <w:p w14:paraId="4E1B3068">
      <w:pPr>
        <w:numPr>
          <w:ilvl w:val="0"/>
          <w:numId w:val="14"/>
        </w:numPr>
        <w:adjustRightInd w:val="0"/>
        <w:snapToGrid w:val="0"/>
        <w:spacing w:line="360" w:lineRule="auto"/>
        <w:rPr>
          <w:color w:val="auto"/>
          <w:sz w:val="24"/>
          <w:highlight w:val="none"/>
        </w:rPr>
      </w:pPr>
      <w:r>
        <w:rPr>
          <w:color w:val="auto"/>
          <w:sz w:val="24"/>
          <w:highlight w:val="none"/>
        </w:rPr>
        <w:t>进一步讨论各部分接口位置及参数。</w:t>
      </w:r>
    </w:p>
    <w:p w14:paraId="10129DD9">
      <w:pPr>
        <w:numPr>
          <w:ilvl w:val="0"/>
          <w:numId w:val="14"/>
        </w:numPr>
        <w:adjustRightInd w:val="0"/>
        <w:snapToGrid w:val="0"/>
        <w:spacing w:line="360" w:lineRule="auto"/>
        <w:rPr>
          <w:color w:val="auto"/>
          <w:sz w:val="24"/>
          <w:highlight w:val="none"/>
        </w:rPr>
      </w:pPr>
      <w:r>
        <w:rPr>
          <w:color w:val="auto"/>
          <w:sz w:val="24"/>
          <w:highlight w:val="none"/>
        </w:rPr>
        <w:t>主要设备的供货进度、安装进度的初步协调。</w:t>
      </w:r>
    </w:p>
    <w:p w14:paraId="301C9588">
      <w:pPr>
        <w:numPr>
          <w:ilvl w:val="0"/>
          <w:numId w:val="14"/>
        </w:numPr>
        <w:adjustRightInd w:val="0"/>
        <w:snapToGrid w:val="0"/>
        <w:spacing w:line="360" w:lineRule="auto"/>
        <w:rPr>
          <w:color w:val="auto"/>
          <w:sz w:val="24"/>
          <w:highlight w:val="none"/>
        </w:rPr>
      </w:pPr>
      <w:r>
        <w:rPr>
          <w:color w:val="auto"/>
          <w:sz w:val="24"/>
          <w:highlight w:val="none"/>
        </w:rPr>
        <w:t>会议纪要。</w:t>
      </w:r>
    </w:p>
    <w:p w14:paraId="5F0EF695">
      <w:pPr>
        <w:numPr>
          <w:ilvl w:val="0"/>
          <w:numId w:val="14"/>
        </w:numPr>
        <w:adjustRightInd w:val="0"/>
        <w:snapToGrid w:val="0"/>
        <w:spacing w:line="360" w:lineRule="auto"/>
        <w:rPr>
          <w:color w:val="auto"/>
          <w:sz w:val="24"/>
          <w:highlight w:val="none"/>
        </w:rPr>
      </w:pPr>
      <w:r>
        <w:rPr>
          <w:color w:val="auto"/>
          <w:sz w:val="24"/>
          <w:highlight w:val="none"/>
        </w:rPr>
        <w:t>讨论下次联络会议题。</w:t>
      </w:r>
    </w:p>
    <w:p w14:paraId="3A2A1A9C">
      <w:pPr>
        <w:spacing w:line="360" w:lineRule="auto"/>
        <w:outlineLvl w:val="2"/>
        <w:rPr>
          <w:b/>
          <w:color w:val="auto"/>
          <w:sz w:val="24"/>
          <w:highlight w:val="none"/>
        </w:rPr>
      </w:pPr>
      <w:bookmarkStart w:id="202" w:name="_Toc482189971"/>
      <w:r>
        <w:rPr>
          <w:b/>
          <w:color w:val="auto"/>
          <w:sz w:val="24"/>
          <w:highlight w:val="none"/>
        </w:rPr>
        <w:t>2.5第四次设计联络会议</w:t>
      </w:r>
      <w:bookmarkEnd w:id="202"/>
    </w:p>
    <w:p w14:paraId="25D5FE4D">
      <w:pPr>
        <w:adjustRightInd w:val="0"/>
        <w:snapToGrid w:val="0"/>
        <w:spacing w:line="360" w:lineRule="auto"/>
        <w:ind w:firstLine="480" w:firstLineChars="200"/>
        <w:rPr>
          <w:color w:val="auto"/>
          <w:sz w:val="24"/>
          <w:highlight w:val="none"/>
        </w:rPr>
      </w:pPr>
      <w:r>
        <w:rPr>
          <w:color w:val="auto"/>
          <w:sz w:val="24"/>
          <w:highlight w:val="none"/>
        </w:rPr>
        <w:t>时间：合同生效后</w:t>
      </w:r>
      <w:r>
        <w:rPr>
          <w:rFonts w:hint="eastAsia"/>
          <w:color w:val="auto"/>
          <w:sz w:val="24"/>
          <w:highlight w:val="none"/>
          <w:u w:val="single"/>
          <w:lang w:val="en-US" w:eastAsia="zh-CN"/>
        </w:rPr>
        <w:t>3</w:t>
      </w:r>
      <w:r>
        <w:rPr>
          <w:color w:val="auto"/>
          <w:sz w:val="24"/>
          <w:highlight w:val="none"/>
          <w:u w:val="single"/>
        </w:rPr>
        <w:t xml:space="preserve"> </w:t>
      </w:r>
      <w:r>
        <w:rPr>
          <w:color w:val="auto"/>
          <w:sz w:val="24"/>
          <w:highlight w:val="none"/>
        </w:rPr>
        <w:t>个月</w:t>
      </w:r>
    </w:p>
    <w:p w14:paraId="5267C3B7">
      <w:pPr>
        <w:adjustRightInd w:val="0"/>
        <w:snapToGrid w:val="0"/>
        <w:spacing w:line="360" w:lineRule="auto"/>
        <w:ind w:firstLine="480" w:firstLineChars="200"/>
        <w:rPr>
          <w:color w:val="auto"/>
          <w:sz w:val="24"/>
          <w:highlight w:val="none"/>
        </w:rPr>
      </w:pPr>
      <w:r>
        <w:rPr>
          <w:color w:val="auto"/>
          <w:sz w:val="24"/>
          <w:highlight w:val="none"/>
        </w:rPr>
        <w:t>地点、会期：</w:t>
      </w:r>
      <w:r>
        <w:rPr>
          <w:rFonts w:hint="eastAsia"/>
          <w:color w:val="auto"/>
          <w:sz w:val="24"/>
          <w:highlight w:val="none"/>
          <w:lang w:eastAsia="zh-CN"/>
        </w:rPr>
        <w:t>招标方</w:t>
      </w:r>
      <w:r>
        <w:rPr>
          <w:color w:val="auto"/>
          <w:sz w:val="24"/>
          <w:highlight w:val="none"/>
        </w:rPr>
        <w:t>单位所在地，</w:t>
      </w:r>
      <w:r>
        <w:rPr>
          <w:color w:val="auto"/>
          <w:sz w:val="24"/>
          <w:highlight w:val="none"/>
          <w:u w:val="single"/>
        </w:rPr>
        <w:t xml:space="preserve"> </w:t>
      </w:r>
      <w:r>
        <w:rPr>
          <w:rFonts w:hint="eastAsia"/>
          <w:color w:val="auto"/>
          <w:sz w:val="24"/>
          <w:highlight w:val="none"/>
          <w:u w:val="single"/>
          <w:lang w:val="en-US" w:eastAsia="zh-CN"/>
        </w:rPr>
        <w:t>1</w:t>
      </w:r>
      <w:r>
        <w:rPr>
          <w:color w:val="auto"/>
          <w:sz w:val="24"/>
          <w:highlight w:val="none"/>
          <w:u w:val="single"/>
        </w:rPr>
        <w:t xml:space="preserve"> </w:t>
      </w:r>
      <w:r>
        <w:rPr>
          <w:color w:val="auto"/>
          <w:sz w:val="24"/>
          <w:highlight w:val="none"/>
        </w:rPr>
        <w:t xml:space="preserve"> 天</w:t>
      </w:r>
    </w:p>
    <w:p w14:paraId="13295086">
      <w:pPr>
        <w:adjustRightInd w:val="0"/>
        <w:snapToGrid w:val="0"/>
        <w:spacing w:line="360" w:lineRule="auto"/>
        <w:ind w:firstLine="480" w:firstLineChars="200"/>
        <w:rPr>
          <w:color w:val="auto"/>
          <w:sz w:val="24"/>
          <w:highlight w:val="none"/>
        </w:rPr>
      </w:pPr>
      <w:r>
        <w:rPr>
          <w:color w:val="auto"/>
          <w:sz w:val="24"/>
          <w:highlight w:val="none"/>
        </w:rPr>
        <w:t>到会人员：</w:t>
      </w:r>
      <w:r>
        <w:rPr>
          <w:rFonts w:hint="eastAsia"/>
          <w:color w:val="auto"/>
          <w:sz w:val="24"/>
          <w:highlight w:val="none"/>
          <w:lang w:eastAsia="zh-CN"/>
        </w:rPr>
        <w:t>投标方</w:t>
      </w:r>
      <w:r>
        <w:rPr>
          <w:color w:val="auto"/>
          <w:sz w:val="24"/>
          <w:highlight w:val="none"/>
        </w:rPr>
        <w:t>代表和</w:t>
      </w:r>
      <w:r>
        <w:rPr>
          <w:rFonts w:hint="eastAsia"/>
          <w:color w:val="auto"/>
          <w:sz w:val="24"/>
          <w:highlight w:val="none"/>
          <w:lang w:eastAsia="zh-CN"/>
        </w:rPr>
        <w:t>招标方</w:t>
      </w:r>
      <w:r>
        <w:rPr>
          <w:color w:val="auto"/>
          <w:sz w:val="24"/>
          <w:highlight w:val="none"/>
        </w:rPr>
        <w:t>代表</w:t>
      </w:r>
    </w:p>
    <w:p w14:paraId="506AC5C3">
      <w:pPr>
        <w:adjustRightInd w:val="0"/>
        <w:snapToGrid w:val="0"/>
        <w:spacing w:line="360" w:lineRule="auto"/>
        <w:ind w:firstLine="480" w:firstLineChars="200"/>
        <w:rPr>
          <w:color w:val="auto"/>
          <w:sz w:val="24"/>
          <w:highlight w:val="none"/>
        </w:rPr>
      </w:pPr>
      <w:r>
        <w:rPr>
          <w:color w:val="auto"/>
          <w:sz w:val="24"/>
          <w:highlight w:val="none"/>
        </w:rPr>
        <w:t>会议议程</w:t>
      </w:r>
    </w:p>
    <w:p w14:paraId="552A9438">
      <w:pPr>
        <w:numPr>
          <w:ilvl w:val="0"/>
          <w:numId w:val="14"/>
        </w:numPr>
        <w:adjustRightInd w:val="0"/>
        <w:snapToGrid w:val="0"/>
        <w:spacing w:line="360" w:lineRule="auto"/>
        <w:rPr>
          <w:color w:val="auto"/>
          <w:sz w:val="24"/>
          <w:highlight w:val="none"/>
        </w:rPr>
      </w:pPr>
      <w:r>
        <w:rPr>
          <w:color w:val="auto"/>
          <w:sz w:val="24"/>
          <w:highlight w:val="none"/>
        </w:rPr>
        <w:t>讨论施工组织设计及施工图交图进度。</w:t>
      </w:r>
    </w:p>
    <w:p w14:paraId="14F4BAEE">
      <w:pPr>
        <w:numPr>
          <w:ilvl w:val="0"/>
          <w:numId w:val="14"/>
        </w:numPr>
        <w:adjustRightInd w:val="0"/>
        <w:snapToGrid w:val="0"/>
        <w:spacing w:line="360" w:lineRule="auto"/>
        <w:rPr>
          <w:color w:val="auto"/>
          <w:sz w:val="24"/>
          <w:highlight w:val="none"/>
        </w:rPr>
      </w:pPr>
      <w:r>
        <w:rPr>
          <w:color w:val="auto"/>
          <w:sz w:val="24"/>
          <w:highlight w:val="none"/>
        </w:rPr>
        <w:t>确定</w:t>
      </w:r>
      <w:r>
        <w:rPr>
          <w:rFonts w:hint="eastAsia"/>
          <w:color w:val="auto"/>
          <w:sz w:val="24"/>
          <w:highlight w:val="none"/>
          <w:lang w:eastAsia="zh-CN"/>
        </w:rPr>
        <w:t>投标方</w:t>
      </w:r>
      <w:r>
        <w:rPr>
          <w:color w:val="auto"/>
          <w:sz w:val="24"/>
          <w:highlight w:val="none"/>
        </w:rPr>
        <w:t>代表在现场工作的规定及内容。</w:t>
      </w:r>
    </w:p>
    <w:p w14:paraId="69A87EFA">
      <w:pPr>
        <w:numPr>
          <w:ilvl w:val="0"/>
          <w:numId w:val="14"/>
        </w:numPr>
        <w:adjustRightInd w:val="0"/>
        <w:snapToGrid w:val="0"/>
        <w:spacing w:line="360" w:lineRule="auto"/>
        <w:rPr>
          <w:color w:val="auto"/>
          <w:sz w:val="24"/>
          <w:highlight w:val="none"/>
        </w:rPr>
      </w:pPr>
      <w:r>
        <w:rPr>
          <w:color w:val="auto"/>
          <w:sz w:val="24"/>
          <w:highlight w:val="none"/>
        </w:rPr>
        <w:t>主要设备的供货进度及安装进度的协调。</w:t>
      </w:r>
    </w:p>
    <w:p w14:paraId="5DBB3C64">
      <w:pPr>
        <w:numPr>
          <w:ilvl w:val="0"/>
          <w:numId w:val="14"/>
        </w:numPr>
        <w:adjustRightInd w:val="0"/>
        <w:snapToGrid w:val="0"/>
        <w:spacing w:line="360" w:lineRule="auto"/>
        <w:rPr>
          <w:color w:val="auto"/>
          <w:sz w:val="24"/>
          <w:highlight w:val="none"/>
        </w:rPr>
      </w:pPr>
      <w:r>
        <w:rPr>
          <w:color w:val="auto"/>
          <w:sz w:val="24"/>
          <w:highlight w:val="none"/>
        </w:rPr>
        <w:t>讨论各接口的遗留问题。</w:t>
      </w:r>
    </w:p>
    <w:p w14:paraId="18D65DE0">
      <w:pPr>
        <w:numPr>
          <w:ilvl w:val="0"/>
          <w:numId w:val="14"/>
        </w:numPr>
        <w:adjustRightInd w:val="0"/>
        <w:snapToGrid w:val="0"/>
        <w:spacing w:line="360" w:lineRule="auto"/>
        <w:rPr>
          <w:color w:val="auto"/>
          <w:sz w:val="24"/>
          <w:highlight w:val="none"/>
        </w:rPr>
      </w:pPr>
      <w:r>
        <w:rPr>
          <w:color w:val="auto"/>
          <w:sz w:val="24"/>
          <w:highlight w:val="none"/>
        </w:rPr>
        <w:t>会议纪要。</w:t>
      </w:r>
    </w:p>
    <w:p w14:paraId="0FEAD39D">
      <w:pPr>
        <w:spacing w:line="360" w:lineRule="auto"/>
        <w:outlineLvl w:val="2"/>
        <w:rPr>
          <w:b/>
          <w:color w:val="auto"/>
          <w:sz w:val="24"/>
          <w:highlight w:val="none"/>
        </w:rPr>
      </w:pPr>
      <w:bookmarkStart w:id="203" w:name="_Toc482189972"/>
      <w:r>
        <w:rPr>
          <w:b/>
          <w:color w:val="auto"/>
          <w:sz w:val="24"/>
          <w:highlight w:val="none"/>
        </w:rPr>
        <w:t>2.6签字</w:t>
      </w:r>
      <w:bookmarkEnd w:id="203"/>
    </w:p>
    <w:p w14:paraId="1C274194">
      <w:pPr>
        <w:adjustRightInd w:val="0"/>
        <w:snapToGrid w:val="0"/>
        <w:spacing w:line="360" w:lineRule="auto"/>
        <w:ind w:firstLine="480" w:firstLineChars="200"/>
        <w:rPr>
          <w:color w:val="auto"/>
          <w:sz w:val="24"/>
          <w:highlight w:val="none"/>
        </w:rPr>
      </w:pPr>
      <w:r>
        <w:rPr>
          <w:color w:val="auto"/>
          <w:sz w:val="24"/>
          <w:highlight w:val="none"/>
        </w:rPr>
        <w:t>每次设计联络会，双方均应在会议纪要或所达成的协议上签字。</w:t>
      </w:r>
    </w:p>
    <w:p w14:paraId="050CFFFD">
      <w:pPr>
        <w:spacing w:line="360" w:lineRule="auto"/>
        <w:outlineLvl w:val="2"/>
        <w:rPr>
          <w:b/>
          <w:color w:val="auto"/>
          <w:sz w:val="24"/>
          <w:highlight w:val="none"/>
        </w:rPr>
      </w:pPr>
      <w:bookmarkStart w:id="204" w:name="_Toc482189973"/>
      <w:r>
        <w:rPr>
          <w:b/>
          <w:color w:val="auto"/>
          <w:sz w:val="24"/>
          <w:highlight w:val="none"/>
        </w:rPr>
        <w:t>2.7确认</w:t>
      </w:r>
      <w:bookmarkEnd w:id="204"/>
    </w:p>
    <w:p w14:paraId="67BFDE91">
      <w:pPr>
        <w:adjustRightInd w:val="0"/>
        <w:snapToGrid w:val="0"/>
        <w:spacing w:line="360" w:lineRule="auto"/>
        <w:ind w:firstLine="480" w:firstLineChars="200"/>
        <w:rPr>
          <w:color w:val="auto"/>
          <w:sz w:val="24"/>
          <w:highlight w:val="none"/>
        </w:rPr>
      </w:pPr>
      <w:r>
        <w:rPr>
          <w:color w:val="auto"/>
          <w:sz w:val="24"/>
          <w:highlight w:val="none"/>
        </w:rPr>
        <w:t>除以上联络会议外，</w:t>
      </w:r>
      <w:r>
        <w:rPr>
          <w:rFonts w:hint="eastAsia"/>
          <w:color w:val="auto"/>
          <w:sz w:val="24"/>
          <w:highlight w:val="none"/>
          <w:lang w:eastAsia="zh-CN"/>
        </w:rPr>
        <w:t>投标方</w:t>
      </w:r>
      <w:r>
        <w:rPr>
          <w:color w:val="auto"/>
          <w:sz w:val="24"/>
          <w:highlight w:val="none"/>
        </w:rPr>
        <w:t>必要时可书面或采用其它方式和</w:t>
      </w:r>
      <w:r>
        <w:rPr>
          <w:rFonts w:hint="eastAsia"/>
          <w:color w:val="auto"/>
          <w:sz w:val="24"/>
          <w:highlight w:val="none"/>
          <w:lang w:eastAsia="zh-CN"/>
        </w:rPr>
        <w:t>招标方</w:t>
      </w:r>
      <w:r>
        <w:rPr>
          <w:color w:val="auto"/>
          <w:sz w:val="24"/>
          <w:highlight w:val="none"/>
        </w:rPr>
        <w:t>代表联系，</w:t>
      </w:r>
      <w:r>
        <w:rPr>
          <w:rFonts w:hint="eastAsia"/>
          <w:color w:val="auto"/>
          <w:sz w:val="24"/>
          <w:highlight w:val="none"/>
          <w:lang w:eastAsia="zh-CN"/>
        </w:rPr>
        <w:t>招标方</w:t>
      </w:r>
      <w:r>
        <w:rPr>
          <w:color w:val="auto"/>
          <w:sz w:val="24"/>
          <w:highlight w:val="none"/>
        </w:rPr>
        <w:t>代表应书面或在会议上答复，书面通知和双方代表口头联系的信息应提交给</w:t>
      </w:r>
      <w:r>
        <w:rPr>
          <w:rFonts w:hint="eastAsia"/>
          <w:color w:val="auto"/>
          <w:sz w:val="24"/>
          <w:highlight w:val="none"/>
          <w:lang w:eastAsia="zh-CN"/>
        </w:rPr>
        <w:t>招标方</w:t>
      </w:r>
      <w:r>
        <w:rPr>
          <w:color w:val="auto"/>
          <w:sz w:val="24"/>
          <w:highlight w:val="none"/>
        </w:rPr>
        <w:t>确认。</w:t>
      </w:r>
    </w:p>
    <w:p w14:paraId="0F825F34">
      <w:pPr>
        <w:spacing w:line="360" w:lineRule="auto"/>
        <w:outlineLvl w:val="2"/>
        <w:rPr>
          <w:b/>
          <w:color w:val="auto"/>
          <w:sz w:val="24"/>
          <w:highlight w:val="none"/>
        </w:rPr>
      </w:pPr>
      <w:bookmarkStart w:id="205" w:name="_Toc482189974"/>
      <w:r>
        <w:rPr>
          <w:b/>
          <w:color w:val="auto"/>
          <w:sz w:val="24"/>
          <w:highlight w:val="none"/>
        </w:rPr>
        <w:t>2.8配合</w:t>
      </w:r>
      <w:bookmarkEnd w:id="205"/>
    </w:p>
    <w:p w14:paraId="72F65BAE">
      <w:pPr>
        <w:adjustRightInd w:val="0"/>
        <w:snapToGrid w:val="0"/>
        <w:spacing w:line="360" w:lineRule="auto"/>
        <w:ind w:firstLine="480" w:firstLineChars="200"/>
        <w:rPr>
          <w:color w:val="auto"/>
          <w:sz w:val="24"/>
          <w:highlight w:val="none"/>
        </w:rPr>
      </w:pPr>
      <w:r>
        <w:rPr>
          <w:color w:val="auto"/>
          <w:sz w:val="24"/>
          <w:highlight w:val="none"/>
        </w:rPr>
        <w:t>施工过程中如有设计上的问题，双方代表将根据现场实际情况，以书面形式或在现场协调会上解决，所有协议经双方签字后提交</w:t>
      </w:r>
      <w:r>
        <w:rPr>
          <w:rFonts w:hint="eastAsia"/>
          <w:color w:val="auto"/>
          <w:sz w:val="24"/>
          <w:highlight w:val="none"/>
          <w:lang w:eastAsia="zh-CN"/>
        </w:rPr>
        <w:t>招标方</w:t>
      </w:r>
      <w:r>
        <w:rPr>
          <w:color w:val="auto"/>
          <w:sz w:val="24"/>
          <w:highlight w:val="none"/>
        </w:rPr>
        <w:t>确认。</w:t>
      </w:r>
    </w:p>
    <w:p w14:paraId="4F618589">
      <w:pPr>
        <w:adjustRightInd w:val="0"/>
        <w:snapToGrid w:val="0"/>
        <w:spacing w:line="360" w:lineRule="auto"/>
        <w:rPr>
          <w:color w:val="auto"/>
          <w:sz w:val="24"/>
          <w:highlight w:val="none"/>
        </w:rPr>
      </w:pPr>
      <w:r>
        <w:rPr>
          <w:color w:val="auto"/>
          <w:sz w:val="24"/>
          <w:highlight w:val="none"/>
        </w:rPr>
        <w:t>2.8.1设计联络会费用</w:t>
      </w:r>
    </w:p>
    <w:p w14:paraId="7A872977">
      <w:pPr>
        <w:adjustRightInd w:val="0"/>
        <w:snapToGrid w:val="0"/>
        <w:spacing w:line="360" w:lineRule="auto"/>
        <w:ind w:left="-57" w:right="57" w:firstLine="480" w:firstLineChars="200"/>
        <w:rPr>
          <w:color w:val="auto"/>
          <w:sz w:val="24"/>
          <w:highlight w:val="none"/>
        </w:rPr>
      </w:pPr>
      <w:r>
        <w:rPr>
          <w:color w:val="auto"/>
          <w:sz w:val="24"/>
          <w:highlight w:val="none"/>
        </w:rPr>
        <w:t>在</w:t>
      </w:r>
      <w:r>
        <w:rPr>
          <w:rFonts w:hint="eastAsia"/>
          <w:color w:val="auto"/>
          <w:sz w:val="24"/>
          <w:highlight w:val="none"/>
          <w:lang w:eastAsia="zh-CN"/>
        </w:rPr>
        <w:t>招标方</w:t>
      </w:r>
      <w:r>
        <w:rPr>
          <w:color w:val="auto"/>
          <w:sz w:val="24"/>
          <w:highlight w:val="none"/>
        </w:rPr>
        <w:t>所在地的联络会，其会议安排与费用由</w:t>
      </w:r>
      <w:r>
        <w:rPr>
          <w:rFonts w:hint="eastAsia"/>
          <w:color w:val="auto"/>
          <w:sz w:val="24"/>
          <w:highlight w:val="none"/>
          <w:lang w:eastAsia="zh-CN"/>
        </w:rPr>
        <w:t>招标方</w:t>
      </w:r>
      <w:r>
        <w:rPr>
          <w:color w:val="auto"/>
          <w:sz w:val="24"/>
          <w:highlight w:val="none"/>
        </w:rPr>
        <w:t>负责，在</w:t>
      </w:r>
      <w:r>
        <w:rPr>
          <w:rFonts w:hint="eastAsia"/>
          <w:color w:val="auto"/>
          <w:sz w:val="24"/>
          <w:highlight w:val="none"/>
          <w:lang w:eastAsia="zh-CN"/>
        </w:rPr>
        <w:t>投标方</w:t>
      </w:r>
      <w:r>
        <w:rPr>
          <w:color w:val="auto"/>
          <w:sz w:val="24"/>
          <w:highlight w:val="none"/>
        </w:rPr>
        <w:t>所在地的联络会，其会议安排与费用由</w:t>
      </w:r>
      <w:r>
        <w:rPr>
          <w:rFonts w:hint="eastAsia"/>
          <w:color w:val="auto"/>
          <w:sz w:val="24"/>
          <w:highlight w:val="none"/>
          <w:lang w:eastAsia="zh-CN"/>
        </w:rPr>
        <w:t>投标方</w:t>
      </w:r>
      <w:r>
        <w:rPr>
          <w:color w:val="auto"/>
          <w:sz w:val="24"/>
          <w:highlight w:val="none"/>
        </w:rPr>
        <w:t>负责，但差旅费均各自理。</w:t>
      </w:r>
    </w:p>
    <w:p w14:paraId="3B3D769A">
      <w:pPr>
        <w:pStyle w:val="2"/>
        <w:spacing w:before="240" w:after="240" w:line="360" w:lineRule="auto"/>
        <w:rPr>
          <w:bCs w:val="0"/>
          <w:color w:val="auto"/>
          <w:sz w:val="32"/>
          <w:szCs w:val="32"/>
          <w:highlight w:val="none"/>
        </w:rPr>
      </w:pPr>
      <w:bookmarkStart w:id="206" w:name="_Toc19267"/>
      <w:bookmarkStart w:id="207" w:name="_Toc482189975"/>
      <w:bookmarkStart w:id="208" w:name="_Toc27077"/>
      <w:bookmarkStart w:id="209" w:name="_Toc27588"/>
      <w:bookmarkStart w:id="210" w:name="_Toc18853"/>
      <w:bookmarkStart w:id="211" w:name="_Toc12540"/>
      <w:bookmarkStart w:id="212" w:name="_Toc7586"/>
      <w:r>
        <w:rPr>
          <w:color w:val="auto"/>
          <w:sz w:val="32"/>
          <w:szCs w:val="32"/>
          <w:highlight w:val="none"/>
        </w:rPr>
        <w:t>附件4技术资料</w:t>
      </w:r>
      <w:bookmarkEnd w:id="206"/>
      <w:bookmarkEnd w:id="207"/>
      <w:bookmarkEnd w:id="208"/>
      <w:bookmarkEnd w:id="209"/>
      <w:bookmarkEnd w:id="210"/>
      <w:bookmarkEnd w:id="211"/>
      <w:bookmarkEnd w:id="212"/>
    </w:p>
    <w:p w14:paraId="4A1C96D5">
      <w:pPr>
        <w:pStyle w:val="3"/>
        <w:spacing w:before="156" w:after="156"/>
        <w:rPr>
          <w:rFonts w:hint="default" w:ascii="Times New Roman" w:hAnsi="Times New Roman" w:eastAsia="宋体"/>
          <w:color w:val="auto"/>
          <w:sz w:val="28"/>
          <w:szCs w:val="28"/>
          <w:highlight w:val="none"/>
        </w:rPr>
      </w:pPr>
      <w:bookmarkStart w:id="213" w:name="_Toc482189977"/>
      <w:bookmarkStart w:id="214" w:name="_Toc21508"/>
      <w:bookmarkStart w:id="215" w:name="_Toc1029"/>
      <w:bookmarkStart w:id="216" w:name="_Toc12179"/>
      <w:bookmarkStart w:id="217" w:name="_Toc25119"/>
      <w:bookmarkStart w:id="218" w:name="_Toc3933"/>
      <w:bookmarkStart w:id="219" w:name="_Toc17708"/>
      <w:r>
        <w:rPr>
          <w:rFonts w:ascii="宋体" w:hAnsi="宋体" w:eastAsia="宋体" w:cs="宋体"/>
          <w:color w:val="auto"/>
          <w:sz w:val="28"/>
          <w:szCs w:val="28"/>
          <w:highlight w:val="none"/>
        </w:rPr>
        <w:t>1规划和建设阶段的资料</w:t>
      </w:r>
      <w:bookmarkEnd w:id="213"/>
      <w:bookmarkEnd w:id="214"/>
      <w:bookmarkEnd w:id="215"/>
      <w:bookmarkEnd w:id="216"/>
      <w:bookmarkEnd w:id="217"/>
      <w:bookmarkEnd w:id="218"/>
      <w:bookmarkEnd w:id="219"/>
    </w:p>
    <w:p w14:paraId="66557A62">
      <w:pPr>
        <w:adjustRightInd w:val="0"/>
        <w:snapToGrid w:val="0"/>
        <w:spacing w:line="360" w:lineRule="auto"/>
        <w:ind w:firstLine="480" w:firstLineChars="200"/>
        <w:rPr>
          <w:color w:val="auto"/>
          <w:sz w:val="24"/>
          <w:highlight w:val="none"/>
        </w:rPr>
      </w:pPr>
      <w:r>
        <w:rPr>
          <w:color w:val="auto"/>
          <w:sz w:val="24"/>
          <w:highlight w:val="none"/>
        </w:rPr>
        <w:t>规划和建设过程中的所有资料应以“基本设计（资料）”“施工图（资料）”和“竣工图（资料）”状态提交。</w:t>
      </w:r>
      <w:r>
        <w:rPr>
          <w:rFonts w:hint="eastAsia"/>
          <w:color w:val="auto"/>
          <w:sz w:val="24"/>
          <w:highlight w:val="none"/>
          <w:lang w:eastAsia="zh-CN"/>
        </w:rPr>
        <w:t>投标方</w:t>
      </w:r>
      <w:r>
        <w:rPr>
          <w:color w:val="auto"/>
          <w:sz w:val="24"/>
          <w:highlight w:val="none"/>
        </w:rPr>
        <w:t>应根据计划和工程的进展更新所有资料，并根据总的合同条件提交所有最终资料。资料和图纸的改变必须做明确的标记，以清楚地找到改变之处。</w:t>
      </w:r>
    </w:p>
    <w:p w14:paraId="3F1F6076">
      <w:pPr>
        <w:adjustRightInd w:val="0"/>
        <w:snapToGrid w:val="0"/>
        <w:spacing w:line="360" w:lineRule="auto"/>
        <w:ind w:firstLine="480" w:firstLineChars="200"/>
        <w:rPr>
          <w:color w:val="auto"/>
          <w:sz w:val="24"/>
          <w:highlight w:val="none"/>
        </w:rPr>
      </w:pPr>
      <w:r>
        <w:rPr>
          <w:color w:val="auto"/>
          <w:sz w:val="24"/>
          <w:highlight w:val="none"/>
        </w:rPr>
        <w:t>在相关的图纸和设计资料被最终认可之前，</w:t>
      </w:r>
      <w:r>
        <w:rPr>
          <w:rFonts w:hint="eastAsia"/>
          <w:color w:val="auto"/>
          <w:sz w:val="24"/>
          <w:highlight w:val="none"/>
          <w:lang w:eastAsia="zh-CN"/>
        </w:rPr>
        <w:t>投标方</w:t>
      </w:r>
      <w:r>
        <w:rPr>
          <w:color w:val="auto"/>
          <w:sz w:val="24"/>
          <w:highlight w:val="none"/>
        </w:rPr>
        <w:t>不应进行设备的装运。</w:t>
      </w:r>
    </w:p>
    <w:p w14:paraId="0AA3AEAF">
      <w:pPr>
        <w:spacing w:line="360" w:lineRule="auto"/>
        <w:outlineLvl w:val="2"/>
        <w:rPr>
          <w:b/>
          <w:color w:val="auto"/>
          <w:sz w:val="24"/>
          <w:highlight w:val="none"/>
        </w:rPr>
      </w:pPr>
      <w:r>
        <w:rPr>
          <w:b/>
          <w:color w:val="auto"/>
          <w:sz w:val="24"/>
          <w:highlight w:val="none"/>
        </w:rPr>
        <w:t>1.1</w:t>
      </w:r>
      <w:r>
        <w:rPr>
          <w:rFonts w:hint="eastAsia"/>
          <w:b/>
          <w:color w:val="auto"/>
          <w:sz w:val="24"/>
          <w:highlight w:val="none"/>
          <w:lang w:eastAsia="zh-CN"/>
        </w:rPr>
        <w:t>投标方</w:t>
      </w:r>
      <w:r>
        <w:rPr>
          <w:b/>
          <w:color w:val="auto"/>
          <w:sz w:val="24"/>
          <w:highlight w:val="none"/>
        </w:rPr>
        <w:t>应提交资料</w:t>
      </w:r>
    </w:p>
    <w:p w14:paraId="293B527B">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在合同执行过程中至少应提供下列资料，但不仅限于此：</w:t>
      </w:r>
    </w:p>
    <w:p w14:paraId="33F27D44">
      <w:pPr>
        <w:spacing w:line="360" w:lineRule="auto"/>
        <w:outlineLvl w:val="2"/>
        <w:rPr>
          <w:b/>
          <w:color w:val="auto"/>
          <w:sz w:val="24"/>
          <w:highlight w:val="none"/>
        </w:rPr>
      </w:pPr>
      <w:r>
        <w:rPr>
          <w:b/>
          <w:color w:val="auto"/>
          <w:sz w:val="24"/>
          <w:highlight w:val="none"/>
        </w:rPr>
        <w:t>1.2资料内容（包括但不限于此）</w:t>
      </w:r>
    </w:p>
    <w:p w14:paraId="3B0A79E3">
      <w:pPr>
        <w:adjustRightInd w:val="0"/>
        <w:snapToGrid w:val="0"/>
        <w:spacing w:line="360" w:lineRule="auto"/>
        <w:rPr>
          <w:color w:val="auto"/>
          <w:sz w:val="24"/>
          <w:highlight w:val="none"/>
        </w:rPr>
      </w:pPr>
      <w:r>
        <w:rPr>
          <w:color w:val="auto"/>
          <w:sz w:val="24"/>
          <w:highlight w:val="none"/>
        </w:rPr>
        <w:t>1.2.1工艺系统（即机械部分）</w:t>
      </w:r>
    </w:p>
    <w:p w14:paraId="4D25CB65">
      <w:pPr>
        <w:numPr>
          <w:ilvl w:val="0"/>
          <w:numId w:val="19"/>
        </w:numPr>
        <w:adjustRightInd w:val="0"/>
        <w:snapToGrid w:val="0"/>
        <w:spacing w:line="360" w:lineRule="auto"/>
        <w:rPr>
          <w:color w:val="auto"/>
          <w:sz w:val="24"/>
          <w:highlight w:val="none"/>
        </w:rPr>
      </w:pPr>
      <w:r>
        <w:rPr>
          <w:rFonts w:hint="eastAsia"/>
          <w:color w:val="auto"/>
          <w:sz w:val="24"/>
          <w:highlight w:val="none"/>
          <w:lang w:val="en-US" w:eastAsia="zh-CN"/>
        </w:rPr>
        <w:t>整套招标范围内系统</w:t>
      </w:r>
      <w:r>
        <w:rPr>
          <w:color w:val="auto"/>
          <w:sz w:val="24"/>
          <w:highlight w:val="none"/>
        </w:rPr>
        <w:t>布置图；</w:t>
      </w:r>
    </w:p>
    <w:p w14:paraId="6E0368C0">
      <w:pPr>
        <w:numPr>
          <w:ilvl w:val="0"/>
          <w:numId w:val="19"/>
        </w:numPr>
        <w:adjustRightInd w:val="0"/>
        <w:snapToGrid w:val="0"/>
        <w:spacing w:line="360" w:lineRule="auto"/>
        <w:rPr>
          <w:color w:val="auto"/>
          <w:sz w:val="24"/>
          <w:highlight w:val="none"/>
        </w:rPr>
      </w:pPr>
      <w:r>
        <w:rPr>
          <w:color w:val="auto"/>
          <w:sz w:val="24"/>
          <w:highlight w:val="none"/>
        </w:rPr>
        <w:t>管道清单；</w:t>
      </w:r>
    </w:p>
    <w:p w14:paraId="2D81C824">
      <w:pPr>
        <w:numPr>
          <w:ilvl w:val="0"/>
          <w:numId w:val="19"/>
        </w:numPr>
        <w:adjustRightInd w:val="0"/>
        <w:snapToGrid w:val="0"/>
        <w:spacing w:line="360" w:lineRule="auto"/>
        <w:rPr>
          <w:color w:val="auto"/>
          <w:sz w:val="24"/>
          <w:highlight w:val="none"/>
        </w:rPr>
      </w:pPr>
      <w:r>
        <w:rPr>
          <w:color w:val="auto"/>
          <w:sz w:val="24"/>
          <w:highlight w:val="none"/>
        </w:rPr>
        <w:t>阀门清单；</w:t>
      </w:r>
    </w:p>
    <w:p w14:paraId="5BE71C34">
      <w:pPr>
        <w:numPr>
          <w:ilvl w:val="0"/>
          <w:numId w:val="19"/>
        </w:numPr>
        <w:adjustRightInd w:val="0"/>
        <w:snapToGrid w:val="0"/>
        <w:spacing w:line="360" w:lineRule="auto"/>
        <w:rPr>
          <w:color w:val="auto"/>
          <w:sz w:val="24"/>
          <w:highlight w:val="none"/>
        </w:rPr>
      </w:pPr>
      <w:r>
        <w:rPr>
          <w:color w:val="auto"/>
          <w:sz w:val="24"/>
          <w:highlight w:val="none"/>
        </w:rPr>
        <w:t>设备项目清单；</w:t>
      </w:r>
    </w:p>
    <w:p w14:paraId="1DD892A0">
      <w:pPr>
        <w:numPr>
          <w:ilvl w:val="0"/>
          <w:numId w:val="19"/>
        </w:numPr>
        <w:adjustRightInd w:val="0"/>
        <w:snapToGrid w:val="0"/>
        <w:spacing w:line="360" w:lineRule="auto"/>
        <w:rPr>
          <w:color w:val="auto"/>
          <w:sz w:val="24"/>
          <w:highlight w:val="none"/>
        </w:rPr>
      </w:pPr>
      <w:r>
        <w:rPr>
          <w:color w:val="auto"/>
          <w:sz w:val="24"/>
          <w:highlight w:val="none"/>
        </w:rPr>
        <w:t>起重设备清单；</w:t>
      </w:r>
    </w:p>
    <w:p w14:paraId="0CF0C509">
      <w:pPr>
        <w:numPr>
          <w:ilvl w:val="0"/>
          <w:numId w:val="19"/>
        </w:numPr>
        <w:adjustRightInd w:val="0"/>
        <w:snapToGrid w:val="0"/>
        <w:spacing w:line="360" w:lineRule="auto"/>
        <w:rPr>
          <w:color w:val="auto"/>
          <w:sz w:val="24"/>
          <w:highlight w:val="none"/>
        </w:rPr>
      </w:pPr>
      <w:r>
        <w:rPr>
          <w:color w:val="auto"/>
          <w:sz w:val="24"/>
          <w:highlight w:val="none"/>
        </w:rPr>
        <w:t>辅助设备清单；</w:t>
      </w:r>
    </w:p>
    <w:p w14:paraId="3C7170D1">
      <w:pPr>
        <w:adjustRightInd w:val="0"/>
        <w:snapToGrid w:val="0"/>
        <w:spacing w:line="360" w:lineRule="auto"/>
        <w:rPr>
          <w:color w:val="auto"/>
          <w:sz w:val="24"/>
          <w:highlight w:val="none"/>
        </w:rPr>
      </w:pPr>
      <w:r>
        <w:rPr>
          <w:color w:val="auto"/>
          <w:sz w:val="24"/>
          <w:highlight w:val="none"/>
        </w:rPr>
        <w:t>1.2.2土建部分</w:t>
      </w:r>
    </w:p>
    <w:p w14:paraId="76FE24DB">
      <w:pPr>
        <w:numPr>
          <w:ilvl w:val="0"/>
          <w:numId w:val="20"/>
        </w:numPr>
        <w:adjustRightInd w:val="0"/>
        <w:snapToGrid w:val="0"/>
        <w:spacing w:line="360" w:lineRule="auto"/>
        <w:rPr>
          <w:color w:val="auto"/>
          <w:sz w:val="24"/>
          <w:highlight w:val="none"/>
        </w:rPr>
      </w:pPr>
      <w:r>
        <w:rPr>
          <w:color w:val="auto"/>
          <w:sz w:val="24"/>
          <w:highlight w:val="none"/>
        </w:rPr>
        <w:t>脱硫系统内建（构）筑物、道路布置图；</w:t>
      </w:r>
    </w:p>
    <w:p w14:paraId="7C0467F4">
      <w:pPr>
        <w:adjustRightInd w:val="0"/>
        <w:snapToGrid w:val="0"/>
        <w:spacing w:line="360" w:lineRule="auto"/>
        <w:rPr>
          <w:color w:val="auto"/>
          <w:sz w:val="24"/>
          <w:highlight w:val="none"/>
        </w:rPr>
      </w:pPr>
      <w:r>
        <w:rPr>
          <w:color w:val="auto"/>
          <w:sz w:val="24"/>
          <w:highlight w:val="none"/>
        </w:rPr>
        <w:t>1.2.3电气部分</w:t>
      </w:r>
    </w:p>
    <w:p w14:paraId="06F1BE18">
      <w:pPr>
        <w:adjustRightInd w:val="0"/>
        <w:snapToGrid w:val="0"/>
        <w:spacing w:line="360" w:lineRule="auto"/>
        <w:ind w:firstLine="480" w:firstLineChars="200"/>
        <w:rPr>
          <w:color w:val="auto"/>
          <w:sz w:val="24"/>
          <w:highlight w:val="none"/>
        </w:rPr>
      </w:pPr>
      <w:r>
        <w:rPr>
          <w:color w:val="auto"/>
          <w:sz w:val="24"/>
          <w:highlight w:val="none"/>
        </w:rPr>
        <w:t>低压变压器：</w:t>
      </w:r>
    </w:p>
    <w:p w14:paraId="46A9997B">
      <w:pPr>
        <w:numPr>
          <w:ilvl w:val="0"/>
          <w:numId w:val="21"/>
        </w:numPr>
        <w:adjustRightInd w:val="0"/>
        <w:snapToGrid w:val="0"/>
        <w:spacing w:line="360" w:lineRule="auto"/>
        <w:rPr>
          <w:color w:val="auto"/>
          <w:sz w:val="24"/>
          <w:highlight w:val="none"/>
        </w:rPr>
      </w:pPr>
      <w:r>
        <w:rPr>
          <w:color w:val="auto"/>
          <w:sz w:val="24"/>
          <w:highlight w:val="none"/>
        </w:rPr>
        <w:t>变压器一次及二次安装图；</w:t>
      </w:r>
    </w:p>
    <w:p w14:paraId="684A1223">
      <w:pPr>
        <w:numPr>
          <w:ilvl w:val="0"/>
          <w:numId w:val="21"/>
        </w:numPr>
        <w:adjustRightInd w:val="0"/>
        <w:snapToGrid w:val="0"/>
        <w:spacing w:line="360" w:lineRule="auto"/>
        <w:rPr>
          <w:color w:val="auto"/>
          <w:sz w:val="24"/>
          <w:highlight w:val="none"/>
        </w:rPr>
      </w:pPr>
      <w:r>
        <w:rPr>
          <w:color w:val="auto"/>
          <w:sz w:val="24"/>
          <w:highlight w:val="none"/>
        </w:rPr>
        <w:t>低压脱硫变容量选择计算；</w:t>
      </w:r>
    </w:p>
    <w:p w14:paraId="31265710">
      <w:pPr>
        <w:numPr>
          <w:ilvl w:val="0"/>
          <w:numId w:val="21"/>
        </w:numPr>
        <w:adjustRightInd w:val="0"/>
        <w:snapToGrid w:val="0"/>
        <w:spacing w:line="360" w:lineRule="auto"/>
        <w:rPr>
          <w:color w:val="auto"/>
          <w:sz w:val="24"/>
          <w:highlight w:val="none"/>
        </w:rPr>
      </w:pPr>
      <w:r>
        <w:rPr>
          <w:color w:val="auto"/>
          <w:sz w:val="24"/>
          <w:highlight w:val="none"/>
        </w:rPr>
        <w:t>安装材料清单；</w:t>
      </w:r>
    </w:p>
    <w:p w14:paraId="6652C5E9">
      <w:pPr>
        <w:numPr>
          <w:ilvl w:val="0"/>
          <w:numId w:val="21"/>
        </w:numPr>
        <w:adjustRightInd w:val="0"/>
        <w:snapToGrid w:val="0"/>
        <w:spacing w:line="360" w:lineRule="auto"/>
        <w:rPr>
          <w:color w:val="auto"/>
          <w:sz w:val="24"/>
          <w:highlight w:val="none"/>
        </w:rPr>
      </w:pPr>
      <w:r>
        <w:rPr>
          <w:color w:val="auto"/>
          <w:sz w:val="24"/>
          <w:highlight w:val="none"/>
        </w:rPr>
        <w:t>0.4kV配电装置：</w:t>
      </w:r>
    </w:p>
    <w:p w14:paraId="5AF912C5">
      <w:pPr>
        <w:numPr>
          <w:ilvl w:val="0"/>
          <w:numId w:val="22"/>
        </w:numPr>
        <w:adjustRightInd w:val="0"/>
        <w:snapToGrid w:val="0"/>
        <w:spacing w:line="360" w:lineRule="auto"/>
        <w:rPr>
          <w:color w:val="auto"/>
          <w:sz w:val="24"/>
          <w:highlight w:val="none"/>
        </w:rPr>
      </w:pPr>
      <w:r>
        <w:rPr>
          <w:color w:val="auto"/>
          <w:sz w:val="24"/>
          <w:highlight w:val="none"/>
        </w:rPr>
        <w:t>380V配置接线；</w:t>
      </w:r>
    </w:p>
    <w:p w14:paraId="28F4E850">
      <w:pPr>
        <w:numPr>
          <w:ilvl w:val="0"/>
          <w:numId w:val="22"/>
        </w:numPr>
        <w:adjustRightInd w:val="0"/>
        <w:snapToGrid w:val="0"/>
        <w:spacing w:line="360" w:lineRule="auto"/>
        <w:rPr>
          <w:color w:val="auto"/>
          <w:sz w:val="24"/>
          <w:highlight w:val="none"/>
        </w:rPr>
      </w:pPr>
      <w:r>
        <w:rPr>
          <w:color w:val="auto"/>
          <w:sz w:val="24"/>
          <w:highlight w:val="none"/>
        </w:rPr>
        <w:t>控制、测量、保护原理接线图；</w:t>
      </w:r>
    </w:p>
    <w:p w14:paraId="5A4D3301">
      <w:pPr>
        <w:numPr>
          <w:ilvl w:val="0"/>
          <w:numId w:val="22"/>
        </w:numPr>
        <w:tabs>
          <w:tab w:val="clear" w:pos="900"/>
        </w:tabs>
        <w:adjustRightInd w:val="0"/>
        <w:snapToGrid w:val="0"/>
        <w:spacing w:line="360" w:lineRule="auto"/>
        <w:rPr>
          <w:color w:val="auto"/>
          <w:sz w:val="24"/>
          <w:highlight w:val="none"/>
        </w:rPr>
      </w:pPr>
      <w:r>
        <w:rPr>
          <w:color w:val="auto"/>
          <w:sz w:val="24"/>
          <w:highlight w:val="none"/>
        </w:rPr>
        <w:t>380V配电柜一次及二次安装图；</w:t>
      </w:r>
    </w:p>
    <w:p w14:paraId="0E45F235">
      <w:pPr>
        <w:adjustRightInd w:val="0"/>
        <w:snapToGrid w:val="0"/>
        <w:spacing w:line="360" w:lineRule="auto"/>
        <w:ind w:firstLine="480" w:firstLineChars="200"/>
        <w:rPr>
          <w:color w:val="auto"/>
          <w:sz w:val="24"/>
          <w:highlight w:val="none"/>
        </w:rPr>
      </w:pPr>
      <w:r>
        <w:rPr>
          <w:color w:val="auto"/>
          <w:sz w:val="24"/>
          <w:highlight w:val="none"/>
        </w:rPr>
        <w:t>火灾报警区域系统；</w:t>
      </w:r>
    </w:p>
    <w:p w14:paraId="29E62B7B">
      <w:pPr>
        <w:adjustRightInd w:val="0"/>
        <w:snapToGrid w:val="0"/>
        <w:spacing w:line="360" w:lineRule="auto"/>
        <w:ind w:firstLine="480" w:firstLineChars="200"/>
        <w:rPr>
          <w:color w:val="auto"/>
          <w:sz w:val="24"/>
          <w:highlight w:val="none"/>
        </w:rPr>
      </w:pPr>
      <w:r>
        <w:rPr>
          <w:color w:val="auto"/>
          <w:sz w:val="24"/>
          <w:highlight w:val="none"/>
        </w:rPr>
        <w:t>就地控制箱：</w:t>
      </w:r>
    </w:p>
    <w:p w14:paraId="4C6CD7C4">
      <w:pPr>
        <w:numPr>
          <w:ilvl w:val="0"/>
          <w:numId w:val="23"/>
        </w:numPr>
        <w:adjustRightInd w:val="0"/>
        <w:snapToGrid w:val="0"/>
        <w:spacing w:line="360" w:lineRule="auto"/>
        <w:rPr>
          <w:color w:val="auto"/>
          <w:sz w:val="24"/>
          <w:highlight w:val="none"/>
        </w:rPr>
      </w:pPr>
      <w:r>
        <w:rPr>
          <w:color w:val="auto"/>
          <w:sz w:val="24"/>
          <w:highlight w:val="none"/>
        </w:rPr>
        <w:t>控制箱面板布置图；</w:t>
      </w:r>
    </w:p>
    <w:p w14:paraId="7E7F3146">
      <w:pPr>
        <w:numPr>
          <w:ilvl w:val="0"/>
          <w:numId w:val="23"/>
        </w:numPr>
        <w:adjustRightInd w:val="0"/>
        <w:snapToGrid w:val="0"/>
        <w:spacing w:line="360" w:lineRule="auto"/>
        <w:rPr>
          <w:color w:val="auto"/>
          <w:sz w:val="24"/>
          <w:highlight w:val="none"/>
        </w:rPr>
      </w:pPr>
      <w:r>
        <w:rPr>
          <w:color w:val="auto"/>
          <w:sz w:val="24"/>
          <w:highlight w:val="none"/>
        </w:rPr>
        <w:t>控制箱原理接线图；</w:t>
      </w:r>
    </w:p>
    <w:p w14:paraId="602F916A">
      <w:pPr>
        <w:numPr>
          <w:ilvl w:val="0"/>
          <w:numId w:val="23"/>
        </w:numPr>
        <w:adjustRightInd w:val="0"/>
        <w:snapToGrid w:val="0"/>
        <w:spacing w:line="360" w:lineRule="auto"/>
        <w:rPr>
          <w:color w:val="auto"/>
          <w:sz w:val="24"/>
          <w:highlight w:val="none"/>
        </w:rPr>
      </w:pPr>
      <w:r>
        <w:rPr>
          <w:color w:val="auto"/>
          <w:sz w:val="24"/>
          <w:highlight w:val="none"/>
        </w:rPr>
        <w:t>控制箱一次及二次安装图；</w:t>
      </w:r>
    </w:p>
    <w:p w14:paraId="0DA2C1B5">
      <w:pPr>
        <w:adjustRightInd w:val="0"/>
        <w:snapToGrid w:val="0"/>
        <w:spacing w:line="360" w:lineRule="auto"/>
        <w:ind w:firstLine="480" w:firstLineChars="200"/>
        <w:rPr>
          <w:color w:val="auto"/>
          <w:sz w:val="24"/>
          <w:highlight w:val="none"/>
        </w:rPr>
      </w:pPr>
      <w:r>
        <w:rPr>
          <w:color w:val="auto"/>
          <w:sz w:val="24"/>
          <w:highlight w:val="none"/>
        </w:rPr>
        <w:t>照明配电箱：</w:t>
      </w:r>
    </w:p>
    <w:p w14:paraId="1CB47406">
      <w:pPr>
        <w:numPr>
          <w:ilvl w:val="0"/>
          <w:numId w:val="24"/>
        </w:numPr>
        <w:adjustRightInd w:val="0"/>
        <w:snapToGrid w:val="0"/>
        <w:spacing w:line="360" w:lineRule="auto"/>
        <w:rPr>
          <w:color w:val="auto"/>
          <w:sz w:val="24"/>
          <w:highlight w:val="none"/>
        </w:rPr>
      </w:pPr>
      <w:r>
        <w:rPr>
          <w:color w:val="auto"/>
          <w:sz w:val="24"/>
          <w:highlight w:val="none"/>
        </w:rPr>
        <w:t>照明箱配置接线图。</w:t>
      </w:r>
    </w:p>
    <w:p w14:paraId="1894B512">
      <w:pPr>
        <w:adjustRightInd w:val="0"/>
        <w:snapToGrid w:val="0"/>
        <w:spacing w:line="360" w:lineRule="auto"/>
        <w:ind w:firstLine="480" w:firstLineChars="200"/>
        <w:rPr>
          <w:color w:val="auto"/>
          <w:sz w:val="24"/>
          <w:highlight w:val="none"/>
        </w:rPr>
      </w:pPr>
      <w:r>
        <w:rPr>
          <w:color w:val="auto"/>
          <w:sz w:val="24"/>
          <w:highlight w:val="none"/>
        </w:rPr>
        <w:t>检修电源：</w:t>
      </w:r>
    </w:p>
    <w:p w14:paraId="72806C09">
      <w:pPr>
        <w:numPr>
          <w:ilvl w:val="0"/>
          <w:numId w:val="24"/>
        </w:numPr>
        <w:adjustRightInd w:val="0"/>
        <w:snapToGrid w:val="0"/>
        <w:spacing w:line="360" w:lineRule="auto"/>
        <w:rPr>
          <w:color w:val="auto"/>
          <w:sz w:val="24"/>
          <w:highlight w:val="none"/>
        </w:rPr>
      </w:pPr>
      <w:r>
        <w:rPr>
          <w:color w:val="auto"/>
          <w:sz w:val="24"/>
          <w:highlight w:val="none"/>
        </w:rPr>
        <w:t>检修箱配置接线图。</w:t>
      </w:r>
    </w:p>
    <w:p w14:paraId="1114F1ED">
      <w:pPr>
        <w:adjustRightInd w:val="0"/>
        <w:snapToGrid w:val="0"/>
        <w:spacing w:line="360" w:lineRule="auto"/>
        <w:rPr>
          <w:color w:val="auto"/>
          <w:sz w:val="24"/>
          <w:highlight w:val="none"/>
        </w:rPr>
      </w:pPr>
      <w:r>
        <w:rPr>
          <w:color w:val="auto"/>
          <w:sz w:val="24"/>
          <w:highlight w:val="none"/>
        </w:rPr>
        <w:t>1.2.4仪表和控制部分</w:t>
      </w:r>
    </w:p>
    <w:p w14:paraId="1614573D">
      <w:pPr>
        <w:numPr>
          <w:ilvl w:val="0"/>
          <w:numId w:val="25"/>
        </w:numPr>
        <w:adjustRightInd w:val="0"/>
        <w:snapToGrid w:val="0"/>
        <w:spacing w:line="360" w:lineRule="auto"/>
        <w:rPr>
          <w:color w:val="auto"/>
          <w:sz w:val="24"/>
          <w:highlight w:val="none"/>
        </w:rPr>
      </w:pPr>
      <w:r>
        <w:rPr>
          <w:color w:val="auto"/>
          <w:sz w:val="24"/>
          <w:highlight w:val="none"/>
        </w:rPr>
        <w:t>各工艺系统PID图；</w:t>
      </w:r>
    </w:p>
    <w:p w14:paraId="7AE01F37">
      <w:pPr>
        <w:numPr>
          <w:ilvl w:val="0"/>
          <w:numId w:val="25"/>
        </w:numPr>
        <w:adjustRightInd w:val="0"/>
        <w:snapToGrid w:val="0"/>
        <w:spacing w:line="360" w:lineRule="auto"/>
        <w:rPr>
          <w:color w:val="auto"/>
          <w:sz w:val="24"/>
          <w:highlight w:val="none"/>
        </w:rPr>
      </w:pPr>
      <w:r>
        <w:rPr>
          <w:color w:val="auto"/>
          <w:sz w:val="24"/>
          <w:highlight w:val="none"/>
        </w:rPr>
        <w:t>电缆主通道走向图；</w:t>
      </w:r>
    </w:p>
    <w:p w14:paraId="70312F28">
      <w:pPr>
        <w:numPr>
          <w:ilvl w:val="0"/>
          <w:numId w:val="25"/>
        </w:numPr>
        <w:adjustRightInd w:val="0"/>
        <w:snapToGrid w:val="0"/>
        <w:spacing w:line="360" w:lineRule="auto"/>
        <w:rPr>
          <w:color w:val="auto"/>
          <w:sz w:val="24"/>
          <w:highlight w:val="none"/>
        </w:rPr>
      </w:pPr>
      <w:r>
        <w:rPr>
          <w:color w:val="auto"/>
          <w:sz w:val="24"/>
          <w:highlight w:val="none"/>
        </w:rPr>
        <w:t>电子设备间布置图；</w:t>
      </w:r>
    </w:p>
    <w:p w14:paraId="2525326D">
      <w:pPr>
        <w:numPr>
          <w:ilvl w:val="0"/>
          <w:numId w:val="25"/>
        </w:numPr>
        <w:adjustRightInd w:val="0"/>
        <w:snapToGrid w:val="0"/>
        <w:spacing w:line="360" w:lineRule="auto"/>
        <w:rPr>
          <w:color w:val="auto"/>
          <w:sz w:val="24"/>
          <w:highlight w:val="none"/>
        </w:rPr>
      </w:pPr>
      <w:r>
        <w:rPr>
          <w:color w:val="auto"/>
          <w:sz w:val="24"/>
          <w:highlight w:val="none"/>
        </w:rPr>
        <w:t>热控电源施工图；</w:t>
      </w:r>
    </w:p>
    <w:p w14:paraId="68D34F0D">
      <w:pPr>
        <w:numPr>
          <w:ilvl w:val="0"/>
          <w:numId w:val="25"/>
        </w:numPr>
        <w:adjustRightInd w:val="0"/>
        <w:snapToGrid w:val="0"/>
        <w:spacing w:line="360" w:lineRule="auto"/>
        <w:rPr>
          <w:color w:val="auto"/>
          <w:sz w:val="24"/>
          <w:highlight w:val="none"/>
        </w:rPr>
      </w:pPr>
      <w:r>
        <w:rPr>
          <w:color w:val="auto"/>
          <w:sz w:val="24"/>
          <w:highlight w:val="none"/>
        </w:rPr>
        <w:t>FGD_DCS配置图；</w:t>
      </w:r>
    </w:p>
    <w:p w14:paraId="4FD61D69">
      <w:pPr>
        <w:numPr>
          <w:ilvl w:val="0"/>
          <w:numId w:val="25"/>
        </w:numPr>
        <w:adjustRightInd w:val="0"/>
        <w:snapToGrid w:val="0"/>
        <w:spacing w:line="360" w:lineRule="auto"/>
        <w:rPr>
          <w:color w:val="auto"/>
          <w:sz w:val="24"/>
          <w:highlight w:val="none"/>
        </w:rPr>
      </w:pPr>
      <w:r>
        <w:rPr>
          <w:color w:val="auto"/>
          <w:sz w:val="24"/>
          <w:highlight w:val="none"/>
        </w:rPr>
        <w:t>电缆清册、盘柜清册、控制设备清册；</w:t>
      </w:r>
    </w:p>
    <w:p w14:paraId="19923488">
      <w:pPr>
        <w:numPr>
          <w:ilvl w:val="0"/>
          <w:numId w:val="25"/>
        </w:numPr>
        <w:adjustRightInd w:val="0"/>
        <w:snapToGrid w:val="0"/>
        <w:spacing w:line="360" w:lineRule="auto"/>
        <w:rPr>
          <w:color w:val="auto"/>
          <w:sz w:val="24"/>
          <w:highlight w:val="none"/>
        </w:rPr>
      </w:pPr>
      <w:r>
        <w:rPr>
          <w:color w:val="auto"/>
          <w:sz w:val="24"/>
          <w:highlight w:val="none"/>
        </w:rPr>
        <w:t>控制接线图（CWD）；</w:t>
      </w:r>
    </w:p>
    <w:p w14:paraId="4F297621">
      <w:pPr>
        <w:numPr>
          <w:ilvl w:val="0"/>
          <w:numId w:val="25"/>
        </w:numPr>
        <w:adjustRightInd w:val="0"/>
        <w:snapToGrid w:val="0"/>
        <w:spacing w:line="360" w:lineRule="auto"/>
        <w:rPr>
          <w:color w:val="auto"/>
          <w:sz w:val="24"/>
          <w:highlight w:val="none"/>
        </w:rPr>
      </w:pPr>
      <w:r>
        <w:rPr>
          <w:color w:val="auto"/>
          <w:sz w:val="24"/>
          <w:highlight w:val="none"/>
        </w:rPr>
        <w:t>I/O清单、报警定值清册；</w:t>
      </w:r>
    </w:p>
    <w:p w14:paraId="09C4494D">
      <w:pPr>
        <w:adjustRightInd w:val="0"/>
        <w:snapToGrid w:val="0"/>
        <w:spacing w:line="360" w:lineRule="auto"/>
        <w:rPr>
          <w:color w:val="auto"/>
          <w:sz w:val="24"/>
          <w:highlight w:val="none"/>
        </w:rPr>
      </w:pPr>
      <w:r>
        <w:rPr>
          <w:color w:val="auto"/>
          <w:sz w:val="24"/>
          <w:highlight w:val="none"/>
        </w:rPr>
        <w:t>1.2.5其它资料</w:t>
      </w:r>
    </w:p>
    <w:p w14:paraId="08EC3DAB">
      <w:pPr>
        <w:numPr>
          <w:ilvl w:val="0"/>
          <w:numId w:val="26"/>
        </w:numPr>
        <w:adjustRightInd w:val="0"/>
        <w:snapToGrid w:val="0"/>
        <w:spacing w:line="360" w:lineRule="auto"/>
        <w:rPr>
          <w:color w:val="auto"/>
          <w:sz w:val="24"/>
          <w:highlight w:val="none"/>
        </w:rPr>
      </w:pPr>
      <w:r>
        <w:rPr>
          <w:color w:val="auto"/>
          <w:sz w:val="24"/>
          <w:highlight w:val="none"/>
        </w:rPr>
        <w:t>设计、制造、交货、安装、设备调试、系统调试、竣工检验和性能试验等总的时间进度，内容应分解到主要节点、主要组件、开始日期、准备工作，包括管线连接以及电气和控制安装的准备日期。</w:t>
      </w:r>
    </w:p>
    <w:p w14:paraId="0D7769D8">
      <w:pPr>
        <w:numPr>
          <w:ilvl w:val="0"/>
          <w:numId w:val="26"/>
        </w:numPr>
        <w:adjustRightInd w:val="0"/>
        <w:snapToGrid w:val="0"/>
        <w:spacing w:line="360" w:lineRule="auto"/>
        <w:rPr>
          <w:color w:val="auto"/>
          <w:sz w:val="24"/>
          <w:highlight w:val="none"/>
        </w:rPr>
      </w:pPr>
      <w:r>
        <w:rPr>
          <w:rFonts w:hint="eastAsia"/>
          <w:color w:val="auto"/>
          <w:sz w:val="24"/>
          <w:highlight w:val="none"/>
          <w:lang w:val="en-US" w:eastAsia="zh-CN"/>
        </w:rPr>
        <w:t>设备制造、材料供货、试验、工厂接受、车间组装、运输至现场、分包商的供货等的详细进度。</w:t>
      </w:r>
    </w:p>
    <w:p w14:paraId="4295C7A9">
      <w:pPr>
        <w:numPr>
          <w:ilvl w:val="0"/>
          <w:numId w:val="26"/>
        </w:numPr>
        <w:adjustRightInd w:val="0"/>
        <w:snapToGrid w:val="0"/>
        <w:spacing w:line="360" w:lineRule="auto"/>
        <w:rPr>
          <w:color w:val="auto"/>
          <w:sz w:val="24"/>
          <w:highlight w:val="none"/>
        </w:rPr>
      </w:pPr>
      <w:r>
        <w:rPr>
          <w:rFonts w:hint="eastAsia"/>
          <w:color w:val="auto"/>
          <w:sz w:val="24"/>
          <w:highlight w:val="none"/>
          <w:lang w:val="en-US" w:eastAsia="zh-CN"/>
        </w:rPr>
        <w:t>详细的安装进度。</w:t>
      </w:r>
    </w:p>
    <w:p w14:paraId="0F49117E">
      <w:pPr>
        <w:numPr>
          <w:ilvl w:val="0"/>
          <w:numId w:val="26"/>
        </w:numPr>
        <w:adjustRightInd w:val="0"/>
        <w:snapToGrid w:val="0"/>
        <w:spacing w:line="360" w:lineRule="auto"/>
        <w:rPr>
          <w:color w:val="auto"/>
          <w:sz w:val="24"/>
          <w:highlight w:val="none"/>
        </w:rPr>
      </w:pPr>
      <w:r>
        <w:rPr>
          <w:rFonts w:hint="eastAsia"/>
          <w:color w:val="auto"/>
          <w:sz w:val="24"/>
          <w:highlight w:val="none"/>
          <w:lang w:val="en-US" w:eastAsia="zh-CN"/>
        </w:rPr>
        <w:t>详细的试运进度，包括涉及人员的指定。</w:t>
      </w:r>
    </w:p>
    <w:p w14:paraId="0CB2B24D">
      <w:pPr>
        <w:numPr>
          <w:ilvl w:val="0"/>
          <w:numId w:val="26"/>
        </w:numPr>
        <w:adjustRightInd w:val="0"/>
        <w:snapToGrid w:val="0"/>
        <w:spacing w:line="360" w:lineRule="auto"/>
        <w:rPr>
          <w:color w:val="auto"/>
          <w:sz w:val="24"/>
          <w:highlight w:val="none"/>
        </w:rPr>
      </w:pPr>
      <w:r>
        <w:rPr>
          <w:rFonts w:hint="eastAsia"/>
          <w:color w:val="auto"/>
          <w:sz w:val="24"/>
          <w:highlight w:val="none"/>
          <w:lang w:val="en-US" w:eastAsia="zh-CN"/>
        </w:rPr>
        <w:t>有效图纸清单。</w:t>
      </w:r>
    </w:p>
    <w:p w14:paraId="238FF5F6">
      <w:pPr>
        <w:adjustRightInd w:val="0"/>
        <w:snapToGrid w:val="0"/>
        <w:spacing w:line="360" w:lineRule="auto"/>
        <w:ind w:firstLine="480" w:firstLineChars="200"/>
        <w:rPr>
          <w:color w:val="auto"/>
          <w:sz w:val="24"/>
          <w:highlight w:val="none"/>
        </w:rPr>
      </w:pPr>
      <w:r>
        <w:rPr>
          <w:color w:val="auto"/>
          <w:sz w:val="24"/>
          <w:highlight w:val="none"/>
        </w:rPr>
        <w:t>进展报告，包括设计、工程、制造、交货、安装、设备调试、系统调试、竣工检验和性能试验等状态的描述。</w:t>
      </w:r>
    </w:p>
    <w:p w14:paraId="33160444">
      <w:pPr>
        <w:numPr>
          <w:ilvl w:val="0"/>
          <w:numId w:val="27"/>
        </w:numPr>
        <w:adjustRightInd w:val="0"/>
        <w:snapToGrid w:val="0"/>
        <w:spacing w:line="360" w:lineRule="auto"/>
        <w:rPr>
          <w:color w:val="auto"/>
          <w:sz w:val="24"/>
          <w:highlight w:val="none"/>
        </w:rPr>
      </w:pPr>
      <w:r>
        <w:rPr>
          <w:color w:val="auto"/>
          <w:sz w:val="24"/>
          <w:highlight w:val="none"/>
        </w:rPr>
        <w:t>分包商提供的有关资料；</w:t>
      </w:r>
    </w:p>
    <w:p w14:paraId="2B9CE3F9">
      <w:pPr>
        <w:numPr>
          <w:ilvl w:val="0"/>
          <w:numId w:val="27"/>
        </w:numPr>
        <w:adjustRightInd w:val="0"/>
        <w:snapToGrid w:val="0"/>
        <w:spacing w:line="360" w:lineRule="auto"/>
        <w:rPr>
          <w:color w:val="auto"/>
          <w:sz w:val="24"/>
          <w:highlight w:val="none"/>
        </w:rPr>
      </w:pPr>
      <w:r>
        <w:rPr>
          <w:color w:val="auto"/>
          <w:sz w:val="24"/>
          <w:highlight w:val="none"/>
        </w:rPr>
        <w:t>制造商和分包商清单；</w:t>
      </w:r>
    </w:p>
    <w:p w14:paraId="683F42BE">
      <w:pPr>
        <w:numPr>
          <w:ilvl w:val="0"/>
          <w:numId w:val="27"/>
        </w:numPr>
        <w:adjustRightInd w:val="0"/>
        <w:snapToGrid w:val="0"/>
        <w:spacing w:line="360" w:lineRule="auto"/>
        <w:rPr>
          <w:color w:val="auto"/>
          <w:sz w:val="24"/>
          <w:highlight w:val="none"/>
        </w:rPr>
      </w:pPr>
      <w:r>
        <w:rPr>
          <w:color w:val="auto"/>
          <w:sz w:val="24"/>
          <w:highlight w:val="none"/>
        </w:rPr>
        <w:t>性能考核试验有关资料；</w:t>
      </w:r>
    </w:p>
    <w:p w14:paraId="506576E5">
      <w:pPr>
        <w:numPr>
          <w:ilvl w:val="0"/>
          <w:numId w:val="27"/>
        </w:numPr>
        <w:adjustRightInd w:val="0"/>
        <w:snapToGrid w:val="0"/>
        <w:spacing w:line="360" w:lineRule="auto"/>
        <w:rPr>
          <w:color w:val="auto"/>
          <w:sz w:val="24"/>
          <w:highlight w:val="none"/>
        </w:rPr>
      </w:pPr>
      <w:r>
        <w:rPr>
          <w:color w:val="auto"/>
          <w:sz w:val="24"/>
          <w:highlight w:val="none"/>
        </w:rPr>
        <w:t>检查和接受记录和报告，评估，包括接受测试的报告；</w:t>
      </w:r>
    </w:p>
    <w:p w14:paraId="3084C24D">
      <w:pPr>
        <w:numPr>
          <w:ilvl w:val="0"/>
          <w:numId w:val="27"/>
        </w:numPr>
        <w:adjustRightInd w:val="0"/>
        <w:snapToGrid w:val="0"/>
        <w:spacing w:line="360" w:lineRule="auto"/>
        <w:rPr>
          <w:color w:val="auto"/>
          <w:sz w:val="24"/>
          <w:highlight w:val="none"/>
        </w:rPr>
      </w:pPr>
      <w:r>
        <w:rPr>
          <w:color w:val="auto"/>
          <w:sz w:val="24"/>
          <w:highlight w:val="none"/>
        </w:rPr>
        <w:t>人员培训计划的详细描述；</w:t>
      </w:r>
    </w:p>
    <w:p w14:paraId="3CE54726">
      <w:pPr>
        <w:numPr>
          <w:ilvl w:val="0"/>
          <w:numId w:val="27"/>
        </w:numPr>
        <w:adjustRightInd w:val="0"/>
        <w:snapToGrid w:val="0"/>
        <w:spacing w:line="360" w:lineRule="auto"/>
        <w:rPr>
          <w:color w:val="auto"/>
          <w:sz w:val="24"/>
          <w:highlight w:val="none"/>
        </w:rPr>
      </w:pPr>
      <w:r>
        <w:rPr>
          <w:color w:val="auto"/>
          <w:sz w:val="24"/>
          <w:highlight w:val="none"/>
        </w:rPr>
        <w:t>修改的图纸和资料；</w:t>
      </w:r>
    </w:p>
    <w:p w14:paraId="00B16FDA">
      <w:pPr>
        <w:numPr>
          <w:ilvl w:val="0"/>
          <w:numId w:val="27"/>
        </w:numPr>
        <w:adjustRightInd w:val="0"/>
        <w:snapToGrid w:val="0"/>
        <w:spacing w:line="360" w:lineRule="auto"/>
        <w:rPr>
          <w:color w:val="auto"/>
          <w:sz w:val="24"/>
          <w:highlight w:val="none"/>
        </w:rPr>
      </w:pPr>
      <w:r>
        <w:rPr>
          <w:color w:val="auto"/>
          <w:sz w:val="24"/>
          <w:highlight w:val="none"/>
        </w:rPr>
        <w:t>备件清单；</w:t>
      </w:r>
    </w:p>
    <w:p w14:paraId="3AE58C1C">
      <w:pPr>
        <w:numPr>
          <w:ilvl w:val="0"/>
          <w:numId w:val="27"/>
        </w:numPr>
        <w:adjustRightInd w:val="0"/>
        <w:snapToGrid w:val="0"/>
        <w:spacing w:line="360" w:lineRule="auto"/>
        <w:rPr>
          <w:color w:val="auto"/>
          <w:sz w:val="24"/>
          <w:highlight w:val="none"/>
        </w:rPr>
      </w:pPr>
      <w:r>
        <w:rPr>
          <w:color w:val="auto"/>
          <w:sz w:val="24"/>
          <w:highlight w:val="none"/>
        </w:rPr>
        <w:t>培训用资料。</w:t>
      </w:r>
    </w:p>
    <w:p w14:paraId="56DE8718">
      <w:pPr>
        <w:pStyle w:val="3"/>
        <w:spacing w:before="156" w:after="156"/>
        <w:rPr>
          <w:rFonts w:hint="default" w:ascii="Times New Roman" w:hAnsi="Times New Roman" w:eastAsia="宋体"/>
          <w:color w:val="auto"/>
          <w:sz w:val="28"/>
          <w:szCs w:val="28"/>
          <w:highlight w:val="none"/>
        </w:rPr>
      </w:pPr>
      <w:bookmarkStart w:id="220" w:name="_Toc10970"/>
      <w:bookmarkStart w:id="221" w:name="_Toc10315"/>
      <w:bookmarkStart w:id="222" w:name="_Toc6631"/>
      <w:bookmarkStart w:id="223" w:name="_Toc13497"/>
      <w:bookmarkStart w:id="224" w:name="_Toc7022"/>
      <w:bookmarkStart w:id="225" w:name="_Toc482189978"/>
      <w:bookmarkStart w:id="226" w:name="_Toc27301"/>
      <w:r>
        <w:rPr>
          <w:rFonts w:hint="default" w:ascii="Times New Roman" w:hAnsi="Times New Roman" w:eastAsia="宋体"/>
          <w:color w:val="auto"/>
          <w:sz w:val="28"/>
          <w:szCs w:val="28"/>
          <w:highlight w:val="none"/>
        </w:rPr>
        <w:t>2 运行和维护说明</w:t>
      </w:r>
      <w:bookmarkEnd w:id="220"/>
      <w:bookmarkEnd w:id="221"/>
      <w:bookmarkEnd w:id="222"/>
      <w:bookmarkEnd w:id="223"/>
      <w:bookmarkEnd w:id="224"/>
      <w:bookmarkEnd w:id="225"/>
      <w:bookmarkEnd w:id="226"/>
    </w:p>
    <w:p w14:paraId="6BDAEF86">
      <w:pPr>
        <w:adjustRightInd w:val="0"/>
        <w:snapToGrid w:val="0"/>
        <w:spacing w:line="360" w:lineRule="auto"/>
        <w:rPr>
          <w:color w:val="auto"/>
          <w:sz w:val="24"/>
          <w:highlight w:val="none"/>
        </w:rPr>
      </w:pPr>
      <w:r>
        <w:rPr>
          <w:color w:val="auto"/>
          <w:sz w:val="24"/>
          <w:highlight w:val="none"/>
        </w:rPr>
        <w:t xml:space="preserve">2.1 </w:t>
      </w:r>
      <w:r>
        <w:rPr>
          <w:rFonts w:hint="eastAsia"/>
          <w:color w:val="auto"/>
          <w:sz w:val="24"/>
          <w:highlight w:val="none"/>
          <w:lang w:eastAsia="zh-CN"/>
        </w:rPr>
        <w:t>投标方</w:t>
      </w:r>
      <w:r>
        <w:rPr>
          <w:color w:val="auto"/>
          <w:sz w:val="24"/>
          <w:highlight w:val="none"/>
        </w:rPr>
        <w:t>应根据合同条件提供和提交每一特定设备的运行和维护说明，以及整个脱硫装置的运行说明。</w:t>
      </w:r>
    </w:p>
    <w:p w14:paraId="46AB662A">
      <w:pPr>
        <w:adjustRightInd w:val="0"/>
        <w:snapToGrid w:val="0"/>
        <w:spacing w:line="360" w:lineRule="auto"/>
        <w:rPr>
          <w:color w:val="auto"/>
          <w:sz w:val="24"/>
          <w:highlight w:val="none"/>
        </w:rPr>
      </w:pPr>
      <w:r>
        <w:rPr>
          <w:color w:val="auto"/>
          <w:sz w:val="24"/>
          <w:highlight w:val="none"/>
        </w:rPr>
        <w:t>2.2 说明手册的内容应完整而有针对性，设备名称应与工程相统一，为阐明运行原理，说明中应包含装置或工艺运行的详细描述，包括流程图、图表、回路图、管线图及类似图。</w:t>
      </w:r>
    </w:p>
    <w:p w14:paraId="4B588BCA">
      <w:pPr>
        <w:adjustRightInd w:val="0"/>
        <w:snapToGrid w:val="0"/>
        <w:spacing w:line="360" w:lineRule="auto"/>
        <w:rPr>
          <w:color w:val="auto"/>
          <w:sz w:val="24"/>
          <w:highlight w:val="none"/>
        </w:rPr>
      </w:pPr>
      <w:r>
        <w:rPr>
          <w:color w:val="auto"/>
          <w:sz w:val="24"/>
          <w:highlight w:val="none"/>
        </w:rPr>
        <w:t>2.3 运行说明应准确，易于理解，并应包含每一单个运行指令的次序。</w:t>
      </w:r>
    </w:p>
    <w:p w14:paraId="4310C44B">
      <w:pPr>
        <w:adjustRightInd w:val="0"/>
        <w:snapToGrid w:val="0"/>
        <w:spacing w:line="360" w:lineRule="auto"/>
        <w:rPr>
          <w:color w:val="auto"/>
          <w:sz w:val="24"/>
          <w:highlight w:val="none"/>
        </w:rPr>
      </w:pPr>
      <w:r>
        <w:rPr>
          <w:color w:val="auto"/>
          <w:sz w:val="24"/>
          <w:highlight w:val="none"/>
        </w:rPr>
        <w:t>2.4 维护手册应对脱硫装置所有组件和辅件的组装和拆卸进行完整和精确的描述、故障判断分析及消除方式。</w:t>
      </w:r>
    </w:p>
    <w:p w14:paraId="5EB75E4A">
      <w:pPr>
        <w:adjustRightInd w:val="0"/>
        <w:snapToGrid w:val="0"/>
        <w:spacing w:line="360" w:lineRule="auto"/>
        <w:rPr>
          <w:color w:val="auto"/>
          <w:sz w:val="24"/>
          <w:highlight w:val="none"/>
        </w:rPr>
      </w:pPr>
    </w:p>
    <w:p w14:paraId="0D46EDDA">
      <w:pPr>
        <w:pStyle w:val="3"/>
        <w:spacing w:before="156" w:after="156"/>
        <w:rPr>
          <w:rFonts w:hint="default" w:ascii="Times New Roman" w:hAnsi="Times New Roman" w:eastAsia="宋体"/>
          <w:color w:val="auto"/>
          <w:sz w:val="28"/>
          <w:szCs w:val="28"/>
          <w:highlight w:val="none"/>
        </w:rPr>
      </w:pPr>
      <w:bookmarkStart w:id="227" w:name="_Toc4138"/>
      <w:bookmarkStart w:id="228" w:name="_Toc23951"/>
      <w:bookmarkStart w:id="229" w:name="_Toc482189979"/>
      <w:bookmarkStart w:id="230" w:name="_Toc30990"/>
      <w:bookmarkStart w:id="231" w:name="_Toc26680"/>
      <w:bookmarkStart w:id="232" w:name="_Toc16973"/>
      <w:bookmarkStart w:id="233" w:name="_Toc22612"/>
      <w:r>
        <w:rPr>
          <w:rFonts w:hint="default" w:ascii="Times New Roman" w:hAnsi="Times New Roman" w:eastAsia="宋体"/>
          <w:color w:val="auto"/>
          <w:sz w:val="28"/>
          <w:szCs w:val="28"/>
          <w:highlight w:val="none"/>
        </w:rPr>
        <w:t>3调试后资料</w:t>
      </w:r>
      <w:bookmarkEnd w:id="227"/>
      <w:bookmarkEnd w:id="228"/>
      <w:bookmarkEnd w:id="229"/>
      <w:bookmarkEnd w:id="230"/>
      <w:bookmarkEnd w:id="231"/>
      <w:bookmarkEnd w:id="232"/>
      <w:bookmarkEnd w:id="233"/>
    </w:p>
    <w:p w14:paraId="5BC76DBF">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应根据合同条件提供竣工图，在设计、施工、安装、试运和质量保证期期间发生的机械、电气和仪控及土建方面的改动应在竣工图中反映。</w:t>
      </w:r>
    </w:p>
    <w:p w14:paraId="52DE6B2B">
      <w:pPr>
        <w:adjustRightInd w:val="0"/>
        <w:snapToGrid w:val="0"/>
        <w:spacing w:line="360" w:lineRule="auto"/>
        <w:ind w:firstLine="480" w:firstLineChars="200"/>
        <w:rPr>
          <w:color w:val="auto"/>
          <w:sz w:val="24"/>
          <w:highlight w:val="none"/>
        </w:rPr>
      </w:pPr>
      <w:r>
        <w:rPr>
          <w:color w:val="auto"/>
          <w:sz w:val="24"/>
          <w:highlight w:val="none"/>
        </w:rPr>
        <w:t>承包应提供设备在现场安装和调试的完整记录。</w:t>
      </w:r>
    </w:p>
    <w:p w14:paraId="07B559D2">
      <w:pPr>
        <w:pStyle w:val="3"/>
        <w:spacing w:before="156" w:after="156"/>
        <w:rPr>
          <w:rFonts w:hint="default" w:ascii="Times New Roman" w:hAnsi="Times New Roman" w:eastAsia="宋体"/>
          <w:color w:val="auto"/>
          <w:sz w:val="28"/>
          <w:szCs w:val="28"/>
          <w:highlight w:val="none"/>
        </w:rPr>
      </w:pPr>
      <w:bookmarkStart w:id="234" w:name="_Toc31164"/>
      <w:bookmarkStart w:id="235" w:name="_Toc482189980"/>
      <w:bookmarkStart w:id="236" w:name="_Toc6242"/>
      <w:bookmarkStart w:id="237" w:name="_Toc22670"/>
      <w:bookmarkStart w:id="238" w:name="_Toc30819"/>
      <w:bookmarkStart w:id="239" w:name="_Toc19736"/>
      <w:bookmarkStart w:id="240" w:name="_Toc14898"/>
      <w:r>
        <w:rPr>
          <w:rFonts w:hint="default" w:ascii="Times New Roman" w:hAnsi="Times New Roman" w:eastAsia="宋体"/>
          <w:color w:val="auto"/>
          <w:sz w:val="28"/>
          <w:szCs w:val="28"/>
          <w:highlight w:val="none"/>
        </w:rPr>
        <w:t xml:space="preserve">4 </w:t>
      </w:r>
      <w:r>
        <w:rPr>
          <w:rFonts w:hint="eastAsia" w:ascii="Times New Roman" w:hAnsi="Times New Roman" w:eastAsia="宋体"/>
          <w:color w:val="auto"/>
          <w:sz w:val="28"/>
          <w:szCs w:val="28"/>
          <w:highlight w:val="none"/>
          <w:lang w:eastAsia="zh-CN"/>
        </w:rPr>
        <w:t>招标方</w:t>
      </w:r>
      <w:r>
        <w:rPr>
          <w:rFonts w:hint="default" w:ascii="Times New Roman" w:hAnsi="Times New Roman" w:eastAsia="宋体"/>
          <w:color w:val="auto"/>
          <w:sz w:val="28"/>
          <w:szCs w:val="28"/>
          <w:highlight w:val="none"/>
        </w:rPr>
        <w:t>提供的资料</w:t>
      </w:r>
      <w:bookmarkEnd w:id="234"/>
      <w:bookmarkEnd w:id="235"/>
      <w:bookmarkEnd w:id="236"/>
      <w:bookmarkEnd w:id="237"/>
      <w:bookmarkEnd w:id="238"/>
      <w:bookmarkEnd w:id="239"/>
      <w:bookmarkEnd w:id="240"/>
    </w:p>
    <w:p w14:paraId="78A3952E">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招标方</w:t>
      </w:r>
      <w:r>
        <w:rPr>
          <w:color w:val="auto"/>
          <w:sz w:val="24"/>
          <w:highlight w:val="none"/>
        </w:rPr>
        <w:t>将根据合同条件提供</w:t>
      </w:r>
      <w:r>
        <w:rPr>
          <w:rFonts w:hint="eastAsia"/>
          <w:color w:val="auto"/>
          <w:sz w:val="24"/>
          <w:highlight w:val="none"/>
          <w:lang w:eastAsia="zh-CN"/>
        </w:rPr>
        <w:t>投标方</w:t>
      </w:r>
      <w:r>
        <w:rPr>
          <w:color w:val="auto"/>
          <w:sz w:val="24"/>
          <w:highlight w:val="none"/>
        </w:rPr>
        <w:t>开展脱硫系统设计所必需的资料。</w:t>
      </w:r>
    </w:p>
    <w:p w14:paraId="0D7CF47A">
      <w:pPr>
        <w:pStyle w:val="3"/>
        <w:spacing w:before="156" w:after="156"/>
        <w:rPr>
          <w:rFonts w:hint="default" w:ascii="Times New Roman" w:hAnsi="Times New Roman" w:eastAsia="宋体"/>
          <w:color w:val="auto"/>
          <w:sz w:val="28"/>
          <w:szCs w:val="28"/>
          <w:highlight w:val="none"/>
        </w:rPr>
      </w:pPr>
      <w:bookmarkStart w:id="241" w:name="_Toc9495"/>
      <w:bookmarkStart w:id="242" w:name="_Toc11453"/>
      <w:bookmarkStart w:id="243" w:name="_Toc482189981"/>
      <w:bookmarkStart w:id="244" w:name="_Toc28001"/>
      <w:bookmarkStart w:id="245" w:name="_Toc12458"/>
      <w:bookmarkStart w:id="246" w:name="_Toc18026"/>
      <w:bookmarkStart w:id="247" w:name="_Toc6853"/>
      <w:r>
        <w:rPr>
          <w:rFonts w:hint="default" w:ascii="Times New Roman" w:hAnsi="Times New Roman" w:eastAsia="宋体"/>
          <w:color w:val="auto"/>
          <w:sz w:val="28"/>
          <w:szCs w:val="28"/>
          <w:highlight w:val="none"/>
        </w:rPr>
        <w:t>5联系单</w:t>
      </w:r>
      <w:bookmarkEnd w:id="241"/>
      <w:bookmarkEnd w:id="242"/>
      <w:bookmarkEnd w:id="243"/>
      <w:bookmarkEnd w:id="244"/>
      <w:bookmarkEnd w:id="245"/>
      <w:bookmarkEnd w:id="246"/>
      <w:bookmarkEnd w:id="247"/>
    </w:p>
    <w:p w14:paraId="7482A30B">
      <w:pPr>
        <w:adjustRightInd w:val="0"/>
        <w:snapToGrid w:val="0"/>
        <w:spacing w:line="360" w:lineRule="auto"/>
        <w:rPr>
          <w:color w:val="auto"/>
          <w:sz w:val="24"/>
          <w:highlight w:val="none"/>
        </w:rPr>
      </w:pPr>
      <w:r>
        <w:rPr>
          <w:color w:val="auto"/>
          <w:sz w:val="24"/>
          <w:highlight w:val="none"/>
        </w:rPr>
        <w:t>5.1 所有与合同相关的技术联系单应以中文书写提交</w:t>
      </w:r>
      <w:r>
        <w:rPr>
          <w:rFonts w:hint="eastAsia"/>
          <w:color w:val="auto"/>
          <w:sz w:val="24"/>
          <w:highlight w:val="none"/>
          <w:lang w:eastAsia="zh-CN"/>
        </w:rPr>
        <w:t>招标方</w:t>
      </w:r>
      <w:r>
        <w:rPr>
          <w:color w:val="auto"/>
          <w:sz w:val="24"/>
          <w:highlight w:val="none"/>
        </w:rPr>
        <w:t>。</w:t>
      </w:r>
    </w:p>
    <w:p w14:paraId="5DAC5B97">
      <w:pPr>
        <w:adjustRightInd w:val="0"/>
        <w:snapToGrid w:val="0"/>
        <w:spacing w:line="360" w:lineRule="auto"/>
        <w:rPr>
          <w:color w:val="auto"/>
          <w:sz w:val="24"/>
          <w:highlight w:val="none"/>
        </w:rPr>
      </w:pPr>
      <w:r>
        <w:rPr>
          <w:color w:val="auto"/>
          <w:sz w:val="24"/>
          <w:highlight w:val="none"/>
        </w:rPr>
        <w:t>5.2 所有由</w:t>
      </w:r>
      <w:r>
        <w:rPr>
          <w:rFonts w:hint="eastAsia"/>
          <w:color w:val="auto"/>
          <w:sz w:val="24"/>
          <w:highlight w:val="none"/>
          <w:lang w:eastAsia="zh-CN"/>
        </w:rPr>
        <w:t>招标方</w:t>
      </w:r>
      <w:r>
        <w:rPr>
          <w:color w:val="auto"/>
          <w:sz w:val="24"/>
          <w:highlight w:val="none"/>
        </w:rPr>
        <w:t>或</w:t>
      </w:r>
      <w:r>
        <w:rPr>
          <w:rFonts w:hint="eastAsia"/>
          <w:color w:val="auto"/>
          <w:sz w:val="24"/>
          <w:highlight w:val="none"/>
          <w:lang w:eastAsia="zh-CN"/>
        </w:rPr>
        <w:t>投标方</w:t>
      </w:r>
      <w:r>
        <w:rPr>
          <w:color w:val="auto"/>
          <w:sz w:val="24"/>
          <w:highlight w:val="none"/>
        </w:rPr>
        <w:t>主持的会议和讨论应以中文进行，并应以中文书写相关纪要和报告。</w:t>
      </w:r>
    </w:p>
    <w:p w14:paraId="7C62A192">
      <w:pPr>
        <w:adjustRightInd w:val="0"/>
        <w:snapToGrid w:val="0"/>
        <w:spacing w:line="360" w:lineRule="auto"/>
        <w:rPr>
          <w:color w:val="auto"/>
          <w:sz w:val="24"/>
          <w:highlight w:val="none"/>
        </w:rPr>
      </w:pPr>
      <w:r>
        <w:rPr>
          <w:color w:val="auto"/>
          <w:sz w:val="24"/>
          <w:highlight w:val="none"/>
        </w:rPr>
        <w:t>5.3 在建设和试运期间，</w:t>
      </w:r>
      <w:r>
        <w:rPr>
          <w:rFonts w:hint="eastAsia"/>
          <w:color w:val="auto"/>
          <w:sz w:val="24"/>
          <w:highlight w:val="none"/>
          <w:lang w:eastAsia="zh-CN"/>
        </w:rPr>
        <w:t>投标方</w:t>
      </w:r>
      <w:r>
        <w:rPr>
          <w:color w:val="auto"/>
          <w:sz w:val="24"/>
          <w:highlight w:val="none"/>
        </w:rPr>
        <w:t>应派驻现场代表</w:t>
      </w:r>
      <w:r>
        <w:rPr>
          <w:rFonts w:hint="eastAsia"/>
          <w:color w:val="auto"/>
          <w:sz w:val="24"/>
          <w:highlight w:val="none"/>
        </w:rPr>
        <w:t>。</w:t>
      </w:r>
    </w:p>
    <w:p w14:paraId="5D5F2D4A">
      <w:pPr>
        <w:pStyle w:val="3"/>
        <w:spacing w:before="156" w:after="156"/>
        <w:rPr>
          <w:rFonts w:hint="default" w:ascii="Times New Roman" w:hAnsi="Times New Roman" w:eastAsia="宋体"/>
          <w:color w:val="auto"/>
          <w:sz w:val="28"/>
          <w:szCs w:val="28"/>
          <w:highlight w:val="none"/>
        </w:rPr>
      </w:pPr>
      <w:bookmarkStart w:id="248" w:name="_Toc482189982"/>
      <w:bookmarkStart w:id="249" w:name="_Toc8971"/>
      <w:bookmarkStart w:id="250" w:name="_Toc27165"/>
      <w:bookmarkStart w:id="251" w:name="_Toc23914"/>
      <w:bookmarkStart w:id="252" w:name="_Toc25694"/>
      <w:bookmarkStart w:id="253" w:name="_Toc2638"/>
      <w:bookmarkStart w:id="254" w:name="_Toc22442"/>
      <w:r>
        <w:rPr>
          <w:rFonts w:hint="default" w:ascii="Times New Roman" w:hAnsi="Times New Roman" w:eastAsia="宋体"/>
          <w:color w:val="auto"/>
          <w:sz w:val="28"/>
          <w:szCs w:val="28"/>
          <w:highlight w:val="none"/>
        </w:rPr>
        <w:t xml:space="preserve">6 </w:t>
      </w:r>
      <w:r>
        <w:rPr>
          <w:rFonts w:hint="eastAsia" w:ascii="Times New Roman" w:hAnsi="Times New Roman" w:eastAsia="宋体"/>
          <w:color w:val="auto"/>
          <w:sz w:val="28"/>
          <w:szCs w:val="28"/>
          <w:highlight w:val="none"/>
          <w:lang w:eastAsia="zh-CN"/>
        </w:rPr>
        <w:t>投标方</w:t>
      </w:r>
      <w:r>
        <w:rPr>
          <w:rFonts w:hint="default" w:ascii="Times New Roman" w:hAnsi="Times New Roman" w:eastAsia="宋体"/>
          <w:color w:val="auto"/>
          <w:sz w:val="28"/>
          <w:szCs w:val="28"/>
          <w:highlight w:val="none"/>
        </w:rPr>
        <w:t>提供的资料份数</w:t>
      </w:r>
      <w:bookmarkEnd w:id="248"/>
      <w:bookmarkEnd w:id="249"/>
      <w:bookmarkEnd w:id="250"/>
      <w:bookmarkEnd w:id="251"/>
      <w:bookmarkEnd w:id="252"/>
      <w:bookmarkEnd w:id="253"/>
      <w:bookmarkEnd w:id="254"/>
    </w:p>
    <w:p w14:paraId="48198D96">
      <w:pPr>
        <w:adjustRightInd w:val="0"/>
        <w:snapToGrid w:val="0"/>
        <w:spacing w:line="360" w:lineRule="auto"/>
        <w:rPr>
          <w:color w:val="auto"/>
          <w:sz w:val="24"/>
          <w:highlight w:val="none"/>
        </w:rPr>
      </w:pPr>
      <w:r>
        <w:rPr>
          <w:color w:val="auto"/>
          <w:sz w:val="24"/>
          <w:highlight w:val="none"/>
        </w:rPr>
        <w:t>6.1</w:t>
      </w:r>
      <w:r>
        <w:rPr>
          <w:rFonts w:hint="eastAsia"/>
          <w:color w:val="auto"/>
          <w:sz w:val="24"/>
          <w:highlight w:val="none"/>
          <w:lang w:eastAsia="zh-CN"/>
        </w:rPr>
        <w:t>投标方</w:t>
      </w:r>
      <w:r>
        <w:rPr>
          <w:color w:val="auto"/>
          <w:sz w:val="24"/>
          <w:highlight w:val="none"/>
        </w:rPr>
        <w:t>应提供给</w:t>
      </w:r>
      <w:r>
        <w:rPr>
          <w:rFonts w:hint="eastAsia"/>
          <w:color w:val="auto"/>
          <w:sz w:val="24"/>
          <w:highlight w:val="none"/>
          <w:lang w:eastAsia="zh-CN"/>
        </w:rPr>
        <w:t>招标方</w:t>
      </w:r>
      <w:r>
        <w:rPr>
          <w:color w:val="auto"/>
          <w:sz w:val="24"/>
          <w:highlight w:val="none"/>
        </w:rPr>
        <w:t>每台机组的图纸、资料的份数要求见下表：</w:t>
      </w:r>
    </w:p>
    <w:tbl>
      <w:tblPr>
        <w:tblStyle w:val="52"/>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796"/>
        <w:gridCol w:w="1468"/>
        <w:gridCol w:w="1202"/>
      </w:tblGrid>
      <w:tr w14:paraId="33DE98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trPr>
        <w:tc>
          <w:tcPr>
            <w:tcW w:w="5796" w:type="dxa"/>
            <w:noWrap w:val="0"/>
            <w:vAlign w:val="top"/>
          </w:tcPr>
          <w:p w14:paraId="223CB5BD">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资料</w:t>
            </w:r>
          </w:p>
        </w:tc>
        <w:tc>
          <w:tcPr>
            <w:tcW w:w="1468" w:type="dxa"/>
            <w:noWrap w:val="0"/>
            <w:vAlign w:val="top"/>
          </w:tcPr>
          <w:p w14:paraId="40F2281D">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单位</w:t>
            </w:r>
          </w:p>
        </w:tc>
        <w:tc>
          <w:tcPr>
            <w:tcW w:w="1202" w:type="dxa"/>
            <w:noWrap w:val="0"/>
            <w:vAlign w:val="top"/>
          </w:tcPr>
          <w:p w14:paraId="0992483D">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份数</w:t>
            </w:r>
          </w:p>
        </w:tc>
      </w:tr>
      <w:tr w14:paraId="5C04D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trPr>
        <w:tc>
          <w:tcPr>
            <w:tcW w:w="5796" w:type="dxa"/>
            <w:noWrap w:val="0"/>
            <w:vAlign w:val="top"/>
          </w:tcPr>
          <w:p w14:paraId="149B95D4">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color w:val="auto"/>
                <w:sz w:val="24"/>
                <w:highlight w:val="none"/>
              </w:rPr>
              <w:t>施工图最终资料包括图纸</w:t>
            </w:r>
          </w:p>
        </w:tc>
        <w:tc>
          <w:tcPr>
            <w:tcW w:w="1468" w:type="dxa"/>
            <w:noWrap w:val="0"/>
            <w:vAlign w:val="top"/>
          </w:tcPr>
          <w:p w14:paraId="4EEF097A">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color w:val="auto"/>
                <w:sz w:val="24"/>
                <w:highlight w:val="none"/>
              </w:rPr>
              <w:t>套</w:t>
            </w:r>
          </w:p>
        </w:tc>
        <w:tc>
          <w:tcPr>
            <w:tcW w:w="1202" w:type="dxa"/>
            <w:noWrap w:val="0"/>
            <w:vAlign w:val="top"/>
          </w:tcPr>
          <w:p w14:paraId="3C36B571">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eastAsia="宋体" w:cs="Times New Roman"/>
                <w:b/>
                <w:color w:val="auto"/>
                <w:sz w:val="24"/>
                <w:highlight w:val="none"/>
                <w:lang w:val="en-US" w:eastAsia="zh-CN"/>
              </w:rPr>
            </w:pPr>
            <w:r>
              <w:rPr>
                <w:rFonts w:hint="eastAsia" w:cs="Times New Roman"/>
                <w:color w:val="auto"/>
                <w:sz w:val="24"/>
                <w:highlight w:val="none"/>
                <w:lang w:val="en-US" w:eastAsia="zh-CN"/>
              </w:rPr>
              <w:t>10</w:t>
            </w:r>
          </w:p>
        </w:tc>
      </w:tr>
      <w:tr w14:paraId="5EF73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trPr>
        <w:tc>
          <w:tcPr>
            <w:tcW w:w="5796" w:type="dxa"/>
            <w:noWrap w:val="0"/>
            <w:vAlign w:val="top"/>
          </w:tcPr>
          <w:p w14:paraId="601912B8">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color w:val="auto"/>
                <w:sz w:val="24"/>
                <w:highlight w:val="none"/>
              </w:rPr>
              <w:t>竣工图</w:t>
            </w:r>
          </w:p>
        </w:tc>
        <w:tc>
          <w:tcPr>
            <w:tcW w:w="1468" w:type="dxa"/>
            <w:noWrap w:val="0"/>
            <w:vAlign w:val="top"/>
          </w:tcPr>
          <w:p w14:paraId="425579F7">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color w:val="auto"/>
                <w:sz w:val="24"/>
                <w:highlight w:val="none"/>
              </w:rPr>
              <w:t>套</w:t>
            </w:r>
          </w:p>
        </w:tc>
        <w:tc>
          <w:tcPr>
            <w:tcW w:w="1202" w:type="dxa"/>
            <w:noWrap w:val="0"/>
            <w:vAlign w:val="top"/>
          </w:tcPr>
          <w:p w14:paraId="0283C3D6">
            <w:pPr>
              <w:keepNext w:val="0"/>
              <w:keepLines w:val="0"/>
              <w:suppressLineNumbers w:val="0"/>
              <w:adjustRightInd w:val="0"/>
              <w:snapToGrid w:val="0"/>
              <w:spacing w:before="0" w:beforeAutospacing="0" w:after="0" w:afterAutospacing="0" w:line="360" w:lineRule="auto"/>
              <w:ind w:left="0" w:right="0"/>
              <w:jc w:val="center"/>
              <w:textAlignment w:val="baseline"/>
              <w:rPr>
                <w:rFonts w:hint="eastAsia" w:ascii="Times New Roman" w:hAnsi="Times New Roman" w:eastAsia="宋体" w:cs="Times New Roman"/>
                <w:b/>
                <w:color w:val="auto"/>
                <w:sz w:val="24"/>
                <w:highlight w:val="none"/>
                <w:lang w:eastAsia="zh-CN"/>
              </w:rPr>
            </w:pPr>
            <w:r>
              <w:rPr>
                <w:rFonts w:hint="eastAsia" w:cs="Times New Roman"/>
                <w:color w:val="auto"/>
                <w:sz w:val="24"/>
                <w:highlight w:val="none"/>
                <w:lang w:val="en-US" w:eastAsia="zh-CN"/>
              </w:rPr>
              <w:t>8</w:t>
            </w:r>
          </w:p>
        </w:tc>
      </w:tr>
      <w:tr w14:paraId="4EC29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796" w:type="dxa"/>
            <w:noWrap w:val="0"/>
            <w:vAlign w:val="top"/>
          </w:tcPr>
          <w:p w14:paraId="1382DF59">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设备合同资料</w:t>
            </w:r>
          </w:p>
        </w:tc>
        <w:tc>
          <w:tcPr>
            <w:tcW w:w="1468" w:type="dxa"/>
            <w:noWrap w:val="0"/>
            <w:vAlign w:val="top"/>
          </w:tcPr>
          <w:p w14:paraId="4D15923C">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w:t>
            </w:r>
          </w:p>
        </w:tc>
        <w:tc>
          <w:tcPr>
            <w:tcW w:w="1202" w:type="dxa"/>
            <w:noWrap w:val="0"/>
            <w:vAlign w:val="top"/>
          </w:tcPr>
          <w:p w14:paraId="270665B0">
            <w:pPr>
              <w:keepNext w:val="0"/>
              <w:keepLines w:val="0"/>
              <w:suppressLineNumbers w:val="0"/>
              <w:adjustRightInd w:val="0"/>
              <w:snapToGrid w:val="0"/>
              <w:spacing w:before="0" w:beforeAutospacing="0" w:after="0" w:afterAutospacing="0" w:line="360" w:lineRule="auto"/>
              <w:ind w:left="0" w:right="0"/>
              <w:jc w:val="center"/>
              <w:textAlignment w:val="baseline"/>
              <w:rPr>
                <w:rFonts w:hint="eastAsia" w:ascii="Times New Roman" w:hAnsi="Times New Roman" w:eastAsia="宋体" w:cs="Times New Roman"/>
                <w:color w:val="auto"/>
                <w:sz w:val="24"/>
                <w:highlight w:val="none"/>
                <w:lang w:eastAsia="zh-CN"/>
              </w:rPr>
            </w:pPr>
            <w:r>
              <w:rPr>
                <w:rFonts w:hint="eastAsia" w:cs="Times New Roman"/>
                <w:color w:val="auto"/>
                <w:sz w:val="24"/>
                <w:highlight w:val="none"/>
                <w:lang w:val="en-US" w:eastAsia="zh-CN"/>
              </w:rPr>
              <w:t>2</w:t>
            </w:r>
          </w:p>
        </w:tc>
      </w:tr>
      <w:tr w14:paraId="124C49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796" w:type="dxa"/>
            <w:noWrap w:val="0"/>
            <w:vAlign w:val="top"/>
          </w:tcPr>
          <w:p w14:paraId="0C94491A">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其它供审批的图纸和资料</w:t>
            </w:r>
          </w:p>
        </w:tc>
        <w:tc>
          <w:tcPr>
            <w:tcW w:w="1468" w:type="dxa"/>
            <w:noWrap w:val="0"/>
            <w:vAlign w:val="top"/>
          </w:tcPr>
          <w:p w14:paraId="19B6F813">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w:t>
            </w:r>
          </w:p>
        </w:tc>
        <w:tc>
          <w:tcPr>
            <w:tcW w:w="1202" w:type="dxa"/>
            <w:noWrap w:val="0"/>
            <w:vAlign w:val="top"/>
          </w:tcPr>
          <w:p w14:paraId="1C8EFEAF">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10</w:t>
            </w:r>
          </w:p>
        </w:tc>
      </w:tr>
      <w:tr w14:paraId="7F8D5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796" w:type="dxa"/>
            <w:noWrap w:val="0"/>
            <w:vAlign w:val="top"/>
          </w:tcPr>
          <w:p w14:paraId="1CC28CB7">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运行和维护手册</w:t>
            </w:r>
          </w:p>
        </w:tc>
        <w:tc>
          <w:tcPr>
            <w:tcW w:w="1468" w:type="dxa"/>
            <w:noWrap w:val="0"/>
            <w:vAlign w:val="top"/>
          </w:tcPr>
          <w:p w14:paraId="6D149AFA">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w:t>
            </w:r>
          </w:p>
        </w:tc>
        <w:tc>
          <w:tcPr>
            <w:tcW w:w="1202" w:type="dxa"/>
            <w:noWrap w:val="0"/>
            <w:vAlign w:val="top"/>
          </w:tcPr>
          <w:p w14:paraId="15CD928C">
            <w:pPr>
              <w:keepNext w:val="0"/>
              <w:keepLines w:val="0"/>
              <w:suppressLineNumbers w:val="0"/>
              <w:adjustRightInd w:val="0"/>
              <w:snapToGrid w:val="0"/>
              <w:spacing w:before="0" w:beforeAutospacing="0" w:after="0" w:afterAutospacing="0" w:line="360" w:lineRule="auto"/>
              <w:ind w:left="0" w:right="0"/>
              <w:jc w:val="center"/>
              <w:textAlignment w:val="baseline"/>
              <w:rPr>
                <w:rFonts w:hint="eastAsia" w:ascii="Times New Roman" w:hAnsi="Times New Roman" w:eastAsia="宋体" w:cs="Times New Roman"/>
                <w:color w:val="auto"/>
                <w:sz w:val="24"/>
                <w:highlight w:val="none"/>
                <w:lang w:eastAsia="zh-CN"/>
              </w:rPr>
            </w:pPr>
            <w:r>
              <w:rPr>
                <w:rFonts w:hint="eastAsia" w:cs="Times New Roman"/>
                <w:color w:val="auto"/>
                <w:sz w:val="24"/>
                <w:highlight w:val="none"/>
                <w:lang w:val="en-US" w:eastAsia="zh-CN"/>
              </w:rPr>
              <w:t>5</w:t>
            </w:r>
          </w:p>
        </w:tc>
      </w:tr>
      <w:tr w14:paraId="3A9AC8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796" w:type="dxa"/>
            <w:noWrap w:val="0"/>
            <w:vAlign w:val="top"/>
          </w:tcPr>
          <w:p w14:paraId="2A702A18">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培训手册</w:t>
            </w:r>
          </w:p>
        </w:tc>
        <w:tc>
          <w:tcPr>
            <w:tcW w:w="1468" w:type="dxa"/>
            <w:noWrap w:val="0"/>
            <w:vAlign w:val="top"/>
          </w:tcPr>
          <w:p w14:paraId="797EEA4A">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w:t>
            </w:r>
          </w:p>
        </w:tc>
        <w:tc>
          <w:tcPr>
            <w:tcW w:w="1202" w:type="dxa"/>
            <w:noWrap w:val="0"/>
            <w:vAlign w:val="top"/>
          </w:tcPr>
          <w:p w14:paraId="33724F28">
            <w:pPr>
              <w:keepNext w:val="0"/>
              <w:keepLines w:val="0"/>
              <w:suppressLineNumbers w:val="0"/>
              <w:adjustRightInd w:val="0"/>
              <w:snapToGrid w:val="0"/>
              <w:spacing w:before="0" w:beforeAutospacing="0" w:after="0" w:afterAutospacing="0" w:line="360" w:lineRule="auto"/>
              <w:ind w:left="0" w:right="0"/>
              <w:jc w:val="center"/>
              <w:textAlignment w:val="baseline"/>
              <w:rPr>
                <w:rFonts w:hint="eastAsia" w:ascii="Times New Roman" w:hAnsi="Times New Roman" w:eastAsia="宋体" w:cs="Times New Roman"/>
                <w:color w:val="auto"/>
                <w:sz w:val="24"/>
                <w:highlight w:val="none"/>
                <w:lang w:eastAsia="zh-CN"/>
              </w:rPr>
            </w:pPr>
            <w:r>
              <w:rPr>
                <w:rFonts w:hint="eastAsia" w:cs="Times New Roman"/>
                <w:color w:val="auto"/>
                <w:sz w:val="24"/>
                <w:highlight w:val="none"/>
                <w:lang w:val="en-US" w:eastAsia="zh-CN"/>
              </w:rPr>
              <w:t>5</w:t>
            </w:r>
          </w:p>
        </w:tc>
      </w:tr>
      <w:tr w14:paraId="39CFA4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5796" w:type="dxa"/>
            <w:noWrap w:val="0"/>
            <w:vAlign w:val="top"/>
          </w:tcPr>
          <w:p w14:paraId="4871311F">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上述资料电子版（U盘或移动硬盘）</w:t>
            </w:r>
          </w:p>
        </w:tc>
        <w:tc>
          <w:tcPr>
            <w:tcW w:w="1468" w:type="dxa"/>
            <w:noWrap w:val="0"/>
            <w:vAlign w:val="top"/>
          </w:tcPr>
          <w:p w14:paraId="21D544C2">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套</w:t>
            </w:r>
          </w:p>
        </w:tc>
        <w:tc>
          <w:tcPr>
            <w:tcW w:w="1202" w:type="dxa"/>
            <w:noWrap w:val="0"/>
            <w:vAlign w:val="top"/>
          </w:tcPr>
          <w:p w14:paraId="1A4E70D3">
            <w:pPr>
              <w:keepNext w:val="0"/>
              <w:keepLines w:val="0"/>
              <w:suppressLineNumbers w:val="0"/>
              <w:adjustRightInd w:val="0"/>
              <w:snapToGrid w:val="0"/>
              <w:spacing w:before="0" w:beforeAutospacing="0" w:after="0" w:afterAutospacing="0" w:line="360" w:lineRule="auto"/>
              <w:ind w:left="0" w:right="0"/>
              <w:jc w:val="center"/>
              <w:textAlignment w:val="baseline"/>
              <w:rPr>
                <w:rFonts w:hint="eastAsia" w:ascii="Times New Roman" w:hAnsi="Times New Roman" w:eastAsia="宋体" w:cs="Times New Roman"/>
                <w:color w:val="auto"/>
                <w:sz w:val="24"/>
                <w:highlight w:val="none"/>
                <w:lang w:eastAsia="zh-CN"/>
              </w:rPr>
            </w:pPr>
            <w:r>
              <w:rPr>
                <w:rFonts w:hint="eastAsia" w:cs="Times New Roman"/>
                <w:color w:val="auto"/>
                <w:sz w:val="24"/>
                <w:highlight w:val="none"/>
                <w:lang w:val="en-US" w:eastAsia="zh-CN"/>
              </w:rPr>
              <w:t>2</w:t>
            </w:r>
          </w:p>
        </w:tc>
      </w:tr>
    </w:tbl>
    <w:p w14:paraId="2876C383">
      <w:pPr>
        <w:adjustRightInd w:val="0"/>
        <w:snapToGrid w:val="0"/>
        <w:spacing w:line="360" w:lineRule="auto"/>
        <w:rPr>
          <w:color w:val="auto"/>
          <w:sz w:val="24"/>
          <w:highlight w:val="none"/>
        </w:rPr>
      </w:pPr>
      <w:r>
        <w:rPr>
          <w:color w:val="auto"/>
          <w:sz w:val="24"/>
          <w:highlight w:val="none"/>
        </w:rPr>
        <w:t>6.2  资料的一般要求</w:t>
      </w:r>
    </w:p>
    <w:p w14:paraId="665B98D0">
      <w:pPr>
        <w:adjustRightInd w:val="0"/>
        <w:snapToGrid w:val="0"/>
        <w:spacing w:line="360" w:lineRule="auto"/>
        <w:rPr>
          <w:color w:val="auto"/>
          <w:sz w:val="24"/>
          <w:highlight w:val="none"/>
        </w:rPr>
      </w:pPr>
      <w:r>
        <w:rPr>
          <w:color w:val="auto"/>
          <w:sz w:val="24"/>
          <w:highlight w:val="none"/>
        </w:rPr>
        <w:tab/>
      </w:r>
      <w:r>
        <w:rPr>
          <w:color w:val="auto"/>
          <w:sz w:val="24"/>
          <w:highlight w:val="none"/>
        </w:rPr>
        <w:t>提交的所有文件的语言以中文为主，并采用国际单位制。</w:t>
      </w:r>
    </w:p>
    <w:p w14:paraId="1D69A0A4">
      <w:pPr>
        <w:adjustRightInd w:val="0"/>
        <w:snapToGrid w:val="0"/>
        <w:spacing w:line="360" w:lineRule="auto"/>
        <w:rPr>
          <w:color w:val="auto"/>
          <w:sz w:val="24"/>
          <w:highlight w:val="none"/>
        </w:rPr>
      </w:pPr>
      <w:r>
        <w:rPr>
          <w:color w:val="auto"/>
          <w:sz w:val="24"/>
          <w:highlight w:val="none"/>
        </w:rPr>
        <w:tab/>
      </w:r>
      <w:r>
        <w:rPr>
          <w:color w:val="auto"/>
          <w:sz w:val="24"/>
          <w:highlight w:val="none"/>
        </w:rPr>
        <w:t>施工图图纸提交的日程要紧密配合工程建设的日程，特别要满足现场施工进度的需求。</w:t>
      </w:r>
    </w:p>
    <w:p w14:paraId="635579FD">
      <w:pPr>
        <w:adjustRightInd w:val="0"/>
        <w:snapToGrid w:val="0"/>
        <w:spacing w:line="360" w:lineRule="auto"/>
        <w:rPr>
          <w:color w:val="auto"/>
          <w:sz w:val="24"/>
          <w:highlight w:val="none"/>
        </w:rPr>
      </w:pPr>
      <w:r>
        <w:rPr>
          <w:color w:val="auto"/>
          <w:sz w:val="24"/>
          <w:highlight w:val="none"/>
        </w:rPr>
        <w:tab/>
      </w:r>
      <w:r>
        <w:rPr>
          <w:rFonts w:hint="eastAsia"/>
          <w:color w:val="auto"/>
          <w:sz w:val="24"/>
          <w:highlight w:val="none"/>
          <w:lang w:eastAsia="zh-CN"/>
        </w:rPr>
        <w:t>投标方</w:t>
      </w:r>
      <w:r>
        <w:rPr>
          <w:color w:val="auto"/>
          <w:sz w:val="24"/>
          <w:highlight w:val="none"/>
        </w:rPr>
        <w:t>将编制详细图纸的完整的总清单，其中每一卷册详细图纸里也将有图纸清单。</w:t>
      </w:r>
      <w:r>
        <w:rPr>
          <w:color w:val="auto"/>
          <w:sz w:val="24"/>
          <w:highlight w:val="none"/>
        </w:rPr>
        <w:tab/>
      </w:r>
    </w:p>
    <w:p w14:paraId="61015046">
      <w:pPr>
        <w:adjustRightInd w:val="0"/>
        <w:snapToGrid w:val="0"/>
        <w:spacing w:line="360" w:lineRule="auto"/>
        <w:rPr>
          <w:color w:val="auto"/>
          <w:sz w:val="24"/>
          <w:highlight w:val="none"/>
        </w:rPr>
      </w:pPr>
      <w:r>
        <w:rPr>
          <w:color w:val="auto"/>
          <w:sz w:val="24"/>
          <w:highlight w:val="none"/>
        </w:rPr>
        <w:t>6.3资料交接程序：</w:t>
      </w:r>
    </w:p>
    <w:p w14:paraId="469AC241">
      <w:pPr>
        <w:adjustRightInd w:val="0"/>
        <w:snapToGrid w:val="0"/>
        <w:spacing w:line="360" w:lineRule="auto"/>
        <w:ind w:firstLine="480" w:firstLineChars="200"/>
        <w:rPr>
          <w:color w:val="auto"/>
          <w:sz w:val="24"/>
          <w:highlight w:val="none"/>
        </w:rPr>
      </w:pPr>
      <w:r>
        <w:rPr>
          <w:color w:val="auto"/>
          <w:sz w:val="24"/>
          <w:highlight w:val="none"/>
        </w:rPr>
        <w:t>为了更好、更快捷的合作，</w:t>
      </w:r>
      <w:r>
        <w:rPr>
          <w:rFonts w:hint="eastAsia"/>
          <w:color w:val="auto"/>
          <w:sz w:val="24"/>
          <w:highlight w:val="none"/>
          <w:lang w:eastAsia="zh-CN"/>
        </w:rPr>
        <w:t>投标方</w:t>
      </w:r>
      <w:r>
        <w:rPr>
          <w:color w:val="auto"/>
          <w:sz w:val="24"/>
          <w:highlight w:val="none"/>
        </w:rPr>
        <w:t>应将图纸、资料送交到以下指定地址：</w:t>
      </w:r>
    </w:p>
    <w:p w14:paraId="277A75B5">
      <w:pPr>
        <w:adjustRightInd w:val="0"/>
        <w:snapToGrid w:val="0"/>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eastAsia="zh-CN"/>
        </w:rPr>
        <w:t>招标方</w:t>
      </w:r>
      <w:r>
        <w:rPr>
          <w:color w:val="auto"/>
          <w:sz w:val="24"/>
          <w:highlight w:val="none"/>
        </w:rPr>
        <w:t>：</w:t>
      </w:r>
      <w:r>
        <w:rPr>
          <w:rFonts w:hint="eastAsia"/>
          <w:color w:val="auto"/>
          <w:sz w:val="24"/>
          <w:highlight w:val="none"/>
          <w:lang w:val="en-US" w:eastAsia="zh-CN"/>
        </w:rPr>
        <w:t>台州临港热电有限公司</w:t>
      </w:r>
    </w:p>
    <w:p w14:paraId="0E162041">
      <w:pPr>
        <w:adjustRightInd w:val="0"/>
        <w:snapToGrid w:val="0"/>
        <w:spacing w:line="360" w:lineRule="auto"/>
        <w:ind w:firstLine="480" w:firstLineChars="200"/>
        <w:rPr>
          <w:color w:val="auto"/>
          <w:sz w:val="24"/>
          <w:highlight w:val="none"/>
        </w:rPr>
      </w:pPr>
      <w:r>
        <w:rPr>
          <w:color w:val="auto"/>
          <w:sz w:val="24"/>
          <w:highlight w:val="none"/>
        </w:rPr>
        <w:t>接收人：</w:t>
      </w:r>
    </w:p>
    <w:p w14:paraId="4C1A7FE6">
      <w:pPr>
        <w:adjustRightInd w:val="0"/>
        <w:snapToGrid w:val="0"/>
        <w:spacing w:line="360" w:lineRule="auto"/>
        <w:ind w:firstLine="480" w:firstLineChars="200"/>
        <w:rPr>
          <w:rFonts w:hint="default" w:eastAsia="宋体"/>
          <w:color w:val="auto"/>
          <w:sz w:val="24"/>
          <w:highlight w:val="none"/>
          <w:lang w:val="en-US" w:eastAsia="zh-CN"/>
        </w:rPr>
      </w:pPr>
      <w:r>
        <w:rPr>
          <w:color w:val="auto"/>
          <w:sz w:val="24"/>
          <w:highlight w:val="none"/>
        </w:rPr>
        <w:t>地址：</w:t>
      </w:r>
      <w:r>
        <w:rPr>
          <w:rFonts w:hint="eastAsia"/>
          <w:color w:val="auto"/>
          <w:sz w:val="24"/>
          <w:highlight w:val="none"/>
          <w:lang w:val="en-US" w:eastAsia="zh-CN"/>
        </w:rPr>
        <w:t>浙江省临海市头门港经济开发区东海第四大道33号</w:t>
      </w:r>
    </w:p>
    <w:p w14:paraId="7EF2E18B">
      <w:pPr>
        <w:adjustRightInd w:val="0"/>
        <w:snapToGrid w:val="0"/>
        <w:spacing w:line="360" w:lineRule="auto"/>
        <w:ind w:firstLine="480" w:firstLineChars="200"/>
        <w:rPr>
          <w:color w:val="auto"/>
          <w:sz w:val="24"/>
          <w:highlight w:val="none"/>
        </w:rPr>
      </w:pPr>
      <w:r>
        <w:rPr>
          <w:color w:val="auto"/>
          <w:sz w:val="24"/>
          <w:highlight w:val="none"/>
        </w:rPr>
        <w:t>传真：</w:t>
      </w:r>
    </w:p>
    <w:p w14:paraId="1DC0B23A">
      <w:pPr>
        <w:adjustRightInd w:val="0"/>
        <w:snapToGrid w:val="0"/>
        <w:spacing w:line="360" w:lineRule="auto"/>
        <w:ind w:firstLine="480" w:firstLineChars="200"/>
        <w:rPr>
          <w:rFonts w:hint="default" w:eastAsia="宋体"/>
          <w:color w:val="auto"/>
          <w:sz w:val="24"/>
          <w:highlight w:val="none"/>
          <w:lang w:val="en-US" w:eastAsia="zh-CN"/>
        </w:rPr>
      </w:pPr>
      <w:r>
        <w:rPr>
          <w:color w:val="auto"/>
          <w:sz w:val="24"/>
          <w:highlight w:val="none"/>
        </w:rPr>
        <w:t>邮编：</w:t>
      </w:r>
      <w:r>
        <w:rPr>
          <w:rFonts w:hint="eastAsia"/>
          <w:color w:val="auto"/>
          <w:sz w:val="24"/>
          <w:highlight w:val="none"/>
          <w:lang w:val="en-US" w:eastAsia="zh-CN"/>
        </w:rPr>
        <w:t>318000</w:t>
      </w:r>
    </w:p>
    <w:p w14:paraId="17BE987B">
      <w:pPr>
        <w:adjustRightInd w:val="0"/>
        <w:snapToGrid w:val="0"/>
        <w:spacing w:line="360" w:lineRule="auto"/>
        <w:ind w:firstLine="480" w:firstLineChars="200"/>
        <w:rPr>
          <w:color w:val="auto"/>
          <w:sz w:val="24"/>
          <w:highlight w:val="none"/>
        </w:rPr>
      </w:pPr>
      <w:r>
        <w:rPr>
          <w:color w:val="auto"/>
          <w:sz w:val="24"/>
          <w:highlight w:val="none"/>
        </w:rPr>
        <w:t>联络人：</w:t>
      </w:r>
    </w:p>
    <w:p w14:paraId="58418A8A">
      <w:pPr>
        <w:pStyle w:val="3"/>
        <w:spacing w:before="156" w:after="156"/>
        <w:rPr>
          <w:rFonts w:hint="default" w:ascii="Times New Roman" w:hAnsi="Times New Roman" w:eastAsia="宋体"/>
          <w:color w:val="auto"/>
          <w:sz w:val="28"/>
          <w:szCs w:val="28"/>
          <w:highlight w:val="none"/>
        </w:rPr>
      </w:pPr>
      <w:bookmarkStart w:id="255" w:name="_Toc3361"/>
      <w:bookmarkStart w:id="256" w:name="_Toc21075"/>
      <w:bookmarkStart w:id="257" w:name="_Toc126"/>
      <w:bookmarkStart w:id="258" w:name="_Toc498"/>
      <w:bookmarkStart w:id="259" w:name="_Toc17926"/>
      <w:bookmarkStart w:id="260" w:name="_Toc482189983"/>
      <w:bookmarkStart w:id="261" w:name="_Toc16812"/>
      <w:r>
        <w:rPr>
          <w:rFonts w:hint="default" w:ascii="Times New Roman" w:hAnsi="Times New Roman" w:eastAsia="宋体"/>
          <w:color w:val="auto"/>
          <w:sz w:val="28"/>
          <w:szCs w:val="28"/>
          <w:highlight w:val="none"/>
        </w:rPr>
        <w:t>7 技术资料交付进度</w:t>
      </w:r>
      <w:bookmarkEnd w:id="255"/>
      <w:bookmarkEnd w:id="256"/>
      <w:bookmarkEnd w:id="257"/>
      <w:bookmarkEnd w:id="258"/>
      <w:bookmarkEnd w:id="259"/>
      <w:bookmarkEnd w:id="260"/>
      <w:bookmarkEnd w:id="261"/>
    </w:p>
    <w:p w14:paraId="4406DD25">
      <w:pPr>
        <w:adjustRightInd w:val="0"/>
        <w:snapToGrid w:val="0"/>
        <w:spacing w:line="360" w:lineRule="auto"/>
        <w:rPr>
          <w:color w:val="auto"/>
          <w:sz w:val="24"/>
          <w:highlight w:val="none"/>
        </w:rPr>
      </w:pPr>
      <w:r>
        <w:rPr>
          <w:color w:val="auto"/>
          <w:sz w:val="24"/>
          <w:highlight w:val="none"/>
        </w:rPr>
        <w:t xml:space="preserve">7.1 </w:t>
      </w:r>
      <w:r>
        <w:rPr>
          <w:rFonts w:hint="eastAsia"/>
          <w:color w:val="auto"/>
          <w:sz w:val="24"/>
          <w:highlight w:val="none"/>
          <w:lang w:eastAsia="zh-CN"/>
        </w:rPr>
        <w:t>投标方</w:t>
      </w:r>
      <w:r>
        <w:rPr>
          <w:color w:val="auto"/>
          <w:sz w:val="24"/>
          <w:highlight w:val="none"/>
        </w:rPr>
        <w:t>提交技术资料的交付进度除合同条件中已有明确规定外，由合同双方在设计联络会上确定。</w:t>
      </w:r>
    </w:p>
    <w:p w14:paraId="246DF6B3">
      <w:pPr>
        <w:adjustRightInd w:val="0"/>
        <w:snapToGrid w:val="0"/>
        <w:spacing w:line="360" w:lineRule="auto"/>
        <w:ind w:right="57"/>
        <w:rPr>
          <w:color w:val="auto"/>
          <w:sz w:val="24"/>
          <w:highlight w:val="none"/>
        </w:rPr>
        <w:sectPr>
          <w:headerReference r:id="rId3" w:type="default"/>
          <w:footerReference r:id="rId4" w:type="default"/>
          <w:type w:val="nextColumn"/>
          <w:pgSz w:w="11850" w:h="16783"/>
          <w:pgMar w:top="1440" w:right="1800" w:bottom="1440" w:left="1800" w:header="851" w:footer="964" w:gutter="0"/>
          <w:cols w:space="720" w:num="1"/>
          <w:docGrid w:type="lines" w:linePitch="312" w:charSpace="0"/>
        </w:sectPr>
      </w:pPr>
    </w:p>
    <w:p w14:paraId="7E2874FB">
      <w:pPr>
        <w:pStyle w:val="2"/>
        <w:spacing w:before="0" w:after="0" w:line="240" w:lineRule="auto"/>
        <w:rPr>
          <w:color w:val="auto"/>
          <w:sz w:val="32"/>
          <w:szCs w:val="32"/>
          <w:highlight w:val="none"/>
        </w:rPr>
      </w:pPr>
      <w:bookmarkStart w:id="262" w:name="_Toc4966"/>
      <w:bookmarkStart w:id="263" w:name="_Toc30655"/>
      <w:bookmarkStart w:id="264" w:name="_Toc30692"/>
      <w:bookmarkStart w:id="265" w:name="_Toc12642"/>
      <w:bookmarkStart w:id="266" w:name="_Toc1030"/>
      <w:bookmarkStart w:id="267" w:name="_Toc16900"/>
      <w:bookmarkStart w:id="268" w:name="_Toc482189984"/>
      <w:r>
        <w:rPr>
          <w:color w:val="auto"/>
          <w:sz w:val="32"/>
          <w:szCs w:val="32"/>
          <w:highlight w:val="none"/>
        </w:rPr>
        <w:t>附件5  工程进度计划</w:t>
      </w:r>
      <w:bookmarkEnd w:id="262"/>
      <w:bookmarkEnd w:id="263"/>
      <w:bookmarkEnd w:id="264"/>
      <w:bookmarkEnd w:id="265"/>
      <w:bookmarkEnd w:id="266"/>
      <w:bookmarkEnd w:id="267"/>
      <w:bookmarkEnd w:id="268"/>
    </w:p>
    <w:p w14:paraId="16512EF2">
      <w:pPr>
        <w:pStyle w:val="3"/>
        <w:spacing w:before="156" w:after="156"/>
        <w:rPr>
          <w:rFonts w:hint="default" w:ascii="Times New Roman" w:hAnsi="Times New Roman" w:eastAsia="宋体"/>
          <w:color w:val="auto"/>
          <w:sz w:val="28"/>
          <w:szCs w:val="28"/>
          <w:highlight w:val="none"/>
        </w:rPr>
      </w:pPr>
      <w:bookmarkStart w:id="269" w:name="_Toc12572"/>
      <w:bookmarkStart w:id="270" w:name="_Toc8366"/>
      <w:bookmarkStart w:id="271" w:name="_Toc482189985"/>
      <w:bookmarkStart w:id="272" w:name="_Toc22901"/>
      <w:bookmarkStart w:id="273" w:name="_Toc414993428"/>
      <w:bookmarkStart w:id="274" w:name="_Toc6949"/>
      <w:bookmarkStart w:id="275" w:name="_Toc13927"/>
      <w:bookmarkStart w:id="276" w:name="_Toc20336"/>
      <w:r>
        <w:rPr>
          <w:rFonts w:hint="default" w:ascii="Times New Roman" w:hAnsi="Times New Roman" w:eastAsia="宋体"/>
          <w:color w:val="auto"/>
          <w:sz w:val="28"/>
          <w:szCs w:val="28"/>
          <w:highlight w:val="none"/>
        </w:rPr>
        <w:t>1 工程总进度</w:t>
      </w:r>
      <w:bookmarkEnd w:id="269"/>
      <w:bookmarkEnd w:id="270"/>
      <w:bookmarkEnd w:id="271"/>
      <w:bookmarkEnd w:id="272"/>
      <w:bookmarkEnd w:id="273"/>
      <w:bookmarkEnd w:id="274"/>
      <w:bookmarkEnd w:id="275"/>
      <w:bookmarkEnd w:id="276"/>
    </w:p>
    <w:p w14:paraId="4615C4A2">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应以202</w:t>
      </w:r>
      <w:r>
        <w:rPr>
          <w:rFonts w:hint="eastAsia"/>
          <w:color w:val="auto"/>
          <w:sz w:val="24"/>
          <w:highlight w:val="none"/>
          <w:lang w:val="en-US" w:eastAsia="zh-CN"/>
        </w:rPr>
        <w:t>7</w:t>
      </w:r>
      <w:r>
        <w:rPr>
          <w:color w:val="auto"/>
          <w:sz w:val="24"/>
          <w:highlight w:val="none"/>
        </w:rPr>
        <w:t>年</w:t>
      </w:r>
      <w:r>
        <w:rPr>
          <w:rFonts w:hint="eastAsia"/>
          <w:color w:val="auto"/>
          <w:sz w:val="24"/>
          <w:highlight w:val="none"/>
          <w:lang w:val="en-US" w:eastAsia="zh-CN"/>
        </w:rPr>
        <w:t>9</w:t>
      </w:r>
      <w:r>
        <w:rPr>
          <w:color w:val="auto"/>
          <w:sz w:val="24"/>
          <w:highlight w:val="none"/>
        </w:rPr>
        <w:t>月</w:t>
      </w:r>
      <w:r>
        <w:rPr>
          <w:rFonts w:hint="eastAsia"/>
          <w:color w:val="auto"/>
          <w:sz w:val="24"/>
          <w:highlight w:val="none"/>
          <w:lang w:val="en-US" w:eastAsia="zh-CN"/>
        </w:rPr>
        <w:t>30</w:t>
      </w:r>
      <w:r>
        <w:rPr>
          <w:color w:val="auto"/>
          <w:sz w:val="24"/>
          <w:highlight w:val="none"/>
        </w:rPr>
        <w:t>日</w:t>
      </w:r>
      <w:r>
        <w:rPr>
          <w:rFonts w:hint="eastAsia"/>
          <w:color w:val="auto"/>
          <w:sz w:val="24"/>
          <w:highlight w:val="none"/>
          <w:lang w:eastAsia="zh-CN"/>
        </w:rPr>
        <w:t>（</w:t>
      </w:r>
      <w:r>
        <w:rPr>
          <w:rFonts w:hint="eastAsia"/>
          <w:color w:val="auto"/>
          <w:sz w:val="24"/>
          <w:highlight w:val="none"/>
          <w:lang w:val="en-US" w:eastAsia="zh-CN"/>
        </w:rPr>
        <w:t>暂定</w:t>
      </w:r>
      <w:r>
        <w:rPr>
          <w:rFonts w:hint="eastAsia"/>
          <w:color w:val="auto"/>
          <w:sz w:val="24"/>
          <w:highlight w:val="none"/>
          <w:lang w:eastAsia="zh-CN"/>
        </w:rPr>
        <w:t>）</w:t>
      </w:r>
      <w:r>
        <w:rPr>
          <w:color w:val="auto"/>
          <w:sz w:val="24"/>
          <w:highlight w:val="none"/>
        </w:rPr>
        <w:t>完成机组烟气脱硫系统</w:t>
      </w:r>
      <w:r>
        <w:rPr>
          <w:rFonts w:hint="eastAsia"/>
          <w:color w:val="auto"/>
          <w:sz w:val="24"/>
          <w:highlight w:val="none"/>
        </w:rPr>
        <w:t>168</w:t>
      </w:r>
      <w:r>
        <w:rPr>
          <w:color w:val="auto"/>
          <w:sz w:val="24"/>
          <w:highlight w:val="none"/>
        </w:rPr>
        <w:t>h试运行为目标。</w:t>
      </w:r>
      <w:r>
        <w:rPr>
          <w:rFonts w:hint="eastAsia"/>
          <w:color w:val="auto"/>
          <w:sz w:val="24"/>
          <w:highlight w:val="none"/>
          <w:lang w:eastAsia="zh-CN"/>
        </w:rPr>
        <w:t>投标方</w:t>
      </w:r>
      <w:r>
        <w:rPr>
          <w:color w:val="auto"/>
          <w:sz w:val="24"/>
          <w:highlight w:val="none"/>
        </w:rPr>
        <w:t>应配合</w:t>
      </w:r>
      <w:r>
        <w:rPr>
          <w:rFonts w:hint="eastAsia"/>
          <w:color w:val="auto"/>
          <w:sz w:val="24"/>
          <w:highlight w:val="none"/>
          <w:lang w:eastAsia="zh-CN"/>
        </w:rPr>
        <w:t>招标方</w:t>
      </w:r>
      <w:r>
        <w:rPr>
          <w:color w:val="auto"/>
          <w:sz w:val="24"/>
          <w:highlight w:val="none"/>
        </w:rPr>
        <w:t>工期进度计划安排。</w:t>
      </w:r>
      <w:r>
        <w:rPr>
          <w:rFonts w:hint="eastAsia"/>
          <w:color w:val="auto"/>
          <w:sz w:val="24"/>
          <w:highlight w:val="none"/>
          <w:lang w:val="en-US" w:eastAsia="zh-CN"/>
        </w:rPr>
        <w:t>合同签订后20日内开始提供设计图纸，接到投标方发货通知30天内开始入场安装，240天安装完成，</w:t>
      </w:r>
      <w:r>
        <w:rPr>
          <w:color w:val="auto"/>
          <w:sz w:val="24"/>
          <w:highlight w:val="none"/>
        </w:rPr>
        <w:t>实际设计及供货必须满足扩建工程总体进度要求。</w:t>
      </w:r>
    </w:p>
    <w:p w14:paraId="11C8E63E">
      <w:pPr>
        <w:pStyle w:val="3"/>
        <w:spacing w:before="156" w:after="156"/>
        <w:rPr>
          <w:rFonts w:hint="default" w:ascii="Times New Roman" w:hAnsi="Times New Roman" w:eastAsia="宋体"/>
          <w:color w:val="auto"/>
          <w:sz w:val="28"/>
          <w:szCs w:val="28"/>
          <w:highlight w:val="none"/>
        </w:rPr>
      </w:pPr>
      <w:bookmarkStart w:id="277" w:name="_Toc32213"/>
      <w:bookmarkStart w:id="278" w:name="_Toc13858"/>
      <w:bookmarkStart w:id="279" w:name="_Toc12575"/>
      <w:bookmarkStart w:id="280" w:name="_Toc18497"/>
      <w:bookmarkStart w:id="281" w:name="_Toc18455"/>
      <w:bookmarkStart w:id="282" w:name="_Toc13565"/>
      <w:r>
        <w:rPr>
          <w:rFonts w:hint="default" w:ascii="Times New Roman" w:hAnsi="Times New Roman" w:eastAsia="宋体"/>
          <w:color w:val="auto"/>
          <w:sz w:val="28"/>
          <w:szCs w:val="28"/>
          <w:highlight w:val="none"/>
        </w:rPr>
        <w:t>2 进度要求</w:t>
      </w:r>
      <w:bookmarkEnd w:id="277"/>
      <w:bookmarkEnd w:id="278"/>
      <w:bookmarkEnd w:id="279"/>
      <w:bookmarkEnd w:id="280"/>
      <w:bookmarkEnd w:id="281"/>
      <w:bookmarkEnd w:id="282"/>
    </w:p>
    <w:p w14:paraId="773252CC">
      <w:pPr>
        <w:adjustRightInd w:val="0"/>
        <w:snapToGrid w:val="0"/>
        <w:spacing w:line="360" w:lineRule="auto"/>
        <w:rPr>
          <w:color w:val="auto"/>
          <w:sz w:val="24"/>
          <w:highlight w:val="none"/>
        </w:rPr>
      </w:pPr>
      <w:r>
        <w:rPr>
          <w:color w:val="auto"/>
          <w:sz w:val="24"/>
          <w:highlight w:val="none"/>
        </w:rPr>
        <w:tab/>
      </w:r>
      <w:r>
        <w:rPr>
          <w:rFonts w:hint="eastAsia"/>
          <w:color w:val="auto"/>
          <w:sz w:val="24"/>
          <w:highlight w:val="none"/>
          <w:lang w:eastAsia="zh-CN"/>
        </w:rPr>
        <w:t>投标方</w:t>
      </w:r>
      <w:r>
        <w:rPr>
          <w:color w:val="auto"/>
          <w:sz w:val="24"/>
          <w:highlight w:val="none"/>
        </w:rPr>
        <w:t>将根据</w:t>
      </w:r>
      <w:r>
        <w:rPr>
          <w:rFonts w:hint="eastAsia"/>
          <w:color w:val="auto"/>
          <w:sz w:val="24"/>
          <w:highlight w:val="none"/>
          <w:lang w:eastAsia="zh-CN"/>
        </w:rPr>
        <w:t>招标方</w:t>
      </w:r>
      <w:r>
        <w:rPr>
          <w:color w:val="auto"/>
          <w:sz w:val="24"/>
          <w:highlight w:val="none"/>
        </w:rPr>
        <w:t>的工程总进度要求编制设计、供货进度，确保脱硫岛与主机同步施工、试运、调试、投产。</w:t>
      </w:r>
    </w:p>
    <w:p w14:paraId="4B30154F">
      <w:pPr>
        <w:adjustRightInd w:val="0"/>
        <w:snapToGrid w:val="0"/>
        <w:spacing w:line="360" w:lineRule="auto"/>
        <w:jc w:val="center"/>
        <w:rPr>
          <w:color w:val="auto"/>
          <w:sz w:val="24"/>
          <w:highlight w:val="none"/>
        </w:rPr>
      </w:pPr>
      <w:r>
        <w:rPr>
          <w:color w:val="auto"/>
          <w:sz w:val="24"/>
          <w:highlight w:val="none"/>
        </w:rPr>
        <w:t>表4-2-1</w:t>
      </w:r>
      <w:r>
        <w:rPr>
          <w:rFonts w:hint="eastAsia"/>
          <w:color w:val="auto"/>
          <w:sz w:val="24"/>
          <w:highlight w:val="none"/>
          <w:lang w:eastAsia="zh-CN"/>
        </w:rPr>
        <w:t>投标方</w:t>
      </w:r>
      <w:r>
        <w:rPr>
          <w:color w:val="auto"/>
          <w:sz w:val="24"/>
          <w:highlight w:val="none"/>
        </w:rPr>
        <w:t>需填的进度表（</w:t>
      </w:r>
      <w:r>
        <w:rPr>
          <w:color w:val="auto"/>
          <w:highlight w:val="none"/>
        </w:rPr>
        <w:t>实际进度根据现场情况安排实施</w:t>
      </w:r>
      <w:r>
        <w:rPr>
          <w:color w:val="auto"/>
          <w:sz w:val="24"/>
          <w:highlight w:val="none"/>
        </w:rPr>
        <w:t>）</w:t>
      </w:r>
    </w:p>
    <w:tbl>
      <w:tblPr>
        <w:tblStyle w:val="52"/>
        <w:tblW w:w="0" w:type="auto"/>
        <w:tblInd w:w="-12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1"/>
        <w:gridCol w:w="4573"/>
        <w:gridCol w:w="3218"/>
      </w:tblGrid>
      <w:tr w14:paraId="72CC15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trPr>
        <w:tc>
          <w:tcPr>
            <w:tcW w:w="731" w:type="dxa"/>
            <w:noWrap w:val="0"/>
            <w:vAlign w:val="top"/>
          </w:tcPr>
          <w:p w14:paraId="4F120CB2">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序号</w:t>
            </w:r>
          </w:p>
        </w:tc>
        <w:tc>
          <w:tcPr>
            <w:tcW w:w="4573" w:type="dxa"/>
            <w:noWrap w:val="0"/>
            <w:vAlign w:val="top"/>
          </w:tcPr>
          <w:p w14:paraId="1C1ACF5F">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项目名称</w:t>
            </w:r>
          </w:p>
        </w:tc>
        <w:tc>
          <w:tcPr>
            <w:tcW w:w="3218" w:type="dxa"/>
            <w:noWrap w:val="0"/>
            <w:vAlign w:val="top"/>
          </w:tcPr>
          <w:p w14:paraId="5975CA4A">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计划完成时间</w:t>
            </w:r>
          </w:p>
        </w:tc>
      </w:tr>
      <w:tr w14:paraId="48BE37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1" w:type="dxa"/>
            <w:noWrap w:val="0"/>
            <w:vAlign w:val="top"/>
          </w:tcPr>
          <w:p w14:paraId="3F12CED1">
            <w:pPr>
              <w:keepNext w:val="0"/>
              <w:keepLines w:val="0"/>
              <w:suppressLineNumbers w:val="0"/>
              <w:adjustRightInd w:val="0"/>
              <w:snapToGrid w:val="0"/>
              <w:spacing w:before="0" w:beforeAutospacing="0" w:after="0" w:afterAutospacing="0"/>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4573" w:type="dxa"/>
            <w:noWrap w:val="0"/>
            <w:vAlign w:val="top"/>
          </w:tcPr>
          <w:p w14:paraId="19D1C707">
            <w:pPr>
              <w:keepNext w:val="0"/>
              <w:keepLines w:val="0"/>
              <w:suppressLineNumbers w:val="0"/>
              <w:adjustRightInd w:val="0"/>
              <w:snapToGrid w:val="0"/>
              <w:spacing w:before="0" w:beforeAutospacing="0" w:after="0" w:afterAutospacing="0"/>
              <w:ind w:left="0" w:right="0"/>
              <w:jc w:val="left"/>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合同生效</w:t>
            </w:r>
          </w:p>
        </w:tc>
        <w:tc>
          <w:tcPr>
            <w:tcW w:w="3218" w:type="dxa"/>
            <w:noWrap w:val="0"/>
            <w:vAlign w:val="top"/>
          </w:tcPr>
          <w:p w14:paraId="068C1E5E">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r>
      <w:tr w14:paraId="636EEC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1" w:type="dxa"/>
            <w:noWrap w:val="0"/>
            <w:vAlign w:val="top"/>
          </w:tcPr>
          <w:p w14:paraId="53CD568D">
            <w:pPr>
              <w:keepNext w:val="0"/>
              <w:keepLines w:val="0"/>
              <w:suppressLineNumbers w:val="0"/>
              <w:adjustRightInd w:val="0"/>
              <w:snapToGrid w:val="0"/>
              <w:spacing w:before="0" w:beforeAutospacing="0" w:after="0" w:afterAutospacing="0"/>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2</w:t>
            </w:r>
          </w:p>
        </w:tc>
        <w:tc>
          <w:tcPr>
            <w:tcW w:w="4573" w:type="dxa"/>
            <w:noWrap w:val="0"/>
            <w:vAlign w:val="top"/>
          </w:tcPr>
          <w:p w14:paraId="2704B074">
            <w:pPr>
              <w:keepNext w:val="0"/>
              <w:keepLines w:val="0"/>
              <w:suppressLineNumbers w:val="0"/>
              <w:adjustRightInd w:val="0"/>
              <w:snapToGrid w:val="0"/>
              <w:spacing w:before="0" w:beforeAutospacing="0" w:after="0" w:afterAutospacing="0"/>
              <w:ind w:left="0" w:right="0"/>
              <w:jc w:val="left"/>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设计联络会</w:t>
            </w:r>
          </w:p>
        </w:tc>
        <w:tc>
          <w:tcPr>
            <w:tcW w:w="3218" w:type="dxa"/>
            <w:noWrap w:val="0"/>
            <w:vAlign w:val="top"/>
          </w:tcPr>
          <w:p w14:paraId="18E2488C">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r>
      <w:tr w14:paraId="5E2FA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1" w:type="dxa"/>
            <w:noWrap w:val="0"/>
            <w:vAlign w:val="top"/>
          </w:tcPr>
          <w:p w14:paraId="0136D252">
            <w:pPr>
              <w:keepNext w:val="0"/>
              <w:keepLines w:val="0"/>
              <w:suppressLineNumbers w:val="0"/>
              <w:adjustRightInd w:val="0"/>
              <w:snapToGrid w:val="0"/>
              <w:spacing w:before="0" w:beforeAutospacing="0" w:after="0" w:afterAutospacing="0"/>
              <w:ind w:left="0" w:right="0"/>
              <w:jc w:val="center"/>
              <w:textAlignment w:val="baseline"/>
              <w:rPr>
                <w:rFonts w:hint="default" w:ascii="Times New Roman" w:hAnsi="Times New Roman" w:cs="Times New Roman"/>
                <w:color w:val="auto"/>
                <w:sz w:val="24"/>
                <w:highlight w:val="none"/>
              </w:rPr>
            </w:pPr>
          </w:p>
        </w:tc>
        <w:tc>
          <w:tcPr>
            <w:tcW w:w="4573" w:type="dxa"/>
            <w:noWrap w:val="0"/>
            <w:vAlign w:val="top"/>
          </w:tcPr>
          <w:p w14:paraId="21F7C3D1">
            <w:pPr>
              <w:keepNext w:val="0"/>
              <w:keepLines w:val="0"/>
              <w:suppressLineNumbers w:val="0"/>
              <w:adjustRightInd w:val="0"/>
              <w:snapToGrid w:val="0"/>
              <w:spacing w:before="0" w:beforeAutospacing="0" w:after="0" w:afterAutospacing="0"/>
              <w:ind w:left="0" w:right="0"/>
              <w:jc w:val="left"/>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第一次联络会</w:t>
            </w:r>
          </w:p>
        </w:tc>
        <w:tc>
          <w:tcPr>
            <w:tcW w:w="3218" w:type="dxa"/>
            <w:noWrap w:val="0"/>
            <w:vAlign w:val="top"/>
          </w:tcPr>
          <w:p w14:paraId="79E1F44E">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r>
      <w:tr w14:paraId="7AE1EF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1" w:type="dxa"/>
            <w:noWrap w:val="0"/>
            <w:vAlign w:val="top"/>
          </w:tcPr>
          <w:p w14:paraId="7DB3BE7A">
            <w:pPr>
              <w:keepNext w:val="0"/>
              <w:keepLines w:val="0"/>
              <w:suppressLineNumbers w:val="0"/>
              <w:adjustRightInd w:val="0"/>
              <w:snapToGrid w:val="0"/>
              <w:spacing w:before="0" w:beforeAutospacing="0" w:after="0" w:afterAutospacing="0"/>
              <w:ind w:left="0" w:right="0"/>
              <w:jc w:val="center"/>
              <w:textAlignment w:val="baseline"/>
              <w:rPr>
                <w:rFonts w:hint="default" w:ascii="Times New Roman" w:hAnsi="Times New Roman" w:cs="Times New Roman"/>
                <w:color w:val="auto"/>
                <w:sz w:val="24"/>
                <w:highlight w:val="none"/>
              </w:rPr>
            </w:pPr>
          </w:p>
        </w:tc>
        <w:tc>
          <w:tcPr>
            <w:tcW w:w="4573" w:type="dxa"/>
            <w:noWrap w:val="0"/>
            <w:vAlign w:val="top"/>
          </w:tcPr>
          <w:p w14:paraId="3215FBCF">
            <w:pPr>
              <w:keepNext w:val="0"/>
              <w:keepLines w:val="0"/>
              <w:suppressLineNumbers w:val="0"/>
              <w:adjustRightInd w:val="0"/>
              <w:snapToGrid w:val="0"/>
              <w:spacing w:before="0" w:beforeAutospacing="0" w:after="0" w:afterAutospacing="0"/>
              <w:ind w:left="0" w:right="0"/>
              <w:jc w:val="left"/>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第二次联络会</w:t>
            </w:r>
          </w:p>
        </w:tc>
        <w:tc>
          <w:tcPr>
            <w:tcW w:w="3218" w:type="dxa"/>
            <w:noWrap w:val="0"/>
            <w:vAlign w:val="top"/>
          </w:tcPr>
          <w:p w14:paraId="1B79EE26">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r>
      <w:tr w14:paraId="6BB593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1" w:type="dxa"/>
            <w:noWrap w:val="0"/>
            <w:vAlign w:val="top"/>
          </w:tcPr>
          <w:p w14:paraId="2554CB14">
            <w:pPr>
              <w:keepNext w:val="0"/>
              <w:keepLines w:val="0"/>
              <w:suppressLineNumbers w:val="0"/>
              <w:adjustRightInd w:val="0"/>
              <w:snapToGrid w:val="0"/>
              <w:spacing w:before="0" w:beforeAutospacing="0" w:after="0" w:afterAutospacing="0"/>
              <w:ind w:left="0" w:right="0"/>
              <w:jc w:val="center"/>
              <w:textAlignment w:val="baseline"/>
              <w:rPr>
                <w:rFonts w:hint="default" w:ascii="Times New Roman" w:hAnsi="Times New Roman" w:cs="Times New Roman"/>
                <w:color w:val="auto"/>
                <w:sz w:val="24"/>
                <w:highlight w:val="none"/>
              </w:rPr>
            </w:pPr>
          </w:p>
        </w:tc>
        <w:tc>
          <w:tcPr>
            <w:tcW w:w="4573" w:type="dxa"/>
            <w:noWrap w:val="0"/>
            <w:vAlign w:val="top"/>
          </w:tcPr>
          <w:p w14:paraId="36AF2256">
            <w:pPr>
              <w:keepNext w:val="0"/>
              <w:keepLines w:val="0"/>
              <w:suppressLineNumbers w:val="0"/>
              <w:adjustRightInd w:val="0"/>
              <w:snapToGrid w:val="0"/>
              <w:spacing w:before="0" w:beforeAutospacing="0" w:after="0" w:afterAutospacing="0"/>
              <w:ind w:left="0" w:right="0"/>
              <w:jc w:val="left"/>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第三次联络会</w:t>
            </w:r>
          </w:p>
        </w:tc>
        <w:tc>
          <w:tcPr>
            <w:tcW w:w="3218" w:type="dxa"/>
            <w:noWrap w:val="0"/>
            <w:vAlign w:val="top"/>
          </w:tcPr>
          <w:p w14:paraId="74DB6564">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r>
      <w:tr w14:paraId="6D22E8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1" w:type="dxa"/>
            <w:noWrap w:val="0"/>
            <w:vAlign w:val="top"/>
          </w:tcPr>
          <w:p w14:paraId="78DB585B">
            <w:pPr>
              <w:keepNext w:val="0"/>
              <w:keepLines w:val="0"/>
              <w:suppressLineNumbers w:val="0"/>
              <w:adjustRightInd w:val="0"/>
              <w:snapToGrid w:val="0"/>
              <w:spacing w:before="0" w:beforeAutospacing="0" w:after="0" w:afterAutospacing="0"/>
              <w:ind w:left="0" w:right="0"/>
              <w:jc w:val="center"/>
              <w:textAlignment w:val="baseline"/>
              <w:rPr>
                <w:rFonts w:hint="default" w:ascii="Times New Roman" w:hAnsi="Times New Roman" w:cs="Times New Roman"/>
                <w:color w:val="auto"/>
                <w:sz w:val="24"/>
                <w:highlight w:val="none"/>
              </w:rPr>
            </w:pPr>
          </w:p>
        </w:tc>
        <w:tc>
          <w:tcPr>
            <w:tcW w:w="4573" w:type="dxa"/>
            <w:noWrap w:val="0"/>
            <w:vAlign w:val="top"/>
          </w:tcPr>
          <w:p w14:paraId="0E2E1405">
            <w:pPr>
              <w:keepNext w:val="0"/>
              <w:keepLines w:val="0"/>
              <w:suppressLineNumbers w:val="0"/>
              <w:adjustRightInd w:val="0"/>
              <w:snapToGrid w:val="0"/>
              <w:spacing w:before="0" w:beforeAutospacing="0" w:after="0" w:afterAutospacing="0"/>
              <w:ind w:left="0" w:right="0"/>
              <w:jc w:val="left"/>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第四次联络会</w:t>
            </w:r>
          </w:p>
        </w:tc>
        <w:tc>
          <w:tcPr>
            <w:tcW w:w="3218" w:type="dxa"/>
            <w:noWrap w:val="0"/>
            <w:vAlign w:val="top"/>
          </w:tcPr>
          <w:p w14:paraId="118F3DC0">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r>
      <w:tr w14:paraId="14CFBB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1" w:type="dxa"/>
            <w:noWrap w:val="0"/>
            <w:vAlign w:val="center"/>
          </w:tcPr>
          <w:p w14:paraId="343ABB31">
            <w:pPr>
              <w:keepNext w:val="0"/>
              <w:keepLines w:val="0"/>
              <w:suppressLineNumbers w:val="0"/>
              <w:adjustRightInd w:val="0"/>
              <w:snapToGrid w:val="0"/>
              <w:spacing w:before="0" w:beforeAutospacing="0" w:after="0" w:afterAutospacing="0"/>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3</w:t>
            </w:r>
          </w:p>
        </w:tc>
        <w:tc>
          <w:tcPr>
            <w:tcW w:w="4573" w:type="dxa"/>
            <w:noWrap w:val="0"/>
            <w:vAlign w:val="center"/>
          </w:tcPr>
          <w:p w14:paraId="213B54F8">
            <w:pPr>
              <w:keepNext w:val="0"/>
              <w:keepLines w:val="0"/>
              <w:suppressLineNumbers w:val="0"/>
              <w:adjustRightInd w:val="0"/>
              <w:snapToGrid w:val="0"/>
              <w:spacing w:before="0" w:beforeAutospacing="0" w:after="0" w:afterAutospacing="0"/>
              <w:ind w:left="0" w:right="0"/>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详细设计（施工图设计）</w:t>
            </w:r>
          </w:p>
        </w:tc>
        <w:tc>
          <w:tcPr>
            <w:tcW w:w="3218" w:type="dxa"/>
            <w:noWrap w:val="0"/>
            <w:vAlign w:val="top"/>
          </w:tcPr>
          <w:p w14:paraId="5147FCF5">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r>
    </w:tbl>
    <w:p w14:paraId="0357BDF6">
      <w:pPr>
        <w:adjustRightInd w:val="0"/>
        <w:snapToGrid w:val="0"/>
        <w:spacing w:line="360" w:lineRule="auto"/>
        <w:ind w:firstLine="480" w:firstLineChars="200"/>
        <w:rPr>
          <w:color w:val="auto"/>
          <w:sz w:val="24"/>
          <w:highlight w:val="none"/>
        </w:rPr>
      </w:pPr>
      <w:r>
        <w:rPr>
          <w:color w:val="auto"/>
          <w:sz w:val="24"/>
          <w:highlight w:val="none"/>
        </w:rPr>
        <w:t>工程实施过程中，</w:t>
      </w:r>
      <w:r>
        <w:rPr>
          <w:rFonts w:hint="eastAsia"/>
          <w:color w:val="auto"/>
          <w:sz w:val="24"/>
          <w:highlight w:val="none"/>
          <w:lang w:eastAsia="zh-CN"/>
        </w:rPr>
        <w:t>投标方</w:t>
      </w:r>
      <w:r>
        <w:rPr>
          <w:color w:val="auto"/>
          <w:sz w:val="24"/>
          <w:highlight w:val="none"/>
        </w:rPr>
        <w:t>设备的交货顺序</w:t>
      </w:r>
      <w:r>
        <w:rPr>
          <w:rFonts w:hint="eastAsia"/>
          <w:color w:val="auto"/>
          <w:sz w:val="24"/>
          <w:highlight w:val="none"/>
        </w:rPr>
        <w:t>及交付时间</w:t>
      </w:r>
      <w:r>
        <w:rPr>
          <w:color w:val="auto"/>
          <w:sz w:val="24"/>
          <w:highlight w:val="none"/>
        </w:rPr>
        <w:t>以满足工程总进度计划的要求为原则进行设备交货。</w:t>
      </w:r>
      <w:r>
        <w:rPr>
          <w:rFonts w:hint="eastAsia"/>
          <w:color w:val="auto"/>
          <w:sz w:val="24"/>
          <w:highlight w:val="none"/>
          <w:lang w:eastAsia="zh-CN"/>
        </w:rPr>
        <w:t>投标方</w:t>
      </w:r>
      <w:r>
        <w:rPr>
          <w:color w:val="auto"/>
          <w:sz w:val="24"/>
          <w:highlight w:val="none"/>
        </w:rPr>
        <w:t>应根据上述工程进度计划，编制设备交付进度表。</w:t>
      </w:r>
    </w:p>
    <w:p w14:paraId="5A9051DC">
      <w:pPr>
        <w:adjustRightInd w:val="0"/>
        <w:snapToGrid w:val="0"/>
        <w:spacing w:line="360" w:lineRule="auto"/>
        <w:jc w:val="center"/>
        <w:rPr>
          <w:color w:val="auto"/>
          <w:sz w:val="24"/>
          <w:highlight w:val="none"/>
        </w:rPr>
      </w:pPr>
      <w:r>
        <w:rPr>
          <w:color w:val="auto"/>
          <w:sz w:val="24"/>
          <w:highlight w:val="none"/>
        </w:rPr>
        <w:t>设备交付进度表</w:t>
      </w:r>
    </w:p>
    <w:tbl>
      <w:tblPr>
        <w:tblStyle w:val="5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66"/>
        <w:gridCol w:w="4359"/>
        <w:gridCol w:w="2641"/>
      </w:tblGrid>
      <w:tr w14:paraId="185D60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466" w:type="dxa"/>
            <w:tcBorders>
              <w:top w:val="single" w:color="auto" w:sz="12" w:space="0"/>
              <w:left w:val="single" w:color="auto" w:sz="12" w:space="0"/>
              <w:bottom w:val="single" w:color="auto" w:sz="4" w:space="0"/>
              <w:right w:val="single" w:color="auto" w:sz="4" w:space="0"/>
            </w:tcBorders>
            <w:noWrap w:val="0"/>
            <w:vAlign w:val="center"/>
          </w:tcPr>
          <w:p w14:paraId="30AD0408">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宋体"/>
                <w:color w:val="auto"/>
                <w:sz w:val="24"/>
                <w:highlight w:val="none"/>
                <w:lang w:bidi="ar"/>
              </w:rPr>
              <w:t>序号</w:t>
            </w:r>
          </w:p>
        </w:tc>
        <w:tc>
          <w:tcPr>
            <w:tcW w:w="4359" w:type="dxa"/>
            <w:tcBorders>
              <w:top w:val="single" w:color="auto" w:sz="12" w:space="0"/>
              <w:left w:val="single" w:color="auto" w:sz="4" w:space="0"/>
              <w:bottom w:val="single" w:color="auto" w:sz="4" w:space="0"/>
              <w:right w:val="single" w:color="auto" w:sz="4" w:space="0"/>
            </w:tcBorders>
            <w:noWrap w:val="0"/>
            <w:vAlign w:val="center"/>
          </w:tcPr>
          <w:p w14:paraId="6A227B68">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eastAsia" w:ascii="Times New Roman" w:hAnsi="Times New Roman" w:cs="宋体"/>
                <w:color w:val="auto"/>
                <w:sz w:val="24"/>
                <w:highlight w:val="none"/>
                <w:lang w:bidi="ar"/>
              </w:rPr>
              <w:t>设备名称</w:t>
            </w:r>
          </w:p>
        </w:tc>
        <w:tc>
          <w:tcPr>
            <w:tcW w:w="2641" w:type="dxa"/>
            <w:tcBorders>
              <w:top w:val="single" w:color="auto" w:sz="12" w:space="0"/>
              <w:left w:val="single" w:color="auto" w:sz="4" w:space="0"/>
              <w:bottom w:val="single" w:color="auto" w:sz="4" w:space="0"/>
              <w:right w:val="single" w:color="auto" w:sz="12" w:space="0"/>
            </w:tcBorders>
            <w:noWrap w:val="0"/>
            <w:vAlign w:val="center"/>
          </w:tcPr>
          <w:p w14:paraId="075B8367">
            <w:pPr>
              <w:pStyle w:val="46"/>
              <w:keepNext w:val="0"/>
              <w:keepLines w:val="0"/>
              <w:widowControl w:val="0"/>
              <w:suppressLineNumbers w:val="0"/>
              <w:spacing w:before="0" w:beforeAutospacing="0" w:after="120" w:afterAutospacing="0" w:line="360" w:lineRule="auto"/>
              <w:ind w:left="31" w:leftChars="15" w:right="0"/>
              <w:jc w:val="center"/>
              <w:rPr>
                <w:rFonts w:hint="default" w:cs="Times New Roman"/>
                <w:color w:val="auto"/>
                <w:highlight w:val="none"/>
              </w:rPr>
            </w:pPr>
            <w:r>
              <w:rPr>
                <w:rFonts w:hint="eastAsia" w:ascii="Times New Roman" w:hAnsi="Times New Roman" w:cs="宋体"/>
                <w:color w:val="auto"/>
                <w:kern w:val="2"/>
                <w:highlight w:val="none"/>
                <w:lang w:val="en-US" w:eastAsia="zh-CN" w:bidi="ar"/>
              </w:rPr>
              <w:t>计划</w:t>
            </w:r>
            <w:r>
              <w:rPr>
                <w:rFonts w:hint="eastAsia" w:ascii="Times New Roman" w:hAnsi="Times New Roman" w:cs="宋体"/>
                <w:color w:val="auto"/>
                <w:kern w:val="2"/>
                <w:highlight w:val="none"/>
                <w:lang w:bidi="ar"/>
              </w:rPr>
              <w:t>交付时间</w:t>
            </w:r>
          </w:p>
        </w:tc>
      </w:tr>
      <w:tr w14:paraId="332785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6" w:type="dxa"/>
            <w:tcBorders>
              <w:top w:val="single" w:color="auto" w:sz="12" w:space="0"/>
              <w:left w:val="single" w:color="auto" w:sz="12" w:space="0"/>
              <w:bottom w:val="single" w:color="auto" w:sz="4" w:space="0"/>
              <w:right w:val="single" w:color="auto" w:sz="4" w:space="0"/>
            </w:tcBorders>
            <w:noWrap w:val="0"/>
            <w:vAlign w:val="center"/>
          </w:tcPr>
          <w:p w14:paraId="480C9725">
            <w:pPr>
              <w:keepNext w:val="0"/>
              <w:keepLines w:val="0"/>
              <w:widowControl/>
              <w:suppressLineNumbers w:val="0"/>
              <w:spacing w:before="0" w:beforeAutospacing="0" w:after="0" w:afterAutospacing="0" w:line="360" w:lineRule="auto"/>
              <w:ind w:left="0" w:right="0"/>
              <w:jc w:val="center"/>
              <w:textAlignment w:val="center"/>
              <w:rPr>
                <w:rFonts w:hint="eastAsia"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kern w:val="0"/>
                <w:sz w:val="24"/>
                <w:highlight w:val="none"/>
                <w:lang w:bidi="ar"/>
              </w:rPr>
              <w:t>1</w:t>
            </w:r>
          </w:p>
        </w:tc>
        <w:tc>
          <w:tcPr>
            <w:tcW w:w="4359" w:type="dxa"/>
            <w:tcBorders>
              <w:top w:val="single" w:color="auto" w:sz="12" w:space="0"/>
              <w:left w:val="single" w:color="auto" w:sz="4" w:space="0"/>
              <w:bottom w:val="single" w:color="auto" w:sz="4" w:space="0"/>
              <w:right w:val="single" w:color="auto" w:sz="4" w:space="0"/>
            </w:tcBorders>
            <w:noWrap w:val="0"/>
            <w:vAlign w:val="center"/>
          </w:tcPr>
          <w:p w14:paraId="72057E5B">
            <w:pPr>
              <w:keepNext w:val="0"/>
              <w:keepLines w:val="0"/>
              <w:suppressLineNumbers w:val="0"/>
              <w:snapToGrid w:val="0"/>
              <w:spacing w:before="0" w:beforeAutospacing="0" w:after="0" w:afterAutospacing="0" w:line="360" w:lineRule="auto"/>
              <w:ind w:left="0" w:right="0"/>
              <w:jc w:val="center"/>
              <w:rPr>
                <w:rFonts w:hint="default" w:ascii="Times New Roman" w:hAnsi="Times New Roman" w:cs="宋体"/>
                <w:color w:val="auto"/>
                <w:sz w:val="24"/>
                <w:highlight w:val="none"/>
                <w:lang w:bidi="ar"/>
              </w:rPr>
            </w:pPr>
            <w:r>
              <w:rPr>
                <w:rFonts w:hint="eastAsia" w:ascii="宋体" w:hAnsi="宋体" w:cs="宋体"/>
                <w:color w:val="auto"/>
                <w:kern w:val="0"/>
                <w:sz w:val="24"/>
                <w:highlight w:val="none"/>
                <w:lang w:val="en-US" w:eastAsia="zh-CN" w:bidi="ar"/>
              </w:rPr>
              <w:t>板材</w:t>
            </w:r>
          </w:p>
        </w:tc>
        <w:tc>
          <w:tcPr>
            <w:tcW w:w="2641" w:type="dxa"/>
            <w:tcBorders>
              <w:top w:val="single" w:color="auto" w:sz="12" w:space="0"/>
              <w:left w:val="single" w:color="auto" w:sz="4" w:space="0"/>
              <w:bottom w:val="single" w:color="auto" w:sz="4" w:space="0"/>
              <w:right w:val="single" w:color="auto" w:sz="12" w:space="0"/>
            </w:tcBorders>
            <w:noWrap w:val="0"/>
            <w:vAlign w:val="center"/>
          </w:tcPr>
          <w:p w14:paraId="64FFFEEA">
            <w:pPr>
              <w:pStyle w:val="46"/>
              <w:keepNext w:val="0"/>
              <w:keepLines w:val="0"/>
              <w:widowControl w:val="0"/>
              <w:suppressLineNumbers w:val="0"/>
              <w:spacing w:before="0" w:beforeAutospacing="0" w:after="120" w:afterAutospacing="0" w:line="360" w:lineRule="auto"/>
              <w:ind w:left="31" w:leftChars="15" w:right="0" w:firstLine="240" w:firstLineChars="100"/>
              <w:jc w:val="both"/>
              <w:rPr>
                <w:rFonts w:hint="default" w:ascii="Times New Roman" w:hAnsi="Times New Roman" w:cs="宋体"/>
                <w:color w:val="auto"/>
                <w:kern w:val="2"/>
                <w:highlight w:val="none"/>
                <w:lang w:bidi="ar"/>
              </w:rPr>
            </w:pPr>
            <w:r>
              <w:rPr>
                <w:rFonts w:hint="eastAsia" w:cs="Times New Roman"/>
                <w:color w:val="auto"/>
                <w:sz w:val="24"/>
                <w:highlight w:val="none"/>
                <w:lang w:val="en-US" w:eastAsia="zh-CN"/>
              </w:rPr>
              <w:t>2026</w:t>
            </w:r>
            <w:r>
              <w:rPr>
                <w:rFonts w:hint="eastAsia" w:cs="Times New Roman"/>
                <w:color w:val="auto"/>
                <w:sz w:val="24"/>
                <w:highlight w:val="none"/>
              </w:rPr>
              <w:t>年</w:t>
            </w:r>
            <w:r>
              <w:rPr>
                <w:rFonts w:hint="eastAsia" w:cs="Times New Roman"/>
                <w:color w:val="auto"/>
                <w:sz w:val="24"/>
                <w:highlight w:val="none"/>
                <w:lang w:val="en-US" w:eastAsia="zh-CN"/>
              </w:rPr>
              <w:t>9</w:t>
            </w:r>
            <w:r>
              <w:rPr>
                <w:rFonts w:hint="eastAsia" w:cs="Times New Roman"/>
                <w:color w:val="auto"/>
                <w:sz w:val="24"/>
                <w:highlight w:val="none"/>
              </w:rPr>
              <w:t>月</w:t>
            </w:r>
            <w:r>
              <w:rPr>
                <w:rFonts w:hint="eastAsia" w:cs="Times New Roman"/>
                <w:color w:val="auto"/>
                <w:sz w:val="24"/>
                <w:highlight w:val="none"/>
                <w:lang w:val="en-US" w:eastAsia="zh-CN"/>
              </w:rPr>
              <w:t>1</w:t>
            </w:r>
            <w:r>
              <w:rPr>
                <w:rFonts w:hint="eastAsia" w:cs="Times New Roman"/>
                <w:color w:val="auto"/>
                <w:sz w:val="24"/>
                <w:highlight w:val="none"/>
              </w:rPr>
              <w:t>日</w:t>
            </w:r>
          </w:p>
        </w:tc>
      </w:tr>
      <w:tr w14:paraId="211FC2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5FD86E32">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kern w:val="0"/>
                <w:sz w:val="24"/>
                <w:highlight w:val="none"/>
                <w:lang w:bidi="ar"/>
              </w:rPr>
              <w:t>2</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734B7076">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循环泵</w:t>
            </w:r>
          </w:p>
        </w:tc>
        <w:tc>
          <w:tcPr>
            <w:tcW w:w="2641" w:type="dxa"/>
            <w:tcBorders>
              <w:top w:val="single" w:color="auto" w:sz="4" w:space="0"/>
              <w:left w:val="single" w:color="auto" w:sz="4" w:space="0"/>
              <w:bottom w:val="single" w:color="auto" w:sz="4" w:space="0"/>
              <w:right w:val="single" w:color="auto" w:sz="12" w:space="0"/>
            </w:tcBorders>
            <w:noWrap w:val="0"/>
            <w:vAlign w:val="center"/>
          </w:tcPr>
          <w:p w14:paraId="2D8E3C77">
            <w:pPr>
              <w:keepNext w:val="0"/>
              <w:keepLines w:val="0"/>
              <w:widowControl/>
              <w:suppressLineNumbers w:val="0"/>
              <w:spacing w:before="0" w:beforeAutospacing="0" w:after="0" w:afterAutospacing="0" w:line="360" w:lineRule="auto"/>
              <w:ind w:left="0" w:right="0" w:firstLine="240" w:firstLineChars="100"/>
              <w:jc w:val="both"/>
              <w:textAlignment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2026</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11</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 </w:t>
            </w:r>
            <w:r>
              <w:rPr>
                <w:rFonts w:hint="eastAsia" w:ascii="Times New Roman" w:hAnsi="Times New Roman" w:cs="Times New Roman"/>
                <w:color w:val="auto"/>
                <w:sz w:val="24"/>
                <w:highlight w:val="none"/>
              </w:rPr>
              <w:t>日</w:t>
            </w:r>
          </w:p>
        </w:tc>
      </w:tr>
      <w:tr w14:paraId="77B00C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5249DF19">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kern w:val="0"/>
                <w:sz w:val="24"/>
                <w:highlight w:val="none"/>
                <w:lang w:bidi="ar"/>
              </w:rPr>
              <w:t>3</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714BCB49">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氧化风机</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64684F07">
            <w:pPr>
              <w:keepNext w:val="0"/>
              <w:keepLines w:val="0"/>
              <w:suppressLineNumbers w:val="0"/>
              <w:spacing w:before="0" w:beforeAutospacing="0" w:after="0" w:afterAutospacing="0"/>
              <w:ind w:left="0" w:right="0" w:firstLine="240" w:firstLineChars="100"/>
              <w:jc w:val="both"/>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2026</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11</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 </w:t>
            </w:r>
            <w:r>
              <w:rPr>
                <w:rFonts w:hint="eastAsia" w:ascii="Times New Roman" w:hAnsi="Times New Roman" w:cs="Times New Roman"/>
                <w:color w:val="auto"/>
                <w:sz w:val="24"/>
                <w:highlight w:val="none"/>
              </w:rPr>
              <w:t>日</w:t>
            </w:r>
          </w:p>
        </w:tc>
      </w:tr>
      <w:tr w14:paraId="00D900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5A4CD2BC">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kern w:val="0"/>
                <w:sz w:val="24"/>
                <w:highlight w:val="none"/>
                <w:lang w:bidi="ar"/>
              </w:rPr>
              <w:t>4</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5A81B184">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真空皮带机</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7066D046">
            <w:pPr>
              <w:keepNext w:val="0"/>
              <w:keepLines w:val="0"/>
              <w:suppressLineNumbers w:val="0"/>
              <w:spacing w:before="0" w:beforeAutospacing="0" w:after="0" w:afterAutospacing="0"/>
              <w:ind w:left="0" w:right="0" w:firstLine="240" w:firstLineChars="100"/>
              <w:jc w:val="both"/>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2026</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11</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 </w:t>
            </w:r>
            <w:r>
              <w:rPr>
                <w:rFonts w:hint="eastAsia" w:ascii="Times New Roman" w:hAnsi="Times New Roman" w:cs="Times New Roman"/>
                <w:color w:val="auto"/>
                <w:sz w:val="24"/>
                <w:highlight w:val="none"/>
              </w:rPr>
              <w:t>日</w:t>
            </w:r>
          </w:p>
        </w:tc>
      </w:tr>
      <w:tr w14:paraId="16630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71037A41">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2"/>
                <w:sz w:val="24"/>
                <w:szCs w:val="24"/>
                <w:highlight w:val="none"/>
                <w:lang w:val="en-US" w:eastAsia="zh-CN" w:bidi="ar-SA"/>
              </w:rPr>
            </w:pPr>
            <w:r>
              <w:rPr>
                <w:rFonts w:hint="default" w:ascii="Times New Roman" w:hAnsi="Times New Roman" w:cs="Times New Roman"/>
                <w:color w:val="auto"/>
                <w:kern w:val="0"/>
                <w:sz w:val="24"/>
                <w:highlight w:val="none"/>
                <w:lang w:bidi="ar"/>
              </w:rPr>
              <w:t>5</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0DB4C4EF">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浆液泵</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18C9EE6B">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2026</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11</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 </w:t>
            </w:r>
            <w:r>
              <w:rPr>
                <w:rFonts w:hint="eastAsia" w:ascii="Times New Roman" w:hAnsi="Times New Roman" w:cs="Times New Roman"/>
                <w:color w:val="auto"/>
                <w:sz w:val="24"/>
                <w:highlight w:val="none"/>
              </w:rPr>
              <w:t>日</w:t>
            </w:r>
          </w:p>
        </w:tc>
      </w:tr>
      <w:tr w14:paraId="11D99A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6B210D2A">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0"/>
                <w:sz w:val="24"/>
                <w:szCs w:val="24"/>
                <w:highlight w:val="none"/>
                <w:lang w:val="en-US" w:eastAsia="zh-CN" w:bidi="ar"/>
              </w:rPr>
            </w:pPr>
            <w:r>
              <w:rPr>
                <w:rFonts w:hint="eastAsia" w:ascii="Times New Roman" w:hAnsi="Times New Roman" w:cs="Times New Roman"/>
                <w:color w:val="auto"/>
                <w:kern w:val="0"/>
                <w:sz w:val="24"/>
                <w:highlight w:val="none"/>
                <w:lang w:bidi="ar"/>
              </w:rPr>
              <w:t>6</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7D2F5434">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2"/>
                <w:sz w:val="24"/>
                <w:szCs w:val="24"/>
                <w:highlight w:val="none"/>
                <w:lang w:val="en-US" w:eastAsia="zh-CN" w:bidi="ar-SA"/>
              </w:rPr>
            </w:pPr>
            <w:r>
              <w:rPr>
                <w:rFonts w:hint="eastAsia" w:ascii="宋体" w:hAnsi="宋体" w:cs="宋体"/>
                <w:color w:val="auto"/>
                <w:kern w:val="0"/>
                <w:sz w:val="24"/>
                <w:highlight w:val="none"/>
                <w:lang w:bidi="ar"/>
              </w:rPr>
              <w:t>旋流站</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3B835732">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sz w:val="21"/>
                <w:szCs w:val="24"/>
                <w:highlight w:val="none"/>
                <w:lang w:val="en-US" w:eastAsia="zh-CN" w:bidi="ar-SA"/>
              </w:rPr>
            </w:pPr>
            <w:r>
              <w:rPr>
                <w:rFonts w:hint="eastAsia" w:ascii="Times New Roman" w:hAnsi="Times New Roman" w:cs="Times New Roman"/>
                <w:color w:val="auto"/>
                <w:sz w:val="24"/>
                <w:highlight w:val="none"/>
                <w:lang w:val="en-US" w:eastAsia="zh-CN"/>
              </w:rPr>
              <w:t>2026</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11</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 1 </w:t>
            </w:r>
            <w:r>
              <w:rPr>
                <w:rFonts w:hint="eastAsia" w:ascii="Times New Roman" w:hAnsi="Times New Roman" w:cs="Times New Roman"/>
                <w:color w:val="auto"/>
                <w:sz w:val="24"/>
                <w:highlight w:val="none"/>
              </w:rPr>
              <w:t>日</w:t>
            </w:r>
          </w:p>
        </w:tc>
      </w:tr>
      <w:tr w14:paraId="551135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2C2DFC35">
            <w:pPr>
              <w:keepNext w:val="0"/>
              <w:keepLines w:val="0"/>
              <w:widowControl/>
              <w:suppressLineNumbers w:val="0"/>
              <w:spacing w:before="0" w:beforeAutospacing="0" w:after="0" w:afterAutospacing="0" w:line="360" w:lineRule="auto"/>
              <w:ind w:left="0" w:right="0"/>
              <w:jc w:val="center"/>
              <w:textAlignment w:val="center"/>
              <w:rPr>
                <w:rFonts w:hint="eastAsia" w:ascii="Times New Roman" w:hAnsi="Times New Roman"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rPr>
              <w:t>7</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08F5B271">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bookmarkStart w:id="283" w:name="OLE_LINK51"/>
            <w:r>
              <w:rPr>
                <w:rFonts w:hint="eastAsia" w:ascii="宋体" w:hAnsi="宋体" w:cs="宋体"/>
                <w:color w:val="auto"/>
                <w:kern w:val="0"/>
                <w:sz w:val="24"/>
                <w:highlight w:val="none"/>
                <w:lang w:bidi="ar"/>
              </w:rPr>
              <w:t>脱硫废水处理装置</w:t>
            </w:r>
            <w:bookmarkEnd w:id="283"/>
          </w:p>
        </w:tc>
        <w:tc>
          <w:tcPr>
            <w:tcW w:w="2641" w:type="dxa"/>
            <w:tcBorders>
              <w:top w:val="single" w:color="auto" w:sz="4" w:space="0"/>
              <w:left w:val="single" w:color="auto" w:sz="4" w:space="0"/>
              <w:bottom w:val="single" w:color="auto" w:sz="4" w:space="0"/>
              <w:right w:val="single" w:color="auto" w:sz="12" w:space="0"/>
            </w:tcBorders>
            <w:noWrap w:val="0"/>
            <w:vAlign w:val="top"/>
          </w:tcPr>
          <w:p w14:paraId="30B07A8C">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2026</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12</w:t>
            </w:r>
            <w:r>
              <w:rPr>
                <w:rFonts w:hint="eastAsia" w:ascii="Times New Roman" w:hAnsi="Times New Roman" w:cs="Times New Roman"/>
                <w:color w:val="auto"/>
                <w:sz w:val="24"/>
                <w:highlight w:val="none"/>
                <w:lang w:val="en-US" w:eastAsia="zh-CN"/>
              </w:rPr>
              <w:t xml:space="preserve"> </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 </w:t>
            </w:r>
            <w:r>
              <w:rPr>
                <w:rFonts w:hint="eastAsia" w:ascii="Times New Roman" w:hAnsi="Times New Roman" w:cs="Times New Roman"/>
                <w:color w:val="auto"/>
                <w:sz w:val="24"/>
                <w:highlight w:val="none"/>
              </w:rPr>
              <w:t>日</w:t>
            </w:r>
          </w:p>
        </w:tc>
      </w:tr>
      <w:tr w14:paraId="7001E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37FDE148">
            <w:pPr>
              <w:keepNext w:val="0"/>
              <w:keepLines w:val="0"/>
              <w:widowControl/>
              <w:suppressLineNumbers w:val="0"/>
              <w:spacing w:before="0" w:beforeAutospacing="0" w:after="0" w:afterAutospacing="0" w:line="360" w:lineRule="auto"/>
              <w:ind w:left="0" w:right="0"/>
              <w:jc w:val="center"/>
              <w:textAlignment w:val="center"/>
              <w:rPr>
                <w:rFonts w:hint="eastAsia" w:ascii="Times New Roman" w:hAnsi="Times New Roman"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rPr>
              <w:t>8</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3BBD777D">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2"/>
                <w:sz w:val="24"/>
                <w:szCs w:val="24"/>
                <w:highlight w:val="none"/>
                <w:lang w:val="en-US" w:eastAsia="zh-CN" w:bidi="ar-SA"/>
              </w:rPr>
            </w:pPr>
            <w:r>
              <w:rPr>
                <w:rFonts w:hint="eastAsia" w:ascii="宋体" w:hAnsi="宋体" w:cs="宋体"/>
                <w:color w:val="auto"/>
                <w:kern w:val="0"/>
                <w:sz w:val="24"/>
                <w:highlight w:val="none"/>
                <w:lang w:bidi="ar"/>
              </w:rPr>
              <w:t>澄清器</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23C9648F">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sz w:val="21"/>
                <w:szCs w:val="24"/>
                <w:highlight w:val="none"/>
                <w:lang w:val="en-US" w:eastAsia="zh-CN" w:bidi="ar-SA"/>
              </w:rPr>
            </w:pPr>
            <w:r>
              <w:rPr>
                <w:rFonts w:hint="eastAsia" w:ascii="Times New Roman" w:hAnsi="Times New Roman" w:cs="Times New Roman"/>
                <w:color w:val="auto"/>
                <w:sz w:val="24"/>
                <w:highlight w:val="none"/>
                <w:lang w:val="en-US" w:eastAsia="zh-CN"/>
              </w:rPr>
              <w:t>2026</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12</w:t>
            </w:r>
            <w:r>
              <w:rPr>
                <w:rFonts w:hint="eastAsia" w:ascii="Times New Roman" w:hAnsi="Times New Roman" w:cs="Times New Roman"/>
                <w:color w:val="auto"/>
                <w:sz w:val="24"/>
                <w:highlight w:val="none"/>
                <w:lang w:val="en-US" w:eastAsia="zh-CN"/>
              </w:rPr>
              <w:t xml:space="preserve"> </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 </w:t>
            </w:r>
            <w:r>
              <w:rPr>
                <w:rFonts w:hint="eastAsia" w:ascii="Times New Roman" w:hAnsi="Times New Roman" w:cs="Times New Roman"/>
                <w:color w:val="auto"/>
                <w:sz w:val="24"/>
                <w:highlight w:val="none"/>
              </w:rPr>
              <w:t>日</w:t>
            </w:r>
          </w:p>
        </w:tc>
      </w:tr>
      <w:tr w14:paraId="4B3709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0EA877DE">
            <w:pPr>
              <w:keepNext w:val="0"/>
              <w:keepLines w:val="0"/>
              <w:widowControl/>
              <w:suppressLineNumbers w:val="0"/>
              <w:spacing w:before="0" w:beforeAutospacing="0" w:after="0" w:afterAutospacing="0" w:line="360" w:lineRule="auto"/>
              <w:ind w:left="0" w:right="0"/>
              <w:jc w:val="center"/>
              <w:textAlignment w:val="center"/>
              <w:rPr>
                <w:rFonts w:hint="eastAsia" w:ascii="Times New Roman" w:hAnsi="Times New Roman"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rPr>
              <w:t>9</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4FD35F60">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板框压滤机</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46A0B2FA">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2026</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12</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15 </w:t>
            </w:r>
            <w:r>
              <w:rPr>
                <w:rFonts w:hint="eastAsia" w:ascii="Times New Roman" w:hAnsi="Times New Roman" w:cs="Times New Roman"/>
                <w:color w:val="auto"/>
                <w:sz w:val="24"/>
                <w:highlight w:val="none"/>
              </w:rPr>
              <w:t>日</w:t>
            </w:r>
          </w:p>
        </w:tc>
      </w:tr>
      <w:tr w14:paraId="06F0D0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5C40833F">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2"/>
                <w:sz w:val="24"/>
                <w:szCs w:val="24"/>
                <w:highlight w:val="none"/>
                <w:lang w:val="en-US" w:eastAsia="zh-CN" w:bidi="ar-SA"/>
              </w:rPr>
            </w:pPr>
            <w:r>
              <w:rPr>
                <w:rFonts w:hint="eastAsia" w:ascii="Times New Roman" w:hAnsi="Times New Roman" w:cs="Times New Roman"/>
                <w:color w:val="auto"/>
                <w:kern w:val="2"/>
                <w:sz w:val="24"/>
                <w:szCs w:val="24"/>
                <w:highlight w:val="none"/>
                <w:lang w:val="en-US" w:eastAsia="zh-CN" w:bidi="ar-SA"/>
              </w:rPr>
              <w:t>10</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3D5C89DE">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阀</w:t>
            </w:r>
            <w:r>
              <w:rPr>
                <w:rFonts w:hint="eastAsia" w:ascii="宋体" w:hAnsi="宋体" w:cs="宋体"/>
                <w:color w:val="auto"/>
                <w:kern w:val="0"/>
                <w:sz w:val="24"/>
                <w:highlight w:val="none"/>
                <w:lang w:val="en-US" w:eastAsia="zh-CN" w:bidi="ar"/>
              </w:rPr>
              <w:t>门</w:t>
            </w:r>
          </w:p>
        </w:tc>
        <w:tc>
          <w:tcPr>
            <w:tcW w:w="2641" w:type="dxa"/>
            <w:tcBorders>
              <w:top w:val="single" w:color="auto" w:sz="4" w:space="0"/>
              <w:left w:val="single" w:color="auto" w:sz="4" w:space="0"/>
              <w:bottom w:val="single" w:color="auto" w:sz="4" w:space="0"/>
              <w:right w:val="single" w:color="auto" w:sz="12" w:space="0"/>
            </w:tcBorders>
            <w:noWrap w:val="0"/>
            <w:vAlign w:val="center"/>
          </w:tcPr>
          <w:p w14:paraId="278535FB">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2026</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10</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15 </w:t>
            </w:r>
            <w:r>
              <w:rPr>
                <w:rFonts w:hint="eastAsia" w:ascii="Times New Roman" w:hAnsi="Times New Roman" w:cs="Times New Roman"/>
                <w:color w:val="auto"/>
                <w:sz w:val="24"/>
                <w:highlight w:val="none"/>
              </w:rPr>
              <w:t>日</w:t>
            </w:r>
          </w:p>
        </w:tc>
      </w:tr>
      <w:tr w14:paraId="62873F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0373B61A">
            <w:pPr>
              <w:keepNext w:val="0"/>
              <w:keepLines w:val="0"/>
              <w:widowControl/>
              <w:suppressLineNumbers w:val="0"/>
              <w:spacing w:before="0" w:beforeAutospacing="0" w:after="0" w:afterAutospacing="0" w:line="360" w:lineRule="auto"/>
              <w:ind w:left="0" w:right="0"/>
              <w:jc w:val="center"/>
              <w:textAlignment w:val="center"/>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rPr>
              <w:t>1</w:t>
            </w:r>
            <w:r>
              <w:rPr>
                <w:rFonts w:hint="eastAsia" w:ascii="Times New Roman" w:hAnsi="Times New Roman" w:cs="Times New Roman"/>
                <w:color w:val="auto"/>
                <w:sz w:val="24"/>
                <w:highlight w:val="none"/>
                <w:lang w:val="en-US" w:eastAsia="zh-CN"/>
              </w:rPr>
              <w:t>1</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0EB15FF5">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起吊设施</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13E554FA">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2026</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12</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15 </w:t>
            </w:r>
            <w:r>
              <w:rPr>
                <w:rFonts w:hint="eastAsia" w:ascii="Times New Roman" w:hAnsi="Times New Roman" w:cs="Times New Roman"/>
                <w:color w:val="auto"/>
                <w:sz w:val="24"/>
                <w:highlight w:val="none"/>
              </w:rPr>
              <w:t>日</w:t>
            </w:r>
          </w:p>
        </w:tc>
      </w:tr>
      <w:tr w14:paraId="15AD8A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30E9FBCA">
            <w:pPr>
              <w:keepNext w:val="0"/>
              <w:keepLines w:val="0"/>
              <w:widowControl/>
              <w:suppressLineNumbers w:val="0"/>
              <w:spacing w:before="0" w:beforeAutospacing="0" w:after="0" w:afterAutospacing="0" w:line="360" w:lineRule="auto"/>
              <w:ind w:left="0" w:right="0"/>
              <w:jc w:val="center"/>
              <w:textAlignment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kern w:val="0"/>
                <w:sz w:val="24"/>
                <w:highlight w:val="none"/>
                <w:lang w:bidi="ar"/>
              </w:rPr>
              <w:t>1</w:t>
            </w:r>
            <w:r>
              <w:rPr>
                <w:rFonts w:hint="eastAsia" w:ascii="Times New Roman" w:hAnsi="Times New Roman" w:cs="Times New Roman"/>
                <w:color w:val="auto"/>
                <w:kern w:val="0"/>
                <w:sz w:val="24"/>
                <w:highlight w:val="none"/>
                <w:lang w:val="en-US" w:eastAsia="zh-CN" w:bidi="ar"/>
              </w:rPr>
              <w:t>2</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7B15D3A0">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水泵</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2BE05AF2">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w:t>
            </w:r>
            <w:r>
              <w:rPr>
                <w:rFonts w:hint="eastAsia" w:cs="Times New Roman"/>
                <w:color w:val="auto"/>
                <w:sz w:val="24"/>
                <w:highlight w:val="none"/>
                <w:lang w:val="en-US" w:eastAsia="zh-CN"/>
              </w:rPr>
              <w:t>7</w:t>
            </w:r>
            <w:r>
              <w:rPr>
                <w:rFonts w:hint="eastAsia" w:ascii="Times New Roman" w:hAnsi="Times New Roman" w:cs="Times New Roman"/>
                <w:color w:val="auto"/>
                <w:sz w:val="24"/>
                <w:highlight w:val="none"/>
              </w:rPr>
              <w:t>年</w:t>
            </w:r>
            <w:r>
              <w:rPr>
                <w:rFonts w:hint="eastAsia" w:ascii="Times New Roman" w:hAnsi="Times New Roman" w:cs="Times New Roman"/>
                <w:color w:val="auto"/>
                <w:sz w:val="24"/>
                <w:highlight w:val="none"/>
                <w:lang w:val="en-US" w:eastAsia="zh-CN"/>
              </w:rPr>
              <w:t xml:space="preserve"> </w:t>
            </w:r>
            <w:r>
              <w:rPr>
                <w:rFonts w:hint="eastAsia" w:cs="Times New Roman"/>
                <w:color w:val="auto"/>
                <w:sz w:val="24"/>
                <w:highlight w:val="none"/>
                <w:lang w:val="en-US" w:eastAsia="zh-CN"/>
              </w:rPr>
              <w:t>3</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15</w:t>
            </w:r>
            <w:r>
              <w:rPr>
                <w:rFonts w:hint="eastAsia" w:ascii="Times New Roman" w:hAnsi="Times New Roman" w:cs="Times New Roman"/>
                <w:color w:val="auto"/>
                <w:sz w:val="24"/>
                <w:highlight w:val="none"/>
              </w:rPr>
              <w:t>日</w:t>
            </w:r>
          </w:p>
        </w:tc>
      </w:tr>
      <w:tr w14:paraId="6D504E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648D8F35">
            <w:pPr>
              <w:keepNext w:val="0"/>
              <w:keepLines w:val="0"/>
              <w:widowControl/>
              <w:suppressLineNumbers w:val="0"/>
              <w:spacing w:before="0" w:beforeAutospacing="0" w:after="0" w:afterAutospacing="0" w:line="360" w:lineRule="auto"/>
              <w:ind w:left="0" w:right="0"/>
              <w:jc w:val="center"/>
              <w:textAlignment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kern w:val="0"/>
                <w:sz w:val="24"/>
                <w:highlight w:val="none"/>
                <w:lang w:bidi="ar"/>
              </w:rPr>
              <w:t>1</w:t>
            </w:r>
            <w:r>
              <w:rPr>
                <w:rFonts w:hint="eastAsia" w:ascii="Times New Roman" w:hAnsi="Times New Roman" w:cs="Times New Roman"/>
                <w:color w:val="auto"/>
                <w:kern w:val="0"/>
                <w:sz w:val="24"/>
                <w:highlight w:val="none"/>
                <w:lang w:val="en-US" w:eastAsia="zh-CN" w:bidi="ar"/>
              </w:rPr>
              <w:t>3</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4D467F0C">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搅拌器</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7CFC5276">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w:t>
            </w:r>
            <w:r>
              <w:rPr>
                <w:rFonts w:hint="eastAsia" w:cs="Times New Roman"/>
                <w:color w:val="auto"/>
                <w:sz w:val="24"/>
                <w:highlight w:val="none"/>
                <w:lang w:val="en-US" w:eastAsia="zh-CN"/>
              </w:rPr>
              <w:t>7</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3</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15 </w:t>
            </w:r>
            <w:r>
              <w:rPr>
                <w:rFonts w:hint="eastAsia" w:ascii="Times New Roman" w:hAnsi="Times New Roman" w:cs="Times New Roman"/>
                <w:color w:val="auto"/>
                <w:sz w:val="24"/>
                <w:highlight w:val="none"/>
              </w:rPr>
              <w:t>日</w:t>
            </w:r>
          </w:p>
        </w:tc>
      </w:tr>
      <w:tr w14:paraId="7B764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4C967575">
            <w:pPr>
              <w:keepNext w:val="0"/>
              <w:keepLines w:val="0"/>
              <w:widowControl/>
              <w:suppressLineNumbers w:val="0"/>
              <w:spacing w:before="0" w:beforeAutospacing="0" w:after="0" w:afterAutospacing="0" w:line="360" w:lineRule="auto"/>
              <w:ind w:left="0" w:right="0"/>
              <w:jc w:val="center"/>
              <w:textAlignment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kern w:val="0"/>
                <w:sz w:val="24"/>
                <w:highlight w:val="none"/>
                <w:lang w:bidi="ar"/>
              </w:rPr>
              <w:t>1</w:t>
            </w:r>
            <w:r>
              <w:rPr>
                <w:rFonts w:hint="eastAsia" w:ascii="Times New Roman" w:hAnsi="Times New Roman" w:cs="Times New Roman"/>
                <w:color w:val="auto"/>
                <w:kern w:val="0"/>
                <w:sz w:val="24"/>
                <w:highlight w:val="none"/>
                <w:lang w:val="en-US" w:eastAsia="zh-CN" w:bidi="ar"/>
              </w:rPr>
              <w:t>4</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2374EEBA">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喷淋母管</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750CFEA9">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w:t>
            </w:r>
            <w:r>
              <w:rPr>
                <w:rFonts w:hint="eastAsia" w:cs="Times New Roman"/>
                <w:color w:val="auto"/>
                <w:sz w:val="24"/>
                <w:highlight w:val="none"/>
                <w:lang w:val="en-US" w:eastAsia="zh-CN"/>
              </w:rPr>
              <w:t>7</w:t>
            </w:r>
            <w:r>
              <w:rPr>
                <w:rFonts w:hint="eastAsia" w:ascii="Times New Roman" w:hAnsi="Times New Roman" w:cs="Times New Roman"/>
                <w:color w:val="auto"/>
                <w:sz w:val="24"/>
                <w:highlight w:val="none"/>
              </w:rPr>
              <w:t>年</w:t>
            </w:r>
            <w:r>
              <w:rPr>
                <w:rFonts w:hint="eastAsia" w:ascii="Times New Roman" w:hAnsi="Times New Roman" w:cs="Times New Roman"/>
                <w:color w:val="auto"/>
                <w:sz w:val="24"/>
                <w:highlight w:val="none"/>
                <w:lang w:val="en-US" w:eastAsia="zh-CN"/>
              </w:rPr>
              <w:t xml:space="preserve"> </w:t>
            </w:r>
            <w:r>
              <w:rPr>
                <w:rFonts w:hint="eastAsia" w:cs="Times New Roman"/>
                <w:color w:val="auto"/>
                <w:sz w:val="24"/>
                <w:highlight w:val="none"/>
                <w:lang w:val="en-US" w:eastAsia="zh-CN"/>
              </w:rPr>
              <w:t>3</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 15</w:t>
            </w:r>
            <w:r>
              <w:rPr>
                <w:rFonts w:hint="eastAsia" w:ascii="Times New Roman" w:hAnsi="Times New Roman" w:cs="Times New Roman"/>
                <w:color w:val="auto"/>
                <w:sz w:val="24"/>
                <w:highlight w:val="none"/>
              </w:rPr>
              <w:t>日</w:t>
            </w:r>
          </w:p>
        </w:tc>
      </w:tr>
      <w:tr w14:paraId="5624A9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2201A55D">
            <w:pPr>
              <w:keepNext w:val="0"/>
              <w:keepLines w:val="0"/>
              <w:widowControl/>
              <w:suppressLineNumbers w:val="0"/>
              <w:spacing w:before="0" w:beforeAutospacing="0" w:after="0" w:afterAutospacing="0" w:line="360" w:lineRule="auto"/>
              <w:ind w:left="0" w:right="0"/>
              <w:jc w:val="center"/>
              <w:textAlignment w:val="center"/>
              <w:rPr>
                <w:rFonts w:hint="eastAsia" w:ascii="Times New Roman" w:hAnsi="Times New Roman" w:eastAsia="宋体" w:cs="Times New Roman"/>
                <w:color w:val="auto"/>
                <w:kern w:val="2"/>
                <w:sz w:val="24"/>
                <w:szCs w:val="24"/>
                <w:highlight w:val="none"/>
                <w:lang w:val="en-US" w:eastAsia="zh-CN" w:bidi="ar-SA"/>
              </w:rPr>
            </w:pPr>
            <w:r>
              <w:rPr>
                <w:rFonts w:hint="default" w:ascii="Times New Roman" w:hAnsi="Times New Roman" w:cs="Times New Roman"/>
                <w:color w:val="auto"/>
                <w:kern w:val="0"/>
                <w:sz w:val="24"/>
                <w:highlight w:val="none"/>
                <w:lang w:bidi="ar"/>
              </w:rPr>
              <w:t>1</w:t>
            </w:r>
            <w:r>
              <w:rPr>
                <w:rFonts w:hint="eastAsia" w:ascii="Times New Roman" w:hAnsi="Times New Roman" w:cs="Times New Roman"/>
                <w:color w:val="auto"/>
                <w:kern w:val="0"/>
                <w:sz w:val="24"/>
                <w:highlight w:val="none"/>
                <w:lang w:val="en-US" w:eastAsia="zh-CN" w:bidi="ar"/>
              </w:rPr>
              <w:t>5</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655C0273">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吸收塔喷嘴</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5BDFA24F">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w:t>
            </w:r>
            <w:r>
              <w:rPr>
                <w:rFonts w:hint="eastAsia" w:cs="Times New Roman"/>
                <w:color w:val="auto"/>
                <w:sz w:val="24"/>
                <w:highlight w:val="none"/>
                <w:lang w:val="en-US" w:eastAsia="zh-CN"/>
              </w:rPr>
              <w:t>27</w:t>
            </w:r>
            <w:r>
              <w:rPr>
                <w:rFonts w:hint="eastAsia" w:ascii="Times New Roman" w:hAnsi="Times New Roman" w:cs="Times New Roman"/>
                <w:color w:val="auto"/>
                <w:sz w:val="24"/>
                <w:highlight w:val="none"/>
              </w:rPr>
              <w:t>年</w:t>
            </w:r>
            <w:r>
              <w:rPr>
                <w:rFonts w:hint="eastAsia" w:ascii="Times New Roman" w:hAnsi="Times New Roman" w:cs="Times New Roman"/>
                <w:color w:val="auto"/>
                <w:sz w:val="24"/>
                <w:highlight w:val="none"/>
                <w:lang w:val="en-US" w:eastAsia="zh-CN"/>
              </w:rPr>
              <w:t xml:space="preserve"> </w:t>
            </w:r>
            <w:r>
              <w:rPr>
                <w:rFonts w:hint="eastAsia" w:cs="Times New Roman"/>
                <w:color w:val="auto"/>
                <w:sz w:val="24"/>
                <w:highlight w:val="none"/>
                <w:lang w:val="en-US" w:eastAsia="zh-CN"/>
              </w:rPr>
              <w:t>3</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 15</w:t>
            </w:r>
            <w:r>
              <w:rPr>
                <w:rFonts w:hint="eastAsia" w:ascii="Times New Roman" w:hAnsi="Times New Roman" w:cs="Times New Roman"/>
                <w:color w:val="auto"/>
                <w:sz w:val="24"/>
                <w:highlight w:val="none"/>
              </w:rPr>
              <w:t>日</w:t>
            </w:r>
          </w:p>
        </w:tc>
      </w:tr>
      <w:tr w14:paraId="5DF9BF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2EDB256B">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2"/>
                <w:sz w:val="24"/>
                <w:szCs w:val="24"/>
                <w:highlight w:val="none"/>
                <w:lang w:val="en-US" w:eastAsia="zh-CN" w:bidi="ar-SA"/>
              </w:rPr>
            </w:pPr>
            <w:r>
              <w:rPr>
                <w:rFonts w:hint="eastAsia" w:ascii="Times New Roman" w:hAnsi="Times New Roman" w:cs="Times New Roman"/>
                <w:color w:val="auto"/>
                <w:kern w:val="2"/>
                <w:sz w:val="24"/>
                <w:szCs w:val="24"/>
                <w:highlight w:val="none"/>
                <w:lang w:val="en-US" w:eastAsia="zh-CN" w:bidi="ar-SA"/>
              </w:rPr>
              <w:t>16</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34FF2231">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val="en-US" w:eastAsia="zh-CN" w:bidi="ar"/>
              </w:rPr>
              <w:t>冷凝湿膜</w:t>
            </w:r>
            <w:r>
              <w:rPr>
                <w:rFonts w:hint="eastAsia" w:ascii="宋体" w:hAnsi="宋体" w:cs="宋体"/>
                <w:color w:val="auto"/>
                <w:kern w:val="0"/>
                <w:sz w:val="24"/>
                <w:highlight w:val="none"/>
                <w:lang w:bidi="ar"/>
              </w:rPr>
              <w:t>除尘</w:t>
            </w: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val="en-US" w:eastAsia="zh-CN" w:bidi="ar"/>
              </w:rPr>
              <w:t>除雾</w:t>
            </w:r>
            <w:r>
              <w:rPr>
                <w:rFonts w:hint="eastAsia" w:ascii="宋体" w:hAnsi="宋体" w:cs="宋体"/>
                <w:color w:val="auto"/>
                <w:kern w:val="0"/>
                <w:sz w:val="24"/>
                <w:highlight w:val="none"/>
                <w:lang w:bidi="ar"/>
              </w:rPr>
              <w:t>器</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2EBB701B">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w:t>
            </w:r>
            <w:r>
              <w:rPr>
                <w:rFonts w:hint="eastAsia" w:cs="Times New Roman"/>
                <w:color w:val="auto"/>
                <w:sz w:val="24"/>
                <w:highlight w:val="none"/>
                <w:lang w:val="en-US" w:eastAsia="zh-CN"/>
              </w:rPr>
              <w:t>7</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4</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25</w:t>
            </w:r>
            <w:r>
              <w:rPr>
                <w:rFonts w:hint="eastAsia" w:ascii="Times New Roman" w:hAnsi="Times New Roman" w:cs="Times New Roman"/>
                <w:color w:val="auto"/>
                <w:sz w:val="24"/>
                <w:highlight w:val="none"/>
              </w:rPr>
              <w:t>日</w:t>
            </w:r>
          </w:p>
        </w:tc>
      </w:tr>
      <w:tr w14:paraId="5F5268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35021078">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2"/>
                <w:sz w:val="24"/>
                <w:szCs w:val="24"/>
                <w:highlight w:val="none"/>
                <w:lang w:val="en-US" w:eastAsia="zh-CN" w:bidi="ar-SA"/>
              </w:rPr>
            </w:pPr>
            <w:r>
              <w:rPr>
                <w:rFonts w:hint="eastAsia" w:ascii="Times New Roman" w:hAnsi="Times New Roman" w:cs="Times New Roman"/>
                <w:color w:val="auto"/>
                <w:kern w:val="2"/>
                <w:sz w:val="24"/>
                <w:szCs w:val="24"/>
                <w:highlight w:val="none"/>
                <w:lang w:val="en-US" w:eastAsia="zh-CN" w:bidi="ar-SA"/>
              </w:rPr>
              <w:t>17</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377B3B87">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低压干式变压器</w:t>
            </w:r>
          </w:p>
        </w:tc>
        <w:tc>
          <w:tcPr>
            <w:tcW w:w="2641" w:type="dxa"/>
            <w:tcBorders>
              <w:top w:val="single" w:color="auto" w:sz="4" w:space="0"/>
              <w:left w:val="single" w:color="auto" w:sz="4" w:space="0"/>
              <w:bottom w:val="single" w:color="auto" w:sz="4" w:space="0"/>
              <w:right w:val="single" w:color="auto" w:sz="12" w:space="0"/>
            </w:tcBorders>
            <w:noWrap w:val="0"/>
            <w:vAlign w:val="center"/>
          </w:tcPr>
          <w:p w14:paraId="1CE0530B">
            <w:pPr>
              <w:keepNext w:val="0"/>
              <w:keepLines w:val="0"/>
              <w:widowControl/>
              <w:suppressLineNumbers w:val="0"/>
              <w:spacing w:before="0" w:beforeAutospacing="0" w:after="0" w:afterAutospacing="0" w:line="360" w:lineRule="auto"/>
              <w:ind w:left="0" w:right="0" w:firstLine="240" w:firstLineChars="100"/>
              <w:jc w:val="both"/>
              <w:textAlignment w:val="center"/>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202</w:t>
            </w:r>
            <w:r>
              <w:rPr>
                <w:rFonts w:hint="eastAsia" w:cs="Times New Roman"/>
                <w:color w:val="auto"/>
                <w:sz w:val="24"/>
                <w:highlight w:val="none"/>
                <w:lang w:val="en-US" w:eastAsia="zh-CN"/>
              </w:rPr>
              <w:t>7</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3</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 1</w:t>
            </w:r>
            <w:r>
              <w:rPr>
                <w:rFonts w:hint="eastAsia" w:ascii="Times New Roman" w:hAnsi="Times New Roman" w:cs="Times New Roman"/>
                <w:color w:val="auto"/>
                <w:sz w:val="24"/>
                <w:highlight w:val="none"/>
              </w:rPr>
              <w:t>日</w:t>
            </w:r>
          </w:p>
        </w:tc>
      </w:tr>
      <w:tr w14:paraId="7637BB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090B5850">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kern w:val="2"/>
                <w:sz w:val="24"/>
                <w:szCs w:val="24"/>
                <w:highlight w:val="none"/>
                <w:lang w:val="en-US" w:eastAsia="zh-CN" w:bidi="ar-SA"/>
              </w:rPr>
            </w:pPr>
            <w:r>
              <w:rPr>
                <w:rFonts w:hint="eastAsia" w:ascii="Times New Roman" w:hAnsi="Times New Roman" w:cs="Times New Roman"/>
                <w:color w:val="auto"/>
                <w:kern w:val="2"/>
                <w:sz w:val="24"/>
                <w:szCs w:val="24"/>
                <w:highlight w:val="none"/>
                <w:lang w:val="en-US" w:eastAsia="zh-CN" w:bidi="ar-SA"/>
              </w:rPr>
              <w:t>18</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77EE5E3A">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低压开关柜</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7046362F">
            <w:pPr>
              <w:keepNext w:val="0"/>
              <w:keepLines w:val="0"/>
              <w:suppressLineNumbers w:val="0"/>
              <w:spacing w:before="0" w:beforeAutospacing="0" w:after="0" w:afterAutospacing="0"/>
              <w:ind w:left="0" w:right="0" w:firstLine="240" w:firstLineChars="100"/>
              <w:jc w:val="both"/>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w:t>
            </w:r>
            <w:r>
              <w:rPr>
                <w:rFonts w:hint="eastAsia" w:cs="Times New Roman"/>
                <w:color w:val="auto"/>
                <w:sz w:val="24"/>
                <w:highlight w:val="none"/>
                <w:lang w:val="en-US" w:eastAsia="zh-CN"/>
              </w:rPr>
              <w:t>7</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3</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  </w:t>
            </w:r>
            <w:r>
              <w:rPr>
                <w:rFonts w:hint="eastAsia" w:ascii="Times New Roman" w:hAnsi="Times New Roman" w:cs="Times New Roman"/>
                <w:color w:val="auto"/>
                <w:sz w:val="24"/>
                <w:highlight w:val="none"/>
              </w:rPr>
              <w:t>日</w:t>
            </w:r>
          </w:p>
        </w:tc>
      </w:tr>
      <w:tr w14:paraId="5BD72E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031A01DA">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19</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4A6385A0">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宋体" w:hAnsi="宋体" w:cs="宋体"/>
                <w:color w:val="auto"/>
                <w:kern w:val="0"/>
                <w:sz w:val="24"/>
                <w:highlight w:val="none"/>
                <w:lang w:bidi="ar"/>
              </w:rPr>
              <w:t>就地测量仪表设备</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276C1F58">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w:t>
            </w:r>
            <w:r>
              <w:rPr>
                <w:rFonts w:hint="eastAsia" w:cs="Times New Roman"/>
                <w:color w:val="auto"/>
                <w:sz w:val="24"/>
                <w:highlight w:val="none"/>
                <w:lang w:val="en-US" w:eastAsia="zh-CN"/>
              </w:rPr>
              <w:t>7</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3</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15</w:t>
            </w:r>
            <w:r>
              <w:rPr>
                <w:rFonts w:hint="eastAsia" w:ascii="Times New Roman" w:hAnsi="Times New Roman" w:cs="Times New Roman"/>
                <w:color w:val="auto"/>
                <w:sz w:val="24"/>
                <w:highlight w:val="none"/>
              </w:rPr>
              <w:t>日</w:t>
            </w:r>
          </w:p>
        </w:tc>
      </w:tr>
      <w:tr w14:paraId="0E25D3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7A2C5D5C">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20</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385F113C">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Times New Roman" w:hAnsi="Times New Roman" w:cs="宋体"/>
                <w:color w:val="auto"/>
                <w:kern w:val="0"/>
                <w:sz w:val="24"/>
                <w:highlight w:val="none"/>
                <w:lang w:bidi="ar"/>
              </w:rPr>
              <w:t>热控电源柜</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1F6DFBC3">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w:t>
            </w:r>
            <w:r>
              <w:rPr>
                <w:rFonts w:hint="eastAsia" w:cs="Times New Roman"/>
                <w:color w:val="auto"/>
                <w:sz w:val="24"/>
                <w:highlight w:val="none"/>
                <w:lang w:val="en-US" w:eastAsia="zh-CN"/>
              </w:rPr>
              <w:t>7</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3</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 1</w:t>
            </w:r>
            <w:r>
              <w:rPr>
                <w:rFonts w:hint="eastAsia" w:ascii="Times New Roman" w:hAnsi="Times New Roman" w:cs="Times New Roman"/>
                <w:color w:val="auto"/>
                <w:sz w:val="24"/>
                <w:highlight w:val="none"/>
              </w:rPr>
              <w:t>日</w:t>
            </w:r>
          </w:p>
        </w:tc>
      </w:tr>
      <w:tr w14:paraId="56D34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66" w:type="dxa"/>
            <w:tcBorders>
              <w:top w:val="single" w:color="auto" w:sz="4" w:space="0"/>
              <w:left w:val="single" w:color="auto" w:sz="12" w:space="0"/>
              <w:bottom w:val="single" w:color="auto" w:sz="4" w:space="0"/>
              <w:right w:val="single" w:color="auto" w:sz="4" w:space="0"/>
            </w:tcBorders>
            <w:noWrap w:val="0"/>
            <w:vAlign w:val="center"/>
          </w:tcPr>
          <w:p w14:paraId="0AE9DF2F">
            <w:pPr>
              <w:keepNext w:val="0"/>
              <w:keepLines w:val="0"/>
              <w:widowControl/>
              <w:suppressLineNumbers w:val="0"/>
              <w:spacing w:before="0" w:beforeAutospacing="0" w:after="0" w:afterAutospacing="0" w:line="360" w:lineRule="auto"/>
              <w:ind w:left="0" w:right="0"/>
              <w:jc w:val="center"/>
              <w:textAlignment w:val="center"/>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rPr>
              <w:t>2</w:t>
            </w:r>
            <w:r>
              <w:rPr>
                <w:rFonts w:hint="eastAsia" w:ascii="Times New Roman" w:hAnsi="Times New Roman" w:cs="Times New Roman"/>
                <w:color w:val="auto"/>
                <w:sz w:val="24"/>
                <w:highlight w:val="none"/>
                <w:lang w:val="en-US" w:eastAsia="zh-CN"/>
              </w:rPr>
              <w:t>1</w:t>
            </w:r>
          </w:p>
        </w:tc>
        <w:tc>
          <w:tcPr>
            <w:tcW w:w="4359" w:type="dxa"/>
            <w:tcBorders>
              <w:top w:val="single" w:color="auto" w:sz="4" w:space="0"/>
              <w:left w:val="single" w:color="auto" w:sz="4" w:space="0"/>
              <w:bottom w:val="single" w:color="auto" w:sz="4" w:space="0"/>
              <w:right w:val="single" w:color="auto" w:sz="4" w:space="0"/>
            </w:tcBorders>
            <w:noWrap w:val="0"/>
            <w:vAlign w:val="center"/>
          </w:tcPr>
          <w:p w14:paraId="0CC01F7E">
            <w:pPr>
              <w:keepNext w:val="0"/>
              <w:keepLines w:val="0"/>
              <w:widowControl/>
              <w:suppressLineNumbers w:val="0"/>
              <w:spacing w:before="0" w:beforeAutospacing="0" w:after="0" w:afterAutospacing="0" w:line="360" w:lineRule="auto"/>
              <w:ind w:left="0" w:right="0"/>
              <w:jc w:val="center"/>
              <w:textAlignment w:val="center"/>
              <w:rPr>
                <w:rFonts w:hint="default" w:ascii="Times New Roman" w:hAnsi="Times New Roman" w:cs="Times New Roman"/>
                <w:color w:val="auto"/>
                <w:sz w:val="24"/>
                <w:highlight w:val="none"/>
              </w:rPr>
            </w:pPr>
            <w:r>
              <w:rPr>
                <w:rFonts w:hint="eastAsia" w:ascii="Times New Roman" w:hAnsi="Times New Roman" w:cs="Times New Roman"/>
                <w:color w:val="auto"/>
                <w:kern w:val="0"/>
                <w:sz w:val="24"/>
                <w:highlight w:val="none"/>
                <w:lang w:val="en-US" w:eastAsia="zh-CN" w:bidi="ar"/>
              </w:rPr>
              <w:t>脱硫塔前烟气</w:t>
            </w:r>
            <w:r>
              <w:rPr>
                <w:rFonts w:hint="default" w:ascii="Times New Roman" w:hAnsi="Times New Roman" w:cs="Times New Roman"/>
                <w:color w:val="auto"/>
                <w:kern w:val="0"/>
                <w:sz w:val="24"/>
                <w:highlight w:val="none"/>
                <w:lang w:bidi="ar"/>
              </w:rPr>
              <w:t>CEMS</w:t>
            </w:r>
            <w:r>
              <w:rPr>
                <w:rFonts w:hint="eastAsia" w:ascii="宋体" w:hAnsi="宋体" w:cs="宋体"/>
                <w:color w:val="auto"/>
                <w:kern w:val="0"/>
                <w:sz w:val="24"/>
                <w:highlight w:val="none"/>
                <w:lang w:bidi="ar"/>
              </w:rPr>
              <w:t>系统</w:t>
            </w:r>
          </w:p>
        </w:tc>
        <w:tc>
          <w:tcPr>
            <w:tcW w:w="2641" w:type="dxa"/>
            <w:tcBorders>
              <w:top w:val="single" w:color="auto" w:sz="4" w:space="0"/>
              <w:left w:val="single" w:color="auto" w:sz="4" w:space="0"/>
              <w:bottom w:val="single" w:color="auto" w:sz="4" w:space="0"/>
              <w:right w:val="single" w:color="auto" w:sz="12" w:space="0"/>
            </w:tcBorders>
            <w:noWrap w:val="0"/>
            <w:vAlign w:val="top"/>
          </w:tcPr>
          <w:p w14:paraId="28C4413B">
            <w:pPr>
              <w:keepNext w:val="0"/>
              <w:keepLines w:val="0"/>
              <w:suppressLineNumbers w:val="0"/>
              <w:spacing w:before="0" w:beforeAutospacing="0" w:after="0" w:afterAutospacing="0"/>
              <w:ind w:left="0" w:right="0"/>
              <w:jc w:val="center"/>
              <w:rPr>
                <w:rFonts w:hint="default" w:ascii="Times New Roman" w:hAnsi="Times New Roman" w:cs="Times New Roman"/>
                <w:color w:val="auto"/>
                <w:highlight w:val="none"/>
              </w:rPr>
            </w:pPr>
            <w:r>
              <w:rPr>
                <w:rFonts w:hint="eastAsia" w:ascii="Times New Roman" w:hAnsi="Times New Roman" w:cs="Times New Roman"/>
                <w:color w:val="auto"/>
                <w:sz w:val="24"/>
                <w:highlight w:val="none"/>
                <w:lang w:val="en-US" w:eastAsia="zh-CN"/>
              </w:rPr>
              <w:t>202</w:t>
            </w:r>
            <w:r>
              <w:rPr>
                <w:rFonts w:hint="eastAsia" w:cs="Times New Roman"/>
                <w:color w:val="auto"/>
                <w:sz w:val="24"/>
                <w:highlight w:val="none"/>
                <w:lang w:val="en-US" w:eastAsia="zh-CN"/>
              </w:rPr>
              <w:t>7</w:t>
            </w:r>
            <w:r>
              <w:rPr>
                <w:rFonts w:hint="eastAsia" w:ascii="Times New Roman" w:hAnsi="Times New Roman" w:cs="Times New Roman"/>
                <w:color w:val="auto"/>
                <w:sz w:val="24"/>
                <w:highlight w:val="none"/>
              </w:rPr>
              <w:t>年</w:t>
            </w:r>
            <w:r>
              <w:rPr>
                <w:rFonts w:hint="eastAsia" w:cs="Times New Roman"/>
                <w:color w:val="auto"/>
                <w:sz w:val="24"/>
                <w:highlight w:val="none"/>
                <w:lang w:val="en-US" w:eastAsia="zh-CN"/>
              </w:rPr>
              <w:t>5</w:t>
            </w:r>
            <w:r>
              <w:rPr>
                <w:rFonts w:hint="eastAsia" w:ascii="Times New Roman" w:hAnsi="Times New Roman" w:cs="Times New Roman"/>
                <w:color w:val="auto"/>
                <w:sz w:val="24"/>
                <w:highlight w:val="none"/>
              </w:rPr>
              <w:t>月</w:t>
            </w:r>
            <w:r>
              <w:rPr>
                <w:rFonts w:hint="eastAsia" w:ascii="Times New Roman" w:hAnsi="Times New Roman" w:cs="Times New Roman"/>
                <w:color w:val="auto"/>
                <w:sz w:val="24"/>
                <w:highlight w:val="none"/>
                <w:lang w:val="en-US" w:eastAsia="zh-CN"/>
              </w:rPr>
              <w:t xml:space="preserve">1 </w:t>
            </w:r>
            <w:r>
              <w:rPr>
                <w:rFonts w:hint="eastAsia" w:ascii="Times New Roman" w:hAnsi="Times New Roman" w:cs="Times New Roman"/>
                <w:color w:val="auto"/>
                <w:sz w:val="24"/>
                <w:highlight w:val="none"/>
              </w:rPr>
              <w:t>日</w:t>
            </w:r>
          </w:p>
        </w:tc>
      </w:tr>
    </w:tbl>
    <w:p w14:paraId="61E14566">
      <w:pPr>
        <w:adjustRightInd w:val="0"/>
        <w:snapToGrid w:val="0"/>
        <w:spacing w:line="360" w:lineRule="auto"/>
        <w:rPr>
          <w:color w:val="auto"/>
          <w:sz w:val="24"/>
          <w:highlight w:val="none"/>
        </w:rPr>
      </w:pPr>
    </w:p>
    <w:p w14:paraId="70D058FA">
      <w:pPr>
        <w:adjustRightInd w:val="0"/>
        <w:snapToGrid w:val="0"/>
        <w:spacing w:line="360" w:lineRule="auto"/>
        <w:rPr>
          <w:color w:val="auto"/>
          <w:sz w:val="24"/>
          <w:highlight w:val="none"/>
        </w:rPr>
      </w:pPr>
      <w:r>
        <w:rPr>
          <w:color w:val="auto"/>
          <w:sz w:val="24"/>
          <w:highlight w:val="none"/>
        </w:rPr>
        <w:t>交付时间：</w:t>
      </w:r>
      <w:r>
        <w:rPr>
          <w:rFonts w:hint="eastAsia"/>
          <w:color w:val="auto"/>
          <w:sz w:val="24"/>
          <w:highlight w:val="none"/>
          <w:lang w:eastAsia="zh-CN"/>
        </w:rPr>
        <w:t>投标方</w:t>
      </w:r>
      <w:r>
        <w:rPr>
          <w:color w:val="auto"/>
          <w:sz w:val="24"/>
          <w:highlight w:val="none"/>
        </w:rPr>
        <w:t>送至</w:t>
      </w:r>
      <w:r>
        <w:rPr>
          <w:rFonts w:hint="eastAsia"/>
          <w:color w:val="auto"/>
          <w:sz w:val="24"/>
          <w:highlight w:val="none"/>
          <w:lang w:eastAsia="zh-CN"/>
        </w:rPr>
        <w:t>招标方</w:t>
      </w:r>
      <w:r>
        <w:rPr>
          <w:color w:val="auto"/>
          <w:sz w:val="24"/>
          <w:highlight w:val="none"/>
        </w:rPr>
        <w:t>施工现场指定地点交货的时间。</w:t>
      </w:r>
    </w:p>
    <w:p w14:paraId="1164142E">
      <w:pPr>
        <w:adjustRightInd w:val="0"/>
        <w:snapToGrid w:val="0"/>
        <w:spacing w:line="360" w:lineRule="auto"/>
        <w:rPr>
          <w:color w:val="auto"/>
          <w:sz w:val="24"/>
          <w:highlight w:val="none"/>
        </w:rPr>
      </w:pPr>
    </w:p>
    <w:p w14:paraId="5E69CAC2">
      <w:pPr>
        <w:pStyle w:val="2"/>
        <w:spacing w:before="0" w:after="0" w:line="240" w:lineRule="auto"/>
        <w:rPr>
          <w:bCs w:val="0"/>
          <w:color w:val="auto"/>
          <w:sz w:val="32"/>
          <w:highlight w:val="none"/>
        </w:rPr>
      </w:pPr>
      <w:r>
        <w:rPr>
          <w:color w:val="auto"/>
          <w:sz w:val="24"/>
          <w:highlight w:val="none"/>
        </w:rPr>
        <w:br w:type="page"/>
      </w:r>
      <w:bookmarkStart w:id="284" w:name="_Toc27306"/>
      <w:bookmarkStart w:id="285" w:name="_Toc8418"/>
      <w:bookmarkStart w:id="286" w:name="_Toc10204"/>
      <w:bookmarkStart w:id="287" w:name="_Toc19778"/>
      <w:bookmarkStart w:id="288" w:name="_Toc482189987"/>
      <w:bookmarkStart w:id="289" w:name="_Toc19264"/>
      <w:bookmarkStart w:id="290" w:name="_Toc10126"/>
      <w:r>
        <w:rPr>
          <w:color w:val="auto"/>
          <w:sz w:val="32"/>
          <w:szCs w:val="32"/>
          <w:highlight w:val="none"/>
        </w:rPr>
        <w:t>附件6  检验、试验和验收</w:t>
      </w:r>
      <w:bookmarkEnd w:id="284"/>
      <w:bookmarkEnd w:id="285"/>
      <w:bookmarkEnd w:id="286"/>
      <w:bookmarkEnd w:id="287"/>
      <w:bookmarkEnd w:id="288"/>
      <w:bookmarkEnd w:id="289"/>
      <w:bookmarkEnd w:id="290"/>
    </w:p>
    <w:p w14:paraId="68775513">
      <w:pPr>
        <w:pStyle w:val="3"/>
        <w:spacing w:before="156" w:after="156"/>
        <w:rPr>
          <w:rFonts w:hint="default" w:ascii="Times New Roman" w:hAnsi="Times New Roman" w:eastAsia="宋体"/>
          <w:color w:val="auto"/>
          <w:sz w:val="28"/>
          <w:szCs w:val="28"/>
          <w:highlight w:val="none"/>
        </w:rPr>
      </w:pPr>
      <w:bookmarkStart w:id="291" w:name="_Toc482189988"/>
      <w:bookmarkStart w:id="292" w:name="_Toc20068"/>
      <w:bookmarkStart w:id="293" w:name="_Toc414993431"/>
      <w:bookmarkStart w:id="294" w:name="_Toc28373"/>
      <w:bookmarkStart w:id="295" w:name="_Toc12324"/>
      <w:bookmarkStart w:id="296" w:name="_Toc13025"/>
      <w:bookmarkStart w:id="297" w:name="_Toc2484"/>
      <w:bookmarkStart w:id="298" w:name="_Toc10539"/>
      <w:r>
        <w:rPr>
          <w:rFonts w:hint="default" w:ascii="Times New Roman" w:hAnsi="Times New Roman" w:eastAsia="宋体"/>
          <w:color w:val="auto"/>
          <w:sz w:val="28"/>
          <w:szCs w:val="28"/>
          <w:highlight w:val="none"/>
        </w:rPr>
        <w:t>1 总述</w:t>
      </w:r>
      <w:bookmarkEnd w:id="291"/>
      <w:bookmarkEnd w:id="292"/>
      <w:bookmarkEnd w:id="293"/>
      <w:bookmarkEnd w:id="294"/>
      <w:bookmarkEnd w:id="295"/>
      <w:bookmarkEnd w:id="296"/>
      <w:bookmarkEnd w:id="297"/>
      <w:bookmarkEnd w:id="298"/>
    </w:p>
    <w:p w14:paraId="1905E5E3">
      <w:pPr>
        <w:adjustRightInd w:val="0"/>
        <w:snapToGrid w:val="0"/>
        <w:spacing w:line="360" w:lineRule="auto"/>
        <w:ind w:firstLine="480" w:firstLineChars="200"/>
        <w:rPr>
          <w:color w:val="auto"/>
          <w:sz w:val="24"/>
          <w:highlight w:val="none"/>
        </w:rPr>
      </w:pPr>
      <w:bookmarkStart w:id="299" w:name="_Toc482189989"/>
      <w:bookmarkStart w:id="300" w:name="_Toc414993432"/>
      <w:r>
        <w:rPr>
          <w:color w:val="auto"/>
          <w:sz w:val="24"/>
          <w:highlight w:val="none"/>
        </w:rPr>
        <w:t>本部分论述了对脱硫系统的所有检验、试验和调试，其中调试包括设备安装完后的分系统试运行（单个设备的试运行或单个系统的试运行）、整套启动试运行（整个脱硫工艺系统的试运行）、性能考核试验。其中检验、试验由</w:t>
      </w:r>
      <w:r>
        <w:rPr>
          <w:rFonts w:hint="eastAsia"/>
          <w:color w:val="auto"/>
          <w:sz w:val="24"/>
          <w:highlight w:val="none"/>
          <w:lang w:eastAsia="zh-CN"/>
        </w:rPr>
        <w:t>投标方</w:t>
      </w:r>
      <w:r>
        <w:rPr>
          <w:color w:val="auto"/>
          <w:sz w:val="24"/>
          <w:highlight w:val="none"/>
        </w:rPr>
        <w:t>负责完成，</w:t>
      </w:r>
      <w:r>
        <w:rPr>
          <w:rFonts w:hint="eastAsia"/>
          <w:color w:val="auto"/>
          <w:sz w:val="24"/>
          <w:highlight w:val="none"/>
          <w:lang w:eastAsia="zh-CN"/>
        </w:rPr>
        <w:t>招标方</w:t>
      </w:r>
      <w:r>
        <w:rPr>
          <w:color w:val="auto"/>
          <w:sz w:val="24"/>
          <w:highlight w:val="none"/>
        </w:rPr>
        <w:t>有权参与；调试由</w:t>
      </w:r>
      <w:r>
        <w:rPr>
          <w:rFonts w:hint="eastAsia"/>
          <w:color w:val="auto"/>
          <w:sz w:val="24"/>
          <w:highlight w:val="none"/>
          <w:lang w:eastAsia="zh-CN"/>
        </w:rPr>
        <w:t>招标方</w:t>
      </w:r>
      <w:r>
        <w:rPr>
          <w:color w:val="auto"/>
          <w:sz w:val="24"/>
          <w:highlight w:val="none"/>
        </w:rPr>
        <w:t>负责完成，</w:t>
      </w:r>
      <w:r>
        <w:rPr>
          <w:rFonts w:hint="eastAsia"/>
          <w:color w:val="auto"/>
          <w:sz w:val="24"/>
          <w:highlight w:val="none"/>
          <w:lang w:eastAsia="zh-CN"/>
        </w:rPr>
        <w:t>投标方</w:t>
      </w:r>
      <w:r>
        <w:rPr>
          <w:color w:val="auto"/>
          <w:sz w:val="24"/>
          <w:highlight w:val="none"/>
        </w:rPr>
        <w:t>配合。</w:t>
      </w:r>
    </w:p>
    <w:p w14:paraId="053A55CF">
      <w:pPr>
        <w:adjustRightInd w:val="0"/>
        <w:snapToGrid w:val="0"/>
        <w:spacing w:line="360" w:lineRule="auto"/>
        <w:ind w:firstLine="480" w:firstLineChars="200"/>
        <w:rPr>
          <w:color w:val="auto"/>
          <w:sz w:val="24"/>
          <w:highlight w:val="none"/>
        </w:rPr>
      </w:pPr>
      <w:r>
        <w:rPr>
          <w:color w:val="auto"/>
          <w:sz w:val="24"/>
          <w:highlight w:val="none"/>
        </w:rPr>
        <w:t>性能考核试验是在整套启动试运行完成后，对整套脱硫工艺系统进行投料运行，按照由</w:t>
      </w:r>
      <w:r>
        <w:rPr>
          <w:rFonts w:hint="eastAsia"/>
          <w:color w:val="auto"/>
          <w:sz w:val="24"/>
          <w:highlight w:val="none"/>
          <w:lang w:eastAsia="zh-CN"/>
        </w:rPr>
        <w:t>投标方</w:t>
      </w:r>
      <w:r>
        <w:rPr>
          <w:color w:val="auto"/>
          <w:sz w:val="24"/>
          <w:highlight w:val="none"/>
        </w:rPr>
        <w:t>提出经</w:t>
      </w:r>
      <w:r>
        <w:rPr>
          <w:rFonts w:hint="eastAsia"/>
          <w:color w:val="auto"/>
          <w:sz w:val="24"/>
          <w:highlight w:val="none"/>
          <w:lang w:eastAsia="zh-CN"/>
        </w:rPr>
        <w:t>招标方</w:t>
      </w:r>
      <w:r>
        <w:rPr>
          <w:color w:val="auto"/>
          <w:sz w:val="24"/>
          <w:highlight w:val="none"/>
        </w:rPr>
        <w:t>确认的相关性能考核试验的标准、程序执行，由</w:t>
      </w:r>
      <w:r>
        <w:rPr>
          <w:rFonts w:hint="eastAsia"/>
          <w:color w:val="auto"/>
          <w:sz w:val="24"/>
          <w:highlight w:val="none"/>
          <w:lang w:eastAsia="zh-CN"/>
        </w:rPr>
        <w:t>招标方</w:t>
      </w:r>
      <w:r>
        <w:rPr>
          <w:color w:val="auto"/>
          <w:sz w:val="24"/>
          <w:highlight w:val="none"/>
        </w:rPr>
        <w:t>负责完成。</w:t>
      </w:r>
    </w:p>
    <w:p w14:paraId="6DCCCFF5">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应按照技术规范对其采购的设备等进行工厂检验及试验、现场检验和试验，并参加由</w:t>
      </w:r>
      <w:r>
        <w:rPr>
          <w:rFonts w:hint="eastAsia"/>
          <w:color w:val="auto"/>
          <w:sz w:val="24"/>
          <w:highlight w:val="none"/>
          <w:lang w:eastAsia="zh-CN"/>
        </w:rPr>
        <w:t>招标方</w:t>
      </w:r>
      <w:r>
        <w:rPr>
          <w:color w:val="auto"/>
          <w:sz w:val="24"/>
          <w:highlight w:val="none"/>
        </w:rPr>
        <w:t>组织的性能考核试验。</w:t>
      </w:r>
    </w:p>
    <w:p w14:paraId="41EB27CD">
      <w:pPr>
        <w:pStyle w:val="3"/>
        <w:spacing w:before="156" w:after="156"/>
        <w:rPr>
          <w:rFonts w:hint="default" w:ascii="Times New Roman" w:hAnsi="Times New Roman" w:eastAsia="宋体"/>
          <w:color w:val="auto"/>
          <w:sz w:val="28"/>
          <w:szCs w:val="28"/>
          <w:highlight w:val="none"/>
        </w:rPr>
      </w:pPr>
      <w:bookmarkStart w:id="301" w:name="_Toc20620"/>
      <w:bookmarkStart w:id="302" w:name="_Toc1215"/>
      <w:bookmarkStart w:id="303" w:name="_Toc24164"/>
      <w:bookmarkStart w:id="304" w:name="_Toc15934"/>
      <w:bookmarkStart w:id="305" w:name="_Toc22283"/>
      <w:bookmarkStart w:id="306" w:name="_Toc2555"/>
      <w:r>
        <w:rPr>
          <w:rFonts w:hint="default" w:ascii="Times New Roman" w:hAnsi="Times New Roman" w:eastAsia="宋体"/>
          <w:color w:val="auto"/>
          <w:sz w:val="28"/>
          <w:szCs w:val="28"/>
          <w:highlight w:val="none"/>
        </w:rPr>
        <w:t>2 工厂检验及试验</w:t>
      </w:r>
      <w:bookmarkEnd w:id="299"/>
      <w:bookmarkEnd w:id="300"/>
      <w:bookmarkEnd w:id="301"/>
      <w:bookmarkEnd w:id="302"/>
      <w:bookmarkEnd w:id="303"/>
      <w:bookmarkEnd w:id="304"/>
      <w:bookmarkEnd w:id="305"/>
      <w:bookmarkEnd w:id="306"/>
    </w:p>
    <w:p w14:paraId="761867AF">
      <w:pPr>
        <w:spacing w:line="360" w:lineRule="auto"/>
        <w:outlineLvl w:val="2"/>
        <w:rPr>
          <w:b/>
          <w:color w:val="auto"/>
          <w:sz w:val="24"/>
          <w:highlight w:val="none"/>
        </w:rPr>
      </w:pPr>
      <w:bookmarkStart w:id="307" w:name="_Toc482189990"/>
      <w:r>
        <w:rPr>
          <w:b/>
          <w:color w:val="auto"/>
          <w:sz w:val="24"/>
          <w:highlight w:val="none"/>
        </w:rPr>
        <w:t>2.1 总述</w:t>
      </w:r>
      <w:bookmarkEnd w:id="307"/>
    </w:p>
    <w:p w14:paraId="1A52C840">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采购的设备和材料应按有关规定和标准进行必要的检验和试验，以证实设备、材料满足相应的规范和标准的要求，在设备制造工作完成时，</w:t>
      </w:r>
      <w:r>
        <w:rPr>
          <w:rFonts w:hint="eastAsia"/>
          <w:color w:val="auto"/>
          <w:sz w:val="24"/>
          <w:highlight w:val="none"/>
          <w:lang w:eastAsia="zh-CN"/>
        </w:rPr>
        <w:t>投标方</w:t>
      </w:r>
      <w:r>
        <w:rPr>
          <w:color w:val="auto"/>
          <w:sz w:val="24"/>
          <w:highlight w:val="none"/>
        </w:rPr>
        <w:t>应进行试验以证明其性能符合本规范及相应标准的要求。</w:t>
      </w:r>
    </w:p>
    <w:p w14:paraId="1107E7EF">
      <w:pPr>
        <w:adjustRightInd w:val="0"/>
        <w:snapToGrid w:val="0"/>
        <w:spacing w:line="360" w:lineRule="auto"/>
        <w:ind w:firstLine="480" w:firstLineChars="200"/>
        <w:rPr>
          <w:color w:val="auto"/>
          <w:sz w:val="24"/>
          <w:highlight w:val="none"/>
        </w:rPr>
      </w:pPr>
      <w:r>
        <w:rPr>
          <w:color w:val="auto"/>
          <w:sz w:val="24"/>
          <w:highlight w:val="none"/>
        </w:rPr>
        <w:t>试验所用的全部测试仪器应进行常规校正，工厂试验报告由</w:t>
      </w:r>
      <w:r>
        <w:rPr>
          <w:rFonts w:hint="eastAsia"/>
          <w:color w:val="auto"/>
          <w:sz w:val="24"/>
          <w:highlight w:val="none"/>
          <w:lang w:eastAsia="zh-CN"/>
        </w:rPr>
        <w:t>投标方</w:t>
      </w:r>
      <w:r>
        <w:rPr>
          <w:color w:val="auto"/>
          <w:sz w:val="24"/>
          <w:highlight w:val="none"/>
        </w:rPr>
        <w:t>完成，但</w:t>
      </w:r>
      <w:r>
        <w:rPr>
          <w:rFonts w:hint="eastAsia"/>
          <w:color w:val="auto"/>
          <w:sz w:val="24"/>
          <w:highlight w:val="none"/>
          <w:lang w:eastAsia="zh-CN"/>
        </w:rPr>
        <w:t>投标方</w:t>
      </w:r>
      <w:r>
        <w:rPr>
          <w:color w:val="auto"/>
          <w:sz w:val="24"/>
          <w:highlight w:val="none"/>
        </w:rPr>
        <w:t>应将试验结果交</w:t>
      </w:r>
      <w:r>
        <w:rPr>
          <w:rFonts w:hint="eastAsia"/>
          <w:color w:val="auto"/>
          <w:sz w:val="24"/>
          <w:highlight w:val="none"/>
          <w:lang w:eastAsia="zh-CN"/>
        </w:rPr>
        <w:t>招标方</w:t>
      </w:r>
      <w:r>
        <w:rPr>
          <w:color w:val="auto"/>
          <w:sz w:val="24"/>
          <w:highlight w:val="none"/>
        </w:rPr>
        <w:t>确认。</w:t>
      </w:r>
    </w:p>
    <w:p w14:paraId="20B405E1">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进行工厂检验及试验的内容如下(但不限于此)：</w:t>
      </w:r>
    </w:p>
    <w:p w14:paraId="6628C50B">
      <w:pPr>
        <w:spacing w:line="360" w:lineRule="auto"/>
        <w:outlineLvl w:val="2"/>
        <w:rPr>
          <w:b/>
          <w:color w:val="auto"/>
          <w:sz w:val="24"/>
          <w:highlight w:val="none"/>
        </w:rPr>
      </w:pPr>
      <w:bookmarkStart w:id="308" w:name="_Toc482189991"/>
      <w:r>
        <w:rPr>
          <w:b/>
          <w:color w:val="auto"/>
          <w:sz w:val="24"/>
          <w:highlight w:val="none"/>
        </w:rPr>
        <w:t>2.2 机械设备</w:t>
      </w:r>
      <w:bookmarkEnd w:id="308"/>
    </w:p>
    <w:p w14:paraId="6CC5049F">
      <w:pPr>
        <w:adjustRightInd w:val="0"/>
        <w:snapToGrid w:val="0"/>
        <w:spacing w:line="360" w:lineRule="auto"/>
        <w:rPr>
          <w:color w:val="auto"/>
          <w:sz w:val="24"/>
          <w:highlight w:val="none"/>
        </w:rPr>
      </w:pPr>
      <w:r>
        <w:rPr>
          <w:color w:val="auto"/>
          <w:sz w:val="24"/>
          <w:highlight w:val="none"/>
        </w:rPr>
        <w:t>2.2.1风机</w:t>
      </w:r>
    </w:p>
    <w:p w14:paraId="389E2ABA">
      <w:pPr>
        <w:adjustRightInd w:val="0"/>
        <w:snapToGrid w:val="0"/>
        <w:spacing w:line="360" w:lineRule="auto"/>
        <w:ind w:firstLine="480" w:firstLineChars="200"/>
        <w:rPr>
          <w:color w:val="auto"/>
          <w:sz w:val="24"/>
          <w:highlight w:val="none"/>
        </w:rPr>
      </w:pPr>
      <w:r>
        <w:rPr>
          <w:color w:val="auto"/>
          <w:sz w:val="24"/>
          <w:highlight w:val="none"/>
        </w:rPr>
        <w:t>应对所提供风机和部件进行必要的规定范围的工厂试验，证明加工及材料无缺陷，按规定试验的性能是符合设计指定要求的。</w:t>
      </w:r>
      <w:r>
        <w:rPr>
          <w:rFonts w:hint="eastAsia"/>
          <w:color w:val="auto"/>
          <w:sz w:val="24"/>
          <w:highlight w:val="none"/>
          <w:lang w:eastAsia="zh-CN"/>
        </w:rPr>
        <w:t>投标方</w:t>
      </w:r>
      <w:r>
        <w:rPr>
          <w:color w:val="auto"/>
          <w:sz w:val="24"/>
          <w:highlight w:val="none"/>
        </w:rPr>
        <w:t>应将试验方法和装置交</w:t>
      </w:r>
      <w:r>
        <w:rPr>
          <w:rFonts w:hint="eastAsia"/>
          <w:color w:val="auto"/>
          <w:sz w:val="24"/>
          <w:highlight w:val="none"/>
          <w:lang w:eastAsia="zh-CN"/>
        </w:rPr>
        <w:t>招标方</w:t>
      </w:r>
      <w:r>
        <w:rPr>
          <w:color w:val="auto"/>
          <w:sz w:val="24"/>
          <w:highlight w:val="none"/>
        </w:rPr>
        <w:t>确认。</w:t>
      </w:r>
    </w:p>
    <w:p w14:paraId="7A42CE1C">
      <w:pPr>
        <w:adjustRightInd w:val="0"/>
        <w:snapToGrid w:val="0"/>
        <w:spacing w:line="360" w:lineRule="auto"/>
        <w:ind w:firstLine="480" w:firstLineChars="200"/>
        <w:rPr>
          <w:color w:val="auto"/>
          <w:sz w:val="24"/>
          <w:highlight w:val="none"/>
        </w:rPr>
      </w:pPr>
      <w:r>
        <w:rPr>
          <w:color w:val="auto"/>
          <w:sz w:val="24"/>
          <w:highlight w:val="none"/>
        </w:rPr>
        <w:t>风机工厂试验包括动平衡试验、超速试验、转速与效率、材料性能试验、轴振动测试、噪声试验、电气设备试验等等。试验后应提供校正曲线及试验报告。</w:t>
      </w:r>
    </w:p>
    <w:p w14:paraId="5C000740">
      <w:pPr>
        <w:adjustRightInd w:val="0"/>
        <w:snapToGrid w:val="0"/>
        <w:spacing w:line="360" w:lineRule="auto"/>
        <w:rPr>
          <w:color w:val="auto"/>
          <w:sz w:val="24"/>
          <w:highlight w:val="none"/>
        </w:rPr>
      </w:pPr>
      <w:r>
        <w:rPr>
          <w:color w:val="auto"/>
          <w:sz w:val="24"/>
          <w:highlight w:val="none"/>
        </w:rPr>
        <w:t>2.2.2泵</w:t>
      </w:r>
    </w:p>
    <w:p w14:paraId="7E812FC8">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应在制造厂对泵进行全运行范围试验，包括转动试验和性能试验。应提供指示流量/压头、流量/能耗、流量/效率、流量/NPSH的图表。</w:t>
      </w:r>
    </w:p>
    <w:p w14:paraId="4DC52E97">
      <w:pPr>
        <w:adjustRightInd w:val="0"/>
        <w:snapToGrid w:val="0"/>
        <w:spacing w:line="360" w:lineRule="auto"/>
        <w:rPr>
          <w:color w:val="auto"/>
          <w:sz w:val="24"/>
          <w:highlight w:val="none"/>
        </w:rPr>
      </w:pPr>
      <w:r>
        <w:rPr>
          <w:color w:val="auto"/>
          <w:sz w:val="24"/>
          <w:highlight w:val="none"/>
        </w:rPr>
        <w:t>2.2.3阀门</w:t>
      </w:r>
    </w:p>
    <w:p w14:paraId="3E4D3707">
      <w:pPr>
        <w:adjustRightInd w:val="0"/>
        <w:snapToGrid w:val="0"/>
        <w:spacing w:line="360" w:lineRule="auto"/>
        <w:ind w:firstLine="480" w:firstLineChars="200"/>
        <w:rPr>
          <w:color w:val="auto"/>
          <w:sz w:val="24"/>
          <w:highlight w:val="none"/>
        </w:rPr>
      </w:pPr>
      <w:r>
        <w:rPr>
          <w:color w:val="auto"/>
          <w:sz w:val="24"/>
          <w:highlight w:val="none"/>
        </w:rPr>
        <w:t>(1) 材料试验</w:t>
      </w:r>
    </w:p>
    <w:p w14:paraId="50899566">
      <w:pPr>
        <w:adjustRightInd w:val="0"/>
        <w:snapToGrid w:val="0"/>
        <w:spacing w:line="360" w:lineRule="auto"/>
        <w:ind w:firstLine="480" w:firstLineChars="200"/>
        <w:rPr>
          <w:color w:val="auto"/>
          <w:sz w:val="24"/>
          <w:highlight w:val="none"/>
        </w:rPr>
      </w:pPr>
      <w:r>
        <w:rPr>
          <w:color w:val="auto"/>
          <w:sz w:val="24"/>
          <w:highlight w:val="none"/>
        </w:rPr>
        <w:t>所用材料应按适用材料规范进行试验和修复。</w:t>
      </w:r>
      <w:r>
        <w:rPr>
          <w:rFonts w:hint="eastAsia"/>
          <w:color w:val="auto"/>
          <w:sz w:val="24"/>
          <w:highlight w:val="none"/>
          <w:lang w:eastAsia="zh-CN"/>
        </w:rPr>
        <w:t>投标方</w:t>
      </w:r>
      <w:r>
        <w:rPr>
          <w:color w:val="auto"/>
          <w:sz w:val="24"/>
          <w:highlight w:val="none"/>
        </w:rPr>
        <w:t>应在阀门数据表中指明无损探伤范围。</w:t>
      </w:r>
    </w:p>
    <w:p w14:paraId="208DA092">
      <w:pPr>
        <w:adjustRightInd w:val="0"/>
        <w:snapToGrid w:val="0"/>
        <w:spacing w:line="360" w:lineRule="auto"/>
        <w:ind w:firstLine="480" w:firstLineChars="200"/>
        <w:rPr>
          <w:color w:val="auto"/>
          <w:sz w:val="24"/>
          <w:highlight w:val="none"/>
        </w:rPr>
      </w:pPr>
      <w:r>
        <w:rPr>
          <w:color w:val="auto"/>
          <w:sz w:val="24"/>
          <w:highlight w:val="none"/>
        </w:rPr>
        <w:t>(2) 工厂试验</w:t>
      </w:r>
    </w:p>
    <w:p w14:paraId="785CBE8C">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应根据ANSI B16.34或相当的标准或规范，对阀门进行水压试验和泄漏试验。铸钢阀在水压试验前要先进行三次加压和泄压试验，所有电动阀应在最大工作压力下全开、全关一遍，以保证工作行程能在规定时间内完成，并且操作平滑稳定，所有其余类型的阀门应进行一次全开、全关试验。</w:t>
      </w:r>
    </w:p>
    <w:p w14:paraId="034683C6">
      <w:pPr>
        <w:adjustRightInd w:val="0"/>
        <w:snapToGrid w:val="0"/>
        <w:spacing w:line="360" w:lineRule="auto"/>
        <w:ind w:firstLine="480" w:firstLineChars="200"/>
        <w:rPr>
          <w:color w:val="auto"/>
          <w:sz w:val="24"/>
          <w:highlight w:val="none"/>
        </w:rPr>
      </w:pPr>
      <w:r>
        <w:rPr>
          <w:color w:val="auto"/>
          <w:sz w:val="24"/>
          <w:highlight w:val="none"/>
        </w:rPr>
        <w:t>衬橡胶的阀门应通过气泡肉眼检查，对隐蔽的洞用电火花检查仪检查肉眼看不见的细孔。硫化橡胶衬套应进行拉伸试验。用环氧树脂作衬套的阀门应通过低电压泄漏探测器检查有无肉眼看不见的缺陷。</w:t>
      </w:r>
    </w:p>
    <w:p w14:paraId="29893A8D">
      <w:pPr>
        <w:adjustRightInd w:val="0"/>
        <w:snapToGrid w:val="0"/>
        <w:spacing w:line="360" w:lineRule="auto"/>
        <w:rPr>
          <w:color w:val="auto"/>
          <w:sz w:val="24"/>
          <w:highlight w:val="none"/>
        </w:rPr>
      </w:pPr>
      <w:r>
        <w:rPr>
          <w:color w:val="auto"/>
          <w:sz w:val="24"/>
          <w:highlight w:val="none"/>
        </w:rPr>
        <w:t>2.2.4搅拌器</w:t>
      </w:r>
    </w:p>
    <w:p w14:paraId="34E35E11">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应根据相应的材料规范对所用材料进行试验和修复。</w:t>
      </w:r>
      <w:r>
        <w:rPr>
          <w:rFonts w:hint="eastAsia"/>
          <w:color w:val="auto"/>
          <w:sz w:val="24"/>
          <w:highlight w:val="none"/>
          <w:lang w:eastAsia="zh-CN"/>
        </w:rPr>
        <w:t>投标方</w:t>
      </w:r>
      <w:r>
        <w:rPr>
          <w:color w:val="auto"/>
          <w:sz w:val="24"/>
          <w:highlight w:val="none"/>
        </w:rPr>
        <w:t>应在制造厂进行设备的表观和尺寸检查、衬里材料的检查等，并且对于转动构件应进行单个部件和组装后整体的静、动平衡试验和振动试验。安装后应检查设备的运行性能。</w:t>
      </w:r>
    </w:p>
    <w:p w14:paraId="5424D578">
      <w:pPr>
        <w:adjustRightInd w:val="0"/>
        <w:snapToGrid w:val="0"/>
        <w:spacing w:line="360" w:lineRule="auto"/>
        <w:rPr>
          <w:color w:val="auto"/>
          <w:sz w:val="24"/>
          <w:highlight w:val="none"/>
        </w:rPr>
      </w:pPr>
      <w:r>
        <w:rPr>
          <w:color w:val="auto"/>
          <w:sz w:val="24"/>
          <w:highlight w:val="none"/>
        </w:rPr>
        <w:t>2.2.5箱罐和容器</w:t>
      </w:r>
    </w:p>
    <w:p w14:paraId="2B100D7F">
      <w:pPr>
        <w:adjustRightInd w:val="0"/>
        <w:snapToGrid w:val="0"/>
        <w:spacing w:line="360" w:lineRule="auto"/>
        <w:ind w:firstLine="480" w:firstLineChars="200"/>
        <w:rPr>
          <w:color w:val="auto"/>
          <w:sz w:val="24"/>
          <w:highlight w:val="none"/>
        </w:rPr>
      </w:pPr>
      <w:r>
        <w:rPr>
          <w:color w:val="auto"/>
          <w:sz w:val="24"/>
          <w:highlight w:val="none"/>
        </w:rPr>
        <w:t>所有摄片图集上的照片要有标记并能辨认。所有喷嘴内外焊口、内部管道焊口、所有对接焊口和底板填焊焊口均应进行液压渗漏试验。除底板外部以外的所有部分在涂漆之前，应进行箱罐泄漏试验。</w:t>
      </w:r>
      <w:r>
        <w:rPr>
          <w:rFonts w:hint="eastAsia"/>
          <w:color w:val="auto"/>
          <w:sz w:val="24"/>
          <w:highlight w:val="none"/>
          <w:lang w:eastAsia="zh-CN"/>
        </w:rPr>
        <w:t>投标方</w:t>
      </w:r>
      <w:r>
        <w:rPr>
          <w:color w:val="auto"/>
          <w:sz w:val="24"/>
          <w:highlight w:val="none"/>
        </w:rPr>
        <w:t>应对所有压力容器在制造厂进行不小于其设计压力1.5倍的水压试验。试验压力的保持时间根据最大壁厚26min/cm，但不得少于1h。各个加强垫要在0.35MPa压力下进行水压试验。在试验过程中应检查箱内或容器的内、外焊口，对有内衬(橡胶、PVC塑料等)的箱、罐，至少要进行一次电火花试验以证实衬里完好。</w:t>
      </w:r>
    </w:p>
    <w:p w14:paraId="4421AA58">
      <w:pPr>
        <w:adjustRightInd w:val="0"/>
        <w:snapToGrid w:val="0"/>
        <w:spacing w:line="360" w:lineRule="auto"/>
        <w:ind w:left="-57" w:right="57" w:firstLine="480" w:firstLineChars="200"/>
        <w:rPr>
          <w:color w:val="auto"/>
          <w:sz w:val="24"/>
          <w:highlight w:val="none"/>
        </w:rPr>
      </w:pPr>
      <w:r>
        <w:rPr>
          <w:color w:val="auto"/>
          <w:sz w:val="24"/>
          <w:highlight w:val="none"/>
        </w:rPr>
        <w:t>箱罐若存在缺陷及出现泄漏时应进行修补并再次试验。</w:t>
      </w:r>
    </w:p>
    <w:p w14:paraId="6D6E62CC">
      <w:pPr>
        <w:adjustRightInd w:val="0"/>
        <w:snapToGrid w:val="0"/>
        <w:spacing w:line="360" w:lineRule="auto"/>
        <w:rPr>
          <w:color w:val="auto"/>
          <w:sz w:val="24"/>
          <w:highlight w:val="none"/>
        </w:rPr>
      </w:pPr>
      <w:r>
        <w:rPr>
          <w:color w:val="auto"/>
          <w:sz w:val="24"/>
          <w:highlight w:val="none"/>
        </w:rPr>
        <w:t>2.2.6</w:t>
      </w:r>
      <w:r>
        <w:rPr>
          <w:rFonts w:hint="eastAsia"/>
          <w:color w:val="auto"/>
          <w:sz w:val="24"/>
          <w:highlight w:val="none"/>
          <w:lang w:val="en-US" w:eastAsia="zh-CN"/>
        </w:rPr>
        <w:t>高效冷凝</w:t>
      </w:r>
      <w:r>
        <w:rPr>
          <w:color w:val="auto"/>
          <w:sz w:val="24"/>
          <w:highlight w:val="none"/>
        </w:rPr>
        <w:t>除尘</w:t>
      </w:r>
      <w:r>
        <w:rPr>
          <w:rFonts w:hint="eastAsia"/>
          <w:color w:val="auto"/>
          <w:sz w:val="24"/>
          <w:highlight w:val="none"/>
          <w:lang w:val="en-US" w:eastAsia="zh-CN"/>
        </w:rPr>
        <w:t>除雾</w:t>
      </w:r>
      <w:r>
        <w:rPr>
          <w:color w:val="auto"/>
          <w:sz w:val="24"/>
          <w:highlight w:val="none"/>
        </w:rPr>
        <w:t>器</w:t>
      </w:r>
    </w:p>
    <w:p w14:paraId="6CB6D169">
      <w:pPr>
        <w:adjustRightInd w:val="0"/>
        <w:snapToGrid w:val="0"/>
        <w:spacing w:line="360" w:lineRule="auto"/>
        <w:ind w:firstLine="480" w:firstLineChars="200"/>
        <w:rPr>
          <w:color w:val="auto"/>
          <w:sz w:val="24"/>
          <w:highlight w:val="none"/>
        </w:rPr>
      </w:pPr>
      <w:r>
        <w:rPr>
          <w:rFonts w:hint="eastAsia"/>
          <w:color w:val="auto"/>
          <w:sz w:val="24"/>
          <w:highlight w:val="none"/>
          <w:lang w:val="en-US" w:eastAsia="zh-CN"/>
        </w:rPr>
        <w:t>高效冷凝</w:t>
      </w:r>
      <w:r>
        <w:rPr>
          <w:color w:val="auto"/>
          <w:sz w:val="24"/>
          <w:highlight w:val="none"/>
        </w:rPr>
        <w:t>除尘</w:t>
      </w:r>
      <w:r>
        <w:rPr>
          <w:rFonts w:hint="eastAsia"/>
          <w:color w:val="auto"/>
          <w:sz w:val="24"/>
          <w:highlight w:val="none"/>
          <w:lang w:val="en-US" w:eastAsia="zh-CN"/>
        </w:rPr>
        <w:t>除雾</w:t>
      </w:r>
      <w:r>
        <w:rPr>
          <w:color w:val="auto"/>
          <w:sz w:val="24"/>
          <w:highlight w:val="none"/>
        </w:rPr>
        <w:t>器应按有关规范进行相关的工厂试验。用于制造设备外壳的材料应按有关规范进行冲击试验，并且，</w:t>
      </w:r>
      <w:r>
        <w:rPr>
          <w:rFonts w:hint="eastAsia"/>
          <w:color w:val="auto"/>
          <w:sz w:val="24"/>
          <w:highlight w:val="none"/>
          <w:lang w:eastAsia="zh-CN"/>
        </w:rPr>
        <w:t>投标方</w:t>
      </w:r>
      <w:r>
        <w:rPr>
          <w:color w:val="auto"/>
          <w:sz w:val="24"/>
          <w:highlight w:val="none"/>
        </w:rPr>
        <w:t>还应提供工厂试验证明以证明所选用的材料和采用的技术没有缺陷。在设备安装好后，应进行性能测试以证明其满足规范的要求。</w:t>
      </w:r>
    </w:p>
    <w:p w14:paraId="23FF61DD">
      <w:pPr>
        <w:adjustRightInd w:val="0"/>
        <w:snapToGrid w:val="0"/>
        <w:spacing w:line="360" w:lineRule="auto"/>
        <w:rPr>
          <w:color w:val="auto"/>
          <w:sz w:val="24"/>
          <w:highlight w:val="none"/>
        </w:rPr>
      </w:pPr>
      <w:r>
        <w:rPr>
          <w:color w:val="auto"/>
          <w:sz w:val="24"/>
          <w:highlight w:val="none"/>
        </w:rPr>
        <w:t>2.2.7喷嘴</w:t>
      </w:r>
    </w:p>
    <w:p w14:paraId="27623FD5">
      <w:pPr>
        <w:adjustRightInd w:val="0"/>
        <w:snapToGrid w:val="0"/>
        <w:spacing w:line="360" w:lineRule="auto"/>
        <w:ind w:firstLine="480" w:firstLineChars="200"/>
        <w:rPr>
          <w:color w:val="auto"/>
          <w:sz w:val="24"/>
          <w:highlight w:val="none"/>
        </w:rPr>
      </w:pPr>
      <w:r>
        <w:rPr>
          <w:color w:val="auto"/>
          <w:sz w:val="24"/>
          <w:highlight w:val="none"/>
        </w:rPr>
        <w:t>喷嘴应按有关规范进行相关的工厂试验，</w:t>
      </w:r>
      <w:r>
        <w:rPr>
          <w:rFonts w:hint="eastAsia"/>
          <w:color w:val="auto"/>
          <w:sz w:val="24"/>
          <w:highlight w:val="none"/>
          <w:lang w:eastAsia="zh-CN"/>
        </w:rPr>
        <w:t>投标方</w:t>
      </w:r>
      <w:r>
        <w:rPr>
          <w:color w:val="auto"/>
          <w:sz w:val="24"/>
          <w:highlight w:val="none"/>
        </w:rPr>
        <w:t>应检验喷嘴的强度和耐磨性能，并提交车间试验证明以证实材料的选择是完美的。并且，</w:t>
      </w:r>
      <w:r>
        <w:rPr>
          <w:rFonts w:hint="eastAsia"/>
          <w:color w:val="auto"/>
          <w:sz w:val="24"/>
          <w:highlight w:val="none"/>
          <w:lang w:eastAsia="zh-CN"/>
        </w:rPr>
        <w:t>投标方</w:t>
      </w:r>
      <w:r>
        <w:rPr>
          <w:color w:val="auto"/>
          <w:sz w:val="24"/>
          <w:highlight w:val="none"/>
        </w:rPr>
        <w:t>还应进行设计压力的水压试验和性能试验，以保证完全满足技术规范的要求。并提供工厂试验证明书。</w:t>
      </w:r>
    </w:p>
    <w:p w14:paraId="0E31B2ED">
      <w:pPr>
        <w:adjustRightInd w:val="0"/>
        <w:snapToGrid w:val="0"/>
        <w:spacing w:line="360" w:lineRule="auto"/>
        <w:rPr>
          <w:color w:val="auto"/>
          <w:sz w:val="24"/>
          <w:highlight w:val="none"/>
        </w:rPr>
      </w:pPr>
      <w:r>
        <w:rPr>
          <w:color w:val="auto"/>
          <w:sz w:val="24"/>
          <w:highlight w:val="none"/>
        </w:rPr>
        <w:t>2.2.8安全阀和泄压阀</w:t>
      </w:r>
    </w:p>
    <w:p w14:paraId="40F752A1">
      <w:pPr>
        <w:adjustRightInd w:val="0"/>
        <w:snapToGrid w:val="0"/>
        <w:spacing w:line="360" w:lineRule="auto"/>
        <w:ind w:firstLine="480" w:firstLineChars="200"/>
        <w:rPr>
          <w:color w:val="auto"/>
          <w:sz w:val="24"/>
          <w:highlight w:val="none"/>
        </w:rPr>
      </w:pPr>
      <w:r>
        <w:rPr>
          <w:color w:val="auto"/>
          <w:sz w:val="24"/>
          <w:highlight w:val="none"/>
        </w:rPr>
        <w:t>材料试验。</w:t>
      </w:r>
    </w:p>
    <w:p w14:paraId="41A9D603">
      <w:pPr>
        <w:adjustRightInd w:val="0"/>
        <w:snapToGrid w:val="0"/>
        <w:spacing w:line="360" w:lineRule="auto"/>
        <w:ind w:firstLine="480" w:firstLineChars="200"/>
        <w:rPr>
          <w:color w:val="auto"/>
          <w:sz w:val="24"/>
          <w:highlight w:val="none"/>
        </w:rPr>
      </w:pPr>
      <w:r>
        <w:rPr>
          <w:color w:val="auto"/>
          <w:sz w:val="24"/>
          <w:highlight w:val="none"/>
        </w:rPr>
        <w:t>所有采用的材料应根据适用的材料规范进行测试和修理。</w:t>
      </w:r>
    </w:p>
    <w:p w14:paraId="64802096">
      <w:pPr>
        <w:adjustRightInd w:val="0"/>
        <w:snapToGrid w:val="0"/>
        <w:spacing w:line="360" w:lineRule="auto"/>
        <w:ind w:firstLine="480" w:firstLineChars="200"/>
        <w:rPr>
          <w:color w:val="auto"/>
          <w:sz w:val="24"/>
          <w:highlight w:val="none"/>
        </w:rPr>
      </w:pPr>
      <w:r>
        <w:rPr>
          <w:color w:val="auto"/>
          <w:sz w:val="24"/>
          <w:highlight w:val="none"/>
        </w:rPr>
        <w:t>供方应在阀门的数据表中指明无损探伤的范围。</w:t>
      </w:r>
    </w:p>
    <w:p w14:paraId="52C74DEF">
      <w:pPr>
        <w:adjustRightInd w:val="0"/>
        <w:snapToGrid w:val="0"/>
        <w:spacing w:line="360" w:lineRule="auto"/>
        <w:ind w:firstLine="480" w:firstLineChars="200"/>
        <w:rPr>
          <w:color w:val="auto"/>
          <w:sz w:val="24"/>
          <w:highlight w:val="none"/>
        </w:rPr>
      </w:pPr>
      <w:r>
        <w:rPr>
          <w:color w:val="auto"/>
          <w:sz w:val="24"/>
          <w:highlight w:val="none"/>
        </w:rPr>
        <w:t>工厂试验。</w:t>
      </w:r>
    </w:p>
    <w:p w14:paraId="097673EC">
      <w:pPr>
        <w:adjustRightInd w:val="0"/>
        <w:snapToGrid w:val="0"/>
        <w:spacing w:line="360" w:lineRule="auto"/>
        <w:ind w:firstLine="480" w:firstLineChars="200"/>
        <w:rPr>
          <w:color w:val="auto"/>
          <w:sz w:val="24"/>
          <w:highlight w:val="none"/>
        </w:rPr>
      </w:pPr>
      <w:r>
        <w:rPr>
          <w:color w:val="auto"/>
          <w:sz w:val="24"/>
          <w:highlight w:val="none"/>
        </w:rPr>
        <w:t>安全阀和泄压阀进口侧的连接和喷嘴应以最大设计设定压力的1.5倍进行水压试验，同时其出口侧也应以排汽设计压力的1.5倍进行水压试验。所有用于蒸汽及气体的阀门的阀座应按ASME规范的要求进行压力试验。在设定值的90%时不得有声音或看得见的泄漏。用作不锈钢阀门试验的水其氯化物的含量不得超过100ppm。</w:t>
      </w:r>
    </w:p>
    <w:p w14:paraId="27CD0D7B">
      <w:pPr>
        <w:spacing w:line="360" w:lineRule="auto"/>
        <w:outlineLvl w:val="2"/>
        <w:rPr>
          <w:b/>
          <w:color w:val="auto"/>
          <w:sz w:val="24"/>
          <w:highlight w:val="none"/>
        </w:rPr>
      </w:pPr>
      <w:bookmarkStart w:id="309" w:name="_Toc482189993"/>
      <w:r>
        <w:rPr>
          <w:b/>
          <w:color w:val="auto"/>
          <w:sz w:val="24"/>
          <w:highlight w:val="none"/>
        </w:rPr>
        <w:t>2.3 电气设备</w:t>
      </w:r>
      <w:bookmarkEnd w:id="309"/>
    </w:p>
    <w:p w14:paraId="26FA97B5">
      <w:pPr>
        <w:adjustRightInd w:val="0"/>
        <w:snapToGrid w:val="0"/>
        <w:spacing w:line="360" w:lineRule="auto"/>
        <w:ind w:firstLine="480" w:firstLineChars="200"/>
        <w:rPr>
          <w:color w:val="auto"/>
          <w:sz w:val="24"/>
          <w:highlight w:val="none"/>
        </w:rPr>
      </w:pPr>
      <w:r>
        <w:rPr>
          <w:color w:val="auto"/>
          <w:sz w:val="24"/>
          <w:highlight w:val="none"/>
        </w:rPr>
        <w:t>除非另外协商同意，电气设备应根据GB、DL标准相关内容进行试验。</w:t>
      </w:r>
      <w:r>
        <w:rPr>
          <w:rFonts w:hint="eastAsia"/>
          <w:color w:val="auto"/>
          <w:sz w:val="24"/>
          <w:highlight w:val="none"/>
          <w:lang w:eastAsia="zh-CN"/>
        </w:rPr>
        <w:t>投标方</w:t>
      </w:r>
      <w:r>
        <w:rPr>
          <w:color w:val="auto"/>
          <w:sz w:val="24"/>
          <w:highlight w:val="none"/>
        </w:rPr>
        <w:t>应提交试验报告和产品试验报告给</w:t>
      </w:r>
      <w:r>
        <w:rPr>
          <w:rFonts w:hint="eastAsia"/>
          <w:color w:val="auto"/>
          <w:sz w:val="24"/>
          <w:highlight w:val="none"/>
          <w:lang w:eastAsia="zh-CN"/>
        </w:rPr>
        <w:t>招标方</w:t>
      </w:r>
      <w:r>
        <w:rPr>
          <w:color w:val="auto"/>
          <w:sz w:val="24"/>
          <w:highlight w:val="none"/>
        </w:rPr>
        <w:t>以便审查。</w:t>
      </w:r>
    </w:p>
    <w:p w14:paraId="3640FE32">
      <w:pPr>
        <w:spacing w:line="360" w:lineRule="auto"/>
        <w:outlineLvl w:val="2"/>
        <w:rPr>
          <w:b/>
          <w:color w:val="auto"/>
          <w:sz w:val="24"/>
          <w:highlight w:val="none"/>
        </w:rPr>
      </w:pPr>
      <w:bookmarkStart w:id="310" w:name="_Toc482189994"/>
      <w:r>
        <w:rPr>
          <w:b/>
          <w:color w:val="auto"/>
          <w:sz w:val="24"/>
          <w:highlight w:val="none"/>
        </w:rPr>
        <w:t>2.4 仪表及控制设备</w:t>
      </w:r>
      <w:bookmarkEnd w:id="310"/>
    </w:p>
    <w:p w14:paraId="0AE540B1">
      <w:pPr>
        <w:adjustRightInd w:val="0"/>
        <w:snapToGrid w:val="0"/>
        <w:spacing w:line="360" w:lineRule="auto"/>
        <w:ind w:firstLine="480" w:firstLineChars="200"/>
        <w:rPr>
          <w:color w:val="auto"/>
          <w:sz w:val="24"/>
          <w:highlight w:val="none"/>
        </w:rPr>
      </w:pPr>
      <w:r>
        <w:rPr>
          <w:color w:val="auto"/>
          <w:sz w:val="24"/>
          <w:highlight w:val="none"/>
        </w:rPr>
        <w:t>除非另外协商同意，仪表及控制设备应根据GB、DL标准相关内容进行试验。</w:t>
      </w:r>
      <w:r>
        <w:rPr>
          <w:rFonts w:hint="eastAsia"/>
          <w:color w:val="auto"/>
          <w:sz w:val="24"/>
          <w:highlight w:val="none"/>
          <w:lang w:eastAsia="zh-CN"/>
        </w:rPr>
        <w:t>投标方</w:t>
      </w:r>
      <w:r>
        <w:rPr>
          <w:color w:val="auto"/>
          <w:sz w:val="24"/>
          <w:highlight w:val="none"/>
        </w:rPr>
        <w:t>应提交试验报告和产品试验报告给</w:t>
      </w:r>
      <w:r>
        <w:rPr>
          <w:rFonts w:hint="eastAsia"/>
          <w:color w:val="auto"/>
          <w:sz w:val="24"/>
          <w:highlight w:val="none"/>
          <w:lang w:eastAsia="zh-CN"/>
        </w:rPr>
        <w:t>招标方</w:t>
      </w:r>
      <w:r>
        <w:rPr>
          <w:color w:val="auto"/>
          <w:sz w:val="24"/>
          <w:highlight w:val="none"/>
        </w:rPr>
        <w:t>以便审查。</w:t>
      </w:r>
    </w:p>
    <w:p w14:paraId="335092E7">
      <w:pPr>
        <w:pStyle w:val="3"/>
        <w:spacing w:before="156" w:after="156"/>
        <w:rPr>
          <w:rFonts w:hint="default" w:ascii="Times New Roman" w:hAnsi="Times New Roman" w:eastAsia="宋体"/>
          <w:color w:val="auto"/>
          <w:sz w:val="28"/>
          <w:szCs w:val="28"/>
          <w:highlight w:val="none"/>
        </w:rPr>
      </w:pPr>
      <w:bookmarkStart w:id="311" w:name="_Toc14669"/>
      <w:bookmarkStart w:id="312" w:name="_Toc1498"/>
      <w:bookmarkStart w:id="313" w:name="_Toc76112580"/>
      <w:bookmarkStart w:id="314" w:name="_Toc2367"/>
      <w:bookmarkStart w:id="315" w:name="_Toc482189999"/>
      <w:bookmarkStart w:id="316" w:name="_Toc6581"/>
      <w:bookmarkStart w:id="317" w:name="_Toc16585"/>
      <w:bookmarkStart w:id="318" w:name="_Toc414993435"/>
      <w:bookmarkStart w:id="319" w:name="_Toc26333"/>
      <w:r>
        <w:rPr>
          <w:rFonts w:hint="default" w:ascii="Times New Roman" w:hAnsi="Times New Roman" w:eastAsia="宋体"/>
          <w:color w:val="auto"/>
          <w:sz w:val="28"/>
          <w:szCs w:val="28"/>
          <w:highlight w:val="none"/>
        </w:rPr>
        <w:t>3调试</w:t>
      </w:r>
      <w:bookmarkEnd w:id="311"/>
      <w:bookmarkEnd w:id="312"/>
      <w:bookmarkEnd w:id="313"/>
      <w:bookmarkEnd w:id="314"/>
      <w:bookmarkEnd w:id="315"/>
      <w:bookmarkEnd w:id="316"/>
      <w:bookmarkEnd w:id="317"/>
      <w:bookmarkEnd w:id="318"/>
      <w:bookmarkEnd w:id="319"/>
    </w:p>
    <w:p w14:paraId="185D251B">
      <w:pPr>
        <w:adjustRightInd w:val="0"/>
        <w:snapToGrid w:val="0"/>
        <w:spacing w:line="360" w:lineRule="auto"/>
        <w:ind w:firstLine="480" w:firstLineChars="200"/>
        <w:rPr>
          <w:color w:val="auto"/>
          <w:sz w:val="24"/>
          <w:highlight w:val="none"/>
        </w:rPr>
      </w:pPr>
      <w:r>
        <w:rPr>
          <w:color w:val="auto"/>
          <w:sz w:val="24"/>
          <w:highlight w:val="none"/>
        </w:rPr>
        <w:t>在机械安装、保温及现场检验和试验工作全部完成，且施工单位完成单机试运之后，可进行脱硫系统的分系统试运，经合格后可进行脱硫系统整套启动；脱硫系统整套启动合格后可进行性能考核试验。</w:t>
      </w:r>
    </w:p>
    <w:p w14:paraId="130F6A4C">
      <w:pPr>
        <w:adjustRightInd w:val="0"/>
        <w:snapToGrid w:val="0"/>
        <w:spacing w:line="360" w:lineRule="auto"/>
        <w:ind w:firstLine="480" w:firstLineChars="200"/>
        <w:rPr>
          <w:color w:val="auto"/>
          <w:sz w:val="24"/>
          <w:highlight w:val="none"/>
        </w:rPr>
      </w:pPr>
      <w:r>
        <w:rPr>
          <w:color w:val="auto"/>
          <w:sz w:val="24"/>
          <w:highlight w:val="none"/>
        </w:rPr>
        <w:t>分系统试运试验应在设备、分系统安装完毕后进行，并应消除所发现的缺陷。</w:t>
      </w:r>
    </w:p>
    <w:p w14:paraId="45C99F8E">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应对设备调试过程的所供设备的消缺工作负责。</w:t>
      </w:r>
    </w:p>
    <w:p w14:paraId="5587337D">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应派技术人员到现场指导</w:t>
      </w:r>
      <w:r>
        <w:rPr>
          <w:rFonts w:hint="eastAsia"/>
          <w:color w:val="auto"/>
          <w:sz w:val="24"/>
          <w:highlight w:val="none"/>
          <w:lang w:eastAsia="zh-CN"/>
        </w:rPr>
        <w:t>招标方</w:t>
      </w:r>
      <w:r>
        <w:rPr>
          <w:color w:val="auto"/>
          <w:sz w:val="24"/>
          <w:highlight w:val="none"/>
        </w:rPr>
        <w:t>操作人员正确处理和操作系统和设备。在脱硫系统调试前，</w:t>
      </w:r>
      <w:r>
        <w:rPr>
          <w:rFonts w:hint="eastAsia"/>
          <w:color w:val="auto"/>
          <w:sz w:val="24"/>
          <w:highlight w:val="none"/>
          <w:lang w:eastAsia="zh-CN"/>
        </w:rPr>
        <w:t>投标方</w:t>
      </w:r>
      <w:r>
        <w:rPr>
          <w:color w:val="auto"/>
          <w:sz w:val="24"/>
          <w:highlight w:val="none"/>
        </w:rPr>
        <w:t>应协助</w:t>
      </w:r>
      <w:r>
        <w:rPr>
          <w:rFonts w:hint="eastAsia"/>
          <w:color w:val="auto"/>
          <w:sz w:val="24"/>
          <w:highlight w:val="none"/>
          <w:lang w:eastAsia="zh-CN"/>
        </w:rPr>
        <w:t>招标方</w:t>
      </w:r>
      <w:r>
        <w:rPr>
          <w:color w:val="auto"/>
          <w:sz w:val="24"/>
          <w:highlight w:val="none"/>
        </w:rPr>
        <w:t>编制完整的脱硫系统调试方案，包括分系统调试和整套启动调试的详细文件，并协助进行调试工作。脱硫系统调试的时间和负荷范围与</w:t>
      </w:r>
      <w:r>
        <w:rPr>
          <w:rFonts w:hint="eastAsia"/>
          <w:color w:val="auto"/>
          <w:sz w:val="24"/>
          <w:highlight w:val="none"/>
          <w:lang w:eastAsia="zh-CN"/>
        </w:rPr>
        <w:t>招标方</w:t>
      </w:r>
      <w:r>
        <w:rPr>
          <w:color w:val="auto"/>
          <w:sz w:val="24"/>
          <w:highlight w:val="none"/>
        </w:rPr>
        <w:t>共同商定。</w:t>
      </w:r>
    </w:p>
    <w:p w14:paraId="2D0DD9FD">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应负责为调试提供必需的试验仪器和工具。</w:t>
      </w:r>
    </w:p>
    <w:p w14:paraId="711CBB3F">
      <w:pPr>
        <w:adjustRightInd w:val="0"/>
        <w:snapToGrid w:val="0"/>
        <w:spacing w:line="360" w:lineRule="auto"/>
        <w:ind w:firstLine="480" w:firstLineChars="200"/>
        <w:rPr>
          <w:color w:val="auto"/>
          <w:sz w:val="24"/>
          <w:highlight w:val="none"/>
        </w:rPr>
      </w:pPr>
      <w:r>
        <w:rPr>
          <w:color w:val="auto"/>
          <w:sz w:val="24"/>
          <w:highlight w:val="none"/>
        </w:rPr>
        <w:t>若装置存在缺陷，</w:t>
      </w:r>
      <w:r>
        <w:rPr>
          <w:rFonts w:hint="eastAsia"/>
          <w:color w:val="auto"/>
          <w:sz w:val="24"/>
          <w:highlight w:val="none"/>
          <w:lang w:eastAsia="zh-CN"/>
        </w:rPr>
        <w:t>投标方</w:t>
      </w:r>
      <w:r>
        <w:rPr>
          <w:color w:val="auto"/>
          <w:sz w:val="24"/>
          <w:highlight w:val="none"/>
        </w:rPr>
        <w:t>应在</w:t>
      </w:r>
      <w:r>
        <w:rPr>
          <w:rFonts w:hint="eastAsia"/>
          <w:color w:val="auto"/>
          <w:sz w:val="24"/>
          <w:highlight w:val="none"/>
          <w:lang w:eastAsia="zh-CN"/>
        </w:rPr>
        <w:t>招标方</w:t>
      </w:r>
      <w:r>
        <w:rPr>
          <w:color w:val="auto"/>
          <w:sz w:val="24"/>
          <w:highlight w:val="none"/>
        </w:rPr>
        <w:t>同意的时间内消除。</w:t>
      </w:r>
    </w:p>
    <w:p w14:paraId="279A42A1">
      <w:pPr>
        <w:adjustRightInd w:val="0"/>
        <w:snapToGrid w:val="0"/>
        <w:spacing w:line="360" w:lineRule="auto"/>
        <w:ind w:firstLine="480" w:firstLineChars="200"/>
        <w:rPr>
          <w:color w:val="auto"/>
          <w:sz w:val="24"/>
          <w:highlight w:val="none"/>
        </w:rPr>
      </w:pPr>
      <w:r>
        <w:rPr>
          <w:color w:val="auto"/>
          <w:sz w:val="24"/>
          <w:highlight w:val="none"/>
        </w:rPr>
        <w:t>在调试成功结束时，</w:t>
      </w:r>
      <w:r>
        <w:rPr>
          <w:rFonts w:hint="eastAsia"/>
          <w:color w:val="auto"/>
          <w:sz w:val="24"/>
          <w:highlight w:val="none"/>
          <w:lang w:eastAsia="zh-CN"/>
        </w:rPr>
        <w:t>投标方</w:t>
      </w:r>
      <w:r>
        <w:rPr>
          <w:color w:val="auto"/>
          <w:sz w:val="24"/>
          <w:highlight w:val="none"/>
        </w:rPr>
        <w:t>应参与审核调试报告。</w:t>
      </w:r>
    </w:p>
    <w:p w14:paraId="41532463">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的调试配合工作主要包括（但不限于）：</w:t>
      </w:r>
    </w:p>
    <w:p w14:paraId="10C1C8A8">
      <w:pPr>
        <w:adjustRightInd w:val="0"/>
        <w:snapToGrid w:val="0"/>
        <w:spacing w:line="360" w:lineRule="auto"/>
        <w:ind w:firstLine="480" w:firstLineChars="200"/>
        <w:rPr>
          <w:color w:val="auto"/>
          <w:sz w:val="24"/>
          <w:highlight w:val="none"/>
        </w:rPr>
      </w:pPr>
      <w:r>
        <w:rPr>
          <w:color w:val="auto"/>
          <w:sz w:val="24"/>
          <w:highlight w:val="none"/>
        </w:rPr>
        <w:t>烟气初步测量</w:t>
      </w:r>
    </w:p>
    <w:p w14:paraId="495DB0C3">
      <w:pPr>
        <w:adjustRightInd w:val="0"/>
        <w:snapToGrid w:val="0"/>
        <w:spacing w:line="360" w:lineRule="auto"/>
        <w:ind w:firstLine="480" w:firstLineChars="200"/>
        <w:rPr>
          <w:color w:val="auto"/>
          <w:sz w:val="24"/>
          <w:highlight w:val="none"/>
        </w:rPr>
      </w:pPr>
      <w:r>
        <w:rPr>
          <w:color w:val="auto"/>
          <w:sz w:val="24"/>
          <w:highlight w:val="none"/>
        </w:rPr>
        <w:t>在引入烟气的准备工作完成后，烟气应在脱硫系统满负荷及35%负荷下进行烟气初步测量，包括烟温和烟气组分。</w:t>
      </w:r>
    </w:p>
    <w:p w14:paraId="39EDFEE8">
      <w:pPr>
        <w:adjustRightInd w:val="0"/>
        <w:snapToGrid w:val="0"/>
        <w:spacing w:line="360" w:lineRule="auto"/>
        <w:ind w:firstLine="480" w:firstLineChars="200"/>
        <w:rPr>
          <w:color w:val="auto"/>
          <w:sz w:val="24"/>
          <w:highlight w:val="none"/>
        </w:rPr>
      </w:pPr>
      <w:r>
        <w:rPr>
          <w:color w:val="auto"/>
          <w:sz w:val="24"/>
          <w:highlight w:val="none"/>
        </w:rPr>
        <w:t>功能试验</w:t>
      </w:r>
    </w:p>
    <w:p w14:paraId="7DC419CC">
      <w:pPr>
        <w:adjustRightInd w:val="0"/>
        <w:snapToGrid w:val="0"/>
        <w:spacing w:line="360" w:lineRule="auto"/>
        <w:ind w:firstLine="480" w:firstLineChars="200"/>
        <w:rPr>
          <w:color w:val="auto"/>
          <w:sz w:val="24"/>
          <w:highlight w:val="none"/>
        </w:rPr>
      </w:pPr>
      <w:r>
        <w:rPr>
          <w:color w:val="auto"/>
          <w:sz w:val="24"/>
          <w:highlight w:val="none"/>
        </w:rPr>
        <w:t>脱硫系统应能在负荷从0%—100%变动时无故障运行。并应进行负荷降低试验和冷热启动试验。</w:t>
      </w:r>
    </w:p>
    <w:p w14:paraId="0AFD9133">
      <w:pPr>
        <w:adjustRightInd w:val="0"/>
        <w:snapToGrid w:val="0"/>
        <w:spacing w:line="360" w:lineRule="auto"/>
        <w:ind w:firstLine="480" w:firstLineChars="200"/>
        <w:rPr>
          <w:color w:val="auto"/>
          <w:sz w:val="24"/>
          <w:highlight w:val="none"/>
        </w:rPr>
      </w:pPr>
      <w:r>
        <w:rPr>
          <w:color w:val="auto"/>
          <w:sz w:val="24"/>
          <w:highlight w:val="none"/>
        </w:rPr>
        <w:t>效率试验</w:t>
      </w:r>
    </w:p>
    <w:p w14:paraId="75AA1D81">
      <w:pPr>
        <w:adjustRightInd w:val="0"/>
        <w:snapToGrid w:val="0"/>
        <w:spacing w:line="360" w:lineRule="auto"/>
        <w:ind w:firstLine="480" w:firstLineChars="200"/>
        <w:rPr>
          <w:color w:val="auto"/>
          <w:sz w:val="24"/>
          <w:highlight w:val="none"/>
        </w:rPr>
      </w:pPr>
      <w:r>
        <w:rPr>
          <w:color w:val="auto"/>
          <w:sz w:val="24"/>
          <w:highlight w:val="none"/>
        </w:rPr>
        <w:t>在脱硫系统检查完成并进行了必要的调整后，应进行效率试验和试运行的准备。</w:t>
      </w:r>
    </w:p>
    <w:p w14:paraId="60CCD97F">
      <w:pPr>
        <w:adjustRightInd w:val="0"/>
        <w:snapToGrid w:val="0"/>
        <w:spacing w:line="360" w:lineRule="auto"/>
        <w:ind w:firstLine="480" w:firstLineChars="200"/>
        <w:rPr>
          <w:color w:val="auto"/>
          <w:sz w:val="24"/>
          <w:highlight w:val="none"/>
        </w:rPr>
      </w:pPr>
      <w:r>
        <w:rPr>
          <w:color w:val="auto"/>
          <w:sz w:val="24"/>
          <w:highlight w:val="none"/>
        </w:rPr>
        <w:t>效率试验应包括以下测试：</w:t>
      </w:r>
    </w:p>
    <w:p w14:paraId="46E68FD8">
      <w:pPr>
        <w:numPr>
          <w:ilvl w:val="0"/>
          <w:numId w:val="28"/>
        </w:numPr>
        <w:adjustRightInd w:val="0"/>
        <w:snapToGrid w:val="0"/>
        <w:spacing w:line="360" w:lineRule="auto"/>
        <w:rPr>
          <w:color w:val="auto"/>
          <w:sz w:val="24"/>
          <w:highlight w:val="none"/>
        </w:rPr>
      </w:pPr>
      <w:r>
        <w:rPr>
          <w:color w:val="auto"/>
          <w:sz w:val="24"/>
          <w:highlight w:val="none"/>
        </w:rPr>
        <w:t>SO</w:t>
      </w:r>
      <w:r>
        <w:rPr>
          <w:color w:val="auto"/>
          <w:sz w:val="24"/>
          <w:highlight w:val="none"/>
          <w:vertAlign w:val="subscript"/>
        </w:rPr>
        <w:t>2</w:t>
      </w:r>
      <w:r>
        <w:rPr>
          <w:color w:val="auto"/>
          <w:sz w:val="24"/>
          <w:highlight w:val="none"/>
        </w:rPr>
        <w:t>去除效率</w:t>
      </w:r>
    </w:p>
    <w:p w14:paraId="3234D96A">
      <w:pPr>
        <w:numPr>
          <w:ilvl w:val="0"/>
          <w:numId w:val="28"/>
        </w:numPr>
        <w:adjustRightInd w:val="0"/>
        <w:snapToGrid w:val="0"/>
        <w:spacing w:line="360" w:lineRule="auto"/>
        <w:rPr>
          <w:color w:val="auto"/>
          <w:sz w:val="24"/>
          <w:highlight w:val="none"/>
        </w:rPr>
      </w:pPr>
      <w:r>
        <w:rPr>
          <w:color w:val="auto"/>
          <w:sz w:val="24"/>
          <w:highlight w:val="none"/>
        </w:rPr>
        <w:t>石灰石消耗</w:t>
      </w:r>
    </w:p>
    <w:p w14:paraId="6C53B2FE">
      <w:pPr>
        <w:numPr>
          <w:ilvl w:val="0"/>
          <w:numId w:val="28"/>
        </w:numPr>
        <w:adjustRightInd w:val="0"/>
        <w:snapToGrid w:val="0"/>
        <w:spacing w:line="360" w:lineRule="auto"/>
        <w:rPr>
          <w:color w:val="auto"/>
          <w:sz w:val="24"/>
          <w:highlight w:val="none"/>
        </w:rPr>
      </w:pPr>
      <w:r>
        <w:rPr>
          <w:color w:val="auto"/>
          <w:sz w:val="24"/>
          <w:highlight w:val="none"/>
        </w:rPr>
        <w:t>电耗</w:t>
      </w:r>
    </w:p>
    <w:p w14:paraId="4DF5C077">
      <w:pPr>
        <w:numPr>
          <w:ilvl w:val="0"/>
          <w:numId w:val="28"/>
        </w:numPr>
        <w:spacing w:line="360" w:lineRule="auto"/>
        <w:rPr>
          <w:color w:val="auto"/>
          <w:sz w:val="24"/>
          <w:highlight w:val="none"/>
        </w:rPr>
      </w:pPr>
      <w:r>
        <w:rPr>
          <w:color w:val="auto"/>
          <w:sz w:val="24"/>
          <w:highlight w:val="none"/>
        </w:rPr>
        <w:t>烟道排放口的烟尘浓度</w:t>
      </w:r>
    </w:p>
    <w:p w14:paraId="1D20D3A3">
      <w:pPr>
        <w:numPr>
          <w:ilvl w:val="0"/>
          <w:numId w:val="28"/>
        </w:numPr>
        <w:spacing w:line="360" w:lineRule="auto"/>
        <w:rPr>
          <w:color w:val="auto"/>
          <w:sz w:val="24"/>
          <w:highlight w:val="none"/>
        </w:rPr>
      </w:pPr>
      <w:r>
        <w:rPr>
          <w:color w:val="auto"/>
          <w:sz w:val="24"/>
          <w:highlight w:val="none"/>
        </w:rPr>
        <w:t>阻力</w:t>
      </w:r>
    </w:p>
    <w:p w14:paraId="44DD44D8">
      <w:pPr>
        <w:pStyle w:val="3"/>
        <w:spacing w:before="156" w:after="156"/>
        <w:rPr>
          <w:rFonts w:hint="default" w:ascii="Times New Roman" w:hAnsi="Times New Roman" w:eastAsia="宋体"/>
          <w:color w:val="auto"/>
          <w:sz w:val="28"/>
          <w:szCs w:val="28"/>
          <w:highlight w:val="none"/>
        </w:rPr>
      </w:pPr>
      <w:bookmarkStart w:id="320" w:name="_Toc14929"/>
      <w:bookmarkStart w:id="321" w:name="_Toc15851"/>
      <w:bookmarkStart w:id="322" w:name="_Toc5813"/>
      <w:bookmarkStart w:id="323" w:name="_Toc414993436"/>
      <w:bookmarkStart w:id="324" w:name="_Toc11141"/>
      <w:bookmarkStart w:id="325" w:name="_Toc482190000"/>
      <w:bookmarkStart w:id="326" w:name="_Toc19146"/>
      <w:bookmarkStart w:id="327" w:name="_Toc1340"/>
      <w:r>
        <w:rPr>
          <w:rFonts w:hint="default" w:ascii="Times New Roman" w:hAnsi="Times New Roman" w:eastAsia="宋体"/>
          <w:color w:val="auto"/>
          <w:sz w:val="28"/>
          <w:szCs w:val="28"/>
          <w:highlight w:val="none"/>
        </w:rPr>
        <w:t>4商业运行</w:t>
      </w:r>
      <w:bookmarkEnd w:id="320"/>
      <w:bookmarkEnd w:id="321"/>
      <w:bookmarkEnd w:id="322"/>
      <w:bookmarkEnd w:id="323"/>
      <w:bookmarkEnd w:id="324"/>
      <w:bookmarkEnd w:id="325"/>
      <w:bookmarkEnd w:id="326"/>
      <w:bookmarkEnd w:id="327"/>
    </w:p>
    <w:p w14:paraId="569FAB53">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应负责解决脱硫系统在投入商业运行前发现的、属于</w:t>
      </w:r>
      <w:r>
        <w:rPr>
          <w:rFonts w:hint="eastAsia"/>
          <w:color w:val="auto"/>
          <w:sz w:val="24"/>
          <w:highlight w:val="none"/>
          <w:lang w:eastAsia="zh-CN"/>
        </w:rPr>
        <w:t>投标方</w:t>
      </w:r>
      <w:r>
        <w:rPr>
          <w:color w:val="auto"/>
          <w:sz w:val="24"/>
          <w:highlight w:val="none"/>
        </w:rPr>
        <w:t>责任的问题，确保FGD达到设计性能。</w:t>
      </w:r>
    </w:p>
    <w:p w14:paraId="3687CC7B">
      <w:pPr>
        <w:pStyle w:val="3"/>
        <w:spacing w:before="156" w:after="156"/>
        <w:rPr>
          <w:rFonts w:hint="default" w:ascii="Times New Roman" w:hAnsi="Times New Roman" w:eastAsia="宋体"/>
          <w:color w:val="auto"/>
          <w:sz w:val="28"/>
          <w:szCs w:val="28"/>
          <w:highlight w:val="none"/>
        </w:rPr>
      </w:pPr>
      <w:bookmarkStart w:id="328" w:name="_Toc14029"/>
      <w:bookmarkStart w:id="329" w:name="_Toc128"/>
      <w:bookmarkStart w:id="330" w:name="_Toc12901"/>
      <w:bookmarkStart w:id="331" w:name="_Toc482190001"/>
      <w:bookmarkStart w:id="332" w:name="_Toc24745"/>
      <w:bookmarkStart w:id="333" w:name="_Toc22276"/>
      <w:bookmarkStart w:id="334" w:name="_Toc7962"/>
      <w:r>
        <w:rPr>
          <w:rFonts w:hint="default" w:ascii="Times New Roman" w:hAnsi="Times New Roman" w:eastAsia="宋体"/>
          <w:color w:val="auto"/>
          <w:sz w:val="28"/>
          <w:szCs w:val="28"/>
          <w:highlight w:val="none"/>
        </w:rPr>
        <w:t>5性能考核试验</w:t>
      </w:r>
      <w:bookmarkEnd w:id="328"/>
      <w:bookmarkEnd w:id="329"/>
      <w:bookmarkEnd w:id="330"/>
      <w:bookmarkEnd w:id="331"/>
      <w:bookmarkEnd w:id="332"/>
      <w:bookmarkEnd w:id="333"/>
      <w:bookmarkEnd w:id="334"/>
    </w:p>
    <w:p w14:paraId="1BBE1F4C">
      <w:pPr>
        <w:adjustRightInd w:val="0"/>
        <w:snapToGrid w:val="0"/>
        <w:spacing w:line="360" w:lineRule="auto"/>
        <w:ind w:firstLine="480" w:firstLineChars="200"/>
        <w:rPr>
          <w:color w:val="auto"/>
          <w:sz w:val="24"/>
          <w:highlight w:val="none"/>
        </w:rPr>
      </w:pPr>
      <w:r>
        <w:rPr>
          <w:color w:val="auto"/>
          <w:sz w:val="24"/>
          <w:highlight w:val="none"/>
        </w:rPr>
        <w:t>性能考核试验应在脱硫系统整套启动试运行成功后的6个月内，由</w:t>
      </w:r>
      <w:r>
        <w:rPr>
          <w:rFonts w:hint="eastAsia"/>
          <w:color w:val="auto"/>
          <w:sz w:val="24"/>
          <w:highlight w:val="none"/>
          <w:lang w:eastAsia="zh-CN"/>
        </w:rPr>
        <w:t>招标方</w:t>
      </w:r>
      <w:r>
        <w:rPr>
          <w:color w:val="auto"/>
          <w:sz w:val="24"/>
          <w:highlight w:val="none"/>
        </w:rPr>
        <w:t>委托具有相应资质的、经</w:t>
      </w:r>
      <w:r>
        <w:rPr>
          <w:rFonts w:hint="eastAsia"/>
          <w:color w:val="auto"/>
          <w:sz w:val="24"/>
          <w:highlight w:val="none"/>
          <w:lang w:eastAsia="zh-CN"/>
        </w:rPr>
        <w:t>投标方</w:t>
      </w:r>
      <w:r>
        <w:rPr>
          <w:color w:val="auto"/>
          <w:sz w:val="24"/>
          <w:highlight w:val="none"/>
        </w:rPr>
        <w:t>认可的试验单位执行。</w:t>
      </w:r>
      <w:r>
        <w:rPr>
          <w:rFonts w:hint="eastAsia"/>
          <w:color w:val="auto"/>
          <w:sz w:val="24"/>
          <w:highlight w:val="none"/>
          <w:lang w:eastAsia="zh-CN"/>
        </w:rPr>
        <w:t>投标方</w:t>
      </w:r>
      <w:r>
        <w:rPr>
          <w:color w:val="auto"/>
          <w:sz w:val="24"/>
          <w:highlight w:val="none"/>
        </w:rPr>
        <w:t>有权参加性能考核试验。</w:t>
      </w:r>
    </w:p>
    <w:p w14:paraId="3901A734">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color w:val="auto"/>
          <w:sz w:val="24"/>
          <w:highlight w:val="none"/>
        </w:rPr>
      </w:pPr>
      <w:r>
        <w:rPr>
          <w:color w:val="auto"/>
          <w:sz w:val="24"/>
          <w:highlight w:val="none"/>
        </w:rPr>
        <w:t>性能考核试验的具体测试项目至少应包括：</w:t>
      </w:r>
    </w:p>
    <w:p w14:paraId="6546A648">
      <w:pPr>
        <w:numPr>
          <w:ilvl w:val="0"/>
          <w:numId w:val="28"/>
        </w:numPr>
        <w:adjustRightInd w:val="0"/>
        <w:snapToGrid w:val="0"/>
        <w:spacing w:line="360" w:lineRule="auto"/>
        <w:rPr>
          <w:color w:val="auto"/>
          <w:sz w:val="24"/>
          <w:highlight w:val="none"/>
        </w:rPr>
      </w:pPr>
      <w:r>
        <w:rPr>
          <w:rFonts w:hint="eastAsia" w:ascii="宋体" w:hAnsi="宋体" w:eastAsia="宋体" w:cs="宋体"/>
          <w:color w:val="auto"/>
          <w:sz w:val="24"/>
          <w:szCs w:val="24"/>
          <w:highlight w:val="none"/>
          <w:lang w:val="en-US" w:eastAsia="zh-CN"/>
        </w:rPr>
        <w:t>脱硫效率和排放指标</w:t>
      </w:r>
      <w:r>
        <w:rPr>
          <w:color w:val="auto"/>
          <w:sz w:val="24"/>
          <w:highlight w:val="none"/>
        </w:rPr>
        <w:t>石灰石消耗</w:t>
      </w:r>
    </w:p>
    <w:p w14:paraId="37426E51">
      <w:pPr>
        <w:numPr>
          <w:ilvl w:val="0"/>
          <w:numId w:val="28"/>
        </w:numPr>
        <w:adjustRightInd w:val="0"/>
        <w:snapToGrid w:val="0"/>
        <w:spacing w:line="360" w:lineRule="auto"/>
        <w:rPr>
          <w:color w:val="auto"/>
          <w:sz w:val="24"/>
          <w:highlight w:val="none"/>
        </w:rPr>
      </w:pPr>
      <w:r>
        <w:rPr>
          <w:rFonts w:hint="eastAsia" w:ascii="宋体" w:hAnsi="宋体" w:eastAsia="宋体" w:cs="宋体"/>
          <w:color w:val="auto"/>
          <w:sz w:val="24"/>
          <w:szCs w:val="24"/>
          <w:highlight w:val="none"/>
          <w:lang w:val="en-US" w:eastAsia="zh-CN"/>
        </w:rPr>
        <w:t>除尘性能</w:t>
      </w:r>
    </w:p>
    <w:p w14:paraId="072F2D85">
      <w:pPr>
        <w:numPr>
          <w:ilvl w:val="0"/>
          <w:numId w:val="28"/>
        </w:numPr>
        <w:adjustRightInd w:val="0"/>
        <w:snapToGrid w:val="0"/>
        <w:spacing w:line="360" w:lineRule="auto"/>
        <w:rPr>
          <w:color w:val="auto"/>
          <w:sz w:val="24"/>
          <w:highlight w:val="none"/>
        </w:rPr>
      </w:pPr>
      <w:r>
        <w:rPr>
          <w:color w:val="auto"/>
          <w:sz w:val="24"/>
          <w:highlight w:val="none"/>
        </w:rPr>
        <w:t>电脱硫装置的烟气</w:t>
      </w:r>
      <w:r>
        <w:rPr>
          <w:rFonts w:hint="eastAsia"/>
          <w:color w:val="auto"/>
          <w:sz w:val="24"/>
          <w:highlight w:val="none"/>
        </w:rPr>
        <w:t>阻力</w:t>
      </w:r>
      <w:r>
        <w:rPr>
          <w:color w:val="auto"/>
          <w:sz w:val="24"/>
          <w:highlight w:val="none"/>
        </w:rPr>
        <w:t>耗</w:t>
      </w:r>
    </w:p>
    <w:p w14:paraId="6189F761">
      <w:pPr>
        <w:numPr>
          <w:ilvl w:val="-1"/>
          <w:numId w:val="0"/>
        </w:numPr>
        <w:adjustRightInd w:val="0"/>
        <w:snapToGrid w:val="0"/>
        <w:spacing w:line="360" w:lineRule="auto"/>
        <w:ind w:left="480" w:firstLine="0"/>
        <w:rPr>
          <w:color w:val="auto"/>
          <w:sz w:val="24"/>
          <w:highlight w:val="none"/>
        </w:rPr>
      </w:pPr>
    </w:p>
    <w:p w14:paraId="64ED8FAF">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1DBBD09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73E79C42">
      <w:pPr>
        <w:spacing w:line="360" w:lineRule="auto"/>
        <w:rPr>
          <w:color w:val="auto"/>
          <w:sz w:val="24"/>
          <w:highlight w:val="none"/>
        </w:rPr>
      </w:pPr>
      <w:r>
        <w:rPr>
          <w:color w:val="auto"/>
          <w:sz w:val="24"/>
          <w:highlight w:val="none"/>
        </w:rPr>
        <w:t>5.1</w:t>
      </w:r>
      <w:r>
        <w:rPr>
          <w:color w:val="auto"/>
          <w:sz w:val="24"/>
          <w:highlight w:val="none"/>
        </w:rPr>
        <w:tab/>
      </w:r>
      <w:r>
        <w:rPr>
          <w:color w:val="auto"/>
          <w:sz w:val="24"/>
          <w:highlight w:val="none"/>
        </w:rPr>
        <w:t>性能验收试验由</w:t>
      </w:r>
      <w:r>
        <w:rPr>
          <w:rFonts w:hint="eastAsia"/>
          <w:color w:val="auto"/>
          <w:sz w:val="24"/>
          <w:highlight w:val="none"/>
          <w:lang w:eastAsia="zh-CN"/>
        </w:rPr>
        <w:t>招标方</w:t>
      </w:r>
      <w:r>
        <w:rPr>
          <w:color w:val="auto"/>
          <w:sz w:val="24"/>
          <w:highlight w:val="none"/>
        </w:rPr>
        <w:t>主持，</w:t>
      </w:r>
      <w:r>
        <w:rPr>
          <w:rFonts w:hint="eastAsia"/>
          <w:color w:val="auto"/>
          <w:sz w:val="24"/>
          <w:highlight w:val="none"/>
          <w:lang w:eastAsia="zh-CN"/>
        </w:rPr>
        <w:t>投标方</w:t>
      </w:r>
      <w:r>
        <w:rPr>
          <w:color w:val="auto"/>
          <w:sz w:val="24"/>
          <w:highlight w:val="none"/>
        </w:rPr>
        <w:t>参加。试验大纲由</w:t>
      </w:r>
      <w:r>
        <w:rPr>
          <w:rFonts w:hint="eastAsia"/>
          <w:color w:val="auto"/>
          <w:sz w:val="24"/>
          <w:highlight w:val="none"/>
          <w:lang w:eastAsia="zh-CN"/>
        </w:rPr>
        <w:t>招标方</w:t>
      </w:r>
      <w:r>
        <w:rPr>
          <w:color w:val="auto"/>
          <w:sz w:val="24"/>
          <w:highlight w:val="none"/>
        </w:rPr>
        <w:t>提供，与</w:t>
      </w:r>
      <w:r>
        <w:rPr>
          <w:rFonts w:hint="eastAsia"/>
          <w:color w:val="auto"/>
          <w:sz w:val="24"/>
          <w:highlight w:val="none"/>
          <w:lang w:eastAsia="zh-CN"/>
        </w:rPr>
        <w:t>投标方</w:t>
      </w:r>
      <w:r>
        <w:rPr>
          <w:color w:val="auto"/>
          <w:sz w:val="24"/>
          <w:highlight w:val="none"/>
        </w:rPr>
        <w:t>讨论后确定。</w:t>
      </w:r>
    </w:p>
    <w:p w14:paraId="0A4759B6">
      <w:pPr>
        <w:spacing w:line="360" w:lineRule="auto"/>
        <w:rPr>
          <w:color w:val="auto"/>
          <w:sz w:val="24"/>
          <w:highlight w:val="none"/>
        </w:rPr>
      </w:pPr>
      <w:r>
        <w:rPr>
          <w:color w:val="auto"/>
          <w:sz w:val="24"/>
          <w:highlight w:val="none"/>
        </w:rPr>
        <w:t>5.</w:t>
      </w:r>
      <w:r>
        <w:rPr>
          <w:rFonts w:hint="eastAsia"/>
          <w:color w:val="auto"/>
          <w:sz w:val="24"/>
          <w:highlight w:val="none"/>
        </w:rPr>
        <w:t>2</w:t>
      </w:r>
      <w:r>
        <w:rPr>
          <w:color w:val="auto"/>
          <w:sz w:val="24"/>
          <w:highlight w:val="none"/>
        </w:rPr>
        <w:tab/>
      </w:r>
      <w:r>
        <w:rPr>
          <w:color w:val="auto"/>
          <w:sz w:val="24"/>
          <w:highlight w:val="none"/>
        </w:rPr>
        <w:t>如试验在现场进行，由</w:t>
      </w:r>
      <w:r>
        <w:rPr>
          <w:rFonts w:hint="eastAsia"/>
          <w:color w:val="auto"/>
          <w:sz w:val="24"/>
          <w:highlight w:val="none"/>
          <w:lang w:eastAsia="zh-CN"/>
        </w:rPr>
        <w:t>招标方</w:t>
      </w:r>
      <w:r>
        <w:rPr>
          <w:color w:val="auto"/>
          <w:sz w:val="24"/>
          <w:highlight w:val="none"/>
        </w:rPr>
        <w:t>承担；在</w:t>
      </w:r>
      <w:r>
        <w:rPr>
          <w:rFonts w:hint="eastAsia"/>
          <w:color w:val="auto"/>
          <w:sz w:val="24"/>
          <w:highlight w:val="none"/>
          <w:lang w:eastAsia="zh-CN"/>
        </w:rPr>
        <w:t>投标方</w:t>
      </w:r>
      <w:r>
        <w:rPr>
          <w:color w:val="auto"/>
          <w:sz w:val="24"/>
          <w:highlight w:val="none"/>
        </w:rPr>
        <w:t>工厂进行，则已包含在合同总价之中。</w:t>
      </w:r>
    </w:p>
    <w:p w14:paraId="0D88DCA7">
      <w:pPr>
        <w:spacing w:line="360" w:lineRule="auto"/>
        <w:rPr>
          <w:color w:val="auto"/>
          <w:sz w:val="24"/>
          <w:highlight w:val="none"/>
        </w:rPr>
      </w:pPr>
      <w:r>
        <w:rPr>
          <w:color w:val="auto"/>
          <w:sz w:val="24"/>
          <w:highlight w:val="none"/>
        </w:rPr>
        <w:t>5.</w:t>
      </w:r>
      <w:r>
        <w:rPr>
          <w:rFonts w:hint="eastAsia"/>
          <w:color w:val="auto"/>
          <w:sz w:val="24"/>
          <w:highlight w:val="none"/>
        </w:rPr>
        <w:t>3</w:t>
      </w:r>
      <w:r>
        <w:rPr>
          <w:color w:val="auto"/>
          <w:sz w:val="24"/>
          <w:highlight w:val="none"/>
        </w:rPr>
        <w:tab/>
      </w:r>
      <w:r>
        <w:rPr>
          <w:color w:val="auto"/>
          <w:sz w:val="24"/>
          <w:highlight w:val="none"/>
        </w:rPr>
        <w:t>性能验收试验结果的确认</w:t>
      </w:r>
    </w:p>
    <w:p w14:paraId="63C72E9E">
      <w:pPr>
        <w:adjustRightInd w:val="0"/>
        <w:snapToGrid w:val="0"/>
        <w:spacing w:line="360" w:lineRule="auto"/>
        <w:ind w:firstLine="480" w:firstLineChars="200"/>
        <w:rPr>
          <w:color w:val="auto"/>
          <w:sz w:val="24"/>
          <w:highlight w:val="none"/>
        </w:rPr>
      </w:pPr>
      <w:r>
        <w:rPr>
          <w:color w:val="auto"/>
          <w:sz w:val="24"/>
          <w:highlight w:val="none"/>
        </w:rPr>
        <w:t>性能验收试验报告以</w:t>
      </w:r>
      <w:r>
        <w:rPr>
          <w:rFonts w:hint="eastAsia"/>
          <w:color w:val="auto"/>
          <w:sz w:val="24"/>
          <w:highlight w:val="none"/>
          <w:lang w:eastAsia="zh-CN"/>
        </w:rPr>
        <w:t>招标方</w:t>
      </w:r>
      <w:r>
        <w:rPr>
          <w:color w:val="auto"/>
          <w:sz w:val="24"/>
          <w:highlight w:val="none"/>
        </w:rPr>
        <w:t>为主编写，</w:t>
      </w:r>
      <w:r>
        <w:rPr>
          <w:rFonts w:hint="eastAsia"/>
          <w:color w:val="auto"/>
          <w:sz w:val="24"/>
          <w:highlight w:val="none"/>
          <w:lang w:eastAsia="zh-CN"/>
        </w:rPr>
        <w:t>投标方</w:t>
      </w:r>
      <w:r>
        <w:rPr>
          <w:color w:val="auto"/>
          <w:sz w:val="24"/>
          <w:highlight w:val="none"/>
        </w:rPr>
        <w:t>参加，共同签章确认结论。如双方对试验的结果有不一致意见，双方协商解决；如仍不能达成一致，则提交双方上级部门协调。</w:t>
      </w:r>
    </w:p>
    <w:p w14:paraId="6D171723">
      <w:pPr>
        <w:adjustRightInd w:val="0"/>
        <w:snapToGrid w:val="0"/>
        <w:spacing w:line="360" w:lineRule="auto"/>
        <w:ind w:firstLine="480" w:firstLineChars="200"/>
        <w:rPr>
          <w:color w:val="auto"/>
          <w:sz w:val="24"/>
          <w:highlight w:val="none"/>
        </w:rPr>
      </w:pPr>
      <w:r>
        <w:rPr>
          <w:color w:val="auto"/>
          <w:sz w:val="24"/>
          <w:highlight w:val="none"/>
        </w:rPr>
        <w:t>进行性能验收试验时，一方接到另一方试验通知而不派人参加试验，则被视为对验收试验结果的同意，并进行确认签盖章。</w:t>
      </w:r>
    </w:p>
    <w:p w14:paraId="6B5429AC">
      <w:pPr>
        <w:spacing w:line="360" w:lineRule="auto"/>
        <w:outlineLvl w:val="0"/>
        <w:rPr>
          <w:bCs/>
          <w:color w:val="auto"/>
          <w:sz w:val="32"/>
          <w:highlight w:val="none"/>
        </w:rPr>
      </w:pPr>
      <w:r>
        <w:rPr>
          <w:color w:val="auto"/>
          <w:sz w:val="24"/>
          <w:highlight w:val="none"/>
        </w:rPr>
        <w:br w:type="page"/>
      </w:r>
      <w:bookmarkStart w:id="335" w:name="_Toc26557"/>
      <w:bookmarkStart w:id="336" w:name="_Toc32079"/>
      <w:bookmarkStart w:id="337" w:name="_Toc11462"/>
      <w:bookmarkStart w:id="338" w:name="_Toc14900"/>
      <w:bookmarkStart w:id="339" w:name="_Toc482190019"/>
      <w:bookmarkStart w:id="340" w:name="_Toc69036958"/>
      <w:bookmarkStart w:id="341" w:name="_Toc20534"/>
      <w:r>
        <w:rPr>
          <w:b/>
          <w:color w:val="auto"/>
          <w:sz w:val="32"/>
          <w:szCs w:val="32"/>
          <w:highlight w:val="none"/>
        </w:rPr>
        <w:t>附件7分包与外购</w:t>
      </w:r>
      <w:bookmarkEnd w:id="335"/>
      <w:bookmarkEnd w:id="336"/>
      <w:bookmarkEnd w:id="337"/>
      <w:bookmarkEnd w:id="338"/>
      <w:bookmarkEnd w:id="339"/>
      <w:bookmarkEnd w:id="340"/>
      <w:bookmarkEnd w:id="341"/>
    </w:p>
    <w:p w14:paraId="4BCDD4B9">
      <w:pPr>
        <w:pStyle w:val="3"/>
        <w:spacing w:before="156" w:after="156"/>
        <w:rPr>
          <w:rFonts w:hint="default" w:ascii="Times New Roman" w:hAnsi="Times New Roman" w:eastAsia="宋体"/>
          <w:color w:val="auto"/>
          <w:sz w:val="28"/>
          <w:szCs w:val="28"/>
          <w:highlight w:val="none"/>
        </w:rPr>
      </w:pPr>
      <w:bookmarkStart w:id="342" w:name="_Toc32126"/>
      <w:bookmarkStart w:id="343" w:name="_Toc18879"/>
      <w:bookmarkStart w:id="344" w:name="_Toc25304"/>
      <w:bookmarkStart w:id="345" w:name="_Toc482190020"/>
      <w:bookmarkStart w:id="346" w:name="_Toc28352"/>
      <w:bookmarkStart w:id="347" w:name="_Toc11150"/>
      <w:bookmarkStart w:id="348" w:name="_Toc20573"/>
      <w:r>
        <w:rPr>
          <w:rFonts w:hint="default" w:ascii="Times New Roman" w:hAnsi="Times New Roman" w:eastAsia="宋体"/>
          <w:color w:val="auto"/>
          <w:sz w:val="28"/>
          <w:szCs w:val="28"/>
          <w:highlight w:val="none"/>
        </w:rPr>
        <w:t>1 分包</w:t>
      </w:r>
      <w:bookmarkEnd w:id="342"/>
      <w:bookmarkEnd w:id="343"/>
      <w:bookmarkEnd w:id="344"/>
      <w:bookmarkEnd w:id="345"/>
      <w:bookmarkEnd w:id="346"/>
      <w:bookmarkEnd w:id="347"/>
      <w:bookmarkEnd w:id="348"/>
    </w:p>
    <w:p w14:paraId="38DCE406">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应就其拟分包的每一部分工作内容（不含设备）推荐3家以上的分包商，并按以下格式提供分包商的相关资料，供</w:t>
      </w:r>
      <w:r>
        <w:rPr>
          <w:rFonts w:hint="eastAsia"/>
          <w:color w:val="auto"/>
          <w:sz w:val="24"/>
          <w:highlight w:val="none"/>
          <w:lang w:eastAsia="zh-CN"/>
        </w:rPr>
        <w:t>招标方</w:t>
      </w:r>
      <w:r>
        <w:rPr>
          <w:color w:val="auto"/>
          <w:sz w:val="24"/>
          <w:highlight w:val="none"/>
        </w:rPr>
        <w:t>确认：</w:t>
      </w:r>
    </w:p>
    <w:p w14:paraId="268EFDE7">
      <w:pPr>
        <w:adjustRightInd w:val="0"/>
        <w:snapToGrid w:val="0"/>
        <w:spacing w:line="360" w:lineRule="auto"/>
        <w:jc w:val="center"/>
        <w:rPr>
          <w:color w:val="auto"/>
          <w:sz w:val="24"/>
          <w:highlight w:val="none"/>
        </w:rPr>
      </w:pPr>
      <w:r>
        <w:rPr>
          <w:color w:val="auto"/>
          <w:sz w:val="24"/>
          <w:highlight w:val="none"/>
        </w:rPr>
        <w:t>表</w:t>
      </w:r>
      <w:r>
        <w:rPr>
          <w:rFonts w:hint="eastAsia"/>
          <w:color w:val="auto"/>
          <w:sz w:val="24"/>
          <w:highlight w:val="none"/>
          <w:lang w:val="en-US" w:eastAsia="zh-CN"/>
        </w:rPr>
        <w:t>7</w:t>
      </w:r>
      <w:r>
        <w:rPr>
          <w:color w:val="auto"/>
          <w:sz w:val="24"/>
          <w:highlight w:val="none"/>
        </w:rPr>
        <w:t>-1-1 分包商相关资料表</w:t>
      </w:r>
    </w:p>
    <w:tbl>
      <w:tblPr>
        <w:tblStyle w:val="52"/>
        <w:tblW w:w="0" w:type="auto"/>
        <w:tblInd w:w="-12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8"/>
        <w:gridCol w:w="2102"/>
        <w:gridCol w:w="1420"/>
        <w:gridCol w:w="1420"/>
        <w:gridCol w:w="1421"/>
        <w:gridCol w:w="1421"/>
      </w:tblGrid>
      <w:tr w14:paraId="61FDFF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8" w:type="dxa"/>
            <w:noWrap w:val="0"/>
            <w:vAlign w:val="center"/>
          </w:tcPr>
          <w:p w14:paraId="1511898C">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序号</w:t>
            </w:r>
          </w:p>
        </w:tc>
        <w:tc>
          <w:tcPr>
            <w:tcW w:w="2102" w:type="dxa"/>
            <w:noWrap w:val="0"/>
            <w:vAlign w:val="center"/>
          </w:tcPr>
          <w:p w14:paraId="213ABDFC">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分包的工作内容</w:t>
            </w:r>
          </w:p>
        </w:tc>
        <w:tc>
          <w:tcPr>
            <w:tcW w:w="1420" w:type="dxa"/>
            <w:noWrap w:val="0"/>
            <w:vAlign w:val="center"/>
          </w:tcPr>
          <w:p w14:paraId="25293EA6">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分包金额</w:t>
            </w:r>
          </w:p>
        </w:tc>
        <w:tc>
          <w:tcPr>
            <w:tcW w:w="1420" w:type="dxa"/>
            <w:noWrap w:val="0"/>
            <w:vAlign w:val="center"/>
          </w:tcPr>
          <w:p w14:paraId="63F54764">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分包商名称</w:t>
            </w:r>
          </w:p>
        </w:tc>
        <w:tc>
          <w:tcPr>
            <w:tcW w:w="1421" w:type="dxa"/>
            <w:noWrap w:val="0"/>
            <w:vAlign w:val="center"/>
          </w:tcPr>
          <w:p w14:paraId="3EEA079F">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分包商相关资质</w:t>
            </w:r>
          </w:p>
        </w:tc>
        <w:tc>
          <w:tcPr>
            <w:tcW w:w="1421" w:type="dxa"/>
            <w:noWrap w:val="0"/>
            <w:vAlign w:val="center"/>
          </w:tcPr>
          <w:p w14:paraId="5AC60FEA">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b/>
                <w:color w:val="auto"/>
                <w:sz w:val="24"/>
                <w:highlight w:val="none"/>
              </w:rPr>
            </w:pPr>
            <w:r>
              <w:rPr>
                <w:rFonts w:hint="default" w:ascii="Times New Roman" w:hAnsi="Times New Roman" w:cs="Times New Roman"/>
                <w:b/>
                <w:color w:val="auto"/>
                <w:sz w:val="24"/>
                <w:highlight w:val="none"/>
              </w:rPr>
              <w:t>备注</w:t>
            </w:r>
          </w:p>
        </w:tc>
      </w:tr>
      <w:tr w14:paraId="3DE595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8" w:type="dxa"/>
            <w:vMerge w:val="restart"/>
            <w:noWrap w:val="0"/>
            <w:vAlign w:val="center"/>
          </w:tcPr>
          <w:p w14:paraId="67CDC418">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w:t>
            </w:r>
          </w:p>
        </w:tc>
        <w:tc>
          <w:tcPr>
            <w:tcW w:w="2102" w:type="dxa"/>
            <w:vMerge w:val="restart"/>
            <w:noWrap w:val="0"/>
            <w:vAlign w:val="center"/>
          </w:tcPr>
          <w:p w14:paraId="18CF491B">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r>
              <w:rPr>
                <w:rFonts w:hint="default" w:ascii="Times New Roman" w:hAnsi="Times New Roman" w:cs="Times New Roman"/>
                <w:b/>
                <w:bCs/>
                <w:color w:val="auto"/>
                <w:sz w:val="24"/>
                <w:highlight w:val="none"/>
              </w:rPr>
              <w:t>无</w:t>
            </w:r>
          </w:p>
        </w:tc>
        <w:tc>
          <w:tcPr>
            <w:tcW w:w="1420" w:type="dxa"/>
            <w:noWrap w:val="0"/>
            <w:vAlign w:val="center"/>
          </w:tcPr>
          <w:p w14:paraId="47860997">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0" w:type="dxa"/>
            <w:noWrap w:val="0"/>
            <w:vAlign w:val="center"/>
          </w:tcPr>
          <w:p w14:paraId="56D4A0CD">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1" w:type="dxa"/>
            <w:noWrap w:val="0"/>
            <w:vAlign w:val="center"/>
          </w:tcPr>
          <w:p w14:paraId="087E5D33">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1" w:type="dxa"/>
            <w:noWrap w:val="0"/>
            <w:vAlign w:val="center"/>
          </w:tcPr>
          <w:p w14:paraId="5303036A">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r>
      <w:tr w14:paraId="717CFE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8" w:type="dxa"/>
            <w:vMerge w:val="continue"/>
            <w:noWrap w:val="0"/>
            <w:vAlign w:val="center"/>
          </w:tcPr>
          <w:p w14:paraId="4A3DCDA8">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2102" w:type="dxa"/>
            <w:vMerge w:val="continue"/>
            <w:noWrap w:val="0"/>
            <w:vAlign w:val="center"/>
          </w:tcPr>
          <w:p w14:paraId="71C05921">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0" w:type="dxa"/>
            <w:noWrap w:val="0"/>
            <w:vAlign w:val="center"/>
          </w:tcPr>
          <w:p w14:paraId="777A83C4">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0" w:type="dxa"/>
            <w:noWrap w:val="0"/>
            <w:vAlign w:val="center"/>
          </w:tcPr>
          <w:p w14:paraId="614F5256">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1" w:type="dxa"/>
            <w:noWrap w:val="0"/>
            <w:vAlign w:val="center"/>
          </w:tcPr>
          <w:p w14:paraId="4BFAE555">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1" w:type="dxa"/>
            <w:noWrap w:val="0"/>
            <w:vAlign w:val="center"/>
          </w:tcPr>
          <w:p w14:paraId="721120AC">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r>
      <w:tr w14:paraId="779AC3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38" w:type="dxa"/>
            <w:vMerge w:val="continue"/>
            <w:noWrap w:val="0"/>
            <w:vAlign w:val="center"/>
          </w:tcPr>
          <w:p w14:paraId="649BEDBB">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2102" w:type="dxa"/>
            <w:vMerge w:val="continue"/>
            <w:noWrap w:val="0"/>
            <w:vAlign w:val="center"/>
          </w:tcPr>
          <w:p w14:paraId="3AD8673D">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0" w:type="dxa"/>
            <w:noWrap w:val="0"/>
            <w:vAlign w:val="center"/>
          </w:tcPr>
          <w:p w14:paraId="2CC588F9">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0" w:type="dxa"/>
            <w:noWrap w:val="0"/>
            <w:vAlign w:val="center"/>
          </w:tcPr>
          <w:p w14:paraId="14D44C93">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1" w:type="dxa"/>
            <w:noWrap w:val="0"/>
            <w:vAlign w:val="center"/>
          </w:tcPr>
          <w:p w14:paraId="1A45BBDA">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c>
          <w:tcPr>
            <w:tcW w:w="1421" w:type="dxa"/>
            <w:noWrap w:val="0"/>
            <w:vAlign w:val="center"/>
          </w:tcPr>
          <w:p w14:paraId="60521536">
            <w:pPr>
              <w:keepNext w:val="0"/>
              <w:keepLines w:val="0"/>
              <w:suppressLineNumbers w:val="0"/>
              <w:adjustRightInd w:val="0"/>
              <w:snapToGrid w:val="0"/>
              <w:spacing w:before="0" w:beforeAutospacing="0" w:after="0" w:afterAutospacing="0" w:line="360" w:lineRule="auto"/>
              <w:ind w:left="0" w:right="0"/>
              <w:jc w:val="center"/>
              <w:textAlignment w:val="baseline"/>
              <w:rPr>
                <w:rFonts w:hint="default" w:ascii="Times New Roman" w:hAnsi="Times New Roman" w:cs="Times New Roman"/>
                <w:color w:val="auto"/>
                <w:sz w:val="24"/>
                <w:highlight w:val="none"/>
              </w:rPr>
            </w:pPr>
          </w:p>
        </w:tc>
      </w:tr>
    </w:tbl>
    <w:p w14:paraId="4D17D916">
      <w:pPr>
        <w:pStyle w:val="3"/>
        <w:spacing w:before="156" w:after="156"/>
        <w:rPr>
          <w:rFonts w:hint="default" w:ascii="Times New Roman" w:hAnsi="Times New Roman" w:eastAsia="宋体"/>
          <w:color w:val="auto"/>
          <w:sz w:val="28"/>
          <w:szCs w:val="28"/>
          <w:highlight w:val="none"/>
        </w:rPr>
      </w:pPr>
      <w:bookmarkStart w:id="349" w:name="_Toc15804"/>
      <w:bookmarkStart w:id="350" w:name="_Toc5451"/>
      <w:bookmarkStart w:id="351" w:name="_Toc482190021"/>
      <w:bookmarkStart w:id="352" w:name="_Toc9635"/>
      <w:bookmarkStart w:id="353" w:name="_Toc5156"/>
      <w:bookmarkStart w:id="354" w:name="_Toc15141"/>
      <w:bookmarkStart w:id="355" w:name="_Toc21582"/>
      <w:r>
        <w:rPr>
          <w:rFonts w:hint="default" w:ascii="Times New Roman" w:hAnsi="Times New Roman" w:eastAsia="宋体"/>
          <w:color w:val="auto"/>
          <w:sz w:val="28"/>
          <w:szCs w:val="28"/>
          <w:highlight w:val="none"/>
        </w:rPr>
        <w:t>2 外购</w:t>
      </w:r>
      <w:bookmarkEnd w:id="349"/>
      <w:bookmarkEnd w:id="350"/>
      <w:bookmarkEnd w:id="351"/>
      <w:bookmarkEnd w:id="352"/>
      <w:bookmarkEnd w:id="353"/>
      <w:bookmarkEnd w:id="354"/>
      <w:bookmarkEnd w:id="355"/>
    </w:p>
    <w:p w14:paraId="67A46E9F">
      <w:pPr>
        <w:adjustRightInd w:val="0"/>
        <w:snapToGrid w:val="0"/>
        <w:spacing w:line="360" w:lineRule="auto"/>
        <w:ind w:firstLine="480" w:firstLineChars="200"/>
        <w:rPr>
          <w:color w:val="auto"/>
          <w:sz w:val="24"/>
          <w:highlight w:val="none"/>
        </w:rPr>
      </w:pPr>
      <w:r>
        <w:rPr>
          <w:rFonts w:hint="eastAsia"/>
          <w:color w:val="auto"/>
          <w:sz w:val="24"/>
          <w:highlight w:val="none"/>
          <w:lang w:eastAsia="zh-CN"/>
        </w:rPr>
        <w:t>投标方</w:t>
      </w:r>
      <w:r>
        <w:rPr>
          <w:color w:val="auto"/>
          <w:sz w:val="24"/>
          <w:highlight w:val="none"/>
        </w:rPr>
        <w:t>应采用下面表格所列供应商或相当于：</w:t>
      </w:r>
    </w:p>
    <w:p w14:paraId="1463C8B4">
      <w:pPr>
        <w:adjustRightInd w:val="0"/>
        <w:snapToGrid w:val="0"/>
        <w:spacing w:line="360" w:lineRule="auto"/>
        <w:jc w:val="center"/>
        <w:rPr>
          <w:color w:val="auto"/>
          <w:sz w:val="24"/>
          <w:highlight w:val="none"/>
        </w:rPr>
      </w:pPr>
      <w:r>
        <w:rPr>
          <w:color w:val="auto"/>
          <w:sz w:val="24"/>
          <w:highlight w:val="none"/>
        </w:rPr>
        <w:t>表</w:t>
      </w:r>
      <w:r>
        <w:rPr>
          <w:rFonts w:hint="eastAsia"/>
          <w:color w:val="auto"/>
          <w:sz w:val="24"/>
          <w:highlight w:val="none"/>
          <w:lang w:val="en-US" w:eastAsia="zh-CN"/>
        </w:rPr>
        <w:t>7</w:t>
      </w:r>
      <w:r>
        <w:rPr>
          <w:color w:val="auto"/>
          <w:sz w:val="24"/>
          <w:highlight w:val="none"/>
        </w:rPr>
        <w:t>-2-1 工艺设备的品牌要求</w:t>
      </w:r>
    </w:p>
    <w:tbl>
      <w:tblPr>
        <w:tblStyle w:val="52"/>
        <w:tblW w:w="85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773"/>
        <w:gridCol w:w="3911"/>
        <w:gridCol w:w="1838"/>
      </w:tblGrid>
      <w:tr w14:paraId="75345F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tblHeader/>
          <w:jc w:val="center"/>
        </w:trPr>
        <w:tc>
          <w:tcPr>
            <w:tcW w:w="2773" w:type="dxa"/>
            <w:noWrap w:val="0"/>
            <w:vAlign w:val="center"/>
          </w:tcPr>
          <w:p w14:paraId="266D58F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spacing w:val="10"/>
                <w:sz w:val="24"/>
                <w:highlight w:val="none"/>
              </w:rPr>
            </w:pPr>
            <w:r>
              <w:rPr>
                <w:rFonts w:hint="default" w:ascii="Times New Roman" w:hAnsi="Times New Roman" w:cs="Times New Roman"/>
                <w:b/>
                <w:color w:val="auto"/>
                <w:spacing w:val="10"/>
                <w:sz w:val="24"/>
                <w:highlight w:val="none"/>
              </w:rPr>
              <w:t>设备</w:t>
            </w:r>
          </w:p>
        </w:tc>
        <w:tc>
          <w:tcPr>
            <w:tcW w:w="3911" w:type="dxa"/>
            <w:noWrap w:val="0"/>
            <w:vAlign w:val="center"/>
          </w:tcPr>
          <w:p w14:paraId="202FC702">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color w:val="auto"/>
                <w:spacing w:val="10"/>
                <w:sz w:val="24"/>
                <w:highlight w:val="none"/>
                <w:lang w:eastAsia="zh-CN"/>
              </w:rPr>
            </w:pPr>
            <w:r>
              <w:rPr>
                <w:rFonts w:hint="eastAsia" w:cs="Times New Roman"/>
                <w:b/>
                <w:color w:val="auto"/>
                <w:spacing w:val="10"/>
                <w:sz w:val="24"/>
                <w:highlight w:val="none"/>
                <w:lang w:val="en-US" w:eastAsia="zh-CN"/>
              </w:rPr>
              <w:t>品牌</w:t>
            </w:r>
          </w:p>
        </w:tc>
        <w:tc>
          <w:tcPr>
            <w:tcW w:w="1838" w:type="dxa"/>
            <w:noWrap w:val="0"/>
            <w:vAlign w:val="center"/>
          </w:tcPr>
          <w:p w14:paraId="2680B05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spacing w:val="10"/>
                <w:sz w:val="24"/>
                <w:highlight w:val="none"/>
              </w:rPr>
            </w:pPr>
            <w:r>
              <w:rPr>
                <w:rFonts w:hint="default" w:ascii="Times New Roman" w:hAnsi="Times New Roman" w:cs="Times New Roman"/>
                <w:b/>
                <w:color w:val="auto"/>
                <w:spacing w:val="10"/>
                <w:sz w:val="24"/>
                <w:highlight w:val="none"/>
              </w:rPr>
              <w:t>备注</w:t>
            </w:r>
          </w:p>
        </w:tc>
      </w:tr>
      <w:tr w14:paraId="4AD39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4B3FFEC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spacing w:val="10"/>
                <w:sz w:val="24"/>
                <w:highlight w:val="none"/>
                <w:lang w:val="en-US" w:eastAsia="zh-CN"/>
              </w:rPr>
            </w:pPr>
            <w:r>
              <w:rPr>
                <w:rFonts w:hint="default" w:ascii="Times New Roman" w:hAnsi="Times New Roman" w:cs="Times New Roman"/>
                <w:color w:val="auto"/>
                <w:spacing w:val="10"/>
                <w:sz w:val="24"/>
                <w:highlight w:val="none"/>
              </w:rPr>
              <w:t>浆液循环泵</w:t>
            </w:r>
            <w:r>
              <w:rPr>
                <w:rFonts w:hint="eastAsia" w:cs="Times New Roman"/>
                <w:color w:val="auto"/>
                <w:spacing w:val="10"/>
                <w:sz w:val="24"/>
                <w:highlight w:val="none"/>
                <w:lang w:eastAsia="zh-CN"/>
              </w:rPr>
              <w:t>、</w:t>
            </w:r>
            <w:r>
              <w:rPr>
                <w:rFonts w:hint="eastAsia" w:cs="Times New Roman"/>
                <w:color w:val="auto"/>
                <w:spacing w:val="10"/>
                <w:sz w:val="24"/>
                <w:highlight w:val="none"/>
                <w:lang w:val="en-US" w:eastAsia="zh-CN"/>
              </w:rPr>
              <w:t>地坑泵</w:t>
            </w:r>
          </w:p>
        </w:tc>
        <w:tc>
          <w:tcPr>
            <w:tcW w:w="3911" w:type="dxa"/>
            <w:noWrap w:val="0"/>
            <w:vAlign w:val="center"/>
          </w:tcPr>
          <w:p w14:paraId="0C63264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z w:val="24"/>
                <w:highlight w:val="none"/>
              </w:rPr>
              <w:t>襄阳五二五</w:t>
            </w:r>
            <w:r>
              <w:rPr>
                <w:rFonts w:hint="eastAsia" w:ascii="Times New Roman" w:hAnsi="Times New Roman" w:cs="Times New Roman"/>
                <w:color w:val="auto"/>
                <w:sz w:val="24"/>
                <w:highlight w:val="none"/>
              </w:rPr>
              <w:t>（金属泵）</w:t>
            </w:r>
          </w:p>
        </w:tc>
        <w:tc>
          <w:tcPr>
            <w:tcW w:w="1838" w:type="dxa"/>
            <w:vMerge w:val="restart"/>
            <w:noWrap w:val="0"/>
            <w:vAlign w:val="center"/>
          </w:tcPr>
          <w:p w14:paraId="316E7C5F">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pacing w:val="10"/>
                <w:sz w:val="20"/>
                <w:szCs w:val="20"/>
                <w:highlight w:val="none"/>
              </w:rPr>
            </w:pPr>
            <w:r>
              <w:rPr>
                <w:rFonts w:hint="eastAsia" w:ascii="宋体" w:hAnsi="宋体" w:eastAsia="宋体" w:cs="宋体"/>
                <w:i w:val="0"/>
                <w:iCs w:val="0"/>
                <w:color w:val="auto"/>
                <w:kern w:val="0"/>
                <w:sz w:val="20"/>
                <w:szCs w:val="20"/>
                <w:highlight w:val="none"/>
                <w:u w:val="none"/>
                <w:lang w:val="en-US" w:eastAsia="zh-CN" w:bidi="ar"/>
              </w:rPr>
              <w:t>电机品牌：</w:t>
            </w:r>
            <w:r>
              <w:rPr>
                <w:rFonts w:hint="eastAsia" w:ascii="宋体" w:hAnsi="宋体" w:eastAsia="宋体" w:cs="宋体"/>
                <w:color w:val="auto"/>
                <w:kern w:val="0"/>
                <w:sz w:val="20"/>
                <w:szCs w:val="20"/>
                <w:highlight w:val="none"/>
                <w:u w:val="none"/>
                <w:lang w:val="en-US" w:eastAsia="zh-CN" w:bidi="ar"/>
              </w:rPr>
              <w:t>上海电气、卧龙电气、佳木斯电机、南方电机</w:t>
            </w:r>
          </w:p>
          <w:p w14:paraId="275318C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pacing w:val="10"/>
                <w:sz w:val="24"/>
                <w:highlight w:val="none"/>
                <w:lang w:val="en-US" w:eastAsia="zh-CN"/>
              </w:rPr>
            </w:pPr>
            <w:r>
              <w:rPr>
                <w:rFonts w:hint="eastAsia" w:ascii="宋体" w:hAnsi="宋体" w:eastAsia="宋体" w:cs="宋体"/>
                <w:color w:val="auto"/>
                <w:spacing w:val="10"/>
                <w:sz w:val="20"/>
                <w:szCs w:val="20"/>
                <w:highlight w:val="none"/>
              </w:rPr>
              <w:t>轴承</w:t>
            </w:r>
            <w:r>
              <w:rPr>
                <w:rFonts w:hint="eastAsia" w:ascii="宋体" w:hAnsi="宋体" w:eastAsia="宋体" w:cs="宋体"/>
                <w:color w:val="auto"/>
                <w:spacing w:val="10"/>
                <w:sz w:val="20"/>
                <w:szCs w:val="20"/>
                <w:highlight w:val="none"/>
                <w:lang w:val="en-US" w:eastAsia="zh-CN"/>
              </w:rPr>
              <w:t>哈</w:t>
            </w:r>
            <w:r>
              <w:rPr>
                <w:rFonts w:hint="eastAsia" w:ascii="宋体" w:hAnsi="宋体" w:cs="宋体"/>
                <w:color w:val="auto"/>
                <w:spacing w:val="10"/>
                <w:sz w:val="20"/>
                <w:szCs w:val="20"/>
                <w:highlight w:val="none"/>
                <w:lang w:val="en-US" w:eastAsia="zh-CN"/>
              </w:rPr>
              <w:t>尔滨、</w:t>
            </w:r>
            <w:r>
              <w:rPr>
                <w:rFonts w:hint="eastAsia" w:ascii="宋体" w:hAnsi="宋体" w:eastAsia="宋体" w:cs="宋体"/>
                <w:color w:val="auto"/>
                <w:spacing w:val="10"/>
                <w:sz w:val="20"/>
                <w:szCs w:val="20"/>
                <w:highlight w:val="none"/>
                <w:lang w:val="en-US" w:eastAsia="zh-CN"/>
              </w:rPr>
              <w:t>瓦</w:t>
            </w:r>
            <w:r>
              <w:rPr>
                <w:rFonts w:hint="eastAsia" w:ascii="宋体" w:hAnsi="宋体" w:cs="宋体"/>
                <w:color w:val="auto"/>
                <w:spacing w:val="10"/>
                <w:sz w:val="20"/>
                <w:szCs w:val="20"/>
                <w:highlight w:val="none"/>
                <w:lang w:val="en-US" w:eastAsia="zh-CN"/>
              </w:rPr>
              <w:t>房店、</w:t>
            </w:r>
            <w:r>
              <w:rPr>
                <w:rFonts w:hint="eastAsia" w:ascii="宋体" w:hAnsi="宋体" w:eastAsia="宋体" w:cs="宋体"/>
                <w:color w:val="auto"/>
                <w:spacing w:val="10"/>
                <w:sz w:val="20"/>
                <w:szCs w:val="20"/>
                <w:highlight w:val="none"/>
                <w:lang w:val="en-US" w:eastAsia="zh-CN"/>
              </w:rPr>
              <w:t>洛</w:t>
            </w:r>
            <w:r>
              <w:rPr>
                <w:rFonts w:hint="eastAsia" w:ascii="宋体" w:hAnsi="宋体" w:cs="宋体"/>
                <w:color w:val="auto"/>
                <w:spacing w:val="10"/>
                <w:sz w:val="20"/>
                <w:szCs w:val="20"/>
                <w:highlight w:val="none"/>
                <w:lang w:val="en-US" w:eastAsia="zh-CN"/>
              </w:rPr>
              <w:t>阳</w:t>
            </w:r>
            <w:r>
              <w:rPr>
                <w:rFonts w:hint="eastAsia" w:ascii="宋体" w:hAnsi="宋体" w:eastAsia="宋体" w:cs="宋体"/>
                <w:color w:val="auto"/>
                <w:spacing w:val="10"/>
                <w:sz w:val="20"/>
                <w:szCs w:val="20"/>
                <w:highlight w:val="none"/>
                <w:lang w:val="en-US" w:eastAsia="zh-CN"/>
              </w:rPr>
              <w:t>品牌</w:t>
            </w:r>
          </w:p>
        </w:tc>
      </w:tr>
      <w:tr w14:paraId="446122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3FF68031">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581D5887">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z w:val="24"/>
                <w:highlight w:val="none"/>
              </w:rPr>
              <w:t>石家庄工业泵厂</w:t>
            </w:r>
            <w:r>
              <w:rPr>
                <w:rFonts w:hint="eastAsia" w:ascii="Times New Roman" w:hAnsi="Times New Roman" w:cs="Times New Roman"/>
                <w:color w:val="auto"/>
                <w:sz w:val="24"/>
                <w:highlight w:val="none"/>
              </w:rPr>
              <w:t>（金属泵）</w:t>
            </w:r>
          </w:p>
        </w:tc>
        <w:tc>
          <w:tcPr>
            <w:tcW w:w="1838" w:type="dxa"/>
            <w:vMerge w:val="continue"/>
            <w:noWrap w:val="0"/>
            <w:vAlign w:val="center"/>
          </w:tcPr>
          <w:p w14:paraId="4D7D259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2A1DB2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62F97C20">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7525B705">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宋体" w:hAnsi="宋体" w:eastAsia="宋体" w:cs="宋体"/>
                <w:color w:val="auto"/>
                <w:sz w:val="24"/>
                <w:szCs w:val="24"/>
                <w:highlight w:val="none"/>
                <w:lang w:val="en-US" w:eastAsia="zh-CN"/>
              </w:rPr>
              <w:t>山东双轮</w:t>
            </w:r>
          </w:p>
        </w:tc>
        <w:tc>
          <w:tcPr>
            <w:tcW w:w="1838" w:type="dxa"/>
            <w:vMerge w:val="continue"/>
            <w:noWrap w:val="0"/>
            <w:vAlign w:val="center"/>
          </w:tcPr>
          <w:p w14:paraId="419B482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6C1952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172475B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浆液泵</w:t>
            </w:r>
          </w:p>
        </w:tc>
        <w:tc>
          <w:tcPr>
            <w:tcW w:w="3911" w:type="dxa"/>
            <w:noWrap w:val="0"/>
            <w:vAlign w:val="center"/>
          </w:tcPr>
          <w:p w14:paraId="296F6083">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z w:val="24"/>
                <w:highlight w:val="none"/>
              </w:rPr>
            </w:pPr>
            <w:r>
              <w:rPr>
                <w:rFonts w:hint="default" w:ascii="Times New Roman" w:hAnsi="Times New Roman" w:cs="Times New Roman"/>
                <w:color w:val="auto"/>
                <w:sz w:val="24"/>
                <w:highlight w:val="none"/>
              </w:rPr>
              <w:t>石家庄工业泵厂</w:t>
            </w:r>
          </w:p>
        </w:tc>
        <w:tc>
          <w:tcPr>
            <w:tcW w:w="1838" w:type="dxa"/>
            <w:vMerge w:val="restart"/>
            <w:noWrap w:val="0"/>
            <w:vAlign w:val="center"/>
          </w:tcPr>
          <w:p w14:paraId="21124067">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auto"/>
                <w:spacing w:val="10"/>
                <w:sz w:val="20"/>
                <w:szCs w:val="20"/>
                <w:highlight w:val="none"/>
              </w:rPr>
            </w:pPr>
            <w:r>
              <w:rPr>
                <w:rFonts w:hint="eastAsia" w:ascii="宋体" w:hAnsi="宋体" w:eastAsia="宋体" w:cs="宋体"/>
                <w:i w:val="0"/>
                <w:iCs w:val="0"/>
                <w:color w:val="auto"/>
                <w:kern w:val="0"/>
                <w:sz w:val="20"/>
                <w:szCs w:val="20"/>
                <w:highlight w:val="none"/>
                <w:u w:val="none"/>
                <w:lang w:val="en-US" w:eastAsia="zh-CN" w:bidi="ar"/>
              </w:rPr>
              <w:t>电机品牌：</w:t>
            </w:r>
            <w:r>
              <w:rPr>
                <w:rFonts w:hint="eastAsia" w:ascii="宋体" w:hAnsi="宋体" w:eastAsia="宋体" w:cs="宋体"/>
                <w:color w:val="auto"/>
                <w:kern w:val="0"/>
                <w:sz w:val="20"/>
                <w:szCs w:val="20"/>
                <w:highlight w:val="none"/>
                <w:u w:val="none"/>
                <w:lang w:val="en-US" w:eastAsia="zh-CN" w:bidi="ar"/>
              </w:rPr>
              <w:t>上海电气、卧龙电气、佳木斯电机、南方电机</w:t>
            </w:r>
          </w:p>
          <w:p w14:paraId="0DD264E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r>
              <w:rPr>
                <w:rFonts w:hint="eastAsia" w:ascii="宋体" w:hAnsi="宋体" w:eastAsia="宋体" w:cs="宋体"/>
                <w:color w:val="auto"/>
                <w:spacing w:val="10"/>
                <w:sz w:val="20"/>
                <w:szCs w:val="20"/>
                <w:highlight w:val="none"/>
              </w:rPr>
              <w:t>轴承</w:t>
            </w:r>
            <w:r>
              <w:rPr>
                <w:rFonts w:hint="eastAsia" w:ascii="宋体" w:hAnsi="宋体" w:eastAsia="宋体" w:cs="宋体"/>
                <w:color w:val="auto"/>
                <w:spacing w:val="10"/>
                <w:sz w:val="20"/>
                <w:szCs w:val="20"/>
                <w:highlight w:val="none"/>
                <w:lang w:val="en-US" w:eastAsia="zh-CN"/>
              </w:rPr>
              <w:t>哈</w:t>
            </w:r>
            <w:r>
              <w:rPr>
                <w:rFonts w:hint="eastAsia" w:ascii="宋体" w:hAnsi="宋体" w:cs="宋体"/>
                <w:color w:val="auto"/>
                <w:spacing w:val="10"/>
                <w:sz w:val="20"/>
                <w:szCs w:val="20"/>
                <w:highlight w:val="none"/>
                <w:lang w:val="en-US" w:eastAsia="zh-CN"/>
              </w:rPr>
              <w:t>尔滨、</w:t>
            </w:r>
            <w:r>
              <w:rPr>
                <w:rFonts w:hint="eastAsia" w:ascii="宋体" w:hAnsi="宋体" w:eastAsia="宋体" w:cs="宋体"/>
                <w:color w:val="auto"/>
                <w:spacing w:val="10"/>
                <w:sz w:val="20"/>
                <w:szCs w:val="20"/>
                <w:highlight w:val="none"/>
                <w:lang w:val="en-US" w:eastAsia="zh-CN"/>
              </w:rPr>
              <w:t>瓦</w:t>
            </w:r>
            <w:r>
              <w:rPr>
                <w:rFonts w:hint="eastAsia" w:ascii="宋体" w:hAnsi="宋体" w:cs="宋体"/>
                <w:color w:val="auto"/>
                <w:spacing w:val="10"/>
                <w:sz w:val="20"/>
                <w:szCs w:val="20"/>
                <w:highlight w:val="none"/>
                <w:lang w:val="en-US" w:eastAsia="zh-CN"/>
              </w:rPr>
              <w:t>房店、</w:t>
            </w:r>
            <w:r>
              <w:rPr>
                <w:rFonts w:hint="eastAsia" w:ascii="宋体" w:hAnsi="宋体" w:eastAsia="宋体" w:cs="宋体"/>
                <w:color w:val="auto"/>
                <w:spacing w:val="10"/>
                <w:sz w:val="20"/>
                <w:szCs w:val="20"/>
                <w:highlight w:val="none"/>
                <w:lang w:val="en-US" w:eastAsia="zh-CN"/>
              </w:rPr>
              <w:t>洛</w:t>
            </w:r>
            <w:r>
              <w:rPr>
                <w:rFonts w:hint="eastAsia" w:ascii="宋体" w:hAnsi="宋体" w:cs="宋体"/>
                <w:color w:val="auto"/>
                <w:spacing w:val="10"/>
                <w:sz w:val="20"/>
                <w:szCs w:val="20"/>
                <w:highlight w:val="none"/>
                <w:lang w:val="en-US" w:eastAsia="zh-CN"/>
              </w:rPr>
              <w:t>阳</w:t>
            </w:r>
            <w:r>
              <w:rPr>
                <w:rFonts w:hint="eastAsia" w:ascii="宋体" w:hAnsi="宋体" w:eastAsia="宋体" w:cs="宋体"/>
                <w:color w:val="auto"/>
                <w:spacing w:val="10"/>
                <w:sz w:val="20"/>
                <w:szCs w:val="20"/>
                <w:highlight w:val="none"/>
                <w:lang w:val="en-US" w:eastAsia="zh-CN"/>
              </w:rPr>
              <w:t>品牌</w:t>
            </w:r>
          </w:p>
        </w:tc>
      </w:tr>
      <w:tr w14:paraId="04C703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0" w:hRule="atLeast"/>
          <w:jc w:val="center"/>
        </w:trPr>
        <w:tc>
          <w:tcPr>
            <w:tcW w:w="2773" w:type="dxa"/>
            <w:vMerge w:val="continue"/>
            <w:noWrap w:val="0"/>
            <w:vAlign w:val="center"/>
          </w:tcPr>
          <w:p w14:paraId="6137036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043FE244">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bookmarkStart w:id="356" w:name="OLE_LINK54"/>
            <w:r>
              <w:rPr>
                <w:rFonts w:hint="eastAsia" w:ascii="宋体" w:hAnsi="宋体" w:eastAsia="宋体" w:cs="宋体"/>
                <w:color w:val="auto"/>
                <w:sz w:val="24"/>
                <w:szCs w:val="24"/>
                <w:highlight w:val="none"/>
                <w:lang w:val="en-US" w:eastAsia="zh-CN"/>
              </w:rPr>
              <w:t>山东双轮</w:t>
            </w:r>
            <w:bookmarkEnd w:id="356"/>
          </w:p>
        </w:tc>
        <w:tc>
          <w:tcPr>
            <w:tcW w:w="1838" w:type="dxa"/>
            <w:vMerge w:val="continue"/>
            <w:noWrap w:val="0"/>
            <w:vAlign w:val="center"/>
          </w:tcPr>
          <w:p w14:paraId="0383CE3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52540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0" w:hRule="atLeast"/>
          <w:jc w:val="center"/>
        </w:trPr>
        <w:tc>
          <w:tcPr>
            <w:tcW w:w="2773" w:type="dxa"/>
            <w:vMerge w:val="continue"/>
            <w:noWrap w:val="0"/>
            <w:vAlign w:val="center"/>
          </w:tcPr>
          <w:p w14:paraId="70B1C6C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00FA8CF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襄阳五二五</w:t>
            </w:r>
          </w:p>
        </w:tc>
        <w:tc>
          <w:tcPr>
            <w:tcW w:w="1838" w:type="dxa"/>
            <w:vMerge w:val="continue"/>
            <w:noWrap w:val="0"/>
            <w:vAlign w:val="center"/>
          </w:tcPr>
          <w:p w14:paraId="348EBAC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4522F6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351C38E0">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水泵</w:t>
            </w:r>
          </w:p>
        </w:tc>
        <w:tc>
          <w:tcPr>
            <w:tcW w:w="3911" w:type="dxa"/>
            <w:noWrap w:val="0"/>
            <w:vAlign w:val="center"/>
          </w:tcPr>
          <w:p w14:paraId="19333E9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z w:val="24"/>
                <w:highlight w:val="none"/>
              </w:rPr>
              <w:t>大连双龙泵业</w:t>
            </w:r>
          </w:p>
        </w:tc>
        <w:tc>
          <w:tcPr>
            <w:tcW w:w="1838" w:type="dxa"/>
            <w:vMerge w:val="restart"/>
            <w:noWrap w:val="0"/>
            <w:vAlign w:val="center"/>
          </w:tcPr>
          <w:p w14:paraId="3CE73A7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7E629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6E963E99">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3FCAB799">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0"/>
                <w:sz w:val="24"/>
                <w:highlight w:val="none"/>
              </w:rPr>
            </w:pPr>
            <w:r>
              <w:rPr>
                <w:rFonts w:hint="default" w:ascii="Times New Roman" w:hAnsi="Times New Roman" w:cs="Times New Roman"/>
                <w:color w:val="auto"/>
                <w:sz w:val="24"/>
                <w:highlight w:val="none"/>
              </w:rPr>
              <w:t>南方泵业</w:t>
            </w:r>
          </w:p>
        </w:tc>
        <w:tc>
          <w:tcPr>
            <w:tcW w:w="1838" w:type="dxa"/>
            <w:vMerge w:val="continue"/>
            <w:noWrap w:val="0"/>
            <w:vAlign w:val="center"/>
          </w:tcPr>
          <w:p w14:paraId="425273C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6F55E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1DF470D7">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487C04D7">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上海东方泵业</w:t>
            </w:r>
          </w:p>
        </w:tc>
        <w:tc>
          <w:tcPr>
            <w:tcW w:w="1838" w:type="dxa"/>
            <w:vMerge w:val="continue"/>
            <w:noWrap w:val="0"/>
            <w:vAlign w:val="center"/>
          </w:tcPr>
          <w:p w14:paraId="147CC9B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E4A3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70FAEA6E">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2945451B">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安徽三联</w:t>
            </w:r>
          </w:p>
        </w:tc>
        <w:tc>
          <w:tcPr>
            <w:tcW w:w="1838" w:type="dxa"/>
            <w:vMerge w:val="continue"/>
            <w:noWrap w:val="0"/>
            <w:vAlign w:val="center"/>
          </w:tcPr>
          <w:p w14:paraId="6EB6674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6CD1C9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0C77896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eastAsia" w:ascii="宋体" w:hAnsi="宋体" w:eastAsia="宋体" w:cs="宋体"/>
                <w:color w:val="auto"/>
                <w:spacing w:val="10"/>
                <w:sz w:val="24"/>
                <w:szCs w:val="24"/>
                <w:highlight w:val="none"/>
                <w:lang w:val="en-US" w:eastAsia="zh-CN"/>
              </w:rPr>
              <w:t>石膏旋流器、废水旋流器</w:t>
            </w:r>
          </w:p>
        </w:tc>
        <w:tc>
          <w:tcPr>
            <w:tcW w:w="3911" w:type="dxa"/>
            <w:noWrap w:val="0"/>
            <w:vAlign w:val="center"/>
          </w:tcPr>
          <w:p w14:paraId="040C7437">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r>
              <w:rPr>
                <w:rFonts w:hint="eastAsia" w:ascii="宋体" w:hAnsi="宋体" w:eastAsia="宋体" w:cs="宋体"/>
                <w:color w:val="auto"/>
                <w:sz w:val="24"/>
                <w:szCs w:val="24"/>
                <w:highlight w:val="none"/>
                <w:lang w:val="en-US" w:eastAsia="zh-CN"/>
              </w:rPr>
              <w:t>固可曼</w:t>
            </w:r>
          </w:p>
        </w:tc>
        <w:tc>
          <w:tcPr>
            <w:tcW w:w="1838" w:type="dxa"/>
            <w:vMerge w:val="restart"/>
            <w:noWrap w:val="0"/>
            <w:vAlign w:val="center"/>
          </w:tcPr>
          <w:p w14:paraId="1B8C0B1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6074A1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3E5B60D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3F3EDE1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r>
              <w:rPr>
                <w:rFonts w:hint="eastAsia" w:ascii="宋体" w:hAnsi="宋体" w:eastAsia="宋体" w:cs="宋体"/>
                <w:color w:val="auto"/>
                <w:sz w:val="24"/>
                <w:szCs w:val="24"/>
                <w:highlight w:val="none"/>
                <w:lang w:val="en-US" w:eastAsia="zh-CN"/>
              </w:rPr>
              <w:t>KREBS</w:t>
            </w:r>
          </w:p>
        </w:tc>
        <w:tc>
          <w:tcPr>
            <w:tcW w:w="1838" w:type="dxa"/>
            <w:vMerge w:val="continue"/>
            <w:noWrap w:val="0"/>
            <w:vAlign w:val="center"/>
          </w:tcPr>
          <w:p w14:paraId="6D872A8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6E208D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6DFB5BC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51E762AF">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宋体" w:hAnsi="宋体" w:eastAsia="宋体" w:cs="宋体"/>
                <w:color w:val="auto"/>
                <w:sz w:val="24"/>
                <w:szCs w:val="24"/>
                <w:highlight w:val="none"/>
                <w:lang w:val="en-US" w:eastAsia="zh-CN"/>
              </w:rPr>
              <w:t>AKW</w:t>
            </w:r>
          </w:p>
        </w:tc>
        <w:tc>
          <w:tcPr>
            <w:tcW w:w="1838" w:type="dxa"/>
            <w:vMerge w:val="continue"/>
            <w:noWrap w:val="0"/>
            <w:vAlign w:val="center"/>
          </w:tcPr>
          <w:p w14:paraId="4553FC4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04E1E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23812A8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高速离心风机</w:t>
            </w:r>
          </w:p>
          <w:p w14:paraId="2BC76676">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spacing w:val="10"/>
                <w:sz w:val="24"/>
                <w:highlight w:val="none"/>
                <w:lang w:eastAsia="zh-CN"/>
              </w:rPr>
            </w:pPr>
            <w:r>
              <w:rPr>
                <w:rFonts w:hint="default" w:ascii="Times New Roman" w:hAnsi="Times New Roman" w:cs="Times New Roman"/>
                <w:color w:val="auto"/>
                <w:spacing w:val="10"/>
                <w:sz w:val="24"/>
                <w:highlight w:val="none"/>
              </w:rPr>
              <w:t>（</w:t>
            </w:r>
            <w:r>
              <w:rPr>
                <w:rFonts w:hint="eastAsia" w:ascii="Times New Roman" w:hAnsi="Times New Roman" w:cs="Times New Roman"/>
                <w:color w:val="auto"/>
                <w:spacing w:val="10"/>
                <w:sz w:val="24"/>
                <w:highlight w:val="none"/>
                <w:lang w:val="en-US" w:eastAsia="zh-CN"/>
              </w:rPr>
              <w:t>空气悬</w:t>
            </w:r>
            <w:r>
              <w:rPr>
                <w:rFonts w:hint="default" w:ascii="Times New Roman" w:hAnsi="Times New Roman" w:cs="Times New Roman"/>
                <w:color w:val="auto"/>
                <w:spacing w:val="10"/>
                <w:sz w:val="24"/>
                <w:highlight w:val="none"/>
              </w:rPr>
              <w:t>浮</w:t>
            </w:r>
            <w:r>
              <w:rPr>
                <w:rFonts w:hint="eastAsia" w:ascii="Times New Roman" w:hAnsi="Times New Roman" w:cs="Times New Roman"/>
                <w:color w:val="auto"/>
                <w:spacing w:val="10"/>
                <w:sz w:val="24"/>
                <w:highlight w:val="none"/>
                <w:lang w:eastAsia="zh-CN"/>
              </w:rPr>
              <w:t>）</w:t>
            </w:r>
          </w:p>
        </w:tc>
        <w:tc>
          <w:tcPr>
            <w:tcW w:w="3911" w:type="dxa"/>
            <w:noWrap w:val="0"/>
            <w:vAlign w:val="center"/>
          </w:tcPr>
          <w:p w14:paraId="1F46A3FA">
            <w:pPr>
              <w:keepNext w:val="0"/>
              <w:keepLines w:val="0"/>
              <w:suppressLineNumbers w:val="0"/>
              <w:spacing w:before="0" w:beforeAutospacing="0" w:after="0" w:afterAutospacing="0" w:line="360" w:lineRule="auto"/>
              <w:ind w:left="240" w:right="0" w:hanging="240" w:hangingChars="100"/>
              <w:jc w:val="left"/>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山东章鼓</w:t>
            </w:r>
          </w:p>
        </w:tc>
        <w:tc>
          <w:tcPr>
            <w:tcW w:w="1838" w:type="dxa"/>
            <w:vMerge w:val="restart"/>
            <w:noWrap w:val="0"/>
            <w:vAlign w:val="center"/>
          </w:tcPr>
          <w:p w14:paraId="2C2FE67A">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color w:val="auto"/>
                <w:spacing w:val="10"/>
                <w:sz w:val="24"/>
                <w:highlight w:val="none"/>
              </w:rPr>
            </w:pPr>
          </w:p>
        </w:tc>
      </w:tr>
      <w:tr w14:paraId="5C1B5D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575B5C6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77CDF020">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山东华东风机</w:t>
            </w:r>
          </w:p>
        </w:tc>
        <w:tc>
          <w:tcPr>
            <w:tcW w:w="1838" w:type="dxa"/>
            <w:vMerge w:val="continue"/>
            <w:noWrap w:val="0"/>
            <w:vAlign w:val="center"/>
          </w:tcPr>
          <w:p w14:paraId="4D81548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7E4A05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773" w:type="dxa"/>
            <w:vMerge w:val="continue"/>
            <w:noWrap w:val="0"/>
            <w:vAlign w:val="center"/>
          </w:tcPr>
          <w:p w14:paraId="7F404E73">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5E8C2F68">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sz w:val="24"/>
                <w:szCs w:val="24"/>
                <w:highlight w:val="none"/>
              </w:rPr>
            </w:pPr>
            <w:r>
              <w:rPr>
                <w:rFonts w:hint="eastAsia"/>
                <w:color w:val="auto"/>
                <w:sz w:val="24"/>
                <w:szCs w:val="24"/>
                <w:highlight w:val="none"/>
                <w:lang w:val="en-US" w:eastAsia="zh-CN"/>
              </w:rPr>
              <w:t>百事德风机</w:t>
            </w:r>
          </w:p>
        </w:tc>
        <w:tc>
          <w:tcPr>
            <w:tcW w:w="1838" w:type="dxa"/>
            <w:vMerge w:val="continue"/>
            <w:noWrap w:val="0"/>
            <w:vAlign w:val="center"/>
          </w:tcPr>
          <w:p w14:paraId="1198FFB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8ECC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2C4A74E5">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真空皮带机</w:t>
            </w:r>
          </w:p>
        </w:tc>
        <w:tc>
          <w:tcPr>
            <w:tcW w:w="3911" w:type="dxa"/>
            <w:noWrap w:val="0"/>
            <w:vAlign w:val="center"/>
          </w:tcPr>
          <w:p w14:paraId="319E6668">
            <w:pPr>
              <w:keepNext w:val="0"/>
              <w:keepLines w:val="0"/>
              <w:suppressLineNumbers w:val="0"/>
              <w:spacing w:before="0" w:beforeAutospacing="0" w:after="0" w:afterAutospacing="0" w:line="360" w:lineRule="auto"/>
              <w:ind w:left="0" w:right="0"/>
              <w:jc w:val="left"/>
              <w:rPr>
                <w:rFonts w:hint="eastAsia" w:ascii="Times New Roman" w:hAnsi="Times New Roman" w:cs="Times New Roman"/>
                <w:color w:val="auto"/>
                <w:sz w:val="24"/>
                <w:szCs w:val="24"/>
                <w:highlight w:val="none"/>
              </w:rPr>
            </w:pPr>
            <w:r>
              <w:rPr>
                <w:rFonts w:hint="default" w:ascii="Times New Roman" w:hAnsi="Times New Roman" w:cs="Times New Roman"/>
                <w:color w:val="auto"/>
                <w:spacing w:val="10"/>
                <w:sz w:val="24"/>
                <w:szCs w:val="24"/>
                <w:highlight w:val="none"/>
              </w:rPr>
              <w:t>湖州核华</w:t>
            </w:r>
          </w:p>
        </w:tc>
        <w:tc>
          <w:tcPr>
            <w:tcW w:w="1838" w:type="dxa"/>
            <w:vMerge w:val="restart"/>
            <w:noWrap w:val="0"/>
            <w:vAlign w:val="center"/>
          </w:tcPr>
          <w:p w14:paraId="6FDC31A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536EF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123D559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c>
          <w:tcPr>
            <w:tcW w:w="3911" w:type="dxa"/>
            <w:noWrap w:val="0"/>
            <w:vAlign w:val="center"/>
          </w:tcPr>
          <w:p w14:paraId="4BCC645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上海旭和</w:t>
            </w:r>
          </w:p>
        </w:tc>
        <w:tc>
          <w:tcPr>
            <w:tcW w:w="1838" w:type="dxa"/>
            <w:vMerge w:val="continue"/>
            <w:noWrap w:val="0"/>
            <w:vAlign w:val="center"/>
          </w:tcPr>
          <w:p w14:paraId="5E412E9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0A87C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59BD590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c>
          <w:tcPr>
            <w:tcW w:w="3911" w:type="dxa"/>
            <w:noWrap w:val="0"/>
            <w:vAlign w:val="center"/>
          </w:tcPr>
          <w:p w14:paraId="2ECF6F44">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烟台桑尼</w:t>
            </w:r>
          </w:p>
        </w:tc>
        <w:tc>
          <w:tcPr>
            <w:tcW w:w="1838" w:type="dxa"/>
            <w:vMerge w:val="continue"/>
            <w:noWrap w:val="0"/>
            <w:vAlign w:val="center"/>
          </w:tcPr>
          <w:p w14:paraId="7283EE4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2CFFE1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8208C9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c>
          <w:tcPr>
            <w:tcW w:w="3911" w:type="dxa"/>
            <w:noWrap w:val="0"/>
            <w:vAlign w:val="center"/>
          </w:tcPr>
          <w:p w14:paraId="4DFCB73B">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上海滤翔过滤</w:t>
            </w:r>
          </w:p>
        </w:tc>
        <w:tc>
          <w:tcPr>
            <w:tcW w:w="1838" w:type="dxa"/>
            <w:vMerge w:val="continue"/>
            <w:noWrap w:val="0"/>
            <w:vAlign w:val="center"/>
          </w:tcPr>
          <w:p w14:paraId="5C7C6E5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0B9E67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717279BB">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pacing w:val="10"/>
                <w:sz w:val="24"/>
                <w:highlight w:val="none"/>
              </w:rPr>
            </w:pPr>
            <w:r>
              <w:rPr>
                <w:rFonts w:hint="eastAsia" w:ascii="Times New Roman" w:hAnsi="Times New Roman" w:cs="Times New Roman"/>
                <w:color w:val="auto"/>
                <w:spacing w:val="10"/>
                <w:sz w:val="24"/>
                <w:highlight w:val="none"/>
              </w:rPr>
              <w:t>真空泵</w:t>
            </w:r>
          </w:p>
        </w:tc>
        <w:tc>
          <w:tcPr>
            <w:tcW w:w="3911" w:type="dxa"/>
            <w:noWrap w:val="0"/>
            <w:vAlign w:val="center"/>
          </w:tcPr>
          <w:p w14:paraId="75A4CFF3">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鹤见真空</w:t>
            </w:r>
          </w:p>
        </w:tc>
        <w:tc>
          <w:tcPr>
            <w:tcW w:w="1838" w:type="dxa"/>
            <w:vMerge w:val="restart"/>
            <w:noWrap w:val="0"/>
            <w:vAlign w:val="center"/>
          </w:tcPr>
          <w:p w14:paraId="523DEAB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BD44A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4E16BE7">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5AE12714">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宋体" w:hAnsi="宋体" w:cs="宋体"/>
                <w:color w:val="auto"/>
                <w:kern w:val="0"/>
                <w:sz w:val="24"/>
                <w:highlight w:val="none"/>
              </w:rPr>
              <w:t>武汉威龙</w:t>
            </w:r>
          </w:p>
        </w:tc>
        <w:tc>
          <w:tcPr>
            <w:tcW w:w="1838" w:type="dxa"/>
            <w:vMerge w:val="continue"/>
            <w:noWrap w:val="0"/>
            <w:vAlign w:val="center"/>
          </w:tcPr>
          <w:p w14:paraId="56B9D07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0539BE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1319322E">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7CDD669F">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z w:val="24"/>
                <w:highlight w:val="none"/>
              </w:rPr>
            </w:pPr>
            <w:r>
              <w:rPr>
                <w:rFonts w:hint="eastAsia" w:ascii="Times New Roman" w:hAnsi="Times New Roman" w:cs="Times New Roman"/>
                <w:color w:val="auto"/>
                <w:sz w:val="24"/>
                <w:highlight w:val="none"/>
              </w:rPr>
              <w:t>淄博水环</w:t>
            </w:r>
          </w:p>
        </w:tc>
        <w:tc>
          <w:tcPr>
            <w:tcW w:w="1838" w:type="dxa"/>
            <w:vMerge w:val="continue"/>
            <w:noWrap w:val="0"/>
            <w:vAlign w:val="center"/>
          </w:tcPr>
          <w:p w14:paraId="0DFFC77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0D34B1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3" w:hRule="atLeast"/>
          <w:jc w:val="center"/>
        </w:trPr>
        <w:tc>
          <w:tcPr>
            <w:tcW w:w="2773" w:type="dxa"/>
            <w:vMerge w:val="continue"/>
            <w:noWrap w:val="0"/>
            <w:vAlign w:val="center"/>
          </w:tcPr>
          <w:p w14:paraId="3AD98DC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3E33F26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佛山水泵</w:t>
            </w:r>
          </w:p>
        </w:tc>
        <w:tc>
          <w:tcPr>
            <w:tcW w:w="1838" w:type="dxa"/>
            <w:vMerge w:val="continue"/>
            <w:noWrap w:val="0"/>
            <w:vAlign w:val="center"/>
          </w:tcPr>
          <w:p w14:paraId="3A3C9D4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4F760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8" w:hRule="atLeast"/>
          <w:jc w:val="center"/>
        </w:trPr>
        <w:tc>
          <w:tcPr>
            <w:tcW w:w="2773" w:type="dxa"/>
            <w:vMerge w:val="restart"/>
            <w:noWrap w:val="0"/>
            <w:vAlign w:val="center"/>
          </w:tcPr>
          <w:p w14:paraId="21551B0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侧进式搅拌器</w:t>
            </w:r>
          </w:p>
        </w:tc>
        <w:tc>
          <w:tcPr>
            <w:tcW w:w="3911" w:type="dxa"/>
            <w:noWrap w:val="0"/>
            <w:vAlign w:val="center"/>
          </w:tcPr>
          <w:p w14:paraId="775184C3">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r>
              <w:rPr>
                <w:rFonts w:hint="eastAsia" w:ascii="宋体" w:hAnsi="宋体" w:eastAsia="宋体" w:cs="宋体"/>
                <w:color w:val="auto"/>
                <w:sz w:val="24"/>
                <w:szCs w:val="24"/>
                <w:highlight w:val="none"/>
                <w:lang w:val="en-US" w:eastAsia="zh-CN"/>
              </w:rPr>
              <w:t>EKATO</w:t>
            </w:r>
          </w:p>
        </w:tc>
        <w:tc>
          <w:tcPr>
            <w:tcW w:w="1838" w:type="dxa"/>
            <w:vMerge w:val="restart"/>
            <w:noWrap w:val="0"/>
            <w:vAlign w:val="center"/>
          </w:tcPr>
          <w:p w14:paraId="3972AF46">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p w14:paraId="29BF165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r>
              <w:rPr>
                <w:rFonts w:hint="eastAsia" w:ascii="Times New Roman" w:hAnsi="Times New Roman" w:cs="Times New Roman"/>
                <w:color w:val="auto"/>
                <w:sz w:val="24"/>
                <w:highlight w:val="none"/>
                <w:lang w:val="en-US" w:eastAsia="zh-CN"/>
              </w:rPr>
              <w:t>轴承</w:t>
            </w:r>
            <w:r>
              <w:rPr>
                <w:rFonts w:hint="default" w:ascii="Times New Roman" w:hAnsi="Times New Roman" w:cs="Times New Roman"/>
                <w:color w:val="auto"/>
                <w:sz w:val="24"/>
                <w:highlight w:val="none"/>
              </w:rPr>
              <w:t>SKF</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NSK</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FAG</w:t>
            </w:r>
          </w:p>
        </w:tc>
      </w:tr>
      <w:tr w14:paraId="5A47E6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8" w:hRule="atLeast"/>
          <w:jc w:val="center"/>
        </w:trPr>
        <w:tc>
          <w:tcPr>
            <w:tcW w:w="2773" w:type="dxa"/>
            <w:vMerge w:val="continue"/>
            <w:noWrap w:val="0"/>
            <w:vAlign w:val="center"/>
          </w:tcPr>
          <w:p w14:paraId="48CE3E3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66D8C68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cs="宋体"/>
                <w:color w:val="auto"/>
                <w:sz w:val="24"/>
                <w:highlight w:val="none"/>
              </w:rPr>
              <w:t>SARDIK</w:t>
            </w:r>
          </w:p>
        </w:tc>
        <w:tc>
          <w:tcPr>
            <w:tcW w:w="1838" w:type="dxa"/>
            <w:vMerge w:val="continue"/>
            <w:noWrap w:val="0"/>
            <w:vAlign w:val="center"/>
          </w:tcPr>
          <w:p w14:paraId="463D0B30">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p>
        </w:tc>
      </w:tr>
      <w:tr w14:paraId="523D34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7E7C420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30CBAEEE">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r>
              <w:rPr>
                <w:rFonts w:hint="eastAsia" w:ascii="宋体" w:hAnsi="宋体" w:eastAsia="宋体" w:cs="宋体"/>
                <w:color w:val="auto"/>
                <w:sz w:val="24"/>
                <w:szCs w:val="24"/>
                <w:highlight w:val="none"/>
                <w:lang w:val="en-US" w:eastAsia="zh-CN"/>
              </w:rPr>
              <w:t>MUT</w:t>
            </w:r>
          </w:p>
        </w:tc>
        <w:tc>
          <w:tcPr>
            <w:tcW w:w="1838" w:type="dxa"/>
            <w:vMerge w:val="continue"/>
            <w:noWrap w:val="0"/>
            <w:vAlign w:val="center"/>
          </w:tcPr>
          <w:p w14:paraId="5D3AA9D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38B42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4A47A9E">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7F628BC0">
            <w:pPr>
              <w:keepNext w:val="0"/>
              <w:keepLines w:val="0"/>
              <w:widowControl/>
              <w:suppressLineNumbers w:val="0"/>
              <w:spacing w:before="0" w:beforeAutospacing="0" w:after="0" w:afterAutospacing="0"/>
              <w:ind w:left="0" w:right="0"/>
              <w:jc w:val="both"/>
              <w:textAlignment w:val="center"/>
              <w:rPr>
                <w:rFonts w:hint="default" w:ascii="Times New Roman" w:hAnsi="Times New Roman" w:cs="Times New Roman"/>
                <w:color w:val="auto"/>
                <w:sz w:val="24"/>
                <w:szCs w:val="24"/>
                <w:highlight w:val="none"/>
              </w:rPr>
            </w:pPr>
            <w:r>
              <w:rPr>
                <w:rFonts w:hint="eastAsia" w:ascii="宋体" w:hAnsi="宋体" w:eastAsia="宋体" w:cs="宋体"/>
                <w:color w:val="auto"/>
                <w:sz w:val="24"/>
                <w:szCs w:val="24"/>
                <w:highlight w:val="none"/>
                <w:lang w:val="en-US" w:eastAsia="zh-CN"/>
              </w:rPr>
              <w:t>sharpe</w:t>
            </w:r>
          </w:p>
        </w:tc>
        <w:tc>
          <w:tcPr>
            <w:tcW w:w="1838" w:type="dxa"/>
            <w:vMerge w:val="continue"/>
            <w:noWrap w:val="0"/>
            <w:vAlign w:val="center"/>
          </w:tcPr>
          <w:p w14:paraId="43F144D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DCFBB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251633B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顶入式搅拌器（吸收塔）</w:t>
            </w:r>
          </w:p>
        </w:tc>
        <w:tc>
          <w:tcPr>
            <w:tcW w:w="3911" w:type="dxa"/>
            <w:noWrap w:val="0"/>
            <w:vAlign w:val="center"/>
          </w:tcPr>
          <w:p w14:paraId="7CF3CA99">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r>
              <w:rPr>
                <w:rFonts w:hint="eastAsia" w:ascii="宋体" w:hAnsi="宋体" w:eastAsia="宋体" w:cs="宋体"/>
                <w:color w:val="auto"/>
                <w:sz w:val="24"/>
                <w:szCs w:val="24"/>
                <w:highlight w:val="none"/>
                <w:lang w:val="en-US" w:eastAsia="zh-CN"/>
              </w:rPr>
              <w:t>江苏隆达</w:t>
            </w:r>
          </w:p>
        </w:tc>
        <w:tc>
          <w:tcPr>
            <w:tcW w:w="1838" w:type="dxa"/>
            <w:vMerge w:val="restart"/>
            <w:noWrap w:val="0"/>
            <w:vAlign w:val="center"/>
          </w:tcPr>
          <w:p w14:paraId="4ABCC07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234515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59C0B91">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5F0D8BE0">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r>
              <w:rPr>
                <w:rFonts w:hint="eastAsia" w:ascii="宋体" w:hAnsi="宋体" w:eastAsia="宋体" w:cs="宋体"/>
                <w:color w:val="auto"/>
                <w:sz w:val="24"/>
                <w:szCs w:val="24"/>
                <w:highlight w:val="none"/>
                <w:lang w:val="en-US" w:eastAsia="zh-CN"/>
              </w:rPr>
              <w:t>浙江恒丰泰</w:t>
            </w:r>
          </w:p>
        </w:tc>
        <w:tc>
          <w:tcPr>
            <w:tcW w:w="1838" w:type="dxa"/>
            <w:vMerge w:val="continue"/>
            <w:noWrap w:val="0"/>
            <w:vAlign w:val="center"/>
          </w:tcPr>
          <w:p w14:paraId="0D50E4E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0335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69CF6C0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25FE3594">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r>
              <w:rPr>
                <w:rFonts w:hint="eastAsia" w:ascii="宋体" w:hAnsi="宋体" w:eastAsia="宋体" w:cs="宋体"/>
                <w:color w:val="auto"/>
                <w:sz w:val="24"/>
                <w:szCs w:val="24"/>
                <w:highlight w:val="none"/>
                <w:lang w:val="en-US" w:eastAsia="zh-CN"/>
              </w:rPr>
              <w:t>江苏法尔机械</w:t>
            </w:r>
          </w:p>
        </w:tc>
        <w:tc>
          <w:tcPr>
            <w:tcW w:w="1838" w:type="dxa"/>
            <w:vMerge w:val="continue"/>
            <w:noWrap w:val="0"/>
            <w:vAlign w:val="center"/>
          </w:tcPr>
          <w:p w14:paraId="5B66DD9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40F456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44994DB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212708F5">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上海腾守</w:t>
            </w:r>
          </w:p>
        </w:tc>
        <w:tc>
          <w:tcPr>
            <w:tcW w:w="1838" w:type="dxa"/>
            <w:vMerge w:val="continue"/>
            <w:noWrap w:val="0"/>
            <w:vAlign w:val="center"/>
          </w:tcPr>
          <w:p w14:paraId="4471AA52">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63BB8D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62E3CC07">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pacing w:val="10"/>
                <w:sz w:val="24"/>
                <w:highlight w:val="none"/>
              </w:rPr>
            </w:pPr>
            <w:r>
              <w:rPr>
                <w:rFonts w:hint="eastAsia" w:ascii="Times New Roman" w:hAnsi="Times New Roman" w:cs="Times New Roman"/>
                <w:color w:val="auto"/>
                <w:spacing w:val="10"/>
                <w:sz w:val="24"/>
                <w:highlight w:val="none"/>
                <w:lang w:val="en-US" w:eastAsia="zh-CN"/>
              </w:rPr>
              <w:t>冷凝湿膜除尘、</w:t>
            </w:r>
            <w:r>
              <w:rPr>
                <w:rFonts w:hint="default" w:ascii="Times New Roman" w:hAnsi="Times New Roman" w:cs="Times New Roman"/>
                <w:color w:val="auto"/>
                <w:spacing w:val="10"/>
                <w:sz w:val="24"/>
                <w:highlight w:val="none"/>
              </w:rPr>
              <w:t>除</w:t>
            </w:r>
            <w:r>
              <w:rPr>
                <w:rFonts w:hint="eastAsia" w:ascii="Times New Roman" w:hAnsi="Times New Roman" w:cs="Times New Roman"/>
                <w:color w:val="auto"/>
                <w:spacing w:val="10"/>
                <w:sz w:val="24"/>
                <w:highlight w:val="none"/>
                <w:lang w:val="en-US" w:eastAsia="zh-CN"/>
              </w:rPr>
              <w:t>雾</w:t>
            </w:r>
            <w:r>
              <w:rPr>
                <w:rFonts w:hint="default" w:ascii="Times New Roman" w:hAnsi="Times New Roman" w:cs="Times New Roman"/>
                <w:color w:val="auto"/>
                <w:spacing w:val="10"/>
                <w:sz w:val="24"/>
                <w:highlight w:val="none"/>
              </w:rPr>
              <w:t>器</w:t>
            </w:r>
          </w:p>
        </w:tc>
        <w:tc>
          <w:tcPr>
            <w:tcW w:w="3911" w:type="dxa"/>
            <w:noWrap w:val="0"/>
            <w:vAlign w:val="center"/>
          </w:tcPr>
          <w:p w14:paraId="21C392BC">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德梅斯特</w:t>
            </w:r>
          </w:p>
        </w:tc>
        <w:tc>
          <w:tcPr>
            <w:tcW w:w="1838" w:type="dxa"/>
            <w:vMerge w:val="restart"/>
            <w:noWrap w:val="0"/>
            <w:vAlign w:val="center"/>
          </w:tcPr>
          <w:p w14:paraId="3E14AF4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3D427A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6A1063B0">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1C26E08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韩国多友</w:t>
            </w:r>
          </w:p>
        </w:tc>
        <w:tc>
          <w:tcPr>
            <w:tcW w:w="1838" w:type="dxa"/>
            <w:vMerge w:val="continue"/>
            <w:noWrap w:val="0"/>
            <w:vAlign w:val="center"/>
          </w:tcPr>
          <w:p w14:paraId="085C8D9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42125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221CD3B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5B37EDE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扬州能投</w:t>
            </w:r>
          </w:p>
        </w:tc>
        <w:tc>
          <w:tcPr>
            <w:tcW w:w="1838" w:type="dxa"/>
            <w:vMerge w:val="continue"/>
            <w:noWrap w:val="0"/>
            <w:vAlign w:val="center"/>
          </w:tcPr>
          <w:p w14:paraId="4B3B6C4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3663C3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6C571D50">
            <w:pPr>
              <w:keepNext w:val="0"/>
              <w:keepLines w:val="0"/>
              <w:suppressLineNumbers w:val="0"/>
              <w:spacing w:before="0" w:beforeAutospacing="0" w:after="0" w:afterAutospacing="0" w:line="360" w:lineRule="auto"/>
              <w:ind w:left="0" w:right="0" w:firstLine="520" w:firstLineChars="200"/>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国产阀门</w:t>
            </w:r>
          </w:p>
        </w:tc>
        <w:tc>
          <w:tcPr>
            <w:tcW w:w="3911" w:type="dxa"/>
            <w:noWrap w:val="0"/>
            <w:vAlign w:val="center"/>
          </w:tcPr>
          <w:p w14:paraId="6296BD7C">
            <w:pPr>
              <w:keepNext w:val="0"/>
              <w:keepLines w:val="0"/>
              <w:suppressLineNumbers w:val="0"/>
              <w:spacing w:before="0" w:beforeAutospacing="0" w:after="0" w:afterAutospacing="0" w:line="360" w:lineRule="auto"/>
              <w:ind w:left="0" w:right="0"/>
              <w:rPr>
                <w:rFonts w:hint="default" w:cs="Times New Roman"/>
                <w:color w:val="auto"/>
                <w:sz w:val="24"/>
                <w:highlight w:val="none"/>
                <w:lang w:val="en-US" w:eastAsia="zh-CN"/>
              </w:rPr>
            </w:pPr>
            <w:r>
              <w:rPr>
                <w:rFonts w:hint="eastAsia" w:cs="Times New Roman"/>
                <w:color w:val="auto"/>
                <w:sz w:val="24"/>
                <w:highlight w:val="none"/>
                <w:lang w:val="en-US" w:eastAsia="zh-CN"/>
              </w:rPr>
              <w:t>上海天晓</w:t>
            </w:r>
            <w:r>
              <w:rPr>
                <w:rFonts w:hint="eastAsia"/>
                <w:color w:val="auto"/>
                <w:kern w:val="2"/>
                <w:sz w:val="24"/>
                <w:szCs w:val="24"/>
                <w:highlight w:val="none"/>
                <w:lang w:val="en-US" w:eastAsia="zh-CN" w:bidi="ar-SA"/>
              </w:rPr>
              <w:t>阀门</w:t>
            </w:r>
          </w:p>
        </w:tc>
        <w:tc>
          <w:tcPr>
            <w:tcW w:w="1838" w:type="dxa"/>
            <w:noWrap w:val="0"/>
            <w:vAlign w:val="center"/>
          </w:tcPr>
          <w:p w14:paraId="1B9986D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028965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17308B1">
            <w:pPr>
              <w:keepNext w:val="0"/>
              <w:keepLines w:val="0"/>
              <w:suppressLineNumbers w:val="0"/>
              <w:spacing w:before="0" w:beforeAutospacing="0" w:after="0" w:afterAutospacing="0" w:line="360" w:lineRule="auto"/>
              <w:ind w:left="0" w:right="0" w:firstLine="520" w:firstLineChars="200"/>
              <w:rPr>
                <w:rFonts w:hint="default" w:ascii="Times New Roman" w:hAnsi="Times New Roman" w:cs="Times New Roman"/>
                <w:color w:val="auto"/>
                <w:spacing w:val="10"/>
                <w:sz w:val="24"/>
                <w:highlight w:val="none"/>
              </w:rPr>
            </w:pPr>
          </w:p>
        </w:tc>
        <w:tc>
          <w:tcPr>
            <w:tcW w:w="3911" w:type="dxa"/>
            <w:noWrap w:val="0"/>
            <w:vAlign w:val="center"/>
          </w:tcPr>
          <w:p w14:paraId="33AD552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kern w:val="2"/>
                <w:sz w:val="24"/>
                <w:szCs w:val="24"/>
                <w:highlight w:val="none"/>
                <w:lang w:val="en-US" w:eastAsia="zh-CN" w:bidi="ar-SA"/>
              </w:rPr>
            </w:pPr>
            <w:r>
              <w:rPr>
                <w:rFonts w:hint="eastAsia"/>
                <w:color w:val="auto"/>
                <w:kern w:val="2"/>
                <w:sz w:val="24"/>
                <w:szCs w:val="24"/>
                <w:highlight w:val="none"/>
                <w:lang w:val="en-US" w:eastAsia="zh-CN" w:bidi="ar-SA"/>
              </w:rPr>
              <w:t>浙江奥远阀门</w:t>
            </w:r>
          </w:p>
        </w:tc>
        <w:tc>
          <w:tcPr>
            <w:tcW w:w="1838" w:type="dxa"/>
            <w:vMerge w:val="restart"/>
            <w:noWrap w:val="0"/>
            <w:vAlign w:val="center"/>
          </w:tcPr>
          <w:p w14:paraId="6C647ED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1E213F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1AE9164A">
            <w:pPr>
              <w:keepNext w:val="0"/>
              <w:keepLines w:val="0"/>
              <w:suppressLineNumbers w:val="0"/>
              <w:spacing w:before="0" w:beforeAutospacing="0" w:after="0" w:afterAutospacing="0" w:line="360" w:lineRule="auto"/>
              <w:ind w:left="0" w:right="0" w:firstLine="520" w:firstLineChars="200"/>
              <w:rPr>
                <w:rFonts w:hint="default" w:ascii="Times New Roman" w:hAnsi="Times New Roman" w:cs="Times New Roman"/>
                <w:color w:val="auto"/>
                <w:spacing w:val="10"/>
                <w:sz w:val="24"/>
                <w:highlight w:val="none"/>
              </w:rPr>
            </w:pPr>
          </w:p>
        </w:tc>
        <w:tc>
          <w:tcPr>
            <w:tcW w:w="3911" w:type="dxa"/>
            <w:noWrap w:val="0"/>
            <w:vAlign w:val="center"/>
          </w:tcPr>
          <w:p w14:paraId="3B44006E">
            <w:pPr>
              <w:keepNext w:val="0"/>
              <w:keepLines w:val="0"/>
              <w:suppressLineNumbers w:val="0"/>
              <w:spacing w:before="0" w:beforeAutospacing="0" w:after="0" w:afterAutospacing="0" w:line="360" w:lineRule="auto"/>
              <w:ind w:left="0" w:right="0"/>
              <w:rPr>
                <w:rFonts w:hint="eastAsia"/>
                <w:color w:val="auto"/>
                <w:kern w:val="2"/>
                <w:sz w:val="24"/>
                <w:szCs w:val="24"/>
                <w:highlight w:val="none"/>
                <w:lang w:val="en-US" w:eastAsia="zh-CN" w:bidi="ar-SA"/>
              </w:rPr>
            </w:pPr>
            <w:r>
              <w:rPr>
                <w:rFonts w:hint="eastAsia"/>
                <w:color w:val="auto"/>
                <w:sz w:val="24"/>
                <w:highlight w:val="none"/>
              </w:rPr>
              <w:t>塘沽沃特斯</w:t>
            </w:r>
            <w:r>
              <w:rPr>
                <w:rFonts w:hint="eastAsia"/>
                <w:color w:val="auto"/>
                <w:kern w:val="2"/>
                <w:sz w:val="24"/>
                <w:szCs w:val="24"/>
                <w:highlight w:val="none"/>
                <w:lang w:val="en-US" w:eastAsia="zh-CN" w:bidi="ar-SA"/>
              </w:rPr>
              <w:t>阀门</w:t>
            </w:r>
          </w:p>
        </w:tc>
        <w:tc>
          <w:tcPr>
            <w:tcW w:w="1838" w:type="dxa"/>
            <w:vMerge w:val="continue"/>
            <w:noWrap w:val="0"/>
            <w:vAlign w:val="center"/>
          </w:tcPr>
          <w:p w14:paraId="633DEB6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60CBA4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A41AAE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7269B10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kern w:val="2"/>
                <w:sz w:val="24"/>
                <w:szCs w:val="24"/>
                <w:highlight w:val="none"/>
                <w:lang w:val="en-US" w:eastAsia="zh-CN" w:bidi="ar-SA"/>
              </w:rPr>
            </w:pPr>
            <w:r>
              <w:rPr>
                <w:rFonts w:hint="eastAsia"/>
                <w:color w:val="auto"/>
                <w:kern w:val="2"/>
                <w:sz w:val="24"/>
                <w:szCs w:val="24"/>
                <w:highlight w:val="none"/>
                <w:lang w:val="en-US" w:eastAsia="zh-CN" w:bidi="ar-SA"/>
              </w:rPr>
              <w:t>上海美科阀门</w:t>
            </w:r>
          </w:p>
        </w:tc>
        <w:tc>
          <w:tcPr>
            <w:tcW w:w="1838" w:type="dxa"/>
            <w:vMerge w:val="continue"/>
            <w:noWrap w:val="0"/>
            <w:vAlign w:val="center"/>
          </w:tcPr>
          <w:p w14:paraId="63D1B82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21225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5060ED7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26D4070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kern w:val="2"/>
                <w:sz w:val="24"/>
                <w:szCs w:val="24"/>
                <w:highlight w:val="none"/>
                <w:lang w:val="en-US" w:eastAsia="zh-CN" w:bidi="ar-SA"/>
              </w:rPr>
            </w:pPr>
            <w:r>
              <w:rPr>
                <w:rFonts w:hint="eastAsia"/>
                <w:color w:val="auto"/>
                <w:kern w:val="2"/>
                <w:sz w:val="24"/>
                <w:szCs w:val="24"/>
                <w:highlight w:val="none"/>
                <w:lang w:val="en-US" w:eastAsia="zh-CN" w:bidi="ar-SA"/>
              </w:rPr>
              <w:t>上海阀门股份</w:t>
            </w:r>
          </w:p>
        </w:tc>
        <w:tc>
          <w:tcPr>
            <w:tcW w:w="1838" w:type="dxa"/>
            <w:vMerge w:val="continue"/>
            <w:noWrap w:val="0"/>
            <w:vAlign w:val="center"/>
          </w:tcPr>
          <w:p w14:paraId="79C8B58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3F8B0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4260C6BE">
            <w:pPr>
              <w:keepNext w:val="0"/>
              <w:keepLines w:val="0"/>
              <w:suppressLineNumbers w:val="0"/>
              <w:spacing w:before="0" w:beforeAutospacing="0" w:after="0" w:afterAutospacing="0" w:line="360" w:lineRule="auto"/>
              <w:ind w:left="0" w:right="0"/>
              <w:jc w:val="left"/>
              <w:rPr>
                <w:rFonts w:hint="default" w:ascii="Times New Roman" w:hAnsi="Times New Roman" w:cs="Times New Roman"/>
                <w:color w:val="auto"/>
                <w:spacing w:val="10"/>
                <w:sz w:val="24"/>
                <w:highlight w:val="none"/>
                <w:lang w:val="de-DE"/>
              </w:rPr>
            </w:pPr>
            <w:r>
              <w:rPr>
                <w:rFonts w:hint="default" w:ascii="Times New Roman" w:hAnsi="Times New Roman" w:cs="Times New Roman"/>
                <w:color w:val="auto"/>
                <w:spacing w:val="10"/>
                <w:sz w:val="24"/>
                <w:highlight w:val="none"/>
              </w:rPr>
              <w:t>计量泵</w:t>
            </w:r>
          </w:p>
        </w:tc>
        <w:tc>
          <w:tcPr>
            <w:tcW w:w="3911" w:type="dxa"/>
            <w:noWrap w:val="0"/>
            <w:vAlign w:val="center"/>
          </w:tcPr>
          <w:p w14:paraId="50D59404">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kern w:val="2"/>
                <w:sz w:val="24"/>
                <w:szCs w:val="24"/>
                <w:highlight w:val="none"/>
                <w:lang w:val="de-DE" w:eastAsia="zh-CN" w:bidi="ar-SA"/>
              </w:rPr>
            </w:pPr>
            <w:r>
              <w:rPr>
                <w:rFonts w:hint="default" w:ascii="Times New Roman" w:hAnsi="Times New Roman" w:cs="Times New Roman"/>
                <w:color w:val="auto"/>
                <w:sz w:val="24"/>
                <w:highlight w:val="none"/>
              </w:rPr>
              <w:t>沃森马洛</w:t>
            </w:r>
          </w:p>
        </w:tc>
        <w:tc>
          <w:tcPr>
            <w:tcW w:w="1838" w:type="dxa"/>
            <w:vMerge w:val="restart"/>
            <w:noWrap w:val="0"/>
            <w:vAlign w:val="center"/>
          </w:tcPr>
          <w:p w14:paraId="7B7B74F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66343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 w:hRule="atLeast"/>
          <w:jc w:val="center"/>
        </w:trPr>
        <w:tc>
          <w:tcPr>
            <w:tcW w:w="2773" w:type="dxa"/>
            <w:vMerge w:val="continue"/>
            <w:noWrap w:val="0"/>
            <w:vAlign w:val="center"/>
          </w:tcPr>
          <w:p w14:paraId="28214B8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c>
          <w:tcPr>
            <w:tcW w:w="3911" w:type="dxa"/>
            <w:noWrap w:val="0"/>
            <w:vAlign w:val="center"/>
          </w:tcPr>
          <w:p w14:paraId="47FC555E">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kern w:val="2"/>
                <w:sz w:val="24"/>
                <w:szCs w:val="24"/>
                <w:highlight w:val="none"/>
                <w:lang w:val="de-DE" w:eastAsia="zh-CN" w:bidi="ar-SA"/>
              </w:rPr>
            </w:pPr>
            <w:r>
              <w:rPr>
                <w:rFonts w:hint="default" w:ascii="Times New Roman" w:hAnsi="Times New Roman" w:cs="Times New Roman"/>
                <w:color w:val="auto"/>
                <w:sz w:val="24"/>
                <w:highlight w:val="none"/>
              </w:rPr>
              <w:t>米顿罗</w:t>
            </w:r>
          </w:p>
        </w:tc>
        <w:tc>
          <w:tcPr>
            <w:tcW w:w="1838" w:type="dxa"/>
            <w:vMerge w:val="continue"/>
            <w:noWrap w:val="0"/>
            <w:vAlign w:val="center"/>
          </w:tcPr>
          <w:p w14:paraId="5BF8C59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04149E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DAA8C8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c>
          <w:tcPr>
            <w:tcW w:w="3911" w:type="dxa"/>
            <w:noWrap w:val="0"/>
            <w:vAlign w:val="center"/>
          </w:tcPr>
          <w:p w14:paraId="28121D41">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kern w:val="2"/>
                <w:sz w:val="24"/>
                <w:szCs w:val="24"/>
                <w:highlight w:val="none"/>
                <w:lang w:val="de-DE" w:eastAsia="zh-CN" w:bidi="ar-SA"/>
              </w:rPr>
            </w:pPr>
            <w:r>
              <w:rPr>
                <w:rFonts w:hint="default" w:ascii="Times New Roman" w:hAnsi="Times New Roman" w:cs="Times New Roman"/>
                <w:color w:val="auto"/>
                <w:sz w:val="24"/>
                <w:highlight w:val="none"/>
              </w:rPr>
              <w:t>帕斯菲特</w:t>
            </w:r>
          </w:p>
        </w:tc>
        <w:tc>
          <w:tcPr>
            <w:tcW w:w="1838" w:type="dxa"/>
            <w:vMerge w:val="continue"/>
            <w:noWrap w:val="0"/>
            <w:vAlign w:val="center"/>
          </w:tcPr>
          <w:p w14:paraId="35DCEC5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2012C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52CEA505">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减速机</w:t>
            </w:r>
          </w:p>
        </w:tc>
        <w:tc>
          <w:tcPr>
            <w:tcW w:w="3911" w:type="dxa"/>
            <w:noWrap w:val="0"/>
            <w:vAlign w:val="center"/>
          </w:tcPr>
          <w:p w14:paraId="227D1EC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国茂减速机</w:t>
            </w:r>
          </w:p>
        </w:tc>
        <w:tc>
          <w:tcPr>
            <w:tcW w:w="1838" w:type="dxa"/>
            <w:vMerge w:val="restart"/>
            <w:noWrap w:val="0"/>
            <w:vAlign w:val="center"/>
          </w:tcPr>
          <w:p w14:paraId="09D3CD0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7DFAF0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7DA30D77">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5AEC8004">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宁波东力</w:t>
            </w:r>
          </w:p>
        </w:tc>
        <w:tc>
          <w:tcPr>
            <w:tcW w:w="1838" w:type="dxa"/>
            <w:vMerge w:val="continue"/>
            <w:noWrap w:val="0"/>
            <w:vAlign w:val="center"/>
          </w:tcPr>
          <w:p w14:paraId="69EDF56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76CCE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005DB6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6264D330">
            <w:pPr>
              <w:keepNext w:val="0"/>
              <w:keepLines w:val="0"/>
              <w:suppressLineNumbers w:val="0"/>
              <w:spacing w:before="0" w:beforeAutospacing="0" w:after="0" w:afterAutospacing="0" w:line="360" w:lineRule="auto"/>
              <w:ind w:left="0" w:right="0"/>
              <w:rPr>
                <w:rFonts w:hint="default" w:ascii="Arial" w:hAnsi="Arial" w:eastAsia="宋体" w:cs="Arial"/>
                <w:i w:val="0"/>
                <w:iCs w:val="0"/>
                <w:caps w:val="0"/>
                <w:color w:val="auto"/>
                <w:spacing w:val="0"/>
                <w:sz w:val="24"/>
                <w:szCs w:val="24"/>
                <w:highlight w:val="none"/>
                <w:lang w:val="en-US" w:eastAsia="zh-CN"/>
              </w:rPr>
            </w:pPr>
            <w:r>
              <w:rPr>
                <w:rFonts w:hint="eastAsia" w:ascii="Arial" w:hAnsi="Arial" w:eastAsia="宋体" w:cs="Arial"/>
                <w:i w:val="0"/>
                <w:iCs w:val="0"/>
                <w:caps w:val="0"/>
                <w:color w:val="auto"/>
                <w:spacing w:val="0"/>
                <w:sz w:val="24"/>
                <w:szCs w:val="24"/>
                <w:highlight w:val="none"/>
                <w:lang w:val="en-US" w:eastAsia="zh-CN"/>
              </w:rPr>
              <w:t>泰星</w:t>
            </w:r>
            <w:bookmarkStart w:id="357" w:name="OLE_LINK55"/>
            <w:r>
              <w:rPr>
                <w:rFonts w:hint="eastAsia" w:ascii="Arial" w:hAnsi="Arial" w:eastAsia="宋体" w:cs="Arial"/>
                <w:i w:val="0"/>
                <w:iCs w:val="0"/>
                <w:caps w:val="0"/>
                <w:color w:val="auto"/>
                <w:spacing w:val="0"/>
                <w:sz w:val="24"/>
                <w:szCs w:val="24"/>
                <w:highlight w:val="none"/>
                <w:lang w:val="en-US" w:eastAsia="zh-CN"/>
              </w:rPr>
              <w:t>减速机</w:t>
            </w:r>
            <w:bookmarkEnd w:id="357"/>
          </w:p>
        </w:tc>
        <w:tc>
          <w:tcPr>
            <w:tcW w:w="1838" w:type="dxa"/>
            <w:noWrap w:val="0"/>
            <w:vAlign w:val="center"/>
          </w:tcPr>
          <w:p w14:paraId="778E7DD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4027D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7098C00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3911" w:type="dxa"/>
            <w:noWrap w:val="0"/>
            <w:vAlign w:val="center"/>
          </w:tcPr>
          <w:p w14:paraId="005BCD65">
            <w:pPr>
              <w:keepNext w:val="0"/>
              <w:keepLines w:val="0"/>
              <w:suppressLineNumbers w:val="0"/>
              <w:spacing w:before="0" w:beforeAutospacing="0" w:after="0" w:afterAutospacing="0" w:line="360" w:lineRule="auto"/>
              <w:ind w:left="0" w:right="0"/>
              <w:rPr>
                <w:rFonts w:hint="default" w:ascii="Arial" w:hAnsi="Arial" w:eastAsia="宋体" w:cs="Arial"/>
                <w:i w:val="0"/>
                <w:iCs w:val="0"/>
                <w:caps w:val="0"/>
                <w:color w:val="auto"/>
                <w:spacing w:val="0"/>
                <w:sz w:val="24"/>
                <w:szCs w:val="24"/>
                <w:highlight w:val="none"/>
                <w:lang w:val="en-US" w:eastAsia="zh-CN"/>
              </w:rPr>
            </w:pPr>
            <w:r>
              <w:rPr>
                <w:rFonts w:hint="eastAsia" w:ascii="Arial" w:hAnsi="Arial" w:eastAsia="宋体" w:cs="Arial"/>
                <w:i w:val="0"/>
                <w:iCs w:val="0"/>
                <w:caps w:val="0"/>
                <w:color w:val="auto"/>
                <w:spacing w:val="0"/>
                <w:sz w:val="24"/>
                <w:szCs w:val="24"/>
                <w:highlight w:val="none"/>
                <w:lang w:val="en-US" w:eastAsia="zh-CN"/>
              </w:rPr>
              <w:t>江苏泰隆减速机</w:t>
            </w:r>
          </w:p>
        </w:tc>
        <w:tc>
          <w:tcPr>
            <w:tcW w:w="1838" w:type="dxa"/>
            <w:noWrap w:val="0"/>
            <w:vAlign w:val="center"/>
          </w:tcPr>
          <w:p w14:paraId="73C8A59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lang w:val="de-DE"/>
              </w:rPr>
            </w:pPr>
          </w:p>
        </w:tc>
      </w:tr>
      <w:tr w14:paraId="43F6AC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5CB60C87">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lang w:val="de-DE"/>
              </w:rPr>
            </w:pPr>
            <w:r>
              <w:rPr>
                <w:rFonts w:hint="default" w:ascii="Times New Roman" w:hAnsi="Times New Roman" w:cs="Times New Roman"/>
                <w:color w:val="auto"/>
                <w:spacing w:val="10"/>
                <w:sz w:val="24"/>
                <w:highlight w:val="none"/>
                <w:lang w:val="de-DE"/>
              </w:rPr>
              <w:t>低压交流电动机</w:t>
            </w:r>
          </w:p>
        </w:tc>
        <w:tc>
          <w:tcPr>
            <w:tcW w:w="3911" w:type="dxa"/>
            <w:noWrap w:val="0"/>
            <w:vAlign w:val="center"/>
          </w:tcPr>
          <w:p w14:paraId="511218A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kern w:val="2"/>
                <w:sz w:val="24"/>
                <w:szCs w:val="24"/>
                <w:highlight w:val="none"/>
                <w:lang w:val="de-DE" w:eastAsia="zh-CN" w:bidi="ar-SA"/>
              </w:rPr>
            </w:pPr>
            <w:r>
              <w:rPr>
                <w:rFonts w:hint="default" w:ascii="Times New Roman" w:hAnsi="Times New Roman" w:cs="Times New Roman"/>
                <w:color w:val="auto"/>
                <w:sz w:val="24"/>
                <w:highlight w:val="none"/>
              </w:rPr>
              <w:t>湘潭电机</w:t>
            </w:r>
          </w:p>
        </w:tc>
        <w:tc>
          <w:tcPr>
            <w:tcW w:w="1838" w:type="dxa"/>
            <w:noWrap w:val="0"/>
            <w:vAlign w:val="center"/>
          </w:tcPr>
          <w:p w14:paraId="0DEFFDA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48E6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090863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lang w:val="de-DE"/>
              </w:rPr>
            </w:pPr>
          </w:p>
        </w:tc>
        <w:tc>
          <w:tcPr>
            <w:tcW w:w="3911" w:type="dxa"/>
            <w:noWrap w:val="0"/>
            <w:vAlign w:val="center"/>
          </w:tcPr>
          <w:p w14:paraId="4D23B601">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kern w:val="2"/>
                <w:sz w:val="24"/>
                <w:szCs w:val="24"/>
                <w:highlight w:val="none"/>
                <w:lang w:val="en-US" w:eastAsia="zh-CN" w:bidi="ar-SA"/>
              </w:rPr>
            </w:pPr>
            <w:r>
              <w:rPr>
                <w:rFonts w:hint="eastAsia" w:ascii="Times New Roman" w:hAnsi="Times New Roman" w:cs="Times New Roman"/>
                <w:color w:val="auto"/>
                <w:spacing w:val="10"/>
                <w:kern w:val="2"/>
                <w:sz w:val="24"/>
                <w:szCs w:val="24"/>
                <w:highlight w:val="none"/>
                <w:lang w:val="en-US" w:eastAsia="zh-CN" w:bidi="ar-SA"/>
              </w:rPr>
              <w:t>卧龙电机</w:t>
            </w:r>
          </w:p>
        </w:tc>
        <w:tc>
          <w:tcPr>
            <w:tcW w:w="1838" w:type="dxa"/>
            <w:noWrap w:val="0"/>
            <w:vAlign w:val="center"/>
          </w:tcPr>
          <w:p w14:paraId="483EE1E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B4C5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1D17E803">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lang w:val="de-DE"/>
              </w:rPr>
            </w:pPr>
          </w:p>
        </w:tc>
        <w:tc>
          <w:tcPr>
            <w:tcW w:w="3911" w:type="dxa"/>
            <w:noWrap w:val="0"/>
            <w:vAlign w:val="center"/>
          </w:tcPr>
          <w:p w14:paraId="4E4104EF">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rPr>
              <w:t>上海</w:t>
            </w:r>
            <w:r>
              <w:rPr>
                <w:rFonts w:hint="default" w:ascii="Times New Roman" w:hAnsi="Times New Roman" w:cs="Times New Roman"/>
                <w:color w:val="auto"/>
                <w:sz w:val="24"/>
                <w:highlight w:val="none"/>
              </w:rPr>
              <w:t>电机</w:t>
            </w:r>
          </w:p>
        </w:tc>
        <w:tc>
          <w:tcPr>
            <w:tcW w:w="1838" w:type="dxa"/>
            <w:noWrap w:val="0"/>
            <w:vAlign w:val="center"/>
          </w:tcPr>
          <w:p w14:paraId="749443C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2956A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25E0F39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lang w:val="de-DE"/>
              </w:rPr>
            </w:pPr>
          </w:p>
        </w:tc>
        <w:tc>
          <w:tcPr>
            <w:tcW w:w="3911" w:type="dxa"/>
            <w:noWrap w:val="0"/>
            <w:vAlign w:val="center"/>
          </w:tcPr>
          <w:p w14:paraId="658CAAE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佳木斯电机</w:t>
            </w:r>
          </w:p>
        </w:tc>
        <w:tc>
          <w:tcPr>
            <w:tcW w:w="1838" w:type="dxa"/>
            <w:noWrap w:val="0"/>
            <w:vAlign w:val="center"/>
          </w:tcPr>
          <w:p w14:paraId="075B642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D7EE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773" w:type="dxa"/>
            <w:vMerge w:val="restart"/>
            <w:noWrap w:val="0"/>
            <w:vAlign w:val="center"/>
          </w:tcPr>
          <w:p w14:paraId="2A3A3DD9">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pacing w:val="10"/>
                <w:sz w:val="24"/>
                <w:szCs w:val="24"/>
                <w:highlight w:val="none"/>
                <w:lang w:val="en-US"/>
              </w:rPr>
            </w:pPr>
            <w:r>
              <w:rPr>
                <w:rFonts w:hint="eastAsia" w:ascii="Times New Roman" w:hAnsi="Times New Roman" w:eastAsia="宋体" w:cs="Times New Roman"/>
                <w:color w:val="auto"/>
                <w:spacing w:val="10"/>
                <w:sz w:val="24"/>
                <w:szCs w:val="24"/>
                <w:highlight w:val="none"/>
                <w:lang w:val="en-US" w:eastAsia="zh-CN"/>
              </w:rPr>
              <w:t>喷淋层</w:t>
            </w:r>
          </w:p>
        </w:tc>
        <w:tc>
          <w:tcPr>
            <w:tcW w:w="3911" w:type="dxa"/>
            <w:noWrap w:val="0"/>
            <w:vAlign w:val="center"/>
          </w:tcPr>
          <w:p w14:paraId="1139D88F">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pacing w:val="10"/>
                <w:sz w:val="24"/>
                <w:szCs w:val="24"/>
                <w:highlight w:val="none"/>
              </w:rPr>
            </w:pPr>
            <w:r>
              <w:rPr>
                <w:rFonts w:hint="eastAsia" w:ascii="Times New Roman" w:hAnsi="Times New Roman" w:eastAsia="宋体" w:cs="Times New Roman"/>
                <w:color w:val="auto"/>
                <w:spacing w:val="10"/>
                <w:sz w:val="24"/>
                <w:szCs w:val="24"/>
                <w:highlight w:val="none"/>
                <w:lang w:val="en-US" w:eastAsia="zh-CN"/>
              </w:rPr>
              <w:t>江苏德克环保</w:t>
            </w:r>
          </w:p>
        </w:tc>
        <w:tc>
          <w:tcPr>
            <w:tcW w:w="1838" w:type="dxa"/>
            <w:noWrap w:val="0"/>
            <w:vAlign w:val="center"/>
          </w:tcPr>
          <w:p w14:paraId="7ED6EFB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62BA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1E3E823C">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pacing w:val="10"/>
                <w:sz w:val="24"/>
                <w:szCs w:val="24"/>
                <w:highlight w:val="none"/>
                <w:lang w:val="en-US"/>
              </w:rPr>
            </w:pPr>
          </w:p>
        </w:tc>
        <w:tc>
          <w:tcPr>
            <w:tcW w:w="3911" w:type="dxa"/>
            <w:noWrap w:val="0"/>
            <w:vAlign w:val="center"/>
          </w:tcPr>
          <w:p w14:paraId="4E152D3F">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pacing w:val="10"/>
                <w:sz w:val="24"/>
                <w:szCs w:val="24"/>
                <w:highlight w:val="none"/>
              </w:rPr>
            </w:pPr>
            <w:r>
              <w:rPr>
                <w:rFonts w:hint="eastAsia" w:ascii="Times New Roman" w:hAnsi="Times New Roman" w:eastAsia="宋体" w:cs="Times New Roman"/>
                <w:color w:val="auto"/>
                <w:spacing w:val="10"/>
                <w:sz w:val="24"/>
                <w:szCs w:val="24"/>
                <w:highlight w:val="none"/>
                <w:lang w:val="en-US" w:eastAsia="zh-CN"/>
              </w:rPr>
              <w:t>浙江德创环保</w:t>
            </w:r>
          </w:p>
        </w:tc>
        <w:tc>
          <w:tcPr>
            <w:tcW w:w="1838" w:type="dxa"/>
            <w:noWrap w:val="0"/>
            <w:vAlign w:val="center"/>
          </w:tcPr>
          <w:p w14:paraId="7969AB2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82C5A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937EBBA">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pacing w:val="10"/>
                <w:sz w:val="24"/>
                <w:szCs w:val="24"/>
                <w:highlight w:val="none"/>
                <w:lang w:val="en-US"/>
              </w:rPr>
            </w:pPr>
          </w:p>
        </w:tc>
        <w:tc>
          <w:tcPr>
            <w:tcW w:w="3911" w:type="dxa"/>
            <w:noWrap w:val="0"/>
            <w:vAlign w:val="center"/>
          </w:tcPr>
          <w:p w14:paraId="22696DA7">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pacing w:val="10"/>
                <w:sz w:val="24"/>
                <w:szCs w:val="24"/>
                <w:highlight w:val="none"/>
              </w:rPr>
            </w:pPr>
            <w:r>
              <w:rPr>
                <w:rFonts w:hint="eastAsia" w:ascii="Times New Roman" w:hAnsi="Times New Roman" w:eastAsia="宋体" w:cs="Times New Roman"/>
                <w:color w:val="auto"/>
                <w:spacing w:val="10"/>
                <w:sz w:val="24"/>
                <w:szCs w:val="24"/>
                <w:highlight w:val="none"/>
                <w:lang w:val="en-US" w:eastAsia="zh-CN"/>
              </w:rPr>
              <w:t>河北中翼</w:t>
            </w:r>
          </w:p>
        </w:tc>
        <w:tc>
          <w:tcPr>
            <w:tcW w:w="1838" w:type="dxa"/>
            <w:noWrap w:val="0"/>
            <w:vAlign w:val="center"/>
          </w:tcPr>
          <w:p w14:paraId="40462C2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6AA9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6A4747A1">
            <w:pPr>
              <w:keepNext w:val="0"/>
              <w:keepLines w:val="0"/>
              <w:suppressLineNumbers w:val="0"/>
              <w:spacing w:before="0" w:beforeAutospacing="0" w:after="0" w:afterAutospacing="0" w:line="360" w:lineRule="auto"/>
              <w:ind w:left="0" w:right="0"/>
              <w:rPr>
                <w:rFonts w:hint="eastAsia" w:ascii="Times New Roman" w:hAnsi="Times New Roman" w:cs="Times New Roman"/>
                <w:color w:val="auto"/>
                <w:spacing w:val="10"/>
                <w:sz w:val="24"/>
                <w:szCs w:val="24"/>
                <w:highlight w:val="none"/>
                <w:lang w:val="en-US"/>
              </w:rPr>
            </w:pPr>
          </w:p>
        </w:tc>
        <w:tc>
          <w:tcPr>
            <w:tcW w:w="3911" w:type="dxa"/>
            <w:noWrap w:val="0"/>
            <w:vAlign w:val="center"/>
          </w:tcPr>
          <w:p w14:paraId="4BB8F96D">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olor w:val="auto"/>
                <w:spacing w:val="10"/>
                <w:sz w:val="24"/>
                <w:szCs w:val="24"/>
                <w:highlight w:val="none"/>
                <w:lang w:val="en-US" w:eastAsia="zh-CN"/>
              </w:rPr>
            </w:pPr>
            <w:r>
              <w:rPr>
                <w:rFonts w:hint="eastAsia" w:ascii="Times New Roman" w:hAnsi="Times New Roman" w:eastAsia="宋体" w:cs="Times New Roman"/>
                <w:color w:val="auto"/>
                <w:spacing w:val="10"/>
                <w:sz w:val="24"/>
                <w:szCs w:val="24"/>
                <w:highlight w:val="none"/>
                <w:lang w:val="en-US" w:eastAsia="zh-CN"/>
              </w:rPr>
              <w:t>常州德尔松</w:t>
            </w:r>
          </w:p>
        </w:tc>
        <w:tc>
          <w:tcPr>
            <w:tcW w:w="1838" w:type="dxa"/>
            <w:noWrap w:val="0"/>
            <w:vAlign w:val="center"/>
          </w:tcPr>
          <w:p w14:paraId="1B6C509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6EF3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3A9AEA72">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r>
              <w:rPr>
                <w:rFonts w:hint="eastAsia" w:cs="Times New Roman"/>
                <w:color w:val="auto"/>
                <w:spacing w:val="10"/>
                <w:sz w:val="24"/>
                <w:szCs w:val="24"/>
                <w:highlight w:val="none"/>
                <w:lang w:val="en-US" w:eastAsia="zh-CN"/>
              </w:rPr>
              <w:t>烟道膨胀节</w:t>
            </w:r>
          </w:p>
        </w:tc>
        <w:tc>
          <w:tcPr>
            <w:tcW w:w="3911" w:type="dxa"/>
            <w:noWrap w:val="0"/>
            <w:vAlign w:val="center"/>
          </w:tcPr>
          <w:p w14:paraId="737AF2DC">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江苏新方圆</w:t>
            </w:r>
          </w:p>
        </w:tc>
        <w:tc>
          <w:tcPr>
            <w:tcW w:w="1838" w:type="dxa"/>
            <w:noWrap w:val="0"/>
            <w:vAlign w:val="center"/>
          </w:tcPr>
          <w:p w14:paraId="0B46B13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907B6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FBFA4F0">
            <w:pPr>
              <w:keepNext w:val="0"/>
              <w:keepLines w:val="0"/>
              <w:suppressLineNumbers w:val="0"/>
              <w:spacing w:before="0" w:beforeAutospacing="0" w:after="0" w:afterAutospacing="0" w:line="360" w:lineRule="auto"/>
              <w:ind w:left="0" w:right="0"/>
              <w:rPr>
                <w:rFonts w:hint="eastAsia" w:cs="Times New Roman"/>
                <w:color w:val="auto"/>
                <w:spacing w:val="10"/>
                <w:sz w:val="24"/>
                <w:szCs w:val="24"/>
                <w:highlight w:val="none"/>
                <w:lang w:val="en-US" w:eastAsia="zh-CN"/>
              </w:rPr>
            </w:pPr>
          </w:p>
        </w:tc>
        <w:tc>
          <w:tcPr>
            <w:tcW w:w="3911" w:type="dxa"/>
            <w:noWrap w:val="0"/>
            <w:vAlign w:val="center"/>
          </w:tcPr>
          <w:p w14:paraId="54381483">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江苏亚星</w:t>
            </w:r>
          </w:p>
        </w:tc>
        <w:tc>
          <w:tcPr>
            <w:tcW w:w="1838" w:type="dxa"/>
            <w:noWrap w:val="0"/>
            <w:vAlign w:val="center"/>
          </w:tcPr>
          <w:p w14:paraId="7A6B6EB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E093A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18E26DF9">
            <w:pPr>
              <w:keepNext w:val="0"/>
              <w:keepLines w:val="0"/>
              <w:suppressLineNumbers w:val="0"/>
              <w:spacing w:before="0" w:beforeAutospacing="0" w:after="0" w:afterAutospacing="0" w:line="360" w:lineRule="auto"/>
              <w:ind w:left="0" w:right="0"/>
              <w:rPr>
                <w:rFonts w:hint="eastAsia" w:cs="Times New Roman"/>
                <w:color w:val="auto"/>
                <w:spacing w:val="10"/>
                <w:sz w:val="24"/>
                <w:szCs w:val="24"/>
                <w:highlight w:val="none"/>
                <w:lang w:val="en-US" w:eastAsia="zh-CN"/>
              </w:rPr>
            </w:pPr>
          </w:p>
        </w:tc>
        <w:tc>
          <w:tcPr>
            <w:tcW w:w="3911" w:type="dxa"/>
            <w:noWrap w:val="0"/>
            <w:vAlign w:val="center"/>
          </w:tcPr>
          <w:p w14:paraId="42AB6DFB">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江苏奎泽机械</w:t>
            </w:r>
          </w:p>
        </w:tc>
        <w:tc>
          <w:tcPr>
            <w:tcW w:w="1838" w:type="dxa"/>
            <w:noWrap w:val="0"/>
            <w:vAlign w:val="center"/>
          </w:tcPr>
          <w:p w14:paraId="4C3126E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8F0B6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0F1421EC">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r>
              <w:rPr>
                <w:rFonts w:hint="eastAsia" w:cs="Times New Roman"/>
                <w:color w:val="auto"/>
                <w:spacing w:val="10"/>
                <w:sz w:val="24"/>
                <w:szCs w:val="24"/>
                <w:highlight w:val="none"/>
                <w:lang w:val="en-US" w:eastAsia="zh-CN"/>
              </w:rPr>
              <w:t>烟道插板门</w:t>
            </w:r>
          </w:p>
        </w:tc>
        <w:tc>
          <w:tcPr>
            <w:tcW w:w="3911" w:type="dxa"/>
            <w:noWrap w:val="0"/>
            <w:vAlign w:val="center"/>
          </w:tcPr>
          <w:p w14:paraId="305C0869">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德州众生</w:t>
            </w:r>
          </w:p>
        </w:tc>
        <w:tc>
          <w:tcPr>
            <w:tcW w:w="1838" w:type="dxa"/>
            <w:noWrap w:val="0"/>
            <w:vAlign w:val="center"/>
          </w:tcPr>
          <w:p w14:paraId="65DF70A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7E642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18C031DC">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22E5617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连云港华能电力</w:t>
            </w:r>
          </w:p>
        </w:tc>
        <w:tc>
          <w:tcPr>
            <w:tcW w:w="1838" w:type="dxa"/>
            <w:noWrap w:val="0"/>
            <w:vAlign w:val="center"/>
          </w:tcPr>
          <w:p w14:paraId="4F4D51A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E86DF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E385013">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1EDE5D3F">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江苏巨正</w:t>
            </w:r>
          </w:p>
        </w:tc>
        <w:tc>
          <w:tcPr>
            <w:tcW w:w="1838" w:type="dxa"/>
            <w:noWrap w:val="0"/>
            <w:vAlign w:val="center"/>
          </w:tcPr>
          <w:p w14:paraId="0EBF7CE1">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9ECB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noWrap w:val="0"/>
            <w:vAlign w:val="center"/>
          </w:tcPr>
          <w:p w14:paraId="08B51DC8">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r>
              <w:rPr>
                <w:rFonts w:hint="eastAsia" w:cs="Times New Roman"/>
                <w:color w:val="auto"/>
                <w:spacing w:val="10"/>
                <w:sz w:val="24"/>
                <w:szCs w:val="24"/>
                <w:highlight w:val="none"/>
                <w:lang w:val="en-US" w:eastAsia="zh-CN"/>
              </w:rPr>
              <w:t>氧化空气管</w:t>
            </w:r>
          </w:p>
        </w:tc>
        <w:tc>
          <w:tcPr>
            <w:tcW w:w="3911" w:type="dxa"/>
            <w:noWrap w:val="0"/>
            <w:vAlign w:val="center"/>
          </w:tcPr>
          <w:p w14:paraId="7D4612FB">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江苏华星</w:t>
            </w:r>
          </w:p>
        </w:tc>
        <w:tc>
          <w:tcPr>
            <w:tcW w:w="1838" w:type="dxa"/>
            <w:noWrap w:val="0"/>
            <w:vAlign w:val="center"/>
          </w:tcPr>
          <w:p w14:paraId="7F07980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02F18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noWrap w:val="0"/>
            <w:vAlign w:val="center"/>
          </w:tcPr>
          <w:p w14:paraId="41FA8232">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606F1150">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上海洁昊</w:t>
            </w:r>
          </w:p>
        </w:tc>
        <w:tc>
          <w:tcPr>
            <w:tcW w:w="1838" w:type="dxa"/>
            <w:noWrap w:val="0"/>
            <w:vAlign w:val="center"/>
          </w:tcPr>
          <w:p w14:paraId="6D1EC53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39CC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noWrap w:val="0"/>
            <w:vAlign w:val="center"/>
          </w:tcPr>
          <w:p w14:paraId="156C74B0">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6F5E7CDA">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常州赛尔合金</w:t>
            </w:r>
          </w:p>
        </w:tc>
        <w:tc>
          <w:tcPr>
            <w:tcW w:w="1838" w:type="dxa"/>
            <w:noWrap w:val="0"/>
            <w:vAlign w:val="center"/>
          </w:tcPr>
          <w:p w14:paraId="4A08490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240A6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noWrap w:val="0"/>
            <w:vAlign w:val="center"/>
          </w:tcPr>
          <w:p w14:paraId="7B2632BB">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r>
              <w:rPr>
                <w:rFonts w:hint="eastAsia" w:cs="Times New Roman"/>
                <w:color w:val="auto"/>
                <w:spacing w:val="10"/>
                <w:sz w:val="24"/>
                <w:szCs w:val="24"/>
                <w:highlight w:val="none"/>
                <w:lang w:val="en-US" w:eastAsia="zh-CN"/>
              </w:rPr>
              <w:t>污泥泵</w:t>
            </w:r>
          </w:p>
        </w:tc>
        <w:tc>
          <w:tcPr>
            <w:tcW w:w="3911" w:type="dxa"/>
            <w:noWrap w:val="0"/>
            <w:vAlign w:val="center"/>
          </w:tcPr>
          <w:p w14:paraId="4C7ABB77">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上海阳光</w:t>
            </w:r>
          </w:p>
        </w:tc>
        <w:tc>
          <w:tcPr>
            <w:tcW w:w="1838" w:type="dxa"/>
            <w:noWrap w:val="0"/>
            <w:vAlign w:val="center"/>
          </w:tcPr>
          <w:p w14:paraId="6469441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307D2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noWrap w:val="0"/>
            <w:vAlign w:val="center"/>
          </w:tcPr>
          <w:p w14:paraId="12C01D8D">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03B1F27E">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黄山工业泵</w:t>
            </w:r>
          </w:p>
        </w:tc>
        <w:tc>
          <w:tcPr>
            <w:tcW w:w="1838" w:type="dxa"/>
            <w:noWrap w:val="0"/>
            <w:vAlign w:val="center"/>
          </w:tcPr>
          <w:p w14:paraId="18885ED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EA11D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noWrap w:val="0"/>
            <w:vAlign w:val="center"/>
          </w:tcPr>
          <w:p w14:paraId="78FBAC5D">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49409444">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兴龙泵业</w:t>
            </w:r>
          </w:p>
        </w:tc>
        <w:tc>
          <w:tcPr>
            <w:tcW w:w="1838" w:type="dxa"/>
            <w:noWrap w:val="0"/>
            <w:vAlign w:val="center"/>
          </w:tcPr>
          <w:p w14:paraId="2814145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74BFCF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0B952DF1">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r>
              <w:rPr>
                <w:rFonts w:hint="eastAsia" w:cs="Times New Roman"/>
                <w:color w:val="auto"/>
                <w:spacing w:val="10"/>
                <w:sz w:val="24"/>
                <w:szCs w:val="24"/>
                <w:highlight w:val="none"/>
                <w:lang w:val="en-US" w:eastAsia="zh-CN"/>
              </w:rPr>
              <w:t>板框压滤机</w:t>
            </w:r>
          </w:p>
        </w:tc>
        <w:tc>
          <w:tcPr>
            <w:tcW w:w="3911" w:type="dxa"/>
            <w:noWrap w:val="0"/>
            <w:vAlign w:val="center"/>
          </w:tcPr>
          <w:p w14:paraId="00EAE7D8">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兴源环保</w:t>
            </w:r>
          </w:p>
        </w:tc>
        <w:tc>
          <w:tcPr>
            <w:tcW w:w="1838" w:type="dxa"/>
            <w:noWrap w:val="0"/>
            <w:vAlign w:val="center"/>
          </w:tcPr>
          <w:p w14:paraId="35A3F22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8FEEC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3262699E">
            <w:pPr>
              <w:keepNext w:val="0"/>
              <w:keepLines w:val="0"/>
              <w:suppressLineNumbers w:val="0"/>
              <w:spacing w:before="0" w:beforeAutospacing="0" w:after="0" w:afterAutospacing="0" w:line="360" w:lineRule="auto"/>
              <w:ind w:left="0" w:right="0" w:firstLine="555"/>
              <w:rPr>
                <w:rFonts w:hint="default" w:cs="Times New Roman"/>
                <w:color w:val="auto"/>
                <w:spacing w:val="10"/>
                <w:sz w:val="24"/>
                <w:szCs w:val="24"/>
                <w:highlight w:val="none"/>
                <w:lang w:val="en-US" w:eastAsia="zh-CN"/>
              </w:rPr>
            </w:pPr>
          </w:p>
        </w:tc>
        <w:tc>
          <w:tcPr>
            <w:tcW w:w="3911" w:type="dxa"/>
            <w:noWrap w:val="0"/>
            <w:vAlign w:val="center"/>
          </w:tcPr>
          <w:p w14:paraId="740E1979">
            <w:pPr>
              <w:keepNext w:val="0"/>
              <w:keepLines w:val="0"/>
              <w:suppressLineNumbers w:val="0"/>
              <w:tabs>
                <w:tab w:val="left" w:pos="2657"/>
              </w:tabs>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权宏过滤</w:t>
            </w:r>
            <w:r>
              <w:rPr>
                <w:rFonts w:hint="eastAsia" w:ascii="宋体" w:hAnsi="宋体" w:cs="宋体"/>
                <w:color w:val="auto"/>
                <w:sz w:val="24"/>
                <w:szCs w:val="24"/>
                <w:highlight w:val="none"/>
                <w:lang w:val="en-US" w:eastAsia="zh-CN"/>
              </w:rPr>
              <w:tab/>
            </w:r>
          </w:p>
        </w:tc>
        <w:tc>
          <w:tcPr>
            <w:tcW w:w="1838" w:type="dxa"/>
            <w:noWrap w:val="0"/>
            <w:vAlign w:val="center"/>
          </w:tcPr>
          <w:p w14:paraId="18F892A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4B6CC0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5CBDF9BE">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288A8BEB">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大张过滤</w:t>
            </w:r>
          </w:p>
        </w:tc>
        <w:tc>
          <w:tcPr>
            <w:tcW w:w="1838" w:type="dxa"/>
            <w:noWrap w:val="0"/>
            <w:vAlign w:val="center"/>
          </w:tcPr>
          <w:p w14:paraId="29B4B45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CACE0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restart"/>
            <w:noWrap w:val="0"/>
            <w:vAlign w:val="center"/>
          </w:tcPr>
          <w:p w14:paraId="3B2D0E3A">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r>
              <w:rPr>
                <w:rFonts w:hint="eastAsia" w:cs="Times New Roman"/>
                <w:color w:val="auto"/>
                <w:spacing w:val="10"/>
                <w:sz w:val="24"/>
                <w:szCs w:val="24"/>
                <w:highlight w:val="none"/>
                <w:lang w:val="en-US" w:eastAsia="zh-CN"/>
              </w:rPr>
              <w:t>脱硫废水处理三联箱系统</w:t>
            </w:r>
          </w:p>
        </w:tc>
        <w:tc>
          <w:tcPr>
            <w:tcW w:w="3911" w:type="dxa"/>
            <w:noWrap w:val="0"/>
            <w:vAlign w:val="center"/>
          </w:tcPr>
          <w:p w14:paraId="2B612DE4">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南京大自然</w:t>
            </w:r>
          </w:p>
        </w:tc>
        <w:tc>
          <w:tcPr>
            <w:tcW w:w="1838" w:type="dxa"/>
            <w:noWrap w:val="0"/>
            <w:vAlign w:val="center"/>
          </w:tcPr>
          <w:p w14:paraId="2C354AA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87F65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509163E">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206FFC75">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江苏联慧资源</w:t>
            </w:r>
          </w:p>
        </w:tc>
        <w:tc>
          <w:tcPr>
            <w:tcW w:w="1838" w:type="dxa"/>
            <w:noWrap w:val="0"/>
            <w:vAlign w:val="center"/>
          </w:tcPr>
          <w:p w14:paraId="29823D2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6068A4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10FF1464">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6C3488A2">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南京东大能源</w:t>
            </w:r>
          </w:p>
        </w:tc>
        <w:tc>
          <w:tcPr>
            <w:tcW w:w="1838" w:type="dxa"/>
            <w:noWrap w:val="0"/>
            <w:vAlign w:val="center"/>
          </w:tcPr>
          <w:p w14:paraId="2B39B07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1143A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4C729D49">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519E4A20">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江达华达</w:t>
            </w:r>
          </w:p>
        </w:tc>
        <w:tc>
          <w:tcPr>
            <w:tcW w:w="1838" w:type="dxa"/>
            <w:noWrap w:val="0"/>
            <w:vAlign w:val="center"/>
          </w:tcPr>
          <w:p w14:paraId="2D808AC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r w14:paraId="5BCF3B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773" w:type="dxa"/>
            <w:vMerge w:val="continue"/>
            <w:noWrap w:val="0"/>
            <w:vAlign w:val="center"/>
          </w:tcPr>
          <w:p w14:paraId="0F310258">
            <w:pPr>
              <w:keepNext w:val="0"/>
              <w:keepLines w:val="0"/>
              <w:suppressLineNumbers w:val="0"/>
              <w:spacing w:before="0" w:beforeAutospacing="0" w:after="0" w:afterAutospacing="0" w:line="360" w:lineRule="auto"/>
              <w:ind w:left="0" w:right="0"/>
              <w:rPr>
                <w:rFonts w:hint="default" w:cs="Times New Roman"/>
                <w:color w:val="auto"/>
                <w:spacing w:val="10"/>
                <w:sz w:val="24"/>
                <w:szCs w:val="24"/>
                <w:highlight w:val="none"/>
                <w:lang w:val="en-US" w:eastAsia="zh-CN"/>
              </w:rPr>
            </w:pPr>
          </w:p>
        </w:tc>
        <w:tc>
          <w:tcPr>
            <w:tcW w:w="3911" w:type="dxa"/>
            <w:noWrap w:val="0"/>
            <w:vAlign w:val="center"/>
          </w:tcPr>
          <w:p w14:paraId="3AEEDF60">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上海双昊</w:t>
            </w:r>
          </w:p>
        </w:tc>
        <w:tc>
          <w:tcPr>
            <w:tcW w:w="1838" w:type="dxa"/>
            <w:noWrap w:val="0"/>
            <w:vAlign w:val="center"/>
          </w:tcPr>
          <w:p w14:paraId="63DDBD6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p>
        </w:tc>
      </w:tr>
    </w:tbl>
    <w:p w14:paraId="262194AC">
      <w:pPr>
        <w:adjustRightInd w:val="0"/>
        <w:snapToGrid w:val="0"/>
        <w:spacing w:line="360" w:lineRule="auto"/>
        <w:jc w:val="center"/>
        <w:rPr>
          <w:color w:val="auto"/>
          <w:sz w:val="24"/>
          <w:highlight w:val="none"/>
        </w:rPr>
      </w:pPr>
    </w:p>
    <w:p w14:paraId="6687B363">
      <w:pPr>
        <w:adjustRightInd w:val="0"/>
        <w:snapToGrid w:val="0"/>
        <w:spacing w:line="360" w:lineRule="auto"/>
        <w:jc w:val="center"/>
        <w:rPr>
          <w:color w:val="auto"/>
          <w:sz w:val="24"/>
          <w:highlight w:val="none"/>
        </w:rPr>
      </w:pPr>
      <w:r>
        <w:rPr>
          <w:color w:val="auto"/>
          <w:sz w:val="24"/>
          <w:highlight w:val="none"/>
        </w:rPr>
        <w:t>表</w:t>
      </w:r>
      <w:r>
        <w:rPr>
          <w:rFonts w:hint="eastAsia"/>
          <w:color w:val="auto"/>
          <w:sz w:val="24"/>
          <w:highlight w:val="none"/>
          <w:lang w:val="en-US" w:eastAsia="zh-CN"/>
        </w:rPr>
        <w:t>7</w:t>
      </w:r>
      <w:r>
        <w:rPr>
          <w:color w:val="auto"/>
          <w:sz w:val="24"/>
          <w:highlight w:val="none"/>
        </w:rPr>
        <w:t>-2-2 热控设备的品牌要求</w:t>
      </w:r>
    </w:p>
    <w:tbl>
      <w:tblPr>
        <w:tblStyle w:val="52"/>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254"/>
        <w:gridCol w:w="3366"/>
        <w:gridCol w:w="2616"/>
      </w:tblGrid>
      <w:tr w14:paraId="52DB9C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761" w:type="pct"/>
            <w:tcBorders>
              <w:top w:val="single" w:color="auto" w:sz="12" w:space="0"/>
              <w:left w:val="single" w:color="auto" w:sz="12" w:space="0"/>
              <w:bottom w:val="single" w:color="auto" w:sz="4" w:space="0"/>
              <w:right w:val="single" w:color="auto" w:sz="4" w:space="0"/>
            </w:tcBorders>
            <w:noWrap w:val="0"/>
            <w:vAlign w:val="center"/>
          </w:tcPr>
          <w:p w14:paraId="65F82510">
            <w:pPr>
              <w:keepNext w:val="0"/>
              <w:keepLines w:val="0"/>
              <w:suppressLineNumbers w:val="0"/>
              <w:spacing w:before="0" w:beforeAutospacing="0" w:after="0" w:afterAutospacing="0"/>
              <w:ind w:left="0" w:right="0"/>
              <w:jc w:val="left"/>
              <w:rPr>
                <w:rFonts w:hint="default"/>
                <w:b/>
                <w:color w:val="auto"/>
                <w:spacing w:val="10"/>
                <w:sz w:val="24"/>
                <w:highlight w:val="none"/>
              </w:rPr>
            </w:pPr>
            <w:r>
              <w:rPr>
                <w:rFonts w:hint="default"/>
                <w:b/>
                <w:color w:val="auto"/>
                <w:spacing w:val="10"/>
                <w:sz w:val="24"/>
                <w:highlight w:val="none"/>
              </w:rPr>
              <w:t>设备</w:t>
            </w:r>
          </w:p>
        </w:tc>
        <w:tc>
          <w:tcPr>
            <w:tcW w:w="1822" w:type="pct"/>
            <w:tcBorders>
              <w:top w:val="single" w:color="auto" w:sz="12" w:space="0"/>
              <w:left w:val="single" w:color="auto" w:sz="4" w:space="0"/>
              <w:bottom w:val="single" w:color="auto" w:sz="4" w:space="0"/>
              <w:right w:val="single" w:color="auto" w:sz="4" w:space="0"/>
            </w:tcBorders>
            <w:noWrap w:val="0"/>
            <w:vAlign w:val="center"/>
          </w:tcPr>
          <w:p w14:paraId="761C0790">
            <w:pPr>
              <w:keepNext w:val="0"/>
              <w:keepLines w:val="0"/>
              <w:suppressLineNumbers w:val="0"/>
              <w:spacing w:before="0" w:beforeAutospacing="0" w:after="0" w:afterAutospacing="0"/>
              <w:ind w:left="0" w:right="0"/>
              <w:jc w:val="center"/>
              <w:rPr>
                <w:rFonts w:hint="eastAsia" w:eastAsia="宋体"/>
                <w:b/>
                <w:color w:val="auto"/>
                <w:spacing w:val="10"/>
                <w:sz w:val="24"/>
                <w:highlight w:val="none"/>
                <w:lang w:eastAsia="zh-CN"/>
              </w:rPr>
            </w:pPr>
            <w:r>
              <w:rPr>
                <w:rFonts w:hint="eastAsia"/>
                <w:b/>
                <w:color w:val="auto"/>
                <w:spacing w:val="10"/>
                <w:sz w:val="24"/>
                <w:highlight w:val="none"/>
                <w:lang w:val="en-US" w:eastAsia="zh-CN"/>
              </w:rPr>
              <w:t>品牌</w:t>
            </w:r>
          </w:p>
        </w:tc>
        <w:tc>
          <w:tcPr>
            <w:tcW w:w="1416" w:type="pct"/>
            <w:tcBorders>
              <w:top w:val="single" w:color="auto" w:sz="12" w:space="0"/>
              <w:left w:val="single" w:color="auto" w:sz="4" w:space="0"/>
              <w:bottom w:val="single" w:color="auto" w:sz="4" w:space="0"/>
              <w:right w:val="single" w:color="auto" w:sz="12" w:space="0"/>
            </w:tcBorders>
            <w:noWrap w:val="0"/>
            <w:vAlign w:val="center"/>
          </w:tcPr>
          <w:p w14:paraId="12746E2A">
            <w:pPr>
              <w:keepNext w:val="0"/>
              <w:keepLines w:val="0"/>
              <w:suppressLineNumbers w:val="0"/>
              <w:spacing w:before="0" w:beforeAutospacing="0" w:after="0" w:afterAutospacing="0"/>
              <w:ind w:left="0" w:right="0"/>
              <w:jc w:val="center"/>
              <w:rPr>
                <w:rFonts w:hint="default"/>
                <w:b/>
                <w:color w:val="auto"/>
                <w:spacing w:val="10"/>
                <w:sz w:val="24"/>
                <w:highlight w:val="none"/>
              </w:rPr>
            </w:pPr>
            <w:r>
              <w:rPr>
                <w:rFonts w:hint="default"/>
                <w:b/>
                <w:color w:val="auto"/>
                <w:spacing w:val="10"/>
                <w:sz w:val="24"/>
                <w:highlight w:val="none"/>
              </w:rPr>
              <w:t>备注</w:t>
            </w:r>
          </w:p>
        </w:tc>
      </w:tr>
      <w:tr w14:paraId="0934B1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190EC983">
            <w:pPr>
              <w:keepNext w:val="0"/>
              <w:keepLines w:val="0"/>
              <w:suppressLineNumbers w:val="0"/>
              <w:spacing w:before="0" w:beforeAutospacing="0" w:after="0" w:afterAutospacing="0"/>
              <w:ind w:left="0" w:right="0"/>
              <w:jc w:val="left"/>
              <w:rPr>
                <w:rFonts w:hint="default"/>
                <w:bCs/>
                <w:color w:val="auto"/>
                <w:spacing w:val="10"/>
                <w:sz w:val="24"/>
                <w:highlight w:val="none"/>
              </w:rPr>
            </w:pPr>
            <w:r>
              <w:rPr>
                <w:rFonts w:hint="default"/>
                <w:bCs/>
                <w:color w:val="auto"/>
                <w:spacing w:val="10"/>
                <w:sz w:val="24"/>
                <w:highlight w:val="none"/>
              </w:rPr>
              <w:t>压力、差压变送器</w:t>
            </w:r>
          </w:p>
        </w:tc>
        <w:tc>
          <w:tcPr>
            <w:tcW w:w="1822" w:type="pct"/>
            <w:tcBorders>
              <w:top w:val="single" w:color="auto" w:sz="4" w:space="0"/>
              <w:left w:val="single" w:color="auto" w:sz="4" w:space="0"/>
              <w:bottom w:val="single" w:color="auto" w:sz="4" w:space="0"/>
              <w:right w:val="single" w:color="auto" w:sz="4" w:space="0"/>
            </w:tcBorders>
            <w:noWrap w:val="0"/>
            <w:vAlign w:val="bottom"/>
          </w:tcPr>
          <w:p w14:paraId="08CAFBAC">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eastAsia" w:ascii="宋体" w:hAnsi="宋体" w:eastAsia="宋体" w:cs="宋体"/>
                <w:color w:val="auto"/>
                <w:spacing w:val="10"/>
                <w:sz w:val="24"/>
                <w:szCs w:val="24"/>
                <w:highlight w:val="none"/>
              </w:rPr>
              <w:t>罗斯蒙特</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29DC1191">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038181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652B82E5">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bottom"/>
          </w:tcPr>
          <w:p w14:paraId="490E0DDA">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eastAsia" w:ascii="宋体" w:hAnsi="宋体" w:eastAsia="宋体" w:cs="宋体"/>
                <w:color w:val="auto"/>
                <w:spacing w:val="10"/>
                <w:sz w:val="24"/>
                <w:szCs w:val="24"/>
                <w:highlight w:val="none"/>
              </w:rPr>
              <w:t>横河</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70E3392F">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719B4D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697A60F6">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bottom"/>
          </w:tcPr>
          <w:p w14:paraId="43F30785">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eastAsia" w:ascii="宋体" w:hAnsi="宋体" w:eastAsia="宋体" w:cs="宋体"/>
                <w:color w:val="auto"/>
                <w:spacing w:val="10"/>
                <w:sz w:val="24"/>
                <w:szCs w:val="24"/>
                <w:highlight w:val="none"/>
              </w:rPr>
              <w:t>E+H</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0B032C94">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2C2C9F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7B9C249D">
            <w:pPr>
              <w:keepNext w:val="0"/>
              <w:keepLines w:val="0"/>
              <w:suppressLineNumbers w:val="0"/>
              <w:spacing w:before="0" w:beforeAutospacing="0" w:after="0" w:afterAutospacing="0"/>
              <w:ind w:left="0" w:right="0"/>
              <w:jc w:val="left"/>
              <w:rPr>
                <w:rFonts w:hint="default"/>
                <w:bCs/>
                <w:color w:val="auto"/>
                <w:spacing w:val="10"/>
                <w:sz w:val="24"/>
                <w:highlight w:val="none"/>
              </w:rPr>
            </w:pPr>
            <w:r>
              <w:rPr>
                <w:rFonts w:hint="default"/>
                <w:bCs/>
                <w:color w:val="auto"/>
                <w:spacing w:val="10"/>
                <w:sz w:val="24"/>
                <w:highlight w:val="none"/>
              </w:rPr>
              <w:t>电磁流量计</w:t>
            </w:r>
          </w:p>
        </w:tc>
        <w:tc>
          <w:tcPr>
            <w:tcW w:w="1822" w:type="pct"/>
            <w:tcBorders>
              <w:top w:val="single" w:color="auto" w:sz="4" w:space="0"/>
              <w:left w:val="single" w:color="auto" w:sz="4" w:space="0"/>
              <w:bottom w:val="single" w:color="auto" w:sz="4" w:space="0"/>
              <w:right w:val="single" w:color="auto" w:sz="4" w:space="0"/>
            </w:tcBorders>
            <w:noWrap w:val="0"/>
            <w:vAlign w:val="center"/>
          </w:tcPr>
          <w:p w14:paraId="6B6E1936">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E+H</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3883E68F">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5616A1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34598619">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2D69F2F3">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科隆</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758B820E">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3B8357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51359DAC">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38210D5F">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ROSEMOUNT</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67505B62">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6B7D2A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7F011F41">
            <w:pPr>
              <w:keepNext w:val="0"/>
              <w:keepLines w:val="0"/>
              <w:suppressLineNumbers w:val="0"/>
              <w:spacing w:before="0" w:beforeAutospacing="0" w:after="0" w:afterAutospacing="0"/>
              <w:ind w:left="0" w:right="0"/>
              <w:jc w:val="left"/>
              <w:rPr>
                <w:rFonts w:hint="default"/>
                <w:bCs/>
                <w:color w:val="auto"/>
                <w:spacing w:val="10"/>
                <w:sz w:val="24"/>
                <w:highlight w:val="none"/>
              </w:rPr>
            </w:pPr>
            <w:r>
              <w:rPr>
                <w:rFonts w:hint="default"/>
                <w:bCs/>
                <w:color w:val="auto"/>
                <w:spacing w:val="10"/>
                <w:sz w:val="24"/>
                <w:highlight w:val="none"/>
              </w:rPr>
              <w:t>脱硫CEMS分析仪表</w:t>
            </w:r>
          </w:p>
        </w:tc>
        <w:tc>
          <w:tcPr>
            <w:tcW w:w="1822" w:type="pct"/>
            <w:tcBorders>
              <w:top w:val="single" w:color="auto" w:sz="4" w:space="0"/>
              <w:left w:val="single" w:color="auto" w:sz="4" w:space="0"/>
              <w:bottom w:val="single" w:color="auto" w:sz="4" w:space="0"/>
              <w:right w:val="single" w:color="auto" w:sz="4" w:space="0"/>
            </w:tcBorders>
            <w:noWrap w:val="0"/>
            <w:vAlign w:val="center"/>
          </w:tcPr>
          <w:p w14:paraId="427CF413">
            <w:pPr>
              <w:keepNext w:val="0"/>
              <w:keepLines w:val="0"/>
              <w:suppressLineNumbers w:val="0"/>
              <w:spacing w:before="0" w:beforeAutospacing="0" w:after="0" w:afterAutospacing="0"/>
              <w:ind w:left="0" w:right="0"/>
              <w:jc w:val="center"/>
              <w:rPr>
                <w:rFonts w:hint="eastAsia"/>
                <w:bCs/>
                <w:color w:val="auto"/>
                <w:spacing w:val="10"/>
                <w:sz w:val="24"/>
                <w:highlight w:val="none"/>
                <w:lang w:val="en-US" w:eastAsia="zh-CN"/>
              </w:rPr>
            </w:pPr>
            <w:r>
              <w:rPr>
                <w:rFonts w:hint="eastAsia"/>
                <w:bCs/>
                <w:color w:val="auto"/>
                <w:spacing w:val="10"/>
                <w:sz w:val="24"/>
                <w:highlight w:val="none"/>
                <w:lang w:val="en-US" w:eastAsia="zh-CN"/>
              </w:rPr>
              <w:t>雪迪龙</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78B1AF36">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08A054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3303D221">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406B8335">
            <w:pPr>
              <w:keepNext w:val="0"/>
              <w:keepLines w:val="0"/>
              <w:suppressLineNumbers w:val="0"/>
              <w:spacing w:before="0" w:beforeAutospacing="0" w:after="0" w:afterAutospacing="0"/>
              <w:ind w:left="0" w:right="0"/>
              <w:jc w:val="center"/>
              <w:rPr>
                <w:rFonts w:hint="eastAsia"/>
                <w:bCs/>
                <w:color w:val="auto"/>
                <w:spacing w:val="10"/>
                <w:sz w:val="24"/>
                <w:highlight w:val="none"/>
                <w:lang w:val="en-US" w:eastAsia="zh-CN"/>
              </w:rPr>
            </w:pPr>
            <w:r>
              <w:rPr>
                <w:rFonts w:hint="eastAsia"/>
                <w:bCs/>
                <w:color w:val="auto"/>
                <w:spacing w:val="10"/>
                <w:sz w:val="24"/>
                <w:highlight w:val="none"/>
                <w:lang w:val="en-US" w:eastAsia="zh-CN"/>
              </w:rPr>
              <w:t>上海北分</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701DD35E">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14A371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1F95C460">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75C0C2D1">
            <w:pPr>
              <w:keepNext w:val="0"/>
              <w:keepLines w:val="0"/>
              <w:suppressLineNumbers w:val="0"/>
              <w:spacing w:before="0" w:beforeAutospacing="0" w:after="0" w:afterAutospacing="0"/>
              <w:ind w:left="0" w:right="0"/>
              <w:jc w:val="center"/>
              <w:rPr>
                <w:rFonts w:hint="default"/>
                <w:bCs/>
                <w:color w:val="auto"/>
                <w:spacing w:val="10"/>
                <w:sz w:val="24"/>
                <w:highlight w:val="none"/>
                <w:lang w:val="en-US" w:eastAsia="zh-CN"/>
              </w:rPr>
            </w:pPr>
            <w:r>
              <w:rPr>
                <w:rFonts w:hint="eastAsia"/>
                <w:bCs/>
                <w:color w:val="auto"/>
                <w:spacing w:val="10"/>
                <w:sz w:val="24"/>
                <w:highlight w:val="none"/>
                <w:lang w:val="en-US" w:eastAsia="zh-CN"/>
              </w:rPr>
              <w:t>聚光</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3E1BB8FF">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7834C5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4912799D">
            <w:pPr>
              <w:keepNext w:val="0"/>
              <w:keepLines w:val="0"/>
              <w:suppressLineNumbers w:val="0"/>
              <w:spacing w:before="0" w:beforeAutospacing="0" w:after="0" w:afterAutospacing="0"/>
              <w:ind w:left="0" w:right="0"/>
              <w:jc w:val="left"/>
              <w:rPr>
                <w:rFonts w:hint="default"/>
                <w:bCs/>
                <w:color w:val="auto"/>
                <w:spacing w:val="10"/>
                <w:sz w:val="24"/>
                <w:highlight w:val="none"/>
              </w:rPr>
            </w:pPr>
            <w:r>
              <w:rPr>
                <w:rFonts w:hint="default"/>
                <w:bCs/>
                <w:color w:val="auto"/>
                <w:spacing w:val="10"/>
                <w:sz w:val="24"/>
                <w:highlight w:val="none"/>
              </w:rPr>
              <w:t>电动执行机构</w:t>
            </w:r>
          </w:p>
        </w:tc>
        <w:tc>
          <w:tcPr>
            <w:tcW w:w="1822" w:type="pct"/>
            <w:tcBorders>
              <w:top w:val="single" w:color="auto" w:sz="4" w:space="0"/>
              <w:left w:val="single" w:color="auto" w:sz="4" w:space="0"/>
              <w:bottom w:val="single" w:color="auto" w:sz="4" w:space="0"/>
              <w:right w:val="single" w:color="auto" w:sz="4" w:space="0"/>
            </w:tcBorders>
            <w:noWrap w:val="0"/>
            <w:vAlign w:val="bottom"/>
          </w:tcPr>
          <w:p w14:paraId="111571F9">
            <w:pPr>
              <w:keepNext w:val="0"/>
              <w:keepLines w:val="0"/>
              <w:suppressLineNumbers w:val="0"/>
              <w:spacing w:before="0" w:beforeAutospacing="0" w:after="0" w:afterAutospacing="0"/>
              <w:ind w:left="0" w:right="0"/>
              <w:jc w:val="center"/>
              <w:rPr>
                <w:rFonts w:hint="default" w:ascii="宋体" w:hAnsi="宋体" w:eastAsia="宋体" w:cs="宋体"/>
                <w:color w:val="auto"/>
                <w:spacing w:val="10"/>
                <w:kern w:val="2"/>
                <w:sz w:val="24"/>
                <w:szCs w:val="24"/>
                <w:highlight w:val="none"/>
                <w:lang w:val="en-US" w:eastAsia="zh-CN" w:bidi="ar-SA"/>
              </w:rPr>
            </w:pPr>
            <w:r>
              <w:rPr>
                <w:rFonts w:hint="eastAsia" w:ascii="宋体" w:hAnsi="宋体" w:eastAsia="宋体" w:cs="宋体"/>
                <w:color w:val="auto"/>
                <w:spacing w:val="10"/>
                <w:sz w:val="24"/>
                <w:szCs w:val="24"/>
                <w:highlight w:val="none"/>
                <w:lang w:val="en-US" w:eastAsia="zh-CN"/>
              </w:rPr>
              <w:t>川仪</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542FF009">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3C48B5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33FAD651">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bottom"/>
          </w:tcPr>
          <w:p w14:paraId="0E938B9A">
            <w:pPr>
              <w:keepNext w:val="0"/>
              <w:keepLines w:val="0"/>
              <w:suppressLineNumbers w:val="0"/>
              <w:spacing w:before="0" w:beforeAutospacing="0" w:after="0" w:afterAutospacing="0"/>
              <w:ind w:left="0" w:right="0"/>
              <w:jc w:val="center"/>
              <w:rPr>
                <w:rFonts w:hint="eastAsia" w:ascii="宋体" w:hAnsi="宋体" w:eastAsia="宋体" w:cs="宋体"/>
                <w:color w:val="auto"/>
                <w:spacing w:val="10"/>
                <w:kern w:val="2"/>
                <w:sz w:val="24"/>
                <w:szCs w:val="24"/>
                <w:highlight w:val="none"/>
                <w:lang w:val="en-US" w:eastAsia="zh-CN" w:bidi="ar-SA"/>
              </w:rPr>
            </w:pPr>
            <w:r>
              <w:rPr>
                <w:rFonts w:hint="eastAsia" w:ascii="宋体" w:hAnsi="宋体" w:eastAsia="宋体" w:cs="宋体"/>
                <w:color w:val="auto"/>
                <w:spacing w:val="10"/>
                <w:sz w:val="24"/>
                <w:szCs w:val="24"/>
                <w:highlight w:val="none"/>
                <w:lang w:val="en-US" w:eastAsia="zh-CN"/>
              </w:rPr>
              <w:t>杨修</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370127E5">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17794E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7E8C05EF">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bottom"/>
          </w:tcPr>
          <w:p w14:paraId="04C8C364">
            <w:pPr>
              <w:keepNext w:val="0"/>
              <w:keepLines w:val="0"/>
              <w:suppressLineNumbers w:val="0"/>
              <w:spacing w:before="0" w:beforeAutospacing="0" w:after="0" w:afterAutospacing="0"/>
              <w:ind w:left="0" w:right="0"/>
              <w:jc w:val="center"/>
              <w:rPr>
                <w:rFonts w:hint="eastAsia" w:ascii="宋体" w:hAnsi="宋体" w:eastAsia="宋体" w:cs="宋体"/>
                <w:color w:val="auto"/>
                <w:spacing w:val="10"/>
                <w:kern w:val="2"/>
                <w:sz w:val="24"/>
                <w:szCs w:val="24"/>
                <w:highlight w:val="none"/>
                <w:lang w:val="en-US" w:eastAsia="zh-CN" w:bidi="ar-SA"/>
              </w:rPr>
            </w:pPr>
            <w:r>
              <w:rPr>
                <w:rFonts w:hint="eastAsia" w:ascii="宋体" w:hAnsi="宋体" w:eastAsia="宋体" w:cs="宋体"/>
                <w:color w:val="auto"/>
                <w:spacing w:val="10"/>
                <w:sz w:val="24"/>
                <w:szCs w:val="24"/>
                <w:highlight w:val="none"/>
                <w:lang w:val="en-US" w:eastAsia="zh-CN"/>
              </w:rPr>
              <w:t>温州瑞基</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291334BA">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3B8B95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74F0FB74">
            <w:pPr>
              <w:keepNext w:val="0"/>
              <w:keepLines w:val="0"/>
              <w:suppressLineNumbers w:val="0"/>
              <w:spacing w:before="0" w:beforeAutospacing="0" w:after="0" w:afterAutospacing="0"/>
              <w:ind w:left="0" w:right="0"/>
              <w:jc w:val="left"/>
              <w:rPr>
                <w:rFonts w:hint="default" w:eastAsia="宋体"/>
                <w:bCs/>
                <w:color w:val="auto"/>
                <w:spacing w:val="10"/>
                <w:sz w:val="24"/>
                <w:highlight w:val="none"/>
                <w:lang w:val="en-US" w:eastAsia="zh-CN"/>
              </w:rPr>
            </w:pPr>
            <w:r>
              <w:rPr>
                <w:rFonts w:hint="default"/>
                <w:bCs/>
                <w:color w:val="auto"/>
                <w:spacing w:val="10"/>
                <w:sz w:val="24"/>
                <w:highlight w:val="none"/>
              </w:rPr>
              <w:t>液位计</w:t>
            </w:r>
            <w:r>
              <w:rPr>
                <w:rFonts w:hint="eastAsia"/>
                <w:bCs/>
                <w:color w:val="auto"/>
                <w:spacing w:val="10"/>
                <w:sz w:val="24"/>
                <w:highlight w:val="none"/>
                <w:lang w:eastAsia="zh-CN"/>
              </w:rPr>
              <w:t>、</w:t>
            </w:r>
            <w:r>
              <w:rPr>
                <w:rFonts w:hint="eastAsia"/>
                <w:bCs/>
                <w:color w:val="auto"/>
                <w:spacing w:val="10"/>
                <w:sz w:val="24"/>
                <w:highlight w:val="none"/>
                <w:lang w:val="en-US" w:eastAsia="zh-CN"/>
              </w:rPr>
              <w:t>泥位计</w:t>
            </w:r>
          </w:p>
        </w:tc>
        <w:tc>
          <w:tcPr>
            <w:tcW w:w="1822" w:type="pct"/>
            <w:tcBorders>
              <w:top w:val="single" w:color="auto" w:sz="4" w:space="0"/>
              <w:left w:val="single" w:color="auto" w:sz="4" w:space="0"/>
              <w:bottom w:val="single" w:color="auto" w:sz="4" w:space="0"/>
              <w:right w:val="single" w:color="auto" w:sz="4" w:space="0"/>
            </w:tcBorders>
            <w:noWrap w:val="0"/>
            <w:vAlign w:val="center"/>
          </w:tcPr>
          <w:p w14:paraId="7356D185">
            <w:pPr>
              <w:keepNext w:val="0"/>
              <w:keepLines w:val="0"/>
              <w:suppressLineNumbers w:val="0"/>
              <w:spacing w:before="0" w:beforeAutospacing="0" w:after="0" w:afterAutospacing="0"/>
              <w:ind w:left="0" w:right="0"/>
              <w:jc w:val="center"/>
              <w:rPr>
                <w:rFonts w:hint="default"/>
                <w:bCs/>
                <w:color w:val="auto"/>
                <w:spacing w:val="10"/>
                <w:kern w:val="2"/>
                <w:sz w:val="24"/>
                <w:szCs w:val="24"/>
                <w:highlight w:val="none"/>
                <w:lang w:val="en-US" w:eastAsia="zh-CN" w:bidi="ar-SA"/>
              </w:rPr>
            </w:pPr>
            <w:r>
              <w:rPr>
                <w:rFonts w:hint="eastAsia"/>
                <w:bCs/>
                <w:color w:val="auto"/>
                <w:spacing w:val="10"/>
                <w:kern w:val="2"/>
                <w:sz w:val="24"/>
                <w:szCs w:val="24"/>
                <w:highlight w:val="none"/>
                <w:lang w:val="en-US" w:eastAsia="zh-CN" w:bidi="ar-SA"/>
              </w:rPr>
              <w:t>西门子</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3E2A71DE">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17F37D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66D09480">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47FB86B3">
            <w:pPr>
              <w:keepNext w:val="0"/>
              <w:keepLines w:val="0"/>
              <w:suppressLineNumbers w:val="0"/>
              <w:spacing w:before="0" w:beforeAutospacing="0" w:after="0" w:afterAutospacing="0"/>
              <w:ind w:left="0" w:right="0"/>
              <w:jc w:val="center"/>
              <w:rPr>
                <w:rFonts w:hint="default"/>
                <w:bCs/>
                <w:color w:val="auto"/>
                <w:spacing w:val="10"/>
                <w:kern w:val="2"/>
                <w:sz w:val="24"/>
                <w:szCs w:val="24"/>
                <w:highlight w:val="none"/>
                <w:lang w:val="en-US" w:eastAsia="zh-CN" w:bidi="ar-SA"/>
              </w:rPr>
            </w:pPr>
            <w:r>
              <w:rPr>
                <w:rFonts w:hint="eastAsia"/>
                <w:bCs/>
                <w:color w:val="auto"/>
                <w:spacing w:val="10"/>
                <w:kern w:val="2"/>
                <w:sz w:val="24"/>
                <w:szCs w:val="24"/>
                <w:highlight w:val="none"/>
                <w:lang w:val="en-US" w:eastAsia="zh-CN" w:bidi="ar-SA"/>
              </w:rPr>
              <w:t>ABB</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6E8E53EA">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7E0916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6417C0F3">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4D3FED17">
            <w:pPr>
              <w:keepNext w:val="0"/>
              <w:keepLines w:val="0"/>
              <w:suppressLineNumbers w:val="0"/>
              <w:spacing w:before="0" w:beforeAutospacing="0" w:after="0" w:afterAutospacing="0"/>
              <w:ind w:left="0" w:right="0"/>
              <w:jc w:val="center"/>
              <w:rPr>
                <w:rFonts w:hint="default"/>
                <w:bCs/>
                <w:color w:val="auto"/>
                <w:spacing w:val="10"/>
                <w:kern w:val="2"/>
                <w:sz w:val="24"/>
                <w:szCs w:val="24"/>
                <w:highlight w:val="none"/>
                <w:lang w:val="en-US" w:eastAsia="zh-CN" w:bidi="ar-SA"/>
              </w:rPr>
            </w:pPr>
            <w:r>
              <w:rPr>
                <w:rFonts w:hint="eastAsia"/>
                <w:bCs/>
                <w:color w:val="auto"/>
                <w:spacing w:val="10"/>
                <w:kern w:val="2"/>
                <w:sz w:val="24"/>
                <w:szCs w:val="24"/>
                <w:highlight w:val="none"/>
                <w:lang w:val="en-US" w:eastAsia="zh-CN" w:bidi="ar-SA"/>
              </w:rPr>
              <w:t>VEGA</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5A5CBDAD">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2F7FC5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6076A2E0">
            <w:pPr>
              <w:keepNext w:val="0"/>
              <w:keepLines w:val="0"/>
              <w:suppressLineNumbers w:val="0"/>
              <w:spacing w:before="0" w:beforeAutospacing="0" w:after="0" w:afterAutospacing="0"/>
              <w:ind w:left="0" w:right="0"/>
              <w:jc w:val="left"/>
              <w:rPr>
                <w:rFonts w:hint="default"/>
                <w:bCs/>
                <w:color w:val="auto"/>
                <w:spacing w:val="10"/>
                <w:sz w:val="24"/>
                <w:highlight w:val="none"/>
              </w:rPr>
            </w:pPr>
            <w:r>
              <w:rPr>
                <w:rFonts w:hint="default"/>
                <w:bCs/>
                <w:color w:val="auto"/>
                <w:spacing w:val="10"/>
                <w:sz w:val="24"/>
                <w:highlight w:val="none"/>
              </w:rPr>
              <w:t>pH计</w:t>
            </w:r>
          </w:p>
        </w:tc>
        <w:tc>
          <w:tcPr>
            <w:tcW w:w="1822" w:type="pct"/>
            <w:tcBorders>
              <w:top w:val="single" w:color="auto" w:sz="4" w:space="0"/>
              <w:left w:val="single" w:color="auto" w:sz="4" w:space="0"/>
              <w:bottom w:val="single" w:color="auto" w:sz="4" w:space="0"/>
              <w:right w:val="single" w:color="auto" w:sz="4" w:space="0"/>
            </w:tcBorders>
            <w:noWrap w:val="0"/>
            <w:vAlign w:val="center"/>
          </w:tcPr>
          <w:p w14:paraId="68EB10C9">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罗斯蒙特</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325EC169">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3A6B97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280EC6DB">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4CBF4A84">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E+H</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44C188C1">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6E8134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7A808E91">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2863D801">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Polymetron</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613C70F3">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608A40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3DA8D141">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422AA73B">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ORION</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3837C38C">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43D614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49BFC0CE">
            <w:pPr>
              <w:keepNext w:val="0"/>
              <w:keepLines w:val="0"/>
              <w:suppressLineNumbers w:val="0"/>
              <w:spacing w:before="0" w:beforeAutospacing="0" w:after="0" w:afterAutospacing="0"/>
              <w:ind w:left="0" w:right="0"/>
              <w:jc w:val="left"/>
              <w:rPr>
                <w:rFonts w:hint="default" w:eastAsia="宋体"/>
                <w:bCs/>
                <w:color w:val="auto"/>
                <w:spacing w:val="10"/>
                <w:sz w:val="24"/>
                <w:highlight w:val="none"/>
                <w:lang w:val="en-US" w:eastAsia="zh-CN"/>
              </w:rPr>
            </w:pPr>
            <w:r>
              <w:rPr>
                <w:rFonts w:hint="eastAsia"/>
                <w:bCs/>
                <w:color w:val="auto"/>
                <w:spacing w:val="10"/>
                <w:sz w:val="24"/>
                <w:highlight w:val="none"/>
                <w:lang w:val="en-US" w:eastAsia="zh-CN"/>
              </w:rPr>
              <w:t>脱硫系统密度计</w:t>
            </w:r>
          </w:p>
        </w:tc>
        <w:tc>
          <w:tcPr>
            <w:tcW w:w="1822" w:type="pct"/>
            <w:tcBorders>
              <w:top w:val="single" w:color="auto" w:sz="4" w:space="0"/>
              <w:left w:val="single" w:color="auto" w:sz="4" w:space="0"/>
              <w:bottom w:val="single" w:color="auto" w:sz="4" w:space="0"/>
              <w:right w:val="single" w:color="auto" w:sz="4" w:space="0"/>
            </w:tcBorders>
            <w:noWrap w:val="0"/>
            <w:vAlign w:val="center"/>
          </w:tcPr>
          <w:p w14:paraId="167762F1">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科隆</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50A13F74">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3F45D0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5E88E576">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61B7807D">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罗斯蒙特</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786E67FB">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25A20E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25F5A0A5">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2F0287BB">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E+H</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29C0DA7C">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6792CB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4DA150C3">
            <w:pPr>
              <w:keepNext w:val="0"/>
              <w:keepLines w:val="0"/>
              <w:suppressLineNumbers w:val="0"/>
              <w:spacing w:before="0" w:beforeAutospacing="0" w:after="0" w:afterAutospacing="0"/>
              <w:ind w:left="0" w:right="0"/>
              <w:jc w:val="left"/>
              <w:rPr>
                <w:rFonts w:hint="default"/>
                <w:bCs/>
                <w:color w:val="auto"/>
                <w:spacing w:val="10"/>
                <w:sz w:val="24"/>
                <w:highlight w:val="none"/>
              </w:rPr>
            </w:pPr>
            <w:r>
              <w:rPr>
                <w:rFonts w:hint="default"/>
                <w:bCs/>
                <w:color w:val="auto"/>
                <w:spacing w:val="10"/>
                <w:sz w:val="24"/>
                <w:highlight w:val="none"/>
              </w:rPr>
              <w:t>热电阻/热电偶</w:t>
            </w:r>
          </w:p>
        </w:tc>
        <w:tc>
          <w:tcPr>
            <w:tcW w:w="1822" w:type="pct"/>
            <w:tcBorders>
              <w:top w:val="single" w:color="auto" w:sz="4" w:space="0"/>
              <w:left w:val="single" w:color="auto" w:sz="4" w:space="0"/>
              <w:bottom w:val="single" w:color="auto" w:sz="4" w:space="0"/>
              <w:right w:val="single" w:color="auto" w:sz="4" w:space="0"/>
            </w:tcBorders>
            <w:noWrap w:val="0"/>
            <w:vAlign w:val="center"/>
          </w:tcPr>
          <w:p w14:paraId="649D86DA">
            <w:pPr>
              <w:keepNext w:val="0"/>
              <w:keepLines w:val="0"/>
              <w:suppressLineNumbers w:val="0"/>
              <w:spacing w:before="0" w:beforeAutospacing="0" w:after="0" w:afterAutospacing="0"/>
              <w:ind w:left="0" w:right="0"/>
              <w:jc w:val="center"/>
              <w:rPr>
                <w:rFonts w:hint="default" w:eastAsia="宋体"/>
                <w:bCs/>
                <w:color w:val="auto"/>
                <w:spacing w:val="10"/>
                <w:kern w:val="2"/>
                <w:sz w:val="24"/>
                <w:szCs w:val="24"/>
                <w:highlight w:val="none"/>
                <w:lang w:val="en-US" w:eastAsia="zh-CN" w:bidi="ar-SA"/>
              </w:rPr>
            </w:pPr>
            <w:r>
              <w:rPr>
                <w:rFonts w:hint="default"/>
                <w:bCs/>
                <w:color w:val="auto"/>
                <w:spacing w:val="10"/>
                <w:sz w:val="24"/>
                <w:highlight w:val="none"/>
              </w:rPr>
              <w:t>上</w:t>
            </w:r>
            <w:r>
              <w:rPr>
                <w:rFonts w:hint="eastAsia"/>
                <w:bCs/>
                <w:color w:val="auto"/>
                <w:spacing w:val="10"/>
                <w:sz w:val="24"/>
                <w:highlight w:val="none"/>
                <w:lang w:val="en-US" w:eastAsia="zh-CN"/>
              </w:rPr>
              <w:t>自仪</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219BD9B7">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025D6C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4B18B6FE">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194BAF23">
            <w:pPr>
              <w:keepNext w:val="0"/>
              <w:keepLines w:val="0"/>
              <w:suppressLineNumbers w:val="0"/>
              <w:spacing w:before="0" w:beforeAutospacing="0" w:after="0" w:afterAutospacing="0"/>
              <w:ind w:left="0" w:right="0"/>
              <w:jc w:val="center"/>
              <w:rPr>
                <w:rFonts w:hint="eastAsia" w:eastAsia="宋体"/>
                <w:bCs/>
                <w:color w:val="auto"/>
                <w:spacing w:val="10"/>
                <w:kern w:val="2"/>
                <w:sz w:val="24"/>
                <w:szCs w:val="24"/>
                <w:highlight w:val="none"/>
                <w:lang w:val="en-US" w:eastAsia="zh-CN" w:bidi="ar-SA"/>
              </w:rPr>
            </w:pPr>
            <w:r>
              <w:rPr>
                <w:rFonts w:hint="eastAsia"/>
                <w:bCs/>
                <w:color w:val="auto"/>
                <w:spacing w:val="10"/>
                <w:sz w:val="24"/>
                <w:highlight w:val="none"/>
                <w:lang w:val="en-US" w:eastAsia="zh-CN"/>
              </w:rPr>
              <w:t>天康</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4436AA32">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4C5400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45C473BB">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79547046">
            <w:pPr>
              <w:keepNext w:val="0"/>
              <w:keepLines w:val="0"/>
              <w:suppressLineNumbers w:val="0"/>
              <w:spacing w:before="0" w:beforeAutospacing="0" w:after="0" w:afterAutospacing="0"/>
              <w:ind w:left="0" w:right="0"/>
              <w:jc w:val="center"/>
              <w:rPr>
                <w:rFonts w:hint="eastAsia" w:eastAsia="宋体"/>
                <w:bCs/>
                <w:color w:val="auto"/>
                <w:spacing w:val="10"/>
                <w:kern w:val="2"/>
                <w:sz w:val="24"/>
                <w:szCs w:val="24"/>
                <w:highlight w:val="none"/>
                <w:lang w:val="en-US" w:eastAsia="zh-CN" w:bidi="ar-SA"/>
              </w:rPr>
            </w:pPr>
            <w:r>
              <w:rPr>
                <w:rFonts w:hint="eastAsia"/>
                <w:bCs/>
                <w:color w:val="auto"/>
                <w:spacing w:val="10"/>
                <w:sz w:val="24"/>
                <w:highlight w:val="none"/>
                <w:lang w:val="en-US" w:eastAsia="zh-CN"/>
              </w:rPr>
              <w:t>川仪</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5D9EA5C8">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50DCA6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658F0DB2">
            <w:pPr>
              <w:keepNext w:val="0"/>
              <w:keepLines w:val="0"/>
              <w:suppressLineNumbers w:val="0"/>
              <w:spacing w:before="0" w:beforeAutospacing="0" w:after="0" w:afterAutospacing="0"/>
              <w:ind w:left="0" w:right="0"/>
              <w:jc w:val="left"/>
              <w:rPr>
                <w:rFonts w:hint="default"/>
                <w:bCs/>
                <w:color w:val="auto"/>
                <w:spacing w:val="10"/>
                <w:sz w:val="24"/>
                <w:highlight w:val="none"/>
              </w:rPr>
            </w:pPr>
            <w:r>
              <w:rPr>
                <w:rFonts w:hint="default"/>
                <w:bCs/>
                <w:color w:val="auto"/>
                <w:spacing w:val="10"/>
                <w:sz w:val="24"/>
                <w:highlight w:val="none"/>
              </w:rPr>
              <w:t>压力表</w:t>
            </w:r>
          </w:p>
        </w:tc>
        <w:tc>
          <w:tcPr>
            <w:tcW w:w="1822" w:type="pct"/>
            <w:tcBorders>
              <w:top w:val="single" w:color="auto" w:sz="4" w:space="0"/>
              <w:left w:val="single" w:color="auto" w:sz="4" w:space="0"/>
              <w:bottom w:val="single" w:color="auto" w:sz="4" w:space="0"/>
              <w:right w:val="single" w:color="auto" w:sz="4" w:space="0"/>
            </w:tcBorders>
            <w:noWrap w:val="0"/>
            <w:vAlign w:val="center"/>
          </w:tcPr>
          <w:p w14:paraId="07DC7D1B">
            <w:pPr>
              <w:keepNext w:val="0"/>
              <w:keepLines w:val="0"/>
              <w:suppressLineNumbers w:val="0"/>
              <w:spacing w:before="0" w:beforeAutospacing="0" w:after="0" w:afterAutospacing="0"/>
              <w:ind w:left="0" w:right="0"/>
              <w:jc w:val="center"/>
              <w:rPr>
                <w:rFonts w:hint="default" w:eastAsia="宋体"/>
                <w:bCs/>
                <w:color w:val="auto"/>
                <w:spacing w:val="10"/>
                <w:sz w:val="24"/>
                <w:highlight w:val="none"/>
                <w:lang w:val="en-US" w:eastAsia="zh-CN"/>
              </w:rPr>
            </w:pPr>
            <w:r>
              <w:rPr>
                <w:rFonts w:hint="default"/>
                <w:bCs/>
                <w:color w:val="auto"/>
                <w:spacing w:val="10"/>
                <w:sz w:val="24"/>
                <w:highlight w:val="none"/>
              </w:rPr>
              <w:t>上</w:t>
            </w:r>
            <w:r>
              <w:rPr>
                <w:rFonts w:hint="eastAsia"/>
                <w:bCs/>
                <w:color w:val="auto"/>
                <w:spacing w:val="10"/>
                <w:sz w:val="24"/>
                <w:highlight w:val="none"/>
                <w:lang w:val="en-US" w:eastAsia="zh-CN"/>
              </w:rPr>
              <w:t>自仪</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43044B6B">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26783F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0BC657A0">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4E0D34EB">
            <w:pPr>
              <w:keepNext w:val="0"/>
              <w:keepLines w:val="0"/>
              <w:suppressLineNumbers w:val="0"/>
              <w:spacing w:before="0" w:beforeAutospacing="0" w:after="0" w:afterAutospacing="0"/>
              <w:ind w:left="0" w:right="0"/>
              <w:jc w:val="center"/>
              <w:rPr>
                <w:rFonts w:hint="eastAsia" w:eastAsia="宋体"/>
                <w:bCs/>
                <w:color w:val="auto"/>
                <w:spacing w:val="10"/>
                <w:sz w:val="24"/>
                <w:highlight w:val="none"/>
                <w:lang w:val="en-US" w:eastAsia="zh-CN"/>
              </w:rPr>
            </w:pPr>
            <w:r>
              <w:rPr>
                <w:rFonts w:hint="eastAsia"/>
                <w:bCs/>
                <w:color w:val="auto"/>
                <w:spacing w:val="10"/>
                <w:sz w:val="24"/>
                <w:highlight w:val="none"/>
                <w:lang w:val="en-US" w:eastAsia="zh-CN"/>
              </w:rPr>
              <w:t>天康</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5BAAF5D4">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05EA6E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170C5641">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60ADD2EC">
            <w:pPr>
              <w:keepNext w:val="0"/>
              <w:keepLines w:val="0"/>
              <w:suppressLineNumbers w:val="0"/>
              <w:spacing w:before="0" w:beforeAutospacing="0" w:after="0" w:afterAutospacing="0"/>
              <w:ind w:left="0" w:right="0"/>
              <w:jc w:val="center"/>
              <w:rPr>
                <w:rFonts w:hint="eastAsia" w:eastAsia="宋体"/>
                <w:bCs/>
                <w:color w:val="auto"/>
                <w:spacing w:val="10"/>
                <w:sz w:val="24"/>
                <w:highlight w:val="none"/>
                <w:lang w:val="en-US" w:eastAsia="zh-CN"/>
              </w:rPr>
            </w:pPr>
            <w:r>
              <w:rPr>
                <w:rFonts w:hint="eastAsia"/>
                <w:bCs/>
                <w:color w:val="auto"/>
                <w:spacing w:val="10"/>
                <w:sz w:val="24"/>
                <w:highlight w:val="none"/>
                <w:lang w:val="en-US" w:eastAsia="zh-CN"/>
              </w:rPr>
              <w:t>川仪</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652CF700">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4E586B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44BAE9B6">
            <w:pPr>
              <w:keepNext w:val="0"/>
              <w:keepLines w:val="0"/>
              <w:suppressLineNumbers w:val="0"/>
              <w:spacing w:before="0" w:beforeAutospacing="0" w:after="0" w:afterAutospacing="0"/>
              <w:ind w:left="0" w:right="0"/>
              <w:jc w:val="left"/>
              <w:rPr>
                <w:rFonts w:hint="default"/>
                <w:bCs/>
                <w:color w:val="auto"/>
                <w:spacing w:val="10"/>
                <w:sz w:val="24"/>
                <w:highlight w:val="none"/>
              </w:rPr>
            </w:pPr>
            <w:r>
              <w:rPr>
                <w:rFonts w:hint="default"/>
                <w:bCs/>
                <w:color w:val="auto"/>
                <w:spacing w:val="10"/>
                <w:sz w:val="24"/>
                <w:highlight w:val="none"/>
              </w:rPr>
              <w:t>就地温度计</w:t>
            </w:r>
          </w:p>
        </w:tc>
        <w:tc>
          <w:tcPr>
            <w:tcW w:w="1822" w:type="pct"/>
            <w:tcBorders>
              <w:top w:val="single" w:color="auto" w:sz="4" w:space="0"/>
              <w:left w:val="single" w:color="auto" w:sz="4" w:space="0"/>
              <w:bottom w:val="single" w:color="auto" w:sz="4" w:space="0"/>
              <w:right w:val="single" w:color="auto" w:sz="4" w:space="0"/>
            </w:tcBorders>
            <w:noWrap w:val="0"/>
            <w:vAlign w:val="center"/>
          </w:tcPr>
          <w:p w14:paraId="2420222D">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上海虹达仪器仪表</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01794BB2">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418FC7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6984C77E">
            <w:pPr>
              <w:keepNext w:val="0"/>
              <w:keepLines w:val="0"/>
              <w:suppressLineNumbers w:val="0"/>
              <w:spacing w:before="0" w:beforeAutospacing="0" w:after="0" w:afterAutospacing="0"/>
              <w:ind w:left="0" w:right="0"/>
              <w:jc w:val="left"/>
              <w:rPr>
                <w:rFonts w:hint="default"/>
                <w:bCs/>
                <w:color w:val="auto"/>
                <w:spacing w:val="10"/>
                <w:sz w:val="24"/>
                <w:highlight w:val="none"/>
                <w:u w:val="singl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29D82B15">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杭州宏兴</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1BA0D558">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728F18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6AE87190">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76E02452">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上海自动化仪表三厂</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34479C09">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326E9D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restart"/>
            <w:tcBorders>
              <w:top w:val="single" w:color="auto" w:sz="4" w:space="0"/>
              <w:left w:val="single" w:color="auto" w:sz="12" w:space="0"/>
              <w:right w:val="single" w:color="auto" w:sz="4" w:space="0"/>
            </w:tcBorders>
            <w:noWrap w:val="0"/>
            <w:vAlign w:val="center"/>
          </w:tcPr>
          <w:p w14:paraId="4E7AE018">
            <w:pPr>
              <w:keepNext w:val="0"/>
              <w:keepLines w:val="0"/>
              <w:suppressLineNumbers w:val="0"/>
              <w:spacing w:before="0" w:beforeAutospacing="0" w:after="0" w:afterAutospacing="0"/>
              <w:ind w:left="0" w:right="0"/>
              <w:jc w:val="left"/>
              <w:rPr>
                <w:rFonts w:hint="default"/>
                <w:bCs/>
                <w:color w:val="auto"/>
                <w:spacing w:val="10"/>
                <w:sz w:val="24"/>
                <w:highlight w:val="none"/>
              </w:rPr>
            </w:pPr>
            <w:r>
              <w:rPr>
                <w:rFonts w:hint="default"/>
                <w:bCs/>
                <w:color w:val="auto"/>
                <w:spacing w:val="10"/>
                <w:sz w:val="24"/>
                <w:highlight w:val="none"/>
              </w:rPr>
              <w:t>端子排</w:t>
            </w:r>
          </w:p>
        </w:tc>
        <w:tc>
          <w:tcPr>
            <w:tcW w:w="1822" w:type="pct"/>
            <w:tcBorders>
              <w:top w:val="single" w:color="auto" w:sz="4" w:space="0"/>
              <w:left w:val="single" w:color="auto" w:sz="4" w:space="0"/>
              <w:bottom w:val="single" w:color="auto" w:sz="4" w:space="0"/>
              <w:right w:val="single" w:color="auto" w:sz="4" w:space="0"/>
            </w:tcBorders>
            <w:noWrap w:val="0"/>
            <w:vAlign w:val="center"/>
          </w:tcPr>
          <w:p w14:paraId="08685705">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魏德米勒</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1D1C7964">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338379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right w:val="single" w:color="auto" w:sz="4" w:space="0"/>
            </w:tcBorders>
            <w:noWrap w:val="0"/>
            <w:vAlign w:val="center"/>
          </w:tcPr>
          <w:p w14:paraId="5322AD7C">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066D88FE">
            <w:pPr>
              <w:keepNext w:val="0"/>
              <w:keepLines w:val="0"/>
              <w:suppressLineNumbers w:val="0"/>
              <w:spacing w:before="0" w:beforeAutospacing="0" w:after="0" w:afterAutospacing="0"/>
              <w:ind w:left="0" w:right="0"/>
              <w:jc w:val="center"/>
              <w:rPr>
                <w:rFonts w:hint="default"/>
                <w:bCs/>
                <w:color w:val="auto"/>
                <w:spacing w:val="10"/>
                <w:sz w:val="24"/>
                <w:highlight w:val="none"/>
              </w:rPr>
            </w:pPr>
            <w:r>
              <w:rPr>
                <w:rFonts w:hint="default"/>
                <w:bCs/>
                <w:color w:val="auto"/>
                <w:spacing w:val="10"/>
                <w:sz w:val="24"/>
                <w:highlight w:val="none"/>
              </w:rPr>
              <w:t>菲尼克斯</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422FB01F">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r w14:paraId="433708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1761" w:type="pct"/>
            <w:vMerge w:val="continue"/>
            <w:tcBorders>
              <w:left w:val="single" w:color="auto" w:sz="12" w:space="0"/>
              <w:bottom w:val="single" w:color="auto" w:sz="4" w:space="0"/>
              <w:right w:val="single" w:color="auto" w:sz="4" w:space="0"/>
            </w:tcBorders>
            <w:noWrap w:val="0"/>
            <w:vAlign w:val="center"/>
          </w:tcPr>
          <w:p w14:paraId="5E1DF15E">
            <w:pPr>
              <w:keepNext w:val="0"/>
              <w:keepLines w:val="0"/>
              <w:suppressLineNumbers w:val="0"/>
              <w:spacing w:before="0" w:beforeAutospacing="0" w:after="0" w:afterAutospacing="0"/>
              <w:ind w:left="0" w:right="0"/>
              <w:jc w:val="left"/>
              <w:rPr>
                <w:rFonts w:hint="default"/>
                <w:bCs/>
                <w:color w:val="auto"/>
                <w:spacing w:val="10"/>
                <w:sz w:val="24"/>
                <w:highlight w:val="none"/>
              </w:rPr>
            </w:pPr>
          </w:p>
        </w:tc>
        <w:tc>
          <w:tcPr>
            <w:tcW w:w="1822" w:type="pct"/>
            <w:tcBorders>
              <w:top w:val="single" w:color="auto" w:sz="4" w:space="0"/>
              <w:left w:val="single" w:color="auto" w:sz="4" w:space="0"/>
              <w:bottom w:val="single" w:color="auto" w:sz="4" w:space="0"/>
              <w:right w:val="single" w:color="auto" w:sz="4" w:space="0"/>
            </w:tcBorders>
            <w:noWrap w:val="0"/>
            <w:vAlign w:val="center"/>
          </w:tcPr>
          <w:p w14:paraId="33E8EDB5">
            <w:pPr>
              <w:keepNext w:val="0"/>
              <w:keepLines w:val="0"/>
              <w:suppressLineNumbers w:val="0"/>
              <w:spacing w:before="0" w:beforeAutospacing="0" w:after="0" w:afterAutospacing="0"/>
              <w:ind w:left="0" w:right="0"/>
              <w:jc w:val="center"/>
              <w:rPr>
                <w:rFonts w:hint="default" w:eastAsia="宋体"/>
                <w:bCs/>
                <w:color w:val="auto"/>
                <w:spacing w:val="10"/>
                <w:sz w:val="24"/>
                <w:highlight w:val="none"/>
                <w:lang w:val="en-US" w:eastAsia="zh-CN"/>
              </w:rPr>
            </w:pPr>
            <w:r>
              <w:rPr>
                <w:rFonts w:hint="default"/>
                <w:bCs/>
                <w:color w:val="auto"/>
                <w:spacing w:val="10"/>
                <w:sz w:val="24"/>
                <w:highlight w:val="none"/>
                <w:lang w:val="en-US" w:eastAsia="zh-CN"/>
              </w:rPr>
              <w:t>万可</w:t>
            </w:r>
          </w:p>
        </w:tc>
        <w:tc>
          <w:tcPr>
            <w:tcW w:w="1416" w:type="pct"/>
            <w:tcBorders>
              <w:top w:val="single" w:color="auto" w:sz="4" w:space="0"/>
              <w:left w:val="single" w:color="auto" w:sz="4" w:space="0"/>
              <w:bottom w:val="single" w:color="auto" w:sz="4" w:space="0"/>
              <w:right w:val="single" w:color="auto" w:sz="12" w:space="0"/>
            </w:tcBorders>
            <w:noWrap w:val="0"/>
            <w:vAlign w:val="center"/>
          </w:tcPr>
          <w:p w14:paraId="4AD1F9B6">
            <w:pPr>
              <w:keepNext w:val="0"/>
              <w:keepLines w:val="0"/>
              <w:suppressLineNumbers w:val="0"/>
              <w:spacing w:before="0" w:beforeAutospacing="0" w:after="0" w:afterAutospacing="0"/>
              <w:ind w:left="0" w:right="0"/>
              <w:jc w:val="center"/>
              <w:rPr>
                <w:rFonts w:hint="default"/>
                <w:bCs/>
                <w:color w:val="auto"/>
                <w:spacing w:val="10"/>
                <w:sz w:val="24"/>
                <w:highlight w:val="none"/>
              </w:rPr>
            </w:pPr>
          </w:p>
        </w:tc>
      </w:tr>
    </w:tbl>
    <w:p w14:paraId="0635EDDF">
      <w:pPr>
        <w:adjustRightInd w:val="0"/>
        <w:snapToGrid w:val="0"/>
        <w:spacing w:line="360" w:lineRule="auto"/>
        <w:jc w:val="both"/>
        <w:rPr>
          <w:color w:val="auto"/>
          <w:sz w:val="24"/>
          <w:highlight w:val="none"/>
        </w:rPr>
      </w:pPr>
    </w:p>
    <w:p w14:paraId="4401237E">
      <w:pPr>
        <w:adjustRightInd w:val="0"/>
        <w:snapToGrid w:val="0"/>
        <w:spacing w:line="360" w:lineRule="auto"/>
        <w:jc w:val="center"/>
        <w:rPr>
          <w:color w:val="auto"/>
          <w:sz w:val="24"/>
          <w:highlight w:val="none"/>
        </w:rPr>
      </w:pPr>
      <w:r>
        <w:rPr>
          <w:color w:val="auto"/>
          <w:sz w:val="24"/>
          <w:highlight w:val="none"/>
        </w:rPr>
        <w:t>表</w:t>
      </w:r>
      <w:r>
        <w:rPr>
          <w:rFonts w:hint="eastAsia"/>
          <w:color w:val="auto"/>
          <w:sz w:val="24"/>
          <w:highlight w:val="none"/>
          <w:lang w:val="en-US" w:eastAsia="zh-CN"/>
        </w:rPr>
        <w:t>7</w:t>
      </w:r>
      <w:r>
        <w:rPr>
          <w:color w:val="auto"/>
          <w:sz w:val="24"/>
          <w:highlight w:val="none"/>
        </w:rPr>
        <w:t>-2-3 电气设备的品牌要求</w:t>
      </w:r>
    </w:p>
    <w:tbl>
      <w:tblPr>
        <w:tblStyle w:val="52"/>
        <w:tblW w:w="85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018"/>
        <w:gridCol w:w="2837"/>
        <w:gridCol w:w="2667"/>
      </w:tblGrid>
      <w:tr w14:paraId="310715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tblHeader/>
          <w:jc w:val="center"/>
        </w:trPr>
        <w:tc>
          <w:tcPr>
            <w:tcW w:w="3018" w:type="dxa"/>
            <w:noWrap w:val="0"/>
            <w:vAlign w:val="center"/>
          </w:tcPr>
          <w:p w14:paraId="6D0AC38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spacing w:val="10"/>
                <w:sz w:val="24"/>
                <w:highlight w:val="none"/>
              </w:rPr>
            </w:pPr>
            <w:r>
              <w:rPr>
                <w:rFonts w:hint="default" w:ascii="Times New Roman" w:hAnsi="Times New Roman" w:cs="Times New Roman"/>
                <w:b/>
                <w:color w:val="auto"/>
                <w:spacing w:val="10"/>
                <w:sz w:val="24"/>
                <w:highlight w:val="none"/>
              </w:rPr>
              <w:t>设备</w:t>
            </w:r>
          </w:p>
        </w:tc>
        <w:tc>
          <w:tcPr>
            <w:tcW w:w="2837" w:type="dxa"/>
            <w:noWrap w:val="0"/>
            <w:vAlign w:val="center"/>
          </w:tcPr>
          <w:p w14:paraId="6A448CBE">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color w:val="auto"/>
                <w:spacing w:val="10"/>
                <w:sz w:val="24"/>
                <w:highlight w:val="none"/>
                <w:lang w:eastAsia="zh-CN"/>
              </w:rPr>
            </w:pPr>
            <w:r>
              <w:rPr>
                <w:rFonts w:hint="eastAsia" w:cs="Times New Roman"/>
                <w:b/>
                <w:color w:val="auto"/>
                <w:spacing w:val="10"/>
                <w:sz w:val="24"/>
                <w:highlight w:val="none"/>
                <w:lang w:val="en-US" w:eastAsia="zh-CN"/>
              </w:rPr>
              <w:t>品牌</w:t>
            </w:r>
          </w:p>
        </w:tc>
        <w:tc>
          <w:tcPr>
            <w:tcW w:w="2667" w:type="dxa"/>
            <w:noWrap w:val="0"/>
            <w:vAlign w:val="center"/>
          </w:tcPr>
          <w:p w14:paraId="3C206F1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b/>
                <w:color w:val="auto"/>
                <w:spacing w:val="10"/>
                <w:sz w:val="24"/>
                <w:highlight w:val="none"/>
              </w:rPr>
            </w:pPr>
            <w:r>
              <w:rPr>
                <w:rFonts w:hint="default" w:ascii="Times New Roman" w:hAnsi="Times New Roman" w:cs="Times New Roman"/>
                <w:b/>
                <w:color w:val="auto"/>
                <w:spacing w:val="10"/>
                <w:sz w:val="24"/>
                <w:highlight w:val="none"/>
              </w:rPr>
              <w:t>备注</w:t>
            </w:r>
          </w:p>
        </w:tc>
      </w:tr>
      <w:tr w14:paraId="68A06E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3018" w:type="dxa"/>
            <w:vMerge w:val="restart"/>
            <w:noWrap w:val="0"/>
            <w:vAlign w:val="center"/>
          </w:tcPr>
          <w:p w14:paraId="45BB2251">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低压开关柜</w:t>
            </w:r>
          </w:p>
        </w:tc>
        <w:tc>
          <w:tcPr>
            <w:tcW w:w="2837" w:type="dxa"/>
            <w:noWrap w:val="0"/>
            <w:vAlign w:val="center"/>
          </w:tcPr>
          <w:p w14:paraId="33D47B7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宁波天安</w:t>
            </w:r>
          </w:p>
        </w:tc>
        <w:tc>
          <w:tcPr>
            <w:tcW w:w="2667" w:type="dxa"/>
            <w:noWrap w:val="0"/>
            <w:vAlign w:val="center"/>
          </w:tcPr>
          <w:p w14:paraId="2C2A54B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0AF2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1" w:hRule="atLeast"/>
          <w:jc w:val="center"/>
        </w:trPr>
        <w:tc>
          <w:tcPr>
            <w:tcW w:w="3018" w:type="dxa"/>
            <w:vMerge w:val="continue"/>
            <w:noWrap w:val="0"/>
            <w:vAlign w:val="center"/>
          </w:tcPr>
          <w:p w14:paraId="45B26114">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2837" w:type="dxa"/>
            <w:noWrap w:val="0"/>
            <w:vAlign w:val="center"/>
          </w:tcPr>
          <w:p w14:paraId="2360695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库柏（宁波）电气</w:t>
            </w:r>
          </w:p>
        </w:tc>
        <w:tc>
          <w:tcPr>
            <w:tcW w:w="2667" w:type="dxa"/>
            <w:noWrap w:val="0"/>
            <w:vAlign w:val="center"/>
          </w:tcPr>
          <w:p w14:paraId="07517CF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5ACFE6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1" w:hRule="atLeast"/>
          <w:jc w:val="center"/>
        </w:trPr>
        <w:tc>
          <w:tcPr>
            <w:tcW w:w="3018" w:type="dxa"/>
            <w:vMerge w:val="continue"/>
            <w:noWrap w:val="0"/>
            <w:vAlign w:val="center"/>
          </w:tcPr>
          <w:p w14:paraId="476DA15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2837" w:type="dxa"/>
            <w:noWrap w:val="0"/>
            <w:vAlign w:val="center"/>
          </w:tcPr>
          <w:p w14:paraId="2454754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杭州虎牌</w:t>
            </w:r>
          </w:p>
        </w:tc>
        <w:tc>
          <w:tcPr>
            <w:tcW w:w="2667" w:type="dxa"/>
            <w:noWrap w:val="0"/>
            <w:vAlign w:val="center"/>
          </w:tcPr>
          <w:p w14:paraId="3AAAC7E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557848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0" w:hRule="atLeast"/>
          <w:jc w:val="center"/>
        </w:trPr>
        <w:tc>
          <w:tcPr>
            <w:tcW w:w="3018" w:type="dxa"/>
            <w:vMerge w:val="continue"/>
            <w:noWrap w:val="0"/>
            <w:vAlign w:val="center"/>
          </w:tcPr>
          <w:p w14:paraId="11214FD4">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2837" w:type="dxa"/>
            <w:noWrap w:val="0"/>
            <w:vAlign w:val="center"/>
          </w:tcPr>
          <w:p w14:paraId="194F7F2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南京大全</w:t>
            </w:r>
          </w:p>
        </w:tc>
        <w:tc>
          <w:tcPr>
            <w:tcW w:w="2667" w:type="dxa"/>
            <w:noWrap w:val="0"/>
            <w:vAlign w:val="center"/>
          </w:tcPr>
          <w:p w14:paraId="557848D3">
            <w:pPr>
              <w:rPr>
                <w:color w:val="auto"/>
                <w:highlight w:val="none"/>
              </w:rPr>
            </w:pPr>
          </w:p>
        </w:tc>
      </w:tr>
      <w:tr w14:paraId="13EA63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restart"/>
            <w:noWrap w:val="0"/>
            <w:vAlign w:val="center"/>
          </w:tcPr>
          <w:p w14:paraId="7F4AE94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380V断路器、接触器、热继电器</w:t>
            </w:r>
          </w:p>
        </w:tc>
        <w:tc>
          <w:tcPr>
            <w:tcW w:w="2837" w:type="dxa"/>
            <w:noWrap w:val="0"/>
            <w:vAlign w:val="center"/>
          </w:tcPr>
          <w:p w14:paraId="6AB7B0ED">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ABB</w:t>
            </w:r>
          </w:p>
        </w:tc>
        <w:tc>
          <w:tcPr>
            <w:tcW w:w="2667" w:type="dxa"/>
            <w:noWrap w:val="0"/>
            <w:vAlign w:val="center"/>
          </w:tcPr>
          <w:p w14:paraId="0922B61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77213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490FA7A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2837" w:type="dxa"/>
            <w:noWrap w:val="0"/>
            <w:vAlign w:val="center"/>
          </w:tcPr>
          <w:p w14:paraId="6629387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西门子</w:t>
            </w:r>
          </w:p>
        </w:tc>
        <w:tc>
          <w:tcPr>
            <w:tcW w:w="2667" w:type="dxa"/>
            <w:noWrap w:val="0"/>
            <w:vAlign w:val="center"/>
          </w:tcPr>
          <w:p w14:paraId="63728E4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716F3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4337545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2837" w:type="dxa"/>
            <w:noWrap w:val="0"/>
            <w:vAlign w:val="center"/>
          </w:tcPr>
          <w:p w14:paraId="5B86F08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施耐德</w:t>
            </w:r>
          </w:p>
        </w:tc>
        <w:tc>
          <w:tcPr>
            <w:tcW w:w="2667" w:type="dxa"/>
            <w:noWrap w:val="0"/>
            <w:vAlign w:val="center"/>
          </w:tcPr>
          <w:p w14:paraId="3881FC4C">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5398EE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restart"/>
            <w:noWrap w:val="0"/>
            <w:vAlign w:val="center"/>
          </w:tcPr>
          <w:p w14:paraId="4DB5A7C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default" w:ascii="Times New Roman" w:hAnsi="Times New Roman" w:cs="Times New Roman"/>
                <w:color w:val="auto"/>
                <w:spacing w:val="10"/>
                <w:sz w:val="24"/>
                <w:highlight w:val="none"/>
              </w:rPr>
              <w:t>ATS双电源切换开关</w:t>
            </w:r>
          </w:p>
        </w:tc>
        <w:tc>
          <w:tcPr>
            <w:tcW w:w="2837" w:type="dxa"/>
            <w:noWrap w:val="0"/>
            <w:vAlign w:val="center"/>
          </w:tcPr>
          <w:p w14:paraId="42163E2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pacing w:val="10"/>
                <w:sz w:val="24"/>
                <w:highlight w:val="none"/>
              </w:rPr>
              <w:t>ASCO</w:t>
            </w:r>
          </w:p>
        </w:tc>
        <w:tc>
          <w:tcPr>
            <w:tcW w:w="2667" w:type="dxa"/>
            <w:noWrap w:val="0"/>
            <w:vAlign w:val="center"/>
          </w:tcPr>
          <w:p w14:paraId="3BF380E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3BCC6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2F5A1D41">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2837" w:type="dxa"/>
            <w:noWrap w:val="0"/>
            <w:vAlign w:val="center"/>
          </w:tcPr>
          <w:p w14:paraId="0DD8DF4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ABB</w:t>
            </w:r>
          </w:p>
        </w:tc>
        <w:tc>
          <w:tcPr>
            <w:tcW w:w="2667" w:type="dxa"/>
            <w:noWrap w:val="0"/>
            <w:vAlign w:val="center"/>
          </w:tcPr>
          <w:p w14:paraId="1AE3649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7847F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06472A66">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2837" w:type="dxa"/>
            <w:noWrap w:val="0"/>
            <w:vAlign w:val="center"/>
          </w:tcPr>
          <w:p w14:paraId="59DF72B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highlight w:val="none"/>
              </w:rPr>
            </w:pPr>
            <w:r>
              <w:rPr>
                <w:rFonts w:hint="default" w:ascii="Times New Roman" w:hAnsi="Times New Roman" w:cs="Times New Roman"/>
                <w:color w:val="auto"/>
                <w:spacing w:val="10"/>
                <w:sz w:val="24"/>
                <w:highlight w:val="none"/>
              </w:rPr>
              <w:t>施耐德</w:t>
            </w:r>
          </w:p>
        </w:tc>
        <w:tc>
          <w:tcPr>
            <w:tcW w:w="2667" w:type="dxa"/>
            <w:noWrap w:val="0"/>
            <w:vAlign w:val="center"/>
          </w:tcPr>
          <w:p w14:paraId="2D418EC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4F209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1B635D4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2837" w:type="dxa"/>
            <w:noWrap w:val="0"/>
            <w:vAlign w:val="center"/>
          </w:tcPr>
          <w:p w14:paraId="7E00DA2D">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bCs/>
                <w:color w:val="auto"/>
                <w:szCs w:val="21"/>
                <w:highlight w:val="none"/>
              </w:rPr>
            </w:pPr>
            <w:r>
              <w:rPr>
                <w:rFonts w:hint="eastAsia" w:ascii="Times New Roman" w:hAnsi="Times New Roman" w:cs="Times New Roman"/>
                <w:color w:val="auto"/>
                <w:sz w:val="24"/>
                <w:highlight w:val="none"/>
              </w:rPr>
              <w:t>MDS 7</w:t>
            </w:r>
          </w:p>
        </w:tc>
        <w:tc>
          <w:tcPr>
            <w:tcW w:w="2667" w:type="dxa"/>
            <w:noWrap w:val="0"/>
            <w:vAlign w:val="center"/>
          </w:tcPr>
          <w:p w14:paraId="759270E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07268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restart"/>
            <w:noWrap w:val="0"/>
            <w:vAlign w:val="center"/>
          </w:tcPr>
          <w:p w14:paraId="59269868">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eastAsia" w:ascii="Times New Roman" w:hAnsi="Times New Roman" w:cs="Times New Roman"/>
                <w:color w:val="auto"/>
                <w:sz w:val="24"/>
                <w:highlight w:val="none"/>
              </w:rPr>
              <w:t>变频装置</w:t>
            </w:r>
          </w:p>
        </w:tc>
        <w:tc>
          <w:tcPr>
            <w:tcW w:w="2837" w:type="dxa"/>
            <w:noWrap w:val="0"/>
            <w:vAlign w:val="center"/>
          </w:tcPr>
          <w:p w14:paraId="0DC52CD5">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lang w:val="en-US" w:eastAsia="zh-CN"/>
              </w:rPr>
              <w:t>ABB</w:t>
            </w:r>
          </w:p>
        </w:tc>
        <w:tc>
          <w:tcPr>
            <w:tcW w:w="2667" w:type="dxa"/>
            <w:noWrap w:val="0"/>
            <w:vAlign w:val="center"/>
          </w:tcPr>
          <w:p w14:paraId="74BF52A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0FC36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4B091D13">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2837" w:type="dxa"/>
            <w:noWrap w:val="0"/>
            <w:vAlign w:val="center"/>
          </w:tcPr>
          <w:p w14:paraId="76F4CC40">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lang w:val="en-US" w:eastAsia="zh-CN"/>
              </w:rPr>
              <w:t>施耐德</w:t>
            </w:r>
          </w:p>
        </w:tc>
        <w:tc>
          <w:tcPr>
            <w:tcW w:w="2667" w:type="dxa"/>
            <w:noWrap w:val="0"/>
            <w:vAlign w:val="center"/>
          </w:tcPr>
          <w:p w14:paraId="2959209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35B08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2FD0AD62">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p>
        </w:tc>
        <w:tc>
          <w:tcPr>
            <w:tcW w:w="2837" w:type="dxa"/>
            <w:noWrap w:val="0"/>
            <w:vAlign w:val="center"/>
          </w:tcPr>
          <w:p w14:paraId="7A12B56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kern w:val="2"/>
                <w:sz w:val="24"/>
                <w:szCs w:val="24"/>
                <w:highlight w:val="none"/>
                <w:lang w:val="en-US" w:eastAsia="zh-CN" w:bidi="ar-SA"/>
              </w:rPr>
            </w:pPr>
            <w:r>
              <w:rPr>
                <w:rFonts w:hint="eastAsia" w:ascii="Times New Roman" w:hAnsi="Times New Roman" w:cs="Times New Roman"/>
                <w:color w:val="auto"/>
                <w:sz w:val="24"/>
                <w:highlight w:val="none"/>
                <w:lang w:val="en-US" w:eastAsia="zh-CN"/>
              </w:rPr>
              <w:t>西门子</w:t>
            </w:r>
          </w:p>
        </w:tc>
        <w:tc>
          <w:tcPr>
            <w:tcW w:w="2667" w:type="dxa"/>
            <w:noWrap w:val="0"/>
            <w:vAlign w:val="center"/>
          </w:tcPr>
          <w:p w14:paraId="1632097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0AF61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restart"/>
            <w:noWrap w:val="0"/>
            <w:vAlign w:val="center"/>
          </w:tcPr>
          <w:p w14:paraId="237AE167">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pacing w:val="10"/>
                <w:sz w:val="24"/>
                <w:highlight w:val="none"/>
              </w:rPr>
            </w:pPr>
            <w:r>
              <w:rPr>
                <w:rFonts w:hint="eastAsia" w:ascii="宋体" w:hAnsi="宋体" w:eastAsia="宋体" w:cs="宋体"/>
                <w:i w:val="0"/>
                <w:iCs w:val="0"/>
                <w:color w:val="auto"/>
                <w:kern w:val="0"/>
                <w:sz w:val="20"/>
                <w:szCs w:val="20"/>
                <w:highlight w:val="none"/>
                <w:u w:val="none"/>
                <w:lang w:val="en-US" w:eastAsia="zh-CN" w:bidi="ar"/>
              </w:rPr>
              <w:t>动力电缆、控制电缆</w:t>
            </w:r>
          </w:p>
        </w:tc>
        <w:tc>
          <w:tcPr>
            <w:tcW w:w="2837" w:type="dxa"/>
            <w:noWrap w:val="0"/>
            <w:vAlign w:val="center"/>
          </w:tcPr>
          <w:p w14:paraId="7007660B">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江苏上上电缆　</w:t>
            </w:r>
          </w:p>
        </w:tc>
        <w:tc>
          <w:tcPr>
            <w:tcW w:w="2667" w:type="dxa"/>
            <w:noWrap w:val="0"/>
            <w:vAlign w:val="center"/>
          </w:tcPr>
          <w:p w14:paraId="2BAE0407">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64FF0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43F56CB3">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p>
        </w:tc>
        <w:tc>
          <w:tcPr>
            <w:tcW w:w="2837" w:type="dxa"/>
            <w:noWrap w:val="0"/>
            <w:vAlign w:val="center"/>
          </w:tcPr>
          <w:p w14:paraId="44F250E5">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浙江远东电缆</w:t>
            </w:r>
          </w:p>
        </w:tc>
        <w:tc>
          <w:tcPr>
            <w:tcW w:w="2667" w:type="dxa"/>
            <w:noWrap w:val="0"/>
            <w:vAlign w:val="center"/>
          </w:tcPr>
          <w:p w14:paraId="7ED2B31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533205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532BDBF2">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p>
        </w:tc>
        <w:tc>
          <w:tcPr>
            <w:tcW w:w="2837" w:type="dxa"/>
            <w:noWrap w:val="0"/>
            <w:vAlign w:val="center"/>
          </w:tcPr>
          <w:p w14:paraId="6FB227C9">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color w:val="auto"/>
                <w:sz w:val="24"/>
                <w:highlight w:val="none"/>
                <w:lang w:val="en-US" w:eastAsia="zh-CN"/>
              </w:rPr>
            </w:pPr>
            <w:r>
              <w:rPr>
                <w:rFonts w:hint="eastAsia" w:ascii="宋体" w:hAnsi="宋体" w:eastAsia="宋体" w:cs="宋体"/>
                <w:i w:val="0"/>
                <w:iCs w:val="0"/>
                <w:color w:val="auto"/>
                <w:kern w:val="0"/>
                <w:sz w:val="20"/>
                <w:szCs w:val="20"/>
                <w:highlight w:val="none"/>
                <w:u w:val="none"/>
                <w:lang w:val="en-US" w:eastAsia="zh-CN" w:bidi="ar"/>
              </w:rPr>
              <w:t>宝胜电缆</w:t>
            </w:r>
          </w:p>
        </w:tc>
        <w:tc>
          <w:tcPr>
            <w:tcW w:w="2667" w:type="dxa"/>
            <w:noWrap w:val="0"/>
            <w:vAlign w:val="center"/>
          </w:tcPr>
          <w:p w14:paraId="4DC7FCBF">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BAF9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restart"/>
            <w:noWrap w:val="0"/>
            <w:vAlign w:val="center"/>
          </w:tcPr>
          <w:p w14:paraId="3CACA59B">
            <w:pPr>
              <w:keepNext w:val="0"/>
              <w:keepLines w:val="0"/>
              <w:suppressLineNumbers w:val="0"/>
              <w:spacing w:before="0" w:beforeAutospacing="0" w:after="0" w:afterAutospacing="0" w:line="360" w:lineRule="auto"/>
              <w:ind w:left="0" w:right="0"/>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电动机</w:t>
            </w:r>
          </w:p>
        </w:tc>
        <w:tc>
          <w:tcPr>
            <w:tcW w:w="2837" w:type="dxa"/>
            <w:noWrap w:val="0"/>
            <w:vAlign w:val="center"/>
          </w:tcPr>
          <w:p w14:paraId="302BFCF8">
            <w:pPr>
              <w:keepNext w:val="0"/>
              <w:keepLines w:val="0"/>
              <w:suppressLineNumbers w:val="0"/>
              <w:spacing w:before="0" w:beforeAutospacing="0" w:after="0" w:afterAutospacing="0" w:line="360" w:lineRule="auto"/>
              <w:ind w:left="0" w:right="0"/>
              <w:jc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0"/>
                <w:szCs w:val="20"/>
                <w:highlight w:val="none"/>
                <w:u w:val="none"/>
                <w:lang w:val="en-US" w:eastAsia="zh-CN" w:bidi="ar"/>
              </w:rPr>
              <w:t>上海电气</w:t>
            </w:r>
          </w:p>
        </w:tc>
        <w:tc>
          <w:tcPr>
            <w:tcW w:w="2667" w:type="dxa"/>
            <w:noWrap w:val="0"/>
            <w:vAlign w:val="center"/>
          </w:tcPr>
          <w:p w14:paraId="195E0D4A">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423D11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499362A4">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p>
        </w:tc>
        <w:tc>
          <w:tcPr>
            <w:tcW w:w="2837" w:type="dxa"/>
            <w:noWrap w:val="0"/>
            <w:vAlign w:val="center"/>
          </w:tcPr>
          <w:p w14:paraId="7436BCDF">
            <w:pPr>
              <w:keepNext w:val="0"/>
              <w:keepLines w:val="0"/>
              <w:suppressLineNumbers w:val="0"/>
              <w:spacing w:before="0" w:beforeAutospacing="0" w:after="0" w:afterAutospacing="0" w:line="360" w:lineRule="auto"/>
              <w:ind w:left="0" w:right="0"/>
              <w:jc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0"/>
                <w:szCs w:val="20"/>
                <w:highlight w:val="none"/>
                <w:u w:val="none"/>
                <w:lang w:val="en-US" w:eastAsia="zh-CN" w:bidi="ar"/>
              </w:rPr>
              <w:t>卧龙电气</w:t>
            </w:r>
          </w:p>
        </w:tc>
        <w:tc>
          <w:tcPr>
            <w:tcW w:w="2667" w:type="dxa"/>
            <w:noWrap w:val="0"/>
            <w:vAlign w:val="center"/>
          </w:tcPr>
          <w:p w14:paraId="6630287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5CC842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4E36F484">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p>
        </w:tc>
        <w:tc>
          <w:tcPr>
            <w:tcW w:w="2837" w:type="dxa"/>
            <w:noWrap w:val="0"/>
            <w:vAlign w:val="center"/>
          </w:tcPr>
          <w:p w14:paraId="081426C0">
            <w:pPr>
              <w:keepNext w:val="0"/>
              <w:keepLines w:val="0"/>
              <w:suppressLineNumbers w:val="0"/>
              <w:spacing w:before="0" w:beforeAutospacing="0" w:after="0" w:afterAutospacing="0" w:line="360" w:lineRule="auto"/>
              <w:ind w:left="0" w:right="0"/>
              <w:jc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 w:val="20"/>
                <w:szCs w:val="20"/>
                <w:highlight w:val="none"/>
                <w:u w:val="none"/>
                <w:lang w:val="en-US" w:eastAsia="zh-CN" w:bidi="ar"/>
              </w:rPr>
              <w:t>南方电机</w:t>
            </w:r>
          </w:p>
        </w:tc>
        <w:tc>
          <w:tcPr>
            <w:tcW w:w="2667" w:type="dxa"/>
            <w:noWrap w:val="0"/>
            <w:vAlign w:val="center"/>
          </w:tcPr>
          <w:p w14:paraId="4CC05AE3">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7D676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3CDA76DB">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p>
        </w:tc>
        <w:tc>
          <w:tcPr>
            <w:tcW w:w="2837" w:type="dxa"/>
            <w:noWrap w:val="0"/>
            <w:vAlign w:val="center"/>
          </w:tcPr>
          <w:p w14:paraId="7320AD7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0"/>
                <w:szCs w:val="20"/>
                <w:highlight w:val="none"/>
                <w:u w:val="none"/>
                <w:lang w:val="en-US" w:eastAsia="zh-CN" w:bidi="ar"/>
              </w:rPr>
            </w:pPr>
            <w:r>
              <w:rPr>
                <w:rFonts w:hint="eastAsia" w:ascii="宋体" w:hAnsi="宋体" w:eastAsia="宋体" w:cs="宋体"/>
                <w:color w:val="auto"/>
                <w:kern w:val="0"/>
                <w:sz w:val="20"/>
                <w:szCs w:val="20"/>
                <w:highlight w:val="none"/>
                <w:u w:val="none"/>
                <w:lang w:val="en-US" w:eastAsia="zh-CN" w:bidi="ar"/>
              </w:rPr>
              <w:t>佳木斯电机</w:t>
            </w:r>
          </w:p>
        </w:tc>
        <w:tc>
          <w:tcPr>
            <w:tcW w:w="2667" w:type="dxa"/>
            <w:noWrap w:val="0"/>
            <w:vAlign w:val="center"/>
          </w:tcPr>
          <w:p w14:paraId="496B22E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33AFF0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restart"/>
            <w:noWrap w:val="0"/>
            <w:vAlign w:val="center"/>
          </w:tcPr>
          <w:p w14:paraId="7A877844">
            <w:pPr>
              <w:keepNext w:val="0"/>
              <w:keepLines w:val="0"/>
              <w:suppressLineNumbers w:val="0"/>
              <w:spacing w:before="0" w:beforeAutospacing="0" w:after="0" w:afterAutospacing="0" w:line="360" w:lineRule="auto"/>
              <w:ind w:left="0" w:right="0"/>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变压器</w:t>
            </w:r>
          </w:p>
        </w:tc>
        <w:tc>
          <w:tcPr>
            <w:tcW w:w="2837" w:type="dxa"/>
            <w:noWrap w:val="0"/>
            <w:vAlign w:val="center"/>
          </w:tcPr>
          <w:p w14:paraId="409FDB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三变</w:t>
            </w:r>
          </w:p>
        </w:tc>
        <w:tc>
          <w:tcPr>
            <w:tcW w:w="2667" w:type="dxa"/>
            <w:noWrap w:val="0"/>
            <w:vAlign w:val="center"/>
          </w:tcPr>
          <w:p w14:paraId="01712D3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1155BF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07F3CA92">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p>
        </w:tc>
        <w:tc>
          <w:tcPr>
            <w:tcW w:w="2837" w:type="dxa"/>
            <w:noWrap w:val="0"/>
            <w:vAlign w:val="center"/>
          </w:tcPr>
          <w:p w14:paraId="4B63ED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0"/>
                <w:szCs w:val="20"/>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上</w:t>
            </w:r>
            <w:r>
              <w:rPr>
                <w:rFonts w:hint="eastAsia" w:ascii="宋体" w:hAnsi="宋体" w:eastAsia="宋体" w:cs="宋体"/>
                <w:i w:val="0"/>
                <w:iCs w:val="0"/>
                <w:color w:val="auto"/>
                <w:kern w:val="0"/>
                <w:sz w:val="20"/>
                <w:szCs w:val="20"/>
                <w:highlight w:val="none"/>
                <w:u w:val="none"/>
                <w:lang w:val="en-US" w:eastAsia="zh-CN" w:bidi="ar"/>
              </w:rPr>
              <w:t>海变压器</w:t>
            </w:r>
          </w:p>
        </w:tc>
        <w:tc>
          <w:tcPr>
            <w:tcW w:w="2667" w:type="dxa"/>
            <w:noWrap w:val="0"/>
            <w:vAlign w:val="center"/>
          </w:tcPr>
          <w:p w14:paraId="3047A92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29CE5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0BD9B6A4">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p>
        </w:tc>
        <w:tc>
          <w:tcPr>
            <w:tcW w:w="2837" w:type="dxa"/>
            <w:noWrap w:val="0"/>
            <w:vAlign w:val="center"/>
          </w:tcPr>
          <w:p w14:paraId="0A983B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山东泰开</w:t>
            </w:r>
          </w:p>
        </w:tc>
        <w:tc>
          <w:tcPr>
            <w:tcW w:w="2667" w:type="dxa"/>
            <w:noWrap w:val="0"/>
            <w:vAlign w:val="center"/>
          </w:tcPr>
          <w:p w14:paraId="07E0008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5BB20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restart"/>
            <w:noWrap w:val="0"/>
            <w:vAlign w:val="center"/>
          </w:tcPr>
          <w:p w14:paraId="33B2882C">
            <w:pPr>
              <w:keepNext w:val="0"/>
              <w:keepLines w:val="0"/>
              <w:suppressLineNumbers w:val="0"/>
              <w:spacing w:before="0" w:beforeAutospacing="0" w:after="0" w:afterAutospacing="0" w:line="360" w:lineRule="auto"/>
              <w:ind w:left="0" w:right="0"/>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低压变频</w:t>
            </w:r>
          </w:p>
        </w:tc>
        <w:tc>
          <w:tcPr>
            <w:tcW w:w="2837" w:type="dxa"/>
            <w:noWrap w:val="0"/>
            <w:vAlign w:val="center"/>
          </w:tcPr>
          <w:p w14:paraId="0F59CA62">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bCs/>
                <w:color w:val="auto"/>
                <w:spacing w:val="10"/>
                <w:kern w:val="2"/>
                <w:sz w:val="24"/>
                <w:szCs w:val="24"/>
                <w:highlight w:val="none"/>
                <w:lang w:val="en-US" w:eastAsia="zh-CN" w:bidi="ar-SA"/>
              </w:rPr>
            </w:pPr>
            <w:r>
              <w:rPr>
                <w:rFonts w:hint="default"/>
                <w:bCs/>
                <w:color w:val="auto"/>
                <w:spacing w:val="10"/>
                <w:sz w:val="24"/>
                <w:highlight w:val="none"/>
              </w:rPr>
              <w:t>ABB</w:t>
            </w:r>
          </w:p>
        </w:tc>
        <w:tc>
          <w:tcPr>
            <w:tcW w:w="2667" w:type="dxa"/>
            <w:noWrap w:val="0"/>
            <w:vAlign w:val="center"/>
          </w:tcPr>
          <w:p w14:paraId="5E1C533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210D0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4BCC637B">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p>
        </w:tc>
        <w:tc>
          <w:tcPr>
            <w:tcW w:w="2837" w:type="dxa"/>
            <w:noWrap w:val="0"/>
            <w:vAlign w:val="center"/>
          </w:tcPr>
          <w:p w14:paraId="29898AF0">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bCs/>
                <w:color w:val="auto"/>
                <w:spacing w:val="10"/>
                <w:kern w:val="2"/>
                <w:sz w:val="24"/>
                <w:szCs w:val="24"/>
                <w:highlight w:val="none"/>
                <w:lang w:val="en-US" w:eastAsia="zh-CN" w:bidi="ar-SA"/>
              </w:rPr>
            </w:pPr>
            <w:r>
              <w:rPr>
                <w:rFonts w:hint="default"/>
                <w:bCs/>
                <w:color w:val="auto"/>
                <w:spacing w:val="10"/>
                <w:sz w:val="24"/>
                <w:highlight w:val="none"/>
              </w:rPr>
              <w:t>施耐德</w:t>
            </w:r>
          </w:p>
        </w:tc>
        <w:tc>
          <w:tcPr>
            <w:tcW w:w="2667" w:type="dxa"/>
            <w:noWrap w:val="0"/>
            <w:vAlign w:val="center"/>
          </w:tcPr>
          <w:p w14:paraId="583B5A66">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r w14:paraId="6F2BC0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3018" w:type="dxa"/>
            <w:vMerge w:val="continue"/>
            <w:noWrap w:val="0"/>
            <w:vAlign w:val="center"/>
          </w:tcPr>
          <w:p w14:paraId="785828E4">
            <w:pPr>
              <w:keepNext w:val="0"/>
              <w:keepLines w:val="0"/>
              <w:suppressLineNumbers w:val="0"/>
              <w:spacing w:before="0" w:beforeAutospacing="0" w:after="0" w:afterAutospacing="0" w:line="360" w:lineRule="auto"/>
              <w:ind w:left="0" w:right="0"/>
              <w:rPr>
                <w:rFonts w:hint="eastAsia" w:ascii="宋体" w:hAnsi="宋体" w:eastAsia="宋体" w:cs="宋体"/>
                <w:i w:val="0"/>
                <w:iCs w:val="0"/>
                <w:color w:val="auto"/>
                <w:kern w:val="0"/>
                <w:sz w:val="20"/>
                <w:szCs w:val="20"/>
                <w:highlight w:val="none"/>
                <w:u w:val="none"/>
                <w:lang w:val="en-US" w:eastAsia="zh-CN" w:bidi="ar"/>
              </w:rPr>
            </w:pPr>
          </w:p>
        </w:tc>
        <w:tc>
          <w:tcPr>
            <w:tcW w:w="2837" w:type="dxa"/>
            <w:noWrap w:val="0"/>
            <w:vAlign w:val="center"/>
          </w:tcPr>
          <w:p w14:paraId="271AF6AD">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bCs/>
                <w:color w:val="auto"/>
                <w:spacing w:val="10"/>
                <w:kern w:val="2"/>
                <w:sz w:val="24"/>
                <w:szCs w:val="24"/>
                <w:highlight w:val="none"/>
                <w:lang w:val="en-US" w:eastAsia="zh-CN" w:bidi="ar-SA"/>
              </w:rPr>
            </w:pPr>
            <w:r>
              <w:rPr>
                <w:rFonts w:hint="default"/>
                <w:bCs/>
                <w:color w:val="auto"/>
                <w:spacing w:val="10"/>
                <w:sz w:val="24"/>
                <w:highlight w:val="none"/>
              </w:rPr>
              <w:t>西门子</w:t>
            </w:r>
          </w:p>
        </w:tc>
        <w:tc>
          <w:tcPr>
            <w:tcW w:w="2667" w:type="dxa"/>
            <w:noWrap w:val="0"/>
            <w:vAlign w:val="center"/>
          </w:tcPr>
          <w:p w14:paraId="448C9F74">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pacing w:val="10"/>
                <w:sz w:val="24"/>
                <w:highlight w:val="none"/>
              </w:rPr>
            </w:pPr>
          </w:p>
        </w:tc>
      </w:tr>
    </w:tbl>
    <w:p w14:paraId="09ACD7BD">
      <w:pPr>
        <w:adjustRightInd w:val="0"/>
        <w:snapToGrid w:val="0"/>
        <w:spacing w:line="360" w:lineRule="auto"/>
        <w:jc w:val="center"/>
        <w:rPr>
          <w:color w:val="auto"/>
          <w:sz w:val="24"/>
          <w:highlight w:val="none"/>
        </w:rPr>
      </w:pPr>
    </w:p>
    <w:p w14:paraId="00376C79">
      <w:pPr>
        <w:pStyle w:val="126"/>
        <w:spacing w:before="156" w:beforeLines="50"/>
        <w:rPr>
          <w:rFonts w:ascii="Times New Roman" w:hAnsi="Times New Roman"/>
          <w:color w:val="auto"/>
          <w:szCs w:val="28"/>
          <w:highlight w:val="none"/>
        </w:rPr>
      </w:pPr>
      <w:r>
        <w:rPr>
          <w:rFonts w:ascii="Times New Roman" w:hAnsi="Times New Roman"/>
          <w:color w:val="auto"/>
          <w:sz w:val="24"/>
          <w:szCs w:val="24"/>
          <w:highlight w:val="none"/>
        </w:rPr>
        <w:br w:type="page"/>
      </w:r>
      <w:bookmarkStart w:id="358" w:name="_Toc29861"/>
      <w:bookmarkStart w:id="359" w:name="_Toc16360"/>
      <w:bookmarkStart w:id="360" w:name="_Toc12845"/>
      <w:bookmarkStart w:id="361" w:name="_Toc20502"/>
      <w:bookmarkStart w:id="362" w:name="_Toc482190022"/>
      <w:bookmarkStart w:id="363" w:name="_Toc19130"/>
      <w:bookmarkStart w:id="364" w:name="_Toc10990"/>
      <w:bookmarkStart w:id="365" w:name="OLE_LINK63"/>
      <w:bookmarkStart w:id="366" w:name="_Toc69036959"/>
      <w:r>
        <w:rPr>
          <w:rFonts w:ascii="Times New Roman" w:hAnsi="Times New Roman"/>
          <w:color w:val="auto"/>
          <w:kern w:val="2"/>
          <w:sz w:val="32"/>
          <w:szCs w:val="32"/>
          <w:highlight w:val="none"/>
        </w:rPr>
        <w:t>附件</w:t>
      </w:r>
      <w:bookmarkStart w:id="367" w:name="_Toc474835780"/>
      <w:r>
        <w:rPr>
          <w:rFonts w:ascii="Times New Roman" w:hAnsi="Times New Roman"/>
          <w:color w:val="auto"/>
          <w:kern w:val="2"/>
          <w:sz w:val="32"/>
          <w:szCs w:val="32"/>
          <w:highlight w:val="none"/>
        </w:rPr>
        <w:t>8 大（部）件情况</w:t>
      </w:r>
      <w:bookmarkEnd w:id="358"/>
      <w:bookmarkEnd w:id="359"/>
      <w:bookmarkEnd w:id="360"/>
      <w:bookmarkEnd w:id="361"/>
      <w:bookmarkEnd w:id="362"/>
      <w:bookmarkEnd w:id="363"/>
      <w:bookmarkEnd w:id="364"/>
      <w:bookmarkEnd w:id="367"/>
    </w:p>
    <w:bookmarkEnd w:id="365"/>
    <w:tbl>
      <w:tblPr>
        <w:tblStyle w:val="52"/>
        <w:tblW w:w="0" w:type="auto"/>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547"/>
        <w:gridCol w:w="1505"/>
        <w:gridCol w:w="542"/>
        <w:gridCol w:w="868"/>
        <w:gridCol w:w="1124"/>
        <w:gridCol w:w="781"/>
        <w:gridCol w:w="1042"/>
        <w:gridCol w:w="522"/>
        <w:gridCol w:w="652"/>
        <w:gridCol w:w="779"/>
      </w:tblGrid>
      <w:tr w14:paraId="39A5A1C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c>
          <w:tcPr>
            <w:tcW w:w="547" w:type="dxa"/>
            <w:vMerge w:val="restart"/>
            <w:noWrap w:val="0"/>
            <w:vAlign w:val="center"/>
          </w:tcPr>
          <w:p w14:paraId="560344DA">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序</w:t>
            </w:r>
          </w:p>
          <w:p w14:paraId="18506FC4">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号</w:t>
            </w:r>
          </w:p>
        </w:tc>
        <w:tc>
          <w:tcPr>
            <w:tcW w:w="1505" w:type="dxa"/>
            <w:vMerge w:val="restart"/>
            <w:noWrap w:val="0"/>
            <w:vAlign w:val="center"/>
          </w:tcPr>
          <w:p w14:paraId="0DDC121C">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部件名称</w:t>
            </w:r>
          </w:p>
        </w:tc>
        <w:tc>
          <w:tcPr>
            <w:tcW w:w="542" w:type="dxa"/>
            <w:vMerge w:val="restart"/>
            <w:noWrap w:val="0"/>
            <w:vAlign w:val="center"/>
          </w:tcPr>
          <w:p w14:paraId="24AE9E9E">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数量</w:t>
            </w:r>
          </w:p>
        </w:tc>
        <w:tc>
          <w:tcPr>
            <w:tcW w:w="1992" w:type="dxa"/>
            <w:gridSpan w:val="2"/>
            <w:noWrap w:val="0"/>
            <w:vAlign w:val="center"/>
          </w:tcPr>
          <w:p w14:paraId="26FE1DF8">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尺寸（m)</w:t>
            </w:r>
          </w:p>
          <w:p w14:paraId="28212BD5">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长×宽×高</w:t>
            </w:r>
          </w:p>
        </w:tc>
        <w:tc>
          <w:tcPr>
            <w:tcW w:w="1823" w:type="dxa"/>
            <w:gridSpan w:val="2"/>
            <w:noWrap w:val="0"/>
            <w:vAlign w:val="center"/>
          </w:tcPr>
          <w:p w14:paraId="612B9C17">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重量</w:t>
            </w:r>
          </w:p>
          <w:p w14:paraId="0E055C9E">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（t）</w:t>
            </w:r>
          </w:p>
        </w:tc>
        <w:tc>
          <w:tcPr>
            <w:tcW w:w="522" w:type="dxa"/>
            <w:vMerge w:val="restart"/>
            <w:noWrap w:val="0"/>
            <w:vAlign w:val="center"/>
          </w:tcPr>
          <w:p w14:paraId="39C79FA8">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厂家名称</w:t>
            </w:r>
          </w:p>
        </w:tc>
        <w:tc>
          <w:tcPr>
            <w:tcW w:w="652" w:type="dxa"/>
            <w:vMerge w:val="restart"/>
            <w:noWrap w:val="0"/>
            <w:vAlign w:val="center"/>
          </w:tcPr>
          <w:p w14:paraId="665185F9">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部件产地</w:t>
            </w:r>
          </w:p>
        </w:tc>
        <w:tc>
          <w:tcPr>
            <w:tcW w:w="779" w:type="dxa"/>
            <w:vMerge w:val="restart"/>
            <w:noWrap w:val="0"/>
            <w:vAlign w:val="center"/>
          </w:tcPr>
          <w:p w14:paraId="7A79CE33">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备注</w:t>
            </w:r>
          </w:p>
        </w:tc>
      </w:tr>
      <w:tr w14:paraId="1F3A96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c>
          <w:tcPr>
            <w:tcW w:w="547" w:type="dxa"/>
            <w:vMerge w:val="continue"/>
            <w:noWrap w:val="0"/>
            <w:vAlign w:val="top"/>
          </w:tcPr>
          <w:p w14:paraId="2508F6BC">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1505" w:type="dxa"/>
            <w:vMerge w:val="continue"/>
            <w:noWrap w:val="0"/>
            <w:vAlign w:val="top"/>
          </w:tcPr>
          <w:p w14:paraId="12052113">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542" w:type="dxa"/>
            <w:vMerge w:val="continue"/>
            <w:noWrap w:val="0"/>
            <w:vAlign w:val="top"/>
          </w:tcPr>
          <w:p w14:paraId="454CEB6B">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868" w:type="dxa"/>
            <w:noWrap w:val="0"/>
            <w:vAlign w:val="top"/>
          </w:tcPr>
          <w:p w14:paraId="6C00486B">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包装</w:t>
            </w:r>
          </w:p>
        </w:tc>
        <w:tc>
          <w:tcPr>
            <w:tcW w:w="1124" w:type="dxa"/>
            <w:noWrap w:val="0"/>
            <w:vAlign w:val="top"/>
          </w:tcPr>
          <w:p w14:paraId="743BC4A4">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未包装</w:t>
            </w:r>
          </w:p>
        </w:tc>
        <w:tc>
          <w:tcPr>
            <w:tcW w:w="781" w:type="dxa"/>
            <w:noWrap w:val="0"/>
            <w:vAlign w:val="top"/>
          </w:tcPr>
          <w:p w14:paraId="66D00343">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包装</w:t>
            </w:r>
          </w:p>
        </w:tc>
        <w:tc>
          <w:tcPr>
            <w:tcW w:w="1042" w:type="dxa"/>
            <w:noWrap w:val="0"/>
            <w:vAlign w:val="top"/>
          </w:tcPr>
          <w:p w14:paraId="7A7FCA4F">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b/>
                <w:color w:val="auto"/>
                <w:highlight w:val="none"/>
              </w:rPr>
            </w:pPr>
            <w:r>
              <w:rPr>
                <w:rFonts w:hint="default" w:ascii="Times New Roman" w:hAnsi="Times New Roman" w:cs="Times New Roman"/>
                <w:b/>
                <w:color w:val="auto"/>
                <w:highlight w:val="none"/>
              </w:rPr>
              <w:t>未包装</w:t>
            </w:r>
          </w:p>
        </w:tc>
        <w:tc>
          <w:tcPr>
            <w:tcW w:w="522" w:type="dxa"/>
            <w:vMerge w:val="continue"/>
            <w:noWrap w:val="0"/>
            <w:vAlign w:val="top"/>
          </w:tcPr>
          <w:p w14:paraId="39510B74">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652" w:type="dxa"/>
            <w:vMerge w:val="continue"/>
            <w:noWrap w:val="0"/>
            <w:vAlign w:val="top"/>
          </w:tcPr>
          <w:p w14:paraId="07C25872">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779" w:type="dxa"/>
            <w:vMerge w:val="continue"/>
            <w:noWrap w:val="0"/>
            <w:vAlign w:val="top"/>
          </w:tcPr>
          <w:p w14:paraId="5726E7CA">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r>
      <w:tr w14:paraId="1DC883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c>
          <w:tcPr>
            <w:tcW w:w="547" w:type="dxa"/>
            <w:noWrap w:val="0"/>
            <w:vAlign w:val="top"/>
          </w:tcPr>
          <w:p w14:paraId="3018A5F0">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1505" w:type="dxa"/>
            <w:noWrap w:val="0"/>
            <w:vAlign w:val="top"/>
          </w:tcPr>
          <w:p w14:paraId="5A4CD717">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无</w:t>
            </w:r>
          </w:p>
        </w:tc>
        <w:tc>
          <w:tcPr>
            <w:tcW w:w="542" w:type="dxa"/>
            <w:noWrap w:val="0"/>
            <w:vAlign w:val="top"/>
          </w:tcPr>
          <w:p w14:paraId="40A1E0B0">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868" w:type="dxa"/>
            <w:noWrap w:val="0"/>
            <w:vAlign w:val="top"/>
          </w:tcPr>
          <w:p w14:paraId="3E3BC5B6">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1124" w:type="dxa"/>
            <w:noWrap w:val="0"/>
            <w:vAlign w:val="top"/>
          </w:tcPr>
          <w:p w14:paraId="2B6E3087">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781" w:type="dxa"/>
            <w:noWrap w:val="0"/>
            <w:vAlign w:val="top"/>
          </w:tcPr>
          <w:p w14:paraId="28546B36">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1042" w:type="dxa"/>
            <w:noWrap w:val="0"/>
            <w:vAlign w:val="top"/>
          </w:tcPr>
          <w:p w14:paraId="60D1413F">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522" w:type="dxa"/>
            <w:noWrap w:val="0"/>
            <w:vAlign w:val="top"/>
          </w:tcPr>
          <w:p w14:paraId="6D374B4C">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652" w:type="dxa"/>
            <w:noWrap w:val="0"/>
            <w:vAlign w:val="top"/>
          </w:tcPr>
          <w:p w14:paraId="3886723D">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c>
          <w:tcPr>
            <w:tcW w:w="779" w:type="dxa"/>
            <w:noWrap w:val="0"/>
            <w:vAlign w:val="top"/>
          </w:tcPr>
          <w:p w14:paraId="5F15EC40">
            <w:pPr>
              <w:keepNext w:val="0"/>
              <w:keepLines w:val="0"/>
              <w:suppressLineNumbers w:val="0"/>
              <w:tabs>
                <w:tab w:val="left" w:pos="600"/>
              </w:tabs>
              <w:snapToGrid w:val="0"/>
              <w:spacing w:before="0" w:beforeAutospacing="0" w:after="0" w:afterAutospacing="0" w:line="440" w:lineRule="atLeast"/>
              <w:ind w:left="0" w:right="0"/>
              <w:jc w:val="center"/>
              <w:rPr>
                <w:rFonts w:hint="default" w:ascii="Times New Roman" w:hAnsi="Times New Roman" w:cs="Times New Roman"/>
                <w:color w:val="auto"/>
                <w:highlight w:val="none"/>
              </w:rPr>
            </w:pPr>
          </w:p>
        </w:tc>
      </w:tr>
    </w:tbl>
    <w:p w14:paraId="12FB84A7">
      <w:pPr>
        <w:tabs>
          <w:tab w:val="left" w:pos="600"/>
        </w:tabs>
        <w:snapToGrid w:val="0"/>
        <w:spacing w:line="360" w:lineRule="auto"/>
        <w:ind w:firstLine="480" w:firstLineChars="200"/>
        <w:rPr>
          <w:color w:val="auto"/>
          <w:sz w:val="24"/>
          <w:szCs w:val="20"/>
          <w:highlight w:val="none"/>
        </w:rPr>
      </w:pPr>
      <w:r>
        <w:rPr>
          <w:color w:val="auto"/>
          <w:sz w:val="24"/>
          <w:szCs w:val="20"/>
          <w:highlight w:val="none"/>
        </w:rPr>
        <w:t>说明：</w:t>
      </w:r>
    </w:p>
    <w:p w14:paraId="62829B05">
      <w:pPr>
        <w:tabs>
          <w:tab w:val="left" w:pos="600"/>
        </w:tabs>
        <w:snapToGrid w:val="0"/>
        <w:spacing w:line="360" w:lineRule="auto"/>
        <w:ind w:firstLine="480" w:firstLineChars="200"/>
        <w:rPr>
          <w:color w:val="auto"/>
          <w:sz w:val="24"/>
          <w:szCs w:val="20"/>
          <w:highlight w:val="none"/>
        </w:rPr>
      </w:pPr>
      <w:r>
        <w:rPr>
          <w:color w:val="auto"/>
          <w:sz w:val="24"/>
          <w:szCs w:val="20"/>
          <w:highlight w:val="none"/>
        </w:rPr>
        <w:t>1.</w:t>
      </w:r>
      <w:r>
        <w:rPr>
          <w:rFonts w:hint="eastAsia"/>
          <w:color w:val="auto"/>
          <w:sz w:val="24"/>
          <w:szCs w:val="20"/>
          <w:highlight w:val="none"/>
          <w:lang w:eastAsia="zh-CN"/>
        </w:rPr>
        <w:t>投标方</w:t>
      </w:r>
      <w:r>
        <w:rPr>
          <w:color w:val="auto"/>
          <w:sz w:val="24"/>
          <w:szCs w:val="20"/>
          <w:highlight w:val="none"/>
        </w:rPr>
        <w:t>应在技术协议中按附表要求提供设备各大件的运输尺寸（长×宽×高）、重量，并附运输外形尺寸图及其重心位置。</w:t>
      </w:r>
    </w:p>
    <w:p w14:paraId="2BA8CC45">
      <w:pPr>
        <w:tabs>
          <w:tab w:val="left" w:pos="600"/>
        </w:tabs>
        <w:snapToGrid w:val="0"/>
        <w:spacing w:line="360" w:lineRule="auto"/>
        <w:ind w:firstLine="480" w:firstLineChars="200"/>
        <w:rPr>
          <w:color w:val="auto"/>
          <w:sz w:val="24"/>
          <w:szCs w:val="20"/>
          <w:highlight w:val="none"/>
        </w:rPr>
      </w:pPr>
      <w:r>
        <w:rPr>
          <w:color w:val="auto"/>
          <w:sz w:val="24"/>
          <w:szCs w:val="20"/>
          <w:highlight w:val="none"/>
        </w:rPr>
        <w:t>2.设备运输尺寸，指设备包装后的各部分尺寸。</w:t>
      </w:r>
    </w:p>
    <w:p w14:paraId="1293393A">
      <w:pPr>
        <w:tabs>
          <w:tab w:val="left" w:pos="600"/>
        </w:tabs>
        <w:snapToGrid w:val="0"/>
        <w:spacing w:line="360" w:lineRule="auto"/>
        <w:ind w:firstLine="480" w:firstLineChars="200"/>
        <w:rPr>
          <w:color w:val="auto"/>
          <w:sz w:val="24"/>
          <w:szCs w:val="20"/>
          <w:highlight w:val="none"/>
        </w:rPr>
      </w:pPr>
      <w:r>
        <w:rPr>
          <w:color w:val="auto"/>
          <w:sz w:val="24"/>
          <w:szCs w:val="20"/>
          <w:highlight w:val="none"/>
        </w:rPr>
        <w:t>3.当采用铁路运输时，设备的运输外形尺寸，应考虑该设备拟采用的运输车辆装载面至轨面的高度要求。</w:t>
      </w:r>
    </w:p>
    <w:p w14:paraId="25157C4D">
      <w:pPr>
        <w:tabs>
          <w:tab w:val="left" w:pos="600"/>
        </w:tabs>
        <w:snapToGrid w:val="0"/>
        <w:spacing w:line="360" w:lineRule="auto"/>
        <w:ind w:firstLine="480" w:firstLineChars="200"/>
        <w:rPr>
          <w:color w:val="auto"/>
          <w:sz w:val="24"/>
          <w:szCs w:val="20"/>
          <w:highlight w:val="none"/>
        </w:rPr>
        <w:sectPr>
          <w:footerReference r:id="rId5" w:type="default"/>
          <w:pgSz w:w="11907" w:h="16840"/>
          <w:pgMar w:top="1440" w:right="1440" w:bottom="1440" w:left="1440" w:header="851" w:footer="992" w:gutter="0"/>
          <w:cols w:space="720" w:num="1"/>
          <w:docGrid w:linePitch="312" w:charSpace="0"/>
        </w:sectPr>
      </w:pPr>
      <w:r>
        <w:rPr>
          <w:color w:val="auto"/>
          <w:sz w:val="24"/>
          <w:szCs w:val="20"/>
          <w:highlight w:val="none"/>
        </w:rPr>
        <w:t>4.</w:t>
      </w:r>
      <w:r>
        <w:rPr>
          <w:rFonts w:hint="eastAsia"/>
          <w:color w:val="auto"/>
          <w:sz w:val="24"/>
          <w:szCs w:val="20"/>
          <w:highlight w:val="none"/>
          <w:lang w:eastAsia="zh-CN"/>
        </w:rPr>
        <w:t>投标方</w:t>
      </w:r>
      <w:r>
        <w:rPr>
          <w:color w:val="auto"/>
          <w:sz w:val="24"/>
          <w:szCs w:val="20"/>
          <w:highlight w:val="none"/>
        </w:rPr>
        <w:t>应根据大件运输的线路及运输方式，对沿途中所经过的涵洞、桥梁等构、建筑物进行充分的调查和论证，在</w:t>
      </w:r>
      <w:r>
        <w:rPr>
          <w:rFonts w:hint="eastAsia"/>
          <w:color w:val="auto"/>
          <w:sz w:val="24"/>
          <w:szCs w:val="20"/>
          <w:highlight w:val="none"/>
        </w:rPr>
        <w:t>协议</w:t>
      </w:r>
      <w:r>
        <w:rPr>
          <w:color w:val="auto"/>
          <w:sz w:val="24"/>
          <w:szCs w:val="20"/>
          <w:highlight w:val="none"/>
        </w:rPr>
        <w:t>中提出大件运输的方案，确保设备大件安全运至现</w:t>
      </w:r>
    </w:p>
    <w:bookmarkEnd w:id="178"/>
    <w:bookmarkEnd w:id="366"/>
    <w:p w14:paraId="7511C429">
      <w:pPr>
        <w:pStyle w:val="126"/>
        <w:spacing w:before="156" w:beforeLines="50"/>
        <w:rPr>
          <w:rFonts w:hint="eastAsia" w:ascii="Times New Roman" w:hAnsi="Times New Roman"/>
          <w:color w:val="auto"/>
          <w:kern w:val="2"/>
          <w:sz w:val="32"/>
          <w:szCs w:val="32"/>
          <w:highlight w:val="none"/>
          <w:lang w:val="en-US" w:eastAsia="zh-CN"/>
        </w:rPr>
      </w:pPr>
      <w:bookmarkStart w:id="368" w:name="_Toc30935"/>
      <w:r>
        <w:rPr>
          <w:rFonts w:ascii="Times New Roman" w:hAnsi="Times New Roman"/>
          <w:color w:val="auto"/>
          <w:kern w:val="2"/>
          <w:sz w:val="32"/>
          <w:szCs w:val="32"/>
          <w:highlight w:val="none"/>
        </w:rPr>
        <w:t>附件</w:t>
      </w:r>
      <w:r>
        <w:rPr>
          <w:rFonts w:hint="eastAsia" w:ascii="Times New Roman" w:hAnsi="Times New Roman"/>
          <w:color w:val="auto"/>
          <w:kern w:val="2"/>
          <w:sz w:val="32"/>
          <w:szCs w:val="32"/>
          <w:highlight w:val="none"/>
          <w:lang w:val="en-US" w:eastAsia="zh-CN"/>
        </w:rPr>
        <w:t>9 业绩及用户评价</w:t>
      </w:r>
      <w:bookmarkEnd w:id="368"/>
    </w:p>
    <w:p w14:paraId="21B02FDC">
      <w:pPr>
        <w:pageBreakBefore w:val="0"/>
        <w:widowControl w:val="0"/>
        <w:kinsoku/>
        <w:wordWrap/>
        <w:overflowPunct/>
        <w:topLinePunct w:val="0"/>
        <w:autoSpaceDE/>
        <w:autoSpaceDN/>
        <w:bidi w:val="0"/>
        <w:snapToGrid/>
        <w:spacing w:line="360" w:lineRule="auto"/>
        <w:ind w:firstLine="480" w:firstLineChars="200"/>
        <w:rPr>
          <w:bCs/>
          <w:color w:val="auto"/>
          <w:kern w:val="0"/>
          <w:sz w:val="24"/>
          <w:szCs w:val="24"/>
          <w:highlight w:val="none"/>
        </w:rPr>
        <w:sectPr>
          <w:pgSz w:w="11907" w:h="16840"/>
          <w:pgMar w:top="1440" w:right="1440" w:bottom="1440" w:left="1440" w:header="851" w:footer="992" w:gutter="0"/>
          <w:cols w:space="720" w:num="1"/>
          <w:docGrid w:linePitch="312" w:charSpace="0"/>
        </w:sectPr>
      </w:pPr>
      <w:r>
        <w:rPr>
          <w:rFonts w:hint="eastAsia"/>
          <w:bCs/>
          <w:color w:val="auto"/>
          <w:kern w:val="0"/>
          <w:sz w:val="24"/>
          <w:szCs w:val="24"/>
          <w:highlight w:val="none"/>
        </w:rPr>
        <w:t>投标人</w:t>
      </w:r>
      <w:r>
        <w:rPr>
          <w:bCs/>
          <w:color w:val="auto"/>
          <w:kern w:val="0"/>
          <w:sz w:val="24"/>
          <w:szCs w:val="24"/>
          <w:highlight w:val="none"/>
        </w:rPr>
        <w:t>应详细说明包括至少近</w:t>
      </w:r>
      <w:r>
        <w:rPr>
          <w:rFonts w:hint="eastAsia"/>
          <w:bCs/>
          <w:color w:val="auto"/>
          <w:kern w:val="0"/>
          <w:sz w:val="24"/>
          <w:szCs w:val="24"/>
          <w:highlight w:val="none"/>
          <w:lang w:val="en-US" w:eastAsia="zh-CN"/>
        </w:rPr>
        <w:t>五</w:t>
      </w:r>
      <w:r>
        <w:rPr>
          <w:bCs/>
          <w:color w:val="auto"/>
          <w:kern w:val="0"/>
          <w:sz w:val="24"/>
          <w:szCs w:val="24"/>
          <w:highlight w:val="none"/>
        </w:rPr>
        <w:t>年内相同或相近标的物设备的业绩清单、合同完成情况、设备使用单位、设备使用单位联系方式、设备安装投产时间和设备运行情况的有关用户证明文件以及设备曾经发生过的缺陷以及改进</w:t>
      </w:r>
    </w:p>
    <w:p w14:paraId="132D9EA9">
      <w:pPr>
        <w:pageBreakBefore w:val="0"/>
        <w:widowControl w:val="0"/>
        <w:kinsoku/>
        <w:wordWrap/>
        <w:overflowPunct/>
        <w:topLinePunct w:val="0"/>
        <w:autoSpaceDE/>
        <w:autoSpaceDN/>
        <w:bidi w:val="0"/>
        <w:snapToGrid/>
        <w:spacing w:line="240" w:lineRule="auto"/>
        <w:rPr>
          <w:bCs/>
          <w:color w:val="auto"/>
          <w:kern w:val="0"/>
          <w:sz w:val="24"/>
          <w:szCs w:val="24"/>
          <w:highlight w:val="none"/>
        </w:rPr>
      </w:pPr>
    </w:p>
    <w:p w14:paraId="2329C7AD">
      <w:pPr>
        <w:pStyle w:val="126"/>
        <w:spacing w:before="0" w:beforeLines="0" w:line="240" w:lineRule="auto"/>
        <w:rPr>
          <w:rFonts w:hint="eastAsia" w:ascii="Times New Roman" w:hAnsi="Times New Roman"/>
          <w:color w:val="auto"/>
          <w:kern w:val="2"/>
          <w:sz w:val="32"/>
          <w:szCs w:val="32"/>
          <w:highlight w:val="none"/>
          <w:lang w:val="en-US" w:eastAsia="zh-CN"/>
        </w:rPr>
      </w:pPr>
      <w:bookmarkStart w:id="369" w:name="_Toc8895"/>
      <w:r>
        <w:rPr>
          <w:rFonts w:ascii="Times New Roman" w:hAnsi="Times New Roman"/>
          <w:color w:val="auto"/>
          <w:kern w:val="2"/>
          <w:sz w:val="32"/>
          <w:szCs w:val="32"/>
          <w:highlight w:val="none"/>
        </w:rPr>
        <w:t>附件</w:t>
      </w:r>
      <w:r>
        <w:rPr>
          <w:rFonts w:hint="eastAsia" w:ascii="Times New Roman" w:hAnsi="Times New Roman"/>
          <w:color w:val="auto"/>
          <w:kern w:val="2"/>
          <w:sz w:val="32"/>
          <w:szCs w:val="32"/>
          <w:highlight w:val="none"/>
          <w:lang w:val="en-US" w:eastAsia="zh-CN"/>
        </w:rPr>
        <w:t>10 技术差异表</w:t>
      </w:r>
      <w:bookmarkEnd w:id="369"/>
    </w:p>
    <w:p w14:paraId="7C9ED861">
      <w:pPr>
        <w:pStyle w:val="40"/>
        <w:ind w:firstLine="0"/>
        <w:rPr>
          <w:rFonts w:ascii="Times New Roman"/>
          <w:color w:val="auto"/>
          <w:sz w:val="24"/>
          <w:szCs w:val="24"/>
          <w:highlight w:val="none"/>
        </w:rPr>
      </w:pPr>
      <w:r>
        <w:rPr>
          <w:rFonts w:hint="eastAsia" w:ascii="Times New Roman"/>
          <w:color w:val="auto"/>
          <w:sz w:val="24"/>
          <w:szCs w:val="24"/>
          <w:highlight w:val="none"/>
        </w:rPr>
        <w:t>投标人</w:t>
      </w:r>
      <w:r>
        <w:rPr>
          <w:rFonts w:ascii="Times New Roman"/>
          <w:color w:val="auto"/>
          <w:sz w:val="24"/>
          <w:szCs w:val="24"/>
          <w:highlight w:val="none"/>
        </w:rPr>
        <w:t>要将投标文件和招标文件的差异之处汇集成表。</w:t>
      </w:r>
    </w:p>
    <w:p w14:paraId="205AC533">
      <w:pPr>
        <w:spacing w:line="360" w:lineRule="auto"/>
        <w:jc w:val="center"/>
        <w:rPr>
          <w:color w:val="auto"/>
          <w:sz w:val="24"/>
          <w:szCs w:val="24"/>
          <w:highlight w:val="none"/>
        </w:rPr>
      </w:pPr>
    </w:p>
    <w:p w14:paraId="2C3DB6DE">
      <w:pPr>
        <w:spacing w:line="360" w:lineRule="auto"/>
        <w:jc w:val="center"/>
        <w:rPr>
          <w:color w:val="auto"/>
          <w:sz w:val="24"/>
          <w:szCs w:val="24"/>
          <w:highlight w:val="none"/>
        </w:rPr>
      </w:pPr>
      <w:r>
        <w:rPr>
          <w:color w:val="auto"/>
          <w:sz w:val="24"/>
          <w:szCs w:val="24"/>
          <w:highlight w:val="none"/>
        </w:rPr>
        <w:t>技术差异表</w:t>
      </w:r>
    </w:p>
    <w:tbl>
      <w:tblPr>
        <w:tblStyle w:val="5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08"/>
        <w:gridCol w:w="1440"/>
        <w:gridCol w:w="2160"/>
        <w:gridCol w:w="1440"/>
        <w:gridCol w:w="2472"/>
      </w:tblGrid>
      <w:tr w14:paraId="7D952C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restart"/>
            <w:noWrap w:val="0"/>
            <w:vAlign w:val="top"/>
          </w:tcPr>
          <w:p w14:paraId="4E10595E">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aps/>
                <w:color w:val="auto"/>
                <w:sz w:val="24"/>
                <w:szCs w:val="24"/>
                <w:highlight w:val="none"/>
              </w:rPr>
            </w:pPr>
            <w:r>
              <w:rPr>
                <w:rFonts w:hint="default" w:ascii="Times New Roman" w:hAnsi="Times New Roman" w:cs="Times New Roman"/>
                <w:caps/>
                <w:color w:val="auto"/>
                <w:sz w:val="24"/>
                <w:szCs w:val="24"/>
                <w:highlight w:val="none"/>
              </w:rPr>
              <w:t>序 号</w:t>
            </w:r>
          </w:p>
        </w:tc>
        <w:tc>
          <w:tcPr>
            <w:tcW w:w="3600" w:type="dxa"/>
            <w:gridSpan w:val="2"/>
            <w:noWrap w:val="0"/>
            <w:vAlign w:val="top"/>
          </w:tcPr>
          <w:p w14:paraId="7CAA2BF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aps/>
                <w:color w:val="auto"/>
                <w:sz w:val="24"/>
                <w:szCs w:val="24"/>
                <w:highlight w:val="none"/>
              </w:rPr>
            </w:pPr>
            <w:r>
              <w:rPr>
                <w:rFonts w:hint="default" w:ascii="Times New Roman" w:hAnsi="Times New Roman" w:cs="Times New Roman"/>
                <w:caps/>
                <w:color w:val="auto"/>
                <w:sz w:val="24"/>
                <w:szCs w:val="24"/>
                <w:highlight w:val="none"/>
              </w:rPr>
              <w:t>招标文件</w:t>
            </w:r>
          </w:p>
        </w:tc>
        <w:tc>
          <w:tcPr>
            <w:tcW w:w="3912" w:type="dxa"/>
            <w:gridSpan w:val="2"/>
            <w:noWrap w:val="0"/>
            <w:vAlign w:val="top"/>
          </w:tcPr>
          <w:p w14:paraId="13B3E515">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aps/>
                <w:color w:val="auto"/>
                <w:sz w:val="24"/>
                <w:szCs w:val="24"/>
                <w:highlight w:val="none"/>
              </w:rPr>
            </w:pPr>
            <w:r>
              <w:rPr>
                <w:rFonts w:hint="default" w:ascii="Times New Roman" w:hAnsi="Times New Roman" w:cs="Times New Roman"/>
                <w:caps/>
                <w:color w:val="auto"/>
                <w:sz w:val="24"/>
                <w:szCs w:val="24"/>
                <w:highlight w:val="none"/>
              </w:rPr>
              <w:t>投标文件</w:t>
            </w:r>
          </w:p>
        </w:tc>
      </w:tr>
      <w:tr w14:paraId="59C9FC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noWrap w:val="0"/>
            <w:vAlign w:val="top"/>
          </w:tcPr>
          <w:p w14:paraId="750E6FF9">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szCs w:val="24"/>
                <w:highlight w:val="none"/>
              </w:rPr>
            </w:pPr>
          </w:p>
        </w:tc>
        <w:tc>
          <w:tcPr>
            <w:tcW w:w="1440" w:type="dxa"/>
            <w:noWrap w:val="0"/>
            <w:vAlign w:val="top"/>
          </w:tcPr>
          <w:p w14:paraId="203AF1FB">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条 目</w:t>
            </w:r>
          </w:p>
        </w:tc>
        <w:tc>
          <w:tcPr>
            <w:tcW w:w="2160" w:type="dxa"/>
            <w:noWrap w:val="0"/>
            <w:vAlign w:val="top"/>
          </w:tcPr>
          <w:p w14:paraId="7F933DA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简 要 内 容</w:t>
            </w:r>
          </w:p>
        </w:tc>
        <w:tc>
          <w:tcPr>
            <w:tcW w:w="1440" w:type="dxa"/>
            <w:noWrap w:val="0"/>
            <w:vAlign w:val="top"/>
          </w:tcPr>
          <w:p w14:paraId="04E493F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条  目</w:t>
            </w:r>
          </w:p>
        </w:tc>
        <w:tc>
          <w:tcPr>
            <w:tcW w:w="2472" w:type="dxa"/>
            <w:noWrap w:val="0"/>
            <w:vAlign w:val="top"/>
          </w:tcPr>
          <w:p w14:paraId="313C0BB0">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简 要 内 容</w:t>
            </w:r>
          </w:p>
        </w:tc>
      </w:tr>
      <w:tr w14:paraId="51EC4C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top"/>
          </w:tcPr>
          <w:p w14:paraId="5ABF2CB8">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w:t>
            </w:r>
          </w:p>
        </w:tc>
        <w:tc>
          <w:tcPr>
            <w:tcW w:w="1440" w:type="dxa"/>
            <w:noWrap w:val="0"/>
            <w:vAlign w:val="top"/>
          </w:tcPr>
          <w:p w14:paraId="24554E38">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2160" w:type="dxa"/>
            <w:noWrap w:val="0"/>
            <w:vAlign w:val="top"/>
          </w:tcPr>
          <w:p w14:paraId="594172E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1440" w:type="dxa"/>
            <w:noWrap w:val="0"/>
            <w:vAlign w:val="top"/>
          </w:tcPr>
          <w:p w14:paraId="7215D10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2472" w:type="dxa"/>
            <w:noWrap w:val="0"/>
            <w:vAlign w:val="top"/>
          </w:tcPr>
          <w:p w14:paraId="6BA20F6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r>
      <w:tr w14:paraId="5D698B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top"/>
          </w:tcPr>
          <w:p w14:paraId="16611B08">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2</w:t>
            </w:r>
          </w:p>
        </w:tc>
        <w:tc>
          <w:tcPr>
            <w:tcW w:w="1440" w:type="dxa"/>
            <w:noWrap w:val="0"/>
            <w:vAlign w:val="top"/>
          </w:tcPr>
          <w:p w14:paraId="481E7AC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2160" w:type="dxa"/>
            <w:noWrap w:val="0"/>
            <w:vAlign w:val="top"/>
          </w:tcPr>
          <w:p w14:paraId="0398B621">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1440" w:type="dxa"/>
            <w:noWrap w:val="0"/>
            <w:vAlign w:val="top"/>
          </w:tcPr>
          <w:p w14:paraId="5A65F84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2472" w:type="dxa"/>
            <w:noWrap w:val="0"/>
            <w:vAlign w:val="top"/>
          </w:tcPr>
          <w:p w14:paraId="2063C48C">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r>
      <w:tr w14:paraId="69076F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top"/>
          </w:tcPr>
          <w:p w14:paraId="454ECAAD">
            <w:pPr>
              <w:keepNext w:val="0"/>
              <w:keepLines w:val="0"/>
              <w:suppressLineNumbers w:val="0"/>
              <w:spacing w:before="0" w:beforeAutospacing="0" w:after="0" w:afterAutospacing="0" w:line="360" w:lineRule="auto"/>
              <w:ind w:left="0" w:right="0"/>
              <w:jc w:val="center"/>
              <w:rPr>
                <w:rFonts w:hint="eastAsia"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3</w:t>
            </w:r>
          </w:p>
        </w:tc>
        <w:tc>
          <w:tcPr>
            <w:tcW w:w="1440" w:type="dxa"/>
            <w:noWrap w:val="0"/>
            <w:vAlign w:val="top"/>
          </w:tcPr>
          <w:p w14:paraId="4B9D7D1B">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2160" w:type="dxa"/>
            <w:noWrap w:val="0"/>
            <w:vAlign w:val="top"/>
          </w:tcPr>
          <w:p w14:paraId="1378BF93">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1440" w:type="dxa"/>
            <w:noWrap w:val="0"/>
            <w:vAlign w:val="top"/>
          </w:tcPr>
          <w:p w14:paraId="3E2F317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2472" w:type="dxa"/>
            <w:noWrap w:val="0"/>
            <w:vAlign w:val="top"/>
          </w:tcPr>
          <w:p w14:paraId="502B7A7A">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r>
      <w:tr w14:paraId="6E0839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 w:type="dxa"/>
            <w:noWrap w:val="0"/>
            <w:vAlign w:val="top"/>
          </w:tcPr>
          <w:p w14:paraId="30A75F28">
            <w:pPr>
              <w:keepNext w:val="0"/>
              <w:keepLines w:val="0"/>
              <w:suppressLineNumbers w:val="0"/>
              <w:spacing w:before="0" w:beforeAutospacing="0" w:after="0" w:afterAutospacing="0" w:line="360" w:lineRule="auto"/>
              <w:ind w:left="0" w:right="0"/>
              <w:jc w:val="center"/>
              <w:rPr>
                <w:rFonts w:hint="default" w:ascii="Times New Roman" w:hAnsi="Times New Roman" w:cs="Times New Roman"/>
                <w:color w:val="auto"/>
                <w:sz w:val="24"/>
                <w:szCs w:val="24"/>
                <w:highlight w:val="none"/>
              </w:rPr>
            </w:pPr>
          </w:p>
        </w:tc>
        <w:tc>
          <w:tcPr>
            <w:tcW w:w="1440" w:type="dxa"/>
            <w:noWrap w:val="0"/>
            <w:vAlign w:val="top"/>
          </w:tcPr>
          <w:p w14:paraId="02F1D290">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2160" w:type="dxa"/>
            <w:noWrap w:val="0"/>
            <w:vAlign w:val="top"/>
          </w:tcPr>
          <w:p w14:paraId="1D4D57C0">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1440" w:type="dxa"/>
            <w:noWrap w:val="0"/>
            <w:vAlign w:val="top"/>
          </w:tcPr>
          <w:p w14:paraId="79E68C09">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c>
          <w:tcPr>
            <w:tcW w:w="2472" w:type="dxa"/>
            <w:noWrap w:val="0"/>
            <w:vAlign w:val="top"/>
          </w:tcPr>
          <w:p w14:paraId="0F93C33D">
            <w:pPr>
              <w:keepNext w:val="0"/>
              <w:keepLines w:val="0"/>
              <w:suppressLineNumbers w:val="0"/>
              <w:spacing w:before="0" w:beforeAutospacing="0" w:after="0" w:afterAutospacing="0" w:line="360" w:lineRule="auto"/>
              <w:ind w:left="0" w:right="0"/>
              <w:rPr>
                <w:rFonts w:hint="default" w:ascii="Times New Roman" w:hAnsi="Times New Roman" w:cs="Times New Roman"/>
                <w:color w:val="auto"/>
                <w:sz w:val="24"/>
                <w:szCs w:val="24"/>
                <w:highlight w:val="none"/>
              </w:rPr>
            </w:pPr>
          </w:p>
        </w:tc>
      </w:tr>
    </w:tbl>
    <w:p w14:paraId="6719C314">
      <w:pPr>
        <w:bidi w:val="0"/>
        <w:rPr>
          <w:color w:val="auto"/>
          <w:highlight w:val="none"/>
        </w:rPr>
        <w:sectPr>
          <w:pgSz w:w="11907" w:h="16840"/>
          <w:pgMar w:top="1440" w:right="1440" w:bottom="1440" w:left="1440" w:header="851" w:footer="992" w:gutter="0"/>
          <w:cols w:space="720" w:num="1"/>
          <w:docGrid w:linePitch="312" w:charSpace="0"/>
        </w:sectPr>
      </w:pPr>
    </w:p>
    <w:p w14:paraId="152C06E6">
      <w:pPr>
        <w:bidi w:val="0"/>
        <w:rPr>
          <w:color w:val="auto"/>
          <w:highlight w:val="none"/>
        </w:rPr>
      </w:pPr>
    </w:p>
    <w:p w14:paraId="604EB2EF">
      <w:pPr>
        <w:pStyle w:val="126"/>
        <w:spacing w:before="0" w:beforeLines="0" w:line="240" w:lineRule="auto"/>
        <w:rPr>
          <w:rFonts w:hint="eastAsia" w:ascii="Times New Roman" w:hAnsi="Times New Roman"/>
          <w:color w:val="auto"/>
          <w:kern w:val="2"/>
          <w:sz w:val="32"/>
          <w:szCs w:val="32"/>
          <w:highlight w:val="none"/>
          <w:lang w:val="en-US" w:eastAsia="zh-CN"/>
        </w:rPr>
      </w:pPr>
      <w:bookmarkStart w:id="370" w:name="_Toc26573"/>
      <w:r>
        <w:rPr>
          <w:rFonts w:ascii="Times New Roman" w:hAnsi="Times New Roman"/>
          <w:color w:val="auto"/>
          <w:kern w:val="2"/>
          <w:sz w:val="32"/>
          <w:szCs w:val="32"/>
          <w:highlight w:val="none"/>
        </w:rPr>
        <w:t>附件</w:t>
      </w:r>
      <w:r>
        <w:rPr>
          <w:rFonts w:hint="eastAsia" w:ascii="Times New Roman" w:hAnsi="Times New Roman"/>
          <w:color w:val="auto"/>
          <w:kern w:val="2"/>
          <w:sz w:val="32"/>
          <w:szCs w:val="32"/>
          <w:highlight w:val="none"/>
          <w:lang w:val="en-US" w:eastAsia="zh-CN"/>
        </w:rPr>
        <w:t>11 订货情况和排产计划说明</w:t>
      </w:r>
      <w:bookmarkEnd w:id="370"/>
    </w:p>
    <w:p w14:paraId="34A43F02">
      <w:pPr>
        <w:pStyle w:val="126"/>
        <w:spacing w:before="0" w:beforeLines="0" w:line="240" w:lineRule="auto"/>
        <w:rPr>
          <w:rFonts w:hint="eastAsia" w:ascii="Times New Roman" w:hAnsi="Times New Roman"/>
          <w:color w:val="auto"/>
          <w:kern w:val="2"/>
          <w:sz w:val="32"/>
          <w:szCs w:val="32"/>
          <w:highlight w:val="none"/>
          <w:lang w:val="en-US" w:eastAsia="zh-CN"/>
        </w:rPr>
      </w:pPr>
    </w:p>
    <w:p w14:paraId="75017962">
      <w:pPr>
        <w:pStyle w:val="21"/>
        <w:keepNext w:val="0"/>
        <w:keepLines w:val="0"/>
        <w:pageBreakBefore w:val="0"/>
        <w:widowControl w:val="0"/>
        <w:kinsoku/>
        <w:wordWrap/>
        <w:overflowPunct/>
        <w:topLinePunct w:val="0"/>
        <w:autoSpaceDE/>
        <w:autoSpaceDN/>
        <w:bidi w:val="0"/>
        <w:snapToGrid/>
        <w:spacing w:line="360" w:lineRule="auto"/>
        <w:ind w:firstLine="480" w:firstLineChars="200"/>
        <w:rPr>
          <w:color w:val="auto"/>
          <w:sz w:val="24"/>
          <w:szCs w:val="24"/>
          <w:highlight w:val="none"/>
        </w:rPr>
      </w:pPr>
      <w:r>
        <w:rPr>
          <w:rFonts w:hint="eastAsia"/>
          <w:bCs/>
          <w:color w:val="auto"/>
          <w:kern w:val="0"/>
          <w:sz w:val="24"/>
          <w:szCs w:val="24"/>
          <w:highlight w:val="none"/>
        </w:rPr>
        <w:t>投标人</w:t>
      </w:r>
      <w:r>
        <w:rPr>
          <w:bCs/>
          <w:color w:val="auto"/>
          <w:kern w:val="0"/>
          <w:sz w:val="24"/>
          <w:szCs w:val="24"/>
          <w:highlight w:val="none"/>
        </w:rPr>
        <w:t>应详细说明目前正在执行合同情况，包括近</w:t>
      </w:r>
      <w:r>
        <w:rPr>
          <w:rFonts w:hint="eastAsia"/>
          <w:bCs/>
          <w:color w:val="auto"/>
          <w:kern w:val="0"/>
          <w:sz w:val="24"/>
          <w:szCs w:val="24"/>
          <w:highlight w:val="none"/>
        </w:rPr>
        <w:t>一</w:t>
      </w:r>
      <w:r>
        <w:rPr>
          <w:bCs/>
          <w:color w:val="auto"/>
          <w:kern w:val="0"/>
          <w:sz w:val="24"/>
          <w:szCs w:val="24"/>
          <w:highlight w:val="none"/>
        </w:rPr>
        <w:t>年的订货情况及合同执行情况和未来</w:t>
      </w:r>
      <w:r>
        <w:rPr>
          <w:rFonts w:hint="eastAsia"/>
          <w:bCs/>
          <w:color w:val="auto"/>
          <w:kern w:val="0"/>
          <w:sz w:val="24"/>
          <w:szCs w:val="24"/>
          <w:highlight w:val="none"/>
        </w:rPr>
        <w:t>一</w:t>
      </w:r>
      <w:r>
        <w:rPr>
          <w:bCs/>
          <w:color w:val="auto"/>
          <w:kern w:val="0"/>
          <w:sz w:val="24"/>
          <w:szCs w:val="24"/>
          <w:highlight w:val="none"/>
        </w:rPr>
        <w:t>年的排产情况。</w:t>
      </w:r>
    </w:p>
    <w:p w14:paraId="5B9BC53F">
      <w:pPr>
        <w:keepNext w:val="0"/>
        <w:keepLines w:val="0"/>
        <w:pageBreakBefore w:val="0"/>
        <w:widowControl w:val="0"/>
        <w:numPr>
          <w:ilvl w:val="1"/>
          <w:numId w:val="29"/>
        </w:numPr>
        <w:tabs>
          <w:tab w:val="left" w:pos="0"/>
          <w:tab w:val="clear" w:pos="1294"/>
        </w:tabs>
        <w:kinsoku/>
        <w:wordWrap/>
        <w:overflowPunct/>
        <w:topLinePunct w:val="0"/>
        <w:autoSpaceDE/>
        <w:autoSpaceDN/>
        <w:bidi w:val="0"/>
        <w:adjustRightInd w:val="0"/>
        <w:snapToGrid/>
        <w:spacing w:line="360" w:lineRule="auto"/>
        <w:ind w:left="0"/>
        <w:jc w:val="left"/>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投标人针对已获订单在近一年的生产排产具体情况，包括每年针对不同容量机组设备的实际拥有生产能力（产能容量）和订单计划排产容量（预计产量）的汇总情况。汇总表格式自行设计。</w:t>
      </w:r>
    </w:p>
    <w:p w14:paraId="7F6E6486">
      <w:pPr>
        <w:keepNext w:val="0"/>
        <w:keepLines w:val="0"/>
        <w:pageBreakBefore w:val="0"/>
        <w:widowControl w:val="0"/>
        <w:numPr>
          <w:ilvl w:val="1"/>
          <w:numId w:val="29"/>
        </w:numPr>
        <w:tabs>
          <w:tab w:val="left" w:pos="0"/>
          <w:tab w:val="clear" w:pos="1294"/>
        </w:tabs>
        <w:kinsoku/>
        <w:wordWrap/>
        <w:overflowPunct/>
        <w:topLinePunct w:val="0"/>
        <w:autoSpaceDE/>
        <w:autoSpaceDN/>
        <w:bidi w:val="0"/>
        <w:adjustRightInd w:val="0"/>
        <w:snapToGrid/>
        <w:spacing w:line="360" w:lineRule="auto"/>
        <w:ind w:left="0"/>
        <w:jc w:val="left"/>
        <w:textAlignment w:val="baseline"/>
        <w:rPr>
          <w:color w:val="auto"/>
          <w:sz w:val="24"/>
          <w:szCs w:val="24"/>
          <w:highlight w:val="none"/>
        </w:rPr>
      </w:pPr>
      <w:r>
        <w:rPr>
          <w:color w:val="auto"/>
          <w:sz w:val="24"/>
          <w:szCs w:val="24"/>
          <w:highlight w:val="none"/>
        </w:rPr>
        <w:t xml:space="preserve"> </w:t>
      </w:r>
      <w:r>
        <w:rPr>
          <w:rFonts w:hint="eastAsia"/>
          <w:color w:val="auto"/>
          <w:sz w:val="24"/>
          <w:szCs w:val="24"/>
          <w:highlight w:val="none"/>
        </w:rPr>
        <w:t>投标人</w:t>
      </w:r>
      <w:r>
        <w:rPr>
          <w:color w:val="auto"/>
          <w:sz w:val="24"/>
          <w:szCs w:val="24"/>
          <w:highlight w:val="none"/>
        </w:rPr>
        <w:t>需根据前述生产排产的具体情况，针对本次招标各项目的投产时间提出如何保证实现本项目计划进度的真实可靠而合理的具体方案与措施，此方案与措施的制定应充分考虑本项目工程在具体实施中进行有限调整的可能和可行空间。</w:t>
      </w:r>
    </w:p>
    <w:p w14:paraId="10BB06BD">
      <w:pPr>
        <w:keepNext w:val="0"/>
        <w:keepLines w:val="0"/>
        <w:pageBreakBefore w:val="0"/>
        <w:widowControl w:val="0"/>
        <w:numPr>
          <w:ilvl w:val="1"/>
          <w:numId w:val="29"/>
        </w:numPr>
        <w:tabs>
          <w:tab w:val="left" w:pos="180"/>
          <w:tab w:val="clear" w:pos="1294"/>
        </w:tabs>
        <w:kinsoku/>
        <w:wordWrap/>
        <w:overflowPunct/>
        <w:topLinePunct w:val="0"/>
        <w:autoSpaceDE/>
        <w:autoSpaceDN/>
        <w:bidi w:val="0"/>
        <w:adjustRightInd w:val="0"/>
        <w:snapToGrid/>
        <w:spacing w:line="360" w:lineRule="auto"/>
        <w:ind w:left="0" w:hanging="360"/>
        <w:jc w:val="left"/>
        <w:textAlignment w:val="baseline"/>
        <w:rPr>
          <w:rFonts w:hint="default" w:ascii="Times New Roman" w:hAnsi="Times New Roman"/>
          <w:color w:val="auto"/>
          <w:kern w:val="2"/>
          <w:sz w:val="32"/>
          <w:szCs w:val="32"/>
          <w:highlight w:val="none"/>
          <w:lang w:val="en-US" w:eastAsia="zh-CN"/>
        </w:rPr>
        <w:sectPr>
          <w:pgSz w:w="11907" w:h="16840"/>
          <w:pgMar w:top="1440" w:right="1440" w:bottom="1440" w:left="1440" w:header="851" w:footer="992" w:gutter="0"/>
          <w:cols w:space="720" w:num="1"/>
          <w:docGrid w:linePitch="312" w:charSpace="0"/>
        </w:sectPr>
      </w:pPr>
      <w:r>
        <w:rPr>
          <w:color w:val="auto"/>
          <w:sz w:val="24"/>
          <w:szCs w:val="24"/>
          <w:highlight w:val="none"/>
        </w:rPr>
        <w:t>上述方案与措施的制定内容包括但不限于：原材料从准备至采购完成的计划、生产排产计划、进口件和国内外购件及分包件的订购进度计划、产品发运交货计划、培训计划、技术资料（设计资料和工艺流程资料）从准备至完成的计划等方面，</w:t>
      </w:r>
      <w:r>
        <w:rPr>
          <w:rFonts w:hint="eastAsia"/>
          <w:color w:val="auto"/>
          <w:sz w:val="24"/>
          <w:szCs w:val="24"/>
          <w:highlight w:val="none"/>
        </w:rPr>
        <w:t>投标人</w:t>
      </w:r>
      <w:r>
        <w:rPr>
          <w:color w:val="auto"/>
          <w:sz w:val="24"/>
          <w:szCs w:val="24"/>
          <w:highlight w:val="none"/>
        </w:rPr>
        <w:t>需专题说明如何保证此方案与措施实施</w:t>
      </w:r>
      <w:r>
        <w:rPr>
          <w:rFonts w:hint="eastAsia"/>
          <w:color w:val="auto"/>
          <w:sz w:val="24"/>
          <w:szCs w:val="24"/>
          <w:highlight w:val="none"/>
          <w:lang w:eastAsia="zh-CN"/>
        </w:rPr>
        <w:t>。</w:t>
      </w:r>
    </w:p>
    <w:p w14:paraId="3AAE1D87">
      <w:pPr>
        <w:pStyle w:val="2"/>
        <w:spacing w:line="360" w:lineRule="auto"/>
        <w:rPr>
          <w:color w:val="auto"/>
          <w:sz w:val="24"/>
          <w:highlight w:val="none"/>
        </w:rPr>
      </w:pPr>
      <w:bookmarkStart w:id="371" w:name="_Toc5955"/>
      <w:r>
        <w:rPr>
          <w:rFonts w:ascii="Times New Roman" w:hAnsi="Times New Roman"/>
          <w:color w:val="auto"/>
          <w:kern w:val="2"/>
          <w:sz w:val="32"/>
          <w:szCs w:val="32"/>
          <w:highlight w:val="none"/>
        </w:rPr>
        <w:t>附件</w:t>
      </w:r>
      <w:r>
        <w:rPr>
          <w:rFonts w:hint="eastAsia" w:ascii="Times New Roman" w:hAnsi="Times New Roman"/>
          <w:color w:val="auto"/>
          <w:kern w:val="2"/>
          <w:sz w:val="32"/>
          <w:szCs w:val="32"/>
          <w:highlight w:val="none"/>
          <w:lang w:val="en-US" w:eastAsia="zh-CN"/>
        </w:rPr>
        <w:t>12投标人需要说明的其他问题</w:t>
      </w:r>
      <w:r>
        <w:rPr>
          <w:rFonts w:hint="eastAsia"/>
          <w:color w:val="auto"/>
          <w:sz w:val="30"/>
          <w:szCs w:val="30"/>
          <w:highlight w:val="none"/>
        </w:rPr>
        <w:t>投标人</w:t>
      </w:r>
      <w:r>
        <w:rPr>
          <w:color w:val="auto"/>
          <w:sz w:val="30"/>
          <w:szCs w:val="30"/>
          <w:highlight w:val="none"/>
        </w:rPr>
        <w:t>需要说明的其它问题</w:t>
      </w:r>
      <w:r>
        <w:rPr>
          <w:rFonts w:hint="eastAsia"/>
          <w:color w:val="auto"/>
          <w:sz w:val="30"/>
          <w:szCs w:val="30"/>
          <w:highlight w:val="none"/>
        </w:rPr>
        <w:t>（技术特点、质保体系及售后服务承诺等由投标人填写）</w:t>
      </w:r>
      <w:bookmarkEnd w:id="371"/>
    </w:p>
    <w:p w14:paraId="195A3DF5">
      <w:pPr>
        <w:spacing w:line="360" w:lineRule="auto"/>
        <w:rPr>
          <w:color w:val="auto"/>
          <w:sz w:val="24"/>
          <w:szCs w:val="24"/>
          <w:highlight w:val="none"/>
        </w:rPr>
      </w:pPr>
      <w:r>
        <w:rPr>
          <w:rFonts w:hint="eastAsia"/>
          <w:color w:val="auto"/>
          <w:sz w:val="24"/>
          <w:szCs w:val="24"/>
          <w:highlight w:val="none"/>
        </w:rPr>
        <w:t>1.1主要参数汇总简要描述表</w:t>
      </w:r>
    </w:p>
    <w:tbl>
      <w:tblPr>
        <w:tblStyle w:val="52"/>
        <w:tblW w:w="0" w:type="auto"/>
        <w:tblInd w:w="121"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autofit"/>
        <w:tblCellMar>
          <w:top w:w="15" w:type="dxa"/>
          <w:left w:w="15" w:type="dxa"/>
          <w:bottom w:w="15" w:type="dxa"/>
          <w:right w:w="15" w:type="dxa"/>
        </w:tblCellMar>
      </w:tblPr>
      <w:tblGrid>
        <w:gridCol w:w="779"/>
        <w:gridCol w:w="3144"/>
        <w:gridCol w:w="4451"/>
      </w:tblGrid>
      <w:tr w14:paraId="5C2BF55E">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15" w:type="dxa"/>
            <w:left w:w="15" w:type="dxa"/>
            <w:bottom w:w="15" w:type="dxa"/>
            <w:right w:w="15" w:type="dxa"/>
          </w:tblCellMar>
        </w:tblPrEx>
        <w:tc>
          <w:tcPr>
            <w:tcW w:w="779"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742C594B">
            <w:pPr>
              <w:pStyle w:val="175"/>
              <w:keepNext w:val="0"/>
              <w:keepLines w:val="0"/>
              <w:widowControl/>
              <w:suppressLineNumbers w:val="0"/>
              <w:spacing w:before="0" w:beforeAutospacing="0" w:after="0" w:afterAutospacing="0"/>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序号 </w:t>
            </w:r>
          </w:p>
        </w:tc>
        <w:tc>
          <w:tcPr>
            <w:tcW w:w="3144"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3D6A36C7">
            <w:pPr>
              <w:pStyle w:val="175"/>
              <w:keepNext w:val="0"/>
              <w:keepLines w:val="0"/>
              <w:widowControl/>
              <w:suppressLineNumbers w:val="0"/>
              <w:spacing w:before="0" w:beforeAutospacing="0" w:after="0" w:afterAutospacing="0"/>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项目 </w:t>
            </w:r>
          </w:p>
        </w:tc>
        <w:tc>
          <w:tcPr>
            <w:tcW w:w="4451"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5EC2EEB4">
            <w:pPr>
              <w:pStyle w:val="175"/>
              <w:keepNext w:val="0"/>
              <w:keepLines w:val="0"/>
              <w:widowControl/>
              <w:suppressLineNumbers w:val="0"/>
              <w:spacing w:before="0" w:beforeAutospacing="0" w:after="0" w:afterAutospacing="0"/>
              <w:ind w:left="0" w:right="0"/>
              <w:jc w:val="center"/>
              <w:rPr>
                <w:rFonts w:hint="default"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简要描述</w:t>
            </w:r>
          </w:p>
        </w:tc>
      </w:tr>
      <w:tr w14:paraId="3BA4EAED">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15" w:type="dxa"/>
            <w:left w:w="15" w:type="dxa"/>
            <w:bottom w:w="15" w:type="dxa"/>
            <w:right w:w="15" w:type="dxa"/>
          </w:tblCellMar>
        </w:tblPrEx>
        <w:tc>
          <w:tcPr>
            <w:tcW w:w="779"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2D33554E">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3144"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3C37EE69">
            <w:pPr>
              <w:pStyle w:val="175"/>
              <w:keepNext w:val="0"/>
              <w:keepLines w:val="0"/>
              <w:widowControl/>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4451"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200C5631">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r>
      <w:tr w14:paraId="37F5F674">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15" w:type="dxa"/>
            <w:left w:w="15" w:type="dxa"/>
            <w:bottom w:w="15" w:type="dxa"/>
            <w:right w:w="15" w:type="dxa"/>
          </w:tblCellMar>
        </w:tblPrEx>
        <w:tc>
          <w:tcPr>
            <w:tcW w:w="779"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1612E477">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3144"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3A07335B">
            <w:pPr>
              <w:pStyle w:val="175"/>
              <w:keepNext w:val="0"/>
              <w:keepLines w:val="0"/>
              <w:widowControl/>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4451"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0033B4D0">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r>
      <w:tr w14:paraId="7A6471EB">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15" w:type="dxa"/>
            <w:left w:w="15" w:type="dxa"/>
            <w:bottom w:w="15" w:type="dxa"/>
            <w:right w:w="15" w:type="dxa"/>
          </w:tblCellMar>
        </w:tblPrEx>
        <w:tc>
          <w:tcPr>
            <w:tcW w:w="779"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77FB53E1">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3144"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479E9A5F">
            <w:pPr>
              <w:pStyle w:val="175"/>
              <w:keepNext w:val="0"/>
              <w:keepLines w:val="0"/>
              <w:widowControl/>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4451"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59507B66">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r>
      <w:tr w14:paraId="73A397A0">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15" w:type="dxa"/>
            <w:left w:w="15" w:type="dxa"/>
            <w:bottom w:w="15" w:type="dxa"/>
            <w:right w:w="15" w:type="dxa"/>
          </w:tblCellMar>
        </w:tblPrEx>
        <w:tc>
          <w:tcPr>
            <w:tcW w:w="779"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18D4DF0F">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3144"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01D36CAA">
            <w:pPr>
              <w:pStyle w:val="175"/>
              <w:keepNext w:val="0"/>
              <w:keepLines w:val="0"/>
              <w:widowControl/>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4451"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2C07A7C9">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r>
      <w:tr w14:paraId="7C6A92D8">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15" w:type="dxa"/>
            <w:left w:w="15" w:type="dxa"/>
            <w:bottom w:w="15" w:type="dxa"/>
            <w:right w:w="15" w:type="dxa"/>
          </w:tblCellMar>
        </w:tblPrEx>
        <w:tc>
          <w:tcPr>
            <w:tcW w:w="779"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3619E34B">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3144"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690B1C7B">
            <w:pPr>
              <w:pStyle w:val="175"/>
              <w:keepNext w:val="0"/>
              <w:keepLines w:val="0"/>
              <w:widowControl/>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4451"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25E869EC">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r>
      <w:tr w14:paraId="361BDB92">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15" w:type="dxa"/>
            <w:left w:w="15" w:type="dxa"/>
            <w:bottom w:w="15" w:type="dxa"/>
            <w:right w:w="15" w:type="dxa"/>
          </w:tblCellMar>
        </w:tblPrEx>
        <w:tc>
          <w:tcPr>
            <w:tcW w:w="779"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20A4C557">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3144"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589FC38C">
            <w:pPr>
              <w:pStyle w:val="175"/>
              <w:keepNext w:val="0"/>
              <w:keepLines w:val="0"/>
              <w:widowControl/>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4451"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70C40A95">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r>
      <w:tr w14:paraId="2B9A341A">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15" w:type="dxa"/>
            <w:left w:w="15" w:type="dxa"/>
            <w:bottom w:w="15" w:type="dxa"/>
            <w:right w:w="15" w:type="dxa"/>
          </w:tblCellMar>
        </w:tblPrEx>
        <w:tc>
          <w:tcPr>
            <w:tcW w:w="779"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0619A53B">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3144"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187D68C6">
            <w:pPr>
              <w:pStyle w:val="175"/>
              <w:keepNext w:val="0"/>
              <w:keepLines w:val="0"/>
              <w:widowControl/>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4451"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7B066385">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r>
      <w:tr w14:paraId="2EFA4FA0">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CellMar>
            <w:top w:w="15" w:type="dxa"/>
            <w:left w:w="15" w:type="dxa"/>
            <w:bottom w:w="15" w:type="dxa"/>
            <w:right w:w="15" w:type="dxa"/>
          </w:tblCellMar>
        </w:tblPrEx>
        <w:tc>
          <w:tcPr>
            <w:tcW w:w="779"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38573341">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3144" w:type="dxa"/>
            <w:tcBorders>
              <w:top w:val="single" w:color="666666" w:sz="6" w:space="0"/>
              <w:left w:val="single" w:color="666666" w:sz="6" w:space="0"/>
              <w:bottom w:val="single" w:color="666666" w:sz="6" w:space="0"/>
              <w:right w:val="single" w:color="666666" w:sz="6" w:space="0"/>
            </w:tcBorders>
            <w:shd w:val="clear" w:color="auto" w:fill="FFFFFF"/>
            <w:noWrap w:val="0"/>
            <w:tcMar>
              <w:top w:w="68" w:type="dxa"/>
              <w:left w:w="68" w:type="dxa"/>
              <w:bottom w:w="68" w:type="dxa"/>
              <w:right w:w="68" w:type="dxa"/>
            </w:tcMar>
            <w:vAlign w:val="center"/>
          </w:tcPr>
          <w:p w14:paraId="72FF30BE">
            <w:pPr>
              <w:pStyle w:val="175"/>
              <w:keepNext w:val="0"/>
              <w:keepLines w:val="0"/>
              <w:widowControl/>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4451" w:type="dxa"/>
            <w:tcBorders>
              <w:top w:val="single" w:color="666666" w:sz="6" w:space="0"/>
              <w:left w:val="single" w:color="666666" w:sz="6" w:space="0"/>
              <w:bottom w:val="single" w:color="666666" w:sz="6" w:space="0"/>
              <w:right w:val="single" w:color="666666" w:sz="6" w:space="0"/>
            </w:tcBorders>
            <w:shd w:val="clear" w:color="auto" w:fill="FFFFFF"/>
            <w:noWrap/>
            <w:tcMar>
              <w:top w:w="68" w:type="dxa"/>
              <w:left w:w="68" w:type="dxa"/>
              <w:bottom w:w="68" w:type="dxa"/>
              <w:right w:w="68" w:type="dxa"/>
            </w:tcMar>
            <w:vAlign w:val="center"/>
          </w:tcPr>
          <w:p w14:paraId="702CD94D">
            <w:pPr>
              <w:pStyle w:val="175"/>
              <w:keepNext w:val="0"/>
              <w:keepLines w:val="0"/>
              <w:widowControl/>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r>
    </w:tbl>
    <w:p w14:paraId="414D4C88">
      <w:pPr>
        <w:pStyle w:val="36"/>
        <w:tabs>
          <w:tab w:val="right" w:leader="dot" w:pos="9030"/>
        </w:tabs>
        <w:spacing w:before="0" w:after="0" w:line="360" w:lineRule="auto"/>
        <w:ind w:left="0" w:leftChars="0"/>
        <w:rPr>
          <w:rFonts w:hint="eastAsia" w:ascii="宋体" w:hAnsi="宋体" w:cs="宋体"/>
          <w:color w:val="auto"/>
          <w:sz w:val="24"/>
          <w:szCs w:val="24"/>
          <w:highlight w:val="none"/>
        </w:rPr>
      </w:pPr>
    </w:p>
    <w:p w14:paraId="748AB559">
      <w:pPr>
        <w:pStyle w:val="36"/>
        <w:tabs>
          <w:tab w:val="right" w:leader="dot" w:pos="9030"/>
        </w:tabs>
        <w:spacing w:before="0" w:after="0" w:line="360" w:lineRule="auto"/>
        <w:ind w:left="0" w:leftChars="0"/>
        <w:rPr>
          <w:rFonts w:hint="default" w:ascii="宋体" w:hAnsi="宋体" w:eastAsia="宋体" w:cs="宋体"/>
          <w:color w:val="auto"/>
          <w:sz w:val="24"/>
          <w:highlight w:val="none"/>
          <w:lang w:val="en-US" w:eastAsia="zh-CN"/>
        </w:rPr>
        <w:sectPr>
          <w:pgSz w:w="11907" w:h="16840"/>
          <w:pgMar w:top="1440" w:right="1440" w:bottom="1440" w:left="1440" w:header="851" w:footer="992" w:gutter="0"/>
          <w:cols w:space="720" w:num="1"/>
          <w:docGrid w:linePitch="312" w:charSpace="0"/>
        </w:sectPr>
      </w:pPr>
      <w:r>
        <w:rPr>
          <w:rFonts w:hint="eastAsia" w:ascii="宋体" w:hAnsi="宋体" w:cs="宋体"/>
          <w:color w:val="auto"/>
          <w:sz w:val="24"/>
          <w:szCs w:val="24"/>
          <w:highlight w:val="none"/>
        </w:rPr>
        <w:t>2.2投标人需要说</w:t>
      </w:r>
      <w:r>
        <w:rPr>
          <w:rFonts w:hint="eastAsia" w:ascii="宋体" w:hAnsi="宋体" w:cs="宋体"/>
          <w:color w:val="auto"/>
          <w:sz w:val="24"/>
          <w:szCs w:val="24"/>
          <w:highlight w:val="none"/>
          <w:lang w:val="en-US" w:eastAsia="zh-CN"/>
        </w:rPr>
        <w:t>明的其他问题</w:t>
      </w:r>
    </w:p>
    <w:p w14:paraId="321C1D7D">
      <w:pPr>
        <w:bidi w:val="0"/>
        <w:rPr>
          <w:color w:val="auto"/>
          <w:highlight w:val="none"/>
        </w:rPr>
      </w:pPr>
    </w:p>
    <w:p w14:paraId="0D74EDD3">
      <w:pPr>
        <w:pStyle w:val="126"/>
        <w:spacing w:before="0" w:beforeLines="0" w:line="240" w:lineRule="auto"/>
        <w:rPr>
          <w:rFonts w:hint="eastAsia" w:ascii="Times New Roman" w:hAnsi="Times New Roman"/>
          <w:color w:val="auto"/>
          <w:kern w:val="2"/>
          <w:sz w:val="32"/>
          <w:szCs w:val="32"/>
          <w:highlight w:val="none"/>
          <w:lang w:val="en-US" w:eastAsia="zh-CN"/>
        </w:rPr>
      </w:pPr>
      <w:bookmarkStart w:id="372" w:name="_Toc30765"/>
      <w:r>
        <w:rPr>
          <w:rFonts w:ascii="Times New Roman" w:hAnsi="Times New Roman"/>
          <w:color w:val="auto"/>
          <w:kern w:val="2"/>
          <w:sz w:val="32"/>
          <w:szCs w:val="32"/>
          <w:highlight w:val="none"/>
        </w:rPr>
        <w:t>附件</w:t>
      </w:r>
      <w:r>
        <w:rPr>
          <w:rFonts w:hint="eastAsia" w:ascii="Times New Roman" w:hAnsi="Times New Roman"/>
          <w:color w:val="auto"/>
          <w:kern w:val="2"/>
          <w:sz w:val="32"/>
          <w:szCs w:val="32"/>
          <w:highlight w:val="none"/>
          <w:lang w:val="en-US" w:eastAsia="zh-CN"/>
        </w:rPr>
        <w:t>13 性能考核</w:t>
      </w:r>
      <w:bookmarkEnd w:id="372"/>
    </w:p>
    <w:p w14:paraId="24F411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锅炉稳燃负荷</w:t>
      </w:r>
      <w:r>
        <w:rPr>
          <w:rFonts w:hint="eastAsia"/>
          <w:color w:val="auto"/>
          <w:sz w:val="24"/>
          <w:highlight w:val="none"/>
          <w:lang w:val="en-US" w:eastAsia="zh-CN"/>
        </w:rPr>
        <w:t>锅炉最大连续</w:t>
      </w:r>
      <w:r>
        <w:rPr>
          <w:color w:val="auto"/>
          <w:sz w:val="24"/>
          <w:highlight w:val="none"/>
          <w:lang w:val="en-US"/>
        </w:rPr>
        <w:t>蒸发量</w:t>
      </w:r>
      <w:r>
        <w:rPr>
          <w:rFonts w:hint="eastAsia" w:ascii="宋体" w:hAnsi="宋体" w:cs="宋体"/>
          <w:color w:val="auto"/>
          <w:sz w:val="24"/>
          <w:szCs w:val="24"/>
          <w:highlight w:val="none"/>
          <w:lang w:val="en-US" w:eastAsia="zh-CN"/>
        </w:rPr>
        <w:t>工况</w:t>
      </w:r>
      <w:r>
        <w:rPr>
          <w:rFonts w:hint="eastAsia" w:ascii="宋体" w:hAnsi="宋体" w:eastAsia="宋体" w:cs="宋体"/>
          <w:color w:val="auto"/>
          <w:sz w:val="24"/>
          <w:szCs w:val="24"/>
          <w:highlight w:val="none"/>
        </w:rPr>
        <w:t>时燃用设计煤种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脱</w:t>
      </w:r>
      <w:r>
        <w:rPr>
          <w:rFonts w:hint="eastAsia" w:ascii="宋体" w:hAnsi="宋体" w:eastAsia="宋体" w:cs="宋体"/>
          <w:color w:val="auto"/>
          <w:sz w:val="24"/>
          <w:szCs w:val="24"/>
          <w:highlight w:val="none"/>
          <w:lang w:val="en-US" w:eastAsia="zh-CN"/>
        </w:rPr>
        <w:t>硫</w:t>
      </w:r>
      <w:r>
        <w:rPr>
          <w:rFonts w:hint="eastAsia" w:ascii="宋体" w:hAnsi="宋体" w:eastAsia="宋体" w:cs="宋体"/>
          <w:color w:val="auto"/>
          <w:sz w:val="24"/>
          <w:szCs w:val="24"/>
          <w:highlight w:val="none"/>
        </w:rPr>
        <w:t>系统入口</w:t>
      </w:r>
      <w:r>
        <w:rPr>
          <w:rFonts w:hint="eastAsia" w:ascii="宋体" w:hAnsi="宋体" w:eastAsia="宋体" w:cs="宋体"/>
          <w:color w:val="auto"/>
          <w:sz w:val="24"/>
          <w:szCs w:val="24"/>
          <w:highlight w:val="none"/>
          <w:lang w:val="en-US" w:eastAsia="zh-CN"/>
        </w:rPr>
        <w:t>原</w:t>
      </w:r>
      <w:r>
        <w:rPr>
          <w:rFonts w:hint="eastAsia" w:ascii="宋体" w:hAnsi="宋体" w:eastAsia="宋体" w:cs="宋体"/>
          <w:color w:val="auto"/>
          <w:sz w:val="24"/>
          <w:szCs w:val="24"/>
          <w:highlight w:val="none"/>
        </w:rPr>
        <w:t>烟气中</w:t>
      </w:r>
      <w:bookmarkStart w:id="373" w:name="OLE_LINK66"/>
      <w:r>
        <w:rPr>
          <w:rFonts w:hint="eastAsia" w:ascii="宋体" w:hAnsi="宋体" w:eastAsia="宋体" w:cs="宋体"/>
          <w:color w:val="auto"/>
          <w:sz w:val="24"/>
          <w:szCs w:val="24"/>
          <w:highlight w:val="none"/>
        </w:rPr>
        <w:t>SO</w:t>
      </w:r>
      <w:r>
        <w:rPr>
          <w:rFonts w:hint="eastAsia" w:ascii="宋体" w:hAnsi="宋体" w:eastAsia="宋体" w:cs="宋体"/>
          <w:color w:val="auto"/>
          <w:sz w:val="24"/>
          <w:szCs w:val="24"/>
          <w:highlight w:val="none"/>
          <w:vertAlign w:val="subscript"/>
        </w:rPr>
        <w:t>2</w:t>
      </w:r>
      <w:bookmarkEnd w:id="373"/>
      <w:r>
        <w:rPr>
          <w:rFonts w:hint="eastAsia" w:ascii="宋体" w:hAnsi="宋体" w:eastAsia="宋体" w:cs="宋体"/>
          <w:color w:val="auto"/>
          <w:sz w:val="24"/>
          <w:szCs w:val="24"/>
          <w:highlight w:val="none"/>
        </w:rPr>
        <w:t>含量</w:t>
      </w:r>
      <w:bookmarkStart w:id="374" w:name="OLE_LINK73"/>
      <w:r>
        <w:rPr>
          <w:rFonts w:hint="eastAsia" w:ascii="宋体" w:hAnsi="宋体" w:eastAsia="宋体" w:cs="宋体"/>
          <w:color w:val="auto"/>
          <w:sz w:val="24"/>
          <w:szCs w:val="24"/>
          <w:highlight w:val="none"/>
        </w:rPr>
        <w:t>＜</w:t>
      </w:r>
      <w:bookmarkEnd w:id="374"/>
      <w:r>
        <w:rPr>
          <w:rFonts w:hint="eastAsia" w:ascii="宋体" w:hAnsi="宋体" w:eastAsia="宋体" w:cs="宋体"/>
          <w:color w:val="auto"/>
          <w:sz w:val="24"/>
          <w:szCs w:val="24"/>
          <w:highlight w:val="none"/>
          <w:lang w:val="en-US" w:eastAsia="zh-CN"/>
        </w:rPr>
        <w:t>1987</w:t>
      </w:r>
      <w:r>
        <w:rPr>
          <w:rFonts w:hint="eastAsia" w:ascii="宋体" w:hAnsi="宋体" w:eastAsia="宋体" w:cs="宋体"/>
          <w:color w:val="auto"/>
          <w:sz w:val="24"/>
          <w:szCs w:val="24"/>
          <w:highlight w:val="none"/>
        </w:rPr>
        <w:t>mg/Nm</w:t>
      </w:r>
      <w:r>
        <w:rPr>
          <w:rFonts w:hint="eastAsia" w:ascii="宋体" w:hAnsi="宋体" w:eastAsia="宋体" w:cs="宋体"/>
          <w:color w:val="auto"/>
          <w:sz w:val="24"/>
          <w:szCs w:val="24"/>
          <w:highlight w:val="none"/>
          <w:vertAlign w:val="superscript"/>
        </w:rPr>
        <w:t>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湿</w:t>
      </w:r>
      <w:r>
        <w:rPr>
          <w:rFonts w:hint="eastAsia" w:ascii="宋体" w:hAnsi="宋体" w:eastAsia="宋体" w:cs="宋体"/>
          <w:color w:val="auto"/>
          <w:sz w:val="24"/>
          <w:szCs w:val="24"/>
          <w:highlight w:val="none"/>
        </w:rPr>
        <w:t>基，6%含氧量</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一台循环泵备用，废水零排放系统正常运行</w:t>
      </w:r>
      <w:r>
        <w:rPr>
          <w:rFonts w:hint="eastAsia" w:ascii="宋体" w:hAnsi="宋体" w:eastAsia="宋体" w:cs="宋体"/>
          <w:color w:val="auto"/>
          <w:sz w:val="24"/>
          <w:szCs w:val="24"/>
          <w:highlight w:val="none"/>
          <w:lang w:val="en-US" w:eastAsia="zh-CN"/>
        </w:rPr>
        <w:t>条件下：</w:t>
      </w:r>
    </w:p>
    <w:p w14:paraId="6F001C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(1)脱硫效率和排放指标</w:t>
      </w:r>
    </w:p>
    <w:p w14:paraId="38CB34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吸收塔脱硫效率达到98.7%以上，出</w:t>
      </w:r>
      <w:r>
        <w:rPr>
          <w:rFonts w:hint="eastAsia" w:ascii="宋体" w:hAnsi="宋体" w:eastAsia="宋体" w:cs="宋体"/>
          <w:color w:val="auto"/>
          <w:sz w:val="24"/>
          <w:szCs w:val="24"/>
          <w:highlight w:val="none"/>
        </w:rPr>
        <w:t>口烟气</w:t>
      </w:r>
      <w:r>
        <w:rPr>
          <w:rFonts w:hint="eastAsia" w:ascii="宋体" w:hAnsi="宋体" w:eastAsia="宋体" w:cs="宋体"/>
          <w:color w:val="auto"/>
          <w:kern w:val="0"/>
          <w:sz w:val="24"/>
          <w:szCs w:val="24"/>
          <w:highlight w:val="none"/>
        </w:rPr>
        <w:t>SO2</w:t>
      </w:r>
      <w:r>
        <w:rPr>
          <w:rFonts w:hint="eastAsia" w:ascii="宋体" w:hAnsi="宋体" w:eastAsia="宋体" w:cs="宋体"/>
          <w:color w:val="auto"/>
          <w:kern w:val="0"/>
          <w:sz w:val="24"/>
          <w:szCs w:val="24"/>
          <w:highlight w:val="none"/>
          <w:lang w:val="en-US" w:eastAsia="zh-CN"/>
        </w:rPr>
        <w:t>排放浓度</w:t>
      </w:r>
      <w:bookmarkStart w:id="375" w:name="OLE_LINK70"/>
      <w:r>
        <w:rPr>
          <w:rFonts w:hint="default" w:ascii="Arial" w:hAnsi="Arial" w:eastAsia="宋体" w:cs="Arial"/>
          <w:color w:val="auto"/>
          <w:kern w:val="0"/>
          <w:sz w:val="24"/>
          <w:szCs w:val="24"/>
          <w:highlight w:val="none"/>
          <w:lang w:val="en-US" w:eastAsia="zh-CN"/>
        </w:rPr>
        <w:t>≤</w:t>
      </w:r>
      <w:bookmarkEnd w:id="375"/>
      <w:r>
        <w:rPr>
          <w:rFonts w:hint="eastAsia" w:ascii="宋体" w:hAnsi="宋体" w:eastAsia="宋体" w:cs="宋体"/>
          <w:color w:val="auto"/>
          <w:sz w:val="24"/>
          <w:szCs w:val="24"/>
          <w:highlight w:val="none"/>
          <w:lang w:val="en-US" w:eastAsia="zh-CN"/>
        </w:rPr>
        <w:t>24.5mg</w:t>
      </w:r>
      <w:r>
        <w:rPr>
          <w:rFonts w:hint="eastAsia" w:ascii="宋体" w:hAnsi="宋体" w:eastAsia="宋体" w:cs="宋体"/>
          <w:color w:val="auto"/>
          <w:sz w:val="24"/>
          <w:szCs w:val="24"/>
          <w:highlight w:val="none"/>
        </w:rPr>
        <w:t>/Nm</w:t>
      </w:r>
      <w:r>
        <w:rPr>
          <w:rFonts w:hint="eastAsia" w:ascii="宋体" w:hAnsi="宋体" w:eastAsia="宋体" w:cs="宋体"/>
          <w:color w:val="auto"/>
          <w:sz w:val="24"/>
          <w:szCs w:val="24"/>
          <w:highlight w:val="none"/>
          <w:vertAlign w:val="superscript"/>
        </w:rPr>
        <w:t>3</w:t>
      </w:r>
      <w:bookmarkStart w:id="376" w:name="OLE_LINK72"/>
      <w:r>
        <w:rPr>
          <w:rFonts w:hint="eastAsia" w:ascii="宋体" w:hAnsi="宋体" w:eastAsia="宋体" w:cs="宋体"/>
          <w:color w:val="auto"/>
          <w:sz w:val="24"/>
          <w:szCs w:val="24"/>
          <w:highlight w:val="none"/>
        </w:rPr>
        <w:t>（干基，6%含氧量）</w:t>
      </w:r>
      <w:bookmarkEnd w:id="376"/>
      <w:r>
        <w:rPr>
          <w:rFonts w:hint="eastAsia" w:ascii="宋体" w:hAnsi="宋体" w:eastAsia="宋体" w:cs="宋体"/>
          <w:color w:val="auto"/>
          <w:sz w:val="24"/>
          <w:szCs w:val="24"/>
          <w:highlight w:val="none"/>
          <w:lang w:eastAsia="zh-CN"/>
        </w:rPr>
        <w:t>，</w:t>
      </w:r>
      <w:bookmarkStart w:id="377" w:name="OLE_LINK68"/>
      <w:r>
        <w:rPr>
          <w:rFonts w:hint="eastAsia" w:ascii="宋体" w:hAnsi="宋体" w:eastAsia="宋体" w:cs="宋体"/>
          <w:color w:val="auto"/>
          <w:sz w:val="24"/>
          <w:szCs w:val="24"/>
          <w:highlight w:val="none"/>
          <w:lang w:val="en-US" w:eastAsia="zh-CN"/>
        </w:rPr>
        <w:t>如不满足要求，</w:t>
      </w:r>
      <w:bookmarkEnd w:id="377"/>
      <w:r>
        <w:rPr>
          <w:rFonts w:hint="eastAsia" w:ascii="宋体" w:hAnsi="宋体" w:eastAsia="宋体" w:cs="宋体"/>
          <w:color w:val="auto"/>
          <w:sz w:val="24"/>
          <w:szCs w:val="24"/>
          <w:highlight w:val="none"/>
        </w:rPr>
        <w:t>应由投标人无偿负责整改</w:t>
      </w:r>
      <w:r>
        <w:rPr>
          <w:rFonts w:hint="eastAsia" w:ascii="宋体" w:hAnsi="宋体" w:cs="宋体"/>
          <w:color w:val="auto"/>
          <w:sz w:val="24"/>
          <w:szCs w:val="24"/>
          <w:highlight w:val="none"/>
          <w:lang w:val="en-US" w:eastAsia="zh-CN"/>
        </w:rPr>
        <w:t>至符合要求</w:t>
      </w:r>
      <w:r>
        <w:rPr>
          <w:rFonts w:hint="eastAsia" w:ascii="宋体" w:hAnsi="宋体" w:eastAsia="宋体" w:cs="宋体"/>
          <w:color w:val="auto"/>
          <w:sz w:val="24"/>
          <w:szCs w:val="24"/>
          <w:highlight w:val="none"/>
        </w:rPr>
        <w:t>，同时支付合同价</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％的违约金。</w:t>
      </w:r>
    </w:p>
    <w:p w14:paraId="5BB7EA45">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除尘性能</w:t>
      </w:r>
    </w:p>
    <w:p w14:paraId="056EE7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吸收塔出</w:t>
      </w:r>
      <w:r>
        <w:rPr>
          <w:rFonts w:hint="eastAsia" w:ascii="宋体" w:hAnsi="宋体" w:eastAsia="宋体" w:cs="宋体"/>
          <w:color w:val="auto"/>
          <w:sz w:val="24"/>
          <w:szCs w:val="24"/>
          <w:highlight w:val="none"/>
        </w:rPr>
        <w:t>口烟</w:t>
      </w:r>
      <w:r>
        <w:rPr>
          <w:rFonts w:hint="eastAsia" w:ascii="宋体" w:hAnsi="宋体" w:eastAsia="宋体" w:cs="宋体"/>
          <w:color w:val="auto"/>
          <w:sz w:val="24"/>
          <w:szCs w:val="24"/>
          <w:highlight w:val="none"/>
          <w:lang w:val="en-US" w:eastAsia="zh-CN"/>
        </w:rPr>
        <w:t>尘</w:t>
      </w:r>
      <w:r>
        <w:rPr>
          <w:rFonts w:hint="eastAsia" w:ascii="宋体" w:hAnsi="宋体" w:eastAsia="宋体" w:cs="宋体"/>
          <w:color w:val="auto"/>
          <w:kern w:val="0"/>
          <w:sz w:val="24"/>
          <w:szCs w:val="24"/>
          <w:highlight w:val="none"/>
          <w:lang w:val="en-US" w:eastAsia="zh-CN"/>
        </w:rPr>
        <w:t>排放浓度</w:t>
      </w:r>
      <w:r>
        <w:rPr>
          <w:rFonts w:hint="default" w:ascii="Arial" w:hAnsi="Arial" w:eastAsia="宋体" w:cs="Arial"/>
          <w:color w:val="auto"/>
          <w:kern w:val="0"/>
          <w:sz w:val="24"/>
          <w:szCs w:val="24"/>
          <w:highlight w:val="none"/>
          <w:lang w:val="en-US" w:eastAsia="zh-CN"/>
        </w:rPr>
        <w:t>≤</w:t>
      </w:r>
      <w:r>
        <w:rPr>
          <w:rFonts w:hint="eastAsia" w:ascii="宋体" w:hAnsi="宋体" w:eastAsia="宋体" w:cs="宋体"/>
          <w:color w:val="auto"/>
          <w:kern w:val="2"/>
          <w:sz w:val="24"/>
          <w:szCs w:val="24"/>
          <w:highlight w:val="none"/>
          <w:lang w:val="en-US" w:eastAsia="zh-CN"/>
        </w:rPr>
        <w:t>3.</w:t>
      </w:r>
      <w:r>
        <w:rPr>
          <w:rFonts w:hint="eastAsia" w:ascii="宋体" w:hAnsi="宋体" w:eastAsia="宋体" w:cs="宋体"/>
          <w:color w:val="auto"/>
          <w:sz w:val="24"/>
          <w:szCs w:val="24"/>
          <w:highlight w:val="none"/>
          <w:lang w:val="en-US" w:eastAsia="zh-CN"/>
        </w:rPr>
        <w:t>5mg</w:t>
      </w:r>
      <w:r>
        <w:rPr>
          <w:rFonts w:hint="eastAsia" w:ascii="宋体" w:hAnsi="宋体" w:eastAsia="宋体" w:cs="宋体"/>
          <w:color w:val="auto"/>
          <w:sz w:val="24"/>
          <w:szCs w:val="24"/>
          <w:highlight w:val="none"/>
        </w:rPr>
        <w:t>/Nm</w:t>
      </w:r>
      <w:r>
        <w:rPr>
          <w:rFonts w:hint="eastAsia" w:ascii="宋体" w:hAnsi="宋体" w:eastAsia="宋体" w:cs="宋体"/>
          <w:color w:val="auto"/>
          <w:sz w:val="24"/>
          <w:szCs w:val="24"/>
          <w:highlight w:val="none"/>
          <w:vertAlign w:val="superscript"/>
        </w:rPr>
        <w:t>3</w:t>
      </w:r>
      <w:r>
        <w:rPr>
          <w:rFonts w:hint="eastAsia" w:ascii="宋体" w:hAnsi="宋体" w:eastAsia="宋体" w:cs="宋体"/>
          <w:color w:val="auto"/>
          <w:sz w:val="24"/>
          <w:szCs w:val="24"/>
          <w:highlight w:val="none"/>
        </w:rPr>
        <w:t>（干基，6%含氧量）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如不满足要求，</w:t>
      </w:r>
      <w:r>
        <w:rPr>
          <w:rFonts w:hint="eastAsia" w:ascii="宋体" w:hAnsi="宋体" w:eastAsia="宋体" w:cs="宋体"/>
          <w:color w:val="auto"/>
          <w:sz w:val="24"/>
          <w:szCs w:val="24"/>
          <w:highlight w:val="none"/>
        </w:rPr>
        <w:t>应由投标人无偿负责整改</w:t>
      </w:r>
      <w:r>
        <w:rPr>
          <w:rFonts w:hint="eastAsia" w:ascii="宋体" w:hAnsi="宋体" w:cs="宋体"/>
          <w:color w:val="auto"/>
          <w:sz w:val="24"/>
          <w:szCs w:val="24"/>
          <w:highlight w:val="none"/>
          <w:lang w:val="en-US" w:eastAsia="zh-CN"/>
        </w:rPr>
        <w:t>至符合要求</w:t>
      </w:r>
      <w:r>
        <w:rPr>
          <w:rFonts w:hint="eastAsia" w:ascii="宋体" w:hAnsi="宋体" w:eastAsia="宋体" w:cs="宋体"/>
          <w:color w:val="auto"/>
          <w:sz w:val="24"/>
          <w:szCs w:val="24"/>
          <w:highlight w:val="none"/>
        </w:rPr>
        <w:t>，同时支付合同价</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％的违约金。</w:t>
      </w:r>
    </w:p>
    <w:p w14:paraId="79A0DF4A">
      <w:pPr>
        <w:keepNext w:val="0"/>
        <w:keepLines w:val="0"/>
        <w:pageBreakBefore w:val="0"/>
        <w:widowControl w:val="0"/>
        <w:numPr>
          <w:ilvl w:val="-1"/>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color w:val="auto"/>
          <w:sz w:val="24"/>
          <w:highlight w:val="none"/>
          <w:lang w:eastAsia="zh-CN"/>
        </w:rPr>
        <w:t>（</w:t>
      </w:r>
      <w:r>
        <w:rPr>
          <w:rFonts w:hint="eastAsia"/>
          <w:color w:val="auto"/>
          <w:sz w:val="24"/>
          <w:highlight w:val="none"/>
          <w:lang w:val="en-US" w:eastAsia="zh-CN"/>
        </w:rPr>
        <w:t>3</w:t>
      </w:r>
      <w:r>
        <w:rPr>
          <w:rFonts w:hint="eastAsia"/>
          <w:color w:val="auto"/>
          <w:sz w:val="24"/>
          <w:highlight w:val="none"/>
          <w:lang w:eastAsia="zh-CN"/>
        </w:rPr>
        <w:t>）</w:t>
      </w:r>
      <w:r>
        <w:rPr>
          <w:color w:val="auto"/>
          <w:sz w:val="24"/>
          <w:highlight w:val="none"/>
        </w:rPr>
        <w:t>脱硫装置的烟气</w:t>
      </w:r>
      <w:r>
        <w:rPr>
          <w:rFonts w:hint="eastAsia"/>
          <w:color w:val="auto"/>
          <w:sz w:val="24"/>
          <w:highlight w:val="none"/>
        </w:rPr>
        <w:t>阻力</w:t>
      </w:r>
    </w:p>
    <w:p w14:paraId="5FD60C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吸收塔整体（包括除雾器）阻力</w:t>
      </w:r>
      <w:bookmarkStart w:id="378" w:name="OLE_LINK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2300Pa</w:t>
      </w:r>
      <w:bookmarkEnd w:id="378"/>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并且除雾器总阻力</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00Pa</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如不满足要求，</w:t>
      </w:r>
      <w:r>
        <w:rPr>
          <w:rFonts w:hint="eastAsia" w:ascii="宋体" w:hAnsi="宋体" w:eastAsia="宋体" w:cs="宋体"/>
          <w:color w:val="auto"/>
          <w:sz w:val="24"/>
          <w:szCs w:val="24"/>
          <w:highlight w:val="none"/>
        </w:rPr>
        <w:t>应由投标人无偿负责整改</w:t>
      </w:r>
      <w:r>
        <w:rPr>
          <w:rFonts w:hint="eastAsia" w:ascii="宋体" w:hAnsi="宋体" w:cs="宋体"/>
          <w:color w:val="auto"/>
          <w:sz w:val="24"/>
          <w:szCs w:val="24"/>
          <w:highlight w:val="none"/>
          <w:lang w:val="en-US" w:eastAsia="zh-CN"/>
        </w:rPr>
        <w:t>至符合要求</w:t>
      </w:r>
      <w:r>
        <w:rPr>
          <w:rFonts w:hint="eastAsia" w:ascii="宋体" w:hAnsi="宋体" w:eastAsia="宋体" w:cs="宋体"/>
          <w:color w:val="auto"/>
          <w:sz w:val="24"/>
          <w:szCs w:val="24"/>
          <w:highlight w:val="none"/>
        </w:rPr>
        <w:t>，同时支付合同价</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％的违约金。</w:t>
      </w:r>
    </w:p>
    <w:p w14:paraId="436D484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color w:val="auto"/>
          <w:sz w:val="24"/>
          <w:szCs w:val="24"/>
          <w:highlight w:val="none"/>
          <w:lang w:val="en-US" w:eastAsia="zh-CN"/>
        </w:rPr>
        <w:sectPr>
          <w:footerReference r:id="rId6" w:type="default"/>
          <w:pgSz w:w="11850" w:h="16783"/>
          <w:pgMar w:top="1440" w:right="1800" w:bottom="1440" w:left="1800" w:header="851" w:footer="992" w:gutter="0"/>
          <w:cols w:space="720" w:num="1"/>
          <w:docGrid w:type="lines" w:linePitch="312" w:charSpace="0"/>
        </w:sect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当任何</w:t>
      </w:r>
      <w:r>
        <w:rPr>
          <w:rFonts w:hint="eastAsia" w:ascii="宋体" w:hAnsi="宋体" w:eastAsia="宋体" w:cs="宋体"/>
          <w:color w:val="auto"/>
          <w:sz w:val="24"/>
          <w:szCs w:val="24"/>
          <w:highlight w:val="none"/>
          <w:lang w:val="en-US" w:eastAsia="zh-CN"/>
        </w:rPr>
        <w:t>吸收塔</w:t>
      </w:r>
      <w:r>
        <w:rPr>
          <w:rFonts w:hint="eastAsia" w:ascii="宋体" w:hAnsi="宋体" w:eastAsia="宋体" w:cs="宋体"/>
          <w:color w:val="auto"/>
          <w:sz w:val="24"/>
          <w:szCs w:val="24"/>
          <w:highlight w:val="none"/>
        </w:rPr>
        <w:t>设备发生无法正常投运的故障，且从发现之日起投标人在二周内仍未能将其消除故障，以致影响调试工期，投标人除必须继续工作直至故障消除外，并承担所发生的一切费用，同时支付该套设备合同价1％违约金。</w:t>
      </w:r>
    </w:p>
    <w:p w14:paraId="57E132E3">
      <w:pPr>
        <w:pStyle w:val="126"/>
        <w:spacing w:before="156" w:beforeLines="50"/>
        <w:rPr>
          <w:rFonts w:hint="default" w:ascii="Times New Roman" w:hAnsi="Times New Roman"/>
          <w:color w:val="auto"/>
          <w:kern w:val="2"/>
          <w:sz w:val="32"/>
          <w:szCs w:val="32"/>
          <w:highlight w:val="none"/>
          <w:lang w:val="en-US" w:eastAsia="zh-CN"/>
        </w:rPr>
      </w:pPr>
      <w:bookmarkStart w:id="379" w:name="_Toc1529"/>
      <w:r>
        <w:rPr>
          <w:rFonts w:ascii="Times New Roman" w:hAnsi="Times New Roman"/>
          <w:color w:val="auto"/>
          <w:kern w:val="2"/>
          <w:sz w:val="32"/>
          <w:szCs w:val="32"/>
          <w:highlight w:val="none"/>
        </w:rPr>
        <w:t>附件</w:t>
      </w:r>
      <w:r>
        <w:rPr>
          <w:rFonts w:hint="eastAsia" w:ascii="Times New Roman" w:hAnsi="Times New Roman"/>
          <w:color w:val="auto"/>
          <w:kern w:val="2"/>
          <w:sz w:val="32"/>
          <w:szCs w:val="32"/>
          <w:highlight w:val="none"/>
          <w:lang w:val="en-US" w:eastAsia="zh-CN"/>
        </w:rPr>
        <w:t>14 附图</w:t>
      </w:r>
      <w:bookmarkEnd w:id="379"/>
    </w:p>
    <w:p w14:paraId="2E30865E">
      <w:pPr>
        <w:rPr>
          <w:rFonts w:hint="default" w:eastAsia="宋体"/>
          <w:color w:val="auto"/>
          <w:highlight w:val="none"/>
          <w:lang w:val="en-US" w:eastAsia="zh-CN"/>
        </w:rPr>
      </w:pPr>
      <w:r>
        <w:rPr>
          <w:rFonts w:hint="eastAsia"/>
          <w:color w:val="auto"/>
          <w:highlight w:val="none"/>
          <w:lang w:val="en-US" w:eastAsia="zh-CN"/>
        </w:rPr>
        <w:t>投标人需附上各系统图纸</w:t>
      </w:r>
    </w:p>
    <w:bookmarkEnd w:id="380"/>
    <w:sectPr>
      <w:pgSz w:w="11850" w:h="16783"/>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SansSerif">
    <w:altName w:val="Segoe Print"/>
    <w:panose1 w:val="000004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UI">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长城仿宋">
    <w:altName w:val="仿宋"/>
    <w:panose1 w:val="00000000000000000000"/>
    <w:charset w:val="00"/>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方正细圆简体">
    <w:altName w:val="宋体"/>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EEB02">
    <w:pPr>
      <w:pStyle w:val="33"/>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B80DD8">
                          <w:pPr>
                            <w:pStyle w:val="33"/>
                            <w:ind w:right="360"/>
                            <w:jc w:val="center"/>
                          </w:pPr>
                          <w:r>
                            <w:fldChar w:fldCharType="begin"/>
                          </w:r>
                          <w:r>
                            <w:rPr>
                              <w:rStyle w:val="56"/>
                            </w:rPr>
                            <w:instrText xml:space="preserve"> PAGE </w:instrText>
                          </w:r>
                          <w:r>
                            <w:fldChar w:fldCharType="separate"/>
                          </w:r>
                          <w:r>
                            <w:rPr>
                              <w:rStyle w:val="56"/>
                            </w:rPr>
                            <w:t>118</w:t>
                          </w:r>
                          <w:r>
                            <w:fldChar w:fldCharType="end"/>
                          </w:r>
                        </w:p>
                      </w:txbxContent>
                    </wps:txbx>
                    <wps:bodyPr wrap="none" lIns="0" tIns="0" rIns="0" bIns="0" upright="0">
                      <a:spAutoFit/>
                    </wps:bodyPr>
                  </wps:wsp>
                </a:graphicData>
              </a:graphic>
            </wp:anchor>
          </w:drawing>
        </mc:Choice>
        <mc:Fallback>
          <w:pict>
            <v:shape id="文本框 205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TUfCtcoBAACcAwAADgAAAAAAAAABACAAAAAeAQAAZHJzL2Uyb0Rv&#10;Yy54bWxQSwUGAAAAAAYABgBZAQAAWgUAAAAA&#10;">
              <v:fill on="f" focussize="0,0"/>
              <v:stroke on="f"/>
              <v:imagedata o:title=""/>
              <o:lock v:ext="edit" aspectratio="f"/>
              <v:textbox inset="0mm,0mm,0mm,0mm" style="mso-fit-shape-to-text:t;">
                <w:txbxContent>
                  <w:p w14:paraId="51B80DD8">
                    <w:pPr>
                      <w:pStyle w:val="33"/>
                      <w:ind w:right="360"/>
                      <w:jc w:val="center"/>
                    </w:pPr>
                    <w:r>
                      <w:fldChar w:fldCharType="begin"/>
                    </w:r>
                    <w:r>
                      <w:rPr>
                        <w:rStyle w:val="56"/>
                      </w:rPr>
                      <w:instrText xml:space="preserve"> PAGE </w:instrText>
                    </w:r>
                    <w:r>
                      <w:fldChar w:fldCharType="separate"/>
                    </w:r>
                    <w:r>
                      <w:rPr>
                        <w:rStyle w:val="56"/>
                      </w:rPr>
                      <w:t>118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973FC">
    <w:pPr>
      <w:pStyle w:val="33"/>
      <w:ind w:right="360"/>
      <w:jc w:val="center"/>
      <w:rPr>
        <w:rFonts w:hint="eastAsia"/>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46F672">
                          <w:pPr>
                            <w:pStyle w:val="33"/>
                            <w:ind w:right="360"/>
                            <w:jc w:val="center"/>
                          </w:pPr>
                          <w:r>
                            <w:fldChar w:fldCharType="begin"/>
                          </w:r>
                          <w:r>
                            <w:rPr>
                              <w:rStyle w:val="56"/>
                            </w:rPr>
                            <w:instrText xml:space="preserve"> PAGE </w:instrText>
                          </w:r>
                          <w:r>
                            <w:fldChar w:fldCharType="separate"/>
                          </w:r>
                          <w:r>
                            <w:rPr>
                              <w:rStyle w:val="56"/>
                            </w:rPr>
                            <w:t>169</w:t>
                          </w:r>
                          <w:r>
                            <w:fldChar w:fldCharType="end"/>
                          </w:r>
                        </w:p>
                      </w:txbxContent>
                    </wps:txbx>
                    <wps:bodyPr wrap="none" lIns="0" tIns="0" rIns="0" bIns="0" upright="0">
                      <a:spAutoFit/>
                    </wps:bodyPr>
                  </wps:wsp>
                </a:graphicData>
              </a:graphic>
            </wp:anchor>
          </w:drawing>
        </mc:Choice>
        <mc:Fallback>
          <w:pict>
            <v:shape id="文本框 2051"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LzC9MoBAACcAwAADgAAAGRycy9lMm9Eb2MueG1srVPNjtMwEL4j8Q6W&#10;79RpB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TEcYsDv3z/dvnx6/LzK1lV&#10;r5Z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dLzC9MoBAACcAwAADgAAAAAAAAABACAAAAAeAQAAZHJzL2Uyb0Rv&#10;Yy54bWxQSwUGAAAAAAYABgBZAQAAWgUAAAAA&#10;">
              <v:fill on="f" focussize="0,0"/>
              <v:stroke on="f"/>
              <v:imagedata o:title=""/>
              <o:lock v:ext="edit" aspectratio="f"/>
              <v:textbox inset="0mm,0mm,0mm,0mm" style="mso-fit-shape-to-text:t;">
                <w:txbxContent>
                  <w:p w14:paraId="2746F672">
                    <w:pPr>
                      <w:pStyle w:val="33"/>
                      <w:ind w:right="360"/>
                      <w:jc w:val="center"/>
                    </w:pPr>
                    <w:r>
                      <w:fldChar w:fldCharType="begin"/>
                    </w:r>
                    <w:r>
                      <w:rPr>
                        <w:rStyle w:val="56"/>
                      </w:rPr>
                      <w:instrText xml:space="preserve"> PAGE </w:instrText>
                    </w:r>
                    <w:r>
                      <w:fldChar w:fldCharType="separate"/>
                    </w:r>
                    <w:r>
                      <w:rPr>
                        <w:rStyle w:val="56"/>
                      </w:rPr>
                      <w:t>169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5D9CA">
    <w:pPr>
      <w:pStyle w:val="33"/>
      <w:ind w:right="360"/>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0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54334E">
                          <w:pPr>
                            <w:pStyle w:val="33"/>
                            <w:ind w:right="360"/>
                            <w:jc w:val="center"/>
                          </w:pPr>
                          <w:r>
                            <w:fldChar w:fldCharType="begin"/>
                          </w:r>
                          <w:r>
                            <w:rPr>
                              <w:rStyle w:val="56"/>
                            </w:rPr>
                            <w:instrText xml:space="preserve"> PAGE </w:instrText>
                          </w:r>
                          <w:r>
                            <w:fldChar w:fldCharType="separate"/>
                          </w:r>
                          <w:r>
                            <w:rPr>
                              <w:rStyle w:val="56"/>
                            </w:rPr>
                            <w:t>169</w:t>
                          </w:r>
                          <w:r>
                            <w:fldChar w:fldCharType="end"/>
                          </w:r>
                        </w:p>
                      </w:txbxContent>
                    </wps:txbx>
                    <wps:bodyPr wrap="none" lIns="0" tIns="0" rIns="0" bIns="0" upright="0">
                      <a:spAutoFit/>
                    </wps:bodyPr>
                  </wps:wsp>
                </a:graphicData>
              </a:graphic>
            </wp:anchor>
          </w:drawing>
        </mc:Choice>
        <mc:Fallback>
          <w:pict>
            <v:shape id="文本框 205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0pZA8oBAACcAwAADgAAAGRycy9lMm9Eb2MueG1srVPNjtMwEL4j8Q6W&#10;79RpE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TEcYsDv3z/dvnx6/LzK1lV&#10;r5Z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0pZA8oBAACcAwAADgAAAAAAAAABACAAAAAeAQAAZHJzL2Uyb0Rv&#10;Yy54bWxQSwUGAAAAAAYABgBZAQAAWgUAAAAA&#10;">
              <v:fill on="f" focussize="0,0"/>
              <v:stroke on="f"/>
              <v:imagedata o:title=""/>
              <o:lock v:ext="edit" aspectratio="f"/>
              <v:textbox inset="0mm,0mm,0mm,0mm" style="mso-fit-shape-to-text:t;">
                <w:txbxContent>
                  <w:p w14:paraId="6254334E">
                    <w:pPr>
                      <w:pStyle w:val="33"/>
                      <w:ind w:right="360"/>
                      <w:jc w:val="center"/>
                    </w:pPr>
                    <w:r>
                      <w:fldChar w:fldCharType="begin"/>
                    </w:r>
                    <w:r>
                      <w:rPr>
                        <w:rStyle w:val="56"/>
                      </w:rPr>
                      <w:instrText xml:space="preserve"> PAGE </w:instrText>
                    </w:r>
                    <w:r>
                      <w:fldChar w:fldCharType="separate"/>
                    </w:r>
                    <w:r>
                      <w:rPr>
                        <w:rStyle w:val="56"/>
                      </w:rPr>
                      <w:t>169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A37F5">
    <w:pPr>
      <w:rPr>
        <w:rFonts w:hint="default" w:eastAsia="宋体"/>
        <w:szCs w:val="21"/>
        <w:lang w:val="en-US" w:eastAsia="zh-CN"/>
      </w:rPr>
    </w:pPr>
    <w:r>
      <w:rPr>
        <w:rFonts w:hint="eastAsia"/>
        <w:szCs w:val="21"/>
        <w:u w:val="single"/>
        <w:lang w:val="en-US" w:eastAsia="zh-CN"/>
      </w:rPr>
      <w:t>台州临港热电有限公司扩建</w:t>
    </w:r>
    <w:r>
      <w:rPr>
        <w:szCs w:val="21"/>
        <w:u w:val="single"/>
      </w:rPr>
      <w:t>项目</w:t>
    </w:r>
    <w:r>
      <w:rPr>
        <w:rFonts w:hint="eastAsia"/>
        <w:szCs w:val="21"/>
        <w:u w:val="single"/>
        <w:lang w:val="en-US" w:eastAsia="zh-CN"/>
      </w:rPr>
      <w:t xml:space="preserve">                            烟气</w:t>
    </w:r>
    <w:r>
      <w:rPr>
        <w:rFonts w:hint="eastAsia"/>
        <w:szCs w:val="21"/>
        <w:u w:val="single"/>
      </w:rPr>
      <w:t>脱硫</w:t>
    </w:r>
    <w:r>
      <w:rPr>
        <w:rFonts w:hint="eastAsia"/>
        <w:szCs w:val="21"/>
        <w:u w:val="single"/>
        <w:lang w:val="en-US" w:eastAsia="zh-CN"/>
      </w:rPr>
      <w:t>系统</w:t>
    </w:r>
    <w:r>
      <w:rPr>
        <w:rFonts w:hint="eastAsia"/>
        <w:szCs w:val="21"/>
        <w:u w:val="single"/>
      </w:rPr>
      <w:t>技术</w:t>
    </w:r>
    <w:r>
      <w:rPr>
        <w:rFonts w:hint="eastAsia"/>
        <w:szCs w:val="21"/>
        <w:u w:val="single"/>
        <w:lang w:val="en-US" w:eastAsia="zh-CN"/>
      </w:rPr>
      <w:t>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F51F9"/>
    <w:multiLevelType w:val="multilevel"/>
    <w:tmpl w:val="808F51F9"/>
    <w:lvl w:ilvl="0" w:tentative="0">
      <w:start w:val="1"/>
      <w:numFmt w:val="decimal"/>
      <w:lvlText w:val="(%1)"/>
      <w:lvlJc w:val="left"/>
      <w:pPr>
        <w:tabs>
          <w:tab w:val="left" w:pos="0"/>
        </w:tabs>
        <w:ind w:left="425"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FA637B9C"/>
    <w:multiLevelType w:val="multilevel"/>
    <w:tmpl w:val="FA637B9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none"/>
      <w:lvlText w:val="2.1.1"/>
      <w:lvlJc w:val="left"/>
      <w:pPr>
        <w:tabs>
          <w:tab w:val="left" w:pos="52"/>
        </w:tabs>
        <w:ind w:left="709" w:hanging="709"/>
      </w:pPr>
      <w:rPr>
        <w:rFonts w:hint="default" w:ascii="Times New Roman" w:hAnsi="Times New Roman" w:eastAsia="宋体" w:cs="Times New Roman"/>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00000001"/>
    <w:multiLevelType w:val="multilevel"/>
    <w:tmpl w:val="00000001"/>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3">
    <w:nsid w:val="0000000A"/>
    <w:multiLevelType w:val="multilevel"/>
    <w:tmpl w:val="0000000A"/>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0000000B"/>
    <w:multiLevelType w:val="multilevel"/>
    <w:tmpl w:val="0000000B"/>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5">
    <w:nsid w:val="0000000C"/>
    <w:multiLevelType w:val="multilevel"/>
    <w:tmpl w:val="0000000C"/>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6">
    <w:nsid w:val="0000000D"/>
    <w:multiLevelType w:val="multilevel"/>
    <w:tmpl w:val="0000000D"/>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7">
    <w:nsid w:val="0000000E"/>
    <w:multiLevelType w:val="multilevel"/>
    <w:tmpl w:val="0000000E"/>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8">
    <w:nsid w:val="00000010"/>
    <w:multiLevelType w:val="multilevel"/>
    <w:tmpl w:val="00000010"/>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9">
    <w:nsid w:val="00000014"/>
    <w:multiLevelType w:val="multilevel"/>
    <w:tmpl w:val="00000014"/>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0">
    <w:nsid w:val="00000016"/>
    <w:multiLevelType w:val="multilevel"/>
    <w:tmpl w:val="00000016"/>
    <w:lvl w:ilvl="0" w:tentative="0">
      <w:start w:val="1"/>
      <w:numFmt w:val="bullet"/>
      <w:lvlText w:val=""/>
      <w:lvlJc w:val="left"/>
      <w:pPr>
        <w:tabs>
          <w:tab w:val="left" w:pos="900"/>
        </w:tabs>
        <w:ind w:left="900" w:hanging="420"/>
      </w:pPr>
      <w:rPr>
        <w:rFonts w:hint="default" w:ascii="Wingdings" w:hAnsi="Wingdings"/>
        <w:color w:val="auto"/>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1">
    <w:nsid w:val="00000018"/>
    <w:multiLevelType w:val="multilevel"/>
    <w:tmpl w:val="00000018"/>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2">
    <w:nsid w:val="0000001B"/>
    <w:multiLevelType w:val="multilevel"/>
    <w:tmpl w:val="0000001B"/>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3">
    <w:nsid w:val="00000021"/>
    <w:multiLevelType w:val="multilevel"/>
    <w:tmpl w:val="00000021"/>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777"/>
        </w:tabs>
        <w:ind w:left="77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2.3.%4"/>
      <w:lvlJc w:val="left"/>
      <w:pPr>
        <w:tabs>
          <w:tab w:val="left" w:pos="420"/>
        </w:tabs>
        <w:ind w:left="420" w:hanging="420"/>
      </w:pPr>
      <w:rPr>
        <w:rFonts w:hint="eastAsia"/>
      </w:rPr>
    </w:lvl>
    <w:lvl w:ilvl="4" w:tentative="0">
      <w:start w:val="1"/>
      <w:numFmt w:val="decimal"/>
      <w:lvlText w:val="2.3.2.%5"/>
      <w:lvlJc w:val="left"/>
      <w:pPr>
        <w:tabs>
          <w:tab w:val="left" w:pos="420"/>
        </w:tabs>
        <w:ind w:left="420" w:hanging="420"/>
      </w:pPr>
      <w:rPr>
        <w:rFonts w:hint="eastAsia"/>
      </w:rPr>
    </w:lvl>
    <w:lvl w:ilvl="5" w:tentative="0">
      <w:start w:val="1"/>
      <w:numFmt w:val="decimal"/>
      <w:lvlText w:val="%1.%2.%3.%4.%5.%6"/>
      <w:lvlJc w:val="left"/>
      <w:pPr>
        <w:tabs>
          <w:tab w:val="left" w:pos="1134"/>
        </w:tabs>
        <w:ind w:left="1134" w:hanging="1134"/>
      </w:pPr>
      <w:rPr>
        <w:rFonts w:hint="eastAsia"/>
        <w:color w:val="auto"/>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4">
    <w:nsid w:val="00000028"/>
    <w:multiLevelType w:val="multilevel"/>
    <w:tmpl w:val="00000028"/>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5">
    <w:nsid w:val="0000002C"/>
    <w:multiLevelType w:val="multilevel"/>
    <w:tmpl w:val="0000002C"/>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6">
    <w:nsid w:val="00000031"/>
    <w:multiLevelType w:val="multilevel"/>
    <w:tmpl w:val="00000031"/>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7">
    <w:nsid w:val="00000033"/>
    <w:multiLevelType w:val="multilevel"/>
    <w:tmpl w:val="00000033"/>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8">
    <w:nsid w:val="0B335E7E"/>
    <w:multiLevelType w:val="multilevel"/>
    <w:tmpl w:val="0B335E7E"/>
    <w:lvl w:ilvl="0" w:tentative="0">
      <w:start w:val="1"/>
      <w:numFmt w:val="decimal"/>
      <w:lvlText w:val="2.6.1.%1."/>
      <w:lvlJc w:val="left"/>
      <w:pPr>
        <w:tabs>
          <w:tab w:val="left" w:pos="425"/>
        </w:tabs>
        <w:ind w:left="425" w:hanging="425"/>
      </w:pPr>
      <w:rPr>
        <w:rFonts w:hint="eastAsia"/>
      </w:rPr>
    </w:lvl>
    <w:lvl w:ilvl="1" w:tentative="0">
      <w:start w:val="1"/>
      <w:numFmt w:val="decimal"/>
      <w:lvlText w:val="%1.%2"/>
      <w:lvlJc w:val="left"/>
      <w:pPr>
        <w:tabs>
          <w:tab w:val="left" w:pos="777"/>
        </w:tabs>
        <w:ind w:left="77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4.%4"/>
      <w:lvlJc w:val="left"/>
      <w:pPr>
        <w:tabs>
          <w:tab w:val="left" w:pos="420"/>
        </w:tabs>
        <w:ind w:left="420" w:hanging="420"/>
      </w:pPr>
      <w:rPr>
        <w:rFonts w:hint="eastAsia"/>
      </w:rPr>
    </w:lvl>
    <w:lvl w:ilvl="4" w:tentative="0">
      <w:start w:val="1"/>
      <w:numFmt w:val="decimal"/>
      <w:lvlText w:val="2.6.2.%5"/>
      <w:lvlJc w:val="left"/>
      <w:pPr>
        <w:tabs>
          <w:tab w:val="left" w:pos="420"/>
        </w:tabs>
        <w:ind w:left="420" w:hanging="420"/>
      </w:pPr>
      <w:rPr>
        <w:rFonts w:hint="eastAsia"/>
      </w:rPr>
    </w:lvl>
    <w:lvl w:ilvl="5" w:tentative="0">
      <w:start w:val="1"/>
      <w:numFmt w:val="decimal"/>
      <w:lvlText w:val="%1.%2.%3.%4.%5.%6"/>
      <w:lvlJc w:val="left"/>
      <w:pPr>
        <w:tabs>
          <w:tab w:val="left" w:pos="1134"/>
        </w:tabs>
        <w:ind w:left="1134" w:hanging="1134"/>
      </w:pPr>
      <w:rPr>
        <w:rFonts w:hint="eastAsia"/>
        <w:color w:val="auto"/>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9">
    <w:nsid w:val="2A41291D"/>
    <w:multiLevelType w:val="multilevel"/>
    <w:tmpl w:val="2A41291D"/>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0">
    <w:nsid w:val="3212161A"/>
    <w:multiLevelType w:val="multilevel"/>
    <w:tmpl w:val="3212161A"/>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01850EE"/>
    <w:multiLevelType w:val="multilevel"/>
    <w:tmpl w:val="401850EE"/>
    <w:lvl w:ilvl="0" w:tentative="0">
      <w:start w:val="3"/>
      <w:numFmt w:val="decimal"/>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4CED5EB8"/>
    <w:multiLevelType w:val="multilevel"/>
    <w:tmpl w:val="4CED5EB8"/>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3">
    <w:nsid w:val="58424336"/>
    <w:multiLevelType w:val="multilevel"/>
    <w:tmpl w:val="58424336"/>
    <w:lvl w:ilvl="0" w:tentative="0">
      <w:start w:val="1"/>
      <w:numFmt w:val="decimal"/>
      <w:lvlText w:val="2.6.1.%1."/>
      <w:lvlJc w:val="left"/>
      <w:pPr>
        <w:tabs>
          <w:tab w:val="left" w:pos="425"/>
        </w:tabs>
        <w:ind w:left="425" w:hanging="425"/>
      </w:pPr>
      <w:rPr>
        <w:rFonts w:hint="eastAsia"/>
      </w:rPr>
    </w:lvl>
    <w:lvl w:ilvl="1" w:tentative="0">
      <w:start w:val="1"/>
      <w:numFmt w:val="decimal"/>
      <w:lvlText w:val="%1.%2"/>
      <w:lvlJc w:val="left"/>
      <w:pPr>
        <w:tabs>
          <w:tab w:val="left" w:pos="777"/>
        </w:tabs>
        <w:ind w:left="77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4.%4"/>
      <w:lvlJc w:val="left"/>
      <w:pPr>
        <w:tabs>
          <w:tab w:val="left" w:pos="0"/>
        </w:tabs>
        <w:ind w:left="420" w:hanging="420"/>
      </w:pPr>
      <w:rPr>
        <w:rFonts w:hint="eastAsia"/>
      </w:rPr>
    </w:lvl>
    <w:lvl w:ilvl="4" w:tentative="0">
      <w:start w:val="1"/>
      <w:numFmt w:val="decimal"/>
      <w:lvlText w:val="2.6.2.%5"/>
      <w:lvlJc w:val="left"/>
      <w:pPr>
        <w:tabs>
          <w:tab w:val="left" w:pos="420"/>
        </w:tabs>
        <w:ind w:left="420" w:hanging="420"/>
      </w:pPr>
      <w:rPr>
        <w:rFonts w:hint="eastAsia"/>
      </w:rPr>
    </w:lvl>
    <w:lvl w:ilvl="5" w:tentative="0">
      <w:start w:val="1"/>
      <w:numFmt w:val="decimal"/>
      <w:lvlText w:val="%1.%2.%3.%4.%5.%6"/>
      <w:lvlJc w:val="left"/>
      <w:pPr>
        <w:tabs>
          <w:tab w:val="left" w:pos="1134"/>
        </w:tabs>
        <w:ind w:left="1134" w:hanging="1134"/>
      </w:pPr>
      <w:rPr>
        <w:rFonts w:hint="eastAsia"/>
        <w:color w:val="auto"/>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4">
    <w:nsid w:val="66062F55"/>
    <w:multiLevelType w:val="singleLevel"/>
    <w:tmpl w:val="66062F55"/>
    <w:lvl w:ilvl="0" w:tentative="0">
      <w:start w:val="5"/>
      <w:numFmt w:val="decimal"/>
      <w:suff w:val="nothing"/>
      <w:lvlText w:val="（%1）"/>
      <w:lvlJc w:val="left"/>
    </w:lvl>
  </w:abstractNum>
  <w:abstractNum w:abstractNumId="25">
    <w:nsid w:val="6836227D"/>
    <w:multiLevelType w:val="multilevel"/>
    <w:tmpl w:val="6836227D"/>
    <w:lvl w:ilvl="0" w:tentative="0">
      <w:start w:val="1"/>
      <w:numFmt w:val="bullet"/>
      <w:lvlText w:val=""/>
      <w:lvlJc w:val="left"/>
      <w:pPr>
        <w:tabs>
          <w:tab w:val="left" w:pos="874"/>
        </w:tabs>
        <w:ind w:left="874" w:hanging="420"/>
      </w:pPr>
      <w:rPr>
        <w:rFonts w:hint="default" w:ascii="Wingdings" w:hAnsi="Wingdings"/>
      </w:rPr>
    </w:lvl>
    <w:lvl w:ilvl="1" w:tentative="0">
      <w:start w:val="1"/>
      <w:numFmt w:val="decimal"/>
      <w:lvlText w:val="%2．"/>
      <w:lvlJc w:val="left"/>
      <w:pPr>
        <w:tabs>
          <w:tab w:val="left" w:pos="1294"/>
        </w:tabs>
        <w:ind w:left="1294" w:hanging="420"/>
      </w:pPr>
      <w:rPr>
        <w:rFonts w:hint="default" w:ascii="Times New Roman" w:hAnsi="Times New Roman" w:eastAsia="Times New Roman" w:cs="Times New Roman"/>
      </w:rPr>
    </w:lvl>
    <w:lvl w:ilvl="2" w:tentative="0">
      <w:start w:val="1"/>
      <w:numFmt w:val="bullet"/>
      <w:lvlText w:val=""/>
      <w:lvlJc w:val="left"/>
      <w:pPr>
        <w:tabs>
          <w:tab w:val="left" w:pos="1500"/>
        </w:tabs>
        <w:ind w:left="1500" w:hanging="420"/>
      </w:pPr>
      <w:rPr>
        <w:rFonts w:hint="default" w:ascii="Wingdings" w:hAnsi="Wingdings"/>
      </w:rPr>
    </w:lvl>
    <w:lvl w:ilvl="3" w:tentative="0">
      <w:start w:val="1"/>
      <w:numFmt w:val="bullet"/>
      <w:lvlText w:val=""/>
      <w:lvlJc w:val="left"/>
      <w:pPr>
        <w:tabs>
          <w:tab w:val="left" w:pos="2134"/>
        </w:tabs>
        <w:ind w:left="2134" w:hanging="420"/>
      </w:pPr>
      <w:rPr>
        <w:rFonts w:hint="default" w:ascii="Wingdings" w:hAnsi="Wingdings"/>
      </w:rPr>
    </w:lvl>
    <w:lvl w:ilvl="4" w:tentative="0">
      <w:start w:val="1"/>
      <w:numFmt w:val="bullet"/>
      <w:lvlText w:val=""/>
      <w:lvlJc w:val="left"/>
      <w:pPr>
        <w:tabs>
          <w:tab w:val="left" w:pos="2554"/>
        </w:tabs>
        <w:ind w:left="2554" w:hanging="420"/>
      </w:pPr>
      <w:rPr>
        <w:rFonts w:hint="default" w:ascii="Wingdings" w:hAnsi="Wingdings"/>
      </w:rPr>
    </w:lvl>
    <w:lvl w:ilvl="5" w:tentative="0">
      <w:start w:val="1"/>
      <w:numFmt w:val="bullet"/>
      <w:lvlText w:val=""/>
      <w:lvlJc w:val="left"/>
      <w:pPr>
        <w:tabs>
          <w:tab w:val="left" w:pos="2974"/>
        </w:tabs>
        <w:ind w:left="2974" w:hanging="420"/>
      </w:pPr>
      <w:rPr>
        <w:rFonts w:hint="default" w:ascii="Wingdings" w:hAnsi="Wingdings"/>
      </w:rPr>
    </w:lvl>
    <w:lvl w:ilvl="6" w:tentative="0">
      <w:start w:val="1"/>
      <w:numFmt w:val="bullet"/>
      <w:lvlText w:val=""/>
      <w:lvlJc w:val="left"/>
      <w:pPr>
        <w:tabs>
          <w:tab w:val="left" w:pos="3394"/>
        </w:tabs>
        <w:ind w:left="3394" w:hanging="420"/>
      </w:pPr>
      <w:rPr>
        <w:rFonts w:hint="default" w:ascii="Wingdings" w:hAnsi="Wingdings"/>
      </w:rPr>
    </w:lvl>
    <w:lvl w:ilvl="7" w:tentative="0">
      <w:start w:val="1"/>
      <w:numFmt w:val="bullet"/>
      <w:lvlText w:val=""/>
      <w:lvlJc w:val="left"/>
      <w:pPr>
        <w:tabs>
          <w:tab w:val="left" w:pos="3814"/>
        </w:tabs>
        <w:ind w:left="3814" w:hanging="420"/>
      </w:pPr>
      <w:rPr>
        <w:rFonts w:hint="default" w:ascii="Wingdings" w:hAnsi="Wingdings"/>
      </w:rPr>
    </w:lvl>
    <w:lvl w:ilvl="8" w:tentative="0">
      <w:start w:val="1"/>
      <w:numFmt w:val="bullet"/>
      <w:lvlText w:val=""/>
      <w:lvlJc w:val="left"/>
      <w:pPr>
        <w:tabs>
          <w:tab w:val="left" w:pos="4234"/>
        </w:tabs>
        <w:ind w:left="4234" w:hanging="420"/>
      </w:pPr>
      <w:rPr>
        <w:rFonts w:hint="default" w:ascii="Wingdings" w:hAnsi="Wingdings"/>
      </w:rPr>
    </w:lvl>
  </w:abstractNum>
  <w:abstractNum w:abstractNumId="26">
    <w:nsid w:val="6D486201"/>
    <w:multiLevelType w:val="singleLevel"/>
    <w:tmpl w:val="6D486201"/>
    <w:lvl w:ilvl="0" w:tentative="0">
      <w:start w:val="1"/>
      <w:numFmt w:val="decimal"/>
      <w:suff w:val="nothing"/>
      <w:lvlText w:val="（%1）"/>
      <w:lvlJc w:val="left"/>
    </w:lvl>
  </w:abstractNum>
  <w:abstractNum w:abstractNumId="27">
    <w:nsid w:val="6E87054E"/>
    <w:multiLevelType w:val="multilevel"/>
    <w:tmpl w:val="6E87054E"/>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6FF0DCCB"/>
    <w:multiLevelType w:val="multilevel"/>
    <w:tmpl w:val="6FF0DCCB"/>
    <w:lvl w:ilvl="0" w:tentative="0">
      <w:start w:val="1"/>
      <w:numFmt w:val="bullet"/>
      <w:lvlText w:val=""/>
      <w:lvlJc w:val="left"/>
      <w:pPr>
        <w:tabs>
          <w:tab w:val="left" w:pos="0"/>
        </w:tabs>
        <w:ind w:left="845" w:hanging="420"/>
      </w:pPr>
      <w:rPr>
        <w:rFonts w:hint="default" w:ascii="Wingdings" w:hAnsi="Wingdings" w:cs="Wingdings"/>
      </w:rPr>
    </w:lvl>
    <w:lvl w:ilvl="1" w:tentative="0">
      <w:start w:val="1"/>
      <w:numFmt w:val="bullet"/>
      <w:lvlText w:val=""/>
      <w:lvlJc w:val="left"/>
      <w:pPr>
        <w:tabs>
          <w:tab w:val="left" w:pos="0"/>
        </w:tabs>
        <w:ind w:left="1265" w:hanging="420"/>
      </w:pPr>
      <w:rPr>
        <w:rFonts w:hint="default" w:ascii="Wingdings" w:hAnsi="Wingdings" w:cs="Wingdings"/>
      </w:rPr>
    </w:lvl>
    <w:lvl w:ilvl="2" w:tentative="0">
      <w:start w:val="1"/>
      <w:numFmt w:val="bullet"/>
      <w:lvlText w:val=""/>
      <w:lvlJc w:val="left"/>
      <w:pPr>
        <w:tabs>
          <w:tab w:val="left" w:pos="0"/>
        </w:tabs>
        <w:ind w:left="1685" w:hanging="420"/>
      </w:pPr>
      <w:rPr>
        <w:rFonts w:hint="default" w:ascii="Wingdings" w:hAnsi="Wingdings" w:cs="Wingdings"/>
      </w:rPr>
    </w:lvl>
    <w:lvl w:ilvl="3" w:tentative="0">
      <w:start w:val="1"/>
      <w:numFmt w:val="bullet"/>
      <w:lvlText w:val=""/>
      <w:lvlJc w:val="left"/>
      <w:pPr>
        <w:tabs>
          <w:tab w:val="left" w:pos="0"/>
        </w:tabs>
        <w:ind w:left="2105" w:hanging="420"/>
      </w:pPr>
      <w:rPr>
        <w:rFonts w:hint="default" w:ascii="Wingdings" w:hAnsi="Wingdings" w:cs="Wingdings"/>
      </w:rPr>
    </w:lvl>
    <w:lvl w:ilvl="4" w:tentative="0">
      <w:start w:val="1"/>
      <w:numFmt w:val="bullet"/>
      <w:lvlText w:val=""/>
      <w:lvlJc w:val="left"/>
      <w:pPr>
        <w:tabs>
          <w:tab w:val="left" w:pos="0"/>
        </w:tabs>
        <w:ind w:left="2525" w:hanging="420"/>
      </w:pPr>
      <w:rPr>
        <w:rFonts w:hint="default" w:ascii="Wingdings" w:hAnsi="Wingdings" w:cs="Wingdings"/>
      </w:rPr>
    </w:lvl>
    <w:lvl w:ilvl="5" w:tentative="0">
      <w:start w:val="1"/>
      <w:numFmt w:val="bullet"/>
      <w:lvlText w:val=""/>
      <w:lvlJc w:val="left"/>
      <w:pPr>
        <w:tabs>
          <w:tab w:val="left" w:pos="0"/>
        </w:tabs>
        <w:ind w:left="2945" w:hanging="420"/>
      </w:pPr>
      <w:rPr>
        <w:rFonts w:hint="default" w:ascii="Wingdings" w:hAnsi="Wingdings" w:cs="Wingdings"/>
      </w:rPr>
    </w:lvl>
    <w:lvl w:ilvl="6" w:tentative="0">
      <w:start w:val="1"/>
      <w:numFmt w:val="bullet"/>
      <w:lvlText w:val=""/>
      <w:lvlJc w:val="left"/>
      <w:pPr>
        <w:tabs>
          <w:tab w:val="left" w:pos="0"/>
        </w:tabs>
        <w:ind w:left="3365" w:hanging="420"/>
      </w:pPr>
      <w:rPr>
        <w:rFonts w:hint="default" w:ascii="Wingdings" w:hAnsi="Wingdings" w:cs="Wingdings"/>
      </w:rPr>
    </w:lvl>
    <w:lvl w:ilvl="7" w:tentative="0">
      <w:start w:val="1"/>
      <w:numFmt w:val="bullet"/>
      <w:lvlText w:val=""/>
      <w:lvlJc w:val="left"/>
      <w:pPr>
        <w:tabs>
          <w:tab w:val="left" w:pos="0"/>
        </w:tabs>
        <w:ind w:left="3785" w:hanging="420"/>
      </w:pPr>
      <w:rPr>
        <w:rFonts w:hint="default" w:ascii="Wingdings" w:hAnsi="Wingdings" w:cs="Wingdings"/>
      </w:rPr>
    </w:lvl>
    <w:lvl w:ilvl="8" w:tentative="0">
      <w:start w:val="1"/>
      <w:numFmt w:val="bullet"/>
      <w:lvlText w:val=""/>
      <w:lvlJc w:val="left"/>
      <w:pPr>
        <w:tabs>
          <w:tab w:val="left" w:pos="0"/>
        </w:tabs>
        <w:ind w:left="4205" w:hanging="420"/>
      </w:pPr>
      <w:rPr>
        <w:rFonts w:hint="default" w:ascii="Wingdings" w:hAnsi="Wingdings" w:cs="Wingdings"/>
      </w:rPr>
    </w:lvl>
  </w:abstractNum>
  <w:num w:numId="1">
    <w:abstractNumId w:val="27"/>
  </w:num>
  <w:num w:numId="2">
    <w:abstractNumId w:val="23"/>
  </w:num>
  <w:num w:numId="3">
    <w:abstractNumId w:val="4"/>
  </w:num>
  <w:num w:numId="4">
    <w:abstractNumId w:val="9"/>
  </w:num>
  <w:num w:numId="5">
    <w:abstractNumId w:val="26"/>
  </w:num>
  <w:num w:numId="6">
    <w:abstractNumId w:val="17"/>
  </w:num>
  <w:num w:numId="7">
    <w:abstractNumId w:val="22"/>
  </w:num>
  <w:num w:numId="8">
    <w:abstractNumId w:val="13"/>
  </w:num>
  <w:num w:numId="9">
    <w:abstractNumId w:val="18"/>
  </w:num>
  <w:num w:numId="10">
    <w:abstractNumId w:val="28"/>
  </w:num>
  <w:num w:numId="11">
    <w:abstractNumId w:val="19"/>
  </w:num>
  <w:num w:numId="12">
    <w:abstractNumId w:val="0"/>
  </w:num>
  <w:num w:numId="13">
    <w:abstractNumId w:val="2"/>
  </w:num>
  <w:num w:numId="14">
    <w:abstractNumId w:val="8"/>
  </w:num>
  <w:num w:numId="15">
    <w:abstractNumId w:val="24"/>
  </w:num>
  <w:num w:numId="16">
    <w:abstractNumId w:val="20"/>
  </w:num>
  <w:num w:numId="17">
    <w:abstractNumId w:val="21"/>
  </w:num>
  <w:num w:numId="18">
    <w:abstractNumId w:val="1"/>
  </w:num>
  <w:num w:numId="19">
    <w:abstractNumId w:val="12"/>
  </w:num>
  <w:num w:numId="20">
    <w:abstractNumId w:val="7"/>
  </w:num>
  <w:num w:numId="21">
    <w:abstractNumId w:val="14"/>
  </w:num>
  <w:num w:numId="22">
    <w:abstractNumId w:val="5"/>
  </w:num>
  <w:num w:numId="23">
    <w:abstractNumId w:val="16"/>
  </w:num>
  <w:num w:numId="24">
    <w:abstractNumId w:val="6"/>
  </w:num>
  <w:num w:numId="25">
    <w:abstractNumId w:val="11"/>
  </w:num>
  <w:num w:numId="26">
    <w:abstractNumId w:val="10"/>
  </w:num>
  <w:num w:numId="27">
    <w:abstractNumId w:val="3"/>
  </w:num>
  <w:num w:numId="28">
    <w:abstractNumId w:val="15"/>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3MzgwMzEyOWFmZDE1NmIxMTY2OTUxNWNlYTI5OTcifQ=="/>
  </w:docVars>
  <w:rsids>
    <w:rsidRoot w:val="00172A27"/>
    <w:rsid w:val="00000CF1"/>
    <w:rsid w:val="00000FF6"/>
    <w:rsid w:val="000023F5"/>
    <w:rsid w:val="00005A88"/>
    <w:rsid w:val="00006AF2"/>
    <w:rsid w:val="000113C7"/>
    <w:rsid w:val="0001265A"/>
    <w:rsid w:val="00012D12"/>
    <w:rsid w:val="00013450"/>
    <w:rsid w:val="00013D53"/>
    <w:rsid w:val="00014C88"/>
    <w:rsid w:val="00017055"/>
    <w:rsid w:val="00017527"/>
    <w:rsid w:val="00017C15"/>
    <w:rsid w:val="0002042B"/>
    <w:rsid w:val="00020B48"/>
    <w:rsid w:val="00021934"/>
    <w:rsid w:val="00021BD1"/>
    <w:rsid w:val="00021D1D"/>
    <w:rsid w:val="0002323F"/>
    <w:rsid w:val="00023508"/>
    <w:rsid w:val="000239EC"/>
    <w:rsid w:val="00024166"/>
    <w:rsid w:val="00024912"/>
    <w:rsid w:val="00024DC6"/>
    <w:rsid w:val="00026485"/>
    <w:rsid w:val="00026A26"/>
    <w:rsid w:val="00026D5C"/>
    <w:rsid w:val="00032205"/>
    <w:rsid w:val="00032353"/>
    <w:rsid w:val="000326B4"/>
    <w:rsid w:val="0003301B"/>
    <w:rsid w:val="000340DE"/>
    <w:rsid w:val="00034799"/>
    <w:rsid w:val="00034F2F"/>
    <w:rsid w:val="00035912"/>
    <w:rsid w:val="00035918"/>
    <w:rsid w:val="00036145"/>
    <w:rsid w:val="00036A70"/>
    <w:rsid w:val="00037A9D"/>
    <w:rsid w:val="00041F1A"/>
    <w:rsid w:val="0004289B"/>
    <w:rsid w:val="00043359"/>
    <w:rsid w:val="0004348C"/>
    <w:rsid w:val="00043E4E"/>
    <w:rsid w:val="00044831"/>
    <w:rsid w:val="000448A0"/>
    <w:rsid w:val="0004532A"/>
    <w:rsid w:val="0004553E"/>
    <w:rsid w:val="00045609"/>
    <w:rsid w:val="0004600A"/>
    <w:rsid w:val="00050DBA"/>
    <w:rsid w:val="00050E1C"/>
    <w:rsid w:val="00053237"/>
    <w:rsid w:val="0005502F"/>
    <w:rsid w:val="000562A8"/>
    <w:rsid w:val="000569F2"/>
    <w:rsid w:val="000600CF"/>
    <w:rsid w:val="000616F5"/>
    <w:rsid w:val="00063596"/>
    <w:rsid w:val="0006449B"/>
    <w:rsid w:val="00064707"/>
    <w:rsid w:val="00064E49"/>
    <w:rsid w:val="0006502C"/>
    <w:rsid w:val="00066813"/>
    <w:rsid w:val="00066C5B"/>
    <w:rsid w:val="000671C3"/>
    <w:rsid w:val="00067989"/>
    <w:rsid w:val="0007144F"/>
    <w:rsid w:val="000722BB"/>
    <w:rsid w:val="000724DF"/>
    <w:rsid w:val="00073A3E"/>
    <w:rsid w:val="00073B23"/>
    <w:rsid w:val="0007473A"/>
    <w:rsid w:val="00074D91"/>
    <w:rsid w:val="000768E7"/>
    <w:rsid w:val="000808A7"/>
    <w:rsid w:val="00082078"/>
    <w:rsid w:val="00082104"/>
    <w:rsid w:val="000824FF"/>
    <w:rsid w:val="00082D6D"/>
    <w:rsid w:val="00084DB4"/>
    <w:rsid w:val="00085F56"/>
    <w:rsid w:val="00086237"/>
    <w:rsid w:val="000865E2"/>
    <w:rsid w:val="0008683E"/>
    <w:rsid w:val="000872C8"/>
    <w:rsid w:val="00087528"/>
    <w:rsid w:val="00087ABA"/>
    <w:rsid w:val="000910F2"/>
    <w:rsid w:val="00091279"/>
    <w:rsid w:val="00091AF4"/>
    <w:rsid w:val="00091FA5"/>
    <w:rsid w:val="00092332"/>
    <w:rsid w:val="0009290A"/>
    <w:rsid w:val="00093861"/>
    <w:rsid w:val="000946E3"/>
    <w:rsid w:val="00094ED8"/>
    <w:rsid w:val="00095299"/>
    <w:rsid w:val="00095E93"/>
    <w:rsid w:val="00095FE9"/>
    <w:rsid w:val="0009719B"/>
    <w:rsid w:val="000A4DB1"/>
    <w:rsid w:val="000A61FF"/>
    <w:rsid w:val="000A75E4"/>
    <w:rsid w:val="000A796E"/>
    <w:rsid w:val="000B157E"/>
    <w:rsid w:val="000B175C"/>
    <w:rsid w:val="000B1BB7"/>
    <w:rsid w:val="000B32F1"/>
    <w:rsid w:val="000B4DF8"/>
    <w:rsid w:val="000B50C5"/>
    <w:rsid w:val="000B60DD"/>
    <w:rsid w:val="000B61BD"/>
    <w:rsid w:val="000B66DB"/>
    <w:rsid w:val="000C1833"/>
    <w:rsid w:val="000C220A"/>
    <w:rsid w:val="000C33F7"/>
    <w:rsid w:val="000C4C22"/>
    <w:rsid w:val="000C5AEE"/>
    <w:rsid w:val="000C68F3"/>
    <w:rsid w:val="000D020A"/>
    <w:rsid w:val="000D05B6"/>
    <w:rsid w:val="000D1324"/>
    <w:rsid w:val="000D14FE"/>
    <w:rsid w:val="000D1559"/>
    <w:rsid w:val="000D1724"/>
    <w:rsid w:val="000D17EF"/>
    <w:rsid w:val="000D1B14"/>
    <w:rsid w:val="000D293C"/>
    <w:rsid w:val="000D3242"/>
    <w:rsid w:val="000D3857"/>
    <w:rsid w:val="000D5BD5"/>
    <w:rsid w:val="000D5D25"/>
    <w:rsid w:val="000D5F88"/>
    <w:rsid w:val="000D7BA0"/>
    <w:rsid w:val="000E1650"/>
    <w:rsid w:val="000E2B5A"/>
    <w:rsid w:val="000E2C3F"/>
    <w:rsid w:val="000E3072"/>
    <w:rsid w:val="000E48AC"/>
    <w:rsid w:val="000E4A71"/>
    <w:rsid w:val="000E4E7C"/>
    <w:rsid w:val="000E4F60"/>
    <w:rsid w:val="000E5CA0"/>
    <w:rsid w:val="000F134F"/>
    <w:rsid w:val="000F1436"/>
    <w:rsid w:val="000F15F2"/>
    <w:rsid w:val="000F197B"/>
    <w:rsid w:val="000F2BFA"/>
    <w:rsid w:val="000F332B"/>
    <w:rsid w:val="000F3D3D"/>
    <w:rsid w:val="000F4B33"/>
    <w:rsid w:val="000F4EB7"/>
    <w:rsid w:val="000F623F"/>
    <w:rsid w:val="000F6971"/>
    <w:rsid w:val="00100E49"/>
    <w:rsid w:val="0010298D"/>
    <w:rsid w:val="00103837"/>
    <w:rsid w:val="00104FAB"/>
    <w:rsid w:val="001053B7"/>
    <w:rsid w:val="00105620"/>
    <w:rsid w:val="00105CD5"/>
    <w:rsid w:val="00110B40"/>
    <w:rsid w:val="00110F01"/>
    <w:rsid w:val="00111D24"/>
    <w:rsid w:val="00113834"/>
    <w:rsid w:val="00114085"/>
    <w:rsid w:val="00114739"/>
    <w:rsid w:val="0011611D"/>
    <w:rsid w:val="001161AB"/>
    <w:rsid w:val="00116D77"/>
    <w:rsid w:val="00116D8C"/>
    <w:rsid w:val="00120703"/>
    <w:rsid w:val="00120979"/>
    <w:rsid w:val="00120A85"/>
    <w:rsid w:val="00122A76"/>
    <w:rsid w:val="00123457"/>
    <w:rsid w:val="0012530F"/>
    <w:rsid w:val="0012531F"/>
    <w:rsid w:val="00125621"/>
    <w:rsid w:val="00125768"/>
    <w:rsid w:val="001259AB"/>
    <w:rsid w:val="00125DF8"/>
    <w:rsid w:val="0012626F"/>
    <w:rsid w:val="001267E7"/>
    <w:rsid w:val="00126CDC"/>
    <w:rsid w:val="0012748C"/>
    <w:rsid w:val="00127ADC"/>
    <w:rsid w:val="0013041C"/>
    <w:rsid w:val="00130871"/>
    <w:rsid w:val="00131B5D"/>
    <w:rsid w:val="00131C3B"/>
    <w:rsid w:val="00133899"/>
    <w:rsid w:val="00134855"/>
    <w:rsid w:val="00134BC0"/>
    <w:rsid w:val="00134DCF"/>
    <w:rsid w:val="001351A1"/>
    <w:rsid w:val="001361FD"/>
    <w:rsid w:val="001365BB"/>
    <w:rsid w:val="001377F6"/>
    <w:rsid w:val="00143433"/>
    <w:rsid w:val="001435FF"/>
    <w:rsid w:val="00143D56"/>
    <w:rsid w:val="001443D9"/>
    <w:rsid w:val="001443F5"/>
    <w:rsid w:val="00144B9C"/>
    <w:rsid w:val="00144C5A"/>
    <w:rsid w:val="00144E13"/>
    <w:rsid w:val="00145EF9"/>
    <w:rsid w:val="00146140"/>
    <w:rsid w:val="0014715B"/>
    <w:rsid w:val="00147457"/>
    <w:rsid w:val="00150444"/>
    <w:rsid w:val="00150B14"/>
    <w:rsid w:val="00150F12"/>
    <w:rsid w:val="00151EBF"/>
    <w:rsid w:val="00152129"/>
    <w:rsid w:val="00154078"/>
    <w:rsid w:val="00154287"/>
    <w:rsid w:val="001543A6"/>
    <w:rsid w:val="00154BA2"/>
    <w:rsid w:val="00154F63"/>
    <w:rsid w:val="00155CC6"/>
    <w:rsid w:val="00156E75"/>
    <w:rsid w:val="00157167"/>
    <w:rsid w:val="0016403F"/>
    <w:rsid w:val="001654E2"/>
    <w:rsid w:val="00166CE0"/>
    <w:rsid w:val="00167672"/>
    <w:rsid w:val="00171354"/>
    <w:rsid w:val="00171655"/>
    <w:rsid w:val="0017208F"/>
    <w:rsid w:val="00172911"/>
    <w:rsid w:val="00172A27"/>
    <w:rsid w:val="00173825"/>
    <w:rsid w:val="00174535"/>
    <w:rsid w:val="001746AC"/>
    <w:rsid w:val="00175171"/>
    <w:rsid w:val="00175779"/>
    <w:rsid w:val="00175D31"/>
    <w:rsid w:val="00176373"/>
    <w:rsid w:val="001763E5"/>
    <w:rsid w:val="00176472"/>
    <w:rsid w:val="0017783E"/>
    <w:rsid w:val="00177D5B"/>
    <w:rsid w:val="0018268E"/>
    <w:rsid w:val="00183EC3"/>
    <w:rsid w:val="00184272"/>
    <w:rsid w:val="001845F9"/>
    <w:rsid w:val="00185801"/>
    <w:rsid w:val="001863EB"/>
    <w:rsid w:val="0019119E"/>
    <w:rsid w:val="001922AE"/>
    <w:rsid w:val="0019242B"/>
    <w:rsid w:val="00193894"/>
    <w:rsid w:val="00195391"/>
    <w:rsid w:val="001957E8"/>
    <w:rsid w:val="00197563"/>
    <w:rsid w:val="001979AA"/>
    <w:rsid w:val="001A1FAF"/>
    <w:rsid w:val="001A2587"/>
    <w:rsid w:val="001A2BE8"/>
    <w:rsid w:val="001A4BEE"/>
    <w:rsid w:val="001A51CA"/>
    <w:rsid w:val="001A54A9"/>
    <w:rsid w:val="001A6BFD"/>
    <w:rsid w:val="001A73C8"/>
    <w:rsid w:val="001A7A0F"/>
    <w:rsid w:val="001B1ADC"/>
    <w:rsid w:val="001B210B"/>
    <w:rsid w:val="001B27C0"/>
    <w:rsid w:val="001B2E85"/>
    <w:rsid w:val="001B4221"/>
    <w:rsid w:val="001B4B88"/>
    <w:rsid w:val="001C0062"/>
    <w:rsid w:val="001C1727"/>
    <w:rsid w:val="001C1AB3"/>
    <w:rsid w:val="001C1BBC"/>
    <w:rsid w:val="001C2540"/>
    <w:rsid w:val="001C313B"/>
    <w:rsid w:val="001C39F4"/>
    <w:rsid w:val="001C412A"/>
    <w:rsid w:val="001C438A"/>
    <w:rsid w:val="001C60EA"/>
    <w:rsid w:val="001C663A"/>
    <w:rsid w:val="001C74F3"/>
    <w:rsid w:val="001C7AEA"/>
    <w:rsid w:val="001D16D6"/>
    <w:rsid w:val="001D259A"/>
    <w:rsid w:val="001D2762"/>
    <w:rsid w:val="001D2ABE"/>
    <w:rsid w:val="001D43C5"/>
    <w:rsid w:val="001D4CC0"/>
    <w:rsid w:val="001D4DF4"/>
    <w:rsid w:val="001D553D"/>
    <w:rsid w:val="001D6E66"/>
    <w:rsid w:val="001D7880"/>
    <w:rsid w:val="001D7A5C"/>
    <w:rsid w:val="001E0AE5"/>
    <w:rsid w:val="001E1432"/>
    <w:rsid w:val="001E150C"/>
    <w:rsid w:val="001E2657"/>
    <w:rsid w:val="001E406B"/>
    <w:rsid w:val="001E4B4D"/>
    <w:rsid w:val="001E5CB4"/>
    <w:rsid w:val="001E5D2F"/>
    <w:rsid w:val="001E5FB0"/>
    <w:rsid w:val="001E68E6"/>
    <w:rsid w:val="001E7CDE"/>
    <w:rsid w:val="001F0F7E"/>
    <w:rsid w:val="001F23B9"/>
    <w:rsid w:val="001F3772"/>
    <w:rsid w:val="001F540B"/>
    <w:rsid w:val="001F6077"/>
    <w:rsid w:val="001F72D4"/>
    <w:rsid w:val="001F73EA"/>
    <w:rsid w:val="001F7983"/>
    <w:rsid w:val="0020032A"/>
    <w:rsid w:val="00200B2C"/>
    <w:rsid w:val="0020181D"/>
    <w:rsid w:val="00201BE8"/>
    <w:rsid w:val="00201F9B"/>
    <w:rsid w:val="00202B6E"/>
    <w:rsid w:val="00203BDC"/>
    <w:rsid w:val="0020497A"/>
    <w:rsid w:val="00205AA5"/>
    <w:rsid w:val="00206AE1"/>
    <w:rsid w:val="00207B29"/>
    <w:rsid w:val="00212D15"/>
    <w:rsid w:val="00213F92"/>
    <w:rsid w:val="00214765"/>
    <w:rsid w:val="002148DB"/>
    <w:rsid w:val="00214F8E"/>
    <w:rsid w:val="00215369"/>
    <w:rsid w:val="0021575E"/>
    <w:rsid w:val="00215821"/>
    <w:rsid w:val="00215AF3"/>
    <w:rsid w:val="00216859"/>
    <w:rsid w:val="002168DF"/>
    <w:rsid w:val="00216956"/>
    <w:rsid w:val="00216D38"/>
    <w:rsid w:val="0021702C"/>
    <w:rsid w:val="00217240"/>
    <w:rsid w:val="00220BF3"/>
    <w:rsid w:val="002213B2"/>
    <w:rsid w:val="00222592"/>
    <w:rsid w:val="00224371"/>
    <w:rsid w:val="00224477"/>
    <w:rsid w:val="0022491F"/>
    <w:rsid w:val="0022525A"/>
    <w:rsid w:val="00225D81"/>
    <w:rsid w:val="00226B22"/>
    <w:rsid w:val="00227D23"/>
    <w:rsid w:val="002303D2"/>
    <w:rsid w:val="00230430"/>
    <w:rsid w:val="0023044D"/>
    <w:rsid w:val="002304FE"/>
    <w:rsid w:val="002306B3"/>
    <w:rsid w:val="00230CE3"/>
    <w:rsid w:val="0023119B"/>
    <w:rsid w:val="00231908"/>
    <w:rsid w:val="002323E0"/>
    <w:rsid w:val="00232681"/>
    <w:rsid w:val="002332DF"/>
    <w:rsid w:val="00233F7E"/>
    <w:rsid w:val="00234874"/>
    <w:rsid w:val="00234967"/>
    <w:rsid w:val="00234A7D"/>
    <w:rsid w:val="0023562E"/>
    <w:rsid w:val="00235B0C"/>
    <w:rsid w:val="0024037F"/>
    <w:rsid w:val="00240C2C"/>
    <w:rsid w:val="002411B3"/>
    <w:rsid w:val="002412ED"/>
    <w:rsid w:val="002427A9"/>
    <w:rsid w:val="002427AD"/>
    <w:rsid w:val="00242E4A"/>
    <w:rsid w:val="00243368"/>
    <w:rsid w:val="00244351"/>
    <w:rsid w:val="00244992"/>
    <w:rsid w:val="002450D5"/>
    <w:rsid w:val="00245272"/>
    <w:rsid w:val="00246FFA"/>
    <w:rsid w:val="00247C84"/>
    <w:rsid w:val="00250E50"/>
    <w:rsid w:val="002513F7"/>
    <w:rsid w:val="002525DA"/>
    <w:rsid w:val="002525DB"/>
    <w:rsid w:val="00252B21"/>
    <w:rsid w:val="00252B5D"/>
    <w:rsid w:val="00254AB0"/>
    <w:rsid w:val="00254CA5"/>
    <w:rsid w:val="00256667"/>
    <w:rsid w:val="00257055"/>
    <w:rsid w:val="00261AF4"/>
    <w:rsid w:val="0026247B"/>
    <w:rsid w:val="00262AEF"/>
    <w:rsid w:val="0026357C"/>
    <w:rsid w:val="00264324"/>
    <w:rsid w:val="0026454F"/>
    <w:rsid w:val="002653F1"/>
    <w:rsid w:val="0026711E"/>
    <w:rsid w:val="00270278"/>
    <w:rsid w:val="00270D4B"/>
    <w:rsid w:val="002713F7"/>
    <w:rsid w:val="00272E27"/>
    <w:rsid w:val="00273835"/>
    <w:rsid w:val="00274473"/>
    <w:rsid w:val="00274DDC"/>
    <w:rsid w:val="002765A0"/>
    <w:rsid w:val="002775F7"/>
    <w:rsid w:val="0027796C"/>
    <w:rsid w:val="00281670"/>
    <w:rsid w:val="00281C46"/>
    <w:rsid w:val="00282427"/>
    <w:rsid w:val="00282944"/>
    <w:rsid w:val="00282D51"/>
    <w:rsid w:val="00283BE9"/>
    <w:rsid w:val="0028405F"/>
    <w:rsid w:val="00284B44"/>
    <w:rsid w:val="00285085"/>
    <w:rsid w:val="00285A79"/>
    <w:rsid w:val="00290854"/>
    <w:rsid w:val="0029233F"/>
    <w:rsid w:val="00293B96"/>
    <w:rsid w:val="00293F46"/>
    <w:rsid w:val="0029431E"/>
    <w:rsid w:val="0029473E"/>
    <w:rsid w:val="00294AA5"/>
    <w:rsid w:val="00294CA9"/>
    <w:rsid w:val="00294F21"/>
    <w:rsid w:val="002951F4"/>
    <w:rsid w:val="00295414"/>
    <w:rsid w:val="0029590F"/>
    <w:rsid w:val="00297196"/>
    <w:rsid w:val="002972FB"/>
    <w:rsid w:val="0029765C"/>
    <w:rsid w:val="00297B7A"/>
    <w:rsid w:val="002A0B9B"/>
    <w:rsid w:val="002A1355"/>
    <w:rsid w:val="002A1C36"/>
    <w:rsid w:val="002A4467"/>
    <w:rsid w:val="002A4D14"/>
    <w:rsid w:val="002A6742"/>
    <w:rsid w:val="002A736C"/>
    <w:rsid w:val="002A73F0"/>
    <w:rsid w:val="002B09F2"/>
    <w:rsid w:val="002B1678"/>
    <w:rsid w:val="002B2151"/>
    <w:rsid w:val="002B25A8"/>
    <w:rsid w:val="002B2A2F"/>
    <w:rsid w:val="002B2C5D"/>
    <w:rsid w:val="002B3CA7"/>
    <w:rsid w:val="002B4099"/>
    <w:rsid w:val="002B5138"/>
    <w:rsid w:val="002B5583"/>
    <w:rsid w:val="002B63A8"/>
    <w:rsid w:val="002B6AA5"/>
    <w:rsid w:val="002B705D"/>
    <w:rsid w:val="002B7799"/>
    <w:rsid w:val="002C08DF"/>
    <w:rsid w:val="002C2F4D"/>
    <w:rsid w:val="002C38D5"/>
    <w:rsid w:val="002C4E47"/>
    <w:rsid w:val="002C4F7B"/>
    <w:rsid w:val="002C583B"/>
    <w:rsid w:val="002C7E93"/>
    <w:rsid w:val="002D121C"/>
    <w:rsid w:val="002D1593"/>
    <w:rsid w:val="002D1771"/>
    <w:rsid w:val="002D1ACF"/>
    <w:rsid w:val="002D22F2"/>
    <w:rsid w:val="002D2C9C"/>
    <w:rsid w:val="002D3326"/>
    <w:rsid w:val="002D3697"/>
    <w:rsid w:val="002D46AE"/>
    <w:rsid w:val="002D4DDE"/>
    <w:rsid w:val="002D5745"/>
    <w:rsid w:val="002D621B"/>
    <w:rsid w:val="002D62F2"/>
    <w:rsid w:val="002D64BB"/>
    <w:rsid w:val="002D690F"/>
    <w:rsid w:val="002D6B91"/>
    <w:rsid w:val="002D6C99"/>
    <w:rsid w:val="002D72DB"/>
    <w:rsid w:val="002D74B9"/>
    <w:rsid w:val="002E1D54"/>
    <w:rsid w:val="002E22F7"/>
    <w:rsid w:val="002E2558"/>
    <w:rsid w:val="002E2657"/>
    <w:rsid w:val="002F003D"/>
    <w:rsid w:val="002F05BF"/>
    <w:rsid w:val="002F09C6"/>
    <w:rsid w:val="002F13E4"/>
    <w:rsid w:val="002F1A96"/>
    <w:rsid w:val="002F5789"/>
    <w:rsid w:val="002F5865"/>
    <w:rsid w:val="002F72EE"/>
    <w:rsid w:val="002F7A42"/>
    <w:rsid w:val="00300833"/>
    <w:rsid w:val="00301DD5"/>
    <w:rsid w:val="0030312B"/>
    <w:rsid w:val="0030367C"/>
    <w:rsid w:val="00303A8B"/>
    <w:rsid w:val="00306458"/>
    <w:rsid w:val="00306653"/>
    <w:rsid w:val="00307BA0"/>
    <w:rsid w:val="00307D5C"/>
    <w:rsid w:val="00307DD0"/>
    <w:rsid w:val="00310DA9"/>
    <w:rsid w:val="00313640"/>
    <w:rsid w:val="0031380D"/>
    <w:rsid w:val="00315DE9"/>
    <w:rsid w:val="00316310"/>
    <w:rsid w:val="00316425"/>
    <w:rsid w:val="003202DF"/>
    <w:rsid w:val="00320338"/>
    <w:rsid w:val="00320CC4"/>
    <w:rsid w:val="003210F3"/>
    <w:rsid w:val="0032174F"/>
    <w:rsid w:val="00321F75"/>
    <w:rsid w:val="00323A38"/>
    <w:rsid w:val="00326434"/>
    <w:rsid w:val="003266A8"/>
    <w:rsid w:val="0032693F"/>
    <w:rsid w:val="003272D5"/>
    <w:rsid w:val="00331493"/>
    <w:rsid w:val="003314EB"/>
    <w:rsid w:val="0033324E"/>
    <w:rsid w:val="0033372E"/>
    <w:rsid w:val="0033383A"/>
    <w:rsid w:val="0033476D"/>
    <w:rsid w:val="00334A2E"/>
    <w:rsid w:val="00335C8D"/>
    <w:rsid w:val="0033610F"/>
    <w:rsid w:val="00336A7B"/>
    <w:rsid w:val="00337445"/>
    <w:rsid w:val="00340BB7"/>
    <w:rsid w:val="0034211C"/>
    <w:rsid w:val="003434F8"/>
    <w:rsid w:val="0034468E"/>
    <w:rsid w:val="0034612C"/>
    <w:rsid w:val="0034612D"/>
    <w:rsid w:val="003473ED"/>
    <w:rsid w:val="00347E68"/>
    <w:rsid w:val="00350B3A"/>
    <w:rsid w:val="00352772"/>
    <w:rsid w:val="00352D94"/>
    <w:rsid w:val="00353613"/>
    <w:rsid w:val="003550B9"/>
    <w:rsid w:val="00355E4A"/>
    <w:rsid w:val="00357041"/>
    <w:rsid w:val="003578DB"/>
    <w:rsid w:val="003604CA"/>
    <w:rsid w:val="00361889"/>
    <w:rsid w:val="00361D8D"/>
    <w:rsid w:val="003628AF"/>
    <w:rsid w:val="00362939"/>
    <w:rsid w:val="0036320F"/>
    <w:rsid w:val="0036572A"/>
    <w:rsid w:val="00365DED"/>
    <w:rsid w:val="00366A84"/>
    <w:rsid w:val="00367502"/>
    <w:rsid w:val="0036777C"/>
    <w:rsid w:val="00370562"/>
    <w:rsid w:val="00370765"/>
    <w:rsid w:val="00374E4E"/>
    <w:rsid w:val="003756B3"/>
    <w:rsid w:val="003762A2"/>
    <w:rsid w:val="00376EB6"/>
    <w:rsid w:val="003776E9"/>
    <w:rsid w:val="003777A7"/>
    <w:rsid w:val="00377CFB"/>
    <w:rsid w:val="0038047D"/>
    <w:rsid w:val="0038053A"/>
    <w:rsid w:val="003817E6"/>
    <w:rsid w:val="003819C1"/>
    <w:rsid w:val="003831A3"/>
    <w:rsid w:val="003832B9"/>
    <w:rsid w:val="00383905"/>
    <w:rsid w:val="003853F0"/>
    <w:rsid w:val="003854E5"/>
    <w:rsid w:val="00385CB1"/>
    <w:rsid w:val="003873B6"/>
    <w:rsid w:val="00387ECE"/>
    <w:rsid w:val="00390D59"/>
    <w:rsid w:val="00391CB0"/>
    <w:rsid w:val="00391EBF"/>
    <w:rsid w:val="00392905"/>
    <w:rsid w:val="00394A84"/>
    <w:rsid w:val="003956EB"/>
    <w:rsid w:val="00396787"/>
    <w:rsid w:val="00396FB7"/>
    <w:rsid w:val="003A044D"/>
    <w:rsid w:val="003A05B0"/>
    <w:rsid w:val="003A18B2"/>
    <w:rsid w:val="003A25CF"/>
    <w:rsid w:val="003A27FE"/>
    <w:rsid w:val="003A2B3D"/>
    <w:rsid w:val="003A379D"/>
    <w:rsid w:val="003A3897"/>
    <w:rsid w:val="003A4717"/>
    <w:rsid w:val="003A5835"/>
    <w:rsid w:val="003A59C7"/>
    <w:rsid w:val="003A664B"/>
    <w:rsid w:val="003A7080"/>
    <w:rsid w:val="003A7B16"/>
    <w:rsid w:val="003A7BBE"/>
    <w:rsid w:val="003B0330"/>
    <w:rsid w:val="003B0A2B"/>
    <w:rsid w:val="003B1804"/>
    <w:rsid w:val="003B2F40"/>
    <w:rsid w:val="003B46ED"/>
    <w:rsid w:val="003B4B03"/>
    <w:rsid w:val="003B4CBD"/>
    <w:rsid w:val="003B6CFF"/>
    <w:rsid w:val="003B6EED"/>
    <w:rsid w:val="003B7206"/>
    <w:rsid w:val="003C0CE1"/>
    <w:rsid w:val="003C1CD1"/>
    <w:rsid w:val="003C2E40"/>
    <w:rsid w:val="003C470F"/>
    <w:rsid w:val="003C4919"/>
    <w:rsid w:val="003C4A3A"/>
    <w:rsid w:val="003C509E"/>
    <w:rsid w:val="003C54F9"/>
    <w:rsid w:val="003C57D1"/>
    <w:rsid w:val="003C73B8"/>
    <w:rsid w:val="003C7D6F"/>
    <w:rsid w:val="003D16F6"/>
    <w:rsid w:val="003D2042"/>
    <w:rsid w:val="003D2045"/>
    <w:rsid w:val="003D22BA"/>
    <w:rsid w:val="003D2D4F"/>
    <w:rsid w:val="003D32A0"/>
    <w:rsid w:val="003D3FA8"/>
    <w:rsid w:val="003D44C5"/>
    <w:rsid w:val="003D464C"/>
    <w:rsid w:val="003D4F27"/>
    <w:rsid w:val="003D51D3"/>
    <w:rsid w:val="003D7256"/>
    <w:rsid w:val="003D7F16"/>
    <w:rsid w:val="003E13A5"/>
    <w:rsid w:val="003E16FD"/>
    <w:rsid w:val="003E22BD"/>
    <w:rsid w:val="003E37ED"/>
    <w:rsid w:val="003E4632"/>
    <w:rsid w:val="003E4D2C"/>
    <w:rsid w:val="003E4F1F"/>
    <w:rsid w:val="003E5870"/>
    <w:rsid w:val="003E6141"/>
    <w:rsid w:val="003E64ED"/>
    <w:rsid w:val="003E799F"/>
    <w:rsid w:val="003E7E2F"/>
    <w:rsid w:val="003F0E90"/>
    <w:rsid w:val="003F1A29"/>
    <w:rsid w:val="003F3520"/>
    <w:rsid w:val="003F45A6"/>
    <w:rsid w:val="003F56D6"/>
    <w:rsid w:val="003F6798"/>
    <w:rsid w:val="003F6F41"/>
    <w:rsid w:val="003F7CFE"/>
    <w:rsid w:val="00400331"/>
    <w:rsid w:val="00401800"/>
    <w:rsid w:val="004019A6"/>
    <w:rsid w:val="00401AB1"/>
    <w:rsid w:val="00401F5E"/>
    <w:rsid w:val="004021A4"/>
    <w:rsid w:val="00402D03"/>
    <w:rsid w:val="00404581"/>
    <w:rsid w:val="0040650A"/>
    <w:rsid w:val="00411140"/>
    <w:rsid w:val="00411A01"/>
    <w:rsid w:val="004121D1"/>
    <w:rsid w:val="00412333"/>
    <w:rsid w:val="00412B95"/>
    <w:rsid w:val="00414FB0"/>
    <w:rsid w:val="004160BA"/>
    <w:rsid w:val="00420315"/>
    <w:rsid w:val="00420320"/>
    <w:rsid w:val="00422E01"/>
    <w:rsid w:val="00423A65"/>
    <w:rsid w:val="00423A66"/>
    <w:rsid w:val="00424C77"/>
    <w:rsid w:val="00426392"/>
    <w:rsid w:val="004305DE"/>
    <w:rsid w:val="0043107F"/>
    <w:rsid w:val="0043172B"/>
    <w:rsid w:val="00431CC7"/>
    <w:rsid w:val="00432117"/>
    <w:rsid w:val="00432739"/>
    <w:rsid w:val="0043285E"/>
    <w:rsid w:val="004336DF"/>
    <w:rsid w:val="00433701"/>
    <w:rsid w:val="004337B0"/>
    <w:rsid w:val="00434DAA"/>
    <w:rsid w:val="00434E2F"/>
    <w:rsid w:val="004356E9"/>
    <w:rsid w:val="00436746"/>
    <w:rsid w:val="004377C1"/>
    <w:rsid w:val="00437AA2"/>
    <w:rsid w:val="00440DB4"/>
    <w:rsid w:val="00441793"/>
    <w:rsid w:val="0044459E"/>
    <w:rsid w:val="00444F73"/>
    <w:rsid w:val="00445D2D"/>
    <w:rsid w:val="00446043"/>
    <w:rsid w:val="00446F10"/>
    <w:rsid w:val="00447218"/>
    <w:rsid w:val="00447AB6"/>
    <w:rsid w:val="00450AF8"/>
    <w:rsid w:val="004531F1"/>
    <w:rsid w:val="004536FD"/>
    <w:rsid w:val="004549A1"/>
    <w:rsid w:val="00456126"/>
    <w:rsid w:val="0045621C"/>
    <w:rsid w:val="00456D81"/>
    <w:rsid w:val="004574F5"/>
    <w:rsid w:val="00460013"/>
    <w:rsid w:val="00460AEB"/>
    <w:rsid w:val="00460F24"/>
    <w:rsid w:val="004617DA"/>
    <w:rsid w:val="00461FD4"/>
    <w:rsid w:val="00462A17"/>
    <w:rsid w:val="004632BF"/>
    <w:rsid w:val="004645DE"/>
    <w:rsid w:val="00464E4A"/>
    <w:rsid w:val="0046572D"/>
    <w:rsid w:val="00465B77"/>
    <w:rsid w:val="00465D7C"/>
    <w:rsid w:val="00466AC2"/>
    <w:rsid w:val="00466E04"/>
    <w:rsid w:val="00467F9D"/>
    <w:rsid w:val="00471250"/>
    <w:rsid w:val="00471374"/>
    <w:rsid w:val="00471C1C"/>
    <w:rsid w:val="00471E67"/>
    <w:rsid w:val="00473DA9"/>
    <w:rsid w:val="0047593D"/>
    <w:rsid w:val="004774AA"/>
    <w:rsid w:val="00477BA8"/>
    <w:rsid w:val="00480BFE"/>
    <w:rsid w:val="00481058"/>
    <w:rsid w:val="0048170A"/>
    <w:rsid w:val="00490B12"/>
    <w:rsid w:val="00492738"/>
    <w:rsid w:val="00493218"/>
    <w:rsid w:val="00493F67"/>
    <w:rsid w:val="00494C09"/>
    <w:rsid w:val="00496096"/>
    <w:rsid w:val="0049666B"/>
    <w:rsid w:val="00496905"/>
    <w:rsid w:val="00496C79"/>
    <w:rsid w:val="0049767E"/>
    <w:rsid w:val="0049770A"/>
    <w:rsid w:val="004A182A"/>
    <w:rsid w:val="004A26E8"/>
    <w:rsid w:val="004A273E"/>
    <w:rsid w:val="004A2A81"/>
    <w:rsid w:val="004A4F02"/>
    <w:rsid w:val="004A5039"/>
    <w:rsid w:val="004B0DFA"/>
    <w:rsid w:val="004B24CD"/>
    <w:rsid w:val="004B2828"/>
    <w:rsid w:val="004B367C"/>
    <w:rsid w:val="004B4E68"/>
    <w:rsid w:val="004B534D"/>
    <w:rsid w:val="004B54DF"/>
    <w:rsid w:val="004B60BA"/>
    <w:rsid w:val="004B695D"/>
    <w:rsid w:val="004B6E35"/>
    <w:rsid w:val="004B6EAE"/>
    <w:rsid w:val="004B7A38"/>
    <w:rsid w:val="004B7B1E"/>
    <w:rsid w:val="004C00E9"/>
    <w:rsid w:val="004C0E51"/>
    <w:rsid w:val="004C1646"/>
    <w:rsid w:val="004C1E83"/>
    <w:rsid w:val="004C1E98"/>
    <w:rsid w:val="004C2632"/>
    <w:rsid w:val="004C2BEB"/>
    <w:rsid w:val="004C5250"/>
    <w:rsid w:val="004C55D6"/>
    <w:rsid w:val="004C62BC"/>
    <w:rsid w:val="004C76FC"/>
    <w:rsid w:val="004C7B47"/>
    <w:rsid w:val="004D13B1"/>
    <w:rsid w:val="004D1D26"/>
    <w:rsid w:val="004D23B9"/>
    <w:rsid w:val="004D261F"/>
    <w:rsid w:val="004D5745"/>
    <w:rsid w:val="004D6449"/>
    <w:rsid w:val="004E057C"/>
    <w:rsid w:val="004E1B2F"/>
    <w:rsid w:val="004E2596"/>
    <w:rsid w:val="004E4AD2"/>
    <w:rsid w:val="004E5231"/>
    <w:rsid w:val="004E5438"/>
    <w:rsid w:val="004E5890"/>
    <w:rsid w:val="004E5AAF"/>
    <w:rsid w:val="004F1144"/>
    <w:rsid w:val="004F13A7"/>
    <w:rsid w:val="004F183F"/>
    <w:rsid w:val="004F1DF3"/>
    <w:rsid w:val="004F2356"/>
    <w:rsid w:val="004F2F21"/>
    <w:rsid w:val="004F4692"/>
    <w:rsid w:val="004F486E"/>
    <w:rsid w:val="004F49AB"/>
    <w:rsid w:val="004F5D09"/>
    <w:rsid w:val="004F61C6"/>
    <w:rsid w:val="004F7413"/>
    <w:rsid w:val="0050069B"/>
    <w:rsid w:val="005036BB"/>
    <w:rsid w:val="005037F0"/>
    <w:rsid w:val="00503966"/>
    <w:rsid w:val="005054DE"/>
    <w:rsid w:val="00505608"/>
    <w:rsid w:val="0050757D"/>
    <w:rsid w:val="00510314"/>
    <w:rsid w:val="005124E3"/>
    <w:rsid w:val="0051594F"/>
    <w:rsid w:val="00515C63"/>
    <w:rsid w:val="0051687C"/>
    <w:rsid w:val="00516FDA"/>
    <w:rsid w:val="005173CA"/>
    <w:rsid w:val="005176F5"/>
    <w:rsid w:val="00517ED4"/>
    <w:rsid w:val="00520E44"/>
    <w:rsid w:val="00522C51"/>
    <w:rsid w:val="00522D29"/>
    <w:rsid w:val="005236EC"/>
    <w:rsid w:val="005247C8"/>
    <w:rsid w:val="00524B4B"/>
    <w:rsid w:val="00524B5C"/>
    <w:rsid w:val="00524ED1"/>
    <w:rsid w:val="00525930"/>
    <w:rsid w:val="00530FB5"/>
    <w:rsid w:val="00531BF3"/>
    <w:rsid w:val="00532A84"/>
    <w:rsid w:val="00533C6C"/>
    <w:rsid w:val="0053449C"/>
    <w:rsid w:val="00534C93"/>
    <w:rsid w:val="00534EA8"/>
    <w:rsid w:val="0053594E"/>
    <w:rsid w:val="005366CC"/>
    <w:rsid w:val="00536D62"/>
    <w:rsid w:val="0053755B"/>
    <w:rsid w:val="00537CB3"/>
    <w:rsid w:val="00540EF0"/>
    <w:rsid w:val="00540EF8"/>
    <w:rsid w:val="00540F13"/>
    <w:rsid w:val="00541039"/>
    <w:rsid w:val="005419A0"/>
    <w:rsid w:val="005422EB"/>
    <w:rsid w:val="0054238C"/>
    <w:rsid w:val="00543230"/>
    <w:rsid w:val="005437A8"/>
    <w:rsid w:val="00543CF9"/>
    <w:rsid w:val="00544D75"/>
    <w:rsid w:val="005460CB"/>
    <w:rsid w:val="00546F6F"/>
    <w:rsid w:val="0055039F"/>
    <w:rsid w:val="005508B3"/>
    <w:rsid w:val="00551F05"/>
    <w:rsid w:val="005531EC"/>
    <w:rsid w:val="00553B26"/>
    <w:rsid w:val="00554D5E"/>
    <w:rsid w:val="00554ECC"/>
    <w:rsid w:val="0055542C"/>
    <w:rsid w:val="00555BE0"/>
    <w:rsid w:val="00556223"/>
    <w:rsid w:val="0055738E"/>
    <w:rsid w:val="005577F2"/>
    <w:rsid w:val="0056061E"/>
    <w:rsid w:val="00560696"/>
    <w:rsid w:val="00561808"/>
    <w:rsid w:val="005624D6"/>
    <w:rsid w:val="00564A13"/>
    <w:rsid w:val="00564B96"/>
    <w:rsid w:val="00565243"/>
    <w:rsid w:val="0056525F"/>
    <w:rsid w:val="00565994"/>
    <w:rsid w:val="00571617"/>
    <w:rsid w:val="00571FC0"/>
    <w:rsid w:val="00571FC8"/>
    <w:rsid w:val="00572A65"/>
    <w:rsid w:val="005739FE"/>
    <w:rsid w:val="00573E87"/>
    <w:rsid w:val="0057499F"/>
    <w:rsid w:val="00574B0C"/>
    <w:rsid w:val="00577378"/>
    <w:rsid w:val="00577EB2"/>
    <w:rsid w:val="00580498"/>
    <w:rsid w:val="005806AC"/>
    <w:rsid w:val="005810DF"/>
    <w:rsid w:val="00581878"/>
    <w:rsid w:val="0058228E"/>
    <w:rsid w:val="005837D1"/>
    <w:rsid w:val="00584F09"/>
    <w:rsid w:val="0058554F"/>
    <w:rsid w:val="00586146"/>
    <w:rsid w:val="0058675A"/>
    <w:rsid w:val="00586A6E"/>
    <w:rsid w:val="00587E8F"/>
    <w:rsid w:val="0059048C"/>
    <w:rsid w:val="00591507"/>
    <w:rsid w:val="00592563"/>
    <w:rsid w:val="00592FC6"/>
    <w:rsid w:val="00597534"/>
    <w:rsid w:val="005A0B02"/>
    <w:rsid w:val="005A0CA0"/>
    <w:rsid w:val="005A1EFC"/>
    <w:rsid w:val="005A1F1C"/>
    <w:rsid w:val="005A1FF7"/>
    <w:rsid w:val="005A45CF"/>
    <w:rsid w:val="005A4E84"/>
    <w:rsid w:val="005A52CE"/>
    <w:rsid w:val="005A56D0"/>
    <w:rsid w:val="005A68F5"/>
    <w:rsid w:val="005B17A5"/>
    <w:rsid w:val="005B1816"/>
    <w:rsid w:val="005B1A78"/>
    <w:rsid w:val="005B2183"/>
    <w:rsid w:val="005B2926"/>
    <w:rsid w:val="005B2B6D"/>
    <w:rsid w:val="005B4D67"/>
    <w:rsid w:val="005B656C"/>
    <w:rsid w:val="005B71C9"/>
    <w:rsid w:val="005B7524"/>
    <w:rsid w:val="005B7656"/>
    <w:rsid w:val="005C244D"/>
    <w:rsid w:val="005C33C0"/>
    <w:rsid w:val="005C6B01"/>
    <w:rsid w:val="005C6C87"/>
    <w:rsid w:val="005C6EBF"/>
    <w:rsid w:val="005C7B7C"/>
    <w:rsid w:val="005D3F66"/>
    <w:rsid w:val="005D3F78"/>
    <w:rsid w:val="005D52FF"/>
    <w:rsid w:val="005D5F48"/>
    <w:rsid w:val="005D6820"/>
    <w:rsid w:val="005D7788"/>
    <w:rsid w:val="005E0259"/>
    <w:rsid w:val="005E091A"/>
    <w:rsid w:val="005E11D6"/>
    <w:rsid w:val="005E4AB7"/>
    <w:rsid w:val="005E4F61"/>
    <w:rsid w:val="005E5550"/>
    <w:rsid w:val="005E5BEC"/>
    <w:rsid w:val="005E5E75"/>
    <w:rsid w:val="005E62CD"/>
    <w:rsid w:val="005E6D90"/>
    <w:rsid w:val="005E7FDD"/>
    <w:rsid w:val="005F150C"/>
    <w:rsid w:val="005F3243"/>
    <w:rsid w:val="005F343F"/>
    <w:rsid w:val="005F41F0"/>
    <w:rsid w:val="005F66E0"/>
    <w:rsid w:val="005F74E3"/>
    <w:rsid w:val="005F7EB0"/>
    <w:rsid w:val="006004AD"/>
    <w:rsid w:val="00601496"/>
    <w:rsid w:val="00602C68"/>
    <w:rsid w:val="00603869"/>
    <w:rsid w:val="00603977"/>
    <w:rsid w:val="00603A44"/>
    <w:rsid w:val="006117B1"/>
    <w:rsid w:val="00612C82"/>
    <w:rsid w:val="0061366D"/>
    <w:rsid w:val="006143BA"/>
    <w:rsid w:val="00614B27"/>
    <w:rsid w:val="00614FF0"/>
    <w:rsid w:val="00615330"/>
    <w:rsid w:val="00615C5E"/>
    <w:rsid w:val="00616B12"/>
    <w:rsid w:val="0062006D"/>
    <w:rsid w:val="006201F5"/>
    <w:rsid w:val="00620DEA"/>
    <w:rsid w:val="00620F8B"/>
    <w:rsid w:val="006211E7"/>
    <w:rsid w:val="00621890"/>
    <w:rsid w:val="00622B58"/>
    <w:rsid w:val="006257E8"/>
    <w:rsid w:val="00625D46"/>
    <w:rsid w:val="00626ADF"/>
    <w:rsid w:val="00627B14"/>
    <w:rsid w:val="00630003"/>
    <w:rsid w:val="0063010C"/>
    <w:rsid w:val="00630648"/>
    <w:rsid w:val="00630A13"/>
    <w:rsid w:val="006310ED"/>
    <w:rsid w:val="00631BC0"/>
    <w:rsid w:val="00631D89"/>
    <w:rsid w:val="00632B46"/>
    <w:rsid w:val="00633D70"/>
    <w:rsid w:val="0063420A"/>
    <w:rsid w:val="0063545F"/>
    <w:rsid w:val="00640F72"/>
    <w:rsid w:val="00641A03"/>
    <w:rsid w:val="00644BF1"/>
    <w:rsid w:val="00644EAC"/>
    <w:rsid w:val="00645901"/>
    <w:rsid w:val="00645AC5"/>
    <w:rsid w:val="00646253"/>
    <w:rsid w:val="00647D61"/>
    <w:rsid w:val="006507EA"/>
    <w:rsid w:val="00650C6B"/>
    <w:rsid w:val="00651828"/>
    <w:rsid w:val="00651E86"/>
    <w:rsid w:val="00652105"/>
    <w:rsid w:val="006529AF"/>
    <w:rsid w:val="00652BD6"/>
    <w:rsid w:val="00652F27"/>
    <w:rsid w:val="0065349D"/>
    <w:rsid w:val="0065519D"/>
    <w:rsid w:val="00662F51"/>
    <w:rsid w:val="00663F79"/>
    <w:rsid w:val="00670175"/>
    <w:rsid w:val="006707C9"/>
    <w:rsid w:val="00670D3A"/>
    <w:rsid w:val="00672061"/>
    <w:rsid w:val="00672DF6"/>
    <w:rsid w:val="00673E06"/>
    <w:rsid w:val="00674380"/>
    <w:rsid w:val="0067503F"/>
    <w:rsid w:val="0067508A"/>
    <w:rsid w:val="0067520F"/>
    <w:rsid w:val="006753D6"/>
    <w:rsid w:val="0067690F"/>
    <w:rsid w:val="00681712"/>
    <w:rsid w:val="00681FC9"/>
    <w:rsid w:val="00682178"/>
    <w:rsid w:val="00682268"/>
    <w:rsid w:val="006826D2"/>
    <w:rsid w:val="00682828"/>
    <w:rsid w:val="00683427"/>
    <w:rsid w:val="00684697"/>
    <w:rsid w:val="00684984"/>
    <w:rsid w:val="00684CB4"/>
    <w:rsid w:val="00690F56"/>
    <w:rsid w:val="00691489"/>
    <w:rsid w:val="00693579"/>
    <w:rsid w:val="00694860"/>
    <w:rsid w:val="00694F53"/>
    <w:rsid w:val="006959B2"/>
    <w:rsid w:val="00695A3E"/>
    <w:rsid w:val="00696E2D"/>
    <w:rsid w:val="00697BEF"/>
    <w:rsid w:val="006A1205"/>
    <w:rsid w:val="006A3426"/>
    <w:rsid w:val="006A4B24"/>
    <w:rsid w:val="006A5047"/>
    <w:rsid w:val="006A5519"/>
    <w:rsid w:val="006A7420"/>
    <w:rsid w:val="006A7BC4"/>
    <w:rsid w:val="006B0EA0"/>
    <w:rsid w:val="006B1A43"/>
    <w:rsid w:val="006B34E8"/>
    <w:rsid w:val="006B50C2"/>
    <w:rsid w:val="006B6B09"/>
    <w:rsid w:val="006C09B4"/>
    <w:rsid w:val="006C10EA"/>
    <w:rsid w:val="006C2575"/>
    <w:rsid w:val="006C31AD"/>
    <w:rsid w:val="006C324E"/>
    <w:rsid w:val="006C35EA"/>
    <w:rsid w:val="006C3A1F"/>
    <w:rsid w:val="006C3BAD"/>
    <w:rsid w:val="006C432A"/>
    <w:rsid w:val="006C4372"/>
    <w:rsid w:val="006C4411"/>
    <w:rsid w:val="006C6653"/>
    <w:rsid w:val="006C6C6D"/>
    <w:rsid w:val="006C71E7"/>
    <w:rsid w:val="006C72A3"/>
    <w:rsid w:val="006C7AC5"/>
    <w:rsid w:val="006C7F29"/>
    <w:rsid w:val="006D060F"/>
    <w:rsid w:val="006D10A2"/>
    <w:rsid w:val="006D1328"/>
    <w:rsid w:val="006D2155"/>
    <w:rsid w:val="006D2C76"/>
    <w:rsid w:val="006D5CCD"/>
    <w:rsid w:val="006D6C7D"/>
    <w:rsid w:val="006D70EB"/>
    <w:rsid w:val="006D7ECA"/>
    <w:rsid w:val="006E1299"/>
    <w:rsid w:val="006E12DC"/>
    <w:rsid w:val="006E2DD1"/>
    <w:rsid w:val="006E2E12"/>
    <w:rsid w:val="006E4E61"/>
    <w:rsid w:val="006E536E"/>
    <w:rsid w:val="006E5D0B"/>
    <w:rsid w:val="006E768D"/>
    <w:rsid w:val="006F1567"/>
    <w:rsid w:val="006F1848"/>
    <w:rsid w:val="006F1CEA"/>
    <w:rsid w:val="006F1D2C"/>
    <w:rsid w:val="006F2120"/>
    <w:rsid w:val="006F3762"/>
    <w:rsid w:val="006F4181"/>
    <w:rsid w:val="006F46DA"/>
    <w:rsid w:val="006F52E9"/>
    <w:rsid w:val="006F6772"/>
    <w:rsid w:val="006F749B"/>
    <w:rsid w:val="00701768"/>
    <w:rsid w:val="00701C9A"/>
    <w:rsid w:val="007020C0"/>
    <w:rsid w:val="00702CC1"/>
    <w:rsid w:val="00703FF8"/>
    <w:rsid w:val="007047DC"/>
    <w:rsid w:val="00705115"/>
    <w:rsid w:val="0070516D"/>
    <w:rsid w:val="00706EB3"/>
    <w:rsid w:val="007070D7"/>
    <w:rsid w:val="007072DE"/>
    <w:rsid w:val="00707E33"/>
    <w:rsid w:val="00710A65"/>
    <w:rsid w:val="00710C8A"/>
    <w:rsid w:val="007121CF"/>
    <w:rsid w:val="007141F4"/>
    <w:rsid w:val="00714647"/>
    <w:rsid w:val="00715086"/>
    <w:rsid w:val="0071564E"/>
    <w:rsid w:val="007159C9"/>
    <w:rsid w:val="00716949"/>
    <w:rsid w:val="00716FE6"/>
    <w:rsid w:val="00717D8C"/>
    <w:rsid w:val="00720104"/>
    <w:rsid w:val="00720322"/>
    <w:rsid w:val="00721185"/>
    <w:rsid w:val="00721B03"/>
    <w:rsid w:val="00722EC8"/>
    <w:rsid w:val="00723862"/>
    <w:rsid w:val="00723F35"/>
    <w:rsid w:val="00724ECA"/>
    <w:rsid w:val="00725125"/>
    <w:rsid w:val="00725196"/>
    <w:rsid w:val="007267A2"/>
    <w:rsid w:val="00730D1D"/>
    <w:rsid w:val="00731AAE"/>
    <w:rsid w:val="007355E3"/>
    <w:rsid w:val="00736DBC"/>
    <w:rsid w:val="007378B6"/>
    <w:rsid w:val="00737DCB"/>
    <w:rsid w:val="00741AC0"/>
    <w:rsid w:val="00741B20"/>
    <w:rsid w:val="00742248"/>
    <w:rsid w:val="0074266C"/>
    <w:rsid w:val="00742F38"/>
    <w:rsid w:val="00742FF2"/>
    <w:rsid w:val="007435BC"/>
    <w:rsid w:val="007443EE"/>
    <w:rsid w:val="0074447C"/>
    <w:rsid w:val="00745134"/>
    <w:rsid w:val="00745314"/>
    <w:rsid w:val="00745C94"/>
    <w:rsid w:val="00745FD2"/>
    <w:rsid w:val="00747082"/>
    <w:rsid w:val="00747B50"/>
    <w:rsid w:val="0075157A"/>
    <w:rsid w:val="00751CBB"/>
    <w:rsid w:val="00751D6C"/>
    <w:rsid w:val="00751F42"/>
    <w:rsid w:val="0075468B"/>
    <w:rsid w:val="007546BC"/>
    <w:rsid w:val="00754C05"/>
    <w:rsid w:val="00754D57"/>
    <w:rsid w:val="00757022"/>
    <w:rsid w:val="00761FAD"/>
    <w:rsid w:val="007623A9"/>
    <w:rsid w:val="00764450"/>
    <w:rsid w:val="0076526C"/>
    <w:rsid w:val="0076542C"/>
    <w:rsid w:val="007654C3"/>
    <w:rsid w:val="00765610"/>
    <w:rsid w:val="007656D5"/>
    <w:rsid w:val="00765B86"/>
    <w:rsid w:val="00765DC4"/>
    <w:rsid w:val="00765FE2"/>
    <w:rsid w:val="00767AA7"/>
    <w:rsid w:val="0077219A"/>
    <w:rsid w:val="007727BB"/>
    <w:rsid w:val="00772B28"/>
    <w:rsid w:val="007749CC"/>
    <w:rsid w:val="00775381"/>
    <w:rsid w:val="00776987"/>
    <w:rsid w:val="00781303"/>
    <w:rsid w:val="00781425"/>
    <w:rsid w:val="00781F9B"/>
    <w:rsid w:val="00782800"/>
    <w:rsid w:val="0078430C"/>
    <w:rsid w:val="0078473F"/>
    <w:rsid w:val="007847E8"/>
    <w:rsid w:val="00785D79"/>
    <w:rsid w:val="00786954"/>
    <w:rsid w:val="0078703B"/>
    <w:rsid w:val="00790EA9"/>
    <w:rsid w:val="00791176"/>
    <w:rsid w:val="0079135B"/>
    <w:rsid w:val="007916A1"/>
    <w:rsid w:val="00791F7A"/>
    <w:rsid w:val="0079573C"/>
    <w:rsid w:val="0079722C"/>
    <w:rsid w:val="00797E5F"/>
    <w:rsid w:val="007A2E69"/>
    <w:rsid w:val="007A2EB7"/>
    <w:rsid w:val="007A44D0"/>
    <w:rsid w:val="007A4663"/>
    <w:rsid w:val="007A5723"/>
    <w:rsid w:val="007A5C48"/>
    <w:rsid w:val="007A5CC2"/>
    <w:rsid w:val="007A70A7"/>
    <w:rsid w:val="007A71C7"/>
    <w:rsid w:val="007A747C"/>
    <w:rsid w:val="007A74A9"/>
    <w:rsid w:val="007B2BF3"/>
    <w:rsid w:val="007B4978"/>
    <w:rsid w:val="007B519F"/>
    <w:rsid w:val="007B583D"/>
    <w:rsid w:val="007B5D33"/>
    <w:rsid w:val="007B66CE"/>
    <w:rsid w:val="007C14A9"/>
    <w:rsid w:val="007C5023"/>
    <w:rsid w:val="007C547F"/>
    <w:rsid w:val="007C5590"/>
    <w:rsid w:val="007C6C57"/>
    <w:rsid w:val="007D0D00"/>
    <w:rsid w:val="007D0E68"/>
    <w:rsid w:val="007D1003"/>
    <w:rsid w:val="007D1165"/>
    <w:rsid w:val="007D270F"/>
    <w:rsid w:val="007D2726"/>
    <w:rsid w:val="007D2DF1"/>
    <w:rsid w:val="007D3BCE"/>
    <w:rsid w:val="007D41ED"/>
    <w:rsid w:val="007D57E5"/>
    <w:rsid w:val="007D5EF4"/>
    <w:rsid w:val="007E1506"/>
    <w:rsid w:val="007E17FE"/>
    <w:rsid w:val="007E190E"/>
    <w:rsid w:val="007E1BF5"/>
    <w:rsid w:val="007E1EF9"/>
    <w:rsid w:val="007E3AB2"/>
    <w:rsid w:val="007E4124"/>
    <w:rsid w:val="007E4624"/>
    <w:rsid w:val="007E4A1A"/>
    <w:rsid w:val="007E555C"/>
    <w:rsid w:val="007F032E"/>
    <w:rsid w:val="007F08A5"/>
    <w:rsid w:val="007F08C9"/>
    <w:rsid w:val="007F18B8"/>
    <w:rsid w:val="007F464E"/>
    <w:rsid w:val="007F6534"/>
    <w:rsid w:val="007F7A85"/>
    <w:rsid w:val="007F7BFF"/>
    <w:rsid w:val="00800A0C"/>
    <w:rsid w:val="008026AE"/>
    <w:rsid w:val="00802C5B"/>
    <w:rsid w:val="008032FC"/>
    <w:rsid w:val="00803679"/>
    <w:rsid w:val="00803FC2"/>
    <w:rsid w:val="008040EF"/>
    <w:rsid w:val="008050AC"/>
    <w:rsid w:val="0080771F"/>
    <w:rsid w:val="00810175"/>
    <w:rsid w:val="00810564"/>
    <w:rsid w:val="0081130A"/>
    <w:rsid w:val="0081153B"/>
    <w:rsid w:val="00812969"/>
    <w:rsid w:val="00812BB9"/>
    <w:rsid w:val="00814B3F"/>
    <w:rsid w:val="00815C23"/>
    <w:rsid w:val="00815FC2"/>
    <w:rsid w:val="00821A26"/>
    <w:rsid w:val="00821B04"/>
    <w:rsid w:val="0082435F"/>
    <w:rsid w:val="00825DE3"/>
    <w:rsid w:val="008265C8"/>
    <w:rsid w:val="00830708"/>
    <w:rsid w:val="00830C17"/>
    <w:rsid w:val="00831785"/>
    <w:rsid w:val="0083240E"/>
    <w:rsid w:val="00832427"/>
    <w:rsid w:val="00834C4D"/>
    <w:rsid w:val="00836298"/>
    <w:rsid w:val="00837518"/>
    <w:rsid w:val="008377BA"/>
    <w:rsid w:val="00840623"/>
    <w:rsid w:val="00840633"/>
    <w:rsid w:val="0084197C"/>
    <w:rsid w:val="00842835"/>
    <w:rsid w:val="00842FBC"/>
    <w:rsid w:val="00844004"/>
    <w:rsid w:val="00844627"/>
    <w:rsid w:val="00844855"/>
    <w:rsid w:val="0084589E"/>
    <w:rsid w:val="00845D56"/>
    <w:rsid w:val="00847417"/>
    <w:rsid w:val="00847906"/>
    <w:rsid w:val="0084790B"/>
    <w:rsid w:val="0085051F"/>
    <w:rsid w:val="008518D7"/>
    <w:rsid w:val="00852049"/>
    <w:rsid w:val="008520A0"/>
    <w:rsid w:val="00853A97"/>
    <w:rsid w:val="00855FDD"/>
    <w:rsid w:val="008565E9"/>
    <w:rsid w:val="008569C7"/>
    <w:rsid w:val="00856A5B"/>
    <w:rsid w:val="0086089A"/>
    <w:rsid w:val="00860FBE"/>
    <w:rsid w:val="0086134D"/>
    <w:rsid w:val="0086277C"/>
    <w:rsid w:val="0086316C"/>
    <w:rsid w:val="008631B8"/>
    <w:rsid w:val="008661C7"/>
    <w:rsid w:val="0086635F"/>
    <w:rsid w:val="00866E27"/>
    <w:rsid w:val="00867125"/>
    <w:rsid w:val="0086716D"/>
    <w:rsid w:val="0086789A"/>
    <w:rsid w:val="008679C6"/>
    <w:rsid w:val="00867FC1"/>
    <w:rsid w:val="008709CD"/>
    <w:rsid w:val="00870F0E"/>
    <w:rsid w:val="0087173B"/>
    <w:rsid w:val="008719FA"/>
    <w:rsid w:val="008747CF"/>
    <w:rsid w:val="008749C8"/>
    <w:rsid w:val="008759BD"/>
    <w:rsid w:val="00876533"/>
    <w:rsid w:val="0087659D"/>
    <w:rsid w:val="00876CB5"/>
    <w:rsid w:val="008802EC"/>
    <w:rsid w:val="008803B5"/>
    <w:rsid w:val="008809A9"/>
    <w:rsid w:val="00880A40"/>
    <w:rsid w:val="00880BAC"/>
    <w:rsid w:val="00881555"/>
    <w:rsid w:val="00883716"/>
    <w:rsid w:val="0088399D"/>
    <w:rsid w:val="00883BC8"/>
    <w:rsid w:val="008843D6"/>
    <w:rsid w:val="008856DA"/>
    <w:rsid w:val="00885F5B"/>
    <w:rsid w:val="00886199"/>
    <w:rsid w:val="0089029F"/>
    <w:rsid w:val="00890674"/>
    <w:rsid w:val="00891E0F"/>
    <w:rsid w:val="00892440"/>
    <w:rsid w:val="008930CE"/>
    <w:rsid w:val="008947CE"/>
    <w:rsid w:val="00895240"/>
    <w:rsid w:val="008970C0"/>
    <w:rsid w:val="00897788"/>
    <w:rsid w:val="008A0531"/>
    <w:rsid w:val="008A06EF"/>
    <w:rsid w:val="008A0AE2"/>
    <w:rsid w:val="008A1A34"/>
    <w:rsid w:val="008A2366"/>
    <w:rsid w:val="008A3C95"/>
    <w:rsid w:val="008A48E4"/>
    <w:rsid w:val="008A4AD4"/>
    <w:rsid w:val="008A599F"/>
    <w:rsid w:val="008A704A"/>
    <w:rsid w:val="008A78F3"/>
    <w:rsid w:val="008B01B7"/>
    <w:rsid w:val="008B023D"/>
    <w:rsid w:val="008B0D65"/>
    <w:rsid w:val="008B1E5A"/>
    <w:rsid w:val="008B3199"/>
    <w:rsid w:val="008B3C87"/>
    <w:rsid w:val="008B414B"/>
    <w:rsid w:val="008B42CB"/>
    <w:rsid w:val="008B5F61"/>
    <w:rsid w:val="008C0236"/>
    <w:rsid w:val="008C0736"/>
    <w:rsid w:val="008C0DEC"/>
    <w:rsid w:val="008C194F"/>
    <w:rsid w:val="008C3F04"/>
    <w:rsid w:val="008C40E1"/>
    <w:rsid w:val="008C531B"/>
    <w:rsid w:val="008C5F86"/>
    <w:rsid w:val="008C6CFB"/>
    <w:rsid w:val="008C7C4C"/>
    <w:rsid w:val="008D0D03"/>
    <w:rsid w:val="008D1318"/>
    <w:rsid w:val="008D2A34"/>
    <w:rsid w:val="008D35C9"/>
    <w:rsid w:val="008D3D2A"/>
    <w:rsid w:val="008D4A6F"/>
    <w:rsid w:val="008D4CB1"/>
    <w:rsid w:val="008D53DA"/>
    <w:rsid w:val="008D70A0"/>
    <w:rsid w:val="008D7B90"/>
    <w:rsid w:val="008E1D83"/>
    <w:rsid w:val="008E1DA7"/>
    <w:rsid w:val="008E2CE0"/>
    <w:rsid w:val="008E368C"/>
    <w:rsid w:val="008E3D23"/>
    <w:rsid w:val="008E413D"/>
    <w:rsid w:val="008E4D46"/>
    <w:rsid w:val="008E55A7"/>
    <w:rsid w:val="008E6D8B"/>
    <w:rsid w:val="008E7026"/>
    <w:rsid w:val="008F0149"/>
    <w:rsid w:val="008F045B"/>
    <w:rsid w:val="008F081D"/>
    <w:rsid w:val="008F2038"/>
    <w:rsid w:val="008F32D6"/>
    <w:rsid w:val="008F3F98"/>
    <w:rsid w:val="008F496B"/>
    <w:rsid w:val="008F536C"/>
    <w:rsid w:val="008F58F3"/>
    <w:rsid w:val="008F5DE2"/>
    <w:rsid w:val="008F6510"/>
    <w:rsid w:val="008F739B"/>
    <w:rsid w:val="009000CD"/>
    <w:rsid w:val="009006D2"/>
    <w:rsid w:val="00901107"/>
    <w:rsid w:val="00901545"/>
    <w:rsid w:val="00901D24"/>
    <w:rsid w:val="00904311"/>
    <w:rsid w:val="0090476C"/>
    <w:rsid w:val="00906563"/>
    <w:rsid w:val="0090657D"/>
    <w:rsid w:val="009065E0"/>
    <w:rsid w:val="0090778B"/>
    <w:rsid w:val="00907941"/>
    <w:rsid w:val="0091016E"/>
    <w:rsid w:val="00910C53"/>
    <w:rsid w:val="00910D81"/>
    <w:rsid w:val="0091183E"/>
    <w:rsid w:val="0091218B"/>
    <w:rsid w:val="0091415E"/>
    <w:rsid w:val="00915CA7"/>
    <w:rsid w:val="00915E9F"/>
    <w:rsid w:val="009163B1"/>
    <w:rsid w:val="009169D2"/>
    <w:rsid w:val="00916D1C"/>
    <w:rsid w:val="00917831"/>
    <w:rsid w:val="00920233"/>
    <w:rsid w:val="00920489"/>
    <w:rsid w:val="0092099E"/>
    <w:rsid w:val="0092202D"/>
    <w:rsid w:val="00923B14"/>
    <w:rsid w:val="009242AD"/>
    <w:rsid w:val="00924612"/>
    <w:rsid w:val="00924A3A"/>
    <w:rsid w:val="00924C65"/>
    <w:rsid w:val="00925AFF"/>
    <w:rsid w:val="00926F5C"/>
    <w:rsid w:val="00927323"/>
    <w:rsid w:val="0092749D"/>
    <w:rsid w:val="00930070"/>
    <w:rsid w:val="00931D85"/>
    <w:rsid w:val="00931E33"/>
    <w:rsid w:val="00932E4F"/>
    <w:rsid w:val="0093321C"/>
    <w:rsid w:val="00934067"/>
    <w:rsid w:val="0093517F"/>
    <w:rsid w:val="00936AC2"/>
    <w:rsid w:val="0094084F"/>
    <w:rsid w:val="00940866"/>
    <w:rsid w:val="00941C64"/>
    <w:rsid w:val="009421AA"/>
    <w:rsid w:val="00943810"/>
    <w:rsid w:val="00944332"/>
    <w:rsid w:val="00944470"/>
    <w:rsid w:val="00944AB4"/>
    <w:rsid w:val="00945785"/>
    <w:rsid w:val="00946057"/>
    <w:rsid w:val="00946354"/>
    <w:rsid w:val="00946456"/>
    <w:rsid w:val="00946EF8"/>
    <w:rsid w:val="009476DB"/>
    <w:rsid w:val="00947787"/>
    <w:rsid w:val="00950F10"/>
    <w:rsid w:val="0095269F"/>
    <w:rsid w:val="00953214"/>
    <w:rsid w:val="00954A7D"/>
    <w:rsid w:val="00955028"/>
    <w:rsid w:val="00957753"/>
    <w:rsid w:val="009577A2"/>
    <w:rsid w:val="0096063A"/>
    <w:rsid w:val="00965656"/>
    <w:rsid w:val="0096590A"/>
    <w:rsid w:val="0096678C"/>
    <w:rsid w:val="00966898"/>
    <w:rsid w:val="00967617"/>
    <w:rsid w:val="00971AD6"/>
    <w:rsid w:val="00972AC8"/>
    <w:rsid w:val="00972B94"/>
    <w:rsid w:val="00972E01"/>
    <w:rsid w:val="009754A2"/>
    <w:rsid w:val="00975C15"/>
    <w:rsid w:val="00975DBD"/>
    <w:rsid w:val="00977514"/>
    <w:rsid w:val="009779FA"/>
    <w:rsid w:val="0098004E"/>
    <w:rsid w:val="00981612"/>
    <w:rsid w:val="009816D0"/>
    <w:rsid w:val="00981A06"/>
    <w:rsid w:val="00981FCE"/>
    <w:rsid w:val="009823C1"/>
    <w:rsid w:val="0098391B"/>
    <w:rsid w:val="00985266"/>
    <w:rsid w:val="00985396"/>
    <w:rsid w:val="0098661C"/>
    <w:rsid w:val="00986EA2"/>
    <w:rsid w:val="0098746D"/>
    <w:rsid w:val="009875F1"/>
    <w:rsid w:val="00990F0A"/>
    <w:rsid w:val="00991775"/>
    <w:rsid w:val="009941CB"/>
    <w:rsid w:val="0099668A"/>
    <w:rsid w:val="00996EBA"/>
    <w:rsid w:val="009975B4"/>
    <w:rsid w:val="009A0269"/>
    <w:rsid w:val="009A02B1"/>
    <w:rsid w:val="009A1E7E"/>
    <w:rsid w:val="009A23DA"/>
    <w:rsid w:val="009A2543"/>
    <w:rsid w:val="009A26D2"/>
    <w:rsid w:val="009A3CD7"/>
    <w:rsid w:val="009A5761"/>
    <w:rsid w:val="009A622C"/>
    <w:rsid w:val="009A692D"/>
    <w:rsid w:val="009A71DF"/>
    <w:rsid w:val="009A753A"/>
    <w:rsid w:val="009A7D99"/>
    <w:rsid w:val="009A7ED0"/>
    <w:rsid w:val="009B01FE"/>
    <w:rsid w:val="009B13FA"/>
    <w:rsid w:val="009B3744"/>
    <w:rsid w:val="009B3A2A"/>
    <w:rsid w:val="009B53AE"/>
    <w:rsid w:val="009B62AF"/>
    <w:rsid w:val="009C046F"/>
    <w:rsid w:val="009C079F"/>
    <w:rsid w:val="009C0868"/>
    <w:rsid w:val="009C0E63"/>
    <w:rsid w:val="009C0FBA"/>
    <w:rsid w:val="009C15B9"/>
    <w:rsid w:val="009C23D7"/>
    <w:rsid w:val="009C265E"/>
    <w:rsid w:val="009C2B31"/>
    <w:rsid w:val="009C2D01"/>
    <w:rsid w:val="009C3DC0"/>
    <w:rsid w:val="009C3F96"/>
    <w:rsid w:val="009C6B7D"/>
    <w:rsid w:val="009C706D"/>
    <w:rsid w:val="009C72B8"/>
    <w:rsid w:val="009C7E37"/>
    <w:rsid w:val="009D068A"/>
    <w:rsid w:val="009D06E6"/>
    <w:rsid w:val="009D0733"/>
    <w:rsid w:val="009D0E2C"/>
    <w:rsid w:val="009D10B1"/>
    <w:rsid w:val="009D359F"/>
    <w:rsid w:val="009D37A1"/>
    <w:rsid w:val="009D3932"/>
    <w:rsid w:val="009D3B11"/>
    <w:rsid w:val="009D4D3B"/>
    <w:rsid w:val="009D5577"/>
    <w:rsid w:val="009E13E2"/>
    <w:rsid w:val="009E2525"/>
    <w:rsid w:val="009E2C67"/>
    <w:rsid w:val="009E42B7"/>
    <w:rsid w:val="009F06DF"/>
    <w:rsid w:val="009F1E9C"/>
    <w:rsid w:val="009F4810"/>
    <w:rsid w:val="009F5214"/>
    <w:rsid w:val="009F5BAD"/>
    <w:rsid w:val="009F63FE"/>
    <w:rsid w:val="009F7AFB"/>
    <w:rsid w:val="009F7C17"/>
    <w:rsid w:val="00A00330"/>
    <w:rsid w:val="00A00ABE"/>
    <w:rsid w:val="00A017A7"/>
    <w:rsid w:val="00A02B31"/>
    <w:rsid w:val="00A02FAB"/>
    <w:rsid w:val="00A03140"/>
    <w:rsid w:val="00A04637"/>
    <w:rsid w:val="00A057FE"/>
    <w:rsid w:val="00A06166"/>
    <w:rsid w:val="00A07425"/>
    <w:rsid w:val="00A07D25"/>
    <w:rsid w:val="00A07F4A"/>
    <w:rsid w:val="00A11175"/>
    <w:rsid w:val="00A11447"/>
    <w:rsid w:val="00A11E95"/>
    <w:rsid w:val="00A120FD"/>
    <w:rsid w:val="00A12F01"/>
    <w:rsid w:val="00A131DA"/>
    <w:rsid w:val="00A13EAD"/>
    <w:rsid w:val="00A14C36"/>
    <w:rsid w:val="00A16503"/>
    <w:rsid w:val="00A1716F"/>
    <w:rsid w:val="00A20514"/>
    <w:rsid w:val="00A22C88"/>
    <w:rsid w:val="00A2399A"/>
    <w:rsid w:val="00A23F58"/>
    <w:rsid w:val="00A25AA7"/>
    <w:rsid w:val="00A275DD"/>
    <w:rsid w:val="00A2760C"/>
    <w:rsid w:val="00A27706"/>
    <w:rsid w:val="00A27750"/>
    <w:rsid w:val="00A30526"/>
    <w:rsid w:val="00A30DE2"/>
    <w:rsid w:val="00A316D3"/>
    <w:rsid w:val="00A320D3"/>
    <w:rsid w:val="00A32FC4"/>
    <w:rsid w:val="00A33DB2"/>
    <w:rsid w:val="00A34CFB"/>
    <w:rsid w:val="00A355AE"/>
    <w:rsid w:val="00A36298"/>
    <w:rsid w:val="00A36C5D"/>
    <w:rsid w:val="00A372E3"/>
    <w:rsid w:val="00A373CB"/>
    <w:rsid w:val="00A37A6B"/>
    <w:rsid w:val="00A402D9"/>
    <w:rsid w:val="00A40B85"/>
    <w:rsid w:val="00A4140F"/>
    <w:rsid w:val="00A445CC"/>
    <w:rsid w:val="00A4497D"/>
    <w:rsid w:val="00A4518A"/>
    <w:rsid w:val="00A45461"/>
    <w:rsid w:val="00A467F2"/>
    <w:rsid w:val="00A47083"/>
    <w:rsid w:val="00A4782B"/>
    <w:rsid w:val="00A50ACA"/>
    <w:rsid w:val="00A50C39"/>
    <w:rsid w:val="00A558D6"/>
    <w:rsid w:val="00A5756E"/>
    <w:rsid w:val="00A61192"/>
    <w:rsid w:val="00A63F58"/>
    <w:rsid w:val="00A64E8F"/>
    <w:rsid w:val="00A679B0"/>
    <w:rsid w:val="00A7033D"/>
    <w:rsid w:val="00A70F52"/>
    <w:rsid w:val="00A723FE"/>
    <w:rsid w:val="00A732D2"/>
    <w:rsid w:val="00A73732"/>
    <w:rsid w:val="00A74C95"/>
    <w:rsid w:val="00A75F57"/>
    <w:rsid w:val="00A76B42"/>
    <w:rsid w:val="00A7736C"/>
    <w:rsid w:val="00A77AFD"/>
    <w:rsid w:val="00A77F87"/>
    <w:rsid w:val="00A802A9"/>
    <w:rsid w:val="00A80588"/>
    <w:rsid w:val="00A805A5"/>
    <w:rsid w:val="00A81237"/>
    <w:rsid w:val="00A8131A"/>
    <w:rsid w:val="00A817E3"/>
    <w:rsid w:val="00A825C9"/>
    <w:rsid w:val="00A839DB"/>
    <w:rsid w:val="00A83B06"/>
    <w:rsid w:val="00A8478E"/>
    <w:rsid w:val="00A8508F"/>
    <w:rsid w:val="00A85F35"/>
    <w:rsid w:val="00A86314"/>
    <w:rsid w:val="00A86AFE"/>
    <w:rsid w:val="00A9012A"/>
    <w:rsid w:val="00A91769"/>
    <w:rsid w:val="00A91ADF"/>
    <w:rsid w:val="00A93628"/>
    <w:rsid w:val="00A93E07"/>
    <w:rsid w:val="00A94B9D"/>
    <w:rsid w:val="00A94C27"/>
    <w:rsid w:val="00A94CB6"/>
    <w:rsid w:val="00A95290"/>
    <w:rsid w:val="00A95925"/>
    <w:rsid w:val="00A96685"/>
    <w:rsid w:val="00A97801"/>
    <w:rsid w:val="00AA0875"/>
    <w:rsid w:val="00AA0A35"/>
    <w:rsid w:val="00AA0CD3"/>
    <w:rsid w:val="00AA3343"/>
    <w:rsid w:val="00AA377A"/>
    <w:rsid w:val="00AA6202"/>
    <w:rsid w:val="00AA6B02"/>
    <w:rsid w:val="00AA725D"/>
    <w:rsid w:val="00AA755A"/>
    <w:rsid w:val="00AA7A83"/>
    <w:rsid w:val="00AA7C80"/>
    <w:rsid w:val="00AB02B8"/>
    <w:rsid w:val="00AB1854"/>
    <w:rsid w:val="00AB1E4B"/>
    <w:rsid w:val="00AB1E92"/>
    <w:rsid w:val="00AB22BB"/>
    <w:rsid w:val="00AB312D"/>
    <w:rsid w:val="00AB3437"/>
    <w:rsid w:val="00AB3DA3"/>
    <w:rsid w:val="00AB4115"/>
    <w:rsid w:val="00AB5E8F"/>
    <w:rsid w:val="00AB7A2F"/>
    <w:rsid w:val="00AC2C09"/>
    <w:rsid w:val="00AC329A"/>
    <w:rsid w:val="00AC5CDB"/>
    <w:rsid w:val="00AC5D62"/>
    <w:rsid w:val="00AC6CA5"/>
    <w:rsid w:val="00AC76D0"/>
    <w:rsid w:val="00AC799D"/>
    <w:rsid w:val="00AD00F3"/>
    <w:rsid w:val="00AD0210"/>
    <w:rsid w:val="00AD0F4F"/>
    <w:rsid w:val="00AD2CAF"/>
    <w:rsid w:val="00AD3CA3"/>
    <w:rsid w:val="00AD40F2"/>
    <w:rsid w:val="00AD556B"/>
    <w:rsid w:val="00AD5698"/>
    <w:rsid w:val="00AD63BA"/>
    <w:rsid w:val="00AD7664"/>
    <w:rsid w:val="00AE0860"/>
    <w:rsid w:val="00AE0F27"/>
    <w:rsid w:val="00AE2C96"/>
    <w:rsid w:val="00AE45D5"/>
    <w:rsid w:val="00AE626B"/>
    <w:rsid w:val="00AE6460"/>
    <w:rsid w:val="00AE6A9B"/>
    <w:rsid w:val="00AE7296"/>
    <w:rsid w:val="00AE72E7"/>
    <w:rsid w:val="00AF0123"/>
    <w:rsid w:val="00AF115E"/>
    <w:rsid w:val="00AF1172"/>
    <w:rsid w:val="00AF1C5C"/>
    <w:rsid w:val="00AF2CC6"/>
    <w:rsid w:val="00AF31B5"/>
    <w:rsid w:val="00AF3625"/>
    <w:rsid w:val="00AF379E"/>
    <w:rsid w:val="00AF3E61"/>
    <w:rsid w:val="00AF4C86"/>
    <w:rsid w:val="00AF6AA8"/>
    <w:rsid w:val="00AF6E8F"/>
    <w:rsid w:val="00B00F5E"/>
    <w:rsid w:val="00B01C9A"/>
    <w:rsid w:val="00B041E8"/>
    <w:rsid w:val="00B050CE"/>
    <w:rsid w:val="00B05173"/>
    <w:rsid w:val="00B05D42"/>
    <w:rsid w:val="00B05FE8"/>
    <w:rsid w:val="00B0624A"/>
    <w:rsid w:val="00B064C1"/>
    <w:rsid w:val="00B078A1"/>
    <w:rsid w:val="00B113A2"/>
    <w:rsid w:val="00B11BEC"/>
    <w:rsid w:val="00B13141"/>
    <w:rsid w:val="00B1354D"/>
    <w:rsid w:val="00B1362B"/>
    <w:rsid w:val="00B13D16"/>
    <w:rsid w:val="00B14860"/>
    <w:rsid w:val="00B14C91"/>
    <w:rsid w:val="00B16433"/>
    <w:rsid w:val="00B1775D"/>
    <w:rsid w:val="00B202A3"/>
    <w:rsid w:val="00B2137A"/>
    <w:rsid w:val="00B21738"/>
    <w:rsid w:val="00B21779"/>
    <w:rsid w:val="00B21DC4"/>
    <w:rsid w:val="00B21F81"/>
    <w:rsid w:val="00B2282D"/>
    <w:rsid w:val="00B2438E"/>
    <w:rsid w:val="00B24DBB"/>
    <w:rsid w:val="00B2608D"/>
    <w:rsid w:val="00B27D25"/>
    <w:rsid w:val="00B302FA"/>
    <w:rsid w:val="00B30450"/>
    <w:rsid w:val="00B32F3B"/>
    <w:rsid w:val="00B3530C"/>
    <w:rsid w:val="00B35C09"/>
    <w:rsid w:val="00B35E24"/>
    <w:rsid w:val="00B3607A"/>
    <w:rsid w:val="00B376D8"/>
    <w:rsid w:val="00B412B6"/>
    <w:rsid w:val="00B42F64"/>
    <w:rsid w:val="00B434A8"/>
    <w:rsid w:val="00B4425F"/>
    <w:rsid w:val="00B44F78"/>
    <w:rsid w:val="00B45CA7"/>
    <w:rsid w:val="00B4601D"/>
    <w:rsid w:val="00B465A1"/>
    <w:rsid w:val="00B47F73"/>
    <w:rsid w:val="00B5011D"/>
    <w:rsid w:val="00B504A5"/>
    <w:rsid w:val="00B51192"/>
    <w:rsid w:val="00B52850"/>
    <w:rsid w:val="00B5359A"/>
    <w:rsid w:val="00B53AB2"/>
    <w:rsid w:val="00B5464D"/>
    <w:rsid w:val="00B54980"/>
    <w:rsid w:val="00B5592A"/>
    <w:rsid w:val="00B55F92"/>
    <w:rsid w:val="00B57017"/>
    <w:rsid w:val="00B57CBB"/>
    <w:rsid w:val="00B57E6E"/>
    <w:rsid w:val="00B60FD2"/>
    <w:rsid w:val="00B616BC"/>
    <w:rsid w:val="00B62791"/>
    <w:rsid w:val="00B63B8F"/>
    <w:rsid w:val="00B6468F"/>
    <w:rsid w:val="00B64F17"/>
    <w:rsid w:val="00B652B9"/>
    <w:rsid w:val="00B66459"/>
    <w:rsid w:val="00B667D8"/>
    <w:rsid w:val="00B70BF4"/>
    <w:rsid w:val="00B70F14"/>
    <w:rsid w:val="00B71496"/>
    <w:rsid w:val="00B721AA"/>
    <w:rsid w:val="00B736F5"/>
    <w:rsid w:val="00B73B07"/>
    <w:rsid w:val="00B7413B"/>
    <w:rsid w:val="00B74A7A"/>
    <w:rsid w:val="00B74F4B"/>
    <w:rsid w:val="00B751B8"/>
    <w:rsid w:val="00B757DE"/>
    <w:rsid w:val="00B75FDA"/>
    <w:rsid w:val="00B76B9F"/>
    <w:rsid w:val="00B76F9A"/>
    <w:rsid w:val="00B7744C"/>
    <w:rsid w:val="00B81820"/>
    <w:rsid w:val="00B82402"/>
    <w:rsid w:val="00B83324"/>
    <w:rsid w:val="00B8332D"/>
    <w:rsid w:val="00B834C1"/>
    <w:rsid w:val="00B84969"/>
    <w:rsid w:val="00B853C9"/>
    <w:rsid w:val="00B863D1"/>
    <w:rsid w:val="00B86628"/>
    <w:rsid w:val="00B86661"/>
    <w:rsid w:val="00B86668"/>
    <w:rsid w:val="00B86EC8"/>
    <w:rsid w:val="00B87401"/>
    <w:rsid w:val="00B90420"/>
    <w:rsid w:val="00B90543"/>
    <w:rsid w:val="00B90BAD"/>
    <w:rsid w:val="00B91165"/>
    <w:rsid w:val="00B91445"/>
    <w:rsid w:val="00B92166"/>
    <w:rsid w:val="00B9294E"/>
    <w:rsid w:val="00B93491"/>
    <w:rsid w:val="00B93497"/>
    <w:rsid w:val="00B94ED9"/>
    <w:rsid w:val="00B9601A"/>
    <w:rsid w:val="00B97882"/>
    <w:rsid w:val="00B97F74"/>
    <w:rsid w:val="00BA022F"/>
    <w:rsid w:val="00BA045F"/>
    <w:rsid w:val="00BA0811"/>
    <w:rsid w:val="00BA0A60"/>
    <w:rsid w:val="00BA1CC7"/>
    <w:rsid w:val="00BA21CF"/>
    <w:rsid w:val="00BA246E"/>
    <w:rsid w:val="00BA2BF2"/>
    <w:rsid w:val="00BA450E"/>
    <w:rsid w:val="00BA48C3"/>
    <w:rsid w:val="00BA4CE7"/>
    <w:rsid w:val="00BA5743"/>
    <w:rsid w:val="00BA68F6"/>
    <w:rsid w:val="00BA6A92"/>
    <w:rsid w:val="00BA6DF6"/>
    <w:rsid w:val="00BB0941"/>
    <w:rsid w:val="00BB10FD"/>
    <w:rsid w:val="00BB184C"/>
    <w:rsid w:val="00BB3751"/>
    <w:rsid w:val="00BB3C2E"/>
    <w:rsid w:val="00BB4EA0"/>
    <w:rsid w:val="00BB524B"/>
    <w:rsid w:val="00BB5472"/>
    <w:rsid w:val="00BB6040"/>
    <w:rsid w:val="00BB69CE"/>
    <w:rsid w:val="00BB7E7E"/>
    <w:rsid w:val="00BB7EBA"/>
    <w:rsid w:val="00BC0F45"/>
    <w:rsid w:val="00BC0F4D"/>
    <w:rsid w:val="00BC28C1"/>
    <w:rsid w:val="00BC299E"/>
    <w:rsid w:val="00BC3654"/>
    <w:rsid w:val="00BC3C29"/>
    <w:rsid w:val="00BC43AF"/>
    <w:rsid w:val="00BC6C7E"/>
    <w:rsid w:val="00BC7B42"/>
    <w:rsid w:val="00BD0DFE"/>
    <w:rsid w:val="00BD2120"/>
    <w:rsid w:val="00BD310A"/>
    <w:rsid w:val="00BD31B6"/>
    <w:rsid w:val="00BD44BF"/>
    <w:rsid w:val="00BD6C26"/>
    <w:rsid w:val="00BD6E46"/>
    <w:rsid w:val="00BD6F0E"/>
    <w:rsid w:val="00BD7A52"/>
    <w:rsid w:val="00BE00A6"/>
    <w:rsid w:val="00BE0480"/>
    <w:rsid w:val="00BE2BAA"/>
    <w:rsid w:val="00BE2DCF"/>
    <w:rsid w:val="00BE2E61"/>
    <w:rsid w:val="00BE33D2"/>
    <w:rsid w:val="00BE4C0B"/>
    <w:rsid w:val="00BE541B"/>
    <w:rsid w:val="00BE63C1"/>
    <w:rsid w:val="00BE63E8"/>
    <w:rsid w:val="00BF1D9D"/>
    <w:rsid w:val="00BF2669"/>
    <w:rsid w:val="00BF2D46"/>
    <w:rsid w:val="00BF3007"/>
    <w:rsid w:val="00BF3E21"/>
    <w:rsid w:val="00BF49DF"/>
    <w:rsid w:val="00BF4D21"/>
    <w:rsid w:val="00BF5013"/>
    <w:rsid w:val="00BF53EA"/>
    <w:rsid w:val="00BF5420"/>
    <w:rsid w:val="00BF5750"/>
    <w:rsid w:val="00BF5B91"/>
    <w:rsid w:val="00BF6153"/>
    <w:rsid w:val="00BF6AFB"/>
    <w:rsid w:val="00BF7237"/>
    <w:rsid w:val="00BF78A6"/>
    <w:rsid w:val="00C01E78"/>
    <w:rsid w:val="00C030CD"/>
    <w:rsid w:val="00C03C41"/>
    <w:rsid w:val="00C061CF"/>
    <w:rsid w:val="00C075F9"/>
    <w:rsid w:val="00C07F68"/>
    <w:rsid w:val="00C11412"/>
    <w:rsid w:val="00C114BC"/>
    <w:rsid w:val="00C11606"/>
    <w:rsid w:val="00C1166D"/>
    <w:rsid w:val="00C11D59"/>
    <w:rsid w:val="00C1254B"/>
    <w:rsid w:val="00C13207"/>
    <w:rsid w:val="00C13252"/>
    <w:rsid w:val="00C13BF1"/>
    <w:rsid w:val="00C1425A"/>
    <w:rsid w:val="00C152B2"/>
    <w:rsid w:val="00C15ACE"/>
    <w:rsid w:val="00C17776"/>
    <w:rsid w:val="00C1779F"/>
    <w:rsid w:val="00C21375"/>
    <w:rsid w:val="00C21B0A"/>
    <w:rsid w:val="00C21C8C"/>
    <w:rsid w:val="00C22B68"/>
    <w:rsid w:val="00C22BBB"/>
    <w:rsid w:val="00C23460"/>
    <w:rsid w:val="00C24D2D"/>
    <w:rsid w:val="00C2518F"/>
    <w:rsid w:val="00C25590"/>
    <w:rsid w:val="00C25F4C"/>
    <w:rsid w:val="00C26EDE"/>
    <w:rsid w:val="00C27603"/>
    <w:rsid w:val="00C3051C"/>
    <w:rsid w:val="00C30FE0"/>
    <w:rsid w:val="00C3185E"/>
    <w:rsid w:val="00C31A8D"/>
    <w:rsid w:val="00C31FB2"/>
    <w:rsid w:val="00C32BB6"/>
    <w:rsid w:val="00C3331D"/>
    <w:rsid w:val="00C33785"/>
    <w:rsid w:val="00C33923"/>
    <w:rsid w:val="00C33A14"/>
    <w:rsid w:val="00C35066"/>
    <w:rsid w:val="00C35E4C"/>
    <w:rsid w:val="00C3674D"/>
    <w:rsid w:val="00C36D08"/>
    <w:rsid w:val="00C370C5"/>
    <w:rsid w:val="00C40BAE"/>
    <w:rsid w:val="00C40FCC"/>
    <w:rsid w:val="00C41974"/>
    <w:rsid w:val="00C42F1F"/>
    <w:rsid w:val="00C42F3C"/>
    <w:rsid w:val="00C436E6"/>
    <w:rsid w:val="00C43805"/>
    <w:rsid w:val="00C43E4E"/>
    <w:rsid w:val="00C4412A"/>
    <w:rsid w:val="00C46185"/>
    <w:rsid w:val="00C46658"/>
    <w:rsid w:val="00C46A48"/>
    <w:rsid w:val="00C510B7"/>
    <w:rsid w:val="00C51706"/>
    <w:rsid w:val="00C5194B"/>
    <w:rsid w:val="00C52217"/>
    <w:rsid w:val="00C52D05"/>
    <w:rsid w:val="00C532DE"/>
    <w:rsid w:val="00C54C54"/>
    <w:rsid w:val="00C578AE"/>
    <w:rsid w:val="00C600D2"/>
    <w:rsid w:val="00C61C68"/>
    <w:rsid w:val="00C62343"/>
    <w:rsid w:val="00C6240B"/>
    <w:rsid w:val="00C62950"/>
    <w:rsid w:val="00C62C74"/>
    <w:rsid w:val="00C62E6A"/>
    <w:rsid w:val="00C635BA"/>
    <w:rsid w:val="00C63AB7"/>
    <w:rsid w:val="00C64739"/>
    <w:rsid w:val="00C65390"/>
    <w:rsid w:val="00C65B43"/>
    <w:rsid w:val="00C65B4C"/>
    <w:rsid w:val="00C66B06"/>
    <w:rsid w:val="00C66C59"/>
    <w:rsid w:val="00C67111"/>
    <w:rsid w:val="00C67FDF"/>
    <w:rsid w:val="00C70E73"/>
    <w:rsid w:val="00C72CFC"/>
    <w:rsid w:val="00C74CD5"/>
    <w:rsid w:val="00C74F27"/>
    <w:rsid w:val="00C75958"/>
    <w:rsid w:val="00C760F3"/>
    <w:rsid w:val="00C767A4"/>
    <w:rsid w:val="00C76947"/>
    <w:rsid w:val="00C77751"/>
    <w:rsid w:val="00C77844"/>
    <w:rsid w:val="00C77FA6"/>
    <w:rsid w:val="00C8029F"/>
    <w:rsid w:val="00C808ED"/>
    <w:rsid w:val="00C816B1"/>
    <w:rsid w:val="00C8181E"/>
    <w:rsid w:val="00C822DE"/>
    <w:rsid w:val="00C82433"/>
    <w:rsid w:val="00C83423"/>
    <w:rsid w:val="00C835BF"/>
    <w:rsid w:val="00C84522"/>
    <w:rsid w:val="00C85F20"/>
    <w:rsid w:val="00C90FFC"/>
    <w:rsid w:val="00C9175E"/>
    <w:rsid w:val="00C92859"/>
    <w:rsid w:val="00C92AAC"/>
    <w:rsid w:val="00C92AF9"/>
    <w:rsid w:val="00C934F3"/>
    <w:rsid w:val="00C93C0B"/>
    <w:rsid w:val="00C96947"/>
    <w:rsid w:val="00C96DD1"/>
    <w:rsid w:val="00C97215"/>
    <w:rsid w:val="00CA0D1E"/>
    <w:rsid w:val="00CA16F4"/>
    <w:rsid w:val="00CA3D49"/>
    <w:rsid w:val="00CA46A5"/>
    <w:rsid w:val="00CA592D"/>
    <w:rsid w:val="00CA66C0"/>
    <w:rsid w:val="00CA6EC9"/>
    <w:rsid w:val="00CB1BBF"/>
    <w:rsid w:val="00CB22F4"/>
    <w:rsid w:val="00CB2DFF"/>
    <w:rsid w:val="00CB318E"/>
    <w:rsid w:val="00CB3861"/>
    <w:rsid w:val="00CB4663"/>
    <w:rsid w:val="00CB4B1E"/>
    <w:rsid w:val="00CB5614"/>
    <w:rsid w:val="00CB59AF"/>
    <w:rsid w:val="00CB6EDB"/>
    <w:rsid w:val="00CB7875"/>
    <w:rsid w:val="00CC0DCD"/>
    <w:rsid w:val="00CC110F"/>
    <w:rsid w:val="00CC1607"/>
    <w:rsid w:val="00CC2D79"/>
    <w:rsid w:val="00CC328D"/>
    <w:rsid w:val="00CC547C"/>
    <w:rsid w:val="00CC5CD5"/>
    <w:rsid w:val="00CC662A"/>
    <w:rsid w:val="00CC6A95"/>
    <w:rsid w:val="00CC74EA"/>
    <w:rsid w:val="00CD0570"/>
    <w:rsid w:val="00CD0E18"/>
    <w:rsid w:val="00CD12C0"/>
    <w:rsid w:val="00CD2575"/>
    <w:rsid w:val="00CD3964"/>
    <w:rsid w:val="00CD3DAD"/>
    <w:rsid w:val="00CE0FF2"/>
    <w:rsid w:val="00CE13A2"/>
    <w:rsid w:val="00CE549B"/>
    <w:rsid w:val="00CE6038"/>
    <w:rsid w:val="00CE7570"/>
    <w:rsid w:val="00CF2153"/>
    <w:rsid w:val="00CF2841"/>
    <w:rsid w:val="00CF3E95"/>
    <w:rsid w:val="00CF468E"/>
    <w:rsid w:val="00CF5A4D"/>
    <w:rsid w:val="00CF5AE5"/>
    <w:rsid w:val="00CF6A4D"/>
    <w:rsid w:val="00CF7EDC"/>
    <w:rsid w:val="00D03ECD"/>
    <w:rsid w:val="00D04919"/>
    <w:rsid w:val="00D05315"/>
    <w:rsid w:val="00D06666"/>
    <w:rsid w:val="00D06FB3"/>
    <w:rsid w:val="00D071F4"/>
    <w:rsid w:val="00D073B2"/>
    <w:rsid w:val="00D079D4"/>
    <w:rsid w:val="00D109AB"/>
    <w:rsid w:val="00D1118C"/>
    <w:rsid w:val="00D1133E"/>
    <w:rsid w:val="00D11924"/>
    <w:rsid w:val="00D132DC"/>
    <w:rsid w:val="00D13923"/>
    <w:rsid w:val="00D139D9"/>
    <w:rsid w:val="00D164A2"/>
    <w:rsid w:val="00D16E1B"/>
    <w:rsid w:val="00D17E81"/>
    <w:rsid w:val="00D20136"/>
    <w:rsid w:val="00D21252"/>
    <w:rsid w:val="00D22524"/>
    <w:rsid w:val="00D22927"/>
    <w:rsid w:val="00D2302B"/>
    <w:rsid w:val="00D240D0"/>
    <w:rsid w:val="00D25982"/>
    <w:rsid w:val="00D264FA"/>
    <w:rsid w:val="00D26517"/>
    <w:rsid w:val="00D30392"/>
    <w:rsid w:val="00D304B6"/>
    <w:rsid w:val="00D30BAD"/>
    <w:rsid w:val="00D31120"/>
    <w:rsid w:val="00D33C6C"/>
    <w:rsid w:val="00D3471A"/>
    <w:rsid w:val="00D35F59"/>
    <w:rsid w:val="00D35F5B"/>
    <w:rsid w:val="00D363B5"/>
    <w:rsid w:val="00D36B70"/>
    <w:rsid w:val="00D36B78"/>
    <w:rsid w:val="00D371E4"/>
    <w:rsid w:val="00D37E9F"/>
    <w:rsid w:val="00D40015"/>
    <w:rsid w:val="00D4035A"/>
    <w:rsid w:val="00D41D33"/>
    <w:rsid w:val="00D42B1B"/>
    <w:rsid w:val="00D42FEE"/>
    <w:rsid w:val="00D43147"/>
    <w:rsid w:val="00D438A3"/>
    <w:rsid w:val="00D44329"/>
    <w:rsid w:val="00D44CD7"/>
    <w:rsid w:val="00D4504B"/>
    <w:rsid w:val="00D4524B"/>
    <w:rsid w:val="00D46A31"/>
    <w:rsid w:val="00D47361"/>
    <w:rsid w:val="00D47FAC"/>
    <w:rsid w:val="00D50022"/>
    <w:rsid w:val="00D50A33"/>
    <w:rsid w:val="00D51032"/>
    <w:rsid w:val="00D5513A"/>
    <w:rsid w:val="00D55C78"/>
    <w:rsid w:val="00D55E35"/>
    <w:rsid w:val="00D56415"/>
    <w:rsid w:val="00D57C67"/>
    <w:rsid w:val="00D57FFD"/>
    <w:rsid w:val="00D6022D"/>
    <w:rsid w:val="00D617E9"/>
    <w:rsid w:val="00D630CE"/>
    <w:rsid w:val="00D634F9"/>
    <w:rsid w:val="00D65377"/>
    <w:rsid w:val="00D6662C"/>
    <w:rsid w:val="00D67173"/>
    <w:rsid w:val="00D676A6"/>
    <w:rsid w:val="00D67F40"/>
    <w:rsid w:val="00D7022A"/>
    <w:rsid w:val="00D70A26"/>
    <w:rsid w:val="00D718A1"/>
    <w:rsid w:val="00D71B52"/>
    <w:rsid w:val="00D7215B"/>
    <w:rsid w:val="00D731D8"/>
    <w:rsid w:val="00D73B9C"/>
    <w:rsid w:val="00D73BDF"/>
    <w:rsid w:val="00D746DD"/>
    <w:rsid w:val="00D74951"/>
    <w:rsid w:val="00D761F8"/>
    <w:rsid w:val="00D77E25"/>
    <w:rsid w:val="00D805F0"/>
    <w:rsid w:val="00D80AEC"/>
    <w:rsid w:val="00D80EDD"/>
    <w:rsid w:val="00D8178F"/>
    <w:rsid w:val="00D8205F"/>
    <w:rsid w:val="00D8234C"/>
    <w:rsid w:val="00D831F1"/>
    <w:rsid w:val="00D8373B"/>
    <w:rsid w:val="00D83EB4"/>
    <w:rsid w:val="00D842DD"/>
    <w:rsid w:val="00D87B42"/>
    <w:rsid w:val="00D90C00"/>
    <w:rsid w:val="00D911BA"/>
    <w:rsid w:val="00D9309C"/>
    <w:rsid w:val="00D935BD"/>
    <w:rsid w:val="00D938DF"/>
    <w:rsid w:val="00D94543"/>
    <w:rsid w:val="00D94C69"/>
    <w:rsid w:val="00D95843"/>
    <w:rsid w:val="00D967A5"/>
    <w:rsid w:val="00D96C69"/>
    <w:rsid w:val="00D97206"/>
    <w:rsid w:val="00DA0710"/>
    <w:rsid w:val="00DA0BC0"/>
    <w:rsid w:val="00DA1008"/>
    <w:rsid w:val="00DA1392"/>
    <w:rsid w:val="00DA152B"/>
    <w:rsid w:val="00DA27B8"/>
    <w:rsid w:val="00DA2F7A"/>
    <w:rsid w:val="00DA329D"/>
    <w:rsid w:val="00DA35B7"/>
    <w:rsid w:val="00DA35BE"/>
    <w:rsid w:val="00DA42C8"/>
    <w:rsid w:val="00DA4362"/>
    <w:rsid w:val="00DA5044"/>
    <w:rsid w:val="00DA5A16"/>
    <w:rsid w:val="00DA6A02"/>
    <w:rsid w:val="00DA7128"/>
    <w:rsid w:val="00DA7EDC"/>
    <w:rsid w:val="00DB04A7"/>
    <w:rsid w:val="00DB1023"/>
    <w:rsid w:val="00DB1043"/>
    <w:rsid w:val="00DB15C0"/>
    <w:rsid w:val="00DB5D63"/>
    <w:rsid w:val="00DB72D0"/>
    <w:rsid w:val="00DC062A"/>
    <w:rsid w:val="00DC1E2C"/>
    <w:rsid w:val="00DC2335"/>
    <w:rsid w:val="00DC2B67"/>
    <w:rsid w:val="00DC3DA2"/>
    <w:rsid w:val="00DC4575"/>
    <w:rsid w:val="00DC5215"/>
    <w:rsid w:val="00DC538C"/>
    <w:rsid w:val="00DC5F90"/>
    <w:rsid w:val="00DC60E9"/>
    <w:rsid w:val="00DC64F5"/>
    <w:rsid w:val="00DC6750"/>
    <w:rsid w:val="00DC69EC"/>
    <w:rsid w:val="00DC6B3E"/>
    <w:rsid w:val="00DC77A9"/>
    <w:rsid w:val="00DD00EC"/>
    <w:rsid w:val="00DD02C9"/>
    <w:rsid w:val="00DD02DD"/>
    <w:rsid w:val="00DD05FE"/>
    <w:rsid w:val="00DD079B"/>
    <w:rsid w:val="00DD12A8"/>
    <w:rsid w:val="00DD1960"/>
    <w:rsid w:val="00DD1BAA"/>
    <w:rsid w:val="00DD21C7"/>
    <w:rsid w:val="00DD2C0F"/>
    <w:rsid w:val="00DD3609"/>
    <w:rsid w:val="00DD3C07"/>
    <w:rsid w:val="00DD3F6A"/>
    <w:rsid w:val="00DD40D8"/>
    <w:rsid w:val="00DD4859"/>
    <w:rsid w:val="00DD4DF0"/>
    <w:rsid w:val="00DD7B0B"/>
    <w:rsid w:val="00DD7EC4"/>
    <w:rsid w:val="00DE0708"/>
    <w:rsid w:val="00DE0C98"/>
    <w:rsid w:val="00DE222E"/>
    <w:rsid w:val="00DE3725"/>
    <w:rsid w:val="00DE3FBB"/>
    <w:rsid w:val="00DE776A"/>
    <w:rsid w:val="00DF1020"/>
    <w:rsid w:val="00DF1985"/>
    <w:rsid w:val="00DF4D6F"/>
    <w:rsid w:val="00DF64EE"/>
    <w:rsid w:val="00DF6E91"/>
    <w:rsid w:val="00DF708C"/>
    <w:rsid w:val="00E00997"/>
    <w:rsid w:val="00E01A9F"/>
    <w:rsid w:val="00E02EF1"/>
    <w:rsid w:val="00E04411"/>
    <w:rsid w:val="00E04DC9"/>
    <w:rsid w:val="00E06FC5"/>
    <w:rsid w:val="00E0770D"/>
    <w:rsid w:val="00E1065A"/>
    <w:rsid w:val="00E13676"/>
    <w:rsid w:val="00E14E49"/>
    <w:rsid w:val="00E15491"/>
    <w:rsid w:val="00E17B42"/>
    <w:rsid w:val="00E20405"/>
    <w:rsid w:val="00E20998"/>
    <w:rsid w:val="00E21806"/>
    <w:rsid w:val="00E2196B"/>
    <w:rsid w:val="00E239BC"/>
    <w:rsid w:val="00E249D2"/>
    <w:rsid w:val="00E24DB8"/>
    <w:rsid w:val="00E2542D"/>
    <w:rsid w:val="00E25EAC"/>
    <w:rsid w:val="00E273CE"/>
    <w:rsid w:val="00E3017A"/>
    <w:rsid w:val="00E301AA"/>
    <w:rsid w:val="00E31E7C"/>
    <w:rsid w:val="00E31F0E"/>
    <w:rsid w:val="00E33397"/>
    <w:rsid w:val="00E33C08"/>
    <w:rsid w:val="00E34360"/>
    <w:rsid w:val="00E343F3"/>
    <w:rsid w:val="00E34C0C"/>
    <w:rsid w:val="00E35B88"/>
    <w:rsid w:val="00E36EB2"/>
    <w:rsid w:val="00E37198"/>
    <w:rsid w:val="00E40911"/>
    <w:rsid w:val="00E411F6"/>
    <w:rsid w:val="00E41747"/>
    <w:rsid w:val="00E457C9"/>
    <w:rsid w:val="00E45FA7"/>
    <w:rsid w:val="00E46DDA"/>
    <w:rsid w:val="00E46F79"/>
    <w:rsid w:val="00E47F9A"/>
    <w:rsid w:val="00E50594"/>
    <w:rsid w:val="00E51157"/>
    <w:rsid w:val="00E518E2"/>
    <w:rsid w:val="00E52602"/>
    <w:rsid w:val="00E52D40"/>
    <w:rsid w:val="00E54B44"/>
    <w:rsid w:val="00E551B4"/>
    <w:rsid w:val="00E558DB"/>
    <w:rsid w:val="00E568F8"/>
    <w:rsid w:val="00E56AB7"/>
    <w:rsid w:val="00E60218"/>
    <w:rsid w:val="00E60602"/>
    <w:rsid w:val="00E60649"/>
    <w:rsid w:val="00E61366"/>
    <w:rsid w:val="00E6163B"/>
    <w:rsid w:val="00E61CC4"/>
    <w:rsid w:val="00E62C3E"/>
    <w:rsid w:val="00E63259"/>
    <w:rsid w:val="00E63768"/>
    <w:rsid w:val="00E63ACC"/>
    <w:rsid w:val="00E6754E"/>
    <w:rsid w:val="00E71705"/>
    <w:rsid w:val="00E71807"/>
    <w:rsid w:val="00E71C46"/>
    <w:rsid w:val="00E74670"/>
    <w:rsid w:val="00E74D96"/>
    <w:rsid w:val="00E757C8"/>
    <w:rsid w:val="00E75FA0"/>
    <w:rsid w:val="00E76470"/>
    <w:rsid w:val="00E768CD"/>
    <w:rsid w:val="00E76AE4"/>
    <w:rsid w:val="00E76BA9"/>
    <w:rsid w:val="00E76D88"/>
    <w:rsid w:val="00E772D2"/>
    <w:rsid w:val="00E77985"/>
    <w:rsid w:val="00E77CB6"/>
    <w:rsid w:val="00E77DB4"/>
    <w:rsid w:val="00E80395"/>
    <w:rsid w:val="00E804FA"/>
    <w:rsid w:val="00E80B87"/>
    <w:rsid w:val="00E80F83"/>
    <w:rsid w:val="00E81019"/>
    <w:rsid w:val="00E82F22"/>
    <w:rsid w:val="00E83D51"/>
    <w:rsid w:val="00E847FB"/>
    <w:rsid w:val="00E8488D"/>
    <w:rsid w:val="00E856EA"/>
    <w:rsid w:val="00E85F94"/>
    <w:rsid w:val="00E8608F"/>
    <w:rsid w:val="00E8644B"/>
    <w:rsid w:val="00E914BF"/>
    <w:rsid w:val="00E91911"/>
    <w:rsid w:val="00E92684"/>
    <w:rsid w:val="00E93311"/>
    <w:rsid w:val="00E94828"/>
    <w:rsid w:val="00E94B82"/>
    <w:rsid w:val="00E95D25"/>
    <w:rsid w:val="00E95E39"/>
    <w:rsid w:val="00E96E71"/>
    <w:rsid w:val="00E97146"/>
    <w:rsid w:val="00E97D97"/>
    <w:rsid w:val="00E97E59"/>
    <w:rsid w:val="00EA0336"/>
    <w:rsid w:val="00EA08A2"/>
    <w:rsid w:val="00EA0DCE"/>
    <w:rsid w:val="00EA2615"/>
    <w:rsid w:val="00EA3A57"/>
    <w:rsid w:val="00EA3FE5"/>
    <w:rsid w:val="00EA47D6"/>
    <w:rsid w:val="00EA4F74"/>
    <w:rsid w:val="00EA5FD5"/>
    <w:rsid w:val="00EB0223"/>
    <w:rsid w:val="00EB0AF9"/>
    <w:rsid w:val="00EB0B23"/>
    <w:rsid w:val="00EB0D91"/>
    <w:rsid w:val="00EB1B88"/>
    <w:rsid w:val="00EB2504"/>
    <w:rsid w:val="00EB3395"/>
    <w:rsid w:val="00EB344B"/>
    <w:rsid w:val="00EB426B"/>
    <w:rsid w:val="00EB5E79"/>
    <w:rsid w:val="00EB62AA"/>
    <w:rsid w:val="00EC19E6"/>
    <w:rsid w:val="00EC26B3"/>
    <w:rsid w:val="00EC30DF"/>
    <w:rsid w:val="00EC4134"/>
    <w:rsid w:val="00EC4E85"/>
    <w:rsid w:val="00EC5372"/>
    <w:rsid w:val="00EC5C3A"/>
    <w:rsid w:val="00EC6A6B"/>
    <w:rsid w:val="00ED05DC"/>
    <w:rsid w:val="00ED0A9B"/>
    <w:rsid w:val="00ED0CB4"/>
    <w:rsid w:val="00ED21D4"/>
    <w:rsid w:val="00ED419E"/>
    <w:rsid w:val="00ED6244"/>
    <w:rsid w:val="00ED68B3"/>
    <w:rsid w:val="00ED75D6"/>
    <w:rsid w:val="00ED78C3"/>
    <w:rsid w:val="00ED78FE"/>
    <w:rsid w:val="00EE22F8"/>
    <w:rsid w:val="00EE2515"/>
    <w:rsid w:val="00EE2E48"/>
    <w:rsid w:val="00EE2FE1"/>
    <w:rsid w:val="00EE3BD4"/>
    <w:rsid w:val="00EE52EA"/>
    <w:rsid w:val="00EE59BD"/>
    <w:rsid w:val="00EE5D4E"/>
    <w:rsid w:val="00EE674F"/>
    <w:rsid w:val="00EF0B7C"/>
    <w:rsid w:val="00EF1B3B"/>
    <w:rsid w:val="00EF1CF1"/>
    <w:rsid w:val="00EF3275"/>
    <w:rsid w:val="00EF355A"/>
    <w:rsid w:val="00EF36C6"/>
    <w:rsid w:val="00EF44AB"/>
    <w:rsid w:val="00EF457A"/>
    <w:rsid w:val="00EF4D65"/>
    <w:rsid w:val="00EF5802"/>
    <w:rsid w:val="00EF6391"/>
    <w:rsid w:val="00EF7C06"/>
    <w:rsid w:val="00F00950"/>
    <w:rsid w:val="00F01CBB"/>
    <w:rsid w:val="00F0488E"/>
    <w:rsid w:val="00F06D3F"/>
    <w:rsid w:val="00F07817"/>
    <w:rsid w:val="00F07972"/>
    <w:rsid w:val="00F07B05"/>
    <w:rsid w:val="00F108E3"/>
    <w:rsid w:val="00F10A8B"/>
    <w:rsid w:val="00F10D2F"/>
    <w:rsid w:val="00F11B8B"/>
    <w:rsid w:val="00F11BBB"/>
    <w:rsid w:val="00F15288"/>
    <w:rsid w:val="00F16635"/>
    <w:rsid w:val="00F238E1"/>
    <w:rsid w:val="00F248B9"/>
    <w:rsid w:val="00F2589C"/>
    <w:rsid w:val="00F27877"/>
    <w:rsid w:val="00F27EDC"/>
    <w:rsid w:val="00F32FA9"/>
    <w:rsid w:val="00F3406E"/>
    <w:rsid w:val="00F3451C"/>
    <w:rsid w:val="00F359A7"/>
    <w:rsid w:val="00F37FDB"/>
    <w:rsid w:val="00F401D3"/>
    <w:rsid w:val="00F40EC9"/>
    <w:rsid w:val="00F42E69"/>
    <w:rsid w:val="00F43488"/>
    <w:rsid w:val="00F44250"/>
    <w:rsid w:val="00F444E6"/>
    <w:rsid w:val="00F46ADB"/>
    <w:rsid w:val="00F4746C"/>
    <w:rsid w:val="00F47533"/>
    <w:rsid w:val="00F4760C"/>
    <w:rsid w:val="00F47665"/>
    <w:rsid w:val="00F50369"/>
    <w:rsid w:val="00F5077A"/>
    <w:rsid w:val="00F52A53"/>
    <w:rsid w:val="00F52AD5"/>
    <w:rsid w:val="00F53083"/>
    <w:rsid w:val="00F54CE4"/>
    <w:rsid w:val="00F56A01"/>
    <w:rsid w:val="00F56C43"/>
    <w:rsid w:val="00F57281"/>
    <w:rsid w:val="00F611CF"/>
    <w:rsid w:val="00F621CB"/>
    <w:rsid w:val="00F6276F"/>
    <w:rsid w:val="00F6315A"/>
    <w:rsid w:val="00F63FBB"/>
    <w:rsid w:val="00F669E3"/>
    <w:rsid w:val="00F6716C"/>
    <w:rsid w:val="00F706CA"/>
    <w:rsid w:val="00F7260E"/>
    <w:rsid w:val="00F72850"/>
    <w:rsid w:val="00F728E1"/>
    <w:rsid w:val="00F72932"/>
    <w:rsid w:val="00F73816"/>
    <w:rsid w:val="00F744A2"/>
    <w:rsid w:val="00F74574"/>
    <w:rsid w:val="00F76375"/>
    <w:rsid w:val="00F76400"/>
    <w:rsid w:val="00F765FB"/>
    <w:rsid w:val="00F7717A"/>
    <w:rsid w:val="00F810A1"/>
    <w:rsid w:val="00F811BB"/>
    <w:rsid w:val="00F81ACF"/>
    <w:rsid w:val="00F8356E"/>
    <w:rsid w:val="00F83600"/>
    <w:rsid w:val="00F83E7B"/>
    <w:rsid w:val="00F83E87"/>
    <w:rsid w:val="00F8496F"/>
    <w:rsid w:val="00F85870"/>
    <w:rsid w:val="00F8646E"/>
    <w:rsid w:val="00F86D29"/>
    <w:rsid w:val="00F903A7"/>
    <w:rsid w:val="00F9050B"/>
    <w:rsid w:val="00F90A95"/>
    <w:rsid w:val="00F92252"/>
    <w:rsid w:val="00F93737"/>
    <w:rsid w:val="00F94737"/>
    <w:rsid w:val="00F955C5"/>
    <w:rsid w:val="00F9753D"/>
    <w:rsid w:val="00F978D0"/>
    <w:rsid w:val="00FA185D"/>
    <w:rsid w:val="00FA2AF4"/>
    <w:rsid w:val="00FA3A6E"/>
    <w:rsid w:val="00FB0227"/>
    <w:rsid w:val="00FB0403"/>
    <w:rsid w:val="00FB0DAB"/>
    <w:rsid w:val="00FB1DE4"/>
    <w:rsid w:val="00FB2508"/>
    <w:rsid w:val="00FB2789"/>
    <w:rsid w:val="00FB2B13"/>
    <w:rsid w:val="00FB36F1"/>
    <w:rsid w:val="00FB46C2"/>
    <w:rsid w:val="00FB776C"/>
    <w:rsid w:val="00FC02AF"/>
    <w:rsid w:val="00FC0E28"/>
    <w:rsid w:val="00FC188B"/>
    <w:rsid w:val="00FC3E46"/>
    <w:rsid w:val="00FC4EE2"/>
    <w:rsid w:val="00FC50DF"/>
    <w:rsid w:val="00FC53A5"/>
    <w:rsid w:val="00FC59A9"/>
    <w:rsid w:val="00FC7C0B"/>
    <w:rsid w:val="00FD208E"/>
    <w:rsid w:val="00FD21E4"/>
    <w:rsid w:val="00FD5243"/>
    <w:rsid w:val="00FD620C"/>
    <w:rsid w:val="00FD64B8"/>
    <w:rsid w:val="00FD7E76"/>
    <w:rsid w:val="00FE0E11"/>
    <w:rsid w:val="00FE27A9"/>
    <w:rsid w:val="00FE2DC0"/>
    <w:rsid w:val="00FE3DD6"/>
    <w:rsid w:val="00FE563E"/>
    <w:rsid w:val="00FE631B"/>
    <w:rsid w:val="00FE7EE2"/>
    <w:rsid w:val="00FF04F5"/>
    <w:rsid w:val="00FF1072"/>
    <w:rsid w:val="00FF1C52"/>
    <w:rsid w:val="00FF1E42"/>
    <w:rsid w:val="00FF2B7B"/>
    <w:rsid w:val="00FF518C"/>
    <w:rsid w:val="00FF5A4F"/>
    <w:rsid w:val="00FF5C19"/>
    <w:rsid w:val="00FF5F06"/>
    <w:rsid w:val="00FF6081"/>
    <w:rsid w:val="00FF75A0"/>
    <w:rsid w:val="010008AC"/>
    <w:rsid w:val="0136557F"/>
    <w:rsid w:val="01377140"/>
    <w:rsid w:val="01566563"/>
    <w:rsid w:val="015D4C17"/>
    <w:rsid w:val="01896EF6"/>
    <w:rsid w:val="01C859EB"/>
    <w:rsid w:val="01DF2D46"/>
    <w:rsid w:val="01F721D4"/>
    <w:rsid w:val="021358C1"/>
    <w:rsid w:val="022C0315"/>
    <w:rsid w:val="02331ABF"/>
    <w:rsid w:val="025412CA"/>
    <w:rsid w:val="028914D7"/>
    <w:rsid w:val="02920666"/>
    <w:rsid w:val="02C2381C"/>
    <w:rsid w:val="02F079B0"/>
    <w:rsid w:val="031713E0"/>
    <w:rsid w:val="03305FFE"/>
    <w:rsid w:val="035166A0"/>
    <w:rsid w:val="037138C3"/>
    <w:rsid w:val="039136E6"/>
    <w:rsid w:val="03AF6231"/>
    <w:rsid w:val="03BE7AAE"/>
    <w:rsid w:val="03D1333D"/>
    <w:rsid w:val="03EA2651"/>
    <w:rsid w:val="040E209A"/>
    <w:rsid w:val="04163446"/>
    <w:rsid w:val="041717EF"/>
    <w:rsid w:val="041819AC"/>
    <w:rsid w:val="04304E1A"/>
    <w:rsid w:val="04506958"/>
    <w:rsid w:val="04553F6E"/>
    <w:rsid w:val="04567CE7"/>
    <w:rsid w:val="045D120F"/>
    <w:rsid w:val="04642403"/>
    <w:rsid w:val="046917C8"/>
    <w:rsid w:val="04844854"/>
    <w:rsid w:val="049D5915"/>
    <w:rsid w:val="04D94896"/>
    <w:rsid w:val="04DC4690"/>
    <w:rsid w:val="04E80BD9"/>
    <w:rsid w:val="051E25B2"/>
    <w:rsid w:val="052B6D0E"/>
    <w:rsid w:val="0541733A"/>
    <w:rsid w:val="055165CD"/>
    <w:rsid w:val="05635902"/>
    <w:rsid w:val="05C31268"/>
    <w:rsid w:val="05CD5D86"/>
    <w:rsid w:val="05D56D6F"/>
    <w:rsid w:val="05D74366"/>
    <w:rsid w:val="05DC0A98"/>
    <w:rsid w:val="05FA6D42"/>
    <w:rsid w:val="05FB6D97"/>
    <w:rsid w:val="0637645B"/>
    <w:rsid w:val="064B4725"/>
    <w:rsid w:val="0675031D"/>
    <w:rsid w:val="06A71FE3"/>
    <w:rsid w:val="06A952BB"/>
    <w:rsid w:val="06B01930"/>
    <w:rsid w:val="06D03897"/>
    <w:rsid w:val="06D70EAA"/>
    <w:rsid w:val="06E90845"/>
    <w:rsid w:val="06F751F2"/>
    <w:rsid w:val="070131DF"/>
    <w:rsid w:val="070B4DB8"/>
    <w:rsid w:val="071F2612"/>
    <w:rsid w:val="07294024"/>
    <w:rsid w:val="072B6D8F"/>
    <w:rsid w:val="07351E35"/>
    <w:rsid w:val="07442078"/>
    <w:rsid w:val="0744651C"/>
    <w:rsid w:val="074871CB"/>
    <w:rsid w:val="07530445"/>
    <w:rsid w:val="0765DC92"/>
    <w:rsid w:val="07C733D5"/>
    <w:rsid w:val="080C2F9C"/>
    <w:rsid w:val="08145EEF"/>
    <w:rsid w:val="08296D1A"/>
    <w:rsid w:val="08326375"/>
    <w:rsid w:val="08665B7F"/>
    <w:rsid w:val="08CD45EF"/>
    <w:rsid w:val="08F57ACE"/>
    <w:rsid w:val="08FA75F1"/>
    <w:rsid w:val="090917CB"/>
    <w:rsid w:val="09190386"/>
    <w:rsid w:val="09203D02"/>
    <w:rsid w:val="0922463B"/>
    <w:rsid w:val="09286BA0"/>
    <w:rsid w:val="092E45F2"/>
    <w:rsid w:val="093525C0"/>
    <w:rsid w:val="093B03CB"/>
    <w:rsid w:val="09566154"/>
    <w:rsid w:val="095A3DD5"/>
    <w:rsid w:val="09624B8B"/>
    <w:rsid w:val="096639B8"/>
    <w:rsid w:val="09880942"/>
    <w:rsid w:val="098D7D07"/>
    <w:rsid w:val="098F1CD1"/>
    <w:rsid w:val="099077F7"/>
    <w:rsid w:val="09A446A1"/>
    <w:rsid w:val="09B9779C"/>
    <w:rsid w:val="09E83001"/>
    <w:rsid w:val="09ED0989"/>
    <w:rsid w:val="09F064E7"/>
    <w:rsid w:val="0A156EA8"/>
    <w:rsid w:val="0A491B27"/>
    <w:rsid w:val="0A6A629A"/>
    <w:rsid w:val="0A6D3B7A"/>
    <w:rsid w:val="0A794981"/>
    <w:rsid w:val="0AA572D2"/>
    <w:rsid w:val="0AE71698"/>
    <w:rsid w:val="0AE93662"/>
    <w:rsid w:val="0B114967"/>
    <w:rsid w:val="0B1701D0"/>
    <w:rsid w:val="0B6863C6"/>
    <w:rsid w:val="0B837613"/>
    <w:rsid w:val="0B8C6D77"/>
    <w:rsid w:val="0B8D32E8"/>
    <w:rsid w:val="0BB35A1E"/>
    <w:rsid w:val="0BD55E12"/>
    <w:rsid w:val="0BF202F5"/>
    <w:rsid w:val="0C177D5B"/>
    <w:rsid w:val="0C186018"/>
    <w:rsid w:val="0C3721AC"/>
    <w:rsid w:val="0C6D22A1"/>
    <w:rsid w:val="0C897269"/>
    <w:rsid w:val="0CA912FB"/>
    <w:rsid w:val="0CC94188"/>
    <w:rsid w:val="0CDB347F"/>
    <w:rsid w:val="0CDF4D1D"/>
    <w:rsid w:val="0CEB3318"/>
    <w:rsid w:val="0CFA3905"/>
    <w:rsid w:val="0D200BF0"/>
    <w:rsid w:val="0D2546FA"/>
    <w:rsid w:val="0D26073D"/>
    <w:rsid w:val="0D575060"/>
    <w:rsid w:val="0D5D5C42"/>
    <w:rsid w:val="0D7116FB"/>
    <w:rsid w:val="0D7731A8"/>
    <w:rsid w:val="0D7B49C2"/>
    <w:rsid w:val="0D8B4606"/>
    <w:rsid w:val="0DAC49E8"/>
    <w:rsid w:val="0DCD1019"/>
    <w:rsid w:val="0DE416C7"/>
    <w:rsid w:val="0DFA16E3"/>
    <w:rsid w:val="0E016F15"/>
    <w:rsid w:val="0E074DF2"/>
    <w:rsid w:val="0E103DCE"/>
    <w:rsid w:val="0E215D30"/>
    <w:rsid w:val="0E4E2795"/>
    <w:rsid w:val="0E903DF5"/>
    <w:rsid w:val="0EA10DF4"/>
    <w:rsid w:val="0EB775D4"/>
    <w:rsid w:val="0EC046DA"/>
    <w:rsid w:val="0F0071CD"/>
    <w:rsid w:val="0F0A20AB"/>
    <w:rsid w:val="0F3A1E1C"/>
    <w:rsid w:val="0F563BD1"/>
    <w:rsid w:val="0F566DE9"/>
    <w:rsid w:val="0F5F2145"/>
    <w:rsid w:val="0F6A0E2A"/>
    <w:rsid w:val="0F711E78"/>
    <w:rsid w:val="0F7847B0"/>
    <w:rsid w:val="0F7F26E3"/>
    <w:rsid w:val="0F9C11E5"/>
    <w:rsid w:val="0FAB4FA7"/>
    <w:rsid w:val="0FB72E71"/>
    <w:rsid w:val="0FEC44A8"/>
    <w:rsid w:val="0FF46D31"/>
    <w:rsid w:val="10572E1C"/>
    <w:rsid w:val="105C6BE0"/>
    <w:rsid w:val="108F6A5A"/>
    <w:rsid w:val="10C9348C"/>
    <w:rsid w:val="10E24DDC"/>
    <w:rsid w:val="10E8446C"/>
    <w:rsid w:val="10FB0069"/>
    <w:rsid w:val="110613DA"/>
    <w:rsid w:val="110C00AB"/>
    <w:rsid w:val="11114067"/>
    <w:rsid w:val="112D7194"/>
    <w:rsid w:val="113B273E"/>
    <w:rsid w:val="11731ED8"/>
    <w:rsid w:val="11800151"/>
    <w:rsid w:val="11845E93"/>
    <w:rsid w:val="118C11EC"/>
    <w:rsid w:val="118D150F"/>
    <w:rsid w:val="11A424FB"/>
    <w:rsid w:val="11B16F98"/>
    <w:rsid w:val="11B61DC5"/>
    <w:rsid w:val="11D2688C"/>
    <w:rsid w:val="11F03528"/>
    <w:rsid w:val="120F0A62"/>
    <w:rsid w:val="122F466E"/>
    <w:rsid w:val="1230050A"/>
    <w:rsid w:val="126567A4"/>
    <w:rsid w:val="12A00E55"/>
    <w:rsid w:val="12A762DD"/>
    <w:rsid w:val="12AC7E63"/>
    <w:rsid w:val="12CA3D79"/>
    <w:rsid w:val="12FB4D13"/>
    <w:rsid w:val="1312127D"/>
    <w:rsid w:val="13451652"/>
    <w:rsid w:val="13474541"/>
    <w:rsid w:val="135D40EC"/>
    <w:rsid w:val="137141F5"/>
    <w:rsid w:val="13855388"/>
    <w:rsid w:val="139F319A"/>
    <w:rsid w:val="13D12EE6"/>
    <w:rsid w:val="13D80718"/>
    <w:rsid w:val="14184FB8"/>
    <w:rsid w:val="144A2A4A"/>
    <w:rsid w:val="145E4EFC"/>
    <w:rsid w:val="14682094"/>
    <w:rsid w:val="146B50E8"/>
    <w:rsid w:val="14787805"/>
    <w:rsid w:val="147E306D"/>
    <w:rsid w:val="1481075B"/>
    <w:rsid w:val="148B7538"/>
    <w:rsid w:val="148E1BBD"/>
    <w:rsid w:val="149C4B17"/>
    <w:rsid w:val="14BE790E"/>
    <w:rsid w:val="14D902A4"/>
    <w:rsid w:val="14DF7685"/>
    <w:rsid w:val="14FC0B7B"/>
    <w:rsid w:val="15286285"/>
    <w:rsid w:val="1537146E"/>
    <w:rsid w:val="15572F51"/>
    <w:rsid w:val="15826B8D"/>
    <w:rsid w:val="15C56A7A"/>
    <w:rsid w:val="15DB2014"/>
    <w:rsid w:val="15DD5B72"/>
    <w:rsid w:val="15E40F60"/>
    <w:rsid w:val="15E425A1"/>
    <w:rsid w:val="15EF0265"/>
    <w:rsid w:val="15FA46CC"/>
    <w:rsid w:val="16396588"/>
    <w:rsid w:val="16450E8F"/>
    <w:rsid w:val="16491459"/>
    <w:rsid w:val="164B3423"/>
    <w:rsid w:val="16573B76"/>
    <w:rsid w:val="167069E6"/>
    <w:rsid w:val="1674297A"/>
    <w:rsid w:val="1695644C"/>
    <w:rsid w:val="16BD25D8"/>
    <w:rsid w:val="16D76A65"/>
    <w:rsid w:val="16E3365C"/>
    <w:rsid w:val="16F71F6B"/>
    <w:rsid w:val="17013AE2"/>
    <w:rsid w:val="17305017"/>
    <w:rsid w:val="17312619"/>
    <w:rsid w:val="173E6AE4"/>
    <w:rsid w:val="17405789"/>
    <w:rsid w:val="17426262"/>
    <w:rsid w:val="17697E6C"/>
    <w:rsid w:val="178F5C3F"/>
    <w:rsid w:val="179065C6"/>
    <w:rsid w:val="17982698"/>
    <w:rsid w:val="179901BE"/>
    <w:rsid w:val="17AD2A93"/>
    <w:rsid w:val="17AF79E2"/>
    <w:rsid w:val="17BD20FF"/>
    <w:rsid w:val="17CD2605"/>
    <w:rsid w:val="17E36987"/>
    <w:rsid w:val="180A2A45"/>
    <w:rsid w:val="181778F1"/>
    <w:rsid w:val="181B3AC9"/>
    <w:rsid w:val="18250ABD"/>
    <w:rsid w:val="184F147A"/>
    <w:rsid w:val="18502F73"/>
    <w:rsid w:val="186741A6"/>
    <w:rsid w:val="187213A9"/>
    <w:rsid w:val="1890336F"/>
    <w:rsid w:val="1890511D"/>
    <w:rsid w:val="18B65233"/>
    <w:rsid w:val="18BF1EA7"/>
    <w:rsid w:val="18C57023"/>
    <w:rsid w:val="18D07C10"/>
    <w:rsid w:val="18DF42F7"/>
    <w:rsid w:val="18EB4A4A"/>
    <w:rsid w:val="18FE29CF"/>
    <w:rsid w:val="190E24E6"/>
    <w:rsid w:val="193967FA"/>
    <w:rsid w:val="19420421"/>
    <w:rsid w:val="196071E6"/>
    <w:rsid w:val="19762283"/>
    <w:rsid w:val="19C47E6D"/>
    <w:rsid w:val="19CD414F"/>
    <w:rsid w:val="1A0E0983"/>
    <w:rsid w:val="1A1B5568"/>
    <w:rsid w:val="1A3617E7"/>
    <w:rsid w:val="1A4C1518"/>
    <w:rsid w:val="1A6B1A93"/>
    <w:rsid w:val="1A772A39"/>
    <w:rsid w:val="1AB570BD"/>
    <w:rsid w:val="1AC14DC0"/>
    <w:rsid w:val="1AD23F09"/>
    <w:rsid w:val="1AE85C1D"/>
    <w:rsid w:val="1AF851FC"/>
    <w:rsid w:val="1AFA0F74"/>
    <w:rsid w:val="1B100797"/>
    <w:rsid w:val="1B19589E"/>
    <w:rsid w:val="1B2D759B"/>
    <w:rsid w:val="1B3A5814"/>
    <w:rsid w:val="1B505038"/>
    <w:rsid w:val="1B5338F8"/>
    <w:rsid w:val="1B5B5EB7"/>
    <w:rsid w:val="1B71141C"/>
    <w:rsid w:val="1B83540D"/>
    <w:rsid w:val="1B8F3144"/>
    <w:rsid w:val="1BCA4DEA"/>
    <w:rsid w:val="1BCD353F"/>
    <w:rsid w:val="1BD6553D"/>
    <w:rsid w:val="1C11019A"/>
    <w:rsid w:val="1C27223D"/>
    <w:rsid w:val="1C4608F3"/>
    <w:rsid w:val="1C67588D"/>
    <w:rsid w:val="1C7134B8"/>
    <w:rsid w:val="1C80194D"/>
    <w:rsid w:val="1C8335FE"/>
    <w:rsid w:val="1C874FB6"/>
    <w:rsid w:val="1CA4771A"/>
    <w:rsid w:val="1CAC44F0"/>
    <w:rsid w:val="1D1C78C7"/>
    <w:rsid w:val="1D440BCC"/>
    <w:rsid w:val="1D542133"/>
    <w:rsid w:val="1D710557"/>
    <w:rsid w:val="1D761AB9"/>
    <w:rsid w:val="1D81597C"/>
    <w:rsid w:val="1D837CB2"/>
    <w:rsid w:val="1E003FBD"/>
    <w:rsid w:val="1E1326D0"/>
    <w:rsid w:val="1E200CF1"/>
    <w:rsid w:val="1E34479D"/>
    <w:rsid w:val="1E402B0C"/>
    <w:rsid w:val="1E664262"/>
    <w:rsid w:val="1E922CD9"/>
    <w:rsid w:val="1EEE0DF0"/>
    <w:rsid w:val="1EF81C6E"/>
    <w:rsid w:val="1EFD7285"/>
    <w:rsid w:val="1F264A2D"/>
    <w:rsid w:val="1F307F51"/>
    <w:rsid w:val="1F38650F"/>
    <w:rsid w:val="1F501AAA"/>
    <w:rsid w:val="1F5975A4"/>
    <w:rsid w:val="1F5C21FD"/>
    <w:rsid w:val="1F5E543E"/>
    <w:rsid w:val="1F74219C"/>
    <w:rsid w:val="1FB5C078"/>
    <w:rsid w:val="1FB65DB1"/>
    <w:rsid w:val="1FC16504"/>
    <w:rsid w:val="1FD60202"/>
    <w:rsid w:val="1FEFAE4F"/>
    <w:rsid w:val="200A7EAB"/>
    <w:rsid w:val="20184DCE"/>
    <w:rsid w:val="20752CEC"/>
    <w:rsid w:val="20910C54"/>
    <w:rsid w:val="20C22534"/>
    <w:rsid w:val="20CA13E8"/>
    <w:rsid w:val="20E05C45"/>
    <w:rsid w:val="20EE50D7"/>
    <w:rsid w:val="21025026"/>
    <w:rsid w:val="215D400B"/>
    <w:rsid w:val="21717AB6"/>
    <w:rsid w:val="21921F06"/>
    <w:rsid w:val="21961025"/>
    <w:rsid w:val="21DB6418"/>
    <w:rsid w:val="21FF12CF"/>
    <w:rsid w:val="22145817"/>
    <w:rsid w:val="223E1622"/>
    <w:rsid w:val="22625D7D"/>
    <w:rsid w:val="229B6D07"/>
    <w:rsid w:val="22CC31F6"/>
    <w:rsid w:val="230E0951"/>
    <w:rsid w:val="23363B5A"/>
    <w:rsid w:val="23417437"/>
    <w:rsid w:val="236D2C2B"/>
    <w:rsid w:val="238241FC"/>
    <w:rsid w:val="239F090A"/>
    <w:rsid w:val="23A80C78"/>
    <w:rsid w:val="23AC0CC4"/>
    <w:rsid w:val="2400142A"/>
    <w:rsid w:val="245A2A83"/>
    <w:rsid w:val="246D6C5B"/>
    <w:rsid w:val="247961C3"/>
    <w:rsid w:val="24B6415E"/>
    <w:rsid w:val="24CB04B2"/>
    <w:rsid w:val="24CE06E2"/>
    <w:rsid w:val="24CE594B"/>
    <w:rsid w:val="24D80CBD"/>
    <w:rsid w:val="24DD5B8E"/>
    <w:rsid w:val="24E46409"/>
    <w:rsid w:val="24F37160"/>
    <w:rsid w:val="24F53A84"/>
    <w:rsid w:val="2516749D"/>
    <w:rsid w:val="254276EE"/>
    <w:rsid w:val="257007B0"/>
    <w:rsid w:val="258C254F"/>
    <w:rsid w:val="25AD6F83"/>
    <w:rsid w:val="25B6027E"/>
    <w:rsid w:val="25C12DBA"/>
    <w:rsid w:val="25D24FC7"/>
    <w:rsid w:val="25F767DC"/>
    <w:rsid w:val="25FE400E"/>
    <w:rsid w:val="260A4EB7"/>
    <w:rsid w:val="262477ED"/>
    <w:rsid w:val="26396DF4"/>
    <w:rsid w:val="265F25D3"/>
    <w:rsid w:val="26647604"/>
    <w:rsid w:val="266B0F78"/>
    <w:rsid w:val="266B71CA"/>
    <w:rsid w:val="268A7650"/>
    <w:rsid w:val="26A711BA"/>
    <w:rsid w:val="26B26BA7"/>
    <w:rsid w:val="26CB5C88"/>
    <w:rsid w:val="26D50C26"/>
    <w:rsid w:val="26E658E6"/>
    <w:rsid w:val="27181100"/>
    <w:rsid w:val="274C6B68"/>
    <w:rsid w:val="275552AE"/>
    <w:rsid w:val="275A34C6"/>
    <w:rsid w:val="275F7DAD"/>
    <w:rsid w:val="27710810"/>
    <w:rsid w:val="27962ED0"/>
    <w:rsid w:val="27D772A3"/>
    <w:rsid w:val="27E1465D"/>
    <w:rsid w:val="27E20A3C"/>
    <w:rsid w:val="27E92DC7"/>
    <w:rsid w:val="27F51441"/>
    <w:rsid w:val="283D29C3"/>
    <w:rsid w:val="287C3C2D"/>
    <w:rsid w:val="28BA664E"/>
    <w:rsid w:val="28D252DE"/>
    <w:rsid w:val="28D560FF"/>
    <w:rsid w:val="298F31CF"/>
    <w:rsid w:val="29B557B6"/>
    <w:rsid w:val="29DA269C"/>
    <w:rsid w:val="29EC6874"/>
    <w:rsid w:val="29ED5569"/>
    <w:rsid w:val="2A1F09F7"/>
    <w:rsid w:val="2A2A1707"/>
    <w:rsid w:val="2A3E40FF"/>
    <w:rsid w:val="2A6A2DEE"/>
    <w:rsid w:val="2A9D36CA"/>
    <w:rsid w:val="2AAF1D7B"/>
    <w:rsid w:val="2ABC3926"/>
    <w:rsid w:val="2AC66B4F"/>
    <w:rsid w:val="2B071CF2"/>
    <w:rsid w:val="2B133871"/>
    <w:rsid w:val="2B3C0E2D"/>
    <w:rsid w:val="2B487ADA"/>
    <w:rsid w:val="2BB258B8"/>
    <w:rsid w:val="2BC90C1A"/>
    <w:rsid w:val="2BF44FF3"/>
    <w:rsid w:val="2C0C6D59"/>
    <w:rsid w:val="2C11436F"/>
    <w:rsid w:val="2C3F0EDD"/>
    <w:rsid w:val="2C45744F"/>
    <w:rsid w:val="2C6D5A4A"/>
    <w:rsid w:val="2C815051"/>
    <w:rsid w:val="2C9B4948"/>
    <w:rsid w:val="2CCE7FDA"/>
    <w:rsid w:val="2CDA7619"/>
    <w:rsid w:val="2CED78E7"/>
    <w:rsid w:val="2D116D84"/>
    <w:rsid w:val="2D4A0DBA"/>
    <w:rsid w:val="2D6706EB"/>
    <w:rsid w:val="2D706C37"/>
    <w:rsid w:val="2D746964"/>
    <w:rsid w:val="2DAA4A7C"/>
    <w:rsid w:val="2DE47F8D"/>
    <w:rsid w:val="2DE64A8B"/>
    <w:rsid w:val="2DFF2B9B"/>
    <w:rsid w:val="2E00644A"/>
    <w:rsid w:val="2E075A2A"/>
    <w:rsid w:val="2E126DFD"/>
    <w:rsid w:val="2E453FEC"/>
    <w:rsid w:val="2E682561"/>
    <w:rsid w:val="2E690493"/>
    <w:rsid w:val="2E91327C"/>
    <w:rsid w:val="2EA32F42"/>
    <w:rsid w:val="2EB82075"/>
    <w:rsid w:val="2EC15BD9"/>
    <w:rsid w:val="2ED0406E"/>
    <w:rsid w:val="2EE329C6"/>
    <w:rsid w:val="2EEA15D4"/>
    <w:rsid w:val="2EFB4168"/>
    <w:rsid w:val="2F253475"/>
    <w:rsid w:val="2F300FB0"/>
    <w:rsid w:val="2F8D1F5F"/>
    <w:rsid w:val="2F947745"/>
    <w:rsid w:val="2F9B28CE"/>
    <w:rsid w:val="2FB0E795"/>
    <w:rsid w:val="2FBE65BC"/>
    <w:rsid w:val="2FC64356"/>
    <w:rsid w:val="2FD90BB6"/>
    <w:rsid w:val="2FEC12F2"/>
    <w:rsid w:val="3005243D"/>
    <w:rsid w:val="30085A89"/>
    <w:rsid w:val="303D11F0"/>
    <w:rsid w:val="30586A11"/>
    <w:rsid w:val="30594CC0"/>
    <w:rsid w:val="305B46BD"/>
    <w:rsid w:val="30941059"/>
    <w:rsid w:val="309E19F7"/>
    <w:rsid w:val="30C23E8A"/>
    <w:rsid w:val="30DF4A3C"/>
    <w:rsid w:val="30F57DBC"/>
    <w:rsid w:val="311346E6"/>
    <w:rsid w:val="312A75DF"/>
    <w:rsid w:val="313034EA"/>
    <w:rsid w:val="31343B68"/>
    <w:rsid w:val="31392D3C"/>
    <w:rsid w:val="3179248C"/>
    <w:rsid w:val="318D27C9"/>
    <w:rsid w:val="31A041CB"/>
    <w:rsid w:val="31B12F2F"/>
    <w:rsid w:val="31BB7257"/>
    <w:rsid w:val="31C01689"/>
    <w:rsid w:val="31C525A2"/>
    <w:rsid w:val="31E511F6"/>
    <w:rsid w:val="31E72461"/>
    <w:rsid w:val="31F91B2E"/>
    <w:rsid w:val="3215375D"/>
    <w:rsid w:val="32176393"/>
    <w:rsid w:val="322633E6"/>
    <w:rsid w:val="3249675D"/>
    <w:rsid w:val="32634FD5"/>
    <w:rsid w:val="32680FDF"/>
    <w:rsid w:val="32867865"/>
    <w:rsid w:val="32A47852"/>
    <w:rsid w:val="32AB50B4"/>
    <w:rsid w:val="32B75C71"/>
    <w:rsid w:val="32C831C6"/>
    <w:rsid w:val="32E552F3"/>
    <w:rsid w:val="330E1609"/>
    <w:rsid w:val="33233306"/>
    <w:rsid w:val="333170A5"/>
    <w:rsid w:val="33694A91"/>
    <w:rsid w:val="33A37FA3"/>
    <w:rsid w:val="33A951E6"/>
    <w:rsid w:val="33B421B0"/>
    <w:rsid w:val="33BB64A0"/>
    <w:rsid w:val="33C106AC"/>
    <w:rsid w:val="33C817B8"/>
    <w:rsid w:val="33CA3782"/>
    <w:rsid w:val="33DE0FDB"/>
    <w:rsid w:val="33F05D9B"/>
    <w:rsid w:val="33F24A86"/>
    <w:rsid w:val="34236DAD"/>
    <w:rsid w:val="345031E8"/>
    <w:rsid w:val="345179FF"/>
    <w:rsid w:val="34750B27"/>
    <w:rsid w:val="3475343B"/>
    <w:rsid w:val="34767465"/>
    <w:rsid w:val="349B6ECC"/>
    <w:rsid w:val="34D671B0"/>
    <w:rsid w:val="34E70363"/>
    <w:rsid w:val="34FA377A"/>
    <w:rsid w:val="35202C81"/>
    <w:rsid w:val="35262C3A"/>
    <w:rsid w:val="35531555"/>
    <w:rsid w:val="35950CA7"/>
    <w:rsid w:val="35AD43C2"/>
    <w:rsid w:val="35B27878"/>
    <w:rsid w:val="35DE1766"/>
    <w:rsid w:val="35EB79DF"/>
    <w:rsid w:val="35F1149A"/>
    <w:rsid w:val="35F26FC0"/>
    <w:rsid w:val="35F65281"/>
    <w:rsid w:val="35FB40C6"/>
    <w:rsid w:val="361138EA"/>
    <w:rsid w:val="363C648D"/>
    <w:rsid w:val="364C5351"/>
    <w:rsid w:val="36513CE6"/>
    <w:rsid w:val="36603F29"/>
    <w:rsid w:val="366557BD"/>
    <w:rsid w:val="36787089"/>
    <w:rsid w:val="36993092"/>
    <w:rsid w:val="36A419EF"/>
    <w:rsid w:val="36A4475E"/>
    <w:rsid w:val="36B3026E"/>
    <w:rsid w:val="36B3565D"/>
    <w:rsid w:val="373A29CC"/>
    <w:rsid w:val="37533A8E"/>
    <w:rsid w:val="37602BA3"/>
    <w:rsid w:val="378B3228"/>
    <w:rsid w:val="37C05710"/>
    <w:rsid w:val="37E05B75"/>
    <w:rsid w:val="37E90DFF"/>
    <w:rsid w:val="37F7EABD"/>
    <w:rsid w:val="37FF7772"/>
    <w:rsid w:val="38084878"/>
    <w:rsid w:val="38206066"/>
    <w:rsid w:val="382A0C93"/>
    <w:rsid w:val="38334D3E"/>
    <w:rsid w:val="38376F0C"/>
    <w:rsid w:val="383F6057"/>
    <w:rsid w:val="384D672F"/>
    <w:rsid w:val="38697929"/>
    <w:rsid w:val="38752D90"/>
    <w:rsid w:val="38963F8A"/>
    <w:rsid w:val="38A345A1"/>
    <w:rsid w:val="38A47EBD"/>
    <w:rsid w:val="38AB4289"/>
    <w:rsid w:val="38B93DC5"/>
    <w:rsid w:val="38D26C34"/>
    <w:rsid w:val="38D44DA9"/>
    <w:rsid w:val="39235AED"/>
    <w:rsid w:val="39440CAB"/>
    <w:rsid w:val="394A0EC1"/>
    <w:rsid w:val="394C4C39"/>
    <w:rsid w:val="39557F91"/>
    <w:rsid w:val="39593C6F"/>
    <w:rsid w:val="396F7FE8"/>
    <w:rsid w:val="397E00EE"/>
    <w:rsid w:val="3987255E"/>
    <w:rsid w:val="39997DDE"/>
    <w:rsid w:val="399D040D"/>
    <w:rsid w:val="39A85CD1"/>
    <w:rsid w:val="39B051C8"/>
    <w:rsid w:val="39B32F0A"/>
    <w:rsid w:val="39D93BFB"/>
    <w:rsid w:val="39FA6443"/>
    <w:rsid w:val="3A1E4827"/>
    <w:rsid w:val="3A396F6B"/>
    <w:rsid w:val="3A6453E5"/>
    <w:rsid w:val="3AA27206"/>
    <w:rsid w:val="3ABB02C8"/>
    <w:rsid w:val="3ACB0218"/>
    <w:rsid w:val="3AD44EE6"/>
    <w:rsid w:val="3B223EA3"/>
    <w:rsid w:val="3B40257B"/>
    <w:rsid w:val="3B404329"/>
    <w:rsid w:val="3B4159DC"/>
    <w:rsid w:val="3B434F8B"/>
    <w:rsid w:val="3B5F466F"/>
    <w:rsid w:val="3B753862"/>
    <w:rsid w:val="3B780211"/>
    <w:rsid w:val="3B9528C7"/>
    <w:rsid w:val="3B9A6A6F"/>
    <w:rsid w:val="3BBFCA07"/>
    <w:rsid w:val="3BC83FCF"/>
    <w:rsid w:val="3BF644F1"/>
    <w:rsid w:val="3C177780"/>
    <w:rsid w:val="3C1E4DD5"/>
    <w:rsid w:val="3C2E6878"/>
    <w:rsid w:val="3C304BAD"/>
    <w:rsid w:val="3C326368"/>
    <w:rsid w:val="3C471DA2"/>
    <w:rsid w:val="3C4E4BA9"/>
    <w:rsid w:val="3C5F6736"/>
    <w:rsid w:val="3C611D65"/>
    <w:rsid w:val="3C7E17AA"/>
    <w:rsid w:val="3C97441D"/>
    <w:rsid w:val="3CB24002"/>
    <w:rsid w:val="3CF76915"/>
    <w:rsid w:val="3D385C00"/>
    <w:rsid w:val="3D414014"/>
    <w:rsid w:val="3D77FDD9"/>
    <w:rsid w:val="3D7A7FC6"/>
    <w:rsid w:val="3DA22F6A"/>
    <w:rsid w:val="3DA23DEF"/>
    <w:rsid w:val="3DB11F8B"/>
    <w:rsid w:val="3DEE2762"/>
    <w:rsid w:val="3DF69499"/>
    <w:rsid w:val="3DFF90B7"/>
    <w:rsid w:val="3E155F41"/>
    <w:rsid w:val="3E330175"/>
    <w:rsid w:val="3E691DE9"/>
    <w:rsid w:val="3E7C7D6E"/>
    <w:rsid w:val="3E9A01F4"/>
    <w:rsid w:val="3EB219E2"/>
    <w:rsid w:val="3EEDE056"/>
    <w:rsid w:val="3F0554C9"/>
    <w:rsid w:val="3F3DF9C2"/>
    <w:rsid w:val="3F48312B"/>
    <w:rsid w:val="3FB6463B"/>
    <w:rsid w:val="3FCB2D5B"/>
    <w:rsid w:val="3FD92AB4"/>
    <w:rsid w:val="3FDF0FC9"/>
    <w:rsid w:val="3FFC7553"/>
    <w:rsid w:val="40041DC9"/>
    <w:rsid w:val="40086845"/>
    <w:rsid w:val="40152228"/>
    <w:rsid w:val="40372099"/>
    <w:rsid w:val="40436D96"/>
    <w:rsid w:val="40730CFD"/>
    <w:rsid w:val="408616FF"/>
    <w:rsid w:val="40A702A5"/>
    <w:rsid w:val="40D52283"/>
    <w:rsid w:val="40DF6392"/>
    <w:rsid w:val="40F63E08"/>
    <w:rsid w:val="41272213"/>
    <w:rsid w:val="41430F47"/>
    <w:rsid w:val="41483F38"/>
    <w:rsid w:val="415461B8"/>
    <w:rsid w:val="41B94E35"/>
    <w:rsid w:val="41BF444A"/>
    <w:rsid w:val="41CC2DBB"/>
    <w:rsid w:val="41D073BD"/>
    <w:rsid w:val="41F65B3D"/>
    <w:rsid w:val="42181B5C"/>
    <w:rsid w:val="42312C1E"/>
    <w:rsid w:val="429257C1"/>
    <w:rsid w:val="42976659"/>
    <w:rsid w:val="42AE6504"/>
    <w:rsid w:val="42B51AA1"/>
    <w:rsid w:val="42D07744"/>
    <w:rsid w:val="42F17CCC"/>
    <w:rsid w:val="42F425C9"/>
    <w:rsid w:val="42FF2D1C"/>
    <w:rsid w:val="43232B36"/>
    <w:rsid w:val="43282AF3"/>
    <w:rsid w:val="43456981"/>
    <w:rsid w:val="43574906"/>
    <w:rsid w:val="4369007A"/>
    <w:rsid w:val="439B1696"/>
    <w:rsid w:val="439D2A4E"/>
    <w:rsid w:val="43A23DD3"/>
    <w:rsid w:val="43A37B4B"/>
    <w:rsid w:val="43AD026A"/>
    <w:rsid w:val="43AF3ACC"/>
    <w:rsid w:val="43E77A38"/>
    <w:rsid w:val="43F62371"/>
    <w:rsid w:val="43F959BD"/>
    <w:rsid w:val="441427F7"/>
    <w:rsid w:val="44350F9E"/>
    <w:rsid w:val="443D4BBC"/>
    <w:rsid w:val="44782D86"/>
    <w:rsid w:val="44924308"/>
    <w:rsid w:val="449B0822"/>
    <w:rsid w:val="44A35384"/>
    <w:rsid w:val="44B72D11"/>
    <w:rsid w:val="44C164DB"/>
    <w:rsid w:val="44C93212"/>
    <w:rsid w:val="44E2271F"/>
    <w:rsid w:val="44E87F0C"/>
    <w:rsid w:val="44EB17AA"/>
    <w:rsid w:val="44FC59DD"/>
    <w:rsid w:val="452820F5"/>
    <w:rsid w:val="453505AC"/>
    <w:rsid w:val="4550785F"/>
    <w:rsid w:val="45556AB4"/>
    <w:rsid w:val="458233E9"/>
    <w:rsid w:val="45834FC3"/>
    <w:rsid w:val="45880096"/>
    <w:rsid w:val="45B63B66"/>
    <w:rsid w:val="45E55FF4"/>
    <w:rsid w:val="46004DE1"/>
    <w:rsid w:val="4609638B"/>
    <w:rsid w:val="46331D88"/>
    <w:rsid w:val="46722094"/>
    <w:rsid w:val="46D70F5D"/>
    <w:rsid w:val="46FF1E3C"/>
    <w:rsid w:val="473E7310"/>
    <w:rsid w:val="474A6C5C"/>
    <w:rsid w:val="476D294A"/>
    <w:rsid w:val="47811F51"/>
    <w:rsid w:val="478A52AA"/>
    <w:rsid w:val="479A3013"/>
    <w:rsid w:val="47C7225D"/>
    <w:rsid w:val="47D2E7A2"/>
    <w:rsid w:val="47DFB6FE"/>
    <w:rsid w:val="47FB1D04"/>
    <w:rsid w:val="480D2367"/>
    <w:rsid w:val="48194E12"/>
    <w:rsid w:val="4828061F"/>
    <w:rsid w:val="483F42E6"/>
    <w:rsid w:val="484D7700"/>
    <w:rsid w:val="4869207B"/>
    <w:rsid w:val="486B72F3"/>
    <w:rsid w:val="48937EC3"/>
    <w:rsid w:val="48B84099"/>
    <w:rsid w:val="48BB0A57"/>
    <w:rsid w:val="48BC7325"/>
    <w:rsid w:val="48CE566A"/>
    <w:rsid w:val="48EE4F94"/>
    <w:rsid w:val="491F33FC"/>
    <w:rsid w:val="492C413F"/>
    <w:rsid w:val="49BA1F7B"/>
    <w:rsid w:val="49C30A34"/>
    <w:rsid w:val="49D93DC5"/>
    <w:rsid w:val="49DC3DB7"/>
    <w:rsid w:val="49E05655"/>
    <w:rsid w:val="49E8275C"/>
    <w:rsid w:val="4A161077"/>
    <w:rsid w:val="4A235280"/>
    <w:rsid w:val="4A2A2D74"/>
    <w:rsid w:val="4A7364C9"/>
    <w:rsid w:val="4AAA66F0"/>
    <w:rsid w:val="4AC72371"/>
    <w:rsid w:val="4AD8457E"/>
    <w:rsid w:val="4AE9678B"/>
    <w:rsid w:val="4B27210C"/>
    <w:rsid w:val="4B2E419E"/>
    <w:rsid w:val="4B4074AF"/>
    <w:rsid w:val="4B407783"/>
    <w:rsid w:val="4B4938BA"/>
    <w:rsid w:val="4B5C6F5D"/>
    <w:rsid w:val="4B797B0F"/>
    <w:rsid w:val="4B8360DE"/>
    <w:rsid w:val="4B8464B4"/>
    <w:rsid w:val="4B8541E2"/>
    <w:rsid w:val="4B9F6E4A"/>
    <w:rsid w:val="4BA91A77"/>
    <w:rsid w:val="4BC21A5A"/>
    <w:rsid w:val="4BEA6D07"/>
    <w:rsid w:val="4BFB1038"/>
    <w:rsid w:val="4BFD5821"/>
    <w:rsid w:val="4C0F6D38"/>
    <w:rsid w:val="4C4A7C31"/>
    <w:rsid w:val="4C6065D9"/>
    <w:rsid w:val="4C6621D3"/>
    <w:rsid w:val="4C681932"/>
    <w:rsid w:val="4C9949F5"/>
    <w:rsid w:val="4CB154F0"/>
    <w:rsid w:val="4CEA0599"/>
    <w:rsid w:val="4CFC4B61"/>
    <w:rsid w:val="4D111FCA"/>
    <w:rsid w:val="4D261D72"/>
    <w:rsid w:val="4D5F4AE3"/>
    <w:rsid w:val="4D67165C"/>
    <w:rsid w:val="4D752558"/>
    <w:rsid w:val="4D7D5F5C"/>
    <w:rsid w:val="4DA95F63"/>
    <w:rsid w:val="4DE35714"/>
    <w:rsid w:val="4DF53699"/>
    <w:rsid w:val="4DFA0113"/>
    <w:rsid w:val="4E0F02B7"/>
    <w:rsid w:val="4E0F64CF"/>
    <w:rsid w:val="4E2839FD"/>
    <w:rsid w:val="4E3221F7"/>
    <w:rsid w:val="4E3B1EEB"/>
    <w:rsid w:val="4E65194E"/>
    <w:rsid w:val="4E8526B5"/>
    <w:rsid w:val="4EA66595"/>
    <w:rsid w:val="4EAE3FB2"/>
    <w:rsid w:val="4EDE7C89"/>
    <w:rsid w:val="4EF43951"/>
    <w:rsid w:val="4F1B2C8C"/>
    <w:rsid w:val="4F2204BE"/>
    <w:rsid w:val="4F3124AF"/>
    <w:rsid w:val="4F361873"/>
    <w:rsid w:val="4F9F2D3A"/>
    <w:rsid w:val="4FA90297"/>
    <w:rsid w:val="4FB17B1A"/>
    <w:rsid w:val="4FB8672C"/>
    <w:rsid w:val="4FED75F8"/>
    <w:rsid w:val="50100316"/>
    <w:rsid w:val="502729EB"/>
    <w:rsid w:val="50436E6D"/>
    <w:rsid w:val="504B57F2"/>
    <w:rsid w:val="50780A41"/>
    <w:rsid w:val="50842C92"/>
    <w:rsid w:val="508F2336"/>
    <w:rsid w:val="50B27620"/>
    <w:rsid w:val="50F814D6"/>
    <w:rsid w:val="50F93994"/>
    <w:rsid w:val="50FB0FC7"/>
    <w:rsid w:val="510D2AA8"/>
    <w:rsid w:val="51104748"/>
    <w:rsid w:val="5119144D"/>
    <w:rsid w:val="512630DB"/>
    <w:rsid w:val="51320002"/>
    <w:rsid w:val="51427E84"/>
    <w:rsid w:val="51684D3C"/>
    <w:rsid w:val="516857A3"/>
    <w:rsid w:val="51A33EDE"/>
    <w:rsid w:val="51AE26BC"/>
    <w:rsid w:val="51B55619"/>
    <w:rsid w:val="51B82A14"/>
    <w:rsid w:val="51BA49DE"/>
    <w:rsid w:val="51C13FBE"/>
    <w:rsid w:val="51D33CF1"/>
    <w:rsid w:val="51D35A9F"/>
    <w:rsid w:val="51E23F34"/>
    <w:rsid w:val="52100AA2"/>
    <w:rsid w:val="52273415"/>
    <w:rsid w:val="523041BB"/>
    <w:rsid w:val="52436147"/>
    <w:rsid w:val="524D4779"/>
    <w:rsid w:val="5257087F"/>
    <w:rsid w:val="52882B1E"/>
    <w:rsid w:val="52990A97"/>
    <w:rsid w:val="5299323B"/>
    <w:rsid w:val="52A32059"/>
    <w:rsid w:val="52A55A94"/>
    <w:rsid w:val="52C011DB"/>
    <w:rsid w:val="52EF6909"/>
    <w:rsid w:val="530D73D9"/>
    <w:rsid w:val="531719BC"/>
    <w:rsid w:val="532B29B1"/>
    <w:rsid w:val="534A506F"/>
    <w:rsid w:val="535E1FC4"/>
    <w:rsid w:val="535F3A8F"/>
    <w:rsid w:val="5382152B"/>
    <w:rsid w:val="539A121F"/>
    <w:rsid w:val="53BF452B"/>
    <w:rsid w:val="53CA4C80"/>
    <w:rsid w:val="53DD7531"/>
    <w:rsid w:val="540839F6"/>
    <w:rsid w:val="542720D3"/>
    <w:rsid w:val="548D63DA"/>
    <w:rsid w:val="549154FD"/>
    <w:rsid w:val="54994D7E"/>
    <w:rsid w:val="54A43723"/>
    <w:rsid w:val="54CC5154"/>
    <w:rsid w:val="54CF152C"/>
    <w:rsid w:val="54E67898"/>
    <w:rsid w:val="54F50BDC"/>
    <w:rsid w:val="55342CF9"/>
    <w:rsid w:val="557F4955"/>
    <w:rsid w:val="55833339"/>
    <w:rsid w:val="55882BF9"/>
    <w:rsid w:val="558A0B6B"/>
    <w:rsid w:val="55913CA7"/>
    <w:rsid w:val="55A24760"/>
    <w:rsid w:val="55AA648C"/>
    <w:rsid w:val="55CE6CAA"/>
    <w:rsid w:val="55D50038"/>
    <w:rsid w:val="55DC016A"/>
    <w:rsid w:val="55F46AD4"/>
    <w:rsid w:val="56170651"/>
    <w:rsid w:val="563C2EF8"/>
    <w:rsid w:val="56942848"/>
    <w:rsid w:val="56CF0E6F"/>
    <w:rsid w:val="56DC0F52"/>
    <w:rsid w:val="56E50C8A"/>
    <w:rsid w:val="56F42740"/>
    <w:rsid w:val="57715B3F"/>
    <w:rsid w:val="57AE0B41"/>
    <w:rsid w:val="57BD6FD6"/>
    <w:rsid w:val="57CA34A1"/>
    <w:rsid w:val="57E04A72"/>
    <w:rsid w:val="58006EC2"/>
    <w:rsid w:val="58331046"/>
    <w:rsid w:val="58442109"/>
    <w:rsid w:val="58726E66"/>
    <w:rsid w:val="588506F1"/>
    <w:rsid w:val="58871392"/>
    <w:rsid w:val="58896EB8"/>
    <w:rsid w:val="58977827"/>
    <w:rsid w:val="58B47821"/>
    <w:rsid w:val="58BC54DF"/>
    <w:rsid w:val="58C919AA"/>
    <w:rsid w:val="58CE6FC1"/>
    <w:rsid w:val="58D72319"/>
    <w:rsid w:val="58F92290"/>
    <w:rsid w:val="58FB5AEB"/>
    <w:rsid w:val="58FF717A"/>
    <w:rsid w:val="591E3364"/>
    <w:rsid w:val="59215342"/>
    <w:rsid w:val="59301A29"/>
    <w:rsid w:val="593B4452"/>
    <w:rsid w:val="5963595B"/>
    <w:rsid w:val="59660F17"/>
    <w:rsid w:val="59864BB0"/>
    <w:rsid w:val="59BF23FD"/>
    <w:rsid w:val="59CA0EE6"/>
    <w:rsid w:val="59CB6550"/>
    <w:rsid w:val="59F23889"/>
    <w:rsid w:val="59F83A12"/>
    <w:rsid w:val="5A6B15FB"/>
    <w:rsid w:val="5A867B53"/>
    <w:rsid w:val="5A916865"/>
    <w:rsid w:val="5AA1673B"/>
    <w:rsid w:val="5AA45BD8"/>
    <w:rsid w:val="5AAB1367"/>
    <w:rsid w:val="5ABC6228"/>
    <w:rsid w:val="5ACF1171"/>
    <w:rsid w:val="5ADB4F99"/>
    <w:rsid w:val="5ADF54B5"/>
    <w:rsid w:val="5AF21D8E"/>
    <w:rsid w:val="5B370781"/>
    <w:rsid w:val="5B4B6154"/>
    <w:rsid w:val="5B6559BA"/>
    <w:rsid w:val="5B8147BE"/>
    <w:rsid w:val="5BA33AA2"/>
    <w:rsid w:val="5BCBD8F9"/>
    <w:rsid w:val="5BD222FB"/>
    <w:rsid w:val="5BE77748"/>
    <w:rsid w:val="5BEE57B1"/>
    <w:rsid w:val="5C227591"/>
    <w:rsid w:val="5C3C5A0D"/>
    <w:rsid w:val="5C593045"/>
    <w:rsid w:val="5C7834CB"/>
    <w:rsid w:val="5C8A7762"/>
    <w:rsid w:val="5C937321"/>
    <w:rsid w:val="5C983B6D"/>
    <w:rsid w:val="5CB6225A"/>
    <w:rsid w:val="5CB95119"/>
    <w:rsid w:val="5CDB75C7"/>
    <w:rsid w:val="5CFE97D9"/>
    <w:rsid w:val="5D101956"/>
    <w:rsid w:val="5D290C69"/>
    <w:rsid w:val="5D62766A"/>
    <w:rsid w:val="5D706898"/>
    <w:rsid w:val="5D8A5BAC"/>
    <w:rsid w:val="5D9F0C20"/>
    <w:rsid w:val="5DB44F63"/>
    <w:rsid w:val="5E163567"/>
    <w:rsid w:val="5E3B2A02"/>
    <w:rsid w:val="5EB427B5"/>
    <w:rsid w:val="5EC724E8"/>
    <w:rsid w:val="5ECB022A"/>
    <w:rsid w:val="5ECB3829"/>
    <w:rsid w:val="5EDF5077"/>
    <w:rsid w:val="5EDF7832"/>
    <w:rsid w:val="5EDF785C"/>
    <w:rsid w:val="5EE35FA0"/>
    <w:rsid w:val="5EEC5128"/>
    <w:rsid w:val="5EECAFF9"/>
    <w:rsid w:val="5EEFC037"/>
    <w:rsid w:val="5F1A7BCE"/>
    <w:rsid w:val="5F312CCE"/>
    <w:rsid w:val="5F354868"/>
    <w:rsid w:val="5F4811A4"/>
    <w:rsid w:val="5F4F5A42"/>
    <w:rsid w:val="5F506981"/>
    <w:rsid w:val="5F773F0E"/>
    <w:rsid w:val="5F7F2DC3"/>
    <w:rsid w:val="5FBEF705"/>
    <w:rsid w:val="5FC133DB"/>
    <w:rsid w:val="5FD10EE3"/>
    <w:rsid w:val="5FF3A611"/>
    <w:rsid w:val="5FFB385E"/>
    <w:rsid w:val="5FFFDC78"/>
    <w:rsid w:val="60023F15"/>
    <w:rsid w:val="600A4D82"/>
    <w:rsid w:val="60206354"/>
    <w:rsid w:val="6028345A"/>
    <w:rsid w:val="602A5424"/>
    <w:rsid w:val="60433DF0"/>
    <w:rsid w:val="60487659"/>
    <w:rsid w:val="60854409"/>
    <w:rsid w:val="60D55390"/>
    <w:rsid w:val="60EE1FAE"/>
    <w:rsid w:val="60F32100"/>
    <w:rsid w:val="61113EEE"/>
    <w:rsid w:val="61135F3C"/>
    <w:rsid w:val="61226487"/>
    <w:rsid w:val="612E4AA0"/>
    <w:rsid w:val="613B050C"/>
    <w:rsid w:val="613D1187"/>
    <w:rsid w:val="61450D22"/>
    <w:rsid w:val="6146003C"/>
    <w:rsid w:val="61774699"/>
    <w:rsid w:val="619B5E16"/>
    <w:rsid w:val="61AB60F1"/>
    <w:rsid w:val="61B23738"/>
    <w:rsid w:val="61B62884"/>
    <w:rsid w:val="61BE4076"/>
    <w:rsid w:val="61CF1C3E"/>
    <w:rsid w:val="61E53C45"/>
    <w:rsid w:val="61E67129"/>
    <w:rsid w:val="61EF4230"/>
    <w:rsid w:val="622B7232"/>
    <w:rsid w:val="62B2525D"/>
    <w:rsid w:val="62DE6052"/>
    <w:rsid w:val="62E908CD"/>
    <w:rsid w:val="62F95DE7"/>
    <w:rsid w:val="631D6B7A"/>
    <w:rsid w:val="635A1B7D"/>
    <w:rsid w:val="636447A9"/>
    <w:rsid w:val="6369290D"/>
    <w:rsid w:val="637A1DB8"/>
    <w:rsid w:val="63BB4A20"/>
    <w:rsid w:val="63DB3F9C"/>
    <w:rsid w:val="63E47698"/>
    <w:rsid w:val="63F61646"/>
    <w:rsid w:val="63FE4BFE"/>
    <w:rsid w:val="64355C74"/>
    <w:rsid w:val="64634A61"/>
    <w:rsid w:val="647D134B"/>
    <w:rsid w:val="648F5856"/>
    <w:rsid w:val="64A532CB"/>
    <w:rsid w:val="64F005AB"/>
    <w:rsid w:val="650D7DF0"/>
    <w:rsid w:val="65293EFC"/>
    <w:rsid w:val="653F54CE"/>
    <w:rsid w:val="655A40B6"/>
    <w:rsid w:val="657C2A0A"/>
    <w:rsid w:val="65AE61B0"/>
    <w:rsid w:val="65CB4FB4"/>
    <w:rsid w:val="65CE6593"/>
    <w:rsid w:val="65FF499F"/>
    <w:rsid w:val="66173D6B"/>
    <w:rsid w:val="661D2850"/>
    <w:rsid w:val="66326301"/>
    <w:rsid w:val="66331170"/>
    <w:rsid w:val="664251EF"/>
    <w:rsid w:val="66546D57"/>
    <w:rsid w:val="666B2A4F"/>
    <w:rsid w:val="666B7849"/>
    <w:rsid w:val="66C54A27"/>
    <w:rsid w:val="66F5B34B"/>
    <w:rsid w:val="66F64D6F"/>
    <w:rsid w:val="66FE3167"/>
    <w:rsid w:val="674F0EDC"/>
    <w:rsid w:val="67507D55"/>
    <w:rsid w:val="67535261"/>
    <w:rsid w:val="67741398"/>
    <w:rsid w:val="67803B7C"/>
    <w:rsid w:val="67BC283C"/>
    <w:rsid w:val="67BC59DA"/>
    <w:rsid w:val="67C41CBB"/>
    <w:rsid w:val="67C73559"/>
    <w:rsid w:val="67D53734"/>
    <w:rsid w:val="67DE4D7F"/>
    <w:rsid w:val="67DE7411"/>
    <w:rsid w:val="67FC33EC"/>
    <w:rsid w:val="6805323A"/>
    <w:rsid w:val="68244C9E"/>
    <w:rsid w:val="685C6397"/>
    <w:rsid w:val="68894EE8"/>
    <w:rsid w:val="68B0223F"/>
    <w:rsid w:val="68B9573E"/>
    <w:rsid w:val="68C9089D"/>
    <w:rsid w:val="68CF562C"/>
    <w:rsid w:val="68E32614"/>
    <w:rsid w:val="68EB6098"/>
    <w:rsid w:val="68ED5241"/>
    <w:rsid w:val="68FA1C46"/>
    <w:rsid w:val="691979C2"/>
    <w:rsid w:val="692C7B17"/>
    <w:rsid w:val="692F013B"/>
    <w:rsid w:val="69527CFF"/>
    <w:rsid w:val="69831701"/>
    <w:rsid w:val="69FC398E"/>
    <w:rsid w:val="69FCB25E"/>
    <w:rsid w:val="6A107439"/>
    <w:rsid w:val="6A2E3D63"/>
    <w:rsid w:val="6A3C4A46"/>
    <w:rsid w:val="6A413A96"/>
    <w:rsid w:val="6A4A2AFB"/>
    <w:rsid w:val="6A644D9D"/>
    <w:rsid w:val="6A7C4ACE"/>
    <w:rsid w:val="6A850E05"/>
    <w:rsid w:val="6A8C0404"/>
    <w:rsid w:val="6A9163D8"/>
    <w:rsid w:val="6AA162E3"/>
    <w:rsid w:val="6AA40513"/>
    <w:rsid w:val="6ACA1723"/>
    <w:rsid w:val="6B0D5727"/>
    <w:rsid w:val="6B2E5C90"/>
    <w:rsid w:val="6B473F71"/>
    <w:rsid w:val="6B6358B2"/>
    <w:rsid w:val="6BAC13E3"/>
    <w:rsid w:val="6BAF4A30"/>
    <w:rsid w:val="6BCE3108"/>
    <w:rsid w:val="6BDD5697"/>
    <w:rsid w:val="6BE367DD"/>
    <w:rsid w:val="6C3A254B"/>
    <w:rsid w:val="6C525C1D"/>
    <w:rsid w:val="6C5C0942"/>
    <w:rsid w:val="6C986CB6"/>
    <w:rsid w:val="6CA32CCF"/>
    <w:rsid w:val="6CB57E24"/>
    <w:rsid w:val="6CBC6A7F"/>
    <w:rsid w:val="6D0BD5EE"/>
    <w:rsid w:val="6D1030C5"/>
    <w:rsid w:val="6D574AE1"/>
    <w:rsid w:val="6D5E04BB"/>
    <w:rsid w:val="6D6344BC"/>
    <w:rsid w:val="6D654A69"/>
    <w:rsid w:val="6D66434E"/>
    <w:rsid w:val="6D8010EA"/>
    <w:rsid w:val="6D9003CE"/>
    <w:rsid w:val="6D980DB8"/>
    <w:rsid w:val="6D98143E"/>
    <w:rsid w:val="6DBF35F6"/>
    <w:rsid w:val="6DFB3F5C"/>
    <w:rsid w:val="6E074961"/>
    <w:rsid w:val="6E0D7EF8"/>
    <w:rsid w:val="6E0F17B6"/>
    <w:rsid w:val="6E3437CF"/>
    <w:rsid w:val="6E407BC1"/>
    <w:rsid w:val="6E4D4814"/>
    <w:rsid w:val="6E6506EE"/>
    <w:rsid w:val="6E7C6C15"/>
    <w:rsid w:val="6EAD2603"/>
    <w:rsid w:val="6EC95E08"/>
    <w:rsid w:val="6EDD0273"/>
    <w:rsid w:val="6EE42C42"/>
    <w:rsid w:val="6EF235B1"/>
    <w:rsid w:val="6EF41F5E"/>
    <w:rsid w:val="6EFC2059"/>
    <w:rsid w:val="6EFF97C8"/>
    <w:rsid w:val="6F174DC6"/>
    <w:rsid w:val="6F265009"/>
    <w:rsid w:val="6F36229B"/>
    <w:rsid w:val="6F4F4560"/>
    <w:rsid w:val="6F54601A"/>
    <w:rsid w:val="6F7ED986"/>
    <w:rsid w:val="6FA67EF8"/>
    <w:rsid w:val="6FCA1E38"/>
    <w:rsid w:val="6FCB1175"/>
    <w:rsid w:val="6FCE765A"/>
    <w:rsid w:val="6FD74497"/>
    <w:rsid w:val="6FDD7590"/>
    <w:rsid w:val="6FDF1C4B"/>
    <w:rsid w:val="6FEF5D43"/>
    <w:rsid w:val="6FFB0243"/>
    <w:rsid w:val="6FFBAC60"/>
    <w:rsid w:val="70127215"/>
    <w:rsid w:val="701D01BA"/>
    <w:rsid w:val="7036127C"/>
    <w:rsid w:val="706E6C67"/>
    <w:rsid w:val="70741DA4"/>
    <w:rsid w:val="70752D57"/>
    <w:rsid w:val="70853FB1"/>
    <w:rsid w:val="708676AC"/>
    <w:rsid w:val="70B14DA6"/>
    <w:rsid w:val="70C25205"/>
    <w:rsid w:val="70E05285"/>
    <w:rsid w:val="70F03B20"/>
    <w:rsid w:val="70F96E79"/>
    <w:rsid w:val="71590E8C"/>
    <w:rsid w:val="715A543E"/>
    <w:rsid w:val="717D4940"/>
    <w:rsid w:val="71BD2830"/>
    <w:rsid w:val="721970A7"/>
    <w:rsid w:val="723624B7"/>
    <w:rsid w:val="724203AC"/>
    <w:rsid w:val="727A6221"/>
    <w:rsid w:val="729A41D6"/>
    <w:rsid w:val="72BA6194"/>
    <w:rsid w:val="72C37CA5"/>
    <w:rsid w:val="72CD23C5"/>
    <w:rsid w:val="72D81C08"/>
    <w:rsid w:val="73090EC9"/>
    <w:rsid w:val="730B4C41"/>
    <w:rsid w:val="7311531B"/>
    <w:rsid w:val="73123064"/>
    <w:rsid w:val="732E2866"/>
    <w:rsid w:val="734B3290"/>
    <w:rsid w:val="73940F13"/>
    <w:rsid w:val="73A037F7"/>
    <w:rsid w:val="73A44DF7"/>
    <w:rsid w:val="73A8792B"/>
    <w:rsid w:val="73AF11A1"/>
    <w:rsid w:val="73B101CF"/>
    <w:rsid w:val="73D74B24"/>
    <w:rsid w:val="73ED985B"/>
    <w:rsid w:val="7400051E"/>
    <w:rsid w:val="74022135"/>
    <w:rsid w:val="740B2A1F"/>
    <w:rsid w:val="740F4F3C"/>
    <w:rsid w:val="74235FBB"/>
    <w:rsid w:val="7466090D"/>
    <w:rsid w:val="746A3BEA"/>
    <w:rsid w:val="746E34C0"/>
    <w:rsid w:val="7482415B"/>
    <w:rsid w:val="74973EE2"/>
    <w:rsid w:val="74F811F5"/>
    <w:rsid w:val="74FF748D"/>
    <w:rsid w:val="750E6C6B"/>
    <w:rsid w:val="75104A44"/>
    <w:rsid w:val="753F0BD2"/>
    <w:rsid w:val="75435823"/>
    <w:rsid w:val="7544443B"/>
    <w:rsid w:val="7557AE05"/>
    <w:rsid w:val="756E14B8"/>
    <w:rsid w:val="75746B68"/>
    <w:rsid w:val="75765558"/>
    <w:rsid w:val="758962F1"/>
    <w:rsid w:val="758E5BD6"/>
    <w:rsid w:val="759058D2"/>
    <w:rsid w:val="759929D8"/>
    <w:rsid w:val="75A849CA"/>
    <w:rsid w:val="75BA294F"/>
    <w:rsid w:val="75BE0E5A"/>
    <w:rsid w:val="75D23694"/>
    <w:rsid w:val="75D532E5"/>
    <w:rsid w:val="75D912A7"/>
    <w:rsid w:val="75EE4DD9"/>
    <w:rsid w:val="76164029"/>
    <w:rsid w:val="76261EC6"/>
    <w:rsid w:val="763117FF"/>
    <w:rsid w:val="76424E1E"/>
    <w:rsid w:val="76650B0D"/>
    <w:rsid w:val="766905FD"/>
    <w:rsid w:val="767825EE"/>
    <w:rsid w:val="767B20DE"/>
    <w:rsid w:val="76966F18"/>
    <w:rsid w:val="769C2105"/>
    <w:rsid w:val="769E5DCD"/>
    <w:rsid w:val="76DD58AE"/>
    <w:rsid w:val="76F61765"/>
    <w:rsid w:val="76F73489"/>
    <w:rsid w:val="76FF8753"/>
    <w:rsid w:val="770025E3"/>
    <w:rsid w:val="7716164C"/>
    <w:rsid w:val="77167173"/>
    <w:rsid w:val="771F2A69"/>
    <w:rsid w:val="7729303B"/>
    <w:rsid w:val="77440722"/>
    <w:rsid w:val="7746449A"/>
    <w:rsid w:val="775011CD"/>
    <w:rsid w:val="77664B3C"/>
    <w:rsid w:val="777F18D9"/>
    <w:rsid w:val="779A2A38"/>
    <w:rsid w:val="77AE5B7C"/>
    <w:rsid w:val="77B21C5F"/>
    <w:rsid w:val="77DD1498"/>
    <w:rsid w:val="77E141C3"/>
    <w:rsid w:val="77FB436C"/>
    <w:rsid w:val="77FF7499"/>
    <w:rsid w:val="78324A1E"/>
    <w:rsid w:val="78370853"/>
    <w:rsid w:val="7847671C"/>
    <w:rsid w:val="787C3EEC"/>
    <w:rsid w:val="78A0036D"/>
    <w:rsid w:val="78B539D8"/>
    <w:rsid w:val="78BB7662"/>
    <w:rsid w:val="78D6078A"/>
    <w:rsid w:val="78EC082A"/>
    <w:rsid w:val="790D01E7"/>
    <w:rsid w:val="79183C14"/>
    <w:rsid w:val="791F1447"/>
    <w:rsid w:val="79364F9B"/>
    <w:rsid w:val="793F73F3"/>
    <w:rsid w:val="79584959"/>
    <w:rsid w:val="79725A1A"/>
    <w:rsid w:val="79782905"/>
    <w:rsid w:val="79EEC0C6"/>
    <w:rsid w:val="79FC52E4"/>
    <w:rsid w:val="79FC7092"/>
    <w:rsid w:val="7A124B07"/>
    <w:rsid w:val="7A336FED"/>
    <w:rsid w:val="7A410F49"/>
    <w:rsid w:val="7A737968"/>
    <w:rsid w:val="7A810B00"/>
    <w:rsid w:val="7A8552D9"/>
    <w:rsid w:val="7AB0212A"/>
    <w:rsid w:val="7AC35E02"/>
    <w:rsid w:val="7AFB341B"/>
    <w:rsid w:val="7B0A5381"/>
    <w:rsid w:val="7B0D7D58"/>
    <w:rsid w:val="7B51340D"/>
    <w:rsid w:val="7B5C1D78"/>
    <w:rsid w:val="7B6C6499"/>
    <w:rsid w:val="7B78019D"/>
    <w:rsid w:val="7B7A07B6"/>
    <w:rsid w:val="7B7F7775"/>
    <w:rsid w:val="7BAF477D"/>
    <w:rsid w:val="7BBB3ADF"/>
    <w:rsid w:val="7BD26EFF"/>
    <w:rsid w:val="7BD50020"/>
    <w:rsid w:val="7BFC5A6F"/>
    <w:rsid w:val="7BFD8848"/>
    <w:rsid w:val="7C083BD4"/>
    <w:rsid w:val="7C1F24FD"/>
    <w:rsid w:val="7C2F7BF3"/>
    <w:rsid w:val="7C4371FA"/>
    <w:rsid w:val="7C4647E2"/>
    <w:rsid w:val="7C496004"/>
    <w:rsid w:val="7C6333F8"/>
    <w:rsid w:val="7C703D67"/>
    <w:rsid w:val="7C887303"/>
    <w:rsid w:val="7CBA4FE2"/>
    <w:rsid w:val="7CCB1D32"/>
    <w:rsid w:val="7CDC3AE6"/>
    <w:rsid w:val="7CE64887"/>
    <w:rsid w:val="7D085707"/>
    <w:rsid w:val="7D0BCD3A"/>
    <w:rsid w:val="7D3720DE"/>
    <w:rsid w:val="7D3C5E6D"/>
    <w:rsid w:val="7D4408AE"/>
    <w:rsid w:val="7D5755D5"/>
    <w:rsid w:val="7D6E6B52"/>
    <w:rsid w:val="7D8A0E59"/>
    <w:rsid w:val="7DA32D9A"/>
    <w:rsid w:val="7DA43CC8"/>
    <w:rsid w:val="7DAF5342"/>
    <w:rsid w:val="7DB303AF"/>
    <w:rsid w:val="7DEF023D"/>
    <w:rsid w:val="7DF32EA2"/>
    <w:rsid w:val="7DF9454F"/>
    <w:rsid w:val="7DFFF744"/>
    <w:rsid w:val="7E024E93"/>
    <w:rsid w:val="7E1316F6"/>
    <w:rsid w:val="7E2D63B4"/>
    <w:rsid w:val="7E38485D"/>
    <w:rsid w:val="7E3C03A5"/>
    <w:rsid w:val="7E59EB40"/>
    <w:rsid w:val="7E7E11B6"/>
    <w:rsid w:val="7E8F4979"/>
    <w:rsid w:val="7E97382D"/>
    <w:rsid w:val="7EA57308"/>
    <w:rsid w:val="7EBE525E"/>
    <w:rsid w:val="7EC9775F"/>
    <w:rsid w:val="7EE719BD"/>
    <w:rsid w:val="7EEDD533"/>
    <w:rsid w:val="7F2C2118"/>
    <w:rsid w:val="7F2D691C"/>
    <w:rsid w:val="7F367155"/>
    <w:rsid w:val="7F477001"/>
    <w:rsid w:val="7F4C3960"/>
    <w:rsid w:val="7F6D458E"/>
    <w:rsid w:val="7F7997D2"/>
    <w:rsid w:val="7F92819A"/>
    <w:rsid w:val="7F9F6E64"/>
    <w:rsid w:val="7FB36445"/>
    <w:rsid w:val="7FB83A5B"/>
    <w:rsid w:val="7FB842E4"/>
    <w:rsid w:val="7FBB253C"/>
    <w:rsid w:val="7FBDF3EE"/>
    <w:rsid w:val="7FBF0DF5"/>
    <w:rsid w:val="7FC3D842"/>
    <w:rsid w:val="7FC63E4B"/>
    <w:rsid w:val="7FC70160"/>
    <w:rsid w:val="7FD22DF5"/>
    <w:rsid w:val="7FDF13B9"/>
    <w:rsid w:val="7FEC6188"/>
    <w:rsid w:val="7FEE31EE"/>
    <w:rsid w:val="7FF5127A"/>
    <w:rsid w:val="7FF955F7"/>
    <w:rsid w:val="7FFA0013"/>
    <w:rsid w:val="7FFBE701"/>
    <w:rsid w:val="7FFFCBFE"/>
    <w:rsid w:val="875F8271"/>
    <w:rsid w:val="8BFB4C9A"/>
    <w:rsid w:val="95F3CE17"/>
    <w:rsid w:val="9C39FCD6"/>
    <w:rsid w:val="9CFAFC78"/>
    <w:rsid w:val="A5EEB374"/>
    <w:rsid w:val="A7B792A2"/>
    <w:rsid w:val="AB6732C0"/>
    <w:rsid w:val="ACBCD39C"/>
    <w:rsid w:val="ADC75F3E"/>
    <w:rsid w:val="AF99376F"/>
    <w:rsid w:val="AFF3C18E"/>
    <w:rsid w:val="B75532AB"/>
    <w:rsid w:val="B7B6EB18"/>
    <w:rsid w:val="B7FF6AA2"/>
    <w:rsid w:val="BA5B060E"/>
    <w:rsid w:val="BAFDFB56"/>
    <w:rsid w:val="BBFED30D"/>
    <w:rsid w:val="BDA44F7C"/>
    <w:rsid w:val="BEFFB010"/>
    <w:rsid w:val="BF7537D4"/>
    <w:rsid w:val="BFDFD3B6"/>
    <w:rsid w:val="BFF32474"/>
    <w:rsid w:val="CB6F9111"/>
    <w:rsid w:val="CBFF5FF9"/>
    <w:rsid w:val="CDB72453"/>
    <w:rsid w:val="CFFF1B92"/>
    <w:rsid w:val="D3B78E95"/>
    <w:rsid w:val="D63BB5B9"/>
    <w:rsid w:val="D7FF021C"/>
    <w:rsid w:val="DA6C367F"/>
    <w:rsid w:val="DB3F2775"/>
    <w:rsid w:val="DD7F814E"/>
    <w:rsid w:val="DEFD6C71"/>
    <w:rsid w:val="DF56760D"/>
    <w:rsid w:val="DFF7E666"/>
    <w:rsid w:val="E23C866E"/>
    <w:rsid w:val="E36F9B89"/>
    <w:rsid w:val="E3FFEC41"/>
    <w:rsid w:val="E9A5366E"/>
    <w:rsid w:val="EAFEFD6A"/>
    <w:rsid w:val="EB7F43A7"/>
    <w:rsid w:val="EBFD7758"/>
    <w:rsid w:val="ED7C8752"/>
    <w:rsid w:val="EEEFE055"/>
    <w:rsid w:val="EEFEC19F"/>
    <w:rsid w:val="EFBEE48E"/>
    <w:rsid w:val="EFBFC924"/>
    <w:rsid w:val="F0BEE996"/>
    <w:rsid w:val="F33F1745"/>
    <w:rsid w:val="F3D4E22C"/>
    <w:rsid w:val="F4EB3C3F"/>
    <w:rsid w:val="F5BD0D81"/>
    <w:rsid w:val="F5FF00D1"/>
    <w:rsid w:val="F6676A64"/>
    <w:rsid w:val="F7E30F28"/>
    <w:rsid w:val="FBFC4C05"/>
    <w:rsid w:val="FC7B57E1"/>
    <w:rsid w:val="FCFFC583"/>
    <w:rsid w:val="FD4F62AA"/>
    <w:rsid w:val="FDBE5DC5"/>
    <w:rsid w:val="FEAFFC2F"/>
    <w:rsid w:val="FEB72FC8"/>
    <w:rsid w:val="FEB9CECD"/>
    <w:rsid w:val="FEDE14F9"/>
    <w:rsid w:val="FEEFE275"/>
    <w:rsid w:val="FEFFD586"/>
    <w:rsid w:val="FF191D82"/>
    <w:rsid w:val="FF77E144"/>
    <w:rsid w:val="FFD7AABA"/>
    <w:rsid w:val="FFDC2CF4"/>
    <w:rsid w:val="FFEFBEA9"/>
    <w:rsid w:val="FFFB0171"/>
    <w:rsid w:val="FFFBA31A"/>
    <w:rsid w:val="FFFFB3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62"/>
    <w:qFormat/>
    <w:uiPriority w:val="0"/>
    <w:pPr>
      <w:keepNext/>
      <w:keepLines/>
      <w:adjustRightInd w:val="0"/>
      <w:snapToGrid w:val="0"/>
      <w:spacing w:beforeLines="50" w:afterLines="50"/>
      <w:textAlignment w:val="baseline"/>
      <w:outlineLvl w:val="1"/>
    </w:pPr>
    <w:rPr>
      <w:rFonts w:hint="eastAsia" w:ascii="幼圆" w:hAnsi="Arial" w:eastAsia="幼圆"/>
      <w:b/>
      <w:sz w:val="32"/>
      <w:szCs w:val="32"/>
    </w:rPr>
  </w:style>
  <w:style w:type="paragraph" w:styleId="4">
    <w:name w:val="heading 3"/>
    <w:basedOn w:val="1"/>
    <w:next w:val="1"/>
    <w:link w:val="63"/>
    <w:qFormat/>
    <w:uiPriority w:val="0"/>
    <w:pPr>
      <w:keepNext/>
      <w:tabs>
        <w:tab w:val="left" w:pos="600"/>
      </w:tabs>
      <w:adjustRightInd w:val="0"/>
      <w:spacing w:line="360" w:lineRule="auto"/>
      <w:jc w:val="left"/>
      <w:textAlignment w:val="baseline"/>
      <w:outlineLvl w:val="2"/>
    </w:pPr>
    <w:rPr>
      <w:rFonts w:ascii="宋体"/>
      <w:b/>
      <w:color w:val="000000"/>
      <w:kern w:val="0"/>
      <w:sz w:val="24"/>
      <w:szCs w:val="20"/>
    </w:rPr>
  </w:style>
  <w:style w:type="paragraph" w:styleId="5">
    <w:name w:val="heading 4"/>
    <w:basedOn w:val="1"/>
    <w:next w:val="1"/>
    <w:link w:val="64"/>
    <w:qFormat/>
    <w:uiPriority w:val="0"/>
    <w:pPr>
      <w:keepNext/>
      <w:tabs>
        <w:tab w:val="left" w:pos="600"/>
      </w:tabs>
      <w:adjustRightInd w:val="0"/>
      <w:jc w:val="center"/>
      <w:textAlignment w:val="baseline"/>
      <w:outlineLvl w:val="3"/>
    </w:pPr>
    <w:rPr>
      <w:b/>
      <w:color w:val="000000"/>
      <w:spacing w:val="-20"/>
      <w:kern w:val="0"/>
      <w:szCs w:val="20"/>
    </w:rPr>
  </w:style>
  <w:style w:type="paragraph" w:styleId="6">
    <w:name w:val="heading 5"/>
    <w:basedOn w:val="1"/>
    <w:next w:val="1"/>
    <w:link w:val="65"/>
    <w:qFormat/>
    <w:uiPriority w:val="0"/>
    <w:pPr>
      <w:keepNext/>
      <w:keepLines/>
      <w:spacing w:after="120" w:line="360" w:lineRule="auto"/>
      <w:outlineLvl w:val="4"/>
    </w:pPr>
    <w:rPr>
      <w:b/>
      <w:sz w:val="28"/>
      <w:szCs w:val="20"/>
    </w:rPr>
  </w:style>
  <w:style w:type="paragraph" w:styleId="7">
    <w:name w:val="heading 6"/>
    <w:basedOn w:val="1"/>
    <w:next w:val="1"/>
    <w:link w:val="66"/>
    <w:qFormat/>
    <w:uiPriority w:val="0"/>
    <w:pPr>
      <w:widowControl/>
      <w:tabs>
        <w:tab w:val="left" w:pos="1152"/>
      </w:tabs>
      <w:spacing w:before="240" w:after="60"/>
      <w:ind w:left="1152" w:hanging="1152"/>
      <w:jc w:val="left"/>
      <w:outlineLvl w:val="5"/>
    </w:pPr>
    <w:rPr>
      <w:rFonts w:ascii="Arial" w:hAnsi="Arial"/>
      <w:i/>
      <w:kern w:val="0"/>
      <w:sz w:val="22"/>
      <w:szCs w:val="20"/>
      <w:lang w:val="en-GB"/>
    </w:rPr>
  </w:style>
  <w:style w:type="paragraph" w:styleId="8">
    <w:name w:val="heading 7"/>
    <w:basedOn w:val="1"/>
    <w:next w:val="1"/>
    <w:link w:val="67"/>
    <w:qFormat/>
    <w:uiPriority w:val="0"/>
    <w:pPr>
      <w:widowControl/>
      <w:tabs>
        <w:tab w:val="left" w:pos="1296"/>
      </w:tabs>
      <w:spacing w:before="240" w:after="60"/>
      <w:ind w:left="1296" w:hanging="1296"/>
      <w:jc w:val="left"/>
      <w:outlineLvl w:val="6"/>
    </w:pPr>
    <w:rPr>
      <w:rFonts w:ascii="Arial" w:hAnsi="Arial"/>
      <w:kern w:val="0"/>
      <w:sz w:val="20"/>
      <w:szCs w:val="20"/>
      <w:lang w:val="de-DE"/>
    </w:rPr>
  </w:style>
  <w:style w:type="paragraph" w:styleId="9">
    <w:name w:val="heading 8"/>
    <w:basedOn w:val="1"/>
    <w:next w:val="1"/>
    <w:link w:val="68"/>
    <w:qFormat/>
    <w:uiPriority w:val="0"/>
    <w:pPr>
      <w:widowControl/>
      <w:tabs>
        <w:tab w:val="left" w:pos="1440"/>
      </w:tabs>
      <w:spacing w:before="240" w:after="60"/>
      <w:ind w:left="1440" w:hanging="1440"/>
      <w:jc w:val="left"/>
      <w:outlineLvl w:val="7"/>
    </w:pPr>
    <w:rPr>
      <w:rFonts w:ascii="Arial" w:hAnsi="Arial"/>
      <w:i/>
      <w:kern w:val="0"/>
      <w:sz w:val="20"/>
      <w:szCs w:val="20"/>
      <w:lang w:val="de-DE"/>
    </w:rPr>
  </w:style>
  <w:style w:type="paragraph" w:styleId="10">
    <w:name w:val="heading 9"/>
    <w:basedOn w:val="1"/>
    <w:next w:val="1"/>
    <w:link w:val="69"/>
    <w:qFormat/>
    <w:uiPriority w:val="0"/>
    <w:pPr>
      <w:widowControl/>
      <w:tabs>
        <w:tab w:val="left" w:pos="1584"/>
      </w:tabs>
      <w:spacing w:before="240" w:after="60"/>
      <w:ind w:left="1584" w:hanging="1584"/>
      <w:jc w:val="left"/>
      <w:outlineLvl w:val="8"/>
    </w:pPr>
    <w:rPr>
      <w:rFonts w:ascii="Arial" w:hAnsi="Arial"/>
      <w:i/>
      <w:kern w:val="0"/>
      <w:sz w:val="18"/>
      <w:szCs w:val="20"/>
      <w:lang w:val="de-DE"/>
    </w:rPr>
  </w:style>
  <w:style w:type="character" w:default="1" w:styleId="54">
    <w:name w:val="Default Paragraph Font"/>
    <w:unhideWhenUsed/>
    <w:qFormat/>
    <w:uiPriority w:val="1"/>
  </w:style>
  <w:style w:type="table" w:default="1" w:styleId="52">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szCs w:val="20"/>
    </w:rPr>
  </w:style>
  <w:style w:type="paragraph" w:styleId="12">
    <w:name w:val="toc 7"/>
    <w:basedOn w:val="1"/>
    <w:next w:val="1"/>
    <w:qFormat/>
    <w:uiPriority w:val="0"/>
    <w:pPr>
      <w:adjustRightInd w:val="0"/>
      <w:ind w:left="1260"/>
      <w:jc w:val="left"/>
      <w:textAlignment w:val="baseline"/>
    </w:pPr>
    <w:rPr>
      <w:sz w:val="18"/>
      <w:szCs w:val="18"/>
    </w:rPr>
  </w:style>
  <w:style w:type="paragraph" w:styleId="13">
    <w:name w:val="Note Heading"/>
    <w:basedOn w:val="1"/>
    <w:next w:val="1"/>
    <w:qFormat/>
    <w:uiPriority w:val="0"/>
    <w:pPr>
      <w:spacing w:line="360" w:lineRule="auto"/>
      <w:jc w:val="center"/>
    </w:pPr>
    <w:rPr>
      <w:rFonts w:ascii="宋体"/>
      <w:sz w:val="24"/>
      <w:szCs w:val="20"/>
    </w:rPr>
  </w:style>
  <w:style w:type="paragraph" w:styleId="14">
    <w:name w:val="Normal Indent"/>
    <w:basedOn w:val="1"/>
    <w:link w:val="70"/>
    <w:qFormat/>
    <w:uiPriority w:val="99"/>
    <w:pPr>
      <w:spacing w:line="360" w:lineRule="auto"/>
      <w:ind w:left="851" w:firstLine="420"/>
    </w:pPr>
    <w:rPr>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List Bullet"/>
    <w:basedOn w:val="1"/>
    <w:qFormat/>
    <w:uiPriority w:val="0"/>
    <w:pPr>
      <w:tabs>
        <w:tab w:val="left" w:pos="360"/>
      </w:tabs>
      <w:ind w:left="360" w:hanging="360"/>
    </w:pPr>
    <w:rPr>
      <w:szCs w:val="20"/>
    </w:rPr>
  </w:style>
  <w:style w:type="paragraph" w:styleId="17">
    <w:name w:val="Document Map"/>
    <w:basedOn w:val="1"/>
    <w:link w:val="71"/>
    <w:qFormat/>
    <w:uiPriority w:val="0"/>
    <w:pPr>
      <w:shd w:val="clear" w:color="auto" w:fill="000080"/>
    </w:pPr>
  </w:style>
  <w:style w:type="paragraph" w:styleId="18">
    <w:name w:val="toa heading"/>
    <w:basedOn w:val="1"/>
    <w:next w:val="1"/>
    <w:semiHidden/>
    <w:qFormat/>
    <w:uiPriority w:val="0"/>
    <w:pPr>
      <w:spacing w:before="120"/>
    </w:pPr>
    <w:rPr>
      <w:rFonts w:ascii="Arial" w:hAnsi="Arial" w:cs="Arial"/>
      <w:sz w:val="24"/>
      <w:szCs w:val="24"/>
    </w:rPr>
  </w:style>
  <w:style w:type="paragraph" w:styleId="19">
    <w:name w:val="annotation text"/>
    <w:basedOn w:val="1"/>
    <w:link w:val="72"/>
    <w:qFormat/>
    <w:uiPriority w:val="99"/>
    <w:pPr>
      <w:adjustRightInd w:val="0"/>
      <w:spacing w:line="312" w:lineRule="atLeast"/>
      <w:jc w:val="left"/>
      <w:textAlignment w:val="baseline"/>
    </w:pPr>
    <w:rPr>
      <w:rFonts w:ascii="宋体"/>
      <w:kern w:val="0"/>
      <w:sz w:val="24"/>
      <w:szCs w:val="20"/>
    </w:rPr>
  </w:style>
  <w:style w:type="paragraph" w:styleId="20">
    <w:name w:val="Body Text 3"/>
    <w:basedOn w:val="1"/>
    <w:link w:val="73"/>
    <w:qFormat/>
    <w:uiPriority w:val="0"/>
    <w:pPr>
      <w:spacing w:line="360" w:lineRule="auto"/>
    </w:pPr>
    <w:rPr>
      <w:sz w:val="28"/>
    </w:rPr>
  </w:style>
  <w:style w:type="paragraph" w:styleId="21">
    <w:name w:val="Body Text"/>
    <w:basedOn w:val="1"/>
    <w:link w:val="74"/>
    <w:qFormat/>
    <w:uiPriority w:val="0"/>
    <w:pPr>
      <w:spacing w:after="120"/>
    </w:pPr>
    <w:rPr>
      <w:kern w:val="0"/>
      <w:sz w:val="20"/>
      <w:szCs w:val="21"/>
    </w:rPr>
  </w:style>
  <w:style w:type="paragraph" w:styleId="22">
    <w:name w:val="Body Text Indent"/>
    <w:basedOn w:val="1"/>
    <w:link w:val="75"/>
    <w:qFormat/>
    <w:uiPriority w:val="99"/>
    <w:pPr>
      <w:spacing w:after="120"/>
      <w:ind w:left="420" w:leftChars="200"/>
    </w:pPr>
  </w:style>
  <w:style w:type="paragraph" w:styleId="23">
    <w:name w:val="List 2"/>
    <w:basedOn w:val="1"/>
    <w:qFormat/>
    <w:uiPriority w:val="0"/>
    <w:pPr>
      <w:ind w:left="100" w:leftChars="200" w:hanging="200" w:hangingChars="200"/>
    </w:pPr>
    <w:rPr>
      <w:szCs w:val="20"/>
    </w:rPr>
  </w:style>
  <w:style w:type="paragraph" w:styleId="24">
    <w:name w:val="List Continue"/>
    <w:basedOn w:val="1"/>
    <w:qFormat/>
    <w:uiPriority w:val="0"/>
    <w:pPr>
      <w:spacing w:after="120"/>
      <w:ind w:left="420" w:leftChars="200"/>
    </w:pPr>
    <w:rPr>
      <w:szCs w:val="20"/>
    </w:rPr>
  </w:style>
  <w:style w:type="paragraph" w:styleId="25">
    <w:name w:val="Block Text"/>
    <w:basedOn w:val="1"/>
    <w:qFormat/>
    <w:uiPriority w:val="0"/>
    <w:pPr>
      <w:spacing w:after="120"/>
      <w:ind w:left="1440" w:leftChars="700" w:right="1440" w:rightChars="700"/>
    </w:pPr>
  </w:style>
  <w:style w:type="paragraph" w:styleId="26">
    <w:name w:val="toc 5"/>
    <w:basedOn w:val="1"/>
    <w:next w:val="1"/>
    <w:qFormat/>
    <w:uiPriority w:val="0"/>
    <w:pPr>
      <w:adjustRightInd w:val="0"/>
      <w:ind w:left="840"/>
      <w:jc w:val="left"/>
      <w:textAlignment w:val="baseline"/>
    </w:pPr>
    <w:rPr>
      <w:sz w:val="18"/>
      <w:szCs w:val="18"/>
    </w:rPr>
  </w:style>
  <w:style w:type="paragraph" w:styleId="27">
    <w:name w:val="toc 3"/>
    <w:basedOn w:val="1"/>
    <w:next w:val="1"/>
    <w:qFormat/>
    <w:uiPriority w:val="0"/>
    <w:pPr>
      <w:tabs>
        <w:tab w:val="right" w:leader="dot" w:pos="8392"/>
      </w:tabs>
      <w:adjustRightInd w:val="0"/>
      <w:snapToGrid w:val="0"/>
      <w:spacing w:beforeLines="50" w:afterLines="50"/>
      <w:jc w:val="left"/>
    </w:pPr>
    <w:rPr>
      <w:rFonts w:eastAsia="华文中宋"/>
      <w:b/>
      <w:bCs/>
      <w:snapToGrid w:val="0"/>
      <w:color w:val="000000"/>
      <w:kern w:val="0"/>
      <w:sz w:val="24"/>
    </w:rPr>
  </w:style>
  <w:style w:type="paragraph" w:styleId="28">
    <w:name w:val="Plain Text"/>
    <w:basedOn w:val="1"/>
    <w:link w:val="76"/>
    <w:qFormat/>
    <w:uiPriority w:val="0"/>
    <w:rPr>
      <w:rFonts w:ascii="宋体" w:hAnsi="Courier New"/>
      <w:szCs w:val="20"/>
    </w:rPr>
  </w:style>
  <w:style w:type="paragraph" w:styleId="29">
    <w:name w:val="toc 8"/>
    <w:basedOn w:val="1"/>
    <w:next w:val="1"/>
    <w:qFormat/>
    <w:uiPriority w:val="0"/>
    <w:pPr>
      <w:adjustRightInd w:val="0"/>
      <w:ind w:left="1470"/>
      <w:jc w:val="left"/>
      <w:textAlignment w:val="baseline"/>
    </w:pPr>
    <w:rPr>
      <w:sz w:val="18"/>
      <w:szCs w:val="18"/>
    </w:rPr>
  </w:style>
  <w:style w:type="paragraph" w:styleId="30">
    <w:name w:val="Date"/>
    <w:basedOn w:val="1"/>
    <w:next w:val="1"/>
    <w:link w:val="77"/>
    <w:qFormat/>
    <w:uiPriority w:val="0"/>
    <w:pPr>
      <w:widowControl/>
    </w:pPr>
    <w:rPr>
      <w:rFonts w:ascii="宋体" w:hAnsi="Arial"/>
      <w:kern w:val="0"/>
      <w:sz w:val="24"/>
      <w:szCs w:val="20"/>
    </w:rPr>
  </w:style>
  <w:style w:type="paragraph" w:styleId="31">
    <w:name w:val="Body Text Indent 2"/>
    <w:basedOn w:val="1"/>
    <w:link w:val="78"/>
    <w:qFormat/>
    <w:uiPriority w:val="0"/>
    <w:pPr>
      <w:autoSpaceDE w:val="0"/>
      <w:autoSpaceDN w:val="0"/>
      <w:adjustRightInd w:val="0"/>
      <w:snapToGrid w:val="0"/>
      <w:spacing w:line="360" w:lineRule="auto"/>
      <w:ind w:firstLine="420" w:firstLineChars="200"/>
    </w:pPr>
    <w:rPr>
      <w:rFonts w:ascii="Verdana" w:hAnsi="Verdana" w:eastAsia="幼圆"/>
      <w:color w:val="000000"/>
    </w:rPr>
  </w:style>
  <w:style w:type="paragraph" w:styleId="32">
    <w:name w:val="Balloon Text"/>
    <w:basedOn w:val="1"/>
    <w:link w:val="79"/>
    <w:qFormat/>
    <w:uiPriority w:val="0"/>
    <w:rPr>
      <w:sz w:val="18"/>
      <w:szCs w:val="18"/>
    </w:rPr>
  </w:style>
  <w:style w:type="paragraph" w:styleId="33">
    <w:name w:val="footer"/>
    <w:basedOn w:val="1"/>
    <w:link w:val="80"/>
    <w:qFormat/>
    <w:uiPriority w:val="0"/>
    <w:pPr>
      <w:tabs>
        <w:tab w:val="center" w:pos="4153"/>
        <w:tab w:val="right" w:pos="8306"/>
      </w:tabs>
      <w:snapToGrid w:val="0"/>
      <w:jc w:val="left"/>
    </w:pPr>
    <w:rPr>
      <w:sz w:val="18"/>
      <w:szCs w:val="18"/>
    </w:rPr>
  </w:style>
  <w:style w:type="paragraph" w:styleId="34">
    <w:name w:val="header"/>
    <w:basedOn w:val="1"/>
    <w:link w:val="81"/>
    <w:qFormat/>
    <w:uiPriority w:val="0"/>
    <w:pPr>
      <w:pBdr>
        <w:bottom w:val="single" w:color="auto" w:sz="6" w:space="1"/>
      </w:pBdr>
      <w:tabs>
        <w:tab w:val="center" w:pos="4819"/>
        <w:tab w:val="right" w:pos="9071"/>
      </w:tabs>
      <w:adjustRightInd w:val="0"/>
      <w:spacing w:line="240" w:lineRule="atLeast"/>
      <w:ind w:left="1191" w:hanging="1191"/>
      <w:jc w:val="center"/>
      <w:textAlignment w:val="baseline"/>
    </w:pPr>
    <w:rPr>
      <w:rFonts w:ascii="宋体"/>
      <w:kern w:val="0"/>
      <w:sz w:val="18"/>
      <w:szCs w:val="20"/>
    </w:rPr>
  </w:style>
  <w:style w:type="paragraph" w:styleId="35">
    <w:name w:val="Signature"/>
    <w:basedOn w:val="1"/>
    <w:qFormat/>
    <w:uiPriority w:val="0"/>
    <w:pPr>
      <w:ind w:left="100" w:leftChars="2100"/>
    </w:pPr>
    <w:rPr>
      <w:szCs w:val="20"/>
    </w:rPr>
  </w:style>
  <w:style w:type="paragraph" w:styleId="36">
    <w:name w:val="toc 1"/>
    <w:basedOn w:val="1"/>
    <w:next w:val="1"/>
    <w:qFormat/>
    <w:uiPriority w:val="39"/>
    <w:pPr>
      <w:adjustRightInd w:val="0"/>
      <w:spacing w:before="120" w:after="120"/>
      <w:jc w:val="left"/>
      <w:textAlignment w:val="baseline"/>
    </w:pPr>
    <w:rPr>
      <w:b/>
      <w:bCs/>
      <w:caps/>
      <w:sz w:val="20"/>
      <w:szCs w:val="20"/>
    </w:rPr>
  </w:style>
  <w:style w:type="paragraph" w:styleId="37">
    <w:name w:val="toc 4"/>
    <w:basedOn w:val="1"/>
    <w:next w:val="1"/>
    <w:qFormat/>
    <w:uiPriority w:val="0"/>
    <w:pPr>
      <w:ind w:left="630"/>
      <w:jc w:val="left"/>
    </w:pPr>
    <w:rPr>
      <w:szCs w:val="21"/>
    </w:rPr>
  </w:style>
  <w:style w:type="paragraph" w:styleId="38">
    <w:name w:val="List"/>
    <w:basedOn w:val="1"/>
    <w:qFormat/>
    <w:uiPriority w:val="0"/>
    <w:pPr>
      <w:ind w:left="200" w:hanging="200" w:hangingChars="200"/>
    </w:pPr>
    <w:rPr>
      <w:szCs w:val="20"/>
    </w:rPr>
  </w:style>
  <w:style w:type="paragraph" w:styleId="39">
    <w:name w:val="toc 6"/>
    <w:basedOn w:val="1"/>
    <w:next w:val="1"/>
    <w:qFormat/>
    <w:uiPriority w:val="0"/>
    <w:pPr>
      <w:adjustRightInd w:val="0"/>
      <w:ind w:left="1050"/>
      <w:jc w:val="left"/>
      <w:textAlignment w:val="baseline"/>
    </w:pPr>
    <w:rPr>
      <w:sz w:val="18"/>
      <w:szCs w:val="18"/>
    </w:rPr>
  </w:style>
  <w:style w:type="paragraph" w:styleId="40">
    <w:name w:val="Body Text Indent 3"/>
    <w:basedOn w:val="1"/>
    <w:link w:val="82"/>
    <w:qFormat/>
    <w:uiPriority w:val="0"/>
    <w:pPr>
      <w:spacing w:after="120"/>
      <w:ind w:left="420" w:leftChars="200"/>
    </w:pPr>
    <w:rPr>
      <w:sz w:val="16"/>
      <w:szCs w:val="16"/>
    </w:rPr>
  </w:style>
  <w:style w:type="paragraph" w:styleId="41">
    <w:name w:val="table of figures"/>
    <w:basedOn w:val="1"/>
    <w:next w:val="1"/>
    <w:qFormat/>
    <w:uiPriority w:val="0"/>
    <w:pPr>
      <w:adjustRightInd w:val="0"/>
      <w:spacing w:line="360" w:lineRule="atLeast"/>
      <w:ind w:left="840" w:hanging="420"/>
      <w:jc w:val="left"/>
      <w:textAlignment w:val="baseline"/>
    </w:pPr>
    <w:rPr>
      <w:kern w:val="0"/>
      <w:sz w:val="24"/>
      <w:szCs w:val="20"/>
    </w:rPr>
  </w:style>
  <w:style w:type="paragraph" w:styleId="42">
    <w:name w:val="toc 2"/>
    <w:basedOn w:val="1"/>
    <w:next w:val="1"/>
    <w:qFormat/>
    <w:uiPriority w:val="39"/>
    <w:pPr>
      <w:adjustRightInd w:val="0"/>
      <w:spacing w:line="240" w:lineRule="atLeast"/>
      <w:ind w:left="240"/>
      <w:jc w:val="left"/>
      <w:textAlignment w:val="baseline"/>
    </w:pPr>
    <w:rPr>
      <w:smallCaps/>
      <w:kern w:val="0"/>
      <w:sz w:val="20"/>
      <w:szCs w:val="20"/>
    </w:rPr>
  </w:style>
  <w:style w:type="paragraph" w:styleId="43">
    <w:name w:val="toc 9"/>
    <w:basedOn w:val="1"/>
    <w:next w:val="1"/>
    <w:qFormat/>
    <w:uiPriority w:val="0"/>
    <w:pPr>
      <w:adjustRightInd w:val="0"/>
      <w:ind w:left="1680"/>
      <w:jc w:val="left"/>
      <w:textAlignment w:val="baseline"/>
    </w:pPr>
    <w:rPr>
      <w:sz w:val="18"/>
      <w:szCs w:val="18"/>
    </w:rPr>
  </w:style>
  <w:style w:type="paragraph" w:styleId="44">
    <w:name w:val="Body Text 2"/>
    <w:basedOn w:val="1"/>
    <w:link w:val="83"/>
    <w:qFormat/>
    <w:uiPriority w:val="0"/>
    <w:pPr>
      <w:spacing w:after="120" w:line="480" w:lineRule="auto"/>
    </w:pPr>
  </w:style>
  <w:style w:type="paragraph" w:styleId="45">
    <w:name w:val="List Continue 2"/>
    <w:basedOn w:val="1"/>
    <w:qFormat/>
    <w:uiPriority w:val="0"/>
    <w:pPr>
      <w:spacing w:after="120"/>
      <w:ind w:left="840" w:leftChars="400"/>
    </w:pPr>
    <w:rPr>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4"/>
      <w:lang w:val="en-US" w:eastAsia="zh-CN" w:bidi="ar"/>
    </w:rPr>
  </w:style>
  <w:style w:type="paragraph" w:styleId="48">
    <w:name w:val="Title"/>
    <w:basedOn w:val="1"/>
    <w:link w:val="84"/>
    <w:qFormat/>
    <w:uiPriority w:val="0"/>
    <w:pPr>
      <w:spacing w:before="240" w:after="60"/>
      <w:jc w:val="center"/>
      <w:outlineLvl w:val="0"/>
    </w:pPr>
    <w:rPr>
      <w:rFonts w:ascii="Arial" w:hAnsi="Arial" w:cs="Arial"/>
      <w:b/>
      <w:bCs/>
      <w:sz w:val="32"/>
      <w:szCs w:val="32"/>
    </w:rPr>
  </w:style>
  <w:style w:type="paragraph" w:styleId="49">
    <w:name w:val="annotation subject"/>
    <w:basedOn w:val="19"/>
    <w:next w:val="19"/>
    <w:link w:val="85"/>
    <w:qFormat/>
    <w:uiPriority w:val="0"/>
    <w:pPr>
      <w:spacing w:line="240" w:lineRule="auto"/>
    </w:pPr>
    <w:rPr>
      <w:rFonts w:ascii="Times New Roman"/>
      <w:b/>
      <w:kern w:val="2"/>
      <w:sz w:val="21"/>
      <w:szCs w:val="24"/>
    </w:rPr>
  </w:style>
  <w:style w:type="paragraph" w:styleId="50">
    <w:name w:val="Body Text First Indent"/>
    <w:basedOn w:val="21"/>
    <w:link w:val="86"/>
    <w:unhideWhenUsed/>
    <w:qFormat/>
    <w:uiPriority w:val="0"/>
    <w:pPr>
      <w:keepNext w:val="0"/>
      <w:keepLines w:val="0"/>
      <w:widowControl w:val="0"/>
      <w:suppressLineNumbers w:val="0"/>
      <w:spacing w:before="0" w:beforeAutospacing="0" w:after="120" w:afterAutospacing="0"/>
      <w:ind w:left="0" w:right="0" w:firstLine="420" w:firstLineChars="100"/>
      <w:jc w:val="both"/>
    </w:pPr>
  </w:style>
  <w:style w:type="paragraph" w:styleId="51">
    <w:name w:val="Body Text First Indent 2"/>
    <w:basedOn w:val="22"/>
    <w:qFormat/>
    <w:uiPriority w:val="0"/>
    <w:pPr>
      <w:tabs>
        <w:tab w:val="left" w:pos="0"/>
      </w:tabs>
      <w:adjustRightInd/>
      <w:spacing w:line="240" w:lineRule="auto"/>
      <w:ind w:leftChars="0" w:firstLine="420"/>
      <w:textAlignment w:val="auto"/>
    </w:pPr>
    <w:rPr>
      <w:rFonts w:ascii="Calibri" w:hAnsi="Calibri" w:eastAsia="宋体" w:cs="Times New Roman"/>
      <w:kern w:val="2"/>
      <w:sz w:val="28"/>
      <w:szCs w:val="24"/>
    </w:rPr>
  </w:style>
  <w:style w:type="table" w:styleId="53">
    <w:name w:val="Table Grid"/>
    <w:basedOn w:val="52"/>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5">
    <w:name w:val="Strong"/>
    <w:qFormat/>
    <w:uiPriority w:val="0"/>
    <w:rPr>
      <w:b/>
      <w:bCs/>
    </w:rPr>
  </w:style>
  <w:style w:type="character" w:styleId="56">
    <w:name w:val="page number"/>
    <w:qFormat/>
    <w:uiPriority w:val="0"/>
  </w:style>
  <w:style w:type="character" w:styleId="57">
    <w:name w:val="FollowedHyperlink"/>
    <w:qFormat/>
    <w:uiPriority w:val="0"/>
    <w:rPr>
      <w:color w:val="800080"/>
      <w:u w:val="single"/>
    </w:rPr>
  </w:style>
  <w:style w:type="character" w:styleId="58">
    <w:name w:val="Emphasis"/>
    <w:qFormat/>
    <w:uiPriority w:val="0"/>
    <w:rPr>
      <w:color w:val="CC0000"/>
    </w:rPr>
  </w:style>
  <w:style w:type="character" w:styleId="59">
    <w:name w:val="Hyperlink"/>
    <w:qFormat/>
    <w:uiPriority w:val="99"/>
    <w:rPr>
      <w:color w:val="0000FF"/>
      <w:u w:val="single"/>
    </w:rPr>
  </w:style>
  <w:style w:type="character" w:styleId="60">
    <w:name w:val="annotation reference"/>
    <w:qFormat/>
    <w:uiPriority w:val="99"/>
    <w:rPr>
      <w:sz w:val="21"/>
      <w:szCs w:val="21"/>
    </w:rPr>
  </w:style>
  <w:style w:type="character" w:customStyle="1" w:styleId="61">
    <w:name w:val="标题 1 Char1"/>
    <w:link w:val="2"/>
    <w:qFormat/>
    <w:locked/>
    <w:uiPriority w:val="0"/>
    <w:rPr>
      <w:b/>
      <w:bCs/>
      <w:kern w:val="44"/>
      <w:sz w:val="44"/>
      <w:szCs w:val="44"/>
    </w:rPr>
  </w:style>
  <w:style w:type="character" w:customStyle="1" w:styleId="62">
    <w:name w:val="标题 2 Char"/>
    <w:link w:val="3"/>
    <w:qFormat/>
    <w:uiPriority w:val="0"/>
    <w:rPr>
      <w:rFonts w:hint="eastAsia" w:ascii="幼圆" w:hAnsi="Arial" w:eastAsia="幼圆" w:cs="幼圆"/>
      <w:b/>
      <w:kern w:val="2"/>
      <w:sz w:val="32"/>
      <w:szCs w:val="32"/>
    </w:rPr>
  </w:style>
  <w:style w:type="character" w:customStyle="1" w:styleId="63">
    <w:name w:val="标题 3 Char"/>
    <w:link w:val="4"/>
    <w:qFormat/>
    <w:uiPriority w:val="0"/>
    <w:rPr>
      <w:rFonts w:hint="eastAsia" w:ascii="宋体" w:hAnsi="宋体" w:eastAsia="宋体" w:cs="宋体"/>
      <w:kern w:val="2"/>
      <w:sz w:val="28"/>
    </w:rPr>
  </w:style>
  <w:style w:type="character" w:customStyle="1" w:styleId="64">
    <w:name w:val="标题 4 Char"/>
    <w:link w:val="5"/>
    <w:qFormat/>
    <w:uiPriority w:val="0"/>
    <w:rPr>
      <w:rFonts w:hint="default" w:ascii="Arial" w:hAnsi="Arial" w:eastAsia="黑体" w:cs="Arial"/>
      <w:b/>
      <w:kern w:val="2"/>
      <w:sz w:val="28"/>
      <w:szCs w:val="28"/>
    </w:rPr>
  </w:style>
  <w:style w:type="character" w:customStyle="1" w:styleId="65">
    <w:name w:val="标题 5 Char"/>
    <w:link w:val="6"/>
    <w:qFormat/>
    <w:uiPriority w:val="0"/>
    <w:rPr>
      <w:b/>
      <w:kern w:val="2"/>
      <w:sz w:val="28"/>
      <w:szCs w:val="28"/>
    </w:rPr>
  </w:style>
  <w:style w:type="character" w:customStyle="1" w:styleId="66">
    <w:name w:val="标题 6 Char"/>
    <w:link w:val="7"/>
    <w:qFormat/>
    <w:uiPriority w:val="0"/>
    <w:rPr>
      <w:rFonts w:hint="default" w:ascii="Arial" w:hAnsi="Arial" w:eastAsia="黑体" w:cs="Arial"/>
      <w:b/>
      <w:kern w:val="2"/>
      <w:sz w:val="24"/>
      <w:szCs w:val="24"/>
    </w:rPr>
  </w:style>
  <w:style w:type="character" w:customStyle="1" w:styleId="67">
    <w:name w:val="标题 7 Char"/>
    <w:link w:val="8"/>
    <w:qFormat/>
    <w:uiPriority w:val="0"/>
    <w:rPr>
      <w:b/>
      <w:kern w:val="2"/>
      <w:sz w:val="24"/>
      <w:szCs w:val="24"/>
    </w:rPr>
  </w:style>
  <w:style w:type="character" w:customStyle="1" w:styleId="68">
    <w:name w:val="标题 8 Char"/>
    <w:link w:val="9"/>
    <w:qFormat/>
    <w:uiPriority w:val="0"/>
    <w:rPr>
      <w:rFonts w:hint="default" w:ascii="Arial" w:hAnsi="Arial" w:eastAsia="黑体" w:cs="Arial"/>
      <w:kern w:val="2"/>
      <w:sz w:val="24"/>
      <w:szCs w:val="24"/>
    </w:rPr>
  </w:style>
  <w:style w:type="character" w:customStyle="1" w:styleId="69">
    <w:name w:val="标题 9 Char"/>
    <w:link w:val="10"/>
    <w:qFormat/>
    <w:uiPriority w:val="0"/>
    <w:rPr>
      <w:rFonts w:ascii="Arial" w:hAnsi="Arial" w:eastAsia="黑体" w:cs="Arial"/>
      <w:kern w:val="2"/>
      <w:sz w:val="21"/>
      <w:szCs w:val="21"/>
    </w:rPr>
  </w:style>
  <w:style w:type="character" w:customStyle="1" w:styleId="70">
    <w:name w:val="正文缩进 Char1"/>
    <w:link w:val="14"/>
    <w:qFormat/>
    <w:uiPriority w:val="0"/>
    <w:rPr>
      <w:rFonts w:eastAsia="宋体"/>
      <w:kern w:val="2"/>
      <w:sz w:val="24"/>
      <w:lang w:val="en-US" w:eastAsia="zh-CN" w:bidi="ar-SA"/>
    </w:rPr>
  </w:style>
  <w:style w:type="character" w:customStyle="1" w:styleId="71">
    <w:name w:val="文档结构图 Char"/>
    <w:link w:val="17"/>
    <w:qFormat/>
    <w:uiPriority w:val="0"/>
    <w:rPr>
      <w:rFonts w:hint="eastAsia" w:ascii="宋体" w:hAnsi="宋体" w:eastAsia="宋体" w:cs="宋体"/>
      <w:kern w:val="2"/>
      <w:sz w:val="18"/>
      <w:szCs w:val="18"/>
    </w:rPr>
  </w:style>
  <w:style w:type="character" w:customStyle="1" w:styleId="72">
    <w:name w:val="批注文字 Char1"/>
    <w:link w:val="19"/>
    <w:qFormat/>
    <w:uiPriority w:val="99"/>
    <w:rPr>
      <w:rFonts w:ascii="宋体" w:eastAsia="宋体"/>
      <w:sz w:val="24"/>
      <w:lang w:val="en-US" w:eastAsia="zh-CN" w:bidi="ar-SA"/>
    </w:rPr>
  </w:style>
  <w:style w:type="character" w:customStyle="1" w:styleId="73">
    <w:name w:val="正文文本 3 Char"/>
    <w:link w:val="20"/>
    <w:qFormat/>
    <w:uiPriority w:val="0"/>
    <w:rPr>
      <w:kern w:val="2"/>
      <w:sz w:val="28"/>
      <w:szCs w:val="24"/>
    </w:rPr>
  </w:style>
  <w:style w:type="character" w:customStyle="1" w:styleId="74">
    <w:name w:val="正文文本 Char"/>
    <w:link w:val="21"/>
    <w:qFormat/>
    <w:uiPriority w:val="0"/>
    <w:rPr>
      <w:rFonts w:hint="default" w:ascii="Times New Roman" w:hAnsi="Times New Roman" w:eastAsia="宋体" w:cs="Times New Roman"/>
      <w:szCs w:val="21"/>
    </w:rPr>
  </w:style>
  <w:style w:type="character" w:customStyle="1" w:styleId="75">
    <w:name w:val="正文文本缩进 Char1"/>
    <w:link w:val="22"/>
    <w:qFormat/>
    <w:uiPriority w:val="99"/>
    <w:rPr>
      <w:kern w:val="2"/>
      <w:sz w:val="21"/>
      <w:szCs w:val="24"/>
    </w:rPr>
  </w:style>
  <w:style w:type="character" w:customStyle="1" w:styleId="76">
    <w:name w:val="纯文本 Char1"/>
    <w:link w:val="28"/>
    <w:qFormat/>
    <w:uiPriority w:val="0"/>
    <w:rPr>
      <w:rFonts w:ascii="宋体" w:hAnsi="Courier New"/>
      <w:kern w:val="2"/>
      <w:sz w:val="21"/>
    </w:rPr>
  </w:style>
  <w:style w:type="character" w:customStyle="1" w:styleId="77">
    <w:name w:val="日期 Char"/>
    <w:link w:val="30"/>
    <w:qFormat/>
    <w:uiPriority w:val="0"/>
    <w:rPr>
      <w:kern w:val="2"/>
      <w:sz w:val="21"/>
      <w:szCs w:val="24"/>
    </w:rPr>
  </w:style>
  <w:style w:type="character" w:customStyle="1" w:styleId="78">
    <w:name w:val="正文文本缩进 2 Char1"/>
    <w:link w:val="31"/>
    <w:qFormat/>
    <w:uiPriority w:val="0"/>
    <w:rPr>
      <w:rFonts w:ascii="Verdana" w:hAnsi="Verdana" w:eastAsia="幼圆"/>
      <w:color w:val="000000"/>
      <w:kern w:val="2"/>
      <w:sz w:val="21"/>
      <w:szCs w:val="24"/>
    </w:rPr>
  </w:style>
  <w:style w:type="character" w:customStyle="1" w:styleId="79">
    <w:name w:val="批注框文本 Char"/>
    <w:link w:val="32"/>
    <w:qFormat/>
    <w:uiPriority w:val="0"/>
    <w:rPr>
      <w:kern w:val="2"/>
      <w:sz w:val="18"/>
      <w:szCs w:val="18"/>
    </w:rPr>
  </w:style>
  <w:style w:type="character" w:customStyle="1" w:styleId="80">
    <w:name w:val="页脚 Char"/>
    <w:link w:val="33"/>
    <w:qFormat/>
    <w:uiPriority w:val="0"/>
    <w:rPr>
      <w:kern w:val="2"/>
      <w:sz w:val="18"/>
      <w:szCs w:val="18"/>
    </w:rPr>
  </w:style>
  <w:style w:type="character" w:customStyle="1" w:styleId="81">
    <w:name w:val="页眉 Char"/>
    <w:link w:val="34"/>
    <w:qFormat/>
    <w:uiPriority w:val="0"/>
    <w:rPr>
      <w:kern w:val="2"/>
      <w:sz w:val="18"/>
      <w:szCs w:val="18"/>
    </w:rPr>
  </w:style>
  <w:style w:type="character" w:customStyle="1" w:styleId="82">
    <w:name w:val="正文文本缩进 3 Char1"/>
    <w:link w:val="40"/>
    <w:qFormat/>
    <w:uiPriority w:val="0"/>
    <w:rPr>
      <w:kern w:val="2"/>
      <w:sz w:val="16"/>
      <w:szCs w:val="16"/>
    </w:rPr>
  </w:style>
  <w:style w:type="character" w:customStyle="1" w:styleId="83">
    <w:name w:val="正文文本 2 Char"/>
    <w:link w:val="44"/>
    <w:qFormat/>
    <w:uiPriority w:val="0"/>
    <w:rPr>
      <w:rFonts w:hint="default" w:ascii="Calibri" w:hAnsi="Calibri" w:cs="Calibri"/>
      <w:kern w:val="2"/>
      <w:sz w:val="21"/>
      <w:szCs w:val="24"/>
    </w:rPr>
  </w:style>
  <w:style w:type="character" w:customStyle="1" w:styleId="84">
    <w:name w:val="标题 Char"/>
    <w:link w:val="48"/>
    <w:qFormat/>
    <w:uiPriority w:val="0"/>
    <w:rPr>
      <w:rFonts w:hint="default" w:ascii="Arial" w:hAnsi="Arial" w:cs="Arial"/>
      <w:b/>
      <w:kern w:val="2"/>
      <w:sz w:val="32"/>
      <w:szCs w:val="32"/>
    </w:rPr>
  </w:style>
  <w:style w:type="character" w:customStyle="1" w:styleId="85">
    <w:name w:val="批注主题 Char"/>
    <w:link w:val="49"/>
    <w:qFormat/>
    <w:uiPriority w:val="0"/>
    <w:rPr>
      <w:b/>
      <w:kern w:val="2"/>
      <w:sz w:val="21"/>
      <w:szCs w:val="24"/>
    </w:rPr>
  </w:style>
  <w:style w:type="character" w:customStyle="1" w:styleId="86">
    <w:name w:val="正文首行缩进 Char"/>
    <w:link w:val="50"/>
    <w:qFormat/>
    <w:uiPriority w:val="0"/>
    <w:rPr>
      <w:rFonts w:hint="default" w:ascii="Times New Roman" w:hAnsi="Times New Roman" w:eastAsia="宋体" w:cs="Times New Roman"/>
      <w:szCs w:val="21"/>
    </w:rPr>
  </w:style>
  <w:style w:type="character" w:customStyle="1" w:styleId="87">
    <w:name w:val="正文缩进 Char"/>
    <w:qFormat/>
    <w:uiPriority w:val="0"/>
    <w:rPr>
      <w:rFonts w:eastAsia="宋体"/>
      <w:kern w:val="2"/>
      <w:sz w:val="24"/>
      <w:lang w:val="en-US" w:eastAsia="zh-CN" w:bidi="ar-SA"/>
    </w:rPr>
  </w:style>
  <w:style w:type="character" w:customStyle="1" w:styleId="88">
    <w:name w:val="正文文本缩进 Char"/>
    <w:qFormat/>
    <w:uiPriority w:val="99"/>
    <w:rPr>
      <w:kern w:val="2"/>
      <w:sz w:val="21"/>
      <w:szCs w:val="24"/>
    </w:rPr>
  </w:style>
  <w:style w:type="character" w:customStyle="1" w:styleId="89">
    <w:name w:val="font91"/>
    <w:qFormat/>
    <w:uiPriority w:val="0"/>
    <w:rPr>
      <w:rFonts w:hint="eastAsia" w:ascii="楷体" w:hAnsi="楷体" w:eastAsia="楷体" w:cs="楷体"/>
      <w:color w:val="000000"/>
      <w:sz w:val="24"/>
      <w:szCs w:val="24"/>
      <w:u w:val="none"/>
      <w:vertAlign w:val="superscript"/>
    </w:rPr>
  </w:style>
  <w:style w:type="character" w:customStyle="1" w:styleId="90">
    <w:name w:val="批注主题 字符1"/>
    <w:qFormat/>
    <w:uiPriority w:val="0"/>
    <w:rPr>
      <w:rFonts w:hint="default" w:ascii="Calibri" w:hAnsi="Calibri" w:cs="Calibri"/>
      <w:b/>
      <w:kern w:val="2"/>
      <w:sz w:val="21"/>
      <w:szCs w:val="24"/>
    </w:rPr>
  </w:style>
  <w:style w:type="character" w:customStyle="1" w:styleId="91">
    <w:name w:val="font61"/>
    <w:qFormat/>
    <w:uiPriority w:val="0"/>
    <w:rPr>
      <w:rFonts w:hint="eastAsia" w:ascii="宋体" w:hAnsi="宋体" w:eastAsia="宋体" w:cs="宋体"/>
      <w:color w:val="000000"/>
      <w:sz w:val="24"/>
      <w:szCs w:val="24"/>
      <w:u w:val="none"/>
    </w:rPr>
  </w:style>
  <w:style w:type="character" w:customStyle="1" w:styleId="92">
    <w:name w:val="批注文字 字符"/>
    <w:qFormat/>
    <w:uiPriority w:val="0"/>
    <w:rPr>
      <w:kern w:val="2"/>
      <w:sz w:val="21"/>
      <w:szCs w:val="24"/>
    </w:rPr>
  </w:style>
  <w:style w:type="character" w:customStyle="1" w:styleId="93">
    <w:name w:val="标题 1 Char"/>
    <w:qFormat/>
    <w:locked/>
    <w:uiPriority w:val="0"/>
    <w:rPr>
      <w:b/>
      <w:bCs/>
      <w:kern w:val="44"/>
      <w:sz w:val="44"/>
      <w:szCs w:val="44"/>
    </w:rPr>
  </w:style>
  <w:style w:type="character" w:customStyle="1" w:styleId="94">
    <w:name w:val="样式 SansSerif (符号) 小四"/>
    <w:qFormat/>
    <w:uiPriority w:val="0"/>
    <w:rPr>
      <w:rFonts w:hint="default" w:ascii="SansSerif" w:hAnsi="SansSerif" w:eastAsia="Times New Roman" w:cs="SansSerif"/>
      <w:sz w:val="24"/>
    </w:rPr>
  </w:style>
  <w:style w:type="character" w:customStyle="1" w:styleId="95">
    <w:name w:val="页脚 字符"/>
    <w:qFormat/>
    <w:uiPriority w:val="0"/>
  </w:style>
  <w:style w:type="character" w:customStyle="1" w:styleId="96">
    <w:name w:val="font81"/>
    <w:qFormat/>
    <w:uiPriority w:val="0"/>
    <w:rPr>
      <w:rFonts w:hint="eastAsia" w:ascii="宋体" w:hAnsi="宋体" w:eastAsia="宋体" w:cs="宋体"/>
      <w:b/>
      <w:color w:val="000000"/>
      <w:sz w:val="24"/>
      <w:szCs w:val="24"/>
      <w:u w:val="none"/>
    </w:rPr>
  </w:style>
  <w:style w:type="character" w:customStyle="1" w:styleId="97">
    <w:name w:val="font51"/>
    <w:qFormat/>
    <w:uiPriority w:val="0"/>
    <w:rPr>
      <w:rFonts w:hint="eastAsia" w:ascii="楷体" w:hAnsi="楷体" w:eastAsia="楷体" w:cs="楷体"/>
      <w:color w:val="000000"/>
      <w:sz w:val="24"/>
      <w:szCs w:val="24"/>
      <w:u w:val="none"/>
      <w:vertAlign w:val="superscript"/>
    </w:rPr>
  </w:style>
  <w:style w:type="character" w:customStyle="1" w:styleId="98">
    <w:name w:val="正文文本缩进 2 Char"/>
    <w:qFormat/>
    <w:uiPriority w:val="0"/>
    <w:rPr>
      <w:rFonts w:ascii="Verdana" w:hAnsi="Verdana" w:eastAsia="幼圆"/>
      <w:color w:val="000000"/>
      <w:kern w:val="2"/>
      <w:sz w:val="21"/>
      <w:szCs w:val="24"/>
    </w:rPr>
  </w:style>
  <w:style w:type="character" w:customStyle="1" w:styleId="99">
    <w:name w:val="font71"/>
    <w:qFormat/>
    <w:uiPriority w:val="0"/>
    <w:rPr>
      <w:rFonts w:hint="default" w:ascii="Times New Roman" w:hAnsi="Times New Roman" w:cs="Times New Roman"/>
      <w:color w:val="000000"/>
      <w:sz w:val="20"/>
      <w:szCs w:val="20"/>
      <w:u w:val="none"/>
    </w:rPr>
  </w:style>
  <w:style w:type="character" w:customStyle="1" w:styleId="100">
    <w:name w:val="文档结构图 字符1"/>
    <w:qFormat/>
    <w:uiPriority w:val="0"/>
    <w:rPr>
      <w:rFonts w:hint="eastAsia" w:ascii="Microsoft YaHei UI" w:hAnsi="Calibri" w:eastAsia="Microsoft YaHei UI" w:cs="Microsoft YaHei UI"/>
      <w:kern w:val="2"/>
      <w:sz w:val="18"/>
      <w:szCs w:val="18"/>
    </w:rPr>
  </w:style>
  <w:style w:type="character" w:customStyle="1" w:styleId="101">
    <w:name w:val="font01"/>
    <w:qFormat/>
    <w:uiPriority w:val="0"/>
    <w:rPr>
      <w:rFonts w:hint="eastAsia" w:ascii="宋体" w:hAnsi="宋体" w:eastAsia="宋体" w:cs="宋体"/>
      <w:color w:val="000000"/>
      <w:sz w:val="24"/>
      <w:szCs w:val="24"/>
      <w:u w:val="none"/>
    </w:rPr>
  </w:style>
  <w:style w:type="character" w:customStyle="1" w:styleId="102">
    <w:name w:val="纯文本 Char"/>
    <w:qFormat/>
    <w:uiPriority w:val="0"/>
    <w:rPr>
      <w:rFonts w:ascii="宋体" w:hAnsi="Courier New"/>
      <w:kern w:val="2"/>
      <w:sz w:val="21"/>
    </w:rPr>
  </w:style>
  <w:style w:type="character" w:customStyle="1" w:styleId="103">
    <w:name w:val="font11"/>
    <w:qFormat/>
    <w:uiPriority w:val="0"/>
    <w:rPr>
      <w:rFonts w:hint="eastAsia" w:ascii="宋体" w:hAnsi="宋体" w:eastAsia="宋体" w:cs="宋体"/>
      <w:color w:val="000000"/>
      <w:sz w:val="20"/>
      <w:szCs w:val="20"/>
      <w:u w:val="none"/>
    </w:rPr>
  </w:style>
  <w:style w:type="character" w:customStyle="1" w:styleId="104">
    <w:name w:val="批注文字 Char"/>
    <w:qFormat/>
    <w:uiPriority w:val="0"/>
    <w:rPr>
      <w:rFonts w:ascii="宋体" w:eastAsia="宋体"/>
      <w:sz w:val="24"/>
      <w:lang w:val="en-US" w:eastAsia="zh-CN" w:bidi="ar-SA"/>
    </w:rPr>
  </w:style>
  <w:style w:type="character" w:customStyle="1" w:styleId="105">
    <w:name w:val="报告正文 Char Char2"/>
    <w:qFormat/>
    <w:uiPriority w:val="0"/>
    <w:rPr>
      <w:rFonts w:eastAsia="宋体"/>
      <w:kern w:val="2"/>
      <w:sz w:val="24"/>
      <w:szCs w:val="24"/>
      <w:lang w:val="en-US" w:eastAsia="zh-CN" w:bidi="ar-SA"/>
    </w:rPr>
  </w:style>
  <w:style w:type="character" w:customStyle="1" w:styleId="106">
    <w:name w:val="正文文本缩进 3 Char"/>
    <w:qFormat/>
    <w:uiPriority w:val="0"/>
    <w:rPr>
      <w:kern w:val="2"/>
      <w:sz w:val="16"/>
      <w:szCs w:val="16"/>
    </w:rPr>
  </w:style>
  <w:style w:type="character" w:customStyle="1" w:styleId="107">
    <w:name w:val="font41"/>
    <w:qFormat/>
    <w:uiPriority w:val="0"/>
    <w:rPr>
      <w:rFonts w:hint="eastAsia" w:ascii="楷体" w:hAnsi="楷体" w:eastAsia="楷体" w:cs="楷体"/>
      <w:color w:val="000000"/>
      <w:sz w:val="24"/>
      <w:szCs w:val="24"/>
      <w:u w:val="none"/>
    </w:rPr>
  </w:style>
  <w:style w:type="character" w:customStyle="1" w:styleId="108">
    <w:name w:val="font31"/>
    <w:qFormat/>
    <w:uiPriority w:val="0"/>
    <w:rPr>
      <w:rFonts w:hint="eastAsia" w:ascii="楷体" w:hAnsi="楷体" w:eastAsia="楷体" w:cs="楷体"/>
      <w:color w:val="000000"/>
      <w:sz w:val="24"/>
      <w:szCs w:val="24"/>
      <w:u w:val="none"/>
    </w:rPr>
  </w:style>
  <w:style w:type="character" w:customStyle="1" w:styleId="109">
    <w:name w:val="font101"/>
    <w:qFormat/>
    <w:uiPriority w:val="0"/>
    <w:rPr>
      <w:rFonts w:hint="eastAsia" w:ascii="楷体" w:hAnsi="楷体" w:eastAsia="楷体" w:cs="楷体"/>
      <w:color w:val="000000"/>
      <w:sz w:val="24"/>
      <w:szCs w:val="24"/>
      <w:u w:val="none"/>
    </w:rPr>
  </w:style>
  <w:style w:type="character" w:customStyle="1" w:styleId="110">
    <w:name w:val="font21"/>
    <w:qFormat/>
    <w:uiPriority w:val="0"/>
    <w:rPr>
      <w:rFonts w:ascii="Symbol" w:hAnsi="Symbol" w:cs="Symbol"/>
      <w:color w:val="000000"/>
      <w:sz w:val="24"/>
      <w:szCs w:val="24"/>
      <w:u w:val="none"/>
    </w:rPr>
  </w:style>
  <w:style w:type="paragraph" w:customStyle="1" w:styleId="11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1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1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4">
    <w:name w:val="1标题"/>
    <w:basedOn w:val="1"/>
    <w:qFormat/>
    <w:uiPriority w:val="0"/>
    <w:pPr>
      <w:tabs>
        <w:tab w:val="left" w:pos="0"/>
      </w:tabs>
      <w:spacing w:line="360" w:lineRule="auto"/>
      <w:ind w:left="425" w:hanging="425"/>
      <w:outlineLvl w:val="0"/>
    </w:pPr>
    <w:rPr>
      <w:rFonts w:hint="default" w:ascii="Calibri" w:hAnsi="Calibri" w:eastAsia="宋体" w:cs="Times New Roman"/>
      <w:b/>
      <w:kern w:val="2"/>
      <w:sz w:val="21"/>
      <w:szCs w:val="24"/>
      <w:lang w:val="en-US" w:eastAsia="zh-CN" w:bidi="ar"/>
    </w:rPr>
  </w:style>
  <w:style w:type="paragraph" w:customStyle="1" w:styleId="115">
    <w:name w:val="正文3"/>
    <w:qFormat/>
    <w:uiPriority w:val="0"/>
    <w:pPr>
      <w:tabs>
        <w:tab w:val="left" w:pos="432"/>
      </w:tabs>
      <w:spacing w:line="360" w:lineRule="auto"/>
      <w:ind w:left="432" w:hanging="432"/>
    </w:pPr>
    <w:rPr>
      <w:rFonts w:ascii="Times New Roman" w:hAnsi="Times New Roman" w:eastAsia="宋体" w:cs="Times New Roman"/>
      <w:sz w:val="24"/>
      <w:lang w:val="en-US" w:eastAsia="zh-CN" w:bidi="ar-SA"/>
    </w:rPr>
  </w:style>
  <w:style w:type="paragraph" w:customStyle="1" w:styleId="116">
    <w:name w:val="wsx正文－缩进"/>
    <w:basedOn w:val="1"/>
    <w:qFormat/>
    <w:uiPriority w:val="0"/>
    <w:pPr>
      <w:spacing w:line="360" w:lineRule="auto"/>
      <w:ind w:firstLine="480" w:firstLineChars="200"/>
    </w:pPr>
    <w:rPr>
      <w:rFonts w:ascii="宋体" w:hAnsi="宋体"/>
      <w:sz w:val="24"/>
      <w:szCs w:val="20"/>
    </w:rPr>
  </w:style>
  <w:style w:type="paragraph" w:customStyle="1" w:styleId="117">
    <w:name w:val="font5"/>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Char Char Char"/>
    <w:basedOn w:val="1"/>
    <w:qFormat/>
    <w:uiPriority w:val="0"/>
    <w:pPr>
      <w:ind w:left="-48"/>
    </w:pPr>
  </w:style>
  <w:style w:type="paragraph" w:customStyle="1" w:styleId="119">
    <w:name w:val="默认段落字体 Para Char Char Char Char"/>
    <w:basedOn w:val="1"/>
    <w:qFormat/>
    <w:uiPriority w:val="0"/>
  </w:style>
  <w:style w:type="paragraph" w:customStyle="1" w:styleId="12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24"/>
    </w:rPr>
  </w:style>
  <w:style w:type="paragraph" w:customStyle="1" w:styleId="121">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22">
    <w:name w:val="Char Char Char Char Char Char"/>
    <w:basedOn w:val="1"/>
    <w:qFormat/>
    <w:uiPriority w:val="0"/>
  </w:style>
  <w:style w:type="paragraph" w:customStyle="1" w:styleId="123">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4">
    <w:name w:val="标题3"/>
    <w:basedOn w:val="1"/>
    <w:next w:val="1"/>
    <w:qFormat/>
    <w:uiPriority w:val="0"/>
    <w:pPr>
      <w:widowControl/>
      <w:tabs>
        <w:tab w:val="left" w:pos="540"/>
      </w:tabs>
      <w:snapToGrid w:val="0"/>
      <w:spacing w:line="360" w:lineRule="auto"/>
      <w:outlineLvl w:val="2"/>
    </w:pPr>
    <w:rPr>
      <w:rFonts w:ascii="宋体" w:hAnsi="宋体"/>
      <w:bCs/>
      <w:sz w:val="24"/>
      <w:lang w:val="en-GB"/>
    </w:rPr>
  </w:style>
  <w:style w:type="paragraph" w:customStyle="1" w:styleId="125">
    <w:name w:val="正文表标题"/>
    <w:next w:val="1"/>
    <w:qFormat/>
    <w:uiPriority w:val="0"/>
    <w:pPr>
      <w:jc w:val="center"/>
    </w:pPr>
    <w:rPr>
      <w:rFonts w:ascii="黑体" w:hAnsi="Times New Roman" w:eastAsia="黑体" w:cs="Times New Roman"/>
      <w:sz w:val="21"/>
      <w:lang w:val="en-US" w:eastAsia="zh-CN" w:bidi="ar-SA"/>
    </w:rPr>
  </w:style>
  <w:style w:type="paragraph" w:customStyle="1" w:styleId="126">
    <w:name w:val="标题1"/>
    <w:basedOn w:val="2"/>
    <w:qFormat/>
    <w:uiPriority w:val="0"/>
    <w:pPr>
      <w:tabs>
        <w:tab w:val="left" w:pos="360"/>
        <w:tab w:val="left" w:pos="480"/>
      </w:tabs>
      <w:adjustRightInd w:val="0"/>
      <w:spacing w:before="120" w:after="0" w:line="360" w:lineRule="auto"/>
      <w:jc w:val="left"/>
      <w:textAlignment w:val="baseline"/>
    </w:pPr>
    <w:rPr>
      <w:rFonts w:ascii="Arial" w:hAnsi="Arial"/>
      <w:bCs w:val="0"/>
      <w:sz w:val="28"/>
      <w:szCs w:val="20"/>
    </w:rPr>
  </w:style>
  <w:style w:type="paragraph" w:customStyle="1" w:styleId="127">
    <w:name w:val="Char Char Char1"/>
    <w:basedOn w:val="1"/>
    <w:qFormat/>
    <w:uiPriority w:val="0"/>
    <w:pPr>
      <w:spacing w:beforeLines="100"/>
    </w:pPr>
  </w:style>
  <w:style w:type="paragraph" w:customStyle="1" w:styleId="128">
    <w:name w:val="Char Char Char Char Char Char Char"/>
    <w:basedOn w:val="1"/>
    <w:qFormat/>
    <w:uiPriority w:val="0"/>
  </w:style>
  <w:style w:type="paragraph" w:customStyle="1" w:styleId="129">
    <w:name w:val="样式"/>
    <w:basedOn w:val="48"/>
    <w:qFormat/>
    <w:uiPriority w:val="0"/>
  </w:style>
  <w:style w:type="paragraph" w:customStyle="1" w:styleId="130">
    <w:name w:val="Char Char Char1 Char Char Char Char1"/>
    <w:basedOn w:val="1"/>
    <w:qFormat/>
    <w:uiPriority w:val="0"/>
  </w:style>
  <w:style w:type="paragraph" w:styleId="131">
    <w:name w:val="List Paragraph"/>
    <w:basedOn w:val="1"/>
    <w:qFormat/>
    <w:uiPriority w:val="34"/>
    <w:pPr>
      <w:ind w:firstLine="420" w:firstLineChars="200"/>
    </w:pPr>
  </w:style>
  <w:style w:type="paragraph" w:customStyle="1" w:styleId="132">
    <w:name w:val="Char Char1"/>
    <w:basedOn w:val="1"/>
    <w:qFormat/>
    <w:uiPriority w:val="0"/>
  </w:style>
  <w:style w:type="paragraph" w:customStyle="1" w:styleId="133">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134">
    <w:name w:val="正文1"/>
    <w:basedOn w:val="1"/>
    <w:qFormat/>
    <w:uiPriority w:val="0"/>
    <w:pPr>
      <w:adjustRightInd w:val="0"/>
      <w:spacing w:line="410" w:lineRule="atLeast"/>
      <w:jc w:val="left"/>
      <w:textAlignment w:val="baseline"/>
    </w:pPr>
    <w:rPr>
      <w:rFonts w:ascii="宋体"/>
      <w:kern w:val="0"/>
      <w:sz w:val="24"/>
      <w:szCs w:val="20"/>
    </w:rPr>
  </w:style>
  <w:style w:type="paragraph" w:customStyle="1" w:styleId="135">
    <w:name w:val="正文（悬挂缩进两字）"/>
    <w:basedOn w:val="14"/>
    <w:next w:val="14"/>
    <w:qFormat/>
    <w:uiPriority w:val="0"/>
    <w:pPr>
      <w:adjustRightInd w:val="0"/>
      <w:snapToGrid w:val="0"/>
      <w:ind w:left="400" w:leftChars="200" w:hanging="200" w:hangingChars="200"/>
    </w:pPr>
    <w:rPr>
      <w:rFonts w:ascii="宋体" w:hAnsi="宋体"/>
      <w:color w:val="000000"/>
      <w:kern w:val="24"/>
    </w:rPr>
  </w:style>
  <w:style w:type="paragraph" w:customStyle="1" w:styleId="136">
    <w:name w:val="Date1"/>
    <w:basedOn w:val="1"/>
    <w:next w:val="1"/>
    <w:qFormat/>
    <w:uiPriority w:val="0"/>
    <w:pPr>
      <w:adjustRightInd w:val="0"/>
      <w:spacing w:line="360" w:lineRule="atLeast"/>
      <w:textAlignment w:val="baseline"/>
    </w:pPr>
    <w:rPr>
      <w:rFonts w:ascii="宋体" w:eastAsia="Wingdings"/>
      <w:kern w:val="0"/>
      <w:sz w:val="24"/>
      <w:szCs w:val="20"/>
    </w:rPr>
  </w:style>
  <w:style w:type="paragraph" w:customStyle="1" w:styleId="137">
    <w:name w:val="样式 标题3 + 行距: 1.5 倍行距"/>
    <w:basedOn w:val="124"/>
    <w:qFormat/>
    <w:uiPriority w:val="0"/>
    <w:pPr>
      <w:widowControl w:val="0"/>
      <w:tabs>
        <w:tab w:val="left" w:pos="720"/>
        <w:tab w:val="left" w:pos="1418"/>
        <w:tab w:val="clear" w:pos="540"/>
      </w:tabs>
      <w:adjustRightInd w:val="0"/>
      <w:snapToGrid/>
      <w:ind w:left="1418" w:hanging="567"/>
      <w:textAlignment w:val="baseline"/>
    </w:pPr>
    <w:rPr>
      <w:rFonts w:ascii="Times New Roman" w:hAnsi="Times New Roman" w:cs="宋体"/>
      <w:bCs w:val="0"/>
      <w:kern w:val="0"/>
      <w:szCs w:val="20"/>
      <w:lang w:val="en-US"/>
    </w:rPr>
  </w:style>
  <w:style w:type="paragraph" w:customStyle="1" w:styleId="138">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9">
    <w:name w:val="2"/>
    <w:basedOn w:val="1"/>
    <w:next w:val="25"/>
    <w:qFormat/>
    <w:uiPriority w:val="0"/>
    <w:pPr>
      <w:snapToGrid w:val="0"/>
      <w:spacing w:line="360" w:lineRule="auto"/>
      <w:ind w:left="-57" w:right="57" w:firstLine="480" w:firstLineChars="200"/>
    </w:pPr>
    <w:rPr>
      <w:color w:val="000000"/>
      <w:sz w:val="24"/>
    </w:r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41">
    <w:name w:val="样式1"/>
    <w:basedOn w:val="18"/>
    <w:qFormat/>
    <w:uiPriority w:val="0"/>
    <w:pPr>
      <w:adjustRightInd w:val="0"/>
      <w:spacing w:line="420" w:lineRule="auto"/>
      <w:jc w:val="center"/>
      <w:textAlignment w:val="baseline"/>
    </w:pPr>
    <w:rPr>
      <w:rFonts w:ascii="宋体"/>
      <w:kern w:val="0"/>
      <w:sz w:val="24"/>
    </w:rPr>
  </w:style>
  <w:style w:type="paragraph" w:customStyle="1" w:styleId="142">
    <w:name w:val="表格正文"/>
    <w:basedOn w:val="1"/>
    <w:qFormat/>
    <w:uiPriority w:val="0"/>
    <w:pPr>
      <w:adjustRightInd w:val="0"/>
      <w:spacing w:line="460" w:lineRule="exact"/>
      <w:jc w:val="left"/>
      <w:textAlignment w:val="baseline"/>
    </w:pPr>
    <w:rPr>
      <w:kern w:val="0"/>
      <w:sz w:val="24"/>
      <w:szCs w:val="20"/>
    </w:rPr>
  </w:style>
  <w:style w:type="paragraph" w:customStyle="1" w:styleId="143">
    <w:name w:val="Char Char Char Char Char Char2"/>
    <w:basedOn w:val="1"/>
    <w:qFormat/>
    <w:uiPriority w:val="0"/>
    <w:pPr>
      <w:adjustRightInd w:val="0"/>
      <w:spacing w:line="360" w:lineRule="auto"/>
    </w:pPr>
    <w:rPr>
      <w:kern w:val="0"/>
      <w:sz w:val="24"/>
      <w:szCs w:val="20"/>
    </w:rPr>
  </w:style>
  <w:style w:type="paragraph" w:customStyle="1" w:styleId="144">
    <w:name w:val="xl62"/>
    <w:basedOn w:val="1"/>
    <w:qFormat/>
    <w:uiPriority w:val="0"/>
    <w:pPr>
      <w:widowControl/>
      <w:spacing w:before="100" w:beforeAutospacing="1" w:after="100" w:afterAutospacing="1"/>
      <w:jc w:val="center"/>
      <w:textAlignment w:val="top"/>
    </w:pPr>
    <w:rPr>
      <w:rFonts w:ascii="华文楷体" w:hAnsi="华文楷体" w:eastAsia="华文楷体"/>
      <w:kern w:val="0"/>
      <w:sz w:val="24"/>
    </w:rPr>
  </w:style>
  <w:style w:type="paragraph" w:customStyle="1" w:styleId="145">
    <w:name w:val="Char1 Char Char Char"/>
    <w:basedOn w:val="1"/>
    <w:qFormat/>
    <w:uiPriority w:val="0"/>
  </w:style>
  <w:style w:type="paragraph" w:customStyle="1" w:styleId="146">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47">
    <w:name w:val="简单回函地址"/>
    <w:basedOn w:val="1"/>
    <w:qFormat/>
    <w:uiPriority w:val="0"/>
    <w:rPr>
      <w:szCs w:val="20"/>
    </w:rPr>
  </w:style>
  <w:style w:type="paragraph" w:customStyle="1" w:styleId="148">
    <w:name w:val="标题2"/>
    <w:basedOn w:val="3"/>
    <w:qFormat/>
    <w:uiPriority w:val="0"/>
    <w:pPr>
      <w:spacing w:beforeLines="0" w:beforeAutospacing="1" w:afterLines="0" w:line="360" w:lineRule="auto"/>
    </w:pPr>
    <w:rPr>
      <w:rFonts w:ascii="Times New Roman" w:hAnsi="Times New Roman"/>
      <w:kern w:val="0"/>
      <w:sz w:val="28"/>
      <w:szCs w:val="28"/>
    </w:rPr>
  </w:style>
  <w:style w:type="paragraph" w:customStyle="1" w:styleId="149">
    <w:name w:val="Char Char Char Char"/>
    <w:basedOn w:val="1"/>
    <w:qFormat/>
    <w:uiPriority w:val="0"/>
  </w:style>
  <w:style w:type="paragraph" w:customStyle="1" w:styleId="150">
    <w:name w:val="p0"/>
    <w:basedOn w:val="1"/>
    <w:qFormat/>
    <w:uiPriority w:val="0"/>
    <w:pPr>
      <w:widowControl/>
    </w:pPr>
    <w:rPr>
      <w:kern w:val="0"/>
      <w:szCs w:val="21"/>
    </w:rPr>
  </w:style>
  <w:style w:type="paragraph" w:customStyle="1" w:styleId="151">
    <w:name w:val="Char Char1 Char Char"/>
    <w:basedOn w:val="1"/>
    <w:qFormat/>
    <w:uiPriority w:val="0"/>
  </w:style>
  <w:style w:type="paragraph" w:customStyle="1" w:styleId="152">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53">
    <w:name w:val="8"/>
    <w:basedOn w:val="1"/>
    <w:qFormat/>
    <w:uiPriority w:val="0"/>
    <w:pPr>
      <w:spacing w:line="360" w:lineRule="auto"/>
      <w:ind w:firstLine="480" w:firstLineChars="200"/>
    </w:pPr>
    <w:rPr>
      <w:sz w:val="24"/>
      <w:szCs w:val="28"/>
    </w:rPr>
  </w:style>
  <w:style w:type="paragraph" w:customStyle="1" w:styleId="154">
    <w:name w:val="_Style 153"/>
    <w:unhideWhenUsed/>
    <w:qFormat/>
    <w:uiPriority w:val="99"/>
    <w:rPr>
      <w:rFonts w:ascii="Times New Roman" w:hAnsi="Times New Roman" w:eastAsia="宋体" w:cs="Times New Roman"/>
      <w:kern w:val="2"/>
      <w:sz w:val="21"/>
      <w:szCs w:val="24"/>
      <w:lang w:val="en-US" w:eastAsia="zh-CN" w:bidi="ar-SA"/>
    </w:rPr>
  </w:style>
  <w:style w:type="paragraph" w:customStyle="1" w:styleId="155">
    <w:name w:val="样式2"/>
    <w:basedOn w:val="1"/>
    <w:qFormat/>
    <w:uiPriority w:val="0"/>
    <w:pPr>
      <w:adjustRightInd w:val="0"/>
      <w:spacing w:before="120" w:after="120"/>
      <w:jc w:val="center"/>
      <w:textAlignment w:val="bottom"/>
    </w:pPr>
    <w:rPr>
      <w:rFonts w:ascii="Arial" w:hAnsi="Arial"/>
      <w:spacing w:val="60"/>
      <w:kern w:val="0"/>
      <w:sz w:val="24"/>
      <w:szCs w:val="20"/>
    </w:rPr>
  </w:style>
  <w:style w:type="paragraph" w:customStyle="1" w:styleId="156">
    <w:name w:val="表格"/>
    <w:basedOn w:val="1"/>
    <w:next w:val="1"/>
    <w:qFormat/>
    <w:uiPriority w:val="0"/>
    <w:pPr>
      <w:adjustRightInd w:val="0"/>
      <w:jc w:val="center"/>
      <w:textAlignment w:val="baseline"/>
    </w:pPr>
    <w:rPr>
      <w:rFonts w:ascii="长城仿宋" w:eastAsia="长城仿宋"/>
      <w:kern w:val="0"/>
      <w:sz w:val="28"/>
      <w:szCs w:val="20"/>
    </w:rPr>
  </w:style>
  <w:style w:type="paragraph" w:customStyle="1" w:styleId="157">
    <w:name w:val="PP 行"/>
    <w:basedOn w:val="35"/>
    <w:qFormat/>
    <w:uiPriority w:val="0"/>
  </w:style>
  <w:style w:type="paragraph" w:customStyle="1" w:styleId="15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5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4"/>
    </w:rPr>
  </w:style>
  <w:style w:type="paragraph" w:customStyle="1" w:styleId="160">
    <w:name w:val="正文2"/>
    <w:qFormat/>
    <w:uiPriority w:val="0"/>
    <w:pPr>
      <w:tabs>
        <w:tab w:val="left" w:pos="900"/>
        <w:tab w:val="right" w:pos="1474"/>
      </w:tabs>
      <w:spacing w:line="360" w:lineRule="auto"/>
      <w:ind w:left="900" w:hanging="420"/>
    </w:pPr>
    <w:rPr>
      <w:rFonts w:ascii="Times New Roman" w:hAnsi="Times New Roman" w:eastAsia="宋体" w:cs="Times New Roman"/>
      <w:sz w:val="24"/>
      <w:lang w:val="en-US" w:eastAsia="zh-CN" w:bidi="ar-SA"/>
    </w:rPr>
  </w:style>
  <w:style w:type="paragraph" w:customStyle="1" w:styleId="161">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6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3">
    <w:name w:val="表格文字2"/>
    <w:basedOn w:val="1"/>
    <w:qFormat/>
    <w:uiPriority w:val="0"/>
    <w:pPr>
      <w:jc w:val="center"/>
    </w:pPr>
    <w:rPr>
      <w:rFonts w:ascii="宋体" w:hAnsi="宋体"/>
      <w:bCs/>
      <w:spacing w:val="-4"/>
      <w:sz w:val="24"/>
    </w:rPr>
  </w:style>
  <w:style w:type="paragraph" w:customStyle="1" w:styleId="164">
    <w:name w:val="表格文字"/>
    <w:qFormat/>
    <w:uiPriority w:val="0"/>
    <w:pPr>
      <w:widowControl w:val="0"/>
      <w:autoSpaceDE w:val="0"/>
      <w:autoSpaceDN w:val="0"/>
      <w:adjustRightInd w:val="0"/>
      <w:jc w:val="both"/>
    </w:pPr>
    <w:rPr>
      <w:rFonts w:ascii="Times New Roman" w:hAnsi="Times New Roman" w:eastAsia="宋体" w:cs="Times New Roman"/>
      <w:color w:val="000000"/>
      <w:lang w:val="en-US" w:eastAsia="zh-CN" w:bidi="ar-SA"/>
    </w:rPr>
  </w:style>
  <w:style w:type="paragraph" w:customStyle="1" w:styleId="165">
    <w:name w:val="标题2 Char"/>
    <w:basedOn w:val="3"/>
    <w:qFormat/>
    <w:uiPriority w:val="0"/>
    <w:pPr>
      <w:keepNext w:val="0"/>
      <w:keepLines w:val="0"/>
      <w:tabs>
        <w:tab w:val="left" w:pos="0"/>
        <w:tab w:val="left" w:pos="720"/>
      </w:tabs>
      <w:snapToGrid/>
      <w:spacing w:beforeLines="0" w:afterLines="0" w:line="360" w:lineRule="auto"/>
    </w:pPr>
    <w:rPr>
      <w:rFonts w:ascii="Times New Roman" w:hAnsi="Times New Roman"/>
      <w:b w:val="0"/>
      <w:kern w:val="0"/>
    </w:rPr>
  </w:style>
  <w:style w:type="paragraph" w:customStyle="1" w:styleId="166">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7">
    <w:name w:val="默认段落字体 Para Char Char Char Char Char Char Char"/>
    <w:basedOn w:val="1"/>
    <w:qFormat/>
    <w:uiPriority w:val="0"/>
  </w:style>
  <w:style w:type="paragraph" w:customStyle="1" w:styleId="168">
    <w:name w:val="biao"/>
    <w:basedOn w:val="1"/>
    <w:qFormat/>
    <w:uiPriority w:val="0"/>
    <w:pPr>
      <w:tabs>
        <w:tab w:val="left" w:pos="1400"/>
        <w:tab w:val="left" w:pos="2340"/>
      </w:tabs>
      <w:autoSpaceDE w:val="0"/>
      <w:autoSpaceDN w:val="0"/>
      <w:adjustRightInd w:val="0"/>
      <w:spacing w:line="240" w:lineRule="atLeast"/>
      <w:jc w:val="center"/>
    </w:pPr>
    <w:rPr>
      <w:rFonts w:hint="eastAsia" w:ascii="黑体" w:hAnsi="Tms Rmn" w:eastAsia="黑体"/>
      <w:kern w:val="0"/>
      <w:sz w:val="30"/>
      <w:szCs w:val="20"/>
    </w:rPr>
  </w:style>
  <w:style w:type="paragraph" w:customStyle="1" w:styleId="169">
    <w:name w:val="正文报告"/>
    <w:basedOn w:val="1"/>
    <w:qFormat/>
    <w:uiPriority w:val="0"/>
    <w:pPr>
      <w:tabs>
        <w:tab w:val="left" w:pos="510"/>
      </w:tabs>
      <w:adjustRightInd w:val="0"/>
      <w:spacing w:line="460" w:lineRule="exact"/>
      <w:ind w:firstLine="482"/>
    </w:pPr>
    <w:rPr>
      <w:kern w:val="0"/>
      <w:sz w:val="24"/>
      <w:szCs w:val="20"/>
    </w:rPr>
  </w:style>
  <w:style w:type="paragraph" w:customStyle="1" w:styleId="170">
    <w:name w:val="1"/>
    <w:basedOn w:val="1"/>
    <w:next w:val="28"/>
    <w:qFormat/>
    <w:uiPriority w:val="0"/>
    <w:pPr>
      <w:adjustRightInd w:val="0"/>
      <w:spacing w:line="360" w:lineRule="auto"/>
      <w:jc w:val="left"/>
      <w:textAlignment w:val="baseline"/>
    </w:pPr>
    <w:rPr>
      <w:sz w:val="24"/>
      <w:szCs w:val="20"/>
    </w:rPr>
  </w:style>
  <w:style w:type="paragraph" w:customStyle="1" w:styleId="171">
    <w:name w:val="未来样式1"/>
    <w:basedOn w:val="1"/>
    <w:qFormat/>
    <w:uiPriority w:val="0"/>
    <w:pPr>
      <w:tabs>
        <w:tab w:val="left" w:pos="425"/>
      </w:tabs>
      <w:ind w:left="425" w:hanging="425"/>
    </w:pPr>
    <w:rPr>
      <w:szCs w:val="20"/>
    </w:rPr>
  </w:style>
  <w:style w:type="paragraph" w:customStyle="1" w:styleId="172">
    <w:name w:val="font7"/>
    <w:basedOn w:val="1"/>
    <w:qFormat/>
    <w:uiPriority w:val="0"/>
    <w:pPr>
      <w:widowControl/>
      <w:spacing w:before="100" w:beforeAutospacing="1" w:after="100" w:afterAutospacing="1"/>
      <w:jc w:val="left"/>
    </w:pPr>
    <w:rPr>
      <w:kern w:val="0"/>
      <w:sz w:val="24"/>
    </w:rPr>
  </w:style>
  <w:style w:type="paragraph" w:customStyle="1" w:styleId="173">
    <w:name w:val="Normal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174">
    <w:name w:val="正文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5">
    <w:name w:val="Normal_3"/>
    <w:qFormat/>
    <w:uiPriority w:val="0"/>
    <w:rPr>
      <w:rFonts w:ascii="Times New Roman" w:hAnsi="Times New Roman" w:eastAsia="Times New Roman" w:cs="Times New Roman"/>
      <w:sz w:val="24"/>
      <w:szCs w:val="24"/>
      <w:lang w:val="en-US" w:eastAsia="zh-CN" w:bidi="ar-SA"/>
    </w:rPr>
  </w:style>
  <w:style w:type="paragraph" w:customStyle="1" w:styleId="176">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153</Pages>
  <Words>22136</Words>
  <Characters>25132</Characters>
  <Lines>1026</Lines>
  <Paragraphs>289</Paragraphs>
  <TotalTime>27</TotalTime>
  <ScaleCrop>false</ScaleCrop>
  <LinksUpToDate>false</LinksUpToDate>
  <CharactersWithSpaces>27079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2024-03-16T07:25:00Z</dcterms:created>
  <dc:creator>luozhonggao</dc:creator>
  <cp:lastModifiedBy>王飞琛</cp:lastModifiedBy>
  <cp:lastPrinted>2024-04-03T07:51:00Z</cp:lastPrinted>
  <dcterms:modified xsi:type="dcterms:W3CDTF">2025-09-17T08:51:47Z</dcterms:modified>
  <dc:title>招标编号：</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1C74AC9D8C604D58A71AC651D1D7CE3F_13</vt:lpwstr>
  </property>
  <property fmtid="{D5CDD505-2E9C-101B-9397-08002B2CF9AE}" pid="4" name="KSOTemplateDocerSaveRecord">
    <vt:lpwstr>eyJoZGlkIjoiODAzNzFmNmVkMzZjNTliNzZlMzVlZDVhOWM2MWI5ZDQiLCJ1c2VySWQiOiIxNTcwMjg4MTAxIn0=</vt:lpwstr>
  </property>
</Properties>
</file>