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100" w:beforeAutospacing="1" w:after="100" w:afterAutospacing="1" w:line="480" w:lineRule="auto"/>
        <w:jc w:val="center"/>
        <w:rPr>
          <w:rFonts w:cs="宋体,Bold" w:asciiTheme="majorEastAsia" w:hAnsiTheme="majorEastAsia" w:eastAsiaTheme="majorEastAsia"/>
          <w:b/>
          <w:bCs/>
          <w:kern w:val="0"/>
          <w:sz w:val="32"/>
          <w:szCs w:val="32"/>
        </w:rPr>
      </w:pPr>
      <w:bookmarkStart w:id="0" w:name="_Toc489372440"/>
      <w:bookmarkStart w:id="1" w:name="_Toc507678276"/>
    </w:p>
    <w:p>
      <w:pPr>
        <w:autoSpaceDE w:val="0"/>
        <w:autoSpaceDN w:val="0"/>
        <w:adjustRightInd w:val="0"/>
        <w:spacing w:before="100" w:beforeAutospacing="1" w:after="100" w:afterAutospacing="1" w:line="480" w:lineRule="auto"/>
        <w:jc w:val="center"/>
        <w:rPr>
          <w:rFonts w:cs="宋体,Bold" w:asciiTheme="majorEastAsia" w:hAnsiTheme="majorEastAsia" w:eastAsiaTheme="majorEastAsia"/>
          <w:b/>
          <w:bCs/>
          <w:kern w:val="0"/>
          <w:sz w:val="32"/>
          <w:szCs w:val="32"/>
        </w:rPr>
      </w:pPr>
    </w:p>
    <w:p>
      <w:pPr>
        <w:autoSpaceDE w:val="0"/>
        <w:autoSpaceDN w:val="0"/>
        <w:adjustRightInd w:val="0"/>
        <w:spacing w:before="100" w:beforeAutospacing="1" w:after="100" w:afterAutospacing="1" w:line="480" w:lineRule="auto"/>
        <w:jc w:val="center"/>
        <w:rPr>
          <w:rFonts w:cs="宋体,Bold" w:asciiTheme="majorEastAsia" w:hAnsiTheme="majorEastAsia" w:eastAsiaTheme="majorEastAsia"/>
          <w:b/>
          <w:bCs/>
          <w:kern w:val="0"/>
          <w:sz w:val="32"/>
          <w:szCs w:val="32"/>
        </w:rPr>
      </w:pPr>
      <w:r>
        <w:rPr>
          <w:rFonts w:hint="eastAsia" w:cs="宋体,Bold" w:asciiTheme="majorEastAsia" w:hAnsiTheme="majorEastAsia" w:eastAsiaTheme="majorEastAsia"/>
          <w:b/>
          <w:bCs/>
          <w:kern w:val="0"/>
          <w:sz w:val="32"/>
          <w:szCs w:val="32"/>
        </w:rPr>
        <w:t>浙江浙能中煤舟山煤电有限责任公司</w:t>
      </w:r>
    </w:p>
    <w:p>
      <w:pPr>
        <w:autoSpaceDE w:val="0"/>
        <w:autoSpaceDN w:val="0"/>
        <w:adjustRightInd w:val="0"/>
        <w:spacing w:before="100" w:beforeAutospacing="1" w:after="100" w:afterAutospacing="1" w:line="480" w:lineRule="auto"/>
        <w:jc w:val="center"/>
        <w:rPr>
          <w:rFonts w:ascii="宋体,Bold" w:hAnsi="ºÚÌå" w:eastAsia="宋体,Bold" w:cs="宋体,Bold"/>
          <w:b/>
          <w:bCs/>
          <w:kern w:val="0"/>
          <w:sz w:val="48"/>
          <w:szCs w:val="48"/>
        </w:rPr>
      </w:pPr>
      <w:r>
        <w:rPr>
          <w:rFonts w:hint="eastAsia" w:ascii="宋体,Bold" w:hAnsi="ºÚÌå" w:eastAsia="宋体,Bold" w:cs="宋体,Bold"/>
          <w:b/>
          <w:bCs/>
          <w:kern w:val="0"/>
          <w:sz w:val="48"/>
          <w:szCs w:val="48"/>
        </w:rPr>
        <w:t>2026-2027年度环境自行监测服务</w:t>
      </w:r>
    </w:p>
    <w:p>
      <w:pPr>
        <w:autoSpaceDE w:val="0"/>
        <w:autoSpaceDN w:val="0"/>
        <w:adjustRightInd w:val="0"/>
        <w:spacing w:before="100" w:beforeAutospacing="1" w:after="100" w:afterAutospacing="1" w:line="480" w:lineRule="auto"/>
        <w:jc w:val="center"/>
        <w:rPr>
          <w:rFonts w:ascii="宋体,Bold" w:hAnsi="ºÚÌå" w:eastAsia="宋体,Bold" w:cs="宋体,Bold"/>
          <w:b/>
          <w:bCs/>
          <w:kern w:val="0"/>
          <w:sz w:val="45"/>
          <w:szCs w:val="45"/>
        </w:rPr>
      </w:pPr>
      <w:r>
        <w:rPr>
          <w:rFonts w:hint="eastAsia" w:ascii="宋体,Bold" w:hAnsi="ºÚÌå" w:eastAsia="宋体,Bold" w:cs="宋体,Bold"/>
          <w:b/>
          <w:bCs/>
          <w:kern w:val="0"/>
          <w:sz w:val="45"/>
          <w:szCs w:val="45"/>
        </w:rPr>
        <w:t>技术规范书</w:t>
      </w:r>
    </w:p>
    <w:p>
      <w:pPr>
        <w:autoSpaceDE w:val="0"/>
        <w:autoSpaceDN w:val="0"/>
        <w:adjustRightInd w:val="0"/>
        <w:spacing w:before="100" w:beforeAutospacing="1" w:after="100" w:afterAutospacing="1" w:line="480" w:lineRule="auto"/>
        <w:jc w:val="left"/>
        <w:rPr>
          <w:rFonts w:ascii="宋体,Bold" w:hAnsi="ºÚÌå" w:eastAsia="宋体,Bold" w:cs="宋体,Bold"/>
          <w:b/>
          <w:bCs/>
          <w:kern w:val="0"/>
          <w:sz w:val="34"/>
          <w:szCs w:val="34"/>
        </w:rPr>
      </w:pPr>
    </w:p>
    <w:p>
      <w:pPr>
        <w:autoSpaceDE w:val="0"/>
        <w:autoSpaceDN w:val="0"/>
        <w:adjustRightInd w:val="0"/>
        <w:jc w:val="left"/>
        <w:rPr>
          <w:rFonts w:ascii="宋体,Bold" w:hAnsi="ºÚÌå" w:eastAsia="宋体,Bold" w:cs="宋体,Bold"/>
          <w:b/>
          <w:bCs/>
          <w:kern w:val="0"/>
          <w:sz w:val="34"/>
          <w:szCs w:val="34"/>
        </w:rPr>
      </w:pPr>
    </w:p>
    <w:p>
      <w:pPr>
        <w:autoSpaceDE w:val="0"/>
        <w:autoSpaceDN w:val="0"/>
        <w:adjustRightInd w:val="0"/>
        <w:jc w:val="left"/>
        <w:rPr>
          <w:rFonts w:ascii="宋体,Bold" w:hAnsi="ºÚÌå" w:eastAsia="宋体,Bold" w:cs="宋体,Bold"/>
          <w:b/>
          <w:bCs/>
          <w:kern w:val="0"/>
          <w:sz w:val="34"/>
          <w:szCs w:val="34"/>
        </w:rPr>
      </w:pPr>
    </w:p>
    <w:p>
      <w:pPr>
        <w:adjustRightInd w:val="0"/>
        <w:snapToGrid w:val="0"/>
        <w:spacing w:line="480" w:lineRule="auto"/>
        <w:ind w:firstLine="2160" w:firstLineChars="600"/>
        <w:jc w:val="left"/>
        <w:rPr>
          <w:rFonts w:hAnsi="宋体"/>
          <w:color w:val="000000"/>
          <w:sz w:val="36"/>
          <w:szCs w:val="36"/>
          <w:u w:val="single"/>
        </w:rPr>
      </w:pPr>
      <w:r>
        <w:rPr>
          <w:rFonts w:hint="eastAsia" w:hAnsi="宋体"/>
          <w:color w:val="000000"/>
          <w:sz w:val="36"/>
          <w:szCs w:val="36"/>
        </w:rPr>
        <w:t>编写:</w:t>
      </w:r>
      <w:r>
        <w:rPr>
          <w:rFonts w:hint="eastAsia" w:hAnsi="宋体"/>
          <w:color w:val="000000"/>
          <w:sz w:val="36"/>
          <w:szCs w:val="36"/>
          <w:u w:val="single"/>
        </w:rPr>
        <w:t xml:space="preserve">              </w:t>
      </w:r>
    </w:p>
    <w:p>
      <w:pPr>
        <w:adjustRightInd w:val="0"/>
        <w:snapToGrid w:val="0"/>
        <w:spacing w:line="480" w:lineRule="auto"/>
        <w:ind w:firstLine="2160" w:firstLineChars="600"/>
        <w:jc w:val="left"/>
        <w:rPr>
          <w:rFonts w:hAnsi="宋体"/>
          <w:color w:val="000000"/>
          <w:sz w:val="36"/>
          <w:szCs w:val="36"/>
          <w:u w:val="single"/>
        </w:rPr>
      </w:pPr>
      <w:r>
        <w:rPr>
          <w:rFonts w:hint="eastAsia" w:hAnsi="宋体"/>
          <w:color w:val="000000"/>
          <w:sz w:val="36"/>
          <w:szCs w:val="36"/>
        </w:rPr>
        <w:t>会签:</w:t>
      </w:r>
      <w:r>
        <w:rPr>
          <w:rFonts w:hint="eastAsia" w:hAnsi="宋体"/>
          <w:color w:val="000000"/>
          <w:sz w:val="36"/>
          <w:szCs w:val="36"/>
          <w:u w:val="single"/>
        </w:rPr>
        <w:t xml:space="preserve">              </w:t>
      </w:r>
    </w:p>
    <w:p>
      <w:pPr>
        <w:adjustRightInd w:val="0"/>
        <w:snapToGrid w:val="0"/>
        <w:spacing w:line="480" w:lineRule="auto"/>
        <w:ind w:firstLine="2160" w:firstLineChars="600"/>
        <w:jc w:val="left"/>
        <w:rPr>
          <w:rFonts w:hAnsi="宋体"/>
          <w:color w:val="000000"/>
          <w:sz w:val="36"/>
          <w:szCs w:val="36"/>
          <w:u w:val="single"/>
        </w:rPr>
      </w:pPr>
      <w:r>
        <w:rPr>
          <w:rFonts w:hint="eastAsia" w:hAnsi="宋体"/>
          <w:color w:val="000000"/>
          <w:sz w:val="36"/>
          <w:szCs w:val="36"/>
        </w:rPr>
        <w:t>审核:</w:t>
      </w:r>
      <w:r>
        <w:rPr>
          <w:rFonts w:hint="eastAsia" w:hAnsi="宋体"/>
          <w:color w:val="000000"/>
          <w:sz w:val="36"/>
          <w:szCs w:val="36"/>
          <w:u w:val="single"/>
        </w:rPr>
        <w:t xml:space="preserve">              </w:t>
      </w:r>
    </w:p>
    <w:p>
      <w:pPr>
        <w:adjustRightInd w:val="0"/>
        <w:snapToGrid w:val="0"/>
        <w:spacing w:line="480" w:lineRule="auto"/>
        <w:ind w:firstLine="2160" w:firstLineChars="600"/>
        <w:jc w:val="left"/>
        <w:rPr>
          <w:rFonts w:hAnsi="宋体"/>
          <w:color w:val="000000"/>
          <w:sz w:val="36"/>
          <w:szCs w:val="36"/>
        </w:rPr>
      </w:pPr>
      <w:r>
        <w:rPr>
          <w:rFonts w:hint="eastAsia" w:hAnsi="宋体"/>
          <w:color w:val="000000"/>
          <w:sz w:val="36"/>
          <w:szCs w:val="36"/>
        </w:rPr>
        <w:t>批准:</w:t>
      </w:r>
      <w:r>
        <w:rPr>
          <w:rFonts w:hint="eastAsia" w:hAnsi="宋体"/>
          <w:color w:val="000000"/>
          <w:sz w:val="36"/>
          <w:szCs w:val="36"/>
          <w:u w:val="single"/>
        </w:rPr>
        <w:t xml:space="preserve">              </w:t>
      </w:r>
    </w:p>
    <w:p>
      <w:pPr>
        <w:spacing w:line="360" w:lineRule="auto"/>
        <w:rPr>
          <w:rFonts w:ascii="宋体" w:hAnsi="宋体"/>
          <w:sz w:val="28"/>
        </w:rPr>
      </w:pPr>
    </w:p>
    <w:p>
      <w:pPr>
        <w:spacing w:line="360" w:lineRule="auto"/>
        <w:rPr>
          <w:rFonts w:ascii="宋体" w:hAnsi="宋体"/>
          <w:sz w:val="28"/>
        </w:rPr>
      </w:pPr>
    </w:p>
    <w:p>
      <w:pPr>
        <w:spacing w:line="360" w:lineRule="auto"/>
        <w:rPr>
          <w:rFonts w:ascii="宋体" w:hAnsi="宋体"/>
          <w:sz w:val="28"/>
        </w:rPr>
      </w:pPr>
    </w:p>
    <w:p>
      <w:pPr>
        <w:pStyle w:val="27"/>
        <w:rPr>
          <w:rFonts w:hAnsi="宋体"/>
          <w:b w:val="0"/>
          <w:bCs/>
          <w:color w:val="auto"/>
          <w:sz w:val="32"/>
          <w:szCs w:val="32"/>
          <w:u w:val="none"/>
        </w:rPr>
      </w:pPr>
      <w:r>
        <w:rPr>
          <w:rFonts w:hint="eastAsia" w:hAnsi="宋体"/>
          <w:b w:val="0"/>
          <w:bCs/>
          <w:color w:val="auto"/>
          <w:sz w:val="32"/>
          <w:szCs w:val="32"/>
          <w:u w:val="none"/>
        </w:rPr>
        <w:t>招标方：浙江浙能中煤舟山煤电有限责任公司</w:t>
      </w:r>
    </w:p>
    <w:p>
      <w:pPr>
        <w:pStyle w:val="27"/>
        <w:rPr>
          <w:rFonts w:hAnsi="宋体"/>
          <w:b w:val="0"/>
          <w:bCs/>
          <w:color w:val="auto"/>
          <w:sz w:val="32"/>
          <w:szCs w:val="32"/>
          <w:u w:val="none"/>
        </w:rPr>
      </w:pPr>
      <w:r>
        <w:rPr>
          <w:rFonts w:hAnsi="宋体"/>
          <w:b w:val="0"/>
          <w:bCs/>
          <w:color w:val="auto"/>
          <w:sz w:val="32"/>
          <w:szCs w:val="32"/>
          <w:u w:val="none"/>
        </w:rPr>
        <w:t>2025</w:t>
      </w:r>
      <w:r>
        <w:rPr>
          <w:rFonts w:hint="eastAsia" w:hAnsi="宋体"/>
          <w:b w:val="0"/>
          <w:bCs/>
          <w:color w:val="auto"/>
          <w:sz w:val="32"/>
          <w:szCs w:val="32"/>
          <w:u w:val="none"/>
        </w:rPr>
        <w:t xml:space="preserve"> </w:t>
      </w:r>
      <w:r>
        <w:rPr>
          <w:rFonts w:hAnsi="宋体"/>
          <w:b w:val="0"/>
          <w:bCs/>
          <w:color w:val="auto"/>
          <w:sz w:val="32"/>
          <w:szCs w:val="32"/>
          <w:u w:val="none"/>
        </w:rPr>
        <w:t>年</w:t>
      </w:r>
      <w:r>
        <w:rPr>
          <w:rFonts w:hint="eastAsia" w:hAnsi="宋体"/>
          <w:b w:val="0"/>
          <w:bCs/>
          <w:color w:val="auto"/>
          <w:sz w:val="32"/>
          <w:szCs w:val="32"/>
          <w:u w:val="none"/>
        </w:rPr>
        <w:t>9</w:t>
      </w:r>
      <w:r>
        <w:rPr>
          <w:rFonts w:hAnsi="宋体"/>
          <w:b w:val="0"/>
          <w:bCs/>
          <w:color w:val="auto"/>
          <w:sz w:val="32"/>
          <w:szCs w:val="32"/>
          <w:u w:val="none"/>
        </w:rPr>
        <w:t>月</w:t>
      </w:r>
    </w:p>
    <w:p/>
    <w:p/>
    <w:p/>
    <w:p>
      <w:pPr>
        <w:spacing w:before="312" w:beforeLines="100" w:after="312" w:afterLines="100" w:line="360" w:lineRule="auto"/>
        <w:contextualSpacing/>
        <w:jc w:val="center"/>
        <w:rPr>
          <w:rFonts w:ascii="仿宋" w:hAnsi="仿宋" w:eastAsia="仿宋"/>
          <w:b/>
          <w:sz w:val="32"/>
          <w:szCs w:val="32"/>
        </w:rPr>
      </w:pPr>
      <w:r>
        <w:rPr>
          <w:rFonts w:ascii="仿宋" w:hAnsi="仿宋" w:eastAsia="仿宋"/>
          <w:b/>
          <w:sz w:val="32"/>
          <w:szCs w:val="32"/>
        </w:rPr>
        <w:t>202</w:t>
      </w:r>
      <w:r>
        <w:rPr>
          <w:rFonts w:hint="eastAsia" w:ascii="仿宋" w:hAnsi="仿宋" w:eastAsia="仿宋"/>
          <w:b/>
          <w:sz w:val="32"/>
          <w:szCs w:val="32"/>
        </w:rPr>
        <w:t>6-2027</w:t>
      </w:r>
      <w:r>
        <w:rPr>
          <w:rFonts w:ascii="仿宋" w:hAnsi="仿宋" w:eastAsia="仿宋"/>
          <w:b/>
          <w:sz w:val="32"/>
          <w:szCs w:val="32"/>
        </w:rPr>
        <w:t>年度环境自行监测服务</w:t>
      </w:r>
    </w:p>
    <w:p>
      <w:pPr>
        <w:spacing w:before="312" w:beforeLines="100" w:after="312" w:afterLines="100" w:line="360" w:lineRule="auto"/>
        <w:contextualSpacing/>
        <w:jc w:val="center"/>
        <w:rPr>
          <w:rFonts w:ascii="仿宋" w:hAnsi="仿宋" w:eastAsia="仿宋"/>
          <w:b/>
          <w:sz w:val="30"/>
          <w:szCs w:val="30"/>
        </w:rPr>
      </w:pPr>
      <w:r>
        <w:rPr>
          <w:rFonts w:hint="eastAsia" w:ascii="仿宋" w:hAnsi="仿宋" w:eastAsia="仿宋"/>
          <w:b/>
          <w:sz w:val="30"/>
          <w:szCs w:val="30"/>
        </w:rPr>
        <w:t>技术规范书</w:t>
      </w:r>
    </w:p>
    <w:p>
      <w:pPr>
        <w:pStyle w:val="30"/>
        <w:numPr>
          <w:ilvl w:val="0"/>
          <w:numId w:val="1"/>
        </w:numPr>
        <w:ind w:firstLineChars="0"/>
        <w:outlineLvl w:val="0"/>
        <w:rPr>
          <w:rFonts w:ascii="仿宋" w:hAnsi="仿宋" w:eastAsia="仿宋"/>
          <w:b/>
          <w:bCs/>
          <w:sz w:val="30"/>
          <w:szCs w:val="30"/>
        </w:rPr>
      </w:pPr>
      <w:r>
        <w:rPr>
          <w:rFonts w:hint="eastAsia" w:ascii="仿宋" w:hAnsi="仿宋" w:eastAsia="仿宋"/>
          <w:b/>
          <w:bCs/>
          <w:sz w:val="30"/>
          <w:szCs w:val="30"/>
        </w:rPr>
        <w:t>总则</w:t>
      </w:r>
    </w:p>
    <w:p>
      <w:pPr>
        <w:pStyle w:val="30"/>
        <w:numPr>
          <w:ilvl w:val="1"/>
          <w:numId w:val="1"/>
        </w:numPr>
        <w:ind w:left="567" w:firstLineChars="0"/>
        <w:outlineLvl w:val="1"/>
        <w:rPr>
          <w:rFonts w:ascii="仿宋" w:hAnsi="仿宋" w:eastAsia="仿宋"/>
          <w:sz w:val="28"/>
          <w:szCs w:val="28"/>
        </w:rPr>
      </w:pPr>
      <w:r>
        <w:rPr>
          <w:rFonts w:hint="eastAsia" w:ascii="仿宋" w:hAnsi="仿宋" w:eastAsia="仿宋"/>
          <w:sz w:val="28"/>
          <w:szCs w:val="28"/>
        </w:rPr>
        <w:t>本技术规范书适用于浙江浙能中煤舟山煤电有限责任公司2026-2027年度环境自行监测服务工作，项目地点位于浙江省舟山市普陀区六横镇。</w:t>
      </w:r>
    </w:p>
    <w:p>
      <w:pPr>
        <w:pStyle w:val="30"/>
        <w:numPr>
          <w:ilvl w:val="1"/>
          <w:numId w:val="1"/>
        </w:numPr>
        <w:ind w:left="567" w:firstLineChars="0"/>
        <w:outlineLvl w:val="1"/>
        <w:rPr>
          <w:rFonts w:ascii="仿宋" w:hAnsi="仿宋" w:eastAsia="仿宋"/>
          <w:sz w:val="28"/>
          <w:szCs w:val="28"/>
        </w:rPr>
      </w:pPr>
      <w:r>
        <w:rPr>
          <w:rFonts w:hint="eastAsia" w:ascii="仿宋" w:hAnsi="仿宋" w:eastAsia="仿宋"/>
          <w:sz w:val="28"/>
          <w:szCs w:val="28"/>
        </w:rPr>
        <w:t>投标方应具有相应的资质要求，能够按照本技术规范书要求，完成列明的各项工作内容，并提供相应的报告、成果等技术文件。</w:t>
      </w:r>
    </w:p>
    <w:p>
      <w:pPr>
        <w:pStyle w:val="30"/>
        <w:numPr>
          <w:ilvl w:val="1"/>
          <w:numId w:val="1"/>
        </w:numPr>
        <w:ind w:left="567" w:firstLineChars="0"/>
        <w:outlineLvl w:val="1"/>
        <w:rPr>
          <w:rFonts w:ascii="仿宋" w:hAnsi="仿宋" w:eastAsia="仿宋"/>
          <w:sz w:val="28"/>
          <w:szCs w:val="28"/>
        </w:rPr>
      </w:pPr>
      <w:r>
        <w:rPr>
          <w:rFonts w:ascii="仿宋" w:hAnsi="仿宋" w:eastAsia="仿宋"/>
          <w:sz w:val="28"/>
          <w:szCs w:val="28"/>
        </w:rPr>
        <w:t>本</w:t>
      </w:r>
      <w:r>
        <w:rPr>
          <w:rFonts w:hint="eastAsia" w:ascii="仿宋" w:hAnsi="仿宋" w:eastAsia="仿宋"/>
          <w:sz w:val="28"/>
          <w:szCs w:val="28"/>
        </w:rPr>
        <w:t>技术规范书</w:t>
      </w:r>
      <w:r>
        <w:rPr>
          <w:rFonts w:ascii="仿宋" w:hAnsi="仿宋" w:eastAsia="仿宋"/>
          <w:sz w:val="28"/>
          <w:szCs w:val="28"/>
        </w:rPr>
        <w:t>提出的是最低限度的技术要求，并未对</w:t>
      </w:r>
      <w:r>
        <w:rPr>
          <w:rFonts w:hint="eastAsia" w:ascii="仿宋" w:hAnsi="仿宋" w:eastAsia="仿宋"/>
          <w:sz w:val="28"/>
          <w:szCs w:val="28"/>
        </w:rPr>
        <w:t>按</w:t>
      </w:r>
      <w:r>
        <w:rPr>
          <w:rFonts w:ascii="仿宋" w:hAnsi="仿宋" w:eastAsia="仿宋"/>
          <w:sz w:val="28"/>
          <w:szCs w:val="28"/>
        </w:rPr>
        <w:t>技术细节做出规定，也未充分引述有关标准和规范的条文。</w:t>
      </w:r>
      <w:r>
        <w:rPr>
          <w:rFonts w:hint="eastAsia" w:ascii="仿宋" w:hAnsi="仿宋" w:eastAsia="仿宋"/>
          <w:sz w:val="28"/>
          <w:szCs w:val="28"/>
        </w:rPr>
        <w:t>投标方</w:t>
      </w:r>
      <w:r>
        <w:rPr>
          <w:rFonts w:ascii="仿宋" w:hAnsi="仿宋" w:eastAsia="仿宋"/>
          <w:sz w:val="28"/>
          <w:szCs w:val="28"/>
        </w:rPr>
        <w:t>应保证提供符合本</w:t>
      </w:r>
      <w:r>
        <w:rPr>
          <w:rFonts w:hint="eastAsia" w:ascii="仿宋" w:hAnsi="仿宋" w:eastAsia="仿宋"/>
          <w:sz w:val="28"/>
          <w:szCs w:val="28"/>
        </w:rPr>
        <w:t>技术规范书</w:t>
      </w:r>
      <w:r>
        <w:rPr>
          <w:rFonts w:ascii="仿宋" w:hAnsi="仿宋" w:eastAsia="仿宋"/>
          <w:sz w:val="28"/>
          <w:szCs w:val="28"/>
        </w:rPr>
        <w:t>和最新标准的优质</w:t>
      </w:r>
      <w:r>
        <w:rPr>
          <w:rFonts w:hint="eastAsia" w:ascii="仿宋" w:hAnsi="仿宋" w:eastAsia="仿宋"/>
          <w:sz w:val="28"/>
          <w:szCs w:val="28"/>
        </w:rPr>
        <w:t>服务</w:t>
      </w:r>
      <w:r>
        <w:rPr>
          <w:rFonts w:ascii="仿宋" w:hAnsi="仿宋" w:eastAsia="仿宋"/>
          <w:sz w:val="28"/>
          <w:szCs w:val="28"/>
        </w:rPr>
        <w:t>。如果</w:t>
      </w:r>
      <w:r>
        <w:rPr>
          <w:rFonts w:hint="eastAsia" w:ascii="仿宋" w:hAnsi="仿宋" w:eastAsia="仿宋"/>
          <w:sz w:val="28"/>
          <w:szCs w:val="28"/>
        </w:rPr>
        <w:t>投标方</w:t>
      </w:r>
      <w:r>
        <w:rPr>
          <w:rFonts w:ascii="仿宋" w:hAnsi="仿宋" w:eastAsia="仿宋"/>
          <w:sz w:val="28"/>
          <w:szCs w:val="28"/>
        </w:rPr>
        <w:t>没有以书面形式对本</w:t>
      </w:r>
      <w:r>
        <w:rPr>
          <w:rFonts w:hint="eastAsia" w:ascii="仿宋" w:hAnsi="仿宋" w:eastAsia="仿宋"/>
          <w:sz w:val="28"/>
          <w:szCs w:val="28"/>
        </w:rPr>
        <w:t>技术规范书</w:t>
      </w:r>
      <w:r>
        <w:rPr>
          <w:rFonts w:ascii="仿宋" w:hAnsi="仿宋" w:eastAsia="仿宋"/>
          <w:sz w:val="28"/>
          <w:szCs w:val="28"/>
        </w:rPr>
        <w:t>的条文提出异议，</w:t>
      </w:r>
      <w:r>
        <w:rPr>
          <w:rFonts w:hint="eastAsia" w:ascii="仿宋" w:hAnsi="仿宋" w:eastAsia="仿宋"/>
          <w:sz w:val="28"/>
          <w:szCs w:val="28"/>
        </w:rPr>
        <w:t>招标方</w:t>
      </w:r>
      <w:r>
        <w:rPr>
          <w:rFonts w:ascii="仿宋" w:hAnsi="仿宋" w:eastAsia="仿宋"/>
          <w:sz w:val="28"/>
          <w:szCs w:val="28"/>
        </w:rPr>
        <w:t>可以认为</w:t>
      </w:r>
      <w:r>
        <w:rPr>
          <w:rFonts w:hint="eastAsia" w:ascii="仿宋" w:hAnsi="仿宋" w:eastAsia="仿宋"/>
          <w:sz w:val="28"/>
          <w:szCs w:val="28"/>
        </w:rPr>
        <w:t>投标方提供的服务</w:t>
      </w:r>
      <w:r>
        <w:rPr>
          <w:rFonts w:ascii="仿宋" w:hAnsi="仿宋" w:eastAsia="仿宋"/>
          <w:sz w:val="28"/>
          <w:szCs w:val="28"/>
        </w:rPr>
        <w:t>完全满足本技术</w:t>
      </w:r>
      <w:r>
        <w:rPr>
          <w:rFonts w:hint="eastAsia" w:ascii="仿宋" w:hAnsi="仿宋" w:eastAsia="仿宋"/>
          <w:sz w:val="28"/>
          <w:szCs w:val="28"/>
        </w:rPr>
        <w:t>规范书</w:t>
      </w:r>
      <w:r>
        <w:rPr>
          <w:rFonts w:ascii="仿宋" w:hAnsi="仿宋" w:eastAsia="仿宋"/>
          <w:sz w:val="28"/>
          <w:szCs w:val="28"/>
        </w:rPr>
        <w:t>的要求。</w:t>
      </w:r>
    </w:p>
    <w:p>
      <w:pPr>
        <w:pStyle w:val="30"/>
        <w:numPr>
          <w:ilvl w:val="1"/>
          <w:numId w:val="1"/>
        </w:numPr>
        <w:ind w:left="567" w:firstLineChars="0"/>
        <w:outlineLvl w:val="1"/>
        <w:rPr>
          <w:rFonts w:ascii="仿宋" w:hAnsi="仿宋" w:eastAsia="仿宋"/>
          <w:sz w:val="28"/>
          <w:szCs w:val="28"/>
        </w:rPr>
      </w:pPr>
      <w:r>
        <w:rPr>
          <w:rFonts w:hint="eastAsia" w:ascii="仿宋" w:hAnsi="仿宋" w:eastAsia="仿宋"/>
          <w:sz w:val="28"/>
          <w:szCs w:val="28"/>
        </w:rPr>
        <w:t>对于本技术规范书中未规定的有关工作内容，而该工作内容又是在达到目标过程中所必需的，应包括在本项目范围内。</w:t>
      </w:r>
    </w:p>
    <w:p>
      <w:pPr>
        <w:pStyle w:val="30"/>
        <w:numPr>
          <w:ilvl w:val="1"/>
          <w:numId w:val="1"/>
        </w:numPr>
        <w:ind w:left="567" w:firstLineChars="0"/>
        <w:outlineLvl w:val="1"/>
        <w:rPr>
          <w:rFonts w:ascii="仿宋" w:hAnsi="仿宋" w:eastAsia="仿宋"/>
          <w:sz w:val="28"/>
          <w:szCs w:val="28"/>
        </w:rPr>
      </w:pPr>
      <w:r>
        <w:rPr>
          <w:rFonts w:hint="eastAsia" w:ascii="仿宋" w:hAnsi="仿宋" w:eastAsia="仿宋"/>
          <w:sz w:val="28"/>
          <w:szCs w:val="28"/>
        </w:rPr>
        <w:t>协议双方可根据需要经双方协商后对技术规范书进行修改和补充，最终确定的技术规范书作为合同附件，与合同具有同等法律效力。</w:t>
      </w:r>
    </w:p>
    <w:p>
      <w:pPr>
        <w:pStyle w:val="30"/>
        <w:numPr>
          <w:ilvl w:val="1"/>
          <w:numId w:val="1"/>
        </w:numPr>
        <w:ind w:left="567" w:firstLineChars="0"/>
        <w:outlineLvl w:val="1"/>
        <w:rPr>
          <w:rFonts w:ascii="仿宋" w:hAnsi="仿宋" w:eastAsia="仿宋"/>
          <w:sz w:val="28"/>
          <w:szCs w:val="28"/>
        </w:rPr>
      </w:pPr>
      <w:r>
        <w:rPr>
          <w:rFonts w:hint="eastAsia" w:ascii="仿宋" w:hAnsi="仿宋" w:eastAsia="仿宋"/>
          <w:sz w:val="28"/>
          <w:szCs w:val="28"/>
        </w:rPr>
        <w:t>本项目所涉及的所有文档、技术资料、光盘、计算软件/程序的所有权为浙江浙能中煤舟山煤电有限责任公司，使用权为双方共有。在项目执行中形成的专利及其它技术成果应为双方共同申报，委托方应为第一申报人。未经委托方同意，投标方不得将本项目直接相关的所有成果公开发表、申请专利或科技成果。</w:t>
      </w:r>
    </w:p>
    <w:bookmarkEnd w:id="0"/>
    <w:bookmarkEnd w:id="1"/>
    <w:p>
      <w:pPr>
        <w:pStyle w:val="30"/>
        <w:numPr>
          <w:ilvl w:val="0"/>
          <w:numId w:val="1"/>
        </w:numPr>
        <w:ind w:firstLineChars="0"/>
        <w:outlineLvl w:val="0"/>
        <w:rPr>
          <w:rFonts w:ascii="仿宋" w:hAnsi="仿宋" w:eastAsia="仿宋"/>
          <w:sz w:val="30"/>
          <w:szCs w:val="30"/>
        </w:rPr>
      </w:pPr>
      <w:bookmarkStart w:id="2" w:name="_概述"/>
      <w:bookmarkEnd w:id="2"/>
      <w:r>
        <w:rPr>
          <w:rFonts w:hint="eastAsia" w:ascii="仿宋" w:hAnsi="仿宋" w:eastAsia="仿宋"/>
          <w:b/>
          <w:bCs/>
          <w:sz w:val="30"/>
          <w:szCs w:val="30"/>
        </w:rPr>
        <w:t>项目概况</w:t>
      </w:r>
    </w:p>
    <w:p>
      <w:pPr>
        <w:ind w:firstLine="560" w:firstLineChars="200"/>
        <w:rPr>
          <w:rFonts w:ascii="仿宋" w:hAnsi="仿宋" w:eastAsia="仿宋"/>
          <w:sz w:val="28"/>
          <w:szCs w:val="28"/>
        </w:rPr>
      </w:pPr>
      <w:r>
        <w:rPr>
          <w:rFonts w:hint="eastAsia" w:ascii="仿宋" w:hAnsi="仿宋" w:eastAsia="仿宋"/>
          <w:sz w:val="28"/>
          <w:szCs w:val="28"/>
        </w:rPr>
        <w:t>浙江浙能中煤舟山煤电有限责任公司一期工程建设2×1030MW超超临界燃煤发电机组，二期扩建2×1000MW级超超临界二次再热高效燃煤发电机组，工程均同步建设高效烟气脱硫、脱硝及除尘装置等超低排放处理设施。公司地址位于舟山市普陀区六横镇，属于大型海岛电厂。</w:t>
      </w:r>
    </w:p>
    <w:p>
      <w:pPr>
        <w:pStyle w:val="30"/>
        <w:numPr>
          <w:ilvl w:val="0"/>
          <w:numId w:val="1"/>
        </w:numPr>
        <w:ind w:firstLineChars="0"/>
        <w:outlineLvl w:val="0"/>
        <w:rPr>
          <w:rFonts w:ascii="仿宋" w:hAnsi="仿宋" w:eastAsia="仿宋"/>
          <w:sz w:val="30"/>
          <w:szCs w:val="30"/>
        </w:rPr>
      </w:pPr>
      <w:bookmarkStart w:id="3" w:name="_Toc507678277"/>
      <w:r>
        <w:rPr>
          <w:rFonts w:hint="eastAsia" w:ascii="仿宋" w:hAnsi="仿宋" w:eastAsia="仿宋"/>
          <w:b/>
          <w:bCs/>
          <w:sz w:val="30"/>
          <w:szCs w:val="30"/>
        </w:rPr>
        <w:t>技术服务的内容、形式和要求：</w:t>
      </w:r>
      <w:bookmarkEnd w:id="3"/>
    </w:p>
    <w:p>
      <w:pPr>
        <w:pStyle w:val="30"/>
        <w:numPr>
          <w:ilvl w:val="1"/>
          <w:numId w:val="1"/>
        </w:numPr>
        <w:ind w:left="567" w:firstLineChars="0"/>
        <w:outlineLvl w:val="1"/>
        <w:rPr>
          <w:rFonts w:ascii="仿宋" w:hAnsi="仿宋" w:eastAsia="仿宋"/>
          <w:sz w:val="28"/>
          <w:szCs w:val="28"/>
        </w:rPr>
      </w:pPr>
      <w:bookmarkStart w:id="4" w:name="_Toc507678278"/>
      <w:r>
        <w:rPr>
          <w:rFonts w:hint="eastAsia" w:ascii="仿宋" w:hAnsi="仿宋" w:eastAsia="仿宋"/>
          <w:b/>
          <w:bCs/>
          <w:sz w:val="28"/>
          <w:szCs w:val="28"/>
        </w:rPr>
        <w:t>技术服务依据</w:t>
      </w:r>
      <w:bookmarkEnd w:id="4"/>
    </w:p>
    <w:p>
      <w:pPr>
        <w:ind w:firstLine="560" w:firstLineChars="200"/>
        <w:rPr>
          <w:rFonts w:ascii="仿宋" w:hAnsi="仿宋" w:eastAsia="仿宋"/>
          <w:sz w:val="28"/>
          <w:szCs w:val="28"/>
        </w:rPr>
      </w:pPr>
      <w:r>
        <w:rPr>
          <w:rFonts w:ascii="仿宋" w:hAnsi="仿宋" w:eastAsia="仿宋"/>
          <w:sz w:val="28"/>
          <w:szCs w:val="28"/>
        </w:rPr>
        <w:t>HJ 820</w:t>
      </w:r>
      <w:r>
        <w:rPr>
          <w:rFonts w:hint="eastAsia" w:ascii="仿宋" w:hAnsi="仿宋" w:eastAsia="仿宋"/>
          <w:sz w:val="28"/>
          <w:szCs w:val="28"/>
        </w:rPr>
        <w:t>《</w:t>
      </w:r>
      <w:r>
        <w:rPr>
          <w:rFonts w:ascii="仿宋" w:hAnsi="仿宋" w:eastAsia="仿宋"/>
          <w:sz w:val="28"/>
          <w:szCs w:val="28"/>
        </w:rPr>
        <w:t>排污单位自行监测技术指南（火力发电及锅炉）</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GB 12348《工业企业厂界环境噪声评分标准》；</w:t>
      </w:r>
    </w:p>
    <w:p>
      <w:pPr>
        <w:ind w:firstLine="560" w:firstLineChars="200"/>
        <w:rPr>
          <w:rFonts w:ascii="仿宋" w:hAnsi="仿宋" w:eastAsia="仿宋"/>
          <w:sz w:val="28"/>
          <w:szCs w:val="28"/>
        </w:rPr>
      </w:pPr>
      <w:r>
        <w:rPr>
          <w:rFonts w:hint="eastAsia" w:ascii="仿宋" w:hAnsi="仿宋" w:eastAsia="仿宋"/>
          <w:sz w:val="28"/>
          <w:szCs w:val="28"/>
        </w:rPr>
        <w:t>GB/T 16157 《固定污染源排气中颗粒物测定与气体污染物采样方法》</w:t>
      </w:r>
    </w:p>
    <w:p>
      <w:pPr>
        <w:ind w:firstLine="560" w:firstLineChars="200"/>
        <w:rPr>
          <w:rFonts w:ascii="仿宋" w:hAnsi="仿宋" w:eastAsia="仿宋"/>
          <w:sz w:val="28"/>
          <w:szCs w:val="28"/>
        </w:rPr>
      </w:pPr>
      <w:r>
        <w:rPr>
          <w:rFonts w:hint="eastAsia" w:ascii="仿宋" w:hAnsi="仿宋" w:eastAsia="仿宋"/>
          <w:sz w:val="28"/>
          <w:szCs w:val="28"/>
        </w:rPr>
        <w:t>浙江浙能中煤舟山煤电有限责任公司排污许可证</w:t>
      </w:r>
    </w:p>
    <w:p>
      <w:pPr>
        <w:pStyle w:val="30"/>
        <w:numPr>
          <w:ilvl w:val="1"/>
          <w:numId w:val="1"/>
        </w:numPr>
        <w:ind w:left="567" w:firstLineChars="0"/>
        <w:outlineLvl w:val="1"/>
        <w:rPr>
          <w:rFonts w:ascii="仿宋" w:hAnsi="仿宋" w:eastAsia="仿宋"/>
          <w:b/>
          <w:bCs/>
          <w:sz w:val="28"/>
          <w:szCs w:val="28"/>
        </w:rPr>
      </w:pPr>
      <w:r>
        <w:rPr>
          <w:rFonts w:hint="eastAsia" w:ascii="仿宋" w:hAnsi="仿宋" w:eastAsia="仿宋"/>
          <w:b/>
          <w:bCs/>
          <w:sz w:val="28"/>
          <w:szCs w:val="28"/>
        </w:rPr>
        <w:t>履行期限、地点</w:t>
      </w:r>
    </w:p>
    <w:p>
      <w:pPr>
        <w:ind w:firstLine="560" w:firstLineChars="200"/>
        <w:rPr>
          <w:rFonts w:ascii="仿宋" w:hAnsi="仿宋" w:eastAsia="仿宋"/>
          <w:sz w:val="28"/>
          <w:szCs w:val="28"/>
        </w:rPr>
      </w:pPr>
      <w:r>
        <w:rPr>
          <w:rFonts w:hint="eastAsia" w:ascii="仿宋" w:hAnsi="仿宋" w:eastAsia="仿宋"/>
          <w:sz w:val="28"/>
          <w:szCs w:val="28"/>
        </w:rPr>
        <w:t>本技术咨询服务从2026年1月1日起，至2027年12月31日止，共计二年,在本项目所在地履行。</w:t>
      </w:r>
    </w:p>
    <w:p>
      <w:pPr>
        <w:pStyle w:val="30"/>
        <w:numPr>
          <w:ilvl w:val="1"/>
          <w:numId w:val="1"/>
        </w:numPr>
        <w:ind w:left="567" w:firstLineChars="0"/>
        <w:outlineLvl w:val="1"/>
        <w:rPr>
          <w:rFonts w:ascii="仿宋" w:hAnsi="仿宋" w:eastAsia="仿宋"/>
          <w:b/>
          <w:bCs/>
          <w:sz w:val="28"/>
          <w:szCs w:val="28"/>
        </w:rPr>
      </w:pPr>
      <w:bookmarkStart w:id="5" w:name="_Toc507678279"/>
      <w:r>
        <w:rPr>
          <w:rFonts w:hint="eastAsia" w:ascii="仿宋" w:hAnsi="仿宋" w:eastAsia="仿宋"/>
          <w:b/>
          <w:bCs/>
          <w:sz w:val="28"/>
          <w:szCs w:val="28"/>
        </w:rPr>
        <w:t>监测内容</w:t>
      </w:r>
      <w:bookmarkEnd w:id="5"/>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每季度对每台机组的烟囱总排放口监测断面对烟气的林格曼黑度以及氨、汞及其化合物的排放浓度及排放速率进行监测；共计4台机组，每年4次；</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每季度对公司厂界无组织总悬浮颗粒物的排放浓度进行监测；每季度对公司油罐区、危废车间周边的非甲烷总烃进行监测；共计4个点位，每年4次；</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每季度对公司厂界噪声进行昼夜监测；共计7个点位，每年4次；</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厂区排水口：根据排污许可证自行监测要求监测水污染物排放浓度；其中每季度对一期直流冷却水的pH、余氯进行监测，每年4次；每季度对二期直流冷却水的pH、余氯、溶解氧进行监测，每年4次；每年对二期直流冷却水、脱硫废水（厂内排放口）的重金属（总砷、总汞、总铅、总镉）进行1次监测；</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厂区地下水：每2个月对公司地下水的pH、氟化物、氯化物、挥发酚、重金属（砷、汞、硒、锰、铅、锌、镉、铜、铁、铬（六价））、总硬度、溶解性总固体、氰化物、氨氮、硝酸盐氮、硫酸盐进行监测，共计3个点位，每年6次；</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监测所需辅助参数及质控相关内容根据监测规范要求确定。</w:t>
      </w:r>
    </w:p>
    <w:p>
      <w:pPr>
        <w:ind w:firstLine="560" w:firstLineChars="200"/>
        <w:rPr>
          <w:rFonts w:ascii="仿宋" w:hAnsi="仿宋" w:eastAsia="仿宋"/>
          <w:sz w:val="28"/>
          <w:szCs w:val="28"/>
        </w:rPr>
      </w:pPr>
      <w:r>
        <w:rPr>
          <w:rFonts w:hint="eastAsia" w:ascii="仿宋" w:hAnsi="仿宋" w:eastAsia="仿宋"/>
          <w:sz w:val="28"/>
          <w:szCs w:val="28"/>
        </w:rPr>
        <w:t>监测点位、内容及频次见表1。</w:t>
      </w:r>
    </w:p>
    <w:p>
      <w:pPr>
        <w:spacing w:line="360" w:lineRule="auto"/>
        <w:rPr>
          <w:rFonts w:ascii="仿宋" w:hAnsi="仿宋" w:eastAsia="仿宋" w:cs="Times New Roman"/>
          <w:b/>
          <w:bCs/>
          <w:sz w:val="24"/>
        </w:rPr>
      </w:pPr>
      <w:r>
        <w:rPr>
          <w:rFonts w:hint="eastAsia" w:ascii="仿宋" w:hAnsi="仿宋" w:eastAsia="仿宋" w:cs="Times New Roman"/>
          <w:b/>
          <w:bCs/>
          <w:sz w:val="24"/>
          <w:szCs w:val="21"/>
        </w:rPr>
        <w:t>表</w:t>
      </w:r>
      <w:r>
        <w:rPr>
          <w:rFonts w:ascii="仿宋" w:hAnsi="仿宋" w:eastAsia="仿宋" w:cs="Times New Roman"/>
          <w:b/>
          <w:bCs/>
          <w:sz w:val="24"/>
          <w:szCs w:val="21"/>
        </w:rPr>
        <w:t xml:space="preserve">1                     </w:t>
      </w:r>
      <w:r>
        <w:rPr>
          <w:rFonts w:hint="eastAsia" w:ascii="仿宋" w:hAnsi="仿宋" w:eastAsia="仿宋" w:cs="Times New Roman"/>
          <w:b/>
          <w:bCs/>
          <w:sz w:val="24"/>
          <w:szCs w:val="21"/>
        </w:rPr>
        <w:t>监测点位、内容及频次</w:t>
      </w:r>
      <w:r>
        <w:rPr>
          <w:rFonts w:ascii="仿宋" w:hAnsi="仿宋" w:eastAsia="仿宋" w:cs="Times New Roman"/>
          <w:b/>
          <w:bCs/>
          <w:sz w:val="24"/>
          <w:szCs w:val="21"/>
        </w:rPr>
        <w:t xml:space="preserve"> </w:t>
      </w:r>
      <w:r>
        <w:rPr>
          <w:rFonts w:ascii="仿宋" w:hAnsi="仿宋" w:eastAsia="仿宋" w:cs="Times New Roman"/>
          <w:b/>
          <w:bCs/>
          <w:sz w:val="22"/>
        </w:rPr>
        <w:t xml:space="preserve">            </w:t>
      </w:r>
    </w:p>
    <w:tbl>
      <w:tblPr>
        <w:tblStyle w:val="14"/>
        <w:tblW w:w="9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9"/>
        <w:gridCol w:w="1471"/>
        <w:gridCol w:w="2370"/>
        <w:gridCol w:w="2248"/>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类别</w:t>
            </w: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测点编号</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测点位置</w:t>
            </w: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监测分析项目</w:t>
            </w:r>
          </w:p>
        </w:tc>
        <w:tc>
          <w:tcPr>
            <w:tcW w:w="2552"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有组织废气</w:t>
            </w:r>
          </w:p>
        </w:tc>
        <w:tc>
          <w:tcPr>
            <w:tcW w:w="1471"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炉、</w:t>
            </w:r>
            <w:r>
              <w:rPr>
                <w:rFonts w:ascii="Times New Roman" w:hAnsi="Times New Roman" w:eastAsia="楷体" w:cs="Times New Roman"/>
                <w:szCs w:val="21"/>
              </w:rPr>
              <w:t>2#</w:t>
            </w:r>
            <w:r>
              <w:rPr>
                <w:rFonts w:hint="eastAsia" w:ascii="Times New Roman" w:hAnsi="Times New Roman" w:eastAsia="楷体" w:cs="Times New Roman"/>
                <w:szCs w:val="21"/>
              </w:rPr>
              <w:t>炉、</w:t>
            </w:r>
            <w:r>
              <w:rPr>
                <w:rFonts w:ascii="Times New Roman" w:hAnsi="Times New Roman" w:eastAsia="楷体" w:cs="Times New Roman"/>
                <w:szCs w:val="21"/>
              </w:rPr>
              <w:t>3#</w:t>
            </w:r>
            <w:r>
              <w:rPr>
                <w:rFonts w:hint="eastAsia" w:ascii="Times New Roman" w:hAnsi="Times New Roman" w:eastAsia="楷体" w:cs="Times New Roman"/>
                <w:szCs w:val="21"/>
              </w:rPr>
              <w:t>炉、</w:t>
            </w:r>
            <w:r>
              <w:rPr>
                <w:rFonts w:ascii="Times New Roman" w:hAnsi="Times New Roman" w:eastAsia="楷体" w:cs="Times New Roman"/>
                <w:szCs w:val="21"/>
              </w:rPr>
              <w:t>4#</w:t>
            </w:r>
            <w:r>
              <w:rPr>
                <w:rFonts w:hint="eastAsia" w:ascii="Times New Roman" w:hAnsi="Times New Roman" w:eastAsia="楷体" w:cs="Times New Roman"/>
                <w:szCs w:val="21"/>
              </w:rPr>
              <w:t>炉</w:t>
            </w:r>
          </w:p>
        </w:tc>
        <w:tc>
          <w:tcPr>
            <w:tcW w:w="2370"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炉总排口、</w:t>
            </w:r>
            <w:r>
              <w:rPr>
                <w:rFonts w:ascii="Times New Roman" w:hAnsi="Times New Roman" w:eastAsia="楷体" w:cs="Times New Roman"/>
                <w:szCs w:val="21"/>
              </w:rPr>
              <w:t>2#</w:t>
            </w:r>
            <w:r>
              <w:rPr>
                <w:rFonts w:hint="eastAsia" w:ascii="Times New Roman" w:hAnsi="Times New Roman" w:eastAsia="楷体" w:cs="Times New Roman"/>
                <w:szCs w:val="21"/>
              </w:rPr>
              <w:t>炉总排口、</w:t>
            </w:r>
            <w:r>
              <w:rPr>
                <w:rFonts w:ascii="Times New Roman" w:hAnsi="Times New Roman" w:eastAsia="楷体" w:cs="Times New Roman"/>
                <w:szCs w:val="21"/>
              </w:rPr>
              <w:t>3#</w:t>
            </w:r>
            <w:r>
              <w:rPr>
                <w:rFonts w:hint="eastAsia" w:ascii="Times New Roman" w:hAnsi="Times New Roman" w:eastAsia="楷体" w:cs="Times New Roman"/>
                <w:szCs w:val="21"/>
              </w:rPr>
              <w:t>炉总排口、</w:t>
            </w:r>
            <w:r>
              <w:rPr>
                <w:rFonts w:ascii="Times New Roman" w:hAnsi="Times New Roman" w:eastAsia="楷体" w:cs="Times New Roman"/>
                <w:szCs w:val="21"/>
              </w:rPr>
              <w:t>4#</w:t>
            </w:r>
            <w:r>
              <w:rPr>
                <w:rFonts w:hint="eastAsia" w:ascii="Times New Roman" w:hAnsi="Times New Roman" w:eastAsia="楷体" w:cs="Times New Roman"/>
                <w:szCs w:val="21"/>
              </w:rPr>
              <w:t>炉</w:t>
            </w:r>
          </w:p>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总排口</w:t>
            </w: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汞</w:t>
            </w:r>
          </w:p>
        </w:tc>
        <w:tc>
          <w:tcPr>
            <w:tcW w:w="2552"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3</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w:t>
            </w:r>
            <w:r>
              <w:rPr>
                <w:rFonts w:ascii="Times New Roman" w:hAnsi="Times New Roman" w:eastAsia="楷体" w:cs="Times New Roman"/>
                <w:szCs w:val="21"/>
              </w:rPr>
              <w:t>/</w:t>
            </w:r>
            <w:r>
              <w:rPr>
                <w:rFonts w:hint="eastAsia" w:ascii="Times New Roman" w:hAnsi="Times New Roman" w:eastAsia="楷体" w:cs="Times New Roman"/>
                <w:szCs w:val="21"/>
              </w:rPr>
              <w:t>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氨</w:t>
            </w:r>
          </w:p>
        </w:tc>
        <w:tc>
          <w:tcPr>
            <w:tcW w:w="2552"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3</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w:t>
            </w:r>
            <w:r>
              <w:rPr>
                <w:rFonts w:ascii="Times New Roman" w:hAnsi="Times New Roman" w:eastAsia="楷体" w:cs="Times New Roman"/>
                <w:szCs w:val="21"/>
              </w:rPr>
              <w:t>/</w:t>
            </w:r>
            <w:r>
              <w:rPr>
                <w:rFonts w:hint="eastAsia" w:ascii="Times New Roman" w:hAnsi="Times New Roman" w:eastAsia="楷体" w:cs="Times New Roman"/>
                <w:szCs w:val="21"/>
              </w:rPr>
              <w:t>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林格曼黑度</w:t>
            </w:r>
          </w:p>
        </w:tc>
        <w:tc>
          <w:tcPr>
            <w:tcW w:w="2552"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w:t>
            </w:r>
            <w:r>
              <w:rPr>
                <w:rFonts w:ascii="Times New Roman" w:hAnsi="Times New Roman" w:eastAsia="楷体" w:cs="Times New Roman"/>
                <w:szCs w:val="21"/>
              </w:rPr>
              <w:t>/</w:t>
            </w:r>
            <w:r>
              <w:rPr>
                <w:rFonts w:hint="eastAsia" w:ascii="Times New Roman" w:hAnsi="Times New Roman" w:eastAsia="楷体" w:cs="Times New Roman"/>
                <w:szCs w:val="21"/>
              </w:rPr>
              <w:t>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烟气参数</w:t>
            </w:r>
          </w:p>
        </w:tc>
        <w:tc>
          <w:tcPr>
            <w:tcW w:w="2552"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w:t>
            </w:r>
            <w:r>
              <w:rPr>
                <w:rFonts w:ascii="Times New Roman" w:hAnsi="Times New Roman" w:eastAsia="楷体" w:cs="Times New Roman"/>
                <w:szCs w:val="21"/>
              </w:rPr>
              <w:t>/</w:t>
            </w:r>
            <w:r>
              <w:rPr>
                <w:rFonts w:hint="eastAsia" w:ascii="Times New Roman" w:hAnsi="Times New Roman" w:eastAsia="楷体" w:cs="Times New Roman"/>
                <w:szCs w:val="21"/>
              </w:rPr>
              <w:t>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烟气含氧量</w:t>
            </w:r>
          </w:p>
        </w:tc>
        <w:tc>
          <w:tcPr>
            <w:tcW w:w="2552"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小时均值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地下水</w:t>
            </w:r>
          </w:p>
        </w:tc>
        <w:tc>
          <w:tcPr>
            <w:tcW w:w="1471"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灰场北</w:t>
            </w:r>
          </w:p>
        </w:tc>
        <w:tc>
          <w:tcPr>
            <w:tcW w:w="2248"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pH</w:t>
            </w:r>
            <w:r>
              <w:rPr>
                <w:rFonts w:hint="eastAsia" w:ascii="Times New Roman" w:hAnsi="Times New Roman" w:eastAsia="楷体" w:cs="Times New Roman"/>
                <w:szCs w:val="21"/>
              </w:rPr>
              <w:t>值、氟化物、氯化物、挥发酚、总硬度、溶解性总固体、氰化物、氨氮、硝酸盐氮、硫酸盐、重金属（</w:t>
            </w:r>
            <w:r>
              <w:rPr>
                <w:rFonts w:ascii="Times New Roman" w:hAnsi="Times New Roman" w:eastAsia="楷体" w:cs="Times New Roman"/>
                <w:szCs w:val="21"/>
              </w:rPr>
              <w:t>砷、汞、硒、锰、铅、锌、镉、铜、铁、铬（六价</w:t>
            </w:r>
            <w:r>
              <w:rPr>
                <w:rFonts w:hint="eastAsia" w:ascii="Times New Roman" w:hAnsi="Times New Roman" w:eastAsia="楷体" w:cs="Times New Roman"/>
                <w:szCs w:val="21"/>
              </w:rPr>
              <w:t>））</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2#</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灰场西</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3#</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灰场南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一期直流冷却水</w:t>
            </w:r>
          </w:p>
        </w:tc>
        <w:tc>
          <w:tcPr>
            <w:tcW w:w="1471"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（一期直冷）</w:t>
            </w:r>
            <w:r>
              <w:rPr>
                <w:rFonts w:ascii="Times New Roman" w:hAnsi="Times New Roman" w:eastAsia="楷体" w:cs="Times New Roman"/>
                <w:szCs w:val="21"/>
              </w:rPr>
              <w:t>1#</w:t>
            </w:r>
          </w:p>
        </w:tc>
        <w:tc>
          <w:tcPr>
            <w:tcW w:w="2370"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一期循环水连接井</w:t>
            </w: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宋体" w:hAnsi="宋体" w:eastAsia="宋体"/>
                <w:szCs w:val="21"/>
              </w:rPr>
              <w:t>p</w:t>
            </w:r>
            <w:r>
              <w:rPr>
                <w:rFonts w:ascii="宋体" w:hAnsi="宋体" w:eastAsia="宋体"/>
                <w:szCs w:val="21"/>
              </w:rPr>
              <w:t>H</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3</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余氯</w:t>
            </w:r>
          </w:p>
        </w:tc>
        <w:tc>
          <w:tcPr>
            <w:tcW w:w="2552" w:type="dxa"/>
            <w:vMerge w:val="continue"/>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二期直流冷却水</w:t>
            </w:r>
          </w:p>
        </w:tc>
        <w:tc>
          <w:tcPr>
            <w:tcW w:w="1471"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（二期直冷）</w:t>
            </w:r>
            <w:r>
              <w:rPr>
                <w:rFonts w:ascii="Times New Roman" w:hAnsi="Times New Roman" w:eastAsia="楷体" w:cs="Times New Roman"/>
                <w:szCs w:val="21"/>
              </w:rPr>
              <w:t>1#</w:t>
            </w:r>
          </w:p>
        </w:tc>
        <w:tc>
          <w:tcPr>
            <w:tcW w:w="2370"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二期循环水连接井</w:t>
            </w: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pH值</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3</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余氯</w:t>
            </w: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溶解氧</w:t>
            </w: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Merge w:val="continue"/>
            <w:vAlign w:val="center"/>
          </w:tcPr>
          <w:p>
            <w:pPr>
              <w:ind w:left="-105" w:leftChars="-50" w:right="-105" w:rightChars="-50"/>
              <w:jc w:val="center"/>
              <w:rPr>
                <w:rFonts w:ascii="Times New Roman" w:hAnsi="Times New Roman" w:eastAsia="楷体" w:cs="Times New Roman"/>
                <w:szCs w:val="21"/>
              </w:rPr>
            </w:pPr>
          </w:p>
        </w:tc>
        <w:tc>
          <w:tcPr>
            <w:tcW w:w="2370" w:type="dxa"/>
            <w:vMerge w:val="continue"/>
            <w:vAlign w:val="center"/>
          </w:tcPr>
          <w:p>
            <w:pPr>
              <w:ind w:left="-105" w:leftChars="-50" w:right="-105" w:rightChars="-50"/>
              <w:jc w:val="center"/>
              <w:rPr>
                <w:rFonts w:ascii="Times New Roman" w:hAnsi="Times New Roman" w:eastAsia="楷体" w:cs="Times New Roman"/>
                <w:szCs w:val="21"/>
              </w:rPr>
            </w:pP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重金属</w:t>
            </w:r>
          </w:p>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（总砷、总汞、总铅、总镉）</w:t>
            </w:r>
          </w:p>
        </w:tc>
        <w:tc>
          <w:tcPr>
            <w:tcW w:w="2552"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1次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89"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脱硫废水</w:t>
            </w: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（脱硫废水）1#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石灰石脱硫废水厂内排放口</w:t>
            </w:r>
          </w:p>
        </w:tc>
        <w:tc>
          <w:tcPr>
            <w:tcW w:w="2248"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重金属</w:t>
            </w:r>
          </w:p>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（总砷、总汞、总铅、总镉）</w:t>
            </w:r>
          </w:p>
        </w:tc>
        <w:tc>
          <w:tcPr>
            <w:tcW w:w="2552" w:type="dxa"/>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1</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无组织废气</w:t>
            </w: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厂界西</w:t>
            </w:r>
          </w:p>
        </w:tc>
        <w:tc>
          <w:tcPr>
            <w:tcW w:w="2248"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总悬浮颗粒物</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4</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2#</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3#</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厂界东</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4#</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噪声</w:t>
            </w: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北厂界偏西</w:t>
            </w:r>
          </w:p>
        </w:tc>
        <w:tc>
          <w:tcPr>
            <w:tcW w:w="2248"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噪声</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昼间、夜间各监测一次，监测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2#</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西厂界偏南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3#</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南厂界</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4#</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东厂界偏南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5#</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东厂界中</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6#</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北厂界偏东</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仿宋" w:hAnsi="仿宋" w:eastAsia="仿宋" w:cs="Times New Roman"/>
                <w:sz w:val="24"/>
                <w:szCs w:val="24"/>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w:t>
            </w:r>
            <w:r>
              <w:rPr>
                <w:rFonts w:ascii="Times New Roman" w:hAnsi="Times New Roman" w:eastAsia="楷体" w:cs="Times New Roman"/>
                <w:szCs w:val="21"/>
              </w:rPr>
              <w:t>7#</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北厂界（大门）</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非甲烷总烃</w:t>
            </w: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w:t>
            </w:r>
            <w:r>
              <w:rPr>
                <w:rFonts w:ascii="Times New Roman" w:hAnsi="Times New Roman" w:eastAsia="楷体" w:cs="Times New Roman"/>
                <w:szCs w:val="21"/>
              </w:rPr>
              <w:t>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油罐区东</w:t>
            </w:r>
          </w:p>
        </w:tc>
        <w:tc>
          <w:tcPr>
            <w:tcW w:w="2248" w:type="dxa"/>
            <w:vMerge w:val="restart"/>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非甲烷总烃</w:t>
            </w:r>
          </w:p>
        </w:tc>
        <w:tc>
          <w:tcPr>
            <w:tcW w:w="2552" w:type="dxa"/>
            <w:vMerge w:val="restart"/>
            <w:vAlign w:val="center"/>
          </w:tcPr>
          <w:p>
            <w:pPr>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4</w:t>
            </w:r>
            <w:r>
              <w:rPr>
                <w:rFonts w:hint="eastAsia" w:ascii="Times New Roman" w:hAnsi="Times New Roman" w:eastAsia="楷体" w:cs="Times New Roman"/>
                <w:szCs w:val="21"/>
              </w:rPr>
              <w:t>次</w:t>
            </w:r>
            <w:r>
              <w:rPr>
                <w:rFonts w:ascii="Times New Roman" w:hAnsi="Times New Roman" w:eastAsia="楷体" w:cs="Times New Roman"/>
                <w:szCs w:val="21"/>
              </w:rPr>
              <w:t>/</w:t>
            </w:r>
            <w:r>
              <w:rPr>
                <w:rFonts w:hint="eastAsia" w:ascii="Times New Roman" w:hAnsi="Times New Roman" w:eastAsia="楷体" w:cs="Times New Roman"/>
                <w:szCs w:val="21"/>
              </w:rPr>
              <w:t>天，监测</w:t>
            </w:r>
            <w:r>
              <w:rPr>
                <w:rFonts w:ascii="Times New Roman" w:hAnsi="Times New Roman" w:eastAsia="楷体" w:cs="Times New Roman"/>
                <w:szCs w:val="21"/>
              </w:rPr>
              <w:t>1</w:t>
            </w:r>
            <w:r>
              <w:rPr>
                <w:rFonts w:hint="eastAsia" w:ascii="Times New Roman" w:hAnsi="Times New Roman" w:eastAsia="楷体" w:cs="Times New Roman"/>
                <w:szCs w:val="21"/>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w:t>
            </w:r>
            <w:r>
              <w:rPr>
                <w:rFonts w:ascii="Times New Roman" w:hAnsi="Times New Roman" w:eastAsia="楷体" w:cs="Times New Roman"/>
                <w:szCs w:val="21"/>
              </w:rPr>
              <w:t>2#</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油罐区南</w:t>
            </w:r>
          </w:p>
        </w:tc>
        <w:tc>
          <w:tcPr>
            <w:tcW w:w="2248" w:type="dxa"/>
            <w:vMerge w:val="continue"/>
            <w:vAlign w:val="center"/>
          </w:tcPr>
          <w:p>
            <w:pPr>
              <w:ind w:left="-105" w:leftChars="-50" w:right="-105" w:rightChars="-50"/>
              <w:jc w:val="center"/>
              <w:rPr>
                <w:rFonts w:ascii="Times New Roman" w:hAnsi="Times New Roman" w:eastAsia="楷体" w:cs="Times New Roman"/>
                <w:szCs w:val="21"/>
              </w:rPr>
            </w:pPr>
          </w:p>
        </w:tc>
        <w:tc>
          <w:tcPr>
            <w:tcW w:w="2552" w:type="dxa"/>
            <w:vMerge w:val="continue"/>
            <w:vAlign w:val="center"/>
          </w:tcPr>
          <w:p>
            <w:pPr>
              <w:ind w:left="-105" w:leftChars="-50" w:right="-105" w:rightChars="-50"/>
              <w:jc w:val="center"/>
              <w:rPr>
                <w:rFonts w:ascii="Times New Roman" w:hAnsi="Times New Roman" w:eastAsia="楷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w:t>
            </w:r>
            <w:r>
              <w:rPr>
                <w:rFonts w:ascii="Times New Roman" w:hAnsi="Times New Roman" w:eastAsia="楷体" w:cs="Times New Roman"/>
                <w:szCs w:val="21"/>
              </w:rPr>
              <w:t>3#</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油罐区西</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w:t>
            </w:r>
            <w:r>
              <w:rPr>
                <w:rFonts w:ascii="Times New Roman" w:hAnsi="Times New Roman" w:eastAsia="楷体" w:cs="Times New Roman"/>
                <w:szCs w:val="21"/>
              </w:rPr>
              <w:t>4#</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油罐区北</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w:t>
            </w:r>
            <w:r>
              <w:rPr>
                <w:rFonts w:ascii="Times New Roman" w:hAnsi="Times New Roman" w:eastAsia="楷体" w:cs="Times New Roman"/>
                <w:szCs w:val="21"/>
              </w:rPr>
              <w:t>1#</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危废库东</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w:t>
            </w:r>
            <w:r>
              <w:rPr>
                <w:rFonts w:ascii="Times New Roman" w:hAnsi="Times New Roman" w:eastAsia="楷体" w:cs="Times New Roman"/>
                <w:szCs w:val="21"/>
              </w:rPr>
              <w:t>2#</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危废库南</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w:t>
            </w:r>
            <w:r>
              <w:rPr>
                <w:rFonts w:ascii="Times New Roman" w:hAnsi="Times New Roman" w:eastAsia="楷体" w:cs="Times New Roman"/>
                <w:szCs w:val="21"/>
              </w:rPr>
              <w:t>3#</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危废库西</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789" w:type="dxa"/>
            <w:vMerge w:val="continue"/>
            <w:vAlign w:val="center"/>
          </w:tcPr>
          <w:p>
            <w:pPr>
              <w:ind w:left="-105" w:leftChars="-50" w:right="-105" w:rightChars="-50"/>
              <w:jc w:val="center"/>
              <w:rPr>
                <w:rFonts w:ascii="Times New Roman" w:hAnsi="Times New Roman" w:eastAsia="楷体" w:cs="Times New Roman"/>
                <w:szCs w:val="21"/>
              </w:rPr>
            </w:pPr>
          </w:p>
        </w:tc>
        <w:tc>
          <w:tcPr>
            <w:tcW w:w="1471"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w:t>
            </w:r>
            <w:r>
              <w:rPr>
                <w:rFonts w:ascii="Times New Roman" w:hAnsi="Times New Roman" w:eastAsia="楷体" w:cs="Times New Roman"/>
                <w:szCs w:val="21"/>
              </w:rPr>
              <w:t>4#</w:t>
            </w:r>
          </w:p>
        </w:tc>
        <w:tc>
          <w:tcPr>
            <w:tcW w:w="2370" w:type="dxa"/>
            <w:vAlign w:val="center"/>
          </w:tcPr>
          <w:p>
            <w:pPr>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危废库北</w:t>
            </w:r>
          </w:p>
        </w:tc>
        <w:tc>
          <w:tcPr>
            <w:tcW w:w="2248" w:type="dxa"/>
            <w:vMerge w:val="continue"/>
            <w:vAlign w:val="center"/>
          </w:tcPr>
          <w:p>
            <w:pPr>
              <w:ind w:left="-105" w:leftChars="-50" w:right="-105" w:rightChars="-50"/>
              <w:jc w:val="center"/>
              <w:rPr>
                <w:rFonts w:ascii="仿宋" w:hAnsi="仿宋" w:eastAsia="仿宋" w:cs="Times New Roman"/>
                <w:sz w:val="24"/>
                <w:szCs w:val="24"/>
              </w:rPr>
            </w:pPr>
          </w:p>
        </w:tc>
        <w:tc>
          <w:tcPr>
            <w:tcW w:w="2552" w:type="dxa"/>
            <w:vMerge w:val="continue"/>
            <w:vAlign w:val="center"/>
          </w:tcPr>
          <w:p>
            <w:pPr>
              <w:ind w:left="-105" w:leftChars="-50" w:right="-105" w:rightChars="-50"/>
              <w:jc w:val="center"/>
              <w:rPr>
                <w:rFonts w:ascii="仿宋" w:hAnsi="仿宋" w:eastAsia="仿宋" w:cs="Times New Roman"/>
                <w:sz w:val="24"/>
                <w:szCs w:val="24"/>
              </w:rPr>
            </w:pPr>
          </w:p>
        </w:tc>
      </w:tr>
    </w:tbl>
    <w:p>
      <w:pPr>
        <w:pStyle w:val="30"/>
        <w:numPr>
          <w:ilvl w:val="1"/>
          <w:numId w:val="1"/>
        </w:numPr>
        <w:ind w:left="567" w:firstLineChars="0"/>
        <w:outlineLvl w:val="1"/>
        <w:rPr>
          <w:rFonts w:ascii="仿宋" w:hAnsi="仿宋" w:eastAsia="仿宋"/>
          <w:sz w:val="28"/>
          <w:szCs w:val="28"/>
        </w:rPr>
      </w:pPr>
      <w:bookmarkStart w:id="6" w:name="_Toc507678280"/>
      <w:r>
        <w:rPr>
          <w:rFonts w:hint="eastAsia" w:ascii="仿宋" w:hAnsi="仿宋" w:eastAsia="仿宋"/>
          <w:b/>
          <w:bCs/>
          <w:sz w:val="28"/>
          <w:szCs w:val="28"/>
        </w:rPr>
        <w:t>监测分析方法与质量保证</w:t>
      </w:r>
      <w:bookmarkEnd w:id="6"/>
    </w:p>
    <w:p>
      <w:pPr>
        <w:ind w:firstLine="560" w:firstLineChars="200"/>
        <w:rPr>
          <w:rFonts w:ascii="仿宋" w:hAnsi="仿宋" w:eastAsia="仿宋"/>
          <w:sz w:val="28"/>
          <w:szCs w:val="28"/>
        </w:rPr>
      </w:pPr>
      <w:r>
        <w:rPr>
          <w:rFonts w:ascii="仿宋" w:hAnsi="仿宋" w:eastAsia="仿宋"/>
          <w:sz w:val="28"/>
          <w:szCs w:val="28"/>
        </w:rPr>
        <w:t>按国家标准分析方法、国家环保总局颁布的监测分析方法及有关规定执行</w:t>
      </w:r>
      <w:r>
        <w:rPr>
          <w:rFonts w:hint="eastAsia" w:ascii="仿宋" w:hAnsi="仿宋" w:eastAsia="仿宋"/>
          <w:sz w:val="28"/>
          <w:szCs w:val="28"/>
        </w:rPr>
        <w:t>，若有更新的应自动调整为最新规范要求</w:t>
      </w:r>
      <w:r>
        <w:rPr>
          <w:rFonts w:ascii="仿宋" w:hAnsi="仿宋" w:eastAsia="仿宋"/>
          <w:sz w:val="28"/>
          <w:szCs w:val="28"/>
        </w:rPr>
        <w:t>。监测分析方法见表2。</w:t>
      </w:r>
    </w:p>
    <w:p>
      <w:pPr>
        <w:spacing w:line="360" w:lineRule="auto"/>
        <w:rPr>
          <w:rFonts w:ascii="仿宋" w:hAnsi="仿宋" w:eastAsia="仿宋" w:cs="Times New Roman"/>
          <w:b/>
          <w:bCs/>
          <w:sz w:val="24"/>
          <w:szCs w:val="21"/>
        </w:rPr>
      </w:pPr>
      <w:r>
        <w:rPr>
          <w:rFonts w:hint="eastAsia" w:ascii="仿宋" w:hAnsi="仿宋" w:eastAsia="仿宋" w:cs="Times New Roman"/>
          <w:b/>
          <w:bCs/>
          <w:sz w:val="24"/>
          <w:szCs w:val="21"/>
        </w:rPr>
        <w:t>表</w:t>
      </w:r>
      <w:r>
        <w:rPr>
          <w:rFonts w:ascii="仿宋" w:hAnsi="仿宋" w:eastAsia="仿宋" w:cs="Times New Roman"/>
          <w:b/>
          <w:bCs/>
          <w:sz w:val="24"/>
          <w:szCs w:val="21"/>
        </w:rPr>
        <w:t xml:space="preserve">2                        </w:t>
      </w:r>
      <w:r>
        <w:rPr>
          <w:rFonts w:hint="eastAsia" w:ascii="仿宋" w:hAnsi="仿宋" w:eastAsia="仿宋" w:cs="Times New Roman"/>
          <w:b/>
          <w:bCs/>
          <w:sz w:val="24"/>
          <w:szCs w:val="21"/>
        </w:rPr>
        <w:t>监测方法及依据</w:t>
      </w:r>
    </w:p>
    <w:tbl>
      <w:tblPr>
        <w:tblStyle w:val="14"/>
        <w:tblW w:w="9581"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1279"/>
        <w:gridCol w:w="724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1060" w:type="dxa"/>
            <w:tcBorders>
              <w:tl2br w:val="nil"/>
              <w:tr2bl w:val="nil"/>
            </w:tcBorders>
            <w:vAlign w:val="center"/>
          </w:tcPr>
          <w:p>
            <w:pPr>
              <w:spacing w:line="280" w:lineRule="exact"/>
              <w:ind w:left="-105" w:leftChars="-50" w:right="-105" w:rightChars="-50"/>
              <w:jc w:val="center"/>
              <w:rPr>
                <w:rFonts w:ascii="仿宋" w:hAnsi="仿宋" w:eastAsia="仿宋" w:cs="Times New Roman"/>
                <w:b/>
                <w:bCs/>
                <w:sz w:val="24"/>
                <w:szCs w:val="24"/>
              </w:rPr>
            </w:pPr>
            <w:r>
              <w:rPr>
                <w:rFonts w:hint="eastAsia" w:ascii="仿宋" w:hAnsi="仿宋" w:eastAsia="仿宋" w:cs="Times New Roman"/>
                <w:b/>
                <w:bCs/>
                <w:sz w:val="24"/>
                <w:szCs w:val="24"/>
              </w:rPr>
              <w:t>监测类别</w:t>
            </w:r>
          </w:p>
        </w:tc>
        <w:tc>
          <w:tcPr>
            <w:tcW w:w="1279" w:type="dxa"/>
            <w:tcBorders>
              <w:tl2br w:val="nil"/>
              <w:tr2bl w:val="nil"/>
            </w:tcBorders>
            <w:vAlign w:val="center"/>
          </w:tcPr>
          <w:p>
            <w:pPr>
              <w:spacing w:line="280" w:lineRule="exact"/>
              <w:ind w:left="-105" w:leftChars="-50" w:right="-105" w:rightChars="-50"/>
              <w:jc w:val="center"/>
              <w:rPr>
                <w:rFonts w:ascii="仿宋" w:hAnsi="仿宋" w:eastAsia="仿宋" w:cs="Times New Roman"/>
                <w:b/>
                <w:bCs/>
                <w:sz w:val="24"/>
                <w:szCs w:val="24"/>
              </w:rPr>
            </w:pPr>
            <w:r>
              <w:rPr>
                <w:rFonts w:hint="eastAsia" w:ascii="仿宋" w:hAnsi="仿宋" w:eastAsia="仿宋" w:cs="Times New Roman"/>
                <w:b/>
                <w:bCs/>
                <w:sz w:val="24"/>
                <w:szCs w:val="24"/>
              </w:rPr>
              <w:t>项目</w:t>
            </w:r>
          </w:p>
        </w:tc>
        <w:tc>
          <w:tcPr>
            <w:tcW w:w="7242" w:type="dxa"/>
            <w:tcBorders>
              <w:tl2br w:val="nil"/>
              <w:tr2bl w:val="nil"/>
            </w:tcBorders>
            <w:vAlign w:val="center"/>
          </w:tcPr>
          <w:p>
            <w:pPr>
              <w:spacing w:line="280" w:lineRule="exact"/>
              <w:ind w:left="-105" w:leftChars="-50" w:right="-105" w:rightChars="-50"/>
              <w:jc w:val="center"/>
              <w:rPr>
                <w:rFonts w:ascii="仿宋" w:hAnsi="仿宋" w:eastAsia="仿宋" w:cs="Times New Roman"/>
                <w:b/>
                <w:bCs/>
                <w:sz w:val="24"/>
                <w:szCs w:val="24"/>
              </w:rPr>
            </w:pPr>
            <w:r>
              <w:rPr>
                <w:rFonts w:hint="eastAsia" w:ascii="仿宋" w:hAnsi="仿宋" w:eastAsia="仿宋" w:cs="Times New Roman"/>
                <w:b/>
                <w:bCs/>
                <w:sz w:val="24"/>
                <w:szCs w:val="24"/>
              </w:rPr>
              <w:t>分析方法及来源</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有组织废气</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汞</w:t>
            </w:r>
          </w:p>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氨</w:t>
            </w:r>
          </w:p>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林格曼黑度</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《固定污染源废气</w:t>
            </w:r>
            <w:r>
              <w:rPr>
                <w:rFonts w:ascii="Times New Roman" w:hAnsi="Times New Roman" w:eastAsia="楷体" w:cs="Times New Roman"/>
                <w:szCs w:val="21"/>
              </w:rPr>
              <w:t xml:space="preserve"> </w:t>
            </w:r>
            <w:r>
              <w:rPr>
                <w:rFonts w:hint="eastAsia" w:ascii="Times New Roman" w:hAnsi="Times New Roman" w:eastAsia="楷体" w:cs="Times New Roman"/>
                <w:szCs w:val="21"/>
              </w:rPr>
              <w:t>汞的测定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冷原子吸收分光光度法（暂行）》（</w:t>
            </w:r>
            <w:r>
              <w:rPr>
                <w:rFonts w:ascii="Times New Roman" w:hAnsi="Times New Roman" w:eastAsia="楷体" w:cs="Times New Roman"/>
                <w:szCs w:val="21"/>
              </w:rPr>
              <w:t>HJ543-2009</w:t>
            </w:r>
            <w:r>
              <w:rPr>
                <w:rFonts w:hint="eastAsia" w:ascii="Times New Roman" w:hAnsi="Times New Roman" w:eastAsia="楷体" w:cs="Times New Roman"/>
                <w:szCs w:val="21"/>
              </w:rPr>
              <w:t>）</w:t>
            </w:r>
          </w:p>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环境空气和废气</w:t>
            </w:r>
            <w:r>
              <w:rPr>
                <w:rFonts w:ascii="Times New Roman" w:hAnsi="Times New Roman" w:eastAsia="楷体" w:cs="Times New Roman"/>
                <w:szCs w:val="21"/>
              </w:rPr>
              <w:t xml:space="preserve"> </w:t>
            </w:r>
            <w:r>
              <w:rPr>
                <w:rFonts w:hint="eastAsia" w:ascii="Times New Roman" w:hAnsi="Times New Roman" w:eastAsia="楷体" w:cs="Times New Roman"/>
                <w:szCs w:val="21"/>
              </w:rPr>
              <w:t>氨的测定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纳氏试剂分光光度法</w:t>
            </w:r>
            <w:r>
              <w:rPr>
                <w:rFonts w:ascii="Times New Roman" w:hAnsi="Times New Roman" w:eastAsia="楷体" w:cs="Times New Roman"/>
                <w:szCs w:val="21"/>
              </w:rPr>
              <w:t>HJ 533-2009</w:t>
            </w:r>
          </w:p>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《固定污染源排放</w:t>
            </w:r>
            <w:r>
              <w:rPr>
                <w:rFonts w:ascii="Times New Roman" w:hAnsi="Times New Roman" w:eastAsia="楷体" w:cs="Times New Roman"/>
                <w:szCs w:val="21"/>
              </w:rPr>
              <w:t xml:space="preserve"> </w:t>
            </w:r>
            <w:r>
              <w:rPr>
                <w:rFonts w:hint="eastAsia" w:ascii="Times New Roman" w:hAnsi="Times New Roman" w:eastAsia="楷体" w:cs="Times New Roman"/>
                <w:szCs w:val="21"/>
              </w:rPr>
              <w:t>烟气黑度的测定林格曼烟气黑度图法》（</w:t>
            </w:r>
            <w:r>
              <w:rPr>
                <w:rFonts w:ascii="Times New Roman" w:hAnsi="Times New Roman" w:eastAsia="楷体" w:cs="Times New Roman"/>
                <w:szCs w:val="21"/>
              </w:rPr>
              <w:t>HJ/T 398-2007</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无组织废气</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颗粒物</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《环境空气</w:t>
            </w:r>
            <w:r>
              <w:rPr>
                <w:rFonts w:ascii="Times New Roman" w:hAnsi="Times New Roman" w:eastAsia="楷体" w:cs="Times New Roman"/>
                <w:szCs w:val="21"/>
              </w:rPr>
              <w:t xml:space="preserve"> </w:t>
            </w:r>
            <w:r>
              <w:rPr>
                <w:rFonts w:hint="eastAsia" w:ascii="Times New Roman" w:hAnsi="Times New Roman" w:eastAsia="楷体" w:cs="Times New Roman"/>
                <w:szCs w:val="21"/>
              </w:rPr>
              <w:t>总悬浮颗粒物的测定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重量法》（</w:t>
            </w:r>
            <w:r>
              <w:rPr>
                <w:rFonts w:ascii="Times New Roman" w:hAnsi="Times New Roman" w:eastAsia="楷体" w:cs="Times New Roman"/>
                <w:szCs w:val="21"/>
              </w:rPr>
              <w:t>HJ 1263-2022</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restart"/>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地下水</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ascii="Times New Roman" w:hAnsi="Times New Roman" w:eastAsia="楷体" w:cs="Times New Roman"/>
                <w:szCs w:val="21"/>
              </w:rPr>
              <w:t>pH</w:t>
            </w:r>
            <w:r>
              <w:rPr>
                <w:rFonts w:hint="eastAsia" w:ascii="Times New Roman" w:hAnsi="Times New Roman" w:eastAsia="楷体" w:cs="Times New Roman"/>
                <w:szCs w:val="21"/>
              </w:rPr>
              <w:t>值</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pH</w:t>
            </w:r>
            <w:r>
              <w:rPr>
                <w:rFonts w:hint="eastAsia" w:ascii="Times New Roman" w:hAnsi="Times New Roman" w:eastAsia="楷体" w:cs="Times New Roman"/>
                <w:szCs w:val="21"/>
              </w:rPr>
              <w:t>值的测定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电极法</w:t>
            </w:r>
            <w:r>
              <w:rPr>
                <w:rFonts w:ascii="Times New Roman" w:hAnsi="Times New Roman" w:eastAsia="楷体" w:cs="Times New Roman"/>
                <w:szCs w:val="21"/>
              </w:rPr>
              <w:t xml:space="preserve"> HJ1147-2020</w:t>
            </w:r>
            <w:r>
              <w:rPr>
                <w:rFonts w:hint="eastAsia" w:ascii="Times New Roman" w:hAnsi="Times New Roman" w:eastAsia="楷体" w:cs="Times New Roman"/>
                <w:szCs w:val="21"/>
              </w:rPr>
              <w:t>》</w:t>
            </w:r>
            <w:r>
              <w:rPr>
                <w:rFonts w:ascii="Times New Roman" w:hAnsi="Times New Roman" w:eastAsia="楷体" w:cs="Times New Roman"/>
                <w:szCs w:val="21"/>
              </w:rPr>
              <w:t xml:space="preserve"> (HJ 1147-2020)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挥发酚</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挥发酚的测定</w:t>
            </w:r>
            <w:r>
              <w:rPr>
                <w:rFonts w:ascii="Times New Roman" w:hAnsi="Times New Roman" w:eastAsia="楷体" w:cs="Times New Roman"/>
                <w:szCs w:val="21"/>
              </w:rPr>
              <w:t xml:space="preserve"> 4-</w:t>
            </w:r>
            <w:r>
              <w:rPr>
                <w:rFonts w:hint="eastAsia" w:ascii="Times New Roman" w:hAnsi="Times New Roman" w:eastAsia="楷体" w:cs="Times New Roman"/>
                <w:szCs w:val="21"/>
              </w:rPr>
              <w:t>氨基安替比林分光光度法》（</w:t>
            </w:r>
            <w:r>
              <w:rPr>
                <w:rFonts w:ascii="Times New Roman" w:hAnsi="Times New Roman" w:eastAsia="楷体" w:cs="Times New Roman"/>
                <w:szCs w:val="21"/>
              </w:rPr>
              <w:t>HJ 503-2009</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氟化物</w:t>
            </w:r>
          </w:p>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氯化物</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无机阴离子</w:t>
            </w:r>
            <w:r>
              <w:rPr>
                <w:rFonts w:ascii="Times New Roman" w:hAnsi="Times New Roman" w:eastAsia="楷体" w:cs="Times New Roman"/>
                <w:szCs w:val="21"/>
              </w:rPr>
              <w:t xml:space="preserve"> </w:t>
            </w:r>
            <w:r>
              <w:rPr>
                <w:rFonts w:hint="eastAsia" w:ascii="Times New Roman" w:hAnsi="Times New Roman" w:eastAsia="楷体" w:cs="Times New Roman"/>
                <w:szCs w:val="21"/>
              </w:rPr>
              <w:t>（</w:t>
            </w:r>
            <w:r>
              <w:rPr>
                <w:rFonts w:ascii="Times New Roman" w:hAnsi="Times New Roman" w:eastAsia="楷体" w:cs="Times New Roman"/>
                <w:szCs w:val="21"/>
              </w:rPr>
              <w:t>F-</w:t>
            </w:r>
            <w:r>
              <w:rPr>
                <w:rFonts w:hint="eastAsia" w:ascii="Times New Roman" w:hAnsi="Times New Roman" w:eastAsia="楷体" w:cs="Times New Roman"/>
                <w:szCs w:val="21"/>
              </w:rPr>
              <w:t>、</w:t>
            </w:r>
            <w:r>
              <w:rPr>
                <w:rFonts w:ascii="Times New Roman" w:hAnsi="Times New Roman" w:eastAsia="楷体" w:cs="Times New Roman"/>
                <w:szCs w:val="21"/>
              </w:rPr>
              <w:t>Cl-</w:t>
            </w:r>
            <w:r>
              <w:rPr>
                <w:rFonts w:hint="eastAsia" w:ascii="Times New Roman" w:hAnsi="Times New Roman" w:eastAsia="楷体" w:cs="Times New Roman"/>
                <w:szCs w:val="21"/>
              </w:rPr>
              <w:t>、</w:t>
            </w:r>
            <w:r>
              <w:rPr>
                <w:rFonts w:ascii="Times New Roman" w:hAnsi="Times New Roman" w:eastAsia="楷体" w:cs="Times New Roman"/>
                <w:szCs w:val="21"/>
              </w:rPr>
              <w:t xml:space="preserve">NO2- </w:t>
            </w:r>
            <w:r>
              <w:rPr>
                <w:rFonts w:hint="eastAsia" w:ascii="Times New Roman" w:hAnsi="Times New Roman" w:eastAsia="楷体" w:cs="Times New Roman"/>
                <w:szCs w:val="21"/>
              </w:rPr>
              <w:t>、</w:t>
            </w:r>
            <w:r>
              <w:rPr>
                <w:rFonts w:ascii="Times New Roman" w:hAnsi="Times New Roman" w:eastAsia="楷体" w:cs="Times New Roman"/>
                <w:szCs w:val="21"/>
              </w:rPr>
              <w:t>Br-</w:t>
            </w:r>
            <w:r>
              <w:rPr>
                <w:rFonts w:hint="eastAsia" w:ascii="Times New Roman" w:hAnsi="Times New Roman" w:eastAsia="楷体" w:cs="Times New Roman"/>
                <w:szCs w:val="21"/>
              </w:rPr>
              <w:t>、</w:t>
            </w:r>
            <w:r>
              <w:rPr>
                <w:rFonts w:ascii="Times New Roman" w:hAnsi="Times New Roman" w:eastAsia="楷体" w:cs="Times New Roman"/>
                <w:szCs w:val="21"/>
              </w:rPr>
              <w:t>NO3-</w:t>
            </w:r>
            <w:r>
              <w:rPr>
                <w:rFonts w:hint="eastAsia" w:ascii="Times New Roman" w:hAnsi="Times New Roman" w:eastAsia="楷体" w:cs="Times New Roman"/>
                <w:szCs w:val="21"/>
              </w:rPr>
              <w:t>、</w:t>
            </w:r>
            <w:r>
              <w:rPr>
                <w:rFonts w:ascii="Times New Roman" w:hAnsi="Times New Roman" w:eastAsia="楷体" w:cs="Times New Roman"/>
                <w:szCs w:val="21"/>
              </w:rPr>
              <w:t xml:space="preserve"> PO43-SO32-</w:t>
            </w:r>
            <w:r>
              <w:rPr>
                <w:rFonts w:hint="eastAsia" w:ascii="Times New Roman" w:hAnsi="Times New Roman" w:eastAsia="楷体" w:cs="Times New Roman"/>
                <w:szCs w:val="21"/>
              </w:rPr>
              <w:t>、</w:t>
            </w:r>
            <w:r>
              <w:rPr>
                <w:rFonts w:ascii="Times New Roman" w:hAnsi="Times New Roman" w:eastAsia="楷体" w:cs="Times New Roman"/>
                <w:szCs w:val="21"/>
              </w:rPr>
              <w:t>SO42-</w:t>
            </w:r>
            <w:r>
              <w:rPr>
                <w:rFonts w:hint="eastAsia" w:ascii="Times New Roman" w:hAnsi="Times New Roman" w:eastAsia="楷体" w:cs="Times New Roman"/>
                <w:szCs w:val="21"/>
              </w:rPr>
              <w:t>）的测定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离子色谱法》（</w:t>
            </w:r>
            <w:r>
              <w:rPr>
                <w:rFonts w:ascii="Times New Roman" w:hAnsi="Times New Roman" w:eastAsia="楷体" w:cs="Times New Roman"/>
                <w:szCs w:val="21"/>
              </w:rPr>
              <w:t>HJ 84-2016</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铅、镉</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65</w:t>
            </w:r>
            <w:r>
              <w:rPr>
                <w:rFonts w:hint="eastAsia" w:ascii="Times New Roman" w:hAnsi="Times New Roman" w:eastAsia="楷体" w:cs="Times New Roman"/>
                <w:szCs w:val="21"/>
              </w:rPr>
              <w:t>种元素的测定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电感耦合等离子体发射光谱法》（</w:t>
            </w:r>
            <w:r>
              <w:rPr>
                <w:rFonts w:ascii="Times New Roman" w:hAnsi="Times New Roman" w:eastAsia="楷体" w:cs="Times New Roman"/>
                <w:szCs w:val="21"/>
              </w:rPr>
              <w:t>HJ 700-2014</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溶解性总固体</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《生活饮用水标准检验方法</w:t>
            </w:r>
            <w:r>
              <w:rPr>
                <w:rFonts w:ascii="Times New Roman" w:hAnsi="Times New Roman" w:eastAsia="楷体" w:cs="Times New Roman"/>
                <w:szCs w:val="21"/>
              </w:rPr>
              <w:t xml:space="preserve"> </w:t>
            </w:r>
            <w:r>
              <w:rPr>
                <w:rFonts w:hint="eastAsia" w:ascii="Times New Roman" w:hAnsi="Times New Roman" w:eastAsia="楷体" w:cs="Times New Roman"/>
                <w:szCs w:val="21"/>
              </w:rPr>
              <w:t>感官性状和物理指标》（</w:t>
            </w:r>
            <w:r>
              <w:rPr>
                <w:rFonts w:ascii="Times New Roman" w:hAnsi="Times New Roman" w:eastAsia="楷体" w:cs="Times New Roman"/>
                <w:szCs w:val="21"/>
              </w:rPr>
              <w:t>GB/T 5750.4-2006</w:t>
            </w:r>
            <w:r>
              <w:rPr>
                <w:rFonts w:hint="eastAsia" w:ascii="Times New Roman" w:hAnsi="Times New Roman" w:eastAsia="楷体" w:cs="Times New Roman"/>
                <w:szCs w:val="21"/>
              </w:rPr>
              <w:t>（</w:t>
            </w:r>
            <w:r>
              <w:rPr>
                <w:rFonts w:ascii="Times New Roman" w:hAnsi="Times New Roman" w:eastAsia="楷体" w:cs="Times New Roman"/>
                <w:szCs w:val="21"/>
              </w:rPr>
              <w:t>8</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总硬度</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钙和镁总量的测定</w:t>
            </w:r>
            <w:r>
              <w:rPr>
                <w:rFonts w:ascii="Times New Roman" w:hAnsi="Times New Roman" w:eastAsia="楷体" w:cs="Times New Roman"/>
                <w:szCs w:val="21"/>
              </w:rPr>
              <w:t xml:space="preserve"> EDTA </w:t>
            </w:r>
            <w:r>
              <w:rPr>
                <w:rFonts w:hint="eastAsia" w:ascii="Times New Roman" w:hAnsi="Times New Roman" w:eastAsia="楷体" w:cs="Times New Roman"/>
                <w:szCs w:val="21"/>
              </w:rPr>
              <w:t>滴定法》（</w:t>
            </w:r>
            <w:r>
              <w:rPr>
                <w:rFonts w:ascii="Times New Roman" w:hAnsi="Times New Roman" w:eastAsia="楷体" w:cs="Times New Roman"/>
                <w:szCs w:val="21"/>
              </w:rPr>
              <w:t>GB/T 7477-1987</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砷、汞</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汞、砷、硒、铋和锑的测定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原子荧光法</w:t>
            </w:r>
            <w:r>
              <w:rPr>
                <w:rFonts w:ascii="Times New Roman" w:hAnsi="Times New Roman" w:eastAsia="楷体" w:cs="Times New Roman"/>
                <w:szCs w:val="21"/>
              </w:rPr>
              <w:t xml:space="preserve"> </w:t>
            </w:r>
            <w:r>
              <w:rPr>
                <w:rFonts w:hint="eastAsia" w:ascii="Times New Roman" w:hAnsi="Times New Roman" w:eastAsia="楷体" w:cs="Times New Roman"/>
                <w:szCs w:val="21"/>
              </w:rPr>
              <w:t>》（</w:t>
            </w:r>
            <w:r>
              <w:rPr>
                <w:rFonts w:ascii="Times New Roman" w:hAnsi="Times New Roman" w:eastAsia="楷体" w:cs="Times New Roman"/>
                <w:szCs w:val="21"/>
              </w:rPr>
              <w:t>HJ 694-2014</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restart"/>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二期直流冷却水</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pH值</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pH值的测定 电极法 HJ 1147-2020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溶解氧</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溶解氧的测定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电化学探头法</w:t>
            </w:r>
            <w:r>
              <w:rPr>
                <w:rFonts w:ascii="Times New Roman" w:hAnsi="Times New Roman" w:eastAsia="楷体" w:cs="Times New Roman"/>
                <w:szCs w:val="21"/>
              </w:rPr>
              <w:t xml:space="preserve"> HJ 506-2009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总砷</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汞、砷、硒、铋和锑的测定 原子荧光法HJ 694-2014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总汞</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汞、砷、硒、铋和锑的测定 原子荧光法HJ 694-2014</w:t>
            </w:r>
          </w:p>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w:t>
            </w:r>
            <w:r>
              <w:rPr>
                <w:rFonts w:ascii="Times New Roman" w:hAnsi="Times New Roman" w:eastAsia="楷体" w:cs="Times New Roman"/>
                <w:szCs w:val="21"/>
              </w:rPr>
              <w:t xml:space="preserve"> </w:t>
            </w:r>
            <w:r>
              <w:rPr>
                <w:rFonts w:hint="eastAsia" w:ascii="Times New Roman" w:hAnsi="Times New Roman" w:eastAsia="楷体" w:cs="Times New Roman"/>
                <w:szCs w:val="21"/>
              </w:rPr>
              <w:t>总汞的测定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冷原子吸收分光光度法</w:t>
            </w:r>
            <w:r>
              <w:rPr>
                <w:rFonts w:ascii="Times New Roman" w:hAnsi="Times New Roman" w:eastAsia="楷体" w:cs="Times New Roman"/>
                <w:szCs w:val="21"/>
              </w:rPr>
              <w:t xml:space="preserve"> HJ 597-2011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总铅</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32种元素的测定 电感耦合等离子体发射光谱法HJ 776-2015</w:t>
            </w:r>
          </w:p>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65种元素的测定 电感耦合等离子体发射光谱法HJ 700-2014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仿宋" w:hAnsi="仿宋" w:eastAsia="仿宋" w:cs="Times New Roman"/>
                <w:sz w:val="24"/>
                <w:szCs w:val="24"/>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总镉</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32种元素的测定 电感耦合等离子体发射光谱法HJ 776-2015</w:t>
            </w:r>
          </w:p>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65种元素的测定 电感耦合等离子体发射光谱法HJ 700-2014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vMerge w:val="continue"/>
            <w:tcBorders>
              <w:tl2br w:val="nil"/>
              <w:tr2bl w:val="nil"/>
            </w:tcBorders>
            <w:vAlign w:val="center"/>
          </w:tcPr>
          <w:p>
            <w:pPr>
              <w:spacing w:line="280" w:lineRule="exact"/>
              <w:ind w:left="-105" w:leftChars="-50" w:right="-105" w:rightChars="-50"/>
              <w:jc w:val="center"/>
              <w:rPr>
                <w:rFonts w:ascii="仿宋" w:hAnsi="仿宋" w:eastAsia="仿宋" w:cs="Times New Roman"/>
                <w:sz w:val="24"/>
                <w:szCs w:val="24"/>
              </w:rPr>
            </w:pP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总氯</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水质 游离氯和总氯的测定N,N-二乙基-1,4-苯二胺分光光度法 HJ 586-2010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噪声</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厂界噪声</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《工业企业厂界环境噪声排放标准》（</w:t>
            </w:r>
            <w:r>
              <w:rPr>
                <w:rFonts w:ascii="Times New Roman" w:hAnsi="Times New Roman" w:eastAsia="楷体" w:cs="Times New Roman"/>
                <w:szCs w:val="21"/>
              </w:rPr>
              <w:t>GB12348-2008</w:t>
            </w:r>
            <w:r>
              <w:rPr>
                <w:rFonts w:hint="eastAsia" w:ascii="Times New Roman" w:hAnsi="Times New Roman" w:eastAsia="楷体" w:cs="Times New Roman"/>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060"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非甲烷总烃</w:t>
            </w:r>
          </w:p>
        </w:tc>
        <w:tc>
          <w:tcPr>
            <w:tcW w:w="1279" w:type="dxa"/>
            <w:tcBorders>
              <w:tl2br w:val="nil"/>
              <w:tr2bl w:val="nil"/>
            </w:tcBorders>
            <w:vAlign w:val="center"/>
          </w:tcPr>
          <w:p>
            <w:pPr>
              <w:spacing w:line="280" w:lineRule="exact"/>
              <w:ind w:left="-105" w:leftChars="-50"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非甲烷总烃</w:t>
            </w:r>
          </w:p>
        </w:tc>
        <w:tc>
          <w:tcPr>
            <w:tcW w:w="7242" w:type="dxa"/>
            <w:tcBorders>
              <w:tl2br w:val="nil"/>
              <w:tr2bl w:val="nil"/>
            </w:tcBorders>
            <w:vAlign w:val="center"/>
          </w:tcPr>
          <w:p>
            <w:pPr>
              <w:spacing w:line="280" w:lineRule="exact"/>
              <w:ind w:right="-105" w:rightChars="-50"/>
              <w:jc w:val="center"/>
              <w:rPr>
                <w:rFonts w:ascii="Times New Roman" w:hAnsi="Times New Roman" w:eastAsia="楷体" w:cs="Times New Roman"/>
                <w:szCs w:val="21"/>
              </w:rPr>
            </w:pPr>
            <w:r>
              <w:rPr>
                <w:rFonts w:hint="eastAsia" w:ascii="Times New Roman" w:hAnsi="Times New Roman" w:eastAsia="楷体" w:cs="Times New Roman"/>
                <w:szCs w:val="21"/>
              </w:rPr>
              <w:t>《环境空气</w:t>
            </w:r>
            <w:r>
              <w:rPr>
                <w:rFonts w:ascii="Times New Roman" w:hAnsi="Times New Roman" w:eastAsia="楷体" w:cs="Times New Roman"/>
                <w:szCs w:val="21"/>
              </w:rPr>
              <w:t xml:space="preserve"> </w:t>
            </w:r>
            <w:r>
              <w:rPr>
                <w:rFonts w:hint="eastAsia" w:ascii="Times New Roman" w:hAnsi="Times New Roman" w:eastAsia="楷体" w:cs="Times New Roman"/>
                <w:szCs w:val="21"/>
              </w:rPr>
              <w:t>总烃、甲烷和非甲烷总烃的测定</w:t>
            </w:r>
            <w:r>
              <w:rPr>
                <w:rFonts w:ascii="Times New Roman" w:hAnsi="Times New Roman" w:eastAsia="楷体" w:cs="Times New Roman"/>
                <w:szCs w:val="21"/>
              </w:rPr>
              <w:t xml:space="preserve"> </w:t>
            </w:r>
            <w:r>
              <w:rPr>
                <w:rFonts w:hint="eastAsia" w:ascii="Times New Roman" w:hAnsi="Times New Roman" w:eastAsia="楷体" w:cs="Times New Roman"/>
                <w:szCs w:val="21"/>
              </w:rPr>
              <w:t>直接进样</w:t>
            </w:r>
            <w:r>
              <w:rPr>
                <w:rFonts w:ascii="Times New Roman" w:hAnsi="Times New Roman" w:eastAsia="楷体" w:cs="Times New Roman"/>
                <w:szCs w:val="21"/>
              </w:rPr>
              <w:t>-</w:t>
            </w:r>
            <w:r>
              <w:rPr>
                <w:rFonts w:hint="eastAsia" w:ascii="Times New Roman" w:hAnsi="Times New Roman" w:eastAsia="楷体" w:cs="Times New Roman"/>
                <w:szCs w:val="21"/>
              </w:rPr>
              <w:t>气相色谱法》</w:t>
            </w:r>
            <w:r>
              <w:rPr>
                <w:rFonts w:ascii="Times New Roman" w:hAnsi="Times New Roman" w:eastAsia="楷体" w:cs="Times New Roman"/>
                <w:szCs w:val="21"/>
              </w:rPr>
              <w:t>(HJ 604-2017)</w:t>
            </w:r>
          </w:p>
        </w:tc>
      </w:tr>
    </w:tbl>
    <w:p>
      <w:pPr>
        <w:ind w:firstLine="560" w:firstLineChars="200"/>
        <w:rPr>
          <w:rFonts w:ascii="仿宋" w:hAnsi="仿宋" w:eastAsia="仿宋"/>
          <w:sz w:val="28"/>
          <w:szCs w:val="28"/>
        </w:rPr>
      </w:pPr>
      <w:r>
        <w:rPr>
          <w:rFonts w:ascii="仿宋" w:hAnsi="仿宋" w:eastAsia="仿宋"/>
          <w:sz w:val="28"/>
          <w:szCs w:val="28"/>
        </w:rPr>
        <w:t>质量保证措施按《浙江省环境监测质量保证技术规定》执行。</w:t>
      </w:r>
      <w:r>
        <w:rPr>
          <w:rFonts w:hint="eastAsia" w:ascii="仿宋" w:hAnsi="仿宋" w:eastAsia="仿宋"/>
          <w:sz w:val="28"/>
          <w:szCs w:val="28"/>
        </w:rPr>
        <w:t>参加监测采样和测试的人员，按国家有关规定持证上岗，监测仪器在检定有效期内，监测数据经三级审核。</w:t>
      </w:r>
    </w:p>
    <w:p>
      <w:pPr>
        <w:ind w:firstLine="560" w:firstLineChars="200"/>
        <w:rPr>
          <w:rFonts w:ascii="仿宋" w:hAnsi="仿宋" w:eastAsia="仿宋"/>
          <w:sz w:val="28"/>
          <w:szCs w:val="28"/>
        </w:rPr>
      </w:pPr>
      <w:r>
        <w:rPr>
          <w:rFonts w:hint="eastAsia" w:ascii="仿宋" w:hAnsi="仿宋" w:eastAsia="仿宋"/>
          <w:sz w:val="28"/>
          <w:szCs w:val="28"/>
        </w:rPr>
        <w:t>噪声监测时应使用经计量部门检定并在有效期内的声级计，声级计在测试前后用标准发生源进行校准，测量前后仪器灵敏度相差不大于0</w:t>
      </w:r>
      <w:r>
        <w:rPr>
          <w:rFonts w:ascii="仿宋" w:hAnsi="仿宋" w:eastAsia="仿宋"/>
          <w:sz w:val="28"/>
          <w:szCs w:val="28"/>
        </w:rPr>
        <w:t>.5</w:t>
      </w:r>
      <w:r>
        <w:rPr>
          <w:rFonts w:hint="eastAsia" w:ascii="仿宋" w:hAnsi="仿宋" w:eastAsia="仿宋"/>
          <w:sz w:val="28"/>
          <w:szCs w:val="28"/>
        </w:rPr>
        <w:t>d</w:t>
      </w:r>
      <w:r>
        <w:rPr>
          <w:rFonts w:ascii="仿宋" w:hAnsi="仿宋" w:eastAsia="仿宋"/>
          <w:sz w:val="28"/>
          <w:szCs w:val="28"/>
        </w:rPr>
        <w:t>B</w:t>
      </w:r>
      <w:r>
        <w:rPr>
          <w:rFonts w:hint="eastAsia" w:ascii="仿宋" w:hAnsi="仿宋" w:eastAsia="仿宋"/>
          <w:sz w:val="28"/>
          <w:szCs w:val="28"/>
        </w:rPr>
        <w:t>。</w:t>
      </w:r>
    </w:p>
    <w:p>
      <w:pPr>
        <w:ind w:firstLine="560" w:firstLineChars="200"/>
        <w:rPr>
          <w:rFonts w:ascii="仿宋" w:hAnsi="仿宋" w:eastAsia="仿宋"/>
          <w:sz w:val="28"/>
          <w:szCs w:val="28"/>
        </w:rPr>
      </w:pPr>
      <w:r>
        <w:rPr>
          <w:rFonts w:hint="eastAsia" w:ascii="仿宋" w:hAnsi="仿宋" w:eastAsia="仿宋"/>
          <w:sz w:val="28"/>
          <w:szCs w:val="28"/>
        </w:rPr>
        <w:t>机组</w:t>
      </w:r>
      <w:r>
        <w:rPr>
          <w:rFonts w:ascii="仿宋" w:hAnsi="仿宋" w:eastAsia="仿宋"/>
          <w:sz w:val="28"/>
          <w:szCs w:val="28"/>
        </w:rPr>
        <w:t>烟囱</w:t>
      </w:r>
      <w:r>
        <w:rPr>
          <w:rFonts w:hint="eastAsia" w:ascii="仿宋" w:hAnsi="仿宋" w:eastAsia="仿宋"/>
          <w:sz w:val="28"/>
          <w:szCs w:val="28"/>
        </w:rPr>
        <w:t>排放口</w:t>
      </w:r>
      <w:r>
        <w:rPr>
          <w:rFonts w:ascii="仿宋" w:hAnsi="仿宋" w:eastAsia="仿宋"/>
          <w:sz w:val="28"/>
          <w:szCs w:val="28"/>
        </w:rPr>
        <w:t>内筒直径</w:t>
      </w:r>
      <w:r>
        <w:rPr>
          <w:rFonts w:hint="eastAsia" w:ascii="仿宋" w:hAnsi="仿宋" w:eastAsia="仿宋"/>
          <w:sz w:val="28"/>
          <w:szCs w:val="28"/>
        </w:rPr>
        <w:t>最大为</w:t>
      </w:r>
      <w:r>
        <w:rPr>
          <w:rFonts w:ascii="仿宋" w:hAnsi="仿宋" w:eastAsia="仿宋"/>
          <w:sz w:val="28"/>
          <w:szCs w:val="28"/>
        </w:rPr>
        <w:t>8.4m，投标方应提供满足规范要求的测量仪器</w:t>
      </w:r>
      <w:r>
        <w:rPr>
          <w:rFonts w:hint="eastAsia" w:ascii="仿宋" w:hAnsi="仿宋" w:eastAsia="仿宋"/>
          <w:sz w:val="28"/>
          <w:szCs w:val="28"/>
        </w:rPr>
        <w:t>；并具有满足检测分析所需的独立实验室、现场检测仪器及专业从业人员等。</w:t>
      </w:r>
    </w:p>
    <w:p>
      <w:pPr>
        <w:pStyle w:val="30"/>
        <w:numPr>
          <w:ilvl w:val="1"/>
          <w:numId w:val="1"/>
        </w:numPr>
        <w:ind w:left="567" w:firstLineChars="0"/>
        <w:outlineLvl w:val="1"/>
        <w:rPr>
          <w:rFonts w:ascii="仿宋" w:hAnsi="仿宋" w:eastAsia="仿宋"/>
          <w:sz w:val="28"/>
          <w:szCs w:val="28"/>
        </w:rPr>
      </w:pPr>
      <w:bookmarkStart w:id="7" w:name="_Toc507678281"/>
      <w:r>
        <w:rPr>
          <w:rFonts w:hint="eastAsia" w:ascii="仿宋" w:hAnsi="仿宋" w:eastAsia="仿宋"/>
          <w:b/>
          <w:bCs/>
          <w:sz w:val="28"/>
          <w:szCs w:val="28"/>
        </w:rPr>
        <w:t>服务要求</w:t>
      </w:r>
      <w:bookmarkEnd w:id="7"/>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技术成果：每次监测结束、招标方提供所需资料后，投标方应在10个工作日内提交监测报告纸质版4份及电子版1份，具体数量应根据规范及档案管理要求。</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保密要求：双方对工作涉及内容均有保密的义务，未经双方书面同意，任何一方不得泄露监测报告内容，不论以何种形式或载于何种载体给第三方。</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验收、评价方法：招标方对报告进行审核确认。</w:t>
      </w:r>
    </w:p>
    <w:p>
      <w:pPr>
        <w:pStyle w:val="30"/>
        <w:numPr>
          <w:ilvl w:val="2"/>
          <w:numId w:val="1"/>
        </w:numPr>
        <w:ind w:left="567" w:firstLineChars="0"/>
        <w:outlineLvl w:val="1"/>
        <w:rPr>
          <w:rFonts w:ascii="仿宋" w:hAnsi="仿宋" w:eastAsia="仿宋"/>
          <w:sz w:val="28"/>
          <w:szCs w:val="28"/>
        </w:rPr>
      </w:pPr>
      <w:r>
        <w:rPr>
          <w:rFonts w:hint="eastAsia" w:ascii="仿宋" w:hAnsi="仿宋" w:eastAsia="仿宋"/>
          <w:sz w:val="28"/>
          <w:szCs w:val="28"/>
        </w:rPr>
        <w:t>考核：监测报告延迟提交按每天300元考核；监测报告被主管部门或上级机构检查发现问题的，按每个问题考核1万元并免费整改直至闭环为止。</w:t>
      </w:r>
    </w:p>
    <w:p>
      <w:pPr>
        <w:pStyle w:val="30"/>
        <w:numPr>
          <w:ilvl w:val="0"/>
          <w:numId w:val="1"/>
        </w:numPr>
        <w:ind w:firstLineChars="0"/>
        <w:outlineLvl w:val="0"/>
        <w:rPr>
          <w:rFonts w:ascii="仿宋" w:hAnsi="仿宋" w:eastAsia="仿宋"/>
          <w:sz w:val="30"/>
          <w:szCs w:val="30"/>
        </w:rPr>
      </w:pPr>
      <w:r>
        <w:rPr>
          <w:rFonts w:hint="eastAsia" w:ascii="仿宋" w:hAnsi="仿宋" w:eastAsia="仿宋"/>
          <w:b/>
          <w:bCs/>
          <w:sz w:val="30"/>
          <w:szCs w:val="30"/>
        </w:rPr>
        <w:t>投标方</w:t>
      </w:r>
      <w:bookmarkStart w:id="8" w:name="_Toc507678284"/>
      <w:r>
        <w:rPr>
          <w:rFonts w:hint="eastAsia" w:ascii="仿宋" w:hAnsi="仿宋" w:eastAsia="仿宋"/>
          <w:b/>
          <w:bCs/>
          <w:sz w:val="30"/>
          <w:szCs w:val="30"/>
        </w:rPr>
        <w:t>资质要求</w:t>
      </w:r>
      <w:bookmarkEnd w:id="8"/>
    </w:p>
    <w:p>
      <w:pPr>
        <w:pStyle w:val="30"/>
        <w:numPr>
          <w:numId w:val="0"/>
        </w:numPr>
        <w:ind w:leftChars="0"/>
        <w:outlineLvl w:val="1"/>
        <w:rPr>
          <w:rFonts w:ascii="仿宋" w:hAnsi="仿宋" w:eastAsia="仿宋"/>
          <w:sz w:val="28"/>
          <w:szCs w:val="28"/>
        </w:rPr>
      </w:pPr>
      <w:r>
        <w:rPr>
          <w:rFonts w:hint="eastAsia" w:ascii="仿宋" w:hAnsi="仿宋" w:eastAsia="仿宋"/>
          <w:sz w:val="28"/>
          <w:szCs w:val="28"/>
          <w:lang w:val="en-US" w:eastAsia="zh-CN"/>
        </w:rPr>
        <w:t>见招标公告</w:t>
      </w:r>
      <w:bookmarkStart w:id="9" w:name="_GoBack"/>
      <w:bookmarkEnd w:id="9"/>
      <w:r>
        <w:rPr>
          <w:rFonts w:hint="eastAsia" w:ascii="仿宋" w:hAnsi="仿宋" w:eastAsia="仿宋"/>
          <w:sz w:val="28"/>
          <w:szCs w:val="28"/>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宋体,Bold">
    <w:altName w:val="黑体"/>
    <w:panose1 w:val="00000000000000000000"/>
    <w:charset w:val="86"/>
    <w:family w:val="auto"/>
    <w:pitch w:val="default"/>
    <w:sig w:usb0="00000000" w:usb1="00000000" w:usb2="00000010" w:usb3="00000000" w:csb0="00040000" w:csb1="00000000"/>
  </w:font>
  <w:font w:name="ºÚÌå">
    <w:altName w:val="Arial"/>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23064"/>
    <w:multiLevelType w:val="multilevel"/>
    <w:tmpl w:val="1B123064"/>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C44"/>
    <w:rsid w:val="00003455"/>
    <w:rsid w:val="00027E3C"/>
    <w:rsid w:val="000500F5"/>
    <w:rsid w:val="000D621D"/>
    <w:rsid w:val="000E4E99"/>
    <w:rsid w:val="000F67D6"/>
    <w:rsid w:val="0012180C"/>
    <w:rsid w:val="00132B9C"/>
    <w:rsid w:val="001504B3"/>
    <w:rsid w:val="00150F58"/>
    <w:rsid w:val="001C216F"/>
    <w:rsid w:val="001C4D61"/>
    <w:rsid w:val="00204239"/>
    <w:rsid w:val="0023387A"/>
    <w:rsid w:val="00244BD3"/>
    <w:rsid w:val="0026126A"/>
    <w:rsid w:val="002655B3"/>
    <w:rsid w:val="002A04B4"/>
    <w:rsid w:val="002C18DC"/>
    <w:rsid w:val="002D5642"/>
    <w:rsid w:val="00310ECC"/>
    <w:rsid w:val="00312C78"/>
    <w:rsid w:val="003274E1"/>
    <w:rsid w:val="00351B17"/>
    <w:rsid w:val="003647A5"/>
    <w:rsid w:val="0038324F"/>
    <w:rsid w:val="003D3F5E"/>
    <w:rsid w:val="00413A2E"/>
    <w:rsid w:val="00423690"/>
    <w:rsid w:val="004241BC"/>
    <w:rsid w:val="004714C8"/>
    <w:rsid w:val="00483904"/>
    <w:rsid w:val="004C0D0A"/>
    <w:rsid w:val="004C4029"/>
    <w:rsid w:val="00513FAE"/>
    <w:rsid w:val="0053548A"/>
    <w:rsid w:val="00541FDD"/>
    <w:rsid w:val="00562B02"/>
    <w:rsid w:val="00581B74"/>
    <w:rsid w:val="00583761"/>
    <w:rsid w:val="005F08E6"/>
    <w:rsid w:val="006029F0"/>
    <w:rsid w:val="00604EB0"/>
    <w:rsid w:val="00677EEE"/>
    <w:rsid w:val="00686419"/>
    <w:rsid w:val="00691C42"/>
    <w:rsid w:val="00694264"/>
    <w:rsid w:val="006E0679"/>
    <w:rsid w:val="00745C53"/>
    <w:rsid w:val="00746E70"/>
    <w:rsid w:val="00797C39"/>
    <w:rsid w:val="007B65D4"/>
    <w:rsid w:val="00854CCB"/>
    <w:rsid w:val="0088634D"/>
    <w:rsid w:val="008B2C48"/>
    <w:rsid w:val="008B6C62"/>
    <w:rsid w:val="008D1DE1"/>
    <w:rsid w:val="008D7BDA"/>
    <w:rsid w:val="008F6911"/>
    <w:rsid w:val="00920585"/>
    <w:rsid w:val="00984D89"/>
    <w:rsid w:val="009B6F43"/>
    <w:rsid w:val="009C60EE"/>
    <w:rsid w:val="009E440D"/>
    <w:rsid w:val="00A072E0"/>
    <w:rsid w:val="00A30568"/>
    <w:rsid w:val="00A62679"/>
    <w:rsid w:val="00A8446B"/>
    <w:rsid w:val="00B06658"/>
    <w:rsid w:val="00B24743"/>
    <w:rsid w:val="00B35437"/>
    <w:rsid w:val="00B44819"/>
    <w:rsid w:val="00B506C1"/>
    <w:rsid w:val="00B61E3A"/>
    <w:rsid w:val="00B653C4"/>
    <w:rsid w:val="00B676CD"/>
    <w:rsid w:val="00B9735D"/>
    <w:rsid w:val="00BE17DD"/>
    <w:rsid w:val="00C06C58"/>
    <w:rsid w:val="00C90080"/>
    <w:rsid w:val="00CA21D5"/>
    <w:rsid w:val="00CB754D"/>
    <w:rsid w:val="00CC1DFD"/>
    <w:rsid w:val="00D42A8C"/>
    <w:rsid w:val="00D9666F"/>
    <w:rsid w:val="00DB6478"/>
    <w:rsid w:val="00DC1E1A"/>
    <w:rsid w:val="00DE0EED"/>
    <w:rsid w:val="00DE15D2"/>
    <w:rsid w:val="00DF7285"/>
    <w:rsid w:val="00E11B70"/>
    <w:rsid w:val="00E15064"/>
    <w:rsid w:val="00E1727D"/>
    <w:rsid w:val="00E762C8"/>
    <w:rsid w:val="00EC48F9"/>
    <w:rsid w:val="00ED1C3D"/>
    <w:rsid w:val="00EE5747"/>
    <w:rsid w:val="00EE5C44"/>
    <w:rsid w:val="00EF06D3"/>
    <w:rsid w:val="00F1138B"/>
    <w:rsid w:val="00F5502C"/>
    <w:rsid w:val="00F6005B"/>
    <w:rsid w:val="00F77D66"/>
    <w:rsid w:val="00F83323"/>
    <w:rsid w:val="00FF46B9"/>
    <w:rsid w:val="157C1C14"/>
    <w:rsid w:val="32142838"/>
    <w:rsid w:val="465052B8"/>
    <w:rsid w:val="4A5F5A60"/>
    <w:rsid w:val="6EA64F7B"/>
    <w:rsid w:val="766F2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4"/>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link w:val="31"/>
    <w:semiHidden/>
    <w:unhideWhenUsed/>
    <w:qFormat/>
    <w:uiPriority w:val="99"/>
    <w:pPr>
      <w:spacing w:after="120"/>
      <w:ind w:left="420" w:leftChars="200"/>
    </w:pPr>
  </w:style>
  <w:style w:type="paragraph" w:styleId="6">
    <w:name w:val="toc 3"/>
    <w:basedOn w:val="1"/>
    <w:next w:val="1"/>
    <w:unhideWhenUsed/>
    <w:qFormat/>
    <w:uiPriority w:val="39"/>
    <w:pPr>
      <w:widowControl/>
      <w:spacing w:after="100" w:line="276" w:lineRule="auto"/>
      <w:ind w:left="440"/>
      <w:jc w:val="left"/>
    </w:pPr>
    <w:rPr>
      <w:rFonts w:ascii="Calibri" w:hAnsi="Calibri" w:eastAsia="宋体" w:cs="Times New Roman"/>
      <w:kern w:val="0"/>
      <w:sz w:val="22"/>
    </w:rPr>
  </w:style>
  <w:style w:type="paragraph" w:styleId="7">
    <w:name w:val="Date"/>
    <w:basedOn w:val="1"/>
    <w:next w:val="1"/>
    <w:link w:val="22"/>
    <w:semiHidden/>
    <w:unhideWhenUsed/>
    <w:qFormat/>
    <w:uiPriority w:val="99"/>
    <w:pPr>
      <w:ind w:left="100" w:leftChars="2500"/>
    </w:pPr>
  </w:style>
  <w:style w:type="paragraph" w:styleId="8">
    <w:name w:val="Balloon Text"/>
    <w:basedOn w:val="1"/>
    <w:link w:val="28"/>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2"/>
    <w:basedOn w:val="1"/>
    <w:next w:val="1"/>
    <w:unhideWhenUsed/>
    <w:qFormat/>
    <w:uiPriority w:val="39"/>
    <w:pPr>
      <w:widowControl/>
      <w:spacing w:after="100" w:line="276" w:lineRule="auto"/>
      <w:ind w:left="220"/>
      <w:jc w:val="left"/>
    </w:pPr>
    <w:rPr>
      <w:rFonts w:ascii="Calibri" w:hAnsi="Calibri" w:eastAsia="宋体" w:cs="Times New Roman"/>
      <w:kern w:val="0"/>
      <w:sz w:val="22"/>
    </w:rPr>
  </w:style>
  <w:style w:type="paragraph" w:styleId="12">
    <w:name w:val="Title"/>
    <w:basedOn w:val="1"/>
    <w:next w:val="1"/>
    <w:link w:val="19"/>
    <w:qFormat/>
    <w:uiPriority w:val="10"/>
    <w:pPr>
      <w:spacing w:before="240" w:after="60"/>
      <w:jc w:val="center"/>
      <w:outlineLvl w:val="0"/>
    </w:pPr>
    <w:rPr>
      <w:rFonts w:asciiTheme="majorHAnsi" w:hAnsiTheme="majorHAnsi" w:eastAsiaTheme="majorEastAsia" w:cstheme="majorBidi"/>
      <w:b/>
      <w:bCs/>
      <w:sz w:val="32"/>
      <w:szCs w:val="32"/>
    </w:rPr>
  </w:style>
  <w:style w:type="paragraph" w:styleId="13">
    <w:name w:val="Body Text First Indent 2"/>
    <w:basedOn w:val="5"/>
    <w:link w:val="32"/>
    <w:unhideWhenUsed/>
    <w:qFormat/>
    <w:uiPriority w:val="99"/>
    <w:pPr>
      <w:spacing w:after="0" w:line="360" w:lineRule="auto"/>
      <w:ind w:left="-2" w:leftChars="0" w:firstLine="420" w:firstLineChars="200"/>
    </w:pPr>
    <w:rPr>
      <w:rFonts w:ascii="Times New Roman" w:hAnsi="Times New Roman" w:eastAsia="宋体" w:cs="Times New Roman"/>
      <w:sz w:val="24"/>
      <w:szCs w:val="20"/>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000FF"/>
      <w:u w:val="single"/>
    </w:rPr>
  </w:style>
  <w:style w:type="character" w:customStyle="1" w:styleId="18">
    <w:name w:val="标题 1 字符"/>
    <w:basedOn w:val="16"/>
    <w:link w:val="2"/>
    <w:qFormat/>
    <w:uiPriority w:val="9"/>
    <w:rPr>
      <w:b/>
      <w:bCs/>
      <w:kern w:val="44"/>
      <w:sz w:val="44"/>
      <w:szCs w:val="44"/>
    </w:rPr>
  </w:style>
  <w:style w:type="character" w:customStyle="1" w:styleId="19">
    <w:name w:val="标题 字符"/>
    <w:basedOn w:val="16"/>
    <w:link w:val="12"/>
    <w:qFormat/>
    <w:uiPriority w:val="10"/>
    <w:rPr>
      <w:rFonts w:asciiTheme="majorHAnsi" w:hAnsiTheme="majorHAnsi" w:eastAsiaTheme="majorEastAsia" w:cstheme="majorBidi"/>
      <w:b/>
      <w:bCs/>
      <w:sz w:val="32"/>
      <w:szCs w:val="32"/>
    </w:rPr>
  </w:style>
  <w:style w:type="character" w:customStyle="1" w:styleId="20">
    <w:name w:val="页眉 字符"/>
    <w:basedOn w:val="16"/>
    <w:link w:val="10"/>
    <w:qFormat/>
    <w:uiPriority w:val="99"/>
    <w:rPr>
      <w:sz w:val="18"/>
      <w:szCs w:val="18"/>
    </w:rPr>
  </w:style>
  <w:style w:type="character" w:customStyle="1" w:styleId="21">
    <w:name w:val="页脚 字符"/>
    <w:basedOn w:val="16"/>
    <w:link w:val="9"/>
    <w:qFormat/>
    <w:uiPriority w:val="99"/>
    <w:rPr>
      <w:sz w:val="18"/>
      <w:szCs w:val="18"/>
    </w:rPr>
  </w:style>
  <w:style w:type="character" w:customStyle="1" w:styleId="22">
    <w:name w:val="日期 字符"/>
    <w:basedOn w:val="16"/>
    <w:link w:val="7"/>
    <w:semiHidden/>
    <w:qFormat/>
    <w:uiPriority w:val="99"/>
  </w:style>
  <w:style w:type="character" w:customStyle="1" w:styleId="23">
    <w:name w:val="标题 2 字符"/>
    <w:basedOn w:val="16"/>
    <w:link w:val="3"/>
    <w:semiHidden/>
    <w:qFormat/>
    <w:uiPriority w:val="9"/>
    <w:rPr>
      <w:rFonts w:asciiTheme="majorHAnsi" w:hAnsiTheme="majorHAnsi" w:eastAsiaTheme="majorEastAsia" w:cstheme="majorBidi"/>
      <w:b/>
      <w:bCs/>
      <w:sz w:val="32"/>
      <w:szCs w:val="32"/>
    </w:rPr>
  </w:style>
  <w:style w:type="character" w:customStyle="1" w:styleId="24">
    <w:name w:val="标题 3 字符"/>
    <w:basedOn w:val="16"/>
    <w:link w:val="4"/>
    <w:qFormat/>
    <w:uiPriority w:val="0"/>
    <w:rPr>
      <w:rFonts w:ascii="Times New Roman" w:hAnsi="Times New Roman" w:eastAsia="宋体" w:cs="Times New Roman"/>
      <w:b/>
      <w:bCs/>
      <w:sz w:val="32"/>
      <w:szCs w:val="32"/>
    </w:rPr>
  </w:style>
  <w:style w:type="paragraph" w:customStyle="1" w:styleId="25">
    <w:name w:val="Table Paragraph"/>
    <w:basedOn w:val="1"/>
    <w:qFormat/>
    <w:uiPriority w:val="1"/>
    <w:rPr>
      <w:rFonts w:ascii="宋体" w:hAnsi="宋体" w:eastAsia="宋体" w:cs="宋体"/>
      <w:szCs w:val="24"/>
      <w:lang w:eastAsia="en-US" w:bidi="en-US"/>
    </w:rPr>
  </w:style>
  <w:style w:type="paragraph" w:customStyle="1" w:styleId="26">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7">
    <w:name w:val="正文文本 31"/>
    <w:basedOn w:val="1"/>
    <w:qFormat/>
    <w:uiPriority w:val="0"/>
    <w:pPr>
      <w:adjustRightInd w:val="0"/>
      <w:spacing w:line="360" w:lineRule="auto"/>
      <w:jc w:val="center"/>
      <w:textAlignment w:val="baseline"/>
    </w:pPr>
    <w:rPr>
      <w:rFonts w:ascii="宋体" w:hAnsi="Times New Roman" w:eastAsia="宋体" w:cs="Times New Roman"/>
      <w:b/>
      <w:color w:val="FF0000"/>
      <w:kern w:val="0"/>
      <w:sz w:val="24"/>
      <w:szCs w:val="20"/>
      <w:u w:val="single"/>
    </w:rPr>
  </w:style>
  <w:style w:type="character" w:customStyle="1" w:styleId="28">
    <w:name w:val="批注框文本 字符"/>
    <w:basedOn w:val="16"/>
    <w:link w:val="8"/>
    <w:semiHidden/>
    <w:qFormat/>
    <w:uiPriority w:val="99"/>
    <w:rPr>
      <w:sz w:val="18"/>
      <w:szCs w:val="18"/>
    </w:rPr>
  </w:style>
  <w:style w:type="paragraph" w:customStyle="1" w:styleId="2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30">
    <w:name w:val="List Paragraph"/>
    <w:basedOn w:val="1"/>
    <w:qFormat/>
    <w:uiPriority w:val="34"/>
    <w:pPr>
      <w:ind w:firstLine="420" w:firstLineChars="200"/>
    </w:pPr>
  </w:style>
  <w:style w:type="character" w:customStyle="1" w:styleId="31">
    <w:name w:val="正文文本缩进 字符"/>
    <w:basedOn w:val="16"/>
    <w:link w:val="5"/>
    <w:semiHidden/>
    <w:qFormat/>
    <w:uiPriority w:val="99"/>
    <w:rPr>
      <w:kern w:val="2"/>
      <w:sz w:val="21"/>
      <w:szCs w:val="22"/>
    </w:rPr>
  </w:style>
  <w:style w:type="character" w:customStyle="1" w:styleId="32">
    <w:name w:val="正文文本首行缩进 2 字符"/>
    <w:basedOn w:val="31"/>
    <w:link w:val="13"/>
    <w:qFormat/>
    <w:uiPriority w:val="99"/>
    <w:rPr>
      <w:rFonts w:ascii="Times New Roman" w:hAnsi="Times New Roman" w:eastAsia="宋体" w:cs="Times New Roman"/>
      <w:kern w:val="2"/>
      <w:sz w:val="24"/>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1290A-3D3B-4687-A4C6-AD51E64C88BD}">
  <ds:schemaRefs/>
</ds:datastoreItem>
</file>

<file path=docProps/app.xml><?xml version="1.0" encoding="utf-8"?>
<Properties xmlns="http://schemas.openxmlformats.org/officeDocument/2006/extended-properties" xmlns:vt="http://schemas.openxmlformats.org/officeDocument/2006/docPropsVTypes">
  <Template>Normal</Template>
  <Pages>8</Pages>
  <Words>618</Words>
  <Characters>3529</Characters>
  <Lines>29</Lines>
  <Paragraphs>8</Paragraphs>
  <TotalTime>1</TotalTime>
  <ScaleCrop>false</ScaleCrop>
  <LinksUpToDate>false</LinksUpToDate>
  <CharactersWithSpaces>4139</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2025-09-26T09:09:00Z</dcterms:created>
  <dc:creator>朱凭跃</dc:creator>
  <cp:lastModifiedBy>王岑萱</cp:lastModifiedBy>
  <cp:lastPrinted>2025-02-18T08:38:00Z</cp:lastPrinted>
  <dcterms:modified xsi:type="dcterms:W3CDTF">2025-09-28T04:33:44Z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eyJoZGlkIjoiMDQ2YzY1NmYwZDQwMTgxNmM0OTU4MzgyYzk5NmNmOWIiLCJ1c2VySWQiOiI0MTc3NjMyMzQifQ==</vt:lpwstr>
  </property>
  <property fmtid="{D5CDD505-2E9C-101B-9397-08002B2CF9AE}" pid="3" name="KSOProductBuildVer">
    <vt:lpwstr>2052-11.8.6.11829</vt:lpwstr>
  </property>
  <property fmtid="{D5CDD505-2E9C-101B-9397-08002B2CF9AE}" pid="4" name="ICV">
    <vt:lpwstr>6D4B65E1C04D4D82A28A059FBE49F09A_12</vt:lpwstr>
  </property>
</Properties>
</file>