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28"/>
        </w:rPr>
      </w:pPr>
    </w:p>
    <w:p>
      <w:pPr>
        <w:jc w:val="center"/>
        <w:rPr>
          <w:rFonts w:ascii="宋体" w:hAnsi="宋体"/>
          <w:b/>
          <w:sz w:val="52"/>
          <w:szCs w:val="52"/>
        </w:rPr>
      </w:pPr>
    </w:p>
    <w:p>
      <w:pPr>
        <w:jc w:val="center"/>
        <w:rPr>
          <w:rFonts w:ascii="宋体" w:hAnsi="宋体"/>
          <w:b/>
          <w:sz w:val="52"/>
          <w:szCs w:val="52"/>
        </w:rPr>
      </w:pPr>
    </w:p>
    <w:p>
      <w:pPr>
        <w:jc w:val="center"/>
        <w:rPr>
          <w:rFonts w:ascii="宋体" w:hAnsi="宋体"/>
          <w:b/>
          <w:bCs/>
          <w:sz w:val="52"/>
          <w:szCs w:val="52"/>
        </w:rPr>
      </w:pPr>
      <w:r>
        <w:rPr>
          <w:rFonts w:hint="eastAsia" w:ascii="宋体" w:hAnsi="宋体"/>
          <w:b/>
          <w:bCs/>
          <w:sz w:val="52"/>
          <w:szCs w:val="52"/>
        </w:rPr>
        <w:t>2026-2027年污染物</w:t>
      </w:r>
      <w:r>
        <w:rPr>
          <w:rFonts w:ascii="宋体" w:hAnsi="宋体"/>
          <w:b/>
          <w:bCs/>
          <w:sz w:val="52"/>
          <w:szCs w:val="52"/>
        </w:rPr>
        <w:t>自行监测服务</w:t>
      </w:r>
    </w:p>
    <w:p>
      <w:pPr>
        <w:jc w:val="center"/>
        <w:rPr>
          <w:rFonts w:ascii="黑体" w:eastAsia="黑体"/>
          <w:b/>
          <w:sz w:val="52"/>
        </w:rPr>
      </w:pPr>
      <w:r>
        <w:rPr>
          <w:rFonts w:hint="eastAsia" w:ascii="宋体" w:hAnsi="宋体"/>
          <w:b/>
          <w:bCs/>
          <w:sz w:val="48"/>
          <w:szCs w:val="48"/>
        </w:rPr>
        <w:t>技术规范书</w:t>
      </w:r>
    </w:p>
    <w:p>
      <w:pPr>
        <w:jc w:val="center"/>
        <w:rPr>
          <w:rFonts w:ascii="黑体"/>
          <w:sz w:val="30"/>
        </w:rPr>
      </w:pPr>
    </w:p>
    <w:p>
      <w:pPr>
        <w:jc w:val="center"/>
        <w:rPr>
          <w:b/>
          <w:sz w:val="36"/>
        </w:rPr>
      </w:pPr>
    </w:p>
    <w:p>
      <w:pPr>
        <w:jc w:val="center"/>
        <w:rPr>
          <w:b/>
          <w:sz w:val="36"/>
        </w:rPr>
      </w:pPr>
    </w:p>
    <w:p>
      <w:pPr>
        <w:jc w:val="center"/>
        <w:rPr>
          <w:b/>
          <w:sz w:val="36"/>
        </w:rPr>
      </w:pPr>
    </w:p>
    <w:p>
      <w:pPr>
        <w:jc w:val="center"/>
        <w:rPr>
          <w:rFonts w:hint="eastAsia"/>
          <w:b/>
          <w:sz w:val="36"/>
        </w:rPr>
      </w:pPr>
    </w:p>
    <w:p>
      <w:pPr>
        <w:jc w:val="center"/>
        <w:rPr>
          <w:b/>
          <w:sz w:val="36"/>
        </w:rPr>
      </w:pPr>
    </w:p>
    <w:p>
      <w:pPr>
        <w:jc w:val="center"/>
        <w:rPr>
          <w:b/>
          <w:sz w:val="36"/>
        </w:rPr>
      </w:pPr>
    </w:p>
    <w:p>
      <w:pPr>
        <w:ind w:firstLine="2692" w:firstLineChars="745"/>
        <w:rPr>
          <w:rFonts w:hint="eastAsia"/>
          <w:b/>
          <w:sz w:val="36"/>
        </w:rPr>
      </w:pPr>
      <w:r>
        <w:rPr>
          <w:b/>
          <w:sz w:val="36"/>
        </w:rPr>
        <w:t>审核人：</w:t>
      </w:r>
    </w:p>
    <w:p>
      <w:pPr>
        <w:rPr>
          <w:rFonts w:asciiTheme="minorEastAsia" w:hAnsiTheme="minorEastAsia" w:eastAsiaTheme="minorEastAsia"/>
          <w:b/>
          <w:sz w:val="30"/>
          <w:szCs w:val="30"/>
        </w:rPr>
      </w:pPr>
    </w:p>
    <w:p>
      <w:pPr>
        <w:rPr>
          <w:rFonts w:hint="eastAsia" w:asciiTheme="minorEastAsia" w:hAnsiTheme="minorEastAsia" w:eastAsiaTheme="minorEastAsia"/>
          <w:b/>
          <w:sz w:val="30"/>
          <w:szCs w:val="30"/>
        </w:rPr>
      </w:pPr>
    </w:p>
    <w:p>
      <w:pPr>
        <w:rPr>
          <w:rFonts w:asciiTheme="minorEastAsia" w:hAnsiTheme="minorEastAsia" w:eastAsiaTheme="minorEastAsia"/>
          <w:b/>
          <w:sz w:val="30"/>
          <w:szCs w:val="30"/>
        </w:rPr>
      </w:pPr>
    </w:p>
    <w:p>
      <w:pPr>
        <w:ind w:firstLine="2692" w:firstLineChars="745"/>
        <w:jc w:val="left"/>
        <w:rPr>
          <w:b/>
          <w:sz w:val="36"/>
        </w:rPr>
      </w:pPr>
      <w:r>
        <w:rPr>
          <w:rFonts w:hint="eastAsia"/>
          <w:b/>
          <w:sz w:val="36"/>
        </w:rPr>
        <w:t>编制人：</w:t>
      </w: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sz w:val="28"/>
        </w:rPr>
      </w:pPr>
    </w:p>
    <w:p>
      <w:pPr>
        <w:rPr>
          <w:sz w:val="28"/>
        </w:rPr>
      </w:pPr>
    </w:p>
    <w:p>
      <w:pPr>
        <w:rPr>
          <w:sz w:val="28"/>
        </w:rPr>
      </w:pPr>
    </w:p>
    <w:p>
      <w:pPr>
        <w:rPr>
          <w:rFonts w:ascii="黑体" w:eastAsia="黑体"/>
          <w:b/>
          <w:sz w:val="36"/>
        </w:rPr>
      </w:pPr>
    </w:p>
    <w:p>
      <w:pPr>
        <w:rPr>
          <w:rFonts w:ascii="黑体" w:eastAsia="黑体"/>
          <w:b/>
          <w:sz w:val="36"/>
        </w:rPr>
      </w:pPr>
    </w:p>
    <w:p>
      <w:pPr>
        <w:spacing w:line="360" w:lineRule="auto"/>
        <w:jc w:val="right"/>
        <w:rPr>
          <w:rFonts w:ascii="黑体" w:hAnsi="黑体" w:eastAsia="黑体"/>
          <w:bCs/>
          <w:sz w:val="30"/>
        </w:rPr>
      </w:pPr>
    </w:p>
    <w:p>
      <w:pPr>
        <w:spacing w:line="360" w:lineRule="auto"/>
        <w:jc w:val="center"/>
        <w:rPr>
          <w:rFonts w:eastAsia="黑体"/>
          <w:b/>
          <w:sz w:val="44"/>
        </w:rPr>
      </w:pPr>
      <w:r>
        <w:rPr>
          <w:rFonts w:hint="eastAsia" w:eastAsia="黑体"/>
          <w:b/>
          <w:sz w:val="44"/>
        </w:rPr>
        <w:t>浙江温州特鲁莱发电有限责任公司</w:t>
      </w:r>
    </w:p>
    <w:p>
      <w:pPr>
        <w:spacing w:line="360" w:lineRule="auto"/>
        <w:jc w:val="center"/>
        <w:rPr>
          <w:rFonts w:eastAsia="黑体"/>
          <w:b/>
          <w:sz w:val="36"/>
          <w:szCs w:val="36"/>
        </w:rPr>
      </w:pPr>
      <w:r>
        <w:rPr>
          <w:rFonts w:hint="eastAsia" w:ascii="黑体" w:hAnsi="黑体" w:eastAsia="黑体"/>
          <w:b/>
          <w:bCs/>
          <w:sz w:val="36"/>
          <w:szCs w:val="36"/>
        </w:rPr>
        <w:t>2025年8月</w:t>
      </w:r>
    </w:p>
    <w:p>
      <w:pPr>
        <w:jc w:val="center"/>
        <w:rPr>
          <w:rFonts w:ascii="宋体" w:hAnsi="宋体"/>
          <w:b/>
          <w:sz w:val="36"/>
          <w:szCs w:val="36"/>
        </w:rPr>
        <w:sectPr>
          <w:footerReference r:id="rId3" w:type="default"/>
          <w:pgSz w:w="11906" w:h="16838"/>
          <w:pgMar w:top="1440" w:right="1800" w:bottom="1440" w:left="1800" w:header="851" w:footer="992" w:gutter="0"/>
          <w:pgNumType w:start="1"/>
          <w:cols w:space="720" w:num="1"/>
          <w:docGrid w:linePitch="360" w:charSpace="0"/>
        </w:sectPr>
      </w:pPr>
    </w:p>
    <w:p>
      <w:pPr>
        <w:pStyle w:val="2"/>
        <w:numPr>
          <w:ilvl w:val="3"/>
          <w:numId w:val="1"/>
        </w:numPr>
        <w:tabs>
          <w:tab w:val="left" w:pos="360"/>
        </w:tabs>
        <w:spacing w:after="0" w:line="360" w:lineRule="auto"/>
        <w:ind w:left="426"/>
        <w:rPr>
          <w:rFonts w:asciiTheme="minorEastAsia" w:hAnsiTheme="minorEastAsia" w:eastAsiaTheme="minorEastAsia"/>
          <w:sz w:val="21"/>
          <w:szCs w:val="21"/>
        </w:rPr>
      </w:pPr>
      <w:r>
        <w:rPr>
          <w:rFonts w:asciiTheme="minorEastAsia" w:hAnsiTheme="minorEastAsia" w:eastAsiaTheme="minorEastAsia"/>
          <w:sz w:val="21"/>
          <w:szCs w:val="21"/>
        </w:rPr>
        <w:t>总则</w:t>
      </w:r>
    </w:p>
    <w:p>
      <w:pPr>
        <w:pStyle w:val="15"/>
        <w:numPr>
          <w:ilvl w:val="0"/>
          <w:numId w:val="2"/>
        </w:numPr>
        <w:tabs>
          <w:tab w:val="left" w:pos="0"/>
          <w:tab w:val="clear" w:pos="420"/>
        </w:tabs>
        <w:spacing w:before="156" w:line="276" w:lineRule="auto"/>
        <w:ind w:firstLine="142"/>
        <w:rPr>
          <w:rFonts w:asciiTheme="minorEastAsia" w:hAnsiTheme="minorEastAsia" w:eastAsiaTheme="minorEastAsia"/>
          <w:sz w:val="21"/>
          <w:szCs w:val="21"/>
        </w:rPr>
      </w:pPr>
      <w:r>
        <w:rPr>
          <w:rFonts w:hint="eastAsia" w:asciiTheme="minorEastAsia" w:hAnsiTheme="minorEastAsia" w:eastAsiaTheme="minorEastAsia"/>
          <w:sz w:val="21"/>
          <w:szCs w:val="21"/>
        </w:rPr>
        <w:t>本技术规范适用于浙江温州特鲁莱发电有限责任公司2026-2027年</w:t>
      </w:r>
      <w:r>
        <w:rPr>
          <w:rFonts w:asciiTheme="minorEastAsia" w:hAnsiTheme="minorEastAsia" w:eastAsiaTheme="minorEastAsia"/>
          <w:sz w:val="21"/>
          <w:szCs w:val="21"/>
        </w:rPr>
        <w:t>自行监测服务</w:t>
      </w:r>
      <w:r>
        <w:rPr>
          <w:rFonts w:hint="eastAsia" w:asciiTheme="minorEastAsia" w:hAnsiTheme="minorEastAsia" w:eastAsiaTheme="minorEastAsia"/>
          <w:sz w:val="21"/>
          <w:szCs w:val="21"/>
        </w:rPr>
        <w:t>项目的投标报价，包括技术服务要求和验收要求。</w:t>
      </w:r>
    </w:p>
    <w:p>
      <w:pPr>
        <w:pStyle w:val="15"/>
        <w:numPr>
          <w:ilvl w:val="0"/>
          <w:numId w:val="2"/>
        </w:numPr>
        <w:tabs>
          <w:tab w:val="left" w:pos="0"/>
          <w:tab w:val="clear" w:pos="420"/>
        </w:tabs>
        <w:spacing w:before="156" w:line="276" w:lineRule="auto"/>
        <w:ind w:firstLine="142"/>
        <w:rPr>
          <w:rFonts w:asciiTheme="minorEastAsia" w:hAnsiTheme="minorEastAsia" w:eastAsiaTheme="minorEastAsia"/>
          <w:sz w:val="21"/>
          <w:szCs w:val="21"/>
        </w:rPr>
      </w:pPr>
      <w:r>
        <w:rPr>
          <w:rFonts w:hint="eastAsia" w:asciiTheme="minorEastAsia" w:hAnsiTheme="minorEastAsia" w:eastAsiaTheme="minorEastAsia"/>
          <w:sz w:val="21"/>
          <w:szCs w:val="21"/>
        </w:rPr>
        <w:t>本技术规范提出的是最低限度的技术要求，并未对一切技术细节做出规定，也未充分引述有关标准和规范条文，投标方提供的检测技术、服务产品等必须符合本技术规范书和国家最新有关文件及技术标准要求。凡本技术规范中未规定，但在相关国家标准、电力行业标准中有规定的规范条文，投标方应按相应标准的条文进行服务供应说明。</w:t>
      </w:r>
    </w:p>
    <w:p>
      <w:pPr>
        <w:pStyle w:val="15"/>
        <w:numPr>
          <w:ilvl w:val="0"/>
          <w:numId w:val="2"/>
        </w:numPr>
        <w:tabs>
          <w:tab w:val="left" w:pos="0"/>
          <w:tab w:val="clear" w:pos="420"/>
        </w:tabs>
        <w:spacing w:before="156" w:line="276" w:lineRule="auto"/>
        <w:ind w:firstLine="142"/>
        <w:rPr>
          <w:rFonts w:asciiTheme="minorEastAsia" w:hAnsiTheme="minorEastAsia" w:eastAsiaTheme="minorEastAsia"/>
          <w:sz w:val="21"/>
          <w:szCs w:val="21"/>
        </w:rPr>
      </w:pPr>
      <w:r>
        <w:rPr>
          <w:rFonts w:hint="eastAsia" w:asciiTheme="minorEastAsia" w:hAnsiTheme="minorEastAsia" w:eastAsiaTheme="minorEastAsia"/>
          <w:sz w:val="21"/>
          <w:szCs w:val="21"/>
        </w:rPr>
        <w:t>本技术规范所使用的标准若与投标方所执行的标准发生矛盾时，应按较严格的标准执行。</w:t>
      </w:r>
    </w:p>
    <w:p>
      <w:pPr>
        <w:pStyle w:val="15"/>
        <w:numPr>
          <w:ilvl w:val="0"/>
          <w:numId w:val="2"/>
        </w:numPr>
        <w:tabs>
          <w:tab w:val="left" w:pos="0"/>
          <w:tab w:val="clear" w:pos="420"/>
        </w:tabs>
        <w:spacing w:before="156" w:line="276" w:lineRule="auto"/>
        <w:ind w:firstLine="142"/>
        <w:rPr>
          <w:rFonts w:asciiTheme="minorEastAsia" w:hAnsiTheme="minorEastAsia" w:eastAsiaTheme="minorEastAsia"/>
          <w:sz w:val="21"/>
          <w:szCs w:val="21"/>
        </w:rPr>
      </w:pPr>
      <w:r>
        <w:rPr>
          <w:rFonts w:hint="eastAsia" w:asciiTheme="minorEastAsia" w:hAnsiTheme="minorEastAsia" w:eastAsiaTheme="minorEastAsia"/>
          <w:sz w:val="21"/>
          <w:szCs w:val="21"/>
        </w:rPr>
        <w:t>如果投标方没有以书面形式对本技术规范的条文提出异议，则招标方认为投标方提供的服务完全符合本技术规范</w:t>
      </w:r>
      <w:bookmarkStart w:id="0" w:name="_GoBack"/>
      <w:bookmarkEnd w:id="0"/>
      <w:r>
        <w:rPr>
          <w:rFonts w:hint="eastAsia" w:asciiTheme="minorEastAsia" w:hAnsiTheme="minorEastAsia" w:eastAsiaTheme="minorEastAsia"/>
          <w:sz w:val="21"/>
          <w:szCs w:val="21"/>
        </w:rPr>
        <w:t>。如有异议，应在投标书中加以详细描述。</w:t>
      </w:r>
    </w:p>
    <w:p>
      <w:pPr>
        <w:pStyle w:val="15"/>
        <w:numPr>
          <w:ilvl w:val="0"/>
          <w:numId w:val="2"/>
        </w:numPr>
        <w:tabs>
          <w:tab w:val="left" w:pos="0"/>
          <w:tab w:val="clear" w:pos="420"/>
        </w:tabs>
        <w:spacing w:before="156" w:line="276" w:lineRule="auto"/>
        <w:ind w:firstLine="142"/>
        <w:rPr>
          <w:rFonts w:asciiTheme="minorEastAsia" w:hAnsiTheme="minorEastAsia" w:eastAsiaTheme="minorEastAsia"/>
          <w:sz w:val="21"/>
          <w:szCs w:val="21"/>
        </w:rPr>
      </w:pPr>
      <w:r>
        <w:rPr>
          <w:rFonts w:hint="eastAsia" w:asciiTheme="minorEastAsia" w:hAnsiTheme="minorEastAsia" w:eastAsiaTheme="minorEastAsia"/>
          <w:sz w:val="21"/>
          <w:szCs w:val="21"/>
        </w:rPr>
        <w:t>投标方应完全保证所供服务的可靠性、安全性、实施方案包括应急处理等的完整性，投标方在服务时保证不影响公司的安全生产。招标方对于投标方的实施方案的确认，并不代表招标方将为此方案的完整性和技术性能承担责任。</w:t>
      </w:r>
    </w:p>
    <w:p>
      <w:pPr>
        <w:pStyle w:val="15"/>
        <w:numPr>
          <w:ilvl w:val="0"/>
          <w:numId w:val="2"/>
        </w:numPr>
        <w:tabs>
          <w:tab w:val="left" w:pos="0"/>
          <w:tab w:val="clear" w:pos="420"/>
        </w:tabs>
        <w:spacing w:before="156" w:line="276" w:lineRule="auto"/>
        <w:ind w:firstLine="142"/>
        <w:rPr>
          <w:rFonts w:asciiTheme="minorEastAsia" w:hAnsiTheme="minorEastAsia" w:eastAsiaTheme="minorEastAsia"/>
          <w:sz w:val="21"/>
          <w:szCs w:val="21"/>
        </w:rPr>
      </w:pPr>
      <w:r>
        <w:rPr>
          <w:rFonts w:hint="eastAsia" w:asciiTheme="minorEastAsia" w:hAnsiTheme="minorEastAsia" w:eastAsiaTheme="minorEastAsia"/>
          <w:sz w:val="21"/>
          <w:szCs w:val="21"/>
        </w:rPr>
        <w:t>无论是否经过招标方确认，在服务验收后，所提供的方案和报告都需符合政府监管部门的要求，如有差错和优化，投标方都无条件修改优化，而不增加任何费用。</w:t>
      </w:r>
    </w:p>
    <w:p>
      <w:pPr>
        <w:pStyle w:val="15"/>
        <w:numPr>
          <w:ilvl w:val="0"/>
          <w:numId w:val="2"/>
        </w:numPr>
        <w:tabs>
          <w:tab w:val="left" w:pos="0"/>
          <w:tab w:val="clear" w:pos="420"/>
        </w:tabs>
        <w:spacing w:before="156" w:line="276" w:lineRule="auto"/>
        <w:ind w:firstLine="142"/>
        <w:rPr>
          <w:rFonts w:asciiTheme="minorEastAsia" w:hAnsiTheme="minorEastAsia" w:eastAsiaTheme="minorEastAsia"/>
          <w:sz w:val="21"/>
          <w:szCs w:val="21"/>
        </w:rPr>
      </w:pPr>
      <w:r>
        <w:rPr>
          <w:rFonts w:hint="eastAsia" w:asciiTheme="minorEastAsia" w:hAnsiTheme="minorEastAsia" w:eastAsiaTheme="minorEastAsia"/>
          <w:sz w:val="21"/>
          <w:szCs w:val="21"/>
        </w:rPr>
        <w:t>合同签订前后，投标方应按照招标方的时间、内容、进度要求提供其所需的实施方案资料，并按实际进度和公司电力安全生产的要求随时修正。投标方提供资料的时间和进度是否满足工程的需要将作为罚款的考核条件之一。</w:t>
      </w:r>
    </w:p>
    <w:p>
      <w:pPr>
        <w:pStyle w:val="15"/>
        <w:numPr>
          <w:ilvl w:val="0"/>
          <w:numId w:val="2"/>
        </w:numPr>
        <w:tabs>
          <w:tab w:val="left" w:pos="0"/>
          <w:tab w:val="clear" w:pos="420"/>
        </w:tabs>
        <w:spacing w:before="156" w:line="276" w:lineRule="auto"/>
        <w:ind w:firstLine="142"/>
        <w:rPr>
          <w:rFonts w:asciiTheme="minorEastAsia" w:hAnsiTheme="minorEastAsia" w:eastAsiaTheme="minorEastAsia"/>
          <w:sz w:val="21"/>
          <w:szCs w:val="21"/>
        </w:rPr>
      </w:pPr>
      <w:r>
        <w:rPr>
          <w:rFonts w:hint="eastAsia" w:asciiTheme="minorEastAsia" w:hAnsiTheme="minorEastAsia" w:eastAsiaTheme="minorEastAsia"/>
          <w:sz w:val="21"/>
          <w:szCs w:val="21"/>
        </w:rPr>
        <w:t>投标方应仔细阅读本技术规范所列的各项规范，所提供服务应满足本技术规范提出的要求。投标方也可以推荐满足本技术规范的其他方案，但必须对其在技术规范方面与本技术规范之间所存在的差异加以详细说明。若无说明，则按对投标方不利的方面理解。</w:t>
      </w:r>
    </w:p>
    <w:p>
      <w:pPr>
        <w:pStyle w:val="15"/>
        <w:numPr>
          <w:ilvl w:val="0"/>
          <w:numId w:val="2"/>
        </w:numPr>
        <w:tabs>
          <w:tab w:val="left" w:pos="0"/>
          <w:tab w:val="clear" w:pos="420"/>
        </w:tabs>
        <w:spacing w:before="156" w:line="276" w:lineRule="auto"/>
        <w:ind w:firstLine="142"/>
        <w:rPr>
          <w:rFonts w:asciiTheme="minorEastAsia" w:hAnsiTheme="minorEastAsia" w:eastAsiaTheme="minorEastAsia"/>
          <w:sz w:val="21"/>
          <w:szCs w:val="21"/>
        </w:rPr>
      </w:pPr>
      <w:r>
        <w:rPr>
          <w:rFonts w:hint="eastAsia" w:asciiTheme="minorEastAsia" w:hAnsiTheme="minorEastAsia" w:eastAsiaTheme="minorEastAsia"/>
          <w:sz w:val="21"/>
          <w:szCs w:val="21"/>
        </w:rPr>
        <w:t>本技术规范经招标、投标双方确认后作为合同的技术附件，与合同正文具有同等的法律效力。</w:t>
      </w:r>
    </w:p>
    <w:p>
      <w:pPr>
        <w:pStyle w:val="2"/>
        <w:numPr>
          <w:ilvl w:val="3"/>
          <w:numId w:val="1"/>
        </w:numPr>
        <w:tabs>
          <w:tab w:val="left" w:pos="360"/>
        </w:tabs>
        <w:spacing w:before="0" w:after="0" w:line="360" w:lineRule="auto"/>
        <w:ind w:left="426"/>
        <w:rPr>
          <w:rFonts w:asciiTheme="minorEastAsia" w:hAnsiTheme="minorEastAsia" w:eastAsiaTheme="minorEastAsia"/>
          <w:sz w:val="21"/>
          <w:szCs w:val="21"/>
        </w:rPr>
      </w:pPr>
      <w:r>
        <w:rPr>
          <w:rFonts w:hint="eastAsia" w:asciiTheme="minorEastAsia" w:hAnsiTheme="minorEastAsia" w:eastAsiaTheme="minorEastAsia"/>
          <w:sz w:val="21"/>
          <w:szCs w:val="21"/>
        </w:rPr>
        <w:t>工程条件</w:t>
      </w:r>
    </w:p>
    <w:p>
      <w:pPr>
        <w:pBdr>
          <w:top w:val="none" w:color="000000" w:sz="0" w:space="0"/>
          <w:left w:val="none" w:color="000000" w:sz="0" w:space="0"/>
          <w:bottom w:val="none" w:color="000000" w:sz="0" w:space="0"/>
          <w:right w:val="none" w:color="000000" w:sz="0" w:space="0"/>
        </w:pBdr>
        <w:spacing w:before="156" w:line="276" w:lineRule="auto"/>
        <w:ind w:firstLine="454"/>
        <w:rPr>
          <w:rFonts w:asciiTheme="minorEastAsia" w:hAnsiTheme="minorEastAsia" w:eastAsiaTheme="minorEastAsia"/>
          <w:szCs w:val="21"/>
        </w:rPr>
      </w:pPr>
      <w:r>
        <w:rPr>
          <w:rFonts w:hint="eastAsia" w:asciiTheme="minorEastAsia" w:hAnsiTheme="minorEastAsia" w:eastAsiaTheme="minorEastAsia"/>
          <w:szCs w:val="21"/>
        </w:rPr>
        <w:t>浙江温州特鲁莱发电有限责任公司（以下简称“特鲁莱公司”）位于温州市乐清磐石镇，</w:t>
      </w:r>
      <w:r>
        <w:rPr>
          <w:rFonts w:hint="eastAsia" w:asciiTheme="minorEastAsia" w:hAnsiTheme="minorEastAsia" w:eastAsiaTheme="minorEastAsia"/>
          <w:bCs/>
          <w:szCs w:val="21"/>
        </w:rPr>
        <w:t>东经120°50'，北纬28°，</w:t>
      </w:r>
      <w:r>
        <w:rPr>
          <w:rFonts w:hint="eastAsia" w:asciiTheme="minorEastAsia" w:hAnsiTheme="minorEastAsia" w:eastAsiaTheme="minorEastAsia"/>
          <w:szCs w:val="21"/>
        </w:rPr>
        <w:t>厂址东侧为东横河村和西横河村，南侧为瓯江口，西侧为磐东村、磐西村。</w:t>
      </w:r>
    </w:p>
    <w:p>
      <w:pPr>
        <w:pBdr>
          <w:top w:val="none" w:color="000000" w:sz="0" w:space="0"/>
          <w:left w:val="none" w:color="000000" w:sz="0" w:space="0"/>
          <w:bottom w:val="none" w:color="000000" w:sz="0" w:space="0"/>
          <w:right w:val="none" w:color="000000" w:sz="0" w:space="0"/>
        </w:pBdr>
        <w:spacing w:before="156" w:line="276" w:lineRule="auto"/>
        <w:ind w:firstLine="454"/>
        <w:rPr>
          <w:rFonts w:asciiTheme="minorEastAsia" w:hAnsiTheme="minorEastAsia" w:eastAsiaTheme="minorEastAsia"/>
          <w:szCs w:val="21"/>
        </w:rPr>
      </w:pPr>
      <w:r>
        <w:rPr>
          <w:rFonts w:hint="eastAsia" w:asciiTheme="minorEastAsia" w:hAnsiTheme="minorEastAsia" w:eastAsiaTheme="minorEastAsia"/>
          <w:szCs w:val="21"/>
        </w:rPr>
        <w:t>特鲁莱公司</w:t>
      </w:r>
      <w:r>
        <w:rPr>
          <w:rFonts w:asciiTheme="minorEastAsia" w:hAnsiTheme="minorEastAsia" w:eastAsiaTheme="minorEastAsia"/>
          <w:bCs/>
          <w:szCs w:val="21"/>
        </w:rPr>
        <w:t>目前企业</w:t>
      </w:r>
      <w:r>
        <w:rPr>
          <w:rFonts w:hint="eastAsia" w:asciiTheme="minorEastAsia" w:hAnsiTheme="minorEastAsia" w:eastAsiaTheme="minorEastAsia"/>
          <w:bCs/>
          <w:szCs w:val="21"/>
        </w:rPr>
        <w:t>装机660MW，包括二期2×330MW。</w:t>
      </w:r>
      <w:r>
        <w:rPr>
          <w:rFonts w:hint="eastAsia" w:asciiTheme="minorEastAsia" w:hAnsiTheme="minorEastAsia" w:eastAsiaTheme="minorEastAsia"/>
          <w:szCs w:val="21"/>
        </w:rPr>
        <w:t>两台机组均安装有脱硫、脱硝、除尘系统，脱硫系统采用石灰石湿法技术，脱硝采用低氮燃烧+SCR技术，还原剂为尿素，除尘系统采用高效静电除尘技术；与温电公司共用两个总贮煤量为18万吨封闭煤场。</w:t>
      </w:r>
    </w:p>
    <w:p>
      <w:pPr>
        <w:spacing w:before="156" w:line="276" w:lineRule="auto"/>
        <w:rPr>
          <w:rFonts w:asciiTheme="minorEastAsia" w:hAnsiTheme="minorEastAsia" w:eastAsiaTheme="minorEastAsia"/>
          <w:szCs w:val="21"/>
        </w:rPr>
      </w:pPr>
    </w:p>
    <w:p>
      <w:pPr>
        <w:pStyle w:val="2"/>
        <w:numPr>
          <w:ilvl w:val="3"/>
          <w:numId w:val="1"/>
        </w:numPr>
        <w:tabs>
          <w:tab w:val="left" w:pos="360"/>
        </w:tabs>
        <w:spacing w:before="0" w:after="0" w:line="360" w:lineRule="auto"/>
        <w:ind w:left="426"/>
        <w:rPr>
          <w:rFonts w:asciiTheme="minorEastAsia" w:hAnsiTheme="minorEastAsia" w:eastAsiaTheme="minorEastAsia"/>
          <w:sz w:val="21"/>
          <w:szCs w:val="21"/>
        </w:rPr>
      </w:pPr>
      <w:r>
        <w:rPr>
          <w:rFonts w:asciiTheme="minorEastAsia" w:hAnsiTheme="minorEastAsia" w:eastAsiaTheme="minorEastAsia"/>
          <w:sz w:val="21"/>
          <w:szCs w:val="21"/>
        </w:rPr>
        <w:t>工作范围及依据</w:t>
      </w:r>
    </w:p>
    <w:p>
      <w:pPr>
        <w:tabs>
          <w:tab w:val="left" w:pos="1140"/>
        </w:tabs>
        <w:spacing w:before="156" w:line="300" w:lineRule="auto"/>
        <w:rPr>
          <w:rFonts w:asciiTheme="minorEastAsia" w:hAnsiTheme="minorEastAsia" w:eastAsiaTheme="minorEastAsia"/>
          <w:spacing w:val="10"/>
          <w:szCs w:val="21"/>
        </w:rPr>
      </w:pPr>
      <w:r>
        <w:rPr>
          <w:rFonts w:hint="eastAsia" w:asciiTheme="minorEastAsia" w:hAnsiTheme="minorEastAsia" w:eastAsiaTheme="minorEastAsia"/>
          <w:spacing w:val="10"/>
          <w:szCs w:val="21"/>
        </w:rPr>
        <w:t>3.1工作范围</w:t>
      </w:r>
    </w:p>
    <w:p>
      <w:pPr>
        <w:pBdr>
          <w:top w:val="none" w:color="000000" w:sz="0" w:space="0"/>
          <w:left w:val="none" w:color="000000" w:sz="0" w:space="0"/>
          <w:bottom w:val="none" w:color="000000" w:sz="0" w:space="0"/>
          <w:right w:val="none" w:color="000000" w:sz="0" w:space="0"/>
        </w:pBdr>
        <w:spacing w:line="65" w:lineRule="atLeast"/>
        <w:ind w:firstLine="460"/>
        <w:rPr>
          <w:rFonts w:cs="宋体" w:asciiTheme="minorEastAsia" w:hAnsiTheme="minorEastAsia" w:eastAsiaTheme="minorEastAsia"/>
          <w:color w:val="000000"/>
          <w:spacing w:val="10"/>
          <w:szCs w:val="21"/>
        </w:rPr>
      </w:pPr>
      <w:r>
        <w:rPr>
          <w:rFonts w:cs="宋体" w:asciiTheme="minorEastAsia" w:hAnsiTheme="minorEastAsia" w:eastAsiaTheme="minorEastAsia"/>
          <w:color w:val="000000"/>
          <w:spacing w:val="10"/>
          <w:szCs w:val="21"/>
        </w:rPr>
        <w:t>按照相关法律法规和技术规范要求，对特鲁莱公司开展2026-2027年自行监测服务，每季度对特鲁莱公司#3、#4炉的烟气参数、烟气含氧量、烟气林格曼黑度、烟气汞、氨逃溢等进行检测；每季度对特鲁莱公司气象参数、厂界四周4个点位的无组织颗粒物、煤场外</w:t>
      </w:r>
      <w:r>
        <w:rPr>
          <w:rFonts w:hint="eastAsia" w:cs="宋体" w:asciiTheme="minorEastAsia" w:hAnsiTheme="minorEastAsia" w:eastAsiaTheme="minorEastAsia"/>
          <w:color w:val="000000"/>
          <w:spacing w:val="10"/>
          <w:szCs w:val="21"/>
        </w:rPr>
        <w:t>2</w:t>
      </w:r>
      <w:r>
        <w:rPr>
          <w:rFonts w:cs="宋体" w:asciiTheme="minorEastAsia" w:hAnsiTheme="minorEastAsia" w:eastAsiaTheme="minorEastAsia"/>
          <w:color w:val="000000"/>
          <w:spacing w:val="10"/>
          <w:szCs w:val="21"/>
        </w:rPr>
        <w:t>个点位的无组织颗粒物、储油罐周边及厂界</w:t>
      </w:r>
      <w:r>
        <w:rPr>
          <w:rFonts w:hint="eastAsia" w:cs="宋体" w:asciiTheme="minorEastAsia" w:hAnsiTheme="minorEastAsia" w:eastAsiaTheme="minorEastAsia"/>
          <w:color w:val="000000"/>
          <w:spacing w:val="10"/>
          <w:szCs w:val="21"/>
        </w:rPr>
        <w:t>4个点</w:t>
      </w:r>
      <w:r>
        <w:rPr>
          <w:rFonts w:cs="宋体" w:asciiTheme="minorEastAsia" w:hAnsiTheme="minorEastAsia" w:eastAsiaTheme="minorEastAsia"/>
          <w:color w:val="000000"/>
          <w:spacing w:val="10"/>
          <w:szCs w:val="21"/>
        </w:rPr>
        <w:t>非甲烷总烃、厂界四周共</w:t>
      </w:r>
      <w:r>
        <w:rPr>
          <w:rFonts w:hint="eastAsia" w:cs="宋体" w:asciiTheme="minorEastAsia" w:hAnsiTheme="minorEastAsia" w:eastAsiaTheme="minorEastAsia"/>
          <w:color w:val="000000"/>
          <w:spacing w:val="10"/>
          <w:szCs w:val="21"/>
        </w:rPr>
        <w:t>7</w:t>
      </w:r>
      <w:r>
        <w:rPr>
          <w:rFonts w:cs="宋体" w:asciiTheme="minorEastAsia" w:hAnsiTheme="minorEastAsia" w:eastAsiaTheme="minorEastAsia"/>
          <w:color w:val="000000"/>
          <w:spacing w:val="10"/>
          <w:szCs w:val="21"/>
        </w:rPr>
        <w:t>个点位的噪声开展检测；每季度出具监测报告。</w:t>
      </w:r>
    </w:p>
    <w:p>
      <w:pPr>
        <w:pBdr>
          <w:top w:val="none" w:color="000000" w:sz="0" w:space="0"/>
          <w:left w:val="none" w:color="000000" w:sz="0" w:space="0"/>
          <w:bottom w:val="none" w:color="000000" w:sz="0" w:space="0"/>
          <w:right w:val="none" w:color="000000" w:sz="0" w:space="0"/>
        </w:pBdr>
        <w:spacing w:line="65" w:lineRule="atLeast"/>
        <w:ind w:firstLine="460"/>
        <w:jc w:val="center"/>
        <w:rPr>
          <w:rFonts w:cs="宋体" w:asciiTheme="minorEastAsia" w:hAnsiTheme="minorEastAsia" w:eastAsiaTheme="minorEastAsia"/>
          <w:color w:val="000000"/>
          <w:spacing w:val="10"/>
          <w:szCs w:val="21"/>
        </w:rPr>
      </w:pPr>
    </w:p>
    <w:p>
      <w:pPr>
        <w:pBdr>
          <w:top w:val="none" w:color="000000" w:sz="0" w:space="0"/>
          <w:left w:val="none" w:color="000000" w:sz="0" w:space="0"/>
          <w:bottom w:val="none" w:color="000000" w:sz="0" w:space="0"/>
          <w:right w:val="none" w:color="000000" w:sz="0" w:space="0"/>
        </w:pBdr>
        <w:spacing w:line="65" w:lineRule="atLeast"/>
        <w:ind w:firstLine="460"/>
        <w:jc w:val="center"/>
        <w:rPr>
          <w:rFonts w:asciiTheme="minorEastAsia" w:hAnsiTheme="minorEastAsia" w:eastAsiaTheme="minorEastAsia"/>
          <w:szCs w:val="21"/>
        </w:rPr>
      </w:pPr>
      <w:r>
        <w:rPr>
          <w:rFonts w:cs="宋体" w:asciiTheme="minorEastAsia" w:hAnsiTheme="minorEastAsia" w:eastAsiaTheme="minorEastAsia"/>
          <w:color w:val="000000"/>
          <w:spacing w:val="10"/>
          <w:szCs w:val="21"/>
        </w:rPr>
        <w:t>表1 自行监测点位、频次和分析方法列表</w:t>
      </w:r>
    </w:p>
    <w:tbl>
      <w:tblPr>
        <w:tblStyle w:val="8"/>
        <w:tblW w:w="8831" w:type="dxa"/>
        <w:tblInd w:w="0"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CellMar>
          <w:top w:w="0" w:type="dxa"/>
          <w:left w:w="108" w:type="dxa"/>
          <w:bottom w:w="0" w:type="dxa"/>
          <w:right w:w="108" w:type="dxa"/>
        </w:tblCellMar>
      </w:tblPr>
      <w:tblGrid>
        <w:gridCol w:w="567"/>
        <w:gridCol w:w="567"/>
        <w:gridCol w:w="1034"/>
        <w:gridCol w:w="1134"/>
        <w:gridCol w:w="1417"/>
        <w:gridCol w:w="2505"/>
        <w:gridCol w:w="1607"/>
      </w:tblGrid>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c>
          <w:tcPr>
            <w:tcW w:w="567"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序号</w:t>
            </w:r>
          </w:p>
        </w:tc>
        <w:tc>
          <w:tcPr>
            <w:tcW w:w="567" w:type="dxa"/>
            <w:tcBorders>
              <w:top w:val="single" w:color="000000" w:sz="8" w:space="0"/>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类型</w:t>
            </w:r>
          </w:p>
        </w:tc>
        <w:tc>
          <w:tcPr>
            <w:tcW w:w="1034" w:type="dxa"/>
            <w:tcBorders>
              <w:top w:val="single" w:color="000000" w:sz="8" w:space="0"/>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监测点位</w:t>
            </w:r>
          </w:p>
        </w:tc>
        <w:tc>
          <w:tcPr>
            <w:tcW w:w="1134" w:type="dxa"/>
            <w:tcBorders>
              <w:top w:val="single" w:color="000000" w:sz="8" w:space="0"/>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断面(点位)数</w:t>
            </w:r>
          </w:p>
        </w:tc>
        <w:tc>
          <w:tcPr>
            <w:tcW w:w="1417" w:type="dxa"/>
            <w:tcBorders>
              <w:top w:val="single" w:color="000000" w:sz="8" w:space="0"/>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监测因子</w:t>
            </w:r>
          </w:p>
        </w:tc>
        <w:tc>
          <w:tcPr>
            <w:tcW w:w="2505" w:type="dxa"/>
            <w:tcBorders>
              <w:top w:val="single" w:color="000000" w:sz="8" w:space="0"/>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分析方法</w:t>
            </w:r>
          </w:p>
        </w:tc>
        <w:tc>
          <w:tcPr>
            <w:tcW w:w="1607" w:type="dxa"/>
            <w:tcBorders>
              <w:top w:val="single" w:color="000000" w:sz="8" w:space="0"/>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监测频次</w:t>
            </w: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rPr>
          <w:trHeight w:val="1143" w:hRule="atLeast"/>
        </w:trPr>
        <w:tc>
          <w:tcPr>
            <w:tcW w:w="567"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1</w:t>
            </w:r>
          </w:p>
        </w:tc>
        <w:tc>
          <w:tcPr>
            <w:tcW w:w="567" w:type="dxa"/>
            <w:vMerge w:val="restart"/>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有组织废气</w:t>
            </w:r>
          </w:p>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 </w:t>
            </w:r>
          </w:p>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 </w:t>
            </w:r>
          </w:p>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 </w:t>
            </w:r>
          </w:p>
        </w:tc>
        <w:tc>
          <w:tcPr>
            <w:tcW w:w="1034" w:type="dxa"/>
            <w:vMerge w:val="restart"/>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#3、#4炉每台炉总排口烟道</w:t>
            </w:r>
          </w:p>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 </w:t>
            </w:r>
          </w:p>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 </w:t>
            </w:r>
          </w:p>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 </w:t>
            </w:r>
          </w:p>
        </w:tc>
        <w:tc>
          <w:tcPr>
            <w:tcW w:w="11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hint="eastAsia" w:cs="宋体" w:asciiTheme="minorEastAsia" w:hAnsiTheme="minorEastAsia" w:eastAsiaTheme="minorEastAsia"/>
                <w:color w:val="000000"/>
                <w:spacing w:val="10"/>
                <w:sz w:val="21"/>
                <w:szCs w:val="21"/>
              </w:rPr>
              <w:t>2</w:t>
            </w:r>
          </w:p>
        </w:tc>
        <w:tc>
          <w:tcPr>
            <w:tcW w:w="1417"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烟气中汞及其化合物</w:t>
            </w:r>
          </w:p>
        </w:tc>
        <w:tc>
          <w:tcPr>
            <w:tcW w:w="2505"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《固定污染源废气 汞的测定冷原子吸收分光光度法（暂行）》HJ 543-2009</w:t>
            </w:r>
          </w:p>
        </w:tc>
        <w:tc>
          <w:tcPr>
            <w:tcW w:w="1607" w:type="dxa"/>
            <w:vMerge w:val="restart"/>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每季度一次</w:t>
            </w: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rPr>
          <w:trHeight w:val="1347" w:hRule="atLeast"/>
        </w:trPr>
        <w:tc>
          <w:tcPr>
            <w:tcW w:w="567"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2</w:t>
            </w:r>
          </w:p>
        </w:tc>
        <w:tc>
          <w:tcPr>
            <w:tcW w:w="567" w:type="dxa"/>
            <w:vMerge w:val="continue"/>
            <w:tcBorders>
              <w:top w:val="nil"/>
              <w:left w:val="nil"/>
              <w:bottom w:val="single" w:color="000000" w:sz="8" w:space="0"/>
              <w:right w:val="single" w:color="000000" w:sz="8" w:space="0"/>
            </w:tcBorders>
            <w:tcMar>
              <w:top w:w="0" w:type="dxa"/>
              <w:left w:w="108" w:type="dxa"/>
              <w:bottom w:w="0" w:type="dxa"/>
              <w:right w:w="108" w:type="dxa"/>
            </w:tcMar>
            <w:vAlign w:val="center"/>
          </w:tcPr>
          <w:p>
            <w:pPr>
              <w:rPr>
                <w:rFonts w:asciiTheme="minorEastAsia" w:hAnsiTheme="minorEastAsia" w:eastAsiaTheme="minorEastAsia"/>
                <w:sz w:val="21"/>
                <w:szCs w:val="21"/>
              </w:rPr>
            </w:pPr>
          </w:p>
        </w:tc>
        <w:tc>
          <w:tcPr>
            <w:tcW w:w="1034" w:type="dxa"/>
            <w:vMerge w:val="continue"/>
            <w:tcBorders>
              <w:top w:val="nil"/>
              <w:left w:val="nil"/>
              <w:bottom w:val="single" w:color="000000" w:sz="8" w:space="0"/>
              <w:right w:val="single" w:color="000000" w:sz="8" w:space="0"/>
            </w:tcBorders>
            <w:tcMar>
              <w:top w:w="0" w:type="dxa"/>
              <w:left w:w="108" w:type="dxa"/>
              <w:bottom w:w="0" w:type="dxa"/>
              <w:right w:w="108" w:type="dxa"/>
            </w:tcMar>
          </w:tcPr>
          <w:p>
            <w:pPr>
              <w:rPr>
                <w:rFonts w:asciiTheme="minorEastAsia" w:hAnsiTheme="minorEastAsia" w:eastAsiaTheme="minorEastAsia"/>
                <w:sz w:val="21"/>
                <w:szCs w:val="21"/>
              </w:rPr>
            </w:pPr>
          </w:p>
        </w:tc>
        <w:tc>
          <w:tcPr>
            <w:tcW w:w="11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hint="eastAsia" w:cs="宋体" w:asciiTheme="minorEastAsia" w:hAnsiTheme="minorEastAsia" w:eastAsiaTheme="minorEastAsia"/>
                <w:color w:val="000000"/>
                <w:spacing w:val="10"/>
                <w:sz w:val="21"/>
                <w:szCs w:val="21"/>
              </w:rPr>
              <w:t>2</w:t>
            </w:r>
          </w:p>
        </w:tc>
        <w:tc>
          <w:tcPr>
            <w:tcW w:w="1417"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烟气含氧量</w:t>
            </w:r>
          </w:p>
        </w:tc>
        <w:tc>
          <w:tcPr>
            <w:tcW w:w="2505"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污染源废气电化学法测定氧《空气和废气监测分析方法》（第四版）国家环保总局（2003年）</w:t>
            </w:r>
          </w:p>
        </w:tc>
        <w:tc>
          <w:tcPr>
            <w:tcW w:w="1607" w:type="dxa"/>
            <w:vMerge w:val="continue"/>
            <w:tcBorders>
              <w:top w:val="nil"/>
              <w:left w:val="nil"/>
              <w:bottom w:val="single" w:color="000000" w:sz="8" w:space="0"/>
              <w:right w:val="single" w:color="000000" w:sz="8" w:space="0"/>
            </w:tcBorders>
            <w:tcMar>
              <w:top w:w="0" w:type="dxa"/>
              <w:left w:w="108" w:type="dxa"/>
              <w:bottom w:w="0" w:type="dxa"/>
              <w:right w:w="108" w:type="dxa"/>
            </w:tcMar>
            <w:vAlign w:val="center"/>
          </w:tcPr>
          <w:p>
            <w:pPr>
              <w:rPr>
                <w:rFonts w:asciiTheme="minorEastAsia" w:hAnsiTheme="minorEastAsia" w:eastAsiaTheme="minorEastAsia"/>
                <w:sz w:val="21"/>
                <w:szCs w:val="21"/>
              </w:rPr>
            </w:pP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rPr>
          <w:trHeight w:val="1437" w:hRule="atLeast"/>
        </w:trPr>
        <w:tc>
          <w:tcPr>
            <w:tcW w:w="567"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3</w:t>
            </w:r>
          </w:p>
        </w:tc>
        <w:tc>
          <w:tcPr>
            <w:tcW w:w="567" w:type="dxa"/>
            <w:vMerge w:val="continue"/>
            <w:tcBorders>
              <w:top w:val="nil"/>
              <w:left w:val="nil"/>
              <w:bottom w:val="single" w:color="000000" w:sz="8" w:space="0"/>
              <w:right w:val="single" w:color="000000" w:sz="8" w:space="0"/>
            </w:tcBorders>
            <w:tcMar>
              <w:top w:w="0" w:type="dxa"/>
              <w:left w:w="108" w:type="dxa"/>
              <w:bottom w:w="0" w:type="dxa"/>
              <w:right w:w="108" w:type="dxa"/>
            </w:tcMar>
            <w:vAlign w:val="center"/>
          </w:tcPr>
          <w:p>
            <w:pPr>
              <w:rPr>
                <w:rFonts w:asciiTheme="minorEastAsia" w:hAnsiTheme="minorEastAsia" w:eastAsiaTheme="minorEastAsia"/>
                <w:sz w:val="21"/>
                <w:szCs w:val="21"/>
              </w:rPr>
            </w:pPr>
          </w:p>
        </w:tc>
        <w:tc>
          <w:tcPr>
            <w:tcW w:w="1034" w:type="dxa"/>
            <w:vMerge w:val="continue"/>
            <w:tcBorders>
              <w:top w:val="nil"/>
              <w:left w:val="nil"/>
              <w:bottom w:val="single" w:color="000000" w:sz="8" w:space="0"/>
              <w:right w:val="single" w:color="000000" w:sz="8" w:space="0"/>
            </w:tcBorders>
            <w:tcMar>
              <w:top w:w="0" w:type="dxa"/>
              <w:left w:w="108" w:type="dxa"/>
              <w:bottom w:w="0" w:type="dxa"/>
              <w:right w:w="108" w:type="dxa"/>
            </w:tcMar>
          </w:tcPr>
          <w:p>
            <w:pPr>
              <w:rPr>
                <w:rFonts w:asciiTheme="minorEastAsia" w:hAnsiTheme="minorEastAsia" w:eastAsiaTheme="minorEastAsia"/>
                <w:sz w:val="21"/>
                <w:szCs w:val="21"/>
              </w:rPr>
            </w:pPr>
          </w:p>
        </w:tc>
        <w:tc>
          <w:tcPr>
            <w:tcW w:w="11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hint="eastAsia" w:cs="宋体" w:asciiTheme="minorEastAsia" w:hAnsiTheme="minorEastAsia" w:eastAsiaTheme="minorEastAsia"/>
                <w:color w:val="000000"/>
                <w:spacing w:val="10"/>
                <w:sz w:val="21"/>
                <w:szCs w:val="21"/>
              </w:rPr>
              <w:t>2</w:t>
            </w:r>
          </w:p>
        </w:tc>
        <w:tc>
          <w:tcPr>
            <w:tcW w:w="1417"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烟气参数（温度、湿度、流速、烟气量等）</w:t>
            </w:r>
          </w:p>
        </w:tc>
        <w:tc>
          <w:tcPr>
            <w:tcW w:w="2505"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《固定污染源排气中颗粒物和气态污染物采样方法》GB/T16157-1996及修改单</w:t>
            </w:r>
          </w:p>
        </w:tc>
        <w:tc>
          <w:tcPr>
            <w:tcW w:w="1607" w:type="dxa"/>
            <w:vMerge w:val="continue"/>
            <w:tcBorders>
              <w:top w:val="nil"/>
              <w:left w:val="nil"/>
              <w:bottom w:val="single" w:color="000000" w:sz="8" w:space="0"/>
              <w:right w:val="single" w:color="000000" w:sz="8" w:space="0"/>
            </w:tcBorders>
            <w:tcMar>
              <w:top w:w="0" w:type="dxa"/>
              <w:left w:w="108" w:type="dxa"/>
              <w:bottom w:w="0" w:type="dxa"/>
              <w:right w:w="108" w:type="dxa"/>
            </w:tcMar>
            <w:vAlign w:val="center"/>
          </w:tcPr>
          <w:p>
            <w:pPr>
              <w:rPr>
                <w:rFonts w:asciiTheme="minorEastAsia" w:hAnsiTheme="minorEastAsia" w:eastAsiaTheme="minorEastAsia"/>
                <w:sz w:val="21"/>
                <w:szCs w:val="21"/>
              </w:rPr>
            </w:pP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rPr>
          <w:trHeight w:val="1437" w:hRule="atLeast"/>
        </w:trPr>
        <w:tc>
          <w:tcPr>
            <w:tcW w:w="567"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0"/>
                <w:szCs w:val="21"/>
              </w:rPr>
            </w:pPr>
            <w:r>
              <w:rPr>
                <w:rFonts w:hint="eastAsia" w:cs="宋体" w:asciiTheme="minorEastAsia" w:hAnsiTheme="minorEastAsia" w:eastAsiaTheme="minorEastAsia"/>
                <w:color w:val="000000"/>
                <w:spacing w:val="10"/>
                <w:sz w:val="20"/>
                <w:szCs w:val="21"/>
              </w:rPr>
              <w:t>4</w:t>
            </w:r>
          </w:p>
        </w:tc>
        <w:tc>
          <w:tcPr>
            <w:tcW w:w="567" w:type="dxa"/>
            <w:vMerge w:val="continue"/>
            <w:tcBorders>
              <w:top w:val="nil"/>
              <w:left w:val="nil"/>
              <w:bottom w:val="single" w:color="000000" w:sz="8" w:space="0"/>
              <w:right w:val="single" w:color="000000" w:sz="8" w:space="0"/>
            </w:tcBorders>
            <w:tcMar>
              <w:top w:w="0" w:type="dxa"/>
              <w:left w:w="108" w:type="dxa"/>
              <w:bottom w:w="0" w:type="dxa"/>
              <w:right w:w="108" w:type="dxa"/>
            </w:tcMar>
            <w:vAlign w:val="center"/>
          </w:tcPr>
          <w:p>
            <w:pPr>
              <w:rPr>
                <w:rFonts w:asciiTheme="minorEastAsia" w:hAnsiTheme="minorEastAsia" w:eastAsiaTheme="minorEastAsia"/>
                <w:sz w:val="20"/>
                <w:szCs w:val="21"/>
              </w:rPr>
            </w:pPr>
          </w:p>
        </w:tc>
        <w:tc>
          <w:tcPr>
            <w:tcW w:w="1034" w:type="dxa"/>
            <w:vMerge w:val="continue"/>
            <w:tcBorders>
              <w:top w:val="nil"/>
              <w:left w:val="nil"/>
              <w:bottom w:val="single" w:color="000000" w:sz="8" w:space="0"/>
              <w:right w:val="single" w:color="000000" w:sz="8" w:space="0"/>
            </w:tcBorders>
            <w:tcMar>
              <w:top w:w="0" w:type="dxa"/>
              <w:left w:w="108" w:type="dxa"/>
              <w:bottom w:w="0" w:type="dxa"/>
              <w:right w:w="108" w:type="dxa"/>
            </w:tcMar>
          </w:tcPr>
          <w:p>
            <w:pPr>
              <w:rPr>
                <w:rFonts w:asciiTheme="minorEastAsia" w:hAnsiTheme="minorEastAsia" w:eastAsiaTheme="minorEastAsia"/>
                <w:sz w:val="20"/>
                <w:szCs w:val="21"/>
              </w:rPr>
            </w:pPr>
          </w:p>
        </w:tc>
        <w:tc>
          <w:tcPr>
            <w:tcW w:w="11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hint="eastAsia" w:cs="宋体" w:asciiTheme="minorEastAsia" w:hAnsiTheme="minorEastAsia" w:eastAsiaTheme="minorEastAsia"/>
                <w:color w:val="000000"/>
                <w:spacing w:val="10"/>
                <w:sz w:val="21"/>
                <w:szCs w:val="21"/>
              </w:rPr>
              <w:t>2</w:t>
            </w:r>
          </w:p>
        </w:tc>
        <w:tc>
          <w:tcPr>
            <w:tcW w:w="1417"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烟气林格曼黑度</w:t>
            </w:r>
          </w:p>
        </w:tc>
        <w:tc>
          <w:tcPr>
            <w:tcW w:w="2505"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《固定染源排放 烟气黑度的测定 林格曼黑度图法》 HJ/T 398-2007</w:t>
            </w:r>
          </w:p>
        </w:tc>
        <w:tc>
          <w:tcPr>
            <w:tcW w:w="1607" w:type="dxa"/>
            <w:vMerge w:val="continue"/>
            <w:tcBorders>
              <w:top w:val="nil"/>
              <w:left w:val="nil"/>
              <w:bottom w:val="single" w:color="000000" w:sz="8" w:space="0"/>
              <w:right w:val="single" w:color="000000" w:sz="8" w:space="0"/>
            </w:tcBorders>
            <w:tcMar>
              <w:top w:w="0" w:type="dxa"/>
              <w:left w:w="108" w:type="dxa"/>
              <w:bottom w:w="0" w:type="dxa"/>
              <w:right w:w="108" w:type="dxa"/>
            </w:tcMar>
            <w:vAlign w:val="center"/>
          </w:tcPr>
          <w:p>
            <w:pPr>
              <w:rPr>
                <w:rFonts w:asciiTheme="minorEastAsia" w:hAnsiTheme="minorEastAsia" w:eastAsiaTheme="minorEastAsia"/>
                <w:sz w:val="20"/>
                <w:szCs w:val="21"/>
              </w:rPr>
            </w:pP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rPr>
          <w:trHeight w:val="1192" w:hRule="atLeast"/>
        </w:trPr>
        <w:tc>
          <w:tcPr>
            <w:tcW w:w="567"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hint="eastAsia" w:cs="宋体" w:asciiTheme="minorEastAsia" w:hAnsiTheme="minorEastAsia" w:eastAsiaTheme="minorEastAsia"/>
                <w:color w:val="000000"/>
                <w:spacing w:val="10"/>
                <w:sz w:val="21"/>
                <w:szCs w:val="21"/>
              </w:rPr>
              <w:t>5</w:t>
            </w:r>
          </w:p>
        </w:tc>
        <w:tc>
          <w:tcPr>
            <w:tcW w:w="567" w:type="dxa"/>
            <w:vMerge w:val="continue"/>
            <w:tcBorders>
              <w:top w:val="nil"/>
              <w:left w:val="nil"/>
              <w:bottom w:val="single" w:color="000000" w:sz="8" w:space="0"/>
              <w:right w:val="single" w:color="000000" w:sz="8" w:space="0"/>
            </w:tcBorders>
            <w:tcMar>
              <w:top w:w="0" w:type="dxa"/>
              <w:left w:w="108" w:type="dxa"/>
              <w:bottom w:w="0" w:type="dxa"/>
              <w:right w:w="108" w:type="dxa"/>
            </w:tcMar>
            <w:vAlign w:val="center"/>
          </w:tcPr>
          <w:p>
            <w:pPr>
              <w:rPr>
                <w:rFonts w:asciiTheme="minorEastAsia" w:hAnsiTheme="minorEastAsia" w:eastAsiaTheme="minorEastAsia"/>
                <w:sz w:val="21"/>
                <w:szCs w:val="21"/>
              </w:rPr>
            </w:pPr>
          </w:p>
        </w:tc>
        <w:tc>
          <w:tcPr>
            <w:tcW w:w="1034" w:type="dxa"/>
            <w:vMerge w:val="continue"/>
            <w:tcBorders>
              <w:top w:val="nil"/>
              <w:left w:val="nil"/>
              <w:bottom w:val="single" w:color="000000" w:sz="8" w:space="0"/>
              <w:right w:val="single" w:color="000000" w:sz="8" w:space="0"/>
            </w:tcBorders>
            <w:tcMar>
              <w:top w:w="0" w:type="dxa"/>
              <w:left w:w="108" w:type="dxa"/>
              <w:bottom w:w="0" w:type="dxa"/>
              <w:right w:w="108" w:type="dxa"/>
            </w:tcMar>
          </w:tcPr>
          <w:p>
            <w:pPr>
              <w:rPr>
                <w:rFonts w:asciiTheme="minorEastAsia" w:hAnsiTheme="minorEastAsia" w:eastAsiaTheme="minorEastAsia"/>
                <w:sz w:val="21"/>
                <w:szCs w:val="21"/>
              </w:rPr>
            </w:pPr>
          </w:p>
        </w:tc>
        <w:tc>
          <w:tcPr>
            <w:tcW w:w="11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hint="eastAsia" w:cs="宋体" w:asciiTheme="minorEastAsia" w:hAnsiTheme="minorEastAsia" w:eastAsiaTheme="minorEastAsia"/>
                <w:color w:val="000000"/>
                <w:spacing w:val="10"/>
                <w:sz w:val="21"/>
                <w:szCs w:val="21"/>
              </w:rPr>
              <w:t>2</w:t>
            </w:r>
          </w:p>
        </w:tc>
        <w:tc>
          <w:tcPr>
            <w:tcW w:w="1417"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hint="eastAsia" w:cs="宋体" w:asciiTheme="minorEastAsia" w:hAnsiTheme="minorEastAsia" w:eastAsiaTheme="minorEastAsia"/>
                <w:color w:val="000000"/>
                <w:spacing w:val="10"/>
                <w:sz w:val="21"/>
                <w:szCs w:val="21"/>
              </w:rPr>
              <w:t>氨逃溢</w:t>
            </w:r>
          </w:p>
        </w:tc>
        <w:tc>
          <w:tcPr>
            <w:tcW w:w="2505"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《环境空气和废气</w:t>
            </w:r>
            <w:r>
              <w:rPr>
                <w:rFonts w:hint="eastAsia" w:cs="宋体" w:asciiTheme="minorEastAsia" w:hAnsiTheme="minorEastAsia" w:eastAsiaTheme="minorEastAsia"/>
                <w:color w:val="000000"/>
                <w:spacing w:val="10"/>
                <w:sz w:val="21"/>
                <w:szCs w:val="21"/>
              </w:rPr>
              <w:t xml:space="preserve"> 氨的测定 纳氏试剂分光光度法》</w:t>
            </w:r>
            <w:r>
              <w:rPr>
                <w:rFonts w:cs="宋体" w:asciiTheme="minorEastAsia" w:hAnsiTheme="minorEastAsia" w:eastAsiaTheme="minorEastAsia"/>
                <w:color w:val="000000"/>
                <w:spacing w:val="10"/>
                <w:sz w:val="21"/>
                <w:szCs w:val="21"/>
              </w:rPr>
              <w:t>HJ</w:t>
            </w:r>
            <w:r>
              <w:rPr>
                <w:rFonts w:hint="eastAsia" w:cs="宋体" w:asciiTheme="minorEastAsia" w:hAnsiTheme="minorEastAsia" w:eastAsiaTheme="minorEastAsia"/>
                <w:color w:val="000000"/>
                <w:spacing w:val="10"/>
                <w:sz w:val="21"/>
                <w:szCs w:val="21"/>
              </w:rPr>
              <w:t>533-2009</w:t>
            </w:r>
          </w:p>
        </w:tc>
        <w:tc>
          <w:tcPr>
            <w:tcW w:w="1607" w:type="dxa"/>
            <w:vMerge w:val="continue"/>
            <w:tcBorders>
              <w:top w:val="nil"/>
              <w:left w:val="nil"/>
              <w:bottom w:val="single" w:color="000000" w:sz="8" w:space="0"/>
              <w:right w:val="single" w:color="000000" w:sz="8" w:space="0"/>
            </w:tcBorders>
            <w:tcMar>
              <w:top w:w="0" w:type="dxa"/>
              <w:left w:w="108" w:type="dxa"/>
              <w:bottom w:w="0" w:type="dxa"/>
              <w:right w:w="108" w:type="dxa"/>
            </w:tcMar>
            <w:vAlign w:val="center"/>
          </w:tcPr>
          <w:p>
            <w:pPr>
              <w:rPr>
                <w:rFonts w:asciiTheme="minorEastAsia" w:hAnsiTheme="minorEastAsia" w:eastAsiaTheme="minorEastAsia"/>
                <w:sz w:val="21"/>
                <w:szCs w:val="21"/>
              </w:rPr>
            </w:pP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rPr>
          <w:trHeight w:val="1253" w:hRule="atLeast"/>
        </w:trPr>
        <w:tc>
          <w:tcPr>
            <w:tcW w:w="567" w:type="dxa"/>
            <w:vMerge w:val="restart"/>
            <w:tcBorders>
              <w:top w:val="nil"/>
              <w:left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5</w:t>
            </w:r>
          </w:p>
        </w:tc>
        <w:tc>
          <w:tcPr>
            <w:tcW w:w="567" w:type="dxa"/>
            <w:vMerge w:val="restart"/>
            <w:tcBorders>
              <w:top w:val="nil"/>
              <w:left w:val="nil"/>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无组织废气</w:t>
            </w:r>
          </w:p>
        </w:tc>
        <w:tc>
          <w:tcPr>
            <w:tcW w:w="10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厂界四周4个方位</w:t>
            </w:r>
          </w:p>
        </w:tc>
        <w:tc>
          <w:tcPr>
            <w:tcW w:w="11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4</w:t>
            </w:r>
          </w:p>
        </w:tc>
        <w:tc>
          <w:tcPr>
            <w:tcW w:w="1417" w:type="dxa"/>
            <w:vMerge w:val="restart"/>
            <w:tcBorders>
              <w:top w:val="nil"/>
              <w:left w:val="nil"/>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总悬浮物</w:t>
            </w:r>
          </w:p>
        </w:tc>
        <w:tc>
          <w:tcPr>
            <w:tcW w:w="2505" w:type="dxa"/>
            <w:vMerge w:val="restart"/>
            <w:tcBorders>
              <w:top w:val="nil"/>
              <w:left w:val="nil"/>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《环境空气 总悬浮颗粒物的测定 重量法》 GB/T 15432-1995及修改单</w:t>
            </w:r>
          </w:p>
        </w:tc>
        <w:tc>
          <w:tcPr>
            <w:tcW w:w="1607" w:type="dxa"/>
            <w:vMerge w:val="restart"/>
            <w:tcBorders>
              <w:top w:val="nil"/>
              <w:left w:val="nil"/>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每季度一次；每次分4个时段监测1天</w:t>
            </w: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rPr>
          <w:trHeight w:val="1253" w:hRule="atLeast"/>
        </w:trPr>
        <w:tc>
          <w:tcPr>
            <w:tcW w:w="567" w:type="dxa"/>
            <w:vMerge w:val="continue"/>
            <w:tcBorders>
              <w:left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p>
        </w:tc>
        <w:tc>
          <w:tcPr>
            <w:tcW w:w="567" w:type="dxa"/>
            <w:vMerge w:val="continue"/>
            <w:tcBorders>
              <w:left w:val="nil"/>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p>
        </w:tc>
        <w:tc>
          <w:tcPr>
            <w:tcW w:w="10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煤场外</w:t>
            </w:r>
            <w:r>
              <w:rPr>
                <w:rFonts w:hint="eastAsia" w:cs="宋体" w:asciiTheme="minorEastAsia" w:hAnsiTheme="minorEastAsia" w:eastAsiaTheme="minorEastAsia"/>
                <w:color w:val="000000"/>
                <w:spacing w:val="10"/>
                <w:sz w:val="21"/>
                <w:szCs w:val="21"/>
              </w:rPr>
              <w:t>2</w:t>
            </w:r>
            <w:r>
              <w:rPr>
                <w:rFonts w:cs="宋体" w:asciiTheme="minorEastAsia" w:hAnsiTheme="minorEastAsia" w:eastAsiaTheme="minorEastAsia"/>
                <w:color w:val="000000"/>
                <w:spacing w:val="10"/>
                <w:sz w:val="21"/>
                <w:szCs w:val="21"/>
              </w:rPr>
              <w:t>个点位</w:t>
            </w:r>
          </w:p>
        </w:tc>
        <w:tc>
          <w:tcPr>
            <w:tcW w:w="11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hint="eastAsia" w:cs="宋体" w:asciiTheme="minorEastAsia" w:hAnsiTheme="minorEastAsia" w:eastAsiaTheme="minorEastAsia"/>
                <w:color w:val="000000"/>
                <w:spacing w:val="10"/>
                <w:sz w:val="21"/>
                <w:szCs w:val="21"/>
              </w:rPr>
              <w:t>2</w:t>
            </w:r>
          </w:p>
        </w:tc>
        <w:tc>
          <w:tcPr>
            <w:tcW w:w="1417" w:type="dxa"/>
            <w:vMerge w:val="continue"/>
            <w:tcBorders>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p>
        </w:tc>
        <w:tc>
          <w:tcPr>
            <w:tcW w:w="2505" w:type="dxa"/>
            <w:vMerge w:val="continue"/>
            <w:tcBorders>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p>
        </w:tc>
        <w:tc>
          <w:tcPr>
            <w:tcW w:w="1607" w:type="dxa"/>
            <w:vMerge w:val="continue"/>
            <w:tcBorders>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rPr>
          <w:trHeight w:val="1253" w:hRule="atLeast"/>
        </w:trPr>
        <w:tc>
          <w:tcPr>
            <w:tcW w:w="567" w:type="dxa"/>
            <w:vMerge w:val="continue"/>
            <w:tcBorders>
              <w:left w:val="single" w:color="000000" w:sz="8" w:space="0"/>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p>
        </w:tc>
        <w:tc>
          <w:tcPr>
            <w:tcW w:w="567" w:type="dxa"/>
            <w:vMerge w:val="continue"/>
            <w:tcBorders>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p>
        </w:tc>
        <w:tc>
          <w:tcPr>
            <w:tcW w:w="10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储油罐周边及厂界</w:t>
            </w:r>
          </w:p>
        </w:tc>
        <w:tc>
          <w:tcPr>
            <w:tcW w:w="11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hint="eastAsia" w:cs="宋体" w:asciiTheme="minorEastAsia" w:hAnsiTheme="minorEastAsia" w:eastAsiaTheme="minorEastAsia"/>
                <w:color w:val="000000"/>
                <w:spacing w:val="10"/>
                <w:sz w:val="21"/>
                <w:szCs w:val="21"/>
              </w:rPr>
              <w:t>4</w:t>
            </w:r>
          </w:p>
        </w:tc>
        <w:tc>
          <w:tcPr>
            <w:tcW w:w="1417" w:type="dxa"/>
            <w:tcBorders>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非甲烷总烃</w:t>
            </w:r>
          </w:p>
        </w:tc>
        <w:tc>
          <w:tcPr>
            <w:tcW w:w="2505" w:type="dxa"/>
            <w:tcBorders>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hint="eastAsia" w:asciiTheme="minorEastAsia" w:hAnsiTheme="minorEastAsia" w:eastAsiaTheme="minorEastAsia"/>
                <w:sz w:val="21"/>
                <w:szCs w:val="21"/>
              </w:rPr>
              <w:t>气相色谱法</w:t>
            </w:r>
          </w:p>
        </w:tc>
        <w:tc>
          <w:tcPr>
            <w:tcW w:w="1607" w:type="dxa"/>
            <w:tcBorders>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每季度一次</w:t>
            </w: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rPr>
          <w:trHeight w:val="757" w:hRule="atLeast"/>
        </w:trPr>
        <w:tc>
          <w:tcPr>
            <w:tcW w:w="567"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6</w:t>
            </w:r>
          </w:p>
        </w:tc>
        <w:tc>
          <w:tcPr>
            <w:tcW w:w="567"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噪声</w:t>
            </w:r>
          </w:p>
        </w:tc>
        <w:tc>
          <w:tcPr>
            <w:tcW w:w="10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厂界四周</w:t>
            </w:r>
            <w:r>
              <w:rPr>
                <w:rFonts w:hint="eastAsia" w:cs="宋体" w:asciiTheme="minorEastAsia" w:hAnsiTheme="minorEastAsia" w:eastAsiaTheme="minorEastAsia"/>
                <w:color w:val="000000"/>
                <w:spacing w:val="10"/>
                <w:sz w:val="21"/>
                <w:szCs w:val="21"/>
              </w:rPr>
              <w:t>7</w:t>
            </w:r>
            <w:r>
              <w:rPr>
                <w:rFonts w:cs="宋体" w:asciiTheme="minorEastAsia" w:hAnsiTheme="minorEastAsia" w:eastAsiaTheme="minorEastAsia"/>
                <w:color w:val="000000"/>
                <w:spacing w:val="10"/>
                <w:sz w:val="21"/>
                <w:szCs w:val="21"/>
              </w:rPr>
              <w:t>个点位</w:t>
            </w:r>
          </w:p>
        </w:tc>
        <w:tc>
          <w:tcPr>
            <w:tcW w:w="11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hint="eastAsia" w:cs="宋体" w:asciiTheme="minorEastAsia" w:hAnsiTheme="minorEastAsia" w:eastAsiaTheme="minorEastAsia"/>
                <w:color w:val="000000"/>
                <w:spacing w:val="10"/>
                <w:sz w:val="21"/>
                <w:szCs w:val="21"/>
              </w:rPr>
              <w:t>7</w:t>
            </w:r>
          </w:p>
        </w:tc>
        <w:tc>
          <w:tcPr>
            <w:tcW w:w="1417"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噪声（含最大）</w:t>
            </w:r>
          </w:p>
        </w:tc>
        <w:tc>
          <w:tcPr>
            <w:tcW w:w="2505"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《工业企业厂界环境噪声排放标准》(GB 12348-2008) </w:t>
            </w:r>
          </w:p>
        </w:tc>
        <w:tc>
          <w:tcPr>
            <w:tcW w:w="1607"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每季度一次；每次分昼夜2个时段监测，监测1天</w:t>
            </w: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rPr>
          <w:trHeight w:val="757" w:hRule="atLeast"/>
        </w:trPr>
        <w:tc>
          <w:tcPr>
            <w:tcW w:w="567"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7</w:t>
            </w:r>
          </w:p>
        </w:tc>
        <w:tc>
          <w:tcPr>
            <w:tcW w:w="567"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气象参数</w:t>
            </w:r>
          </w:p>
        </w:tc>
        <w:tc>
          <w:tcPr>
            <w:tcW w:w="10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厂区</w:t>
            </w:r>
          </w:p>
        </w:tc>
        <w:tc>
          <w:tcPr>
            <w:tcW w:w="11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1</w:t>
            </w:r>
          </w:p>
        </w:tc>
        <w:tc>
          <w:tcPr>
            <w:tcW w:w="1417"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风向、风速、气温、气压和天气状况等</w:t>
            </w:r>
          </w:p>
        </w:tc>
        <w:tc>
          <w:tcPr>
            <w:tcW w:w="2505"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 </w:t>
            </w:r>
          </w:p>
        </w:tc>
        <w:tc>
          <w:tcPr>
            <w:tcW w:w="1607"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每季度一次；每次分5个时段监测1天</w:t>
            </w:r>
          </w:p>
        </w:tc>
      </w:tr>
    </w:tbl>
    <w:p>
      <w:pPr>
        <w:pBdr>
          <w:top w:val="none" w:color="000000" w:sz="0" w:space="0"/>
          <w:left w:val="none" w:color="000000" w:sz="0" w:space="0"/>
          <w:bottom w:val="none" w:color="000000" w:sz="0" w:space="0"/>
          <w:right w:val="none" w:color="000000" w:sz="0" w:space="0"/>
        </w:pBdr>
        <w:spacing w:line="65" w:lineRule="atLeast"/>
        <w:ind w:firstLine="460"/>
        <w:rPr>
          <w:rFonts w:asciiTheme="minorEastAsia" w:hAnsiTheme="minorEastAsia" w:eastAsiaTheme="minorEastAsia"/>
          <w:szCs w:val="21"/>
        </w:rPr>
      </w:pPr>
    </w:p>
    <w:p>
      <w:pPr>
        <w:spacing w:before="156" w:line="300" w:lineRule="auto"/>
        <w:rPr>
          <w:rFonts w:asciiTheme="minorEastAsia" w:hAnsiTheme="minorEastAsia" w:eastAsiaTheme="minorEastAsia"/>
          <w:szCs w:val="21"/>
        </w:rPr>
      </w:pPr>
      <w:r>
        <w:rPr>
          <w:rFonts w:hint="eastAsia" w:asciiTheme="minorEastAsia" w:hAnsiTheme="minorEastAsia" w:eastAsiaTheme="minorEastAsia"/>
          <w:szCs w:val="21"/>
        </w:rPr>
        <w:t>3.2</w:t>
      </w:r>
      <w:r>
        <w:rPr>
          <w:rFonts w:asciiTheme="minorEastAsia" w:hAnsiTheme="minorEastAsia" w:eastAsiaTheme="minorEastAsia"/>
          <w:szCs w:val="21"/>
        </w:rPr>
        <w:t>工作依据</w:t>
      </w:r>
    </w:p>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Cs w:val="21"/>
        </w:rPr>
      </w:pPr>
      <w:r>
        <w:rPr>
          <w:rFonts w:cs="宋体" w:asciiTheme="minorEastAsia" w:hAnsiTheme="minorEastAsia" w:eastAsiaTheme="minorEastAsia"/>
          <w:color w:val="000000"/>
          <w:spacing w:val="10"/>
          <w:szCs w:val="21"/>
        </w:rPr>
        <w:t xml:space="preserve">    根据《国家重点监控企业自行监测及信息公开办法（试行）》要求，公司需要委托第三方监测机构开展自行监测，并形成报告，以备环保部门检查，并根据要求定期在省环保厅网站上进行数据公示。</w:t>
      </w:r>
    </w:p>
    <w:p>
      <w:pPr>
        <w:pBdr>
          <w:top w:val="none" w:color="000000" w:sz="0" w:space="0"/>
          <w:left w:val="none" w:color="000000" w:sz="0" w:space="0"/>
          <w:bottom w:val="none" w:color="000000" w:sz="0" w:space="0"/>
          <w:right w:val="none" w:color="000000" w:sz="0" w:space="0"/>
        </w:pBdr>
        <w:spacing w:line="71" w:lineRule="atLeast"/>
        <w:ind w:firstLine="454"/>
        <w:rPr>
          <w:rFonts w:asciiTheme="minorEastAsia" w:hAnsiTheme="minorEastAsia" w:eastAsiaTheme="minorEastAsia"/>
          <w:szCs w:val="21"/>
        </w:rPr>
      </w:pPr>
    </w:p>
    <w:p>
      <w:pPr>
        <w:pStyle w:val="2"/>
        <w:numPr>
          <w:ilvl w:val="0"/>
          <w:numId w:val="3"/>
        </w:numPr>
        <w:tabs>
          <w:tab w:val="left" w:pos="360"/>
        </w:tabs>
        <w:spacing w:before="0" w:after="0"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技术要求</w:t>
      </w:r>
    </w:p>
    <w:p>
      <w:pPr>
        <w:pStyle w:val="15"/>
        <w:numPr>
          <w:ilvl w:val="1"/>
          <w:numId w:val="3"/>
        </w:numPr>
        <w:spacing w:before="156"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监测</w:t>
      </w:r>
      <w:r>
        <w:rPr>
          <w:rFonts w:asciiTheme="minorEastAsia" w:hAnsiTheme="minorEastAsia" w:eastAsiaTheme="minorEastAsia"/>
          <w:sz w:val="21"/>
          <w:szCs w:val="21"/>
        </w:rPr>
        <w:t>服务标准</w:t>
      </w:r>
    </w:p>
    <w:p>
      <w:pPr>
        <w:spacing w:before="156" w:line="300" w:lineRule="auto"/>
        <w:ind w:firstLine="454"/>
        <w:rPr>
          <w:rFonts w:asciiTheme="minorEastAsia" w:hAnsiTheme="minorEastAsia" w:eastAsiaTheme="minorEastAsia"/>
          <w:szCs w:val="21"/>
        </w:rPr>
      </w:pPr>
      <w:r>
        <w:rPr>
          <w:rFonts w:asciiTheme="minorEastAsia" w:hAnsiTheme="minorEastAsia" w:eastAsiaTheme="minorEastAsia"/>
          <w:szCs w:val="21"/>
        </w:rPr>
        <w:t>本技术</w:t>
      </w:r>
      <w:r>
        <w:rPr>
          <w:rFonts w:hint="eastAsia" w:asciiTheme="minorEastAsia" w:hAnsiTheme="minorEastAsia" w:eastAsiaTheme="minorEastAsia"/>
          <w:szCs w:val="21"/>
        </w:rPr>
        <w:t>规范书</w:t>
      </w:r>
      <w:r>
        <w:rPr>
          <w:rFonts w:asciiTheme="minorEastAsia" w:hAnsiTheme="minorEastAsia" w:eastAsiaTheme="minorEastAsia"/>
          <w:szCs w:val="21"/>
        </w:rPr>
        <w:t>中涉及的所有规范、标准 (包括一切有效的补充或附录)均应为最新版本，即以招标方和投标方签订技术协议之日作为采用最新版本的截止日期。若发现本技术</w:t>
      </w:r>
      <w:r>
        <w:rPr>
          <w:rFonts w:hint="eastAsia" w:asciiTheme="minorEastAsia" w:hAnsiTheme="minorEastAsia" w:eastAsiaTheme="minorEastAsia"/>
          <w:szCs w:val="21"/>
        </w:rPr>
        <w:t>规范</w:t>
      </w:r>
      <w:r>
        <w:rPr>
          <w:rFonts w:asciiTheme="minorEastAsia" w:hAnsiTheme="minorEastAsia" w:eastAsiaTheme="minorEastAsia"/>
          <w:szCs w:val="21"/>
        </w:rPr>
        <w:t>与参照的规范和标准之间有不一致之处，投标方应向招标方提出。投标方若采用与下列标准相当的其它国际标准，须招标方认可。</w:t>
      </w:r>
    </w:p>
    <w:p>
      <w:pPr>
        <w:spacing w:before="156" w:line="300" w:lineRule="auto"/>
        <w:rPr>
          <w:rFonts w:asciiTheme="minorEastAsia" w:hAnsiTheme="minorEastAsia" w:eastAsiaTheme="minorEastAsia"/>
          <w:szCs w:val="21"/>
        </w:rPr>
      </w:pPr>
      <w:r>
        <w:rPr>
          <w:rFonts w:asciiTheme="minorEastAsia" w:hAnsiTheme="minorEastAsia" w:eastAsiaTheme="minorEastAsia"/>
          <w:szCs w:val="21"/>
        </w:rPr>
        <w:t>4.2引用的规范和标准如下：</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4.2.1法律法规与规范性文件</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4.2.1法律法规与规范性文件</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《企业事业单位环境信息公开办法》（环境保护令第31号）</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《国家重点监控企业自行监测及信息公开办法（试行）》（环发〔2013〕81号）</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4.2.2技术规范与标准</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《工业企业厂界环境噪声排放标准》GB/T 12348-2008</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《恶臭污染物排放标准》GB 14554-93</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《大气污染物综合排放标准》GB 16297-1996</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《固定污染源排气中颗粒物和气态污染物采样方法》GB 16157-1996</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《环境空气 总悬浮颗粒物的测定 重量法（及修改单）》GB/T 15432-1995</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《固定污染源废气 汞的测定冷原子吸收分光光度法（暂行）》HJ 543-2009</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《排污单位自行监测技术指南总则》HJ 819-2017</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《排污单位自行监测技术指南 火力发电及锅炉》HJ 820-2017</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《大气污染物无组织排放监测技术导则》HJ/T 55</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《环境空气质量手工监测技术规范》HJ/T 194-2005</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《固定污染源监测质量保证与质量控制技术规范（试行）》HJ/T 373</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《固定源废气监测技术规范》HJ/T 397</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《固定污染源排放 烟气黑度的测定 林格曼黑度图法》HJ/T 398-2007</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《燃煤电厂大气污染物排放标准》DB 332147-2018</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《污染源废气电化学法测定氧《空气和废气监测分析方法》（第四版）》国家环保总局（2003年）</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《浙江省环境监测质量保证技术规定》</w:t>
      </w:r>
    </w:p>
    <w:p>
      <w:pPr>
        <w:pStyle w:val="2"/>
        <w:numPr>
          <w:ilvl w:val="0"/>
          <w:numId w:val="3"/>
        </w:numPr>
        <w:tabs>
          <w:tab w:val="left" w:pos="360"/>
        </w:tabs>
        <w:spacing w:before="0" w:after="0"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基本约定</w:t>
      </w:r>
    </w:p>
    <w:p>
      <w:pPr>
        <w:pStyle w:val="15"/>
        <w:numPr>
          <w:ilvl w:val="1"/>
          <w:numId w:val="3"/>
        </w:numPr>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投标方</w:t>
      </w:r>
      <w:r>
        <w:rPr>
          <w:rFonts w:asciiTheme="minorEastAsia" w:hAnsiTheme="minorEastAsia" w:eastAsiaTheme="minorEastAsia"/>
          <w:sz w:val="21"/>
          <w:szCs w:val="21"/>
        </w:rPr>
        <w:t>在服务过程中必须严格执行</w:t>
      </w:r>
      <w:r>
        <w:rPr>
          <w:rFonts w:hint="eastAsia" w:asciiTheme="minorEastAsia" w:hAnsiTheme="minorEastAsia" w:eastAsiaTheme="minorEastAsia"/>
          <w:sz w:val="21"/>
          <w:szCs w:val="21"/>
        </w:rPr>
        <w:t>招标方相</w:t>
      </w:r>
      <w:r>
        <w:rPr>
          <w:rFonts w:asciiTheme="minorEastAsia" w:hAnsiTheme="minorEastAsia" w:eastAsiaTheme="minorEastAsia"/>
          <w:sz w:val="21"/>
          <w:szCs w:val="21"/>
        </w:rPr>
        <w:t>关技术规定</w:t>
      </w:r>
      <w:r>
        <w:rPr>
          <w:rFonts w:hint="eastAsia" w:asciiTheme="minorEastAsia" w:hAnsiTheme="minorEastAsia" w:eastAsiaTheme="minorEastAsia"/>
          <w:sz w:val="21"/>
          <w:szCs w:val="21"/>
        </w:rPr>
        <w:t>。</w:t>
      </w:r>
    </w:p>
    <w:p>
      <w:pPr>
        <w:pStyle w:val="15"/>
        <w:numPr>
          <w:ilvl w:val="1"/>
          <w:numId w:val="3"/>
        </w:numPr>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投标方</w:t>
      </w:r>
      <w:r>
        <w:rPr>
          <w:rFonts w:asciiTheme="minorEastAsia" w:hAnsiTheme="minorEastAsia" w:eastAsiaTheme="minorEastAsia"/>
          <w:sz w:val="21"/>
          <w:szCs w:val="21"/>
        </w:rPr>
        <w:t>在现场检测过程中必须遵守</w:t>
      </w:r>
      <w:r>
        <w:rPr>
          <w:rFonts w:hint="eastAsia" w:asciiTheme="minorEastAsia" w:hAnsiTheme="minorEastAsia" w:eastAsiaTheme="minorEastAsia"/>
          <w:sz w:val="21"/>
          <w:szCs w:val="21"/>
        </w:rPr>
        <w:t>招标方</w:t>
      </w:r>
      <w:r>
        <w:rPr>
          <w:rFonts w:asciiTheme="minorEastAsia" w:hAnsiTheme="minorEastAsia" w:eastAsiaTheme="minorEastAsia"/>
          <w:sz w:val="21"/>
          <w:szCs w:val="21"/>
        </w:rPr>
        <w:t>安全文明生产管理要求</w:t>
      </w:r>
      <w:r>
        <w:rPr>
          <w:rFonts w:hint="eastAsia" w:asciiTheme="minorEastAsia" w:hAnsiTheme="minorEastAsia" w:eastAsiaTheme="minorEastAsia"/>
          <w:sz w:val="21"/>
          <w:szCs w:val="21"/>
        </w:rPr>
        <w:t>。</w:t>
      </w:r>
    </w:p>
    <w:p>
      <w:pPr>
        <w:pStyle w:val="15"/>
        <w:numPr>
          <w:ilvl w:val="1"/>
          <w:numId w:val="3"/>
        </w:numPr>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相关技术要求</w:t>
      </w:r>
    </w:p>
    <w:p>
      <w:pPr>
        <w:spacing w:line="300" w:lineRule="auto"/>
        <w:rPr>
          <w:rFonts w:asciiTheme="minorEastAsia" w:hAnsiTheme="minorEastAsia" w:eastAsiaTheme="minorEastAsia"/>
          <w:szCs w:val="21"/>
        </w:rPr>
      </w:pPr>
      <w:r>
        <w:rPr>
          <w:rFonts w:hint="eastAsia" w:asciiTheme="minorEastAsia" w:hAnsiTheme="minorEastAsia" w:eastAsiaTheme="minorEastAsia"/>
          <w:szCs w:val="21"/>
        </w:rPr>
        <w:t>5.3.1投标方资质要求</w:t>
      </w:r>
    </w:p>
    <w:p>
      <w:pP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a）投标方应具备国家认证认可监督管理委员会颁发的检验检测机构资质认定证书（CMA）。</w:t>
      </w:r>
    </w:p>
    <w:p>
      <w:pP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b）投标方应提供开展过的环境监测相关工作业绩。</w:t>
      </w:r>
    </w:p>
    <w:p>
      <w:pPr>
        <w:spacing w:line="300" w:lineRule="auto"/>
        <w:rPr>
          <w:rFonts w:asciiTheme="minorEastAsia" w:hAnsiTheme="minorEastAsia" w:eastAsiaTheme="minorEastAsia"/>
          <w:szCs w:val="21"/>
        </w:rPr>
      </w:pPr>
      <w:r>
        <w:rPr>
          <w:rFonts w:hint="eastAsia" w:asciiTheme="minorEastAsia" w:hAnsiTheme="minorEastAsia" w:eastAsiaTheme="minorEastAsia"/>
          <w:szCs w:val="21"/>
        </w:rPr>
        <w:t>5.3.2人员技术要求</w:t>
      </w:r>
    </w:p>
    <w:p>
      <w:pP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a）现场采样、检测服务人员都须持有效的专业检测资格证。</w:t>
      </w:r>
    </w:p>
    <w:p>
      <w:pP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b）投标方委派进入现场的采样、检测人员不得少于2人。</w:t>
      </w:r>
    </w:p>
    <w:p>
      <w:pPr>
        <w:pBdr>
          <w:top w:val="none" w:color="000000" w:sz="0" w:space="0"/>
          <w:left w:val="none" w:color="000000" w:sz="0" w:space="0"/>
          <w:bottom w:val="none" w:color="000000" w:sz="0" w:space="0"/>
          <w:right w:val="none" w:color="000000" w:sz="0" w:space="0"/>
        </w:pBd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c）投标方应根据招标方提供的项目资料，安排好工作计划并告知招标方，以便招标方配合工作。</w:t>
      </w:r>
    </w:p>
    <w:p>
      <w:pPr>
        <w:pBdr>
          <w:top w:val="none" w:color="000000" w:sz="0" w:space="0"/>
          <w:left w:val="none" w:color="000000" w:sz="0" w:space="0"/>
          <w:bottom w:val="none" w:color="000000" w:sz="0" w:space="0"/>
          <w:right w:val="none" w:color="000000" w:sz="0" w:space="0"/>
        </w:pBdr>
        <w:spacing w:line="300" w:lineRule="auto"/>
        <w:rPr>
          <w:rFonts w:asciiTheme="minorEastAsia" w:hAnsiTheme="minorEastAsia" w:eastAsiaTheme="minorEastAsia"/>
          <w:szCs w:val="21"/>
        </w:rPr>
      </w:pPr>
      <w:r>
        <w:rPr>
          <w:rFonts w:hint="eastAsia" w:asciiTheme="minorEastAsia" w:hAnsiTheme="minorEastAsia" w:eastAsiaTheme="minorEastAsia"/>
          <w:szCs w:val="21"/>
        </w:rPr>
        <w:t xml:space="preserve">  d）双方对工作涉及内容均有保密的义务，未经双方书面同意，任何一方不得泄露监测报告内容，不能以何种形式或载于何种载体给第三方。</w:t>
      </w:r>
    </w:p>
    <w:p>
      <w:pPr>
        <w:pBdr>
          <w:top w:val="none" w:color="000000" w:sz="0" w:space="0"/>
          <w:left w:val="none" w:color="000000" w:sz="0" w:space="0"/>
          <w:bottom w:val="none" w:color="000000" w:sz="0" w:space="0"/>
          <w:right w:val="none" w:color="000000" w:sz="0" w:space="0"/>
        </w:pBd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e）投标方应建立以项目负责人为安全生产第一责任人的组织机构，配备1名兼职安全生产管理人员。</w:t>
      </w:r>
    </w:p>
    <w:p>
      <w:pPr>
        <w:pBdr>
          <w:top w:val="none" w:color="000000" w:sz="0" w:space="0"/>
          <w:left w:val="none" w:color="000000" w:sz="0" w:space="0"/>
          <w:bottom w:val="none" w:color="000000" w:sz="0" w:space="0"/>
          <w:right w:val="none" w:color="000000" w:sz="0" w:space="0"/>
        </w:pBd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f）项目负责人须为投标方单位正式员工,应具有丰富的相关专业技术知识、管理经验和责任性，有3年及以上相关工作经验。</w:t>
      </w:r>
    </w:p>
    <w:p>
      <w:pPr>
        <w:pBdr>
          <w:top w:val="none" w:color="000000" w:sz="0" w:space="0"/>
          <w:left w:val="none" w:color="000000" w:sz="0" w:space="0"/>
          <w:bottom w:val="none" w:color="000000" w:sz="0" w:space="0"/>
          <w:right w:val="none" w:color="000000" w:sz="0" w:space="0"/>
        </w:pBd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g）对招标方认为投标方不称职的人员，招标方有权要求进行更换。如投标方由于人员、技术或管理等原因而无法履行合同时，招标方有权提前终止合同，终止合同的决定应提前一个月以书面形式通知投标方。对于投标方主要成员的更换需经招标方同意。</w:t>
      </w:r>
    </w:p>
    <w:p>
      <w:pP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5.3.3其他技术要求</w:t>
      </w:r>
    </w:p>
    <w:p>
      <w:pP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a）采样容器严格按照《浙江省环境监测质量保证技术规定》附表1的相关要求执行，容器不能引起新的污染，所用容器不应吸收或吸附某些待测组分，容器不应与某些待测组分发生反应。</w:t>
      </w:r>
    </w:p>
    <w:p>
      <w:pP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b）样品保存严格参照《浙江省环境监测质量保证技术规定》附表1中的相关要求执行，样品保存应分类编号、分开存放，保存温度应符合要求。</w:t>
      </w:r>
    </w:p>
    <w:p>
      <w:pP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c）监测结果有异常时应免费提供第二次现场取样监测。</w:t>
      </w:r>
    </w:p>
    <w:p>
      <w:pP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d）监测数据存在可疑有权要求相关第三方对该批次样品进行重新监测。</w:t>
      </w:r>
    </w:p>
    <w:p>
      <w:pP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e）监测仪器经过计量部门检定，并在有效使用期使用，定期进行校准和比对。</w:t>
      </w:r>
    </w:p>
    <w:p>
      <w:pP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5.3.4项目服务要求</w:t>
      </w:r>
    </w:p>
    <w:p>
      <w:pPr>
        <w:pBdr>
          <w:top w:val="none" w:color="000000" w:sz="0" w:space="0"/>
          <w:left w:val="none" w:color="000000" w:sz="0" w:space="0"/>
          <w:bottom w:val="none" w:color="000000" w:sz="0" w:space="0"/>
          <w:right w:val="none" w:color="000000" w:sz="0" w:space="0"/>
        </w:pBdr>
        <w:spacing w:line="300" w:lineRule="auto"/>
        <w:ind w:firstLine="218"/>
        <w:rPr>
          <w:rFonts w:cs="宋体" w:asciiTheme="minorEastAsia" w:hAnsiTheme="minorEastAsia" w:eastAsiaTheme="minorEastAsia"/>
          <w:color w:val="000000"/>
          <w:szCs w:val="21"/>
        </w:rPr>
      </w:pPr>
      <w:r>
        <w:rPr>
          <w:rFonts w:cs="宋体" w:asciiTheme="minorEastAsia" w:hAnsiTheme="minorEastAsia" w:eastAsiaTheme="minorEastAsia"/>
          <w:color w:val="000000"/>
          <w:spacing w:val="10"/>
          <w:szCs w:val="21"/>
        </w:rPr>
        <w:t>根据《国家重点监控企业自行监测及信息公开办法（试行）》要求及特鲁莱公司机组实际运行情况，投标方每季度来特鲁莱公司开展自行监测工作，并形成监测报告，以备环保部门检查</w:t>
      </w:r>
      <w:r>
        <w:rPr>
          <w:rFonts w:cs="宋体" w:asciiTheme="minorEastAsia" w:hAnsiTheme="minorEastAsia" w:eastAsiaTheme="minorEastAsia"/>
          <w:color w:val="000000"/>
          <w:szCs w:val="21"/>
        </w:rPr>
        <w:t>。</w:t>
      </w:r>
    </w:p>
    <w:p>
      <w:pPr>
        <w:pStyle w:val="2"/>
        <w:numPr>
          <w:ilvl w:val="0"/>
          <w:numId w:val="3"/>
        </w:numPr>
        <w:tabs>
          <w:tab w:val="left" w:pos="360"/>
        </w:tabs>
        <w:spacing w:after="0"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质量保证</w:t>
      </w:r>
    </w:p>
    <w:p>
      <w:pPr>
        <w:pStyle w:val="15"/>
        <w:numPr>
          <w:ilvl w:val="1"/>
          <w:numId w:val="3"/>
        </w:numPr>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投标方提供的报告应加盖公章，符合相关生态环境部门的要求。</w:t>
      </w:r>
    </w:p>
    <w:p>
      <w:pPr>
        <w:pStyle w:val="15"/>
        <w:numPr>
          <w:ilvl w:val="1"/>
          <w:numId w:val="3"/>
        </w:numPr>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投标方对现场样品采样的代表性、合理性负责，对出具的检测报告真实性负责。</w:t>
      </w:r>
    </w:p>
    <w:p>
      <w:pPr>
        <w:pStyle w:val="2"/>
        <w:numPr>
          <w:ilvl w:val="0"/>
          <w:numId w:val="3"/>
        </w:numPr>
        <w:tabs>
          <w:tab w:val="left" w:pos="360"/>
          <w:tab w:val="clear" w:pos="425"/>
        </w:tabs>
        <w:spacing w:after="0"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进度安排</w:t>
      </w:r>
    </w:p>
    <w:p>
      <w:pPr>
        <w:pStyle w:val="15"/>
        <w:numPr>
          <w:ilvl w:val="1"/>
          <w:numId w:val="3"/>
        </w:numPr>
        <w:tabs>
          <w:tab w:val="clear" w:pos="567"/>
        </w:tabs>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监测服务项目进度要求：合同签订之日至2027年12月31日。</w:t>
      </w:r>
    </w:p>
    <w:p>
      <w:pPr>
        <w:pStyle w:val="15"/>
        <w:numPr>
          <w:ilvl w:val="1"/>
          <w:numId w:val="3"/>
        </w:num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投标方每季度现场监测完成后20个工作日内出具一份正式的加盖投标方公章的监测报告，并提交给招标方。</w:t>
      </w:r>
    </w:p>
    <w:p>
      <w:pPr>
        <w:pStyle w:val="2"/>
        <w:numPr>
          <w:ilvl w:val="0"/>
          <w:numId w:val="3"/>
        </w:numPr>
        <w:tabs>
          <w:tab w:val="left" w:pos="360"/>
        </w:tabs>
        <w:spacing w:after="0"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双方责任：</w:t>
      </w:r>
    </w:p>
    <w:p>
      <w:pPr>
        <w:pStyle w:val="15"/>
        <w:numPr>
          <w:ilvl w:val="1"/>
          <w:numId w:val="3"/>
        </w:numPr>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招标方的责任：</w:t>
      </w:r>
    </w:p>
    <w:p>
      <w:pPr>
        <w:spacing w:before="156"/>
        <w:ind w:left="216"/>
        <w:rPr>
          <w:rFonts w:asciiTheme="minorEastAsia" w:hAnsiTheme="minorEastAsia" w:eastAsiaTheme="minorEastAsia"/>
          <w:szCs w:val="21"/>
        </w:rPr>
      </w:pPr>
      <w:r>
        <w:rPr>
          <w:rFonts w:hint="eastAsia" w:asciiTheme="minorEastAsia" w:hAnsiTheme="minorEastAsia" w:eastAsiaTheme="minorEastAsia"/>
          <w:szCs w:val="21"/>
        </w:rPr>
        <w:t>a）应对投标方所有进入工作场所的人员进行安全教育。</w:t>
      </w:r>
    </w:p>
    <w:p>
      <w:pPr>
        <w:spacing w:before="156"/>
        <w:ind w:left="216"/>
        <w:rPr>
          <w:rFonts w:asciiTheme="minorEastAsia" w:hAnsiTheme="minorEastAsia" w:eastAsiaTheme="minorEastAsia"/>
          <w:szCs w:val="21"/>
        </w:rPr>
      </w:pPr>
      <w:r>
        <w:rPr>
          <w:rFonts w:hint="eastAsia" w:asciiTheme="minorEastAsia" w:hAnsiTheme="minorEastAsia" w:eastAsiaTheme="minorEastAsia"/>
          <w:szCs w:val="21"/>
        </w:rPr>
        <w:t>b）招标方需组建相应的工作组配合投标方开展自行监测工作，指定专人负责整体项目的组织实施和与投标方的联络。</w:t>
      </w:r>
    </w:p>
    <w:p>
      <w:pPr>
        <w:spacing w:before="156"/>
        <w:ind w:left="216"/>
        <w:rPr>
          <w:rFonts w:asciiTheme="minorEastAsia" w:hAnsiTheme="minorEastAsia" w:eastAsiaTheme="minorEastAsia"/>
          <w:szCs w:val="21"/>
        </w:rPr>
      </w:pPr>
      <w:r>
        <w:rPr>
          <w:rFonts w:hint="eastAsia" w:asciiTheme="minorEastAsia" w:hAnsiTheme="minorEastAsia" w:eastAsiaTheme="minorEastAsia"/>
          <w:szCs w:val="21"/>
        </w:rPr>
        <w:t>c）投标方进行现场采样检测时，招标方应配合投标方的检测工作，不得出现人为干扰采样、检测行为。</w:t>
      </w:r>
    </w:p>
    <w:p>
      <w:pPr>
        <w:spacing w:before="156"/>
        <w:ind w:left="216"/>
        <w:rPr>
          <w:rFonts w:asciiTheme="minorEastAsia" w:hAnsiTheme="minorEastAsia" w:eastAsiaTheme="minorEastAsia"/>
          <w:szCs w:val="21"/>
        </w:rPr>
      </w:pPr>
      <w:r>
        <w:rPr>
          <w:rFonts w:hint="eastAsia" w:asciiTheme="minorEastAsia" w:hAnsiTheme="minorEastAsia" w:eastAsiaTheme="minorEastAsia"/>
          <w:szCs w:val="21"/>
        </w:rPr>
        <w:t>d）招标方需提供与自行监测工作相关的资料文件。</w:t>
      </w:r>
    </w:p>
    <w:p>
      <w:pPr>
        <w:spacing w:before="156"/>
        <w:ind w:left="216"/>
        <w:rPr>
          <w:rFonts w:asciiTheme="minorEastAsia" w:hAnsiTheme="minorEastAsia" w:eastAsiaTheme="minorEastAsia"/>
          <w:szCs w:val="21"/>
        </w:rPr>
      </w:pPr>
      <w:r>
        <w:rPr>
          <w:rFonts w:hint="eastAsia" w:asciiTheme="minorEastAsia" w:hAnsiTheme="minorEastAsia" w:eastAsiaTheme="minorEastAsia"/>
          <w:szCs w:val="21"/>
        </w:rPr>
        <w:t>e）招标方为投标方工作提供必要的支持和协作。</w:t>
      </w:r>
    </w:p>
    <w:p>
      <w:pPr>
        <w:pStyle w:val="15"/>
        <w:numPr>
          <w:ilvl w:val="1"/>
          <w:numId w:val="3"/>
        </w:numPr>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投标方的责任：</w:t>
      </w:r>
    </w:p>
    <w:p>
      <w:pPr>
        <w:spacing w:before="156"/>
        <w:ind w:left="216"/>
        <w:rPr>
          <w:rFonts w:asciiTheme="minorEastAsia" w:hAnsiTheme="minorEastAsia" w:eastAsiaTheme="minorEastAsia"/>
          <w:szCs w:val="21"/>
        </w:rPr>
      </w:pPr>
      <w:r>
        <w:rPr>
          <w:rFonts w:hint="eastAsia" w:asciiTheme="minorEastAsia" w:hAnsiTheme="minorEastAsia" w:eastAsiaTheme="minorEastAsia"/>
          <w:szCs w:val="21"/>
        </w:rPr>
        <w:t>a）招标方按上述要求及国家有关规范开展自行监测工作。</w:t>
      </w:r>
    </w:p>
    <w:p>
      <w:pPr>
        <w:pBdr>
          <w:top w:val="none" w:color="000000" w:sz="0" w:space="0"/>
          <w:left w:val="none" w:color="000000" w:sz="0" w:space="0"/>
          <w:bottom w:val="none" w:color="000000" w:sz="0" w:space="0"/>
          <w:right w:val="none" w:color="000000" w:sz="0" w:space="0"/>
        </w:pBdr>
        <w:spacing w:before="156"/>
        <w:ind w:left="216"/>
        <w:rPr>
          <w:rFonts w:asciiTheme="minorEastAsia" w:hAnsiTheme="minorEastAsia" w:eastAsiaTheme="minorEastAsia"/>
          <w:szCs w:val="21"/>
        </w:rPr>
      </w:pPr>
      <w:r>
        <w:rPr>
          <w:rFonts w:hint="eastAsia" w:asciiTheme="minorEastAsia" w:hAnsiTheme="minorEastAsia" w:eastAsiaTheme="minorEastAsia"/>
          <w:szCs w:val="21"/>
        </w:rPr>
        <w:t>b）投标方必须对监测现场的各个操作和监测方法的适用性、稳定性和安全性全面负责。</w:t>
      </w:r>
    </w:p>
    <w:p>
      <w:pPr>
        <w:spacing w:before="156"/>
        <w:ind w:left="216"/>
        <w:rPr>
          <w:rFonts w:asciiTheme="minorEastAsia" w:hAnsiTheme="minorEastAsia" w:eastAsiaTheme="minorEastAsia"/>
          <w:szCs w:val="21"/>
        </w:rPr>
      </w:pPr>
      <w:r>
        <w:rPr>
          <w:rFonts w:hint="eastAsia" w:asciiTheme="minorEastAsia" w:hAnsiTheme="minorEastAsia" w:eastAsiaTheme="minorEastAsia"/>
          <w:szCs w:val="21"/>
        </w:rPr>
        <w:t>c）投保方专业人员在现场检测时应严格遵守招标方现场安全文明监督。</w:t>
      </w:r>
    </w:p>
    <w:p>
      <w:pPr>
        <w:spacing w:before="156"/>
        <w:ind w:left="216"/>
        <w:rPr>
          <w:rFonts w:asciiTheme="minorEastAsia" w:hAnsiTheme="minorEastAsia" w:eastAsiaTheme="minorEastAsia"/>
          <w:szCs w:val="21"/>
        </w:rPr>
      </w:pPr>
      <w:r>
        <w:rPr>
          <w:rFonts w:hint="eastAsia" w:asciiTheme="minorEastAsia" w:hAnsiTheme="minorEastAsia" w:eastAsiaTheme="minorEastAsia"/>
          <w:szCs w:val="21"/>
        </w:rPr>
        <w:t>d）投标方须提交盖有</w:t>
      </w:r>
      <w:r>
        <w:rPr>
          <w:rFonts w:asciiTheme="minorEastAsia" w:hAnsiTheme="minorEastAsia" w:eastAsiaTheme="minorEastAsia"/>
          <w:szCs w:val="21"/>
        </w:rPr>
        <w:t>公章的纸质</w:t>
      </w:r>
      <w:r>
        <w:rPr>
          <w:rFonts w:hint="eastAsia" w:asciiTheme="minorEastAsia" w:hAnsiTheme="minorEastAsia" w:eastAsiaTheme="minorEastAsia"/>
          <w:szCs w:val="21"/>
        </w:rPr>
        <w:t>版报告。</w:t>
      </w:r>
    </w:p>
    <w:p>
      <w:pPr>
        <w:spacing w:before="156"/>
        <w:ind w:left="216"/>
        <w:rPr>
          <w:rFonts w:asciiTheme="minorEastAsia" w:hAnsiTheme="minorEastAsia" w:eastAsiaTheme="minorEastAsia"/>
          <w:szCs w:val="21"/>
        </w:rPr>
      </w:pPr>
      <w:r>
        <w:rPr>
          <w:rFonts w:hint="eastAsia" w:asciiTheme="minorEastAsia" w:hAnsiTheme="minorEastAsia" w:eastAsiaTheme="minorEastAsia"/>
          <w:szCs w:val="21"/>
        </w:rPr>
        <w:t>e）现场采样、检测</w:t>
      </w:r>
      <w:r>
        <w:rPr>
          <w:rFonts w:asciiTheme="minorEastAsia" w:hAnsiTheme="minorEastAsia" w:eastAsiaTheme="minorEastAsia"/>
          <w:szCs w:val="21"/>
        </w:rPr>
        <w:t>人员对</w:t>
      </w:r>
      <w:r>
        <w:rPr>
          <w:rFonts w:hint="eastAsia" w:asciiTheme="minorEastAsia" w:hAnsiTheme="minorEastAsia" w:eastAsiaTheme="minorEastAsia"/>
          <w:szCs w:val="21"/>
        </w:rPr>
        <w:t>合同服务期间的技术资料和相关信息承担保密义务。</w:t>
      </w:r>
    </w:p>
    <w:p>
      <w:pPr>
        <w:spacing w:before="156"/>
        <w:ind w:left="216"/>
        <w:rPr>
          <w:rFonts w:asciiTheme="minorEastAsia" w:hAnsiTheme="minorEastAsia" w:eastAsiaTheme="minorEastAsia"/>
          <w:szCs w:val="21"/>
        </w:rPr>
      </w:pPr>
      <w:r>
        <w:rPr>
          <w:rFonts w:hint="eastAsia" w:asciiTheme="minorEastAsia" w:hAnsiTheme="minorEastAsia" w:eastAsiaTheme="minorEastAsia"/>
          <w:szCs w:val="21"/>
        </w:rPr>
        <w:t>f）投标方协助招标方完成自行监测工作。</w:t>
      </w:r>
    </w:p>
    <w:p>
      <w:pPr>
        <w:spacing w:before="156"/>
        <w:ind w:left="216"/>
        <w:rPr>
          <w:rFonts w:asciiTheme="minorEastAsia" w:hAnsiTheme="minorEastAsia" w:eastAsiaTheme="minorEastAsia"/>
          <w:szCs w:val="21"/>
        </w:rPr>
      </w:pPr>
      <w:r>
        <w:rPr>
          <w:rFonts w:hint="eastAsia" w:asciiTheme="minorEastAsia" w:hAnsiTheme="minorEastAsia" w:eastAsiaTheme="minorEastAsia"/>
          <w:szCs w:val="21"/>
        </w:rPr>
        <w:t>h）投标方按照时间节点完成各项工作。</w:t>
      </w:r>
    </w:p>
    <w:p>
      <w:pPr>
        <w:pStyle w:val="2"/>
        <w:numPr>
          <w:ilvl w:val="0"/>
          <w:numId w:val="3"/>
        </w:numPr>
        <w:tabs>
          <w:tab w:val="left" w:pos="360"/>
        </w:tabs>
        <w:spacing w:after="0"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考核条款</w:t>
      </w:r>
    </w:p>
    <w:p>
      <w:pPr>
        <w:pStyle w:val="15"/>
        <w:numPr>
          <w:ilvl w:val="1"/>
          <w:numId w:val="3"/>
        </w:numPr>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投标方委派的项目负责人不得任意调换，未经招标方同意擅自调换的，每次扣除合同费10%。</w:t>
      </w:r>
    </w:p>
    <w:p>
      <w:pPr>
        <w:pStyle w:val="15"/>
        <w:numPr>
          <w:ilvl w:val="1"/>
          <w:numId w:val="3"/>
        </w:numPr>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招标方有权要求投标方更换不称职及不满足工作要求的的检测人员,直到终止合同。若项目负责人、检测人员履行合同不力，招标方有权要求更换相关人员，投标方在接到招标方书面通知后2日内予以更换同等技能的人，更换的人员在其前任离岗同时到岗，否则将处以500元/天的逾期扣款。</w:t>
      </w:r>
    </w:p>
    <w:p>
      <w:pPr>
        <w:pStyle w:val="15"/>
        <w:numPr>
          <w:ilvl w:val="1"/>
          <w:numId w:val="3"/>
        </w:numPr>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现场检测人员未经批准不得调离现场作业组或从事与本项目无关的其他工作，每发现1人次，罚现金500元/日。</w:t>
      </w:r>
    </w:p>
    <w:p>
      <w:pPr>
        <w:pStyle w:val="15"/>
        <w:numPr>
          <w:ilvl w:val="1"/>
          <w:numId w:val="3"/>
        </w:numPr>
        <w:spacing w:before="156" w:line="300" w:lineRule="auto"/>
        <w:rPr>
          <w:rFonts w:asciiTheme="minorEastAsia" w:hAnsiTheme="minorEastAsia" w:eastAsiaTheme="minorEastAsia"/>
          <w:sz w:val="21"/>
          <w:szCs w:val="21"/>
        </w:rPr>
      </w:pPr>
      <w:r>
        <w:rPr>
          <w:rFonts w:asciiTheme="minorEastAsia" w:hAnsiTheme="minorEastAsia" w:eastAsiaTheme="minorEastAsia"/>
          <w:sz w:val="21"/>
          <w:szCs w:val="21"/>
        </w:rPr>
        <w:t>其他未尽事宜，请参照</w:t>
      </w:r>
      <w:r>
        <w:rPr>
          <w:rFonts w:hint="eastAsia" w:asciiTheme="minorEastAsia" w:hAnsiTheme="minorEastAsia" w:eastAsiaTheme="minorEastAsia"/>
          <w:sz w:val="21"/>
          <w:szCs w:val="21"/>
        </w:rPr>
        <w:t>《承发包项目安全管理实施细则》、《个人安全绩效考核办法》等浙江温州特鲁莱发电有限责任公司相关制度。</w:t>
      </w:r>
    </w:p>
    <w:sectPr>
      <w:headerReference r:id="rId4" w:type="default"/>
      <w:footerReference r:id="rId5" w:type="default"/>
      <w:pgSz w:w="11906" w:h="16838"/>
      <w:pgMar w:top="1440" w:right="1274" w:bottom="1440" w:left="1800" w:header="851" w:footer="992" w:gutter="0"/>
      <w:pgNumType w:start="1"/>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6687"/>
        <w:tab w:val="clear" w:pos="4153"/>
        <w:tab w:val="clear" w:pos="8306"/>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文本框 1025" o:spid="_x0000_s1025"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uu6UjwwEAAHQDAAAOAAAAAAAAAAEAIAAAAB4BAABkcnMvZTJvRG9jLnhtbFBL&#10;BQYAAAAABgAGAFkBAABTBQAAAAA=&#10;">
          <v:path/>
          <v:fill on="f" focussize="0,0"/>
          <v:stroke on="f"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p>
    <w:pPr>
      <w:pStyle w:val="5"/>
      <w:tabs>
        <w:tab w:val="left" w:pos="6687"/>
        <w:tab w:val="clear" w:pos="4153"/>
        <w:tab w:val="clear" w:pos="8306"/>
      </w:tabs>
    </w:pPr>
    <w: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rPr>
        <w:sz w:val="18"/>
        <w:szCs w:val="18"/>
      </w:rPr>
    </w:pPr>
    <w:r>
      <w:rPr>
        <w:rFonts w:hint="eastAsia"/>
        <w:sz w:val="18"/>
        <w:szCs w:val="18"/>
      </w:rPr>
      <w:t xml:space="preserve">浙江温州特鲁莱发电有限责任公司                                       </w:t>
    </w:r>
    <w:r>
      <w:rPr>
        <w:rFonts w:hint="eastAsia" w:ascii="宋体" w:hAnsi="宋体"/>
        <w:szCs w:val="21"/>
      </w:rPr>
      <w:t>2026-2027年</w:t>
    </w:r>
    <w:r>
      <w:rPr>
        <w:sz w:val="18"/>
        <w:szCs w:val="18"/>
      </w:rPr>
      <w:t>自行监测服务</w:t>
    </w:r>
    <w:r>
      <w:rPr>
        <w:rFonts w:hint="eastAsia"/>
        <w:sz w:val="18"/>
        <w:szCs w:val="18"/>
      </w:rPr>
      <w:t>技术规范书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multilevel"/>
    <w:tmpl w:val="B5E306ED"/>
    <w:lvl w:ilvl="0" w:tentative="0">
      <w:start w:val="4"/>
      <w:numFmt w:val="decimal"/>
      <w:lvlText w:val="%1"/>
      <w:lvlJc w:val="left"/>
      <w:pPr>
        <w:tabs>
          <w:tab w:val="left" w:pos="425"/>
        </w:tabs>
        <w:ind w:left="425" w:hanging="425"/>
      </w:pPr>
      <w:rPr>
        <w:rFonts w:hint="eastAsia"/>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680"/>
        </w:tabs>
        <w:ind w:left="680" w:hanging="680"/>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1">
    <w:nsid w:val="CF092B84"/>
    <w:multiLevelType w:val="multilevel"/>
    <w:tmpl w:val="CF092B84"/>
    <w:lvl w:ilvl="0" w:tentative="0">
      <w:start w:val="1"/>
      <w:numFmt w:val="decimal"/>
      <w:lvlText w:val="%1."/>
      <w:lvlJc w:val="left"/>
      <w:pPr>
        <w:ind w:left="420" w:hanging="420"/>
      </w:pPr>
      <w:rPr>
        <w:rFonts w:hint="eastAsia"/>
      </w:rPr>
    </w:lvl>
    <w:lvl w:ilvl="1" w:tentative="0">
      <w:start w:val="5"/>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9ADCABA"/>
    <w:multiLevelType w:val="multilevel"/>
    <w:tmpl w:val="59ADCABA"/>
    <w:lvl w:ilvl="0" w:tentative="0">
      <w:start w:val="1"/>
      <w:numFmt w:val="decimal"/>
      <w:lvlText w:val="1.%1"/>
      <w:lvlJc w:val="center"/>
      <w:pPr>
        <w:tabs>
          <w:tab w:val="left" w:pos="420"/>
        </w:tabs>
        <w:ind w:left="0" w:firstLine="0"/>
      </w:pPr>
      <w:rPr>
        <w:rFonts w:hint="eastAsia"/>
      </w:rPr>
    </w:lvl>
    <w:lvl w:ilvl="1" w:tentative="0">
      <w:start w:val="1"/>
      <w:numFmt w:val="lowerLetter"/>
      <w:lvlText w:val="%2)"/>
      <w:lvlJc w:val="left"/>
      <w:pPr>
        <w:tabs>
          <w:tab w:val="left" w:pos="420"/>
        </w:tabs>
        <w:ind w:left="0" w:firstLine="0"/>
      </w:pPr>
      <w:rPr>
        <w:rFonts w:hint="eastAsia"/>
      </w:rPr>
    </w:lvl>
    <w:lvl w:ilvl="2" w:tentative="0">
      <w:start w:val="1"/>
      <w:numFmt w:val="lowerRoman"/>
      <w:lvlText w:val="%3."/>
      <w:lvlJc w:val="right"/>
      <w:pPr>
        <w:tabs>
          <w:tab w:val="left" w:pos="420"/>
        </w:tabs>
        <w:ind w:left="0" w:firstLine="0"/>
      </w:pPr>
      <w:rPr>
        <w:rFonts w:hint="eastAsia"/>
      </w:rPr>
    </w:lvl>
    <w:lvl w:ilvl="3" w:tentative="0">
      <w:start w:val="1"/>
      <w:numFmt w:val="decimal"/>
      <w:lvlText w:val="%4."/>
      <w:lvlJc w:val="left"/>
      <w:pPr>
        <w:tabs>
          <w:tab w:val="left" w:pos="420"/>
        </w:tabs>
        <w:ind w:left="0" w:firstLine="0"/>
      </w:pPr>
      <w:rPr>
        <w:rFonts w:hint="eastAsia"/>
      </w:rPr>
    </w:lvl>
    <w:lvl w:ilvl="4" w:tentative="0">
      <w:start w:val="1"/>
      <w:numFmt w:val="lowerLetter"/>
      <w:lvlText w:val="%5)"/>
      <w:lvlJc w:val="left"/>
      <w:pPr>
        <w:tabs>
          <w:tab w:val="left" w:pos="420"/>
        </w:tabs>
        <w:ind w:left="0" w:firstLine="0"/>
      </w:pPr>
      <w:rPr>
        <w:rFonts w:hint="eastAsia"/>
      </w:rPr>
    </w:lvl>
    <w:lvl w:ilvl="5" w:tentative="0">
      <w:start w:val="1"/>
      <w:numFmt w:val="lowerRoman"/>
      <w:lvlText w:val="%6."/>
      <w:lvlJc w:val="right"/>
      <w:pPr>
        <w:tabs>
          <w:tab w:val="left" w:pos="420"/>
        </w:tabs>
        <w:ind w:left="0" w:firstLine="0"/>
      </w:pPr>
      <w:rPr>
        <w:rFonts w:hint="eastAsia"/>
      </w:rPr>
    </w:lvl>
    <w:lvl w:ilvl="6" w:tentative="0">
      <w:start w:val="1"/>
      <w:numFmt w:val="decimal"/>
      <w:lvlText w:val="%7."/>
      <w:lvlJc w:val="left"/>
      <w:pPr>
        <w:tabs>
          <w:tab w:val="left" w:pos="420"/>
        </w:tabs>
        <w:ind w:left="0" w:firstLine="0"/>
      </w:pPr>
      <w:rPr>
        <w:rFonts w:hint="eastAsia"/>
      </w:rPr>
    </w:lvl>
    <w:lvl w:ilvl="7" w:tentative="0">
      <w:start w:val="1"/>
      <w:numFmt w:val="lowerLetter"/>
      <w:lvlText w:val="%8)"/>
      <w:lvlJc w:val="left"/>
      <w:pPr>
        <w:tabs>
          <w:tab w:val="left" w:pos="420"/>
        </w:tabs>
        <w:ind w:left="0" w:firstLine="0"/>
      </w:pPr>
      <w:rPr>
        <w:rFonts w:hint="eastAsia"/>
      </w:rPr>
    </w:lvl>
    <w:lvl w:ilvl="8" w:tentative="0">
      <w:start w:val="1"/>
      <w:numFmt w:val="lowerRoman"/>
      <w:lvlText w:val="%9."/>
      <w:lvlJc w:val="right"/>
      <w:pPr>
        <w:tabs>
          <w:tab w:val="left" w:pos="420"/>
        </w:tabs>
        <w:ind w:left="0" w:firstLine="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C1A52"/>
    <w:rsid w:val="00036B95"/>
    <w:rsid w:val="000621FF"/>
    <w:rsid w:val="00162C7B"/>
    <w:rsid w:val="001740E5"/>
    <w:rsid w:val="00192D13"/>
    <w:rsid w:val="00196E7F"/>
    <w:rsid w:val="001A72BF"/>
    <w:rsid w:val="001C4170"/>
    <w:rsid w:val="00210A42"/>
    <w:rsid w:val="00261D3F"/>
    <w:rsid w:val="00276F16"/>
    <w:rsid w:val="002C3505"/>
    <w:rsid w:val="00307DBE"/>
    <w:rsid w:val="003124FF"/>
    <w:rsid w:val="00343F4B"/>
    <w:rsid w:val="0035772C"/>
    <w:rsid w:val="0039784F"/>
    <w:rsid w:val="003A03ED"/>
    <w:rsid w:val="00400F18"/>
    <w:rsid w:val="00401985"/>
    <w:rsid w:val="004C1A52"/>
    <w:rsid w:val="005007F2"/>
    <w:rsid w:val="00513A8D"/>
    <w:rsid w:val="005A62E4"/>
    <w:rsid w:val="005C3F3E"/>
    <w:rsid w:val="00682E30"/>
    <w:rsid w:val="006A050B"/>
    <w:rsid w:val="006A08EA"/>
    <w:rsid w:val="006B3C30"/>
    <w:rsid w:val="00712A08"/>
    <w:rsid w:val="0073307A"/>
    <w:rsid w:val="00752E61"/>
    <w:rsid w:val="007A0C07"/>
    <w:rsid w:val="007B6CC7"/>
    <w:rsid w:val="007D343A"/>
    <w:rsid w:val="007E59F2"/>
    <w:rsid w:val="007F0E8E"/>
    <w:rsid w:val="008435D2"/>
    <w:rsid w:val="008501B7"/>
    <w:rsid w:val="008B1D1F"/>
    <w:rsid w:val="008D4AF2"/>
    <w:rsid w:val="008E6476"/>
    <w:rsid w:val="0093199C"/>
    <w:rsid w:val="00964282"/>
    <w:rsid w:val="00981796"/>
    <w:rsid w:val="009B30EF"/>
    <w:rsid w:val="009B5D0C"/>
    <w:rsid w:val="009B6599"/>
    <w:rsid w:val="009C0F1F"/>
    <w:rsid w:val="009D376C"/>
    <w:rsid w:val="00A51D78"/>
    <w:rsid w:val="00A64989"/>
    <w:rsid w:val="00AB09A3"/>
    <w:rsid w:val="00AC1CFA"/>
    <w:rsid w:val="00BB0390"/>
    <w:rsid w:val="00C1371E"/>
    <w:rsid w:val="00C26EA6"/>
    <w:rsid w:val="00CD1275"/>
    <w:rsid w:val="00D0028B"/>
    <w:rsid w:val="00D06619"/>
    <w:rsid w:val="00D8786C"/>
    <w:rsid w:val="00DD60C4"/>
    <w:rsid w:val="00DD660F"/>
    <w:rsid w:val="00E456A1"/>
    <w:rsid w:val="00E65D0A"/>
    <w:rsid w:val="00EF5F79"/>
    <w:rsid w:val="1D9D07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0"/>
      <w:lang w:val="en-US" w:eastAsia="zh-CN" w:bidi="ar-SA"/>
    </w:rPr>
  </w:style>
  <w:style w:type="paragraph" w:styleId="2">
    <w:name w:val="heading 2"/>
    <w:basedOn w:val="1"/>
    <w:next w:val="1"/>
    <w:link w:val="12"/>
    <w:qFormat/>
    <w:uiPriority w:val="0"/>
    <w:pPr>
      <w:keepNext/>
      <w:keepLines/>
      <w:spacing w:before="260" w:after="260" w:line="416" w:lineRule="atLeast"/>
      <w:outlineLvl w:val="1"/>
    </w:pPr>
    <w:rPr>
      <w:rFonts w:ascii="Arial" w:hAnsi="Arial" w:eastAsia="黑体" w:cs="Arial"/>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3"/>
    <w:unhideWhenUsed/>
    <w:qFormat/>
    <w:uiPriority w:val="99"/>
    <w:pPr>
      <w:ind w:firstLine="420"/>
    </w:pPr>
    <w:rPr>
      <w:rFonts w:ascii="宋体" w:hAnsi="宋体"/>
      <w:color w:val="000000"/>
      <w:szCs w:val="21"/>
    </w:rPr>
  </w:style>
  <w:style w:type="paragraph" w:styleId="4">
    <w:name w:val="Date"/>
    <w:basedOn w:val="1"/>
    <w:next w:val="1"/>
    <w:link w:val="17"/>
    <w:semiHidden/>
    <w:unhideWhenUsed/>
    <w:qFormat/>
    <w:uiPriority w:val="99"/>
    <w:pPr>
      <w:ind w:left="100" w:leftChars="2500"/>
    </w:p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pPr>
      <w:widowControl w:val="0"/>
      <w:jc w:val="both"/>
    </w:pPr>
    <w:rPr>
      <w:rFonts w:ascii="Times New Roman" w:hAnsi="Times New Roman" w:eastAsia="宋体" w:cs="Arial"/>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0">
    <w:name w:val="页眉 Char"/>
    <w:basedOn w:val="9"/>
    <w:link w:val="6"/>
    <w:semiHidden/>
    <w:qFormat/>
    <w:uiPriority w:val="99"/>
    <w:rPr>
      <w:sz w:val="18"/>
      <w:szCs w:val="18"/>
    </w:rPr>
  </w:style>
  <w:style w:type="character" w:customStyle="1" w:styleId="11">
    <w:name w:val="页脚 Char"/>
    <w:basedOn w:val="9"/>
    <w:link w:val="5"/>
    <w:qFormat/>
    <w:uiPriority w:val="99"/>
    <w:rPr>
      <w:sz w:val="18"/>
      <w:szCs w:val="18"/>
    </w:rPr>
  </w:style>
  <w:style w:type="character" w:customStyle="1" w:styleId="12">
    <w:name w:val="标题 2 Char"/>
    <w:basedOn w:val="9"/>
    <w:link w:val="2"/>
    <w:qFormat/>
    <w:uiPriority w:val="0"/>
    <w:rPr>
      <w:rFonts w:ascii="Arial" w:hAnsi="Arial" w:eastAsia="黑体" w:cs="Arial"/>
      <w:b/>
      <w:bCs/>
      <w:kern w:val="0"/>
      <w:sz w:val="32"/>
      <w:szCs w:val="32"/>
    </w:rPr>
  </w:style>
  <w:style w:type="character" w:customStyle="1" w:styleId="13">
    <w:name w:val="正文文本缩进 Char"/>
    <w:basedOn w:val="9"/>
    <w:link w:val="3"/>
    <w:qFormat/>
    <w:uiPriority w:val="99"/>
    <w:rPr>
      <w:rFonts w:ascii="宋体" w:hAnsi="宋体" w:eastAsia="宋体" w:cs="Times New Roman"/>
      <w:color w:val="000000"/>
      <w:kern w:val="0"/>
      <w:szCs w:val="21"/>
    </w:rPr>
  </w:style>
  <w:style w:type="paragraph" w:customStyle="1" w:styleId="14">
    <w:name w:val="段"/>
    <w:link w:val="16"/>
    <w:qFormat/>
    <w:uiPriority w:val="0"/>
    <w:pPr>
      <w:tabs>
        <w:tab w:val="center" w:pos="4201"/>
        <w:tab w:val="right" w:leader="dot" w:pos="9298"/>
      </w:tabs>
      <w:ind w:firstLine="420"/>
      <w:jc w:val="both"/>
    </w:pPr>
    <w:rPr>
      <w:rFonts w:ascii="宋体" w:hAnsi="Times New Roman" w:eastAsia="宋体" w:cs="Arial"/>
      <w:kern w:val="0"/>
      <w:sz w:val="21"/>
      <w:szCs w:val="24"/>
      <w:lang w:val="en-US" w:eastAsia="zh-CN" w:bidi="ar-SA"/>
    </w:rPr>
  </w:style>
  <w:style w:type="paragraph" w:styleId="15">
    <w:name w:val="List Paragraph"/>
    <w:basedOn w:val="1"/>
    <w:qFormat/>
    <w:uiPriority w:val="99"/>
    <w:pPr>
      <w:ind w:firstLine="420"/>
    </w:pPr>
    <w:rPr>
      <w:rFonts w:ascii="Calibri" w:hAnsi="Calibri"/>
      <w:sz w:val="22"/>
      <w:szCs w:val="22"/>
    </w:rPr>
  </w:style>
  <w:style w:type="character" w:customStyle="1" w:styleId="16">
    <w:name w:val="段 Char"/>
    <w:basedOn w:val="9"/>
    <w:link w:val="14"/>
    <w:qFormat/>
    <w:uiPriority w:val="0"/>
    <w:rPr>
      <w:rFonts w:ascii="宋体" w:hAnsi="Times New Roman" w:eastAsia="宋体" w:cs="Arial"/>
      <w:kern w:val="0"/>
      <w:szCs w:val="24"/>
    </w:rPr>
  </w:style>
  <w:style w:type="character" w:customStyle="1" w:styleId="17">
    <w:name w:val="日期 Char"/>
    <w:basedOn w:val="9"/>
    <w:link w:val="4"/>
    <w:semiHidden/>
    <w:qFormat/>
    <w:uiPriority w:val="99"/>
    <w:rPr>
      <w:rFonts w:ascii="Times New Roman" w:hAnsi="Times New Roman" w:eastAsia="宋体" w:cs="Times New Roman"/>
      <w:kern w:val="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681</Words>
  <Characters>3887</Characters>
  <Lines>32</Lines>
  <Paragraphs>9</Paragraphs>
  <TotalTime>151</TotalTime>
  <ScaleCrop>false</ScaleCrop>
  <LinksUpToDate>false</LinksUpToDate>
  <CharactersWithSpaces>4559</CharactersWithSpaces>
  <Application>WPS Office_11.8.6.11829_F1E327BC-269C-435d-A152-05C5408002CA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2023-12-20T02:01:00Z</dcterms:created>
  <dc:creator>尹光炜</dc:creator>
  <cp:lastModifiedBy>王岑萱</cp:lastModifiedBy>
  <cp:lastPrinted>2023-12-22T04:16:00Z</cp:lastPrinted>
  <dcterms:modified xsi:type="dcterms:W3CDTF">2025-09-28T04:28:57Z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2052-11.8.6.11829</vt:lpwstr>
  </property>
  <property fmtid="{D5CDD505-2E9C-101B-9397-08002B2CF9AE}" pid="3" name="ICV">
    <vt:lpwstr>6B112CC9E9D3401EA7B642226B4B3B67</vt:lpwstr>
  </property>
</Properties>
</file>