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120" w:line="480" w:lineRule="auto"/>
        <w:jc w:val="center"/>
        <w:rPr>
          <w:rFonts w:ascii="宋体" w:hAnsi="华文楷体"/>
          <w:b/>
          <w:sz w:val="52"/>
          <w:szCs w:val="52"/>
        </w:rPr>
      </w:pPr>
      <w:r>
        <w:rPr>
          <w:rFonts w:ascii="宋体" w:hAnsi="华文楷体"/>
          <w:b/>
          <w:sz w:val="52"/>
          <w:szCs w:val="52"/>
        </w:rPr>
        <w:pict>
          <v:rect id="矩形 4" o:spid="_x0000_s1026" o:spt="1" style="position:absolute;left:0pt;margin-left:-53.5pt;margin-top:38.65pt;height:23.25pt;width:125.7pt;z-index:251661312;mso-width-relative:page;mso-height-relative:page;" coordsize="21600,21600" o:gfxdata="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PsT/MLcAAAACwEAAA8AAAAAAAAAAQAg&#10;AAAAIgAAAGRycy9kb3ducmV2LnhtbFBLAQIUABQAAAAIAIdO4kAd6Dh6CgIAADcEAAAOAAAAAAAA&#10;AAEAIAAAACsBAABkcnMvZTJvRG9jLnhtbFBLBQYAAAAABgAGAFkBAACnBQAAAAA=&#10;">
            <v:path/>
            <v:fill focussize="0,0"/>
            <v:stroke/>
            <v:imagedata o:title=""/>
            <o:lock v:ext="edit"/>
            <v:textbox inset="3.5mm,1.27mm,2.54mm,1.27mm">
              <w:txbxContent>
                <w:p>
                  <w:pPr>
                    <w:jc w:val="center"/>
                    <w:rPr>
                      <w:b/>
                      <w:sz w:val="24"/>
                    </w:rPr>
                  </w:pPr>
                  <w:r>
                    <w:rPr>
                      <w:b/>
                      <w:sz w:val="18"/>
                      <w:szCs w:val="18"/>
                    </w:rPr>
                    <w:t>NO.20</w:t>
                  </w:r>
                  <w:r>
                    <w:rPr>
                      <w:rFonts w:hint="eastAsia"/>
                      <w:b/>
                      <w:sz w:val="18"/>
                      <w:szCs w:val="18"/>
                    </w:rPr>
                    <w:t>25</w:t>
                  </w:r>
                  <w:r>
                    <w:rPr>
                      <w:b/>
                      <w:sz w:val="18"/>
                      <w:szCs w:val="18"/>
                    </w:rPr>
                    <w:t>-</w:t>
                  </w:r>
                  <w:r>
                    <w:rPr>
                      <w:rFonts w:hint="eastAsia"/>
                      <w:b/>
                      <w:sz w:val="18"/>
                      <w:szCs w:val="18"/>
                    </w:rPr>
                    <w:t>9</w:t>
                  </w:r>
                </w:p>
              </w:txbxContent>
            </v:textbox>
          </v:rect>
        </w:pict>
      </w:r>
      <w:r>
        <w:rPr>
          <w:rFonts w:ascii="宋体" w:hAnsi="华文楷体"/>
          <w:b/>
          <w:sz w:val="52"/>
          <w:szCs w:val="52"/>
        </w:rPr>
        <w:pict>
          <v:rect id="矩形 3" o:spid="_x0000_s2051" o:spt="1" style="position:absolute;left:0pt;margin-left:-53.55pt;margin-top:61.8pt;height:23.4pt;width:125.55pt;z-index:251660288;mso-width-relative:page;mso-height-relative:page;" coordsize="21600,21600" o:gfxdata="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Ye7FG2wAAAAwBAAAPAAAAAAAA&#10;AAEAIAAAACIAAABkcnMvZG93bnJldi54bWxQSwECFAAUAAAACACHTuJA0Zy2PQ8CAAA3BAAADgAA&#10;AAAAAAABACAAAAAqAQAAZHJzL2Uyb0RvYy54bWxQSwUGAAAAAAYABgBZAQAAqwUAAAAA&#10;">
            <v:path/>
            <v:fill focussize="0,0"/>
            <v:stroke/>
            <v:imagedata o:title=""/>
            <o:lock v:ext="edit"/>
            <v:textbox inset="3.5mm,1.27mm,2.54mm,1.27mm">
              <w:txbxContent>
                <w:p>
                  <w:pPr>
                    <w:ind w:firstLine="241" w:firstLineChars="100"/>
                    <w:rPr>
                      <w:b/>
                      <w:sz w:val="24"/>
                    </w:rPr>
                  </w:pPr>
                  <w:r>
                    <w:rPr>
                      <w:rFonts w:hint="eastAsia"/>
                      <w:b/>
                      <w:sz w:val="24"/>
                    </w:rPr>
                    <w:t>　9  月  1 日</w:t>
                  </w:r>
                </w:p>
              </w:txbxContent>
            </v:textbox>
          </v:rect>
        </w:pict>
      </w:r>
      <w:r>
        <w:rPr>
          <w:rFonts w:ascii="宋体" w:hAnsi="华文楷体"/>
          <w:b/>
          <w:sz w:val="52"/>
          <w:szCs w:val="52"/>
        </w:rPr>
        <w:pict>
          <v:rect id="矩形 2" o:spid="_x0000_s2050" o:spt="1" style="position:absolute;left:0pt;margin-left:-53.55pt;margin-top:15pt;height:23.4pt;width:125.55pt;z-index:251659264;mso-width-relative:page;mso-height-relative:page;" coordsize="21600,21600" o:gfxdata="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c4khtoAAAAKAQAADwAAAAAAAAAB&#10;ACAAAAAiAAAAZHJzL2Rvd25yZXYueG1sUEsBAhQAFAAAAAgAh07iQCMtd0cOAgAANwQAAA4AAAAA&#10;AAAAAQAgAAAAKQEAAGRycy9lMm9Eb2MueG1sUEsFBgAAAAAGAAYAWQEAAKkFAAAAAA==&#10;">
            <v:path/>
            <v:fill focussize="0,0"/>
            <v:stroke/>
            <v:imagedata o:title=""/>
            <o:lock v:ext="edit"/>
            <v:textbox inset="3.5mm,1.27mm,2.54mm,1.27mm">
              <w:txbxContent>
                <w:p>
                  <w:pPr>
                    <w:jc w:val="center"/>
                    <w:rPr>
                      <w:b/>
                      <w:sz w:val="24"/>
                    </w:rPr>
                  </w:pPr>
                  <w:r>
                    <w:rPr>
                      <w:rFonts w:hint="eastAsia"/>
                      <w:b/>
                      <w:sz w:val="24"/>
                    </w:rPr>
                    <w:t>B 类</w:t>
                  </w:r>
                </w:p>
              </w:txbxContent>
            </v:textbox>
          </v:rect>
        </w:pict>
      </w:r>
    </w:p>
    <w:p>
      <w:pPr>
        <w:snapToGrid w:val="0"/>
        <w:spacing w:before="120" w:line="480" w:lineRule="auto"/>
        <w:jc w:val="center"/>
        <w:rPr>
          <w:rFonts w:ascii="宋体" w:hAnsi="华文楷体"/>
          <w:b/>
          <w:sz w:val="52"/>
          <w:szCs w:val="52"/>
        </w:rPr>
      </w:pPr>
    </w:p>
    <w:p>
      <w:pPr>
        <w:snapToGrid w:val="0"/>
        <w:spacing w:before="120" w:line="480" w:lineRule="auto"/>
        <w:jc w:val="center"/>
        <w:rPr>
          <w:rFonts w:ascii="宋体" w:hAnsi="华文楷体"/>
          <w:b/>
          <w:sz w:val="52"/>
          <w:szCs w:val="52"/>
        </w:rPr>
      </w:pPr>
      <w:r>
        <w:rPr>
          <w:b/>
          <w:sz w:val="52"/>
          <w:szCs w:val="52"/>
        </w:rPr>
        <w:t>2026-2027</w:t>
      </w:r>
      <w:r>
        <w:rPr>
          <w:rFonts w:hint="eastAsia" w:ascii="宋体" w:hAnsi="华文楷体"/>
          <w:b/>
          <w:sz w:val="52"/>
          <w:szCs w:val="52"/>
        </w:rPr>
        <w:t>年浙能嘉华</w:t>
      </w:r>
    </w:p>
    <w:p>
      <w:pPr>
        <w:snapToGrid w:val="0"/>
        <w:spacing w:before="120" w:line="480" w:lineRule="auto"/>
        <w:jc w:val="center"/>
        <w:rPr>
          <w:rFonts w:ascii="宋体" w:hAnsi="华文楷体"/>
          <w:b/>
          <w:sz w:val="52"/>
          <w:szCs w:val="52"/>
        </w:rPr>
      </w:pPr>
      <w:r>
        <w:rPr>
          <w:rFonts w:hint="eastAsia" w:ascii="宋体" w:hAnsi="华文楷体"/>
          <w:b/>
          <w:sz w:val="52"/>
          <w:szCs w:val="52"/>
        </w:rPr>
        <w:t>环保自行监测服务技术规范书</w:t>
      </w:r>
    </w:p>
    <w:p>
      <w:pPr>
        <w:snapToGrid w:val="0"/>
        <w:spacing w:before="120" w:line="480" w:lineRule="auto"/>
        <w:jc w:val="center"/>
        <w:rPr>
          <w:rFonts w:ascii="宋体" w:hAnsi="华文楷体"/>
          <w:b/>
          <w:sz w:val="52"/>
          <w:szCs w:val="52"/>
        </w:rPr>
      </w:pPr>
    </w:p>
    <w:p>
      <w:pPr>
        <w:ind w:firstLine="1970" w:firstLineChars="545"/>
        <w:rPr>
          <w:b/>
          <w:sz w:val="36"/>
        </w:rPr>
      </w:pPr>
      <w:r>
        <w:rPr>
          <w:rFonts w:hint="eastAsia"/>
          <w:b/>
          <w:sz w:val="36"/>
        </w:rPr>
        <w:t>编   写：</w:t>
      </w:r>
    </w:p>
    <w:p>
      <w:pPr>
        <w:jc w:val="center"/>
        <w:rPr>
          <w:b/>
          <w:sz w:val="36"/>
        </w:rPr>
      </w:pPr>
    </w:p>
    <w:p>
      <w:pPr>
        <w:rPr>
          <w:rFonts w:ascii="宋体"/>
          <w:b/>
          <w:sz w:val="36"/>
        </w:rPr>
      </w:pPr>
    </w:p>
    <w:p>
      <w:pPr>
        <w:ind w:firstLine="1970" w:firstLineChars="545"/>
        <w:rPr>
          <w:rFonts w:ascii="宋体"/>
          <w:b/>
          <w:sz w:val="36"/>
        </w:rPr>
      </w:pPr>
      <w:r>
        <w:rPr>
          <w:rFonts w:hint="eastAsia"/>
          <w:b/>
          <w:sz w:val="36"/>
        </w:rPr>
        <w:t>审   核：</w:t>
      </w:r>
    </w:p>
    <w:p>
      <w:pPr>
        <w:jc w:val="center"/>
        <w:rPr>
          <w:rFonts w:ascii="宋体"/>
          <w:b/>
          <w:sz w:val="36"/>
        </w:rPr>
      </w:pPr>
    </w:p>
    <w:p>
      <w:pPr>
        <w:jc w:val="center"/>
        <w:rPr>
          <w:rFonts w:ascii="宋体"/>
          <w:b/>
          <w:sz w:val="36"/>
        </w:rPr>
      </w:pPr>
    </w:p>
    <w:p>
      <w:pPr>
        <w:ind w:firstLine="1970" w:firstLineChars="545"/>
        <w:rPr>
          <w:b/>
          <w:sz w:val="32"/>
        </w:rPr>
      </w:pPr>
      <w:r>
        <w:rPr>
          <w:rFonts w:hint="eastAsia"/>
          <w:b/>
          <w:sz w:val="36"/>
        </w:rPr>
        <w:t>批   准：</w:t>
      </w:r>
    </w:p>
    <w:p>
      <w:pPr>
        <w:rPr>
          <w:b/>
          <w:sz w:val="36"/>
        </w:rPr>
      </w:pPr>
    </w:p>
    <w:p>
      <w:pPr>
        <w:jc w:val="right"/>
        <w:rPr>
          <w:rFonts w:eastAsia="华文行楷"/>
          <w:b/>
          <w:sz w:val="36"/>
        </w:rPr>
      </w:pPr>
    </w:p>
    <w:p>
      <w:pPr>
        <w:jc w:val="center"/>
        <w:rPr>
          <w:rFonts w:eastAsia="华文行楷"/>
          <w:b/>
          <w:sz w:val="36"/>
        </w:rPr>
      </w:pPr>
      <w:r>
        <w:rPr>
          <w:rFonts w:hint="eastAsia" w:eastAsia="华文行楷"/>
          <w:b/>
          <w:sz w:val="36"/>
        </w:rPr>
        <w:t>浙江浙能嘉华发电有限公司</w:t>
      </w:r>
    </w:p>
    <w:p>
      <w:pPr>
        <w:rPr>
          <w:rFonts w:ascii="宋体" w:hAnsi="宋体" w:cs="宋体"/>
          <w:b/>
          <w:sz w:val="28"/>
          <w:szCs w:val="28"/>
        </w:rPr>
      </w:pPr>
      <w:r>
        <w:rPr>
          <w:rFonts w:hint="eastAsia" w:ascii="宋体" w:hAnsi="宋体" w:cs="宋体"/>
          <w:b/>
          <w:sz w:val="28"/>
          <w:szCs w:val="28"/>
        </w:rPr>
        <w:t>1．项目概述</w:t>
      </w:r>
    </w:p>
    <w:p>
      <w:pPr>
        <w:ind w:firstLine="480" w:firstLineChars="200"/>
        <w:rPr>
          <w:rFonts w:cs="宋体"/>
          <w:color w:val="000000"/>
          <w:kern w:val="0"/>
          <w:sz w:val="24"/>
        </w:rPr>
      </w:pPr>
      <w:r>
        <w:rPr>
          <w:rFonts w:hint="eastAsia" w:hAnsi="宋体" w:cs="宋体"/>
          <w:color w:val="000000"/>
          <w:kern w:val="0"/>
          <w:sz w:val="24"/>
        </w:rPr>
        <w:t>为落实《中华人民共和国环境保护法》《中华人民共和国大气污染防治法》《中华人民共和国水污染防治法》，指导和规范排污单位自行监测工作，国家出台</w:t>
      </w:r>
      <w:r>
        <w:rPr>
          <w:rFonts w:hint="eastAsia" w:cs="宋体"/>
          <w:color w:val="000000"/>
          <w:kern w:val="0"/>
          <w:sz w:val="24"/>
        </w:rPr>
        <w:t>HJ 819-2017</w:t>
      </w:r>
      <w:r>
        <w:rPr>
          <w:rFonts w:hint="eastAsia" w:hAnsi="宋体" w:cs="宋体"/>
          <w:color w:val="000000"/>
          <w:kern w:val="0"/>
          <w:sz w:val="24"/>
        </w:rPr>
        <w:t>《排污单位自行监测技术指南总则》和</w:t>
      </w:r>
      <w:r>
        <w:rPr>
          <w:rFonts w:hint="eastAsia" w:cs="宋体"/>
          <w:color w:val="000000"/>
          <w:kern w:val="0"/>
          <w:sz w:val="24"/>
        </w:rPr>
        <w:t>HJ 820-2017</w:t>
      </w:r>
      <w:r>
        <w:rPr>
          <w:rFonts w:hint="eastAsia" w:hAnsi="宋体" w:cs="宋体"/>
          <w:color w:val="000000"/>
          <w:kern w:val="0"/>
          <w:sz w:val="24"/>
        </w:rPr>
        <w:t>《排污单位自行监测技术指南火力发电及锅炉》，提出了排污单位自行监测的一般要求、监测方案制定、监测质量保证和质量控制、信息记录和报告的基本内容和要求文件要求，不具备相关检测能力的企业也可委托其它有资质的检（监）测机构代其开展自行监测。标准要求的检测指标，我公司实验室人员技能及检测仪表无法满足检测要求，故考虑第三方委托监测。</w:t>
      </w:r>
    </w:p>
    <w:p>
      <w:pPr>
        <w:ind w:firstLine="480" w:firstLineChars="200"/>
        <w:rPr>
          <w:rFonts w:cs="宋体"/>
          <w:kern w:val="0"/>
          <w:sz w:val="24"/>
        </w:rPr>
      </w:pPr>
      <w:r>
        <w:rPr>
          <w:rFonts w:hint="eastAsia" w:hAnsi="宋体" w:cs="宋体"/>
          <w:color w:val="000000"/>
          <w:kern w:val="0"/>
          <w:sz w:val="24"/>
        </w:rPr>
        <w:t>同时根据《危险废物贮存污染控制标准》和《地下水环境监测技术规范》规定的自行监测管理要求，对危废仓库和废油库的地下水进行监测。</w:t>
      </w:r>
      <w:r>
        <w:rPr>
          <w:rFonts w:hint="eastAsia" w:cs="宋体"/>
          <w:kern w:val="0"/>
          <w:sz w:val="24"/>
        </w:rPr>
        <w:t>检测标准和方法按照《地下水环境监测技术规范》和《地下水质量标准》相关环保规范标准要求执行。</w:t>
      </w:r>
    </w:p>
    <w:p>
      <w:pPr>
        <w:pStyle w:val="8"/>
        <w:ind w:right="0" w:rightChars="0" w:firstLine="567"/>
        <w:rPr>
          <w:rFonts w:hAnsi="宋体" w:cs="宋体"/>
          <w:b w:val="0"/>
          <w:color w:val="000000"/>
          <w:kern w:val="0"/>
          <w:sz w:val="24"/>
        </w:rPr>
      </w:pPr>
      <w:r>
        <w:rPr>
          <w:rFonts w:hint="eastAsia" w:hAnsi="宋体" w:cs="宋体"/>
          <w:b w:val="0"/>
          <w:color w:val="000000"/>
          <w:kern w:val="0"/>
          <w:sz w:val="24"/>
        </w:rPr>
        <w:t>采样人员遵守采样操作规范，严格执行监测方案，在各监测点位携带仪器对监测指标进行监测或采样；认真如实填写各项自行监测记录及校验记录并妥善保存记录台账，包括：采样记录、样品保存、分析测试记录、检测报告等；按规定保存、运输样品。</w:t>
      </w:r>
    </w:p>
    <w:p>
      <w:pPr>
        <w:rPr>
          <w:rFonts w:cs="宋体"/>
          <w:b/>
          <w:bCs/>
          <w:color w:val="000000"/>
          <w:kern w:val="0"/>
          <w:sz w:val="28"/>
          <w:szCs w:val="28"/>
        </w:rPr>
      </w:pPr>
      <w:r>
        <w:rPr>
          <w:rFonts w:hint="eastAsia" w:cs="宋体"/>
          <w:b/>
          <w:bCs/>
          <w:color w:val="000000"/>
          <w:kern w:val="0"/>
          <w:sz w:val="28"/>
          <w:szCs w:val="28"/>
        </w:rPr>
        <w:t>2</w:t>
      </w:r>
      <w:r>
        <w:rPr>
          <w:rFonts w:hint="eastAsia" w:hAnsi="宋体" w:cs="宋体"/>
          <w:b/>
          <w:bCs/>
          <w:color w:val="000000"/>
          <w:kern w:val="0"/>
          <w:sz w:val="28"/>
          <w:szCs w:val="28"/>
        </w:rPr>
        <w:t>、现场监测内容</w:t>
      </w:r>
    </w:p>
    <w:p>
      <w:pPr>
        <w:spacing w:line="560" w:lineRule="exact"/>
        <w:ind w:firstLine="480"/>
        <w:jc w:val="left"/>
        <w:outlineLvl w:val="0"/>
        <w:rPr>
          <w:rFonts w:cs="宋体"/>
          <w:sz w:val="24"/>
          <w:shd w:val="clear" w:color="auto" w:fill="FFFFFF"/>
        </w:rPr>
      </w:pPr>
      <w:r>
        <w:rPr>
          <w:rFonts w:hint="eastAsia" w:hAnsi="宋体" w:cs="宋体"/>
          <w:sz w:val="24"/>
          <w:shd w:val="clear" w:color="auto" w:fill="FFFFFF"/>
        </w:rPr>
        <w:t>监测点位、项目及频次</w:t>
      </w:r>
    </w:p>
    <w:tbl>
      <w:tblPr>
        <w:tblStyle w:val="9"/>
        <w:tblW w:w="9000" w:type="dxa"/>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455"/>
        <w:gridCol w:w="3144"/>
        <w:gridCol w:w="2453"/>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类型</w:t>
            </w:r>
          </w:p>
        </w:tc>
        <w:tc>
          <w:tcPr>
            <w:tcW w:w="2455" w:type="dxa"/>
            <w:tcBorders>
              <w:tl2br w:val="nil"/>
              <w:tr2bl w:val="nil"/>
            </w:tcBorders>
            <w:vAlign w:val="center"/>
          </w:tcPr>
          <w:p>
            <w:pPr>
              <w:jc w:val="center"/>
              <w:rPr>
                <w:rFonts w:eastAsia="楷体"/>
                <w:szCs w:val="21"/>
              </w:rPr>
            </w:pPr>
            <w:r>
              <w:rPr>
                <w:rFonts w:hint="eastAsia" w:eastAsia="楷体"/>
                <w:szCs w:val="21"/>
              </w:rPr>
              <w:t>排放口（点位）</w:t>
            </w:r>
          </w:p>
          <w:p>
            <w:pPr>
              <w:jc w:val="center"/>
              <w:rPr>
                <w:rFonts w:eastAsia="楷体"/>
                <w:szCs w:val="21"/>
              </w:rPr>
            </w:pPr>
            <w:r>
              <w:rPr>
                <w:rFonts w:hint="eastAsia" w:eastAsia="楷体"/>
                <w:szCs w:val="21"/>
              </w:rPr>
              <w:t>名称</w:t>
            </w:r>
          </w:p>
        </w:tc>
        <w:tc>
          <w:tcPr>
            <w:tcW w:w="3144" w:type="dxa"/>
            <w:tcBorders>
              <w:tl2br w:val="nil"/>
              <w:tr2bl w:val="nil"/>
            </w:tcBorders>
            <w:vAlign w:val="center"/>
          </w:tcPr>
          <w:p>
            <w:pPr>
              <w:jc w:val="center"/>
              <w:rPr>
                <w:rFonts w:eastAsia="楷体"/>
                <w:szCs w:val="21"/>
              </w:rPr>
            </w:pPr>
            <w:r>
              <w:rPr>
                <w:rFonts w:hint="eastAsia" w:eastAsia="楷体"/>
                <w:szCs w:val="21"/>
              </w:rPr>
              <w:t>监测指标</w:t>
            </w:r>
          </w:p>
        </w:tc>
        <w:tc>
          <w:tcPr>
            <w:tcW w:w="2453" w:type="dxa"/>
            <w:tcBorders>
              <w:tl2br w:val="nil"/>
              <w:tr2bl w:val="nil"/>
            </w:tcBorders>
            <w:vAlign w:val="center"/>
          </w:tcPr>
          <w:p>
            <w:pPr>
              <w:jc w:val="center"/>
              <w:rPr>
                <w:rFonts w:eastAsia="楷体"/>
                <w:szCs w:val="21"/>
              </w:rPr>
            </w:pPr>
            <w:r>
              <w:rPr>
                <w:rFonts w:hint="eastAsia" w:eastAsia="楷体"/>
                <w:szCs w:val="21"/>
              </w:rPr>
              <w:t>监测频次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vMerge w:val="restart"/>
            <w:tcBorders>
              <w:tl2br w:val="nil"/>
              <w:tr2bl w:val="nil"/>
            </w:tcBorders>
            <w:vAlign w:val="center"/>
          </w:tcPr>
          <w:p>
            <w:pPr>
              <w:jc w:val="center"/>
              <w:rPr>
                <w:rFonts w:eastAsia="楷体"/>
                <w:szCs w:val="21"/>
              </w:rPr>
            </w:pPr>
            <w:r>
              <w:rPr>
                <w:rFonts w:hint="eastAsia" w:eastAsia="楷体"/>
                <w:szCs w:val="21"/>
              </w:rPr>
              <w:t>废气</w:t>
            </w:r>
          </w:p>
        </w:tc>
        <w:tc>
          <w:tcPr>
            <w:tcW w:w="2455" w:type="dxa"/>
            <w:tcBorders>
              <w:tl2br w:val="nil"/>
              <w:tr2bl w:val="nil"/>
            </w:tcBorders>
            <w:vAlign w:val="center"/>
          </w:tcPr>
          <w:p>
            <w:pPr>
              <w:jc w:val="center"/>
              <w:rPr>
                <w:rFonts w:eastAsia="楷体"/>
                <w:szCs w:val="21"/>
              </w:rPr>
            </w:pPr>
            <w:r>
              <w:rPr>
                <w:rFonts w:hint="eastAsia" w:eastAsia="楷体"/>
                <w:szCs w:val="21"/>
              </w:rPr>
              <w:t>#3、#4、#5、#6、#7、#8、#9烟囱总排口</w:t>
            </w:r>
          </w:p>
        </w:tc>
        <w:tc>
          <w:tcPr>
            <w:tcW w:w="3144" w:type="dxa"/>
            <w:tcBorders>
              <w:tl2br w:val="nil"/>
              <w:tr2bl w:val="nil"/>
            </w:tcBorders>
            <w:vAlign w:val="center"/>
          </w:tcPr>
          <w:p>
            <w:pPr>
              <w:jc w:val="center"/>
              <w:rPr>
                <w:rFonts w:eastAsia="楷体"/>
                <w:szCs w:val="21"/>
              </w:rPr>
            </w:pPr>
            <w:r>
              <w:rPr>
                <w:rFonts w:hint="eastAsia" w:eastAsia="楷体"/>
                <w:szCs w:val="21"/>
              </w:rPr>
              <w:t>汞及其化合物、氨</w:t>
            </w:r>
          </w:p>
          <w:p>
            <w:pPr>
              <w:jc w:val="center"/>
              <w:rPr>
                <w:rFonts w:eastAsia="楷体"/>
                <w:szCs w:val="21"/>
              </w:rPr>
            </w:pPr>
            <w:r>
              <w:rPr>
                <w:rFonts w:hint="eastAsia" w:eastAsia="楷体"/>
                <w:szCs w:val="21"/>
              </w:rPr>
              <w:t>林格曼黑度</w:t>
            </w:r>
          </w:p>
        </w:tc>
        <w:tc>
          <w:tcPr>
            <w:tcW w:w="2453" w:type="dxa"/>
            <w:tcBorders>
              <w:tl2br w:val="nil"/>
              <w:tr2bl w:val="nil"/>
            </w:tcBorders>
            <w:vAlign w:val="center"/>
          </w:tcPr>
          <w:p>
            <w:pPr>
              <w:jc w:val="center"/>
              <w:rPr>
                <w:rFonts w:eastAsia="楷体"/>
                <w:szCs w:val="21"/>
              </w:rPr>
            </w:pPr>
            <w:r>
              <w:rPr>
                <w:rFonts w:hint="eastAsia" w:eastAsia="楷体"/>
                <w:szCs w:val="21"/>
              </w:rPr>
              <w:t>1次/季度</w:t>
            </w:r>
          </w:p>
          <w:p>
            <w:pPr>
              <w:jc w:val="center"/>
              <w:rPr>
                <w:rFonts w:eastAsia="楷体"/>
                <w:szCs w:val="21"/>
              </w:rPr>
            </w:pPr>
            <w:r>
              <w:rPr>
                <w:rFonts w:hint="eastAsia" w:eastAsia="楷体"/>
                <w:szCs w:val="21"/>
              </w:rPr>
              <w:t>非连续采样至少3次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vMerge w:val="continue"/>
            <w:tcBorders>
              <w:tl2br w:val="nil"/>
              <w:tr2bl w:val="nil"/>
            </w:tcBorders>
            <w:vAlign w:val="center"/>
          </w:tcPr>
          <w:p>
            <w:pPr>
              <w:jc w:val="center"/>
              <w:rPr>
                <w:rFonts w:eastAsia="楷体"/>
                <w:szCs w:val="21"/>
              </w:rPr>
            </w:pPr>
          </w:p>
        </w:tc>
        <w:tc>
          <w:tcPr>
            <w:tcW w:w="2455" w:type="dxa"/>
            <w:tcBorders>
              <w:tl2br w:val="nil"/>
              <w:tr2bl w:val="nil"/>
            </w:tcBorders>
            <w:vAlign w:val="center"/>
          </w:tcPr>
          <w:p>
            <w:pPr>
              <w:jc w:val="center"/>
              <w:rPr>
                <w:rFonts w:eastAsia="楷体"/>
                <w:szCs w:val="21"/>
              </w:rPr>
            </w:pPr>
            <w:r>
              <w:rPr>
                <w:rFonts w:hint="eastAsia" w:eastAsia="楷体"/>
                <w:szCs w:val="21"/>
              </w:rPr>
              <w:t>#3、#4、#5、#6、#7、#8、#9烟囱总排口</w:t>
            </w:r>
          </w:p>
        </w:tc>
        <w:tc>
          <w:tcPr>
            <w:tcW w:w="3144" w:type="dxa"/>
            <w:tcBorders>
              <w:tl2br w:val="nil"/>
              <w:tr2bl w:val="nil"/>
            </w:tcBorders>
            <w:vAlign w:val="center"/>
          </w:tcPr>
          <w:p>
            <w:pPr>
              <w:jc w:val="center"/>
              <w:rPr>
                <w:rFonts w:eastAsia="楷体"/>
                <w:szCs w:val="21"/>
              </w:rPr>
            </w:pPr>
            <w:r>
              <w:rPr>
                <w:rFonts w:hint="eastAsia" w:eastAsia="楷体"/>
                <w:szCs w:val="21"/>
              </w:rPr>
              <w:t>烟气参数（排气温度、排气压力、排气流速、排气流量）</w:t>
            </w:r>
          </w:p>
        </w:tc>
        <w:tc>
          <w:tcPr>
            <w:tcW w:w="2453" w:type="dxa"/>
            <w:tcBorders>
              <w:tl2br w:val="nil"/>
              <w:tr2bl w:val="nil"/>
            </w:tcBorders>
            <w:vAlign w:val="center"/>
          </w:tcPr>
          <w:p>
            <w:pPr>
              <w:jc w:val="center"/>
              <w:rPr>
                <w:rFonts w:eastAsia="楷体"/>
                <w:szCs w:val="21"/>
              </w:rPr>
            </w:pPr>
            <w:r>
              <w:rPr>
                <w:rFonts w:hint="eastAsia" w:eastAsia="楷体"/>
                <w:szCs w:val="21"/>
              </w:rPr>
              <w:t>1次/季度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vMerge w:val="continue"/>
            <w:tcBorders>
              <w:tl2br w:val="nil"/>
              <w:tr2bl w:val="nil"/>
            </w:tcBorders>
            <w:vAlign w:val="center"/>
          </w:tcPr>
          <w:p>
            <w:pPr>
              <w:jc w:val="center"/>
              <w:rPr>
                <w:rFonts w:eastAsia="楷体"/>
                <w:szCs w:val="21"/>
              </w:rPr>
            </w:pPr>
          </w:p>
        </w:tc>
        <w:tc>
          <w:tcPr>
            <w:tcW w:w="2455" w:type="dxa"/>
            <w:tcBorders>
              <w:tl2br w:val="nil"/>
              <w:tr2bl w:val="nil"/>
            </w:tcBorders>
            <w:vAlign w:val="center"/>
          </w:tcPr>
          <w:p>
            <w:pPr>
              <w:jc w:val="center"/>
              <w:rPr>
                <w:rFonts w:eastAsia="楷体"/>
                <w:szCs w:val="21"/>
              </w:rPr>
            </w:pPr>
            <w:r>
              <w:rPr>
                <w:rFonts w:hint="eastAsia" w:eastAsia="楷体"/>
                <w:szCs w:val="21"/>
              </w:rPr>
              <w:t>#3、#4、#5、#6、#7、#8、#9烟囱总排口</w:t>
            </w:r>
          </w:p>
        </w:tc>
        <w:tc>
          <w:tcPr>
            <w:tcW w:w="3144" w:type="dxa"/>
            <w:tcBorders>
              <w:tl2br w:val="nil"/>
              <w:tr2bl w:val="nil"/>
            </w:tcBorders>
            <w:vAlign w:val="center"/>
          </w:tcPr>
          <w:p>
            <w:pPr>
              <w:jc w:val="center"/>
              <w:rPr>
                <w:rFonts w:eastAsia="楷体"/>
                <w:szCs w:val="21"/>
              </w:rPr>
            </w:pPr>
            <w:r>
              <w:rPr>
                <w:rFonts w:hint="eastAsia" w:eastAsia="楷体"/>
                <w:szCs w:val="21"/>
              </w:rPr>
              <w:t>烟气含氧量</w:t>
            </w:r>
          </w:p>
        </w:tc>
        <w:tc>
          <w:tcPr>
            <w:tcW w:w="2453" w:type="dxa"/>
            <w:tcBorders>
              <w:tl2br w:val="nil"/>
              <w:tr2bl w:val="nil"/>
            </w:tcBorders>
            <w:vAlign w:val="center"/>
          </w:tcPr>
          <w:p>
            <w:pPr>
              <w:jc w:val="center"/>
              <w:rPr>
                <w:rFonts w:eastAsia="楷体"/>
                <w:szCs w:val="21"/>
              </w:rPr>
            </w:pPr>
            <w:r>
              <w:rPr>
                <w:rFonts w:hint="eastAsia" w:eastAsia="楷体"/>
                <w:szCs w:val="21"/>
              </w:rPr>
              <w:t>1次/季度</w:t>
            </w:r>
          </w:p>
          <w:p>
            <w:pPr>
              <w:pStyle w:val="8"/>
              <w:jc w:val="center"/>
              <w:rPr>
                <w:rFonts w:eastAsia="楷体"/>
                <w:szCs w:val="21"/>
              </w:rPr>
            </w:pPr>
            <w:r>
              <w:rPr>
                <w:rFonts w:hint="eastAsia" w:eastAsia="楷体"/>
                <w:b w:val="0"/>
                <w:szCs w:val="21"/>
              </w:rPr>
              <w:t>以小时为单位，</w:t>
            </w:r>
          </w:p>
          <w:p>
            <w:pPr>
              <w:jc w:val="center"/>
              <w:rPr>
                <w:rFonts w:eastAsia="楷体"/>
                <w:szCs w:val="21"/>
              </w:rPr>
            </w:pPr>
            <w:r>
              <w:rPr>
                <w:rFonts w:hint="eastAsia" w:eastAsia="楷体"/>
                <w:szCs w:val="21"/>
              </w:rPr>
              <w:t>3次</w:t>
            </w:r>
            <w:r>
              <w:rPr>
                <w:rFonts w:eastAsia="楷体"/>
                <w:szCs w:val="21"/>
              </w:rPr>
              <w:t>/</w:t>
            </w:r>
            <w:r>
              <w:rPr>
                <w:rFonts w:hint="eastAsia" w:eastAsia="楷体"/>
                <w:szCs w:val="21"/>
              </w:rPr>
              <w:t>周期，监测</w:t>
            </w:r>
            <w:r>
              <w:rPr>
                <w:rFonts w:eastAsia="楷体"/>
                <w:szCs w:val="21"/>
              </w:rPr>
              <w:t>1</w:t>
            </w:r>
            <w:r>
              <w:rPr>
                <w:rFonts w:hint="eastAsia" w:eastAsia="楷体"/>
                <w:szCs w:val="21"/>
              </w:rPr>
              <w:t>周期</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无组织排放</w:t>
            </w:r>
          </w:p>
        </w:tc>
        <w:tc>
          <w:tcPr>
            <w:tcW w:w="2455" w:type="dxa"/>
            <w:tcBorders>
              <w:tl2br w:val="nil"/>
              <w:tr2bl w:val="nil"/>
            </w:tcBorders>
            <w:vAlign w:val="center"/>
          </w:tcPr>
          <w:p>
            <w:pPr>
              <w:jc w:val="center"/>
            </w:pPr>
            <w:r>
              <w:rPr>
                <w:rFonts w:hint="eastAsia" w:eastAsia="楷体"/>
                <w:szCs w:val="21"/>
              </w:rPr>
              <w:t>油罐区</w:t>
            </w:r>
            <w:r>
              <w:rPr>
                <w:rFonts w:eastAsia="楷体"/>
                <w:szCs w:val="21"/>
              </w:rPr>
              <w:t>(5#~8#)</w:t>
            </w:r>
          </w:p>
        </w:tc>
        <w:tc>
          <w:tcPr>
            <w:tcW w:w="3144" w:type="dxa"/>
            <w:tcBorders>
              <w:tl2br w:val="nil"/>
              <w:tr2bl w:val="nil"/>
            </w:tcBorders>
            <w:vAlign w:val="center"/>
          </w:tcPr>
          <w:p>
            <w:pPr>
              <w:jc w:val="center"/>
              <w:rPr>
                <w:rFonts w:eastAsia="楷体"/>
                <w:szCs w:val="21"/>
              </w:rPr>
            </w:pPr>
            <w:r>
              <w:rPr>
                <w:rFonts w:hint="eastAsia" w:eastAsia="楷体"/>
                <w:szCs w:val="21"/>
              </w:rPr>
              <w:t>非甲烷总烃</w:t>
            </w:r>
          </w:p>
        </w:tc>
        <w:tc>
          <w:tcPr>
            <w:tcW w:w="2453" w:type="dxa"/>
            <w:tcBorders>
              <w:tl2br w:val="nil"/>
              <w:tr2bl w:val="nil"/>
            </w:tcBorders>
            <w:vAlign w:val="center"/>
          </w:tcPr>
          <w:p>
            <w:pPr>
              <w:jc w:val="center"/>
              <w:rPr>
                <w:rFonts w:eastAsia="楷体"/>
                <w:szCs w:val="21"/>
              </w:rPr>
            </w:pPr>
            <w:r>
              <w:rPr>
                <w:rFonts w:hint="eastAsia" w:eastAsia="楷体"/>
                <w:szCs w:val="21"/>
              </w:rPr>
              <w:t>1次/季度</w:t>
            </w:r>
          </w:p>
          <w:p>
            <w:pPr>
              <w:jc w:val="center"/>
            </w:pPr>
            <w:r>
              <w:rPr>
                <w:rFonts w:hint="eastAsia" w:eastAsia="楷体"/>
                <w:szCs w:val="21"/>
              </w:rPr>
              <w:t>每次监测采样4次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厂界</w:t>
            </w:r>
          </w:p>
          <w:p>
            <w:pPr>
              <w:jc w:val="center"/>
              <w:rPr>
                <w:rFonts w:eastAsia="楷体"/>
                <w:szCs w:val="21"/>
              </w:rPr>
            </w:pPr>
            <w:r>
              <w:rPr>
                <w:rFonts w:hint="eastAsia" w:eastAsia="楷体"/>
                <w:szCs w:val="21"/>
              </w:rPr>
              <w:t>噪声</w:t>
            </w:r>
          </w:p>
        </w:tc>
        <w:tc>
          <w:tcPr>
            <w:tcW w:w="2455" w:type="dxa"/>
            <w:tcBorders>
              <w:tl2br w:val="nil"/>
              <w:tr2bl w:val="nil"/>
            </w:tcBorders>
            <w:vAlign w:val="center"/>
          </w:tcPr>
          <w:p>
            <w:pPr>
              <w:jc w:val="center"/>
              <w:rPr>
                <w:rFonts w:eastAsia="楷体"/>
                <w:szCs w:val="21"/>
              </w:rPr>
            </w:pPr>
            <w:r>
              <w:rPr>
                <w:rFonts w:hint="eastAsia" w:eastAsia="楷体"/>
                <w:szCs w:val="21"/>
              </w:rPr>
              <w:t>厂界</w:t>
            </w:r>
          </w:p>
        </w:tc>
        <w:tc>
          <w:tcPr>
            <w:tcW w:w="3144" w:type="dxa"/>
            <w:tcBorders>
              <w:tl2br w:val="nil"/>
              <w:tr2bl w:val="nil"/>
            </w:tcBorders>
            <w:vAlign w:val="center"/>
          </w:tcPr>
          <w:p>
            <w:pPr>
              <w:jc w:val="center"/>
              <w:rPr>
                <w:rFonts w:eastAsia="楷体"/>
                <w:szCs w:val="21"/>
              </w:rPr>
            </w:pPr>
            <w:r>
              <w:rPr>
                <w:rFonts w:hint="eastAsia" w:eastAsia="楷体"/>
                <w:szCs w:val="21"/>
              </w:rPr>
              <w:t>噪声昼间、夜间</w:t>
            </w:r>
          </w:p>
        </w:tc>
        <w:tc>
          <w:tcPr>
            <w:tcW w:w="2453" w:type="dxa"/>
            <w:tcBorders>
              <w:tl2br w:val="nil"/>
              <w:tr2bl w:val="nil"/>
            </w:tcBorders>
            <w:vAlign w:val="center"/>
          </w:tcPr>
          <w:p>
            <w:pPr>
              <w:jc w:val="center"/>
              <w:rPr>
                <w:rFonts w:eastAsia="楷体"/>
                <w:szCs w:val="21"/>
              </w:rPr>
            </w:pPr>
            <w:r>
              <w:rPr>
                <w:rFonts w:hint="eastAsia" w:eastAsia="楷体"/>
                <w:szCs w:val="21"/>
              </w:rPr>
              <w:t>1次/季度</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l2br w:val="nil"/>
              <w:tr2bl w:val="nil"/>
            </w:tcBorders>
            <w:vAlign w:val="center"/>
          </w:tcPr>
          <w:p>
            <w:pPr>
              <w:jc w:val="center"/>
              <w:rPr>
                <w:rFonts w:eastAsia="楷体"/>
                <w:szCs w:val="21"/>
              </w:rPr>
            </w:pPr>
            <w:r>
              <w:rPr>
                <w:rFonts w:hint="eastAsia" w:eastAsia="楷体"/>
                <w:szCs w:val="21"/>
              </w:rPr>
              <w:t>无组织排放</w:t>
            </w:r>
          </w:p>
        </w:tc>
        <w:tc>
          <w:tcPr>
            <w:tcW w:w="2455" w:type="dxa"/>
            <w:tcBorders>
              <w:tl2br w:val="nil"/>
              <w:tr2bl w:val="nil"/>
            </w:tcBorders>
            <w:vAlign w:val="center"/>
          </w:tcPr>
          <w:p>
            <w:pPr>
              <w:jc w:val="center"/>
              <w:rPr>
                <w:rFonts w:eastAsia="楷体"/>
                <w:szCs w:val="21"/>
              </w:rPr>
            </w:pPr>
            <w:r>
              <w:rPr>
                <w:rFonts w:hint="eastAsia" w:eastAsia="楷体"/>
                <w:szCs w:val="21"/>
              </w:rPr>
              <w:t>厂界（1#~4#）</w:t>
            </w:r>
          </w:p>
        </w:tc>
        <w:tc>
          <w:tcPr>
            <w:tcW w:w="3144" w:type="dxa"/>
            <w:tcBorders>
              <w:tl2br w:val="nil"/>
              <w:tr2bl w:val="nil"/>
            </w:tcBorders>
            <w:vAlign w:val="center"/>
          </w:tcPr>
          <w:p>
            <w:pPr>
              <w:jc w:val="center"/>
              <w:rPr>
                <w:rFonts w:eastAsia="楷体"/>
                <w:szCs w:val="21"/>
              </w:rPr>
            </w:pPr>
            <w:r>
              <w:rPr>
                <w:rFonts w:hint="eastAsia" w:eastAsia="楷体"/>
                <w:szCs w:val="21"/>
              </w:rPr>
              <w:t>颗粒物</w:t>
            </w:r>
          </w:p>
        </w:tc>
        <w:tc>
          <w:tcPr>
            <w:tcW w:w="2453" w:type="dxa"/>
            <w:tcBorders>
              <w:tl2br w:val="nil"/>
              <w:tr2bl w:val="nil"/>
            </w:tcBorders>
            <w:vAlign w:val="center"/>
          </w:tcPr>
          <w:p>
            <w:pPr>
              <w:jc w:val="center"/>
              <w:rPr>
                <w:rFonts w:eastAsia="楷体"/>
                <w:szCs w:val="21"/>
              </w:rPr>
            </w:pPr>
            <w:r>
              <w:rPr>
                <w:rFonts w:hint="eastAsia" w:eastAsia="楷体"/>
                <w:szCs w:val="21"/>
              </w:rPr>
              <w:t>1次/季度</w:t>
            </w:r>
          </w:p>
          <w:p>
            <w:pPr>
              <w:jc w:val="center"/>
              <w:rPr>
                <w:rFonts w:eastAsia="楷体"/>
                <w:szCs w:val="21"/>
              </w:rPr>
            </w:pPr>
            <w:r>
              <w:rPr>
                <w:rFonts w:hint="eastAsia" w:eastAsia="楷体"/>
                <w:szCs w:val="21"/>
              </w:rPr>
              <w:t>每次监测采样4次</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op w:val="single" w:color="auto" w:sz="4" w:space="0"/>
              <w:bottom w:val="single" w:color="auto" w:sz="4" w:space="0"/>
              <w:right w:val="single" w:color="auto" w:sz="4" w:space="0"/>
              <w:tl2br w:val="nil"/>
              <w:tr2bl w:val="nil"/>
            </w:tcBorders>
            <w:vAlign w:val="center"/>
          </w:tcPr>
          <w:p>
            <w:pPr>
              <w:jc w:val="center"/>
              <w:rPr>
                <w:rFonts w:eastAsia="楷体"/>
                <w:szCs w:val="21"/>
              </w:rPr>
            </w:pPr>
            <w:r>
              <w:rPr>
                <w:rFonts w:eastAsia="楷体"/>
                <w:szCs w:val="21"/>
              </w:rPr>
              <w:t>地下水</w:t>
            </w:r>
          </w:p>
        </w:tc>
        <w:tc>
          <w:tcPr>
            <w:tcW w:w="245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eastAsia="楷体"/>
                <w:szCs w:val="21"/>
              </w:rPr>
            </w:pPr>
            <w:r>
              <w:rPr>
                <w:rFonts w:hint="eastAsia" w:eastAsia="楷体"/>
                <w:szCs w:val="21"/>
              </w:rPr>
              <w:t>危废仓库环保监测标准井(1#~2#)</w:t>
            </w:r>
          </w:p>
        </w:tc>
        <w:tc>
          <w:tcPr>
            <w:tcW w:w="314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eastAsia="楷体"/>
                <w:szCs w:val="21"/>
              </w:rPr>
            </w:pPr>
            <w:r>
              <w:rPr>
                <w:rFonts w:hint="eastAsia" w:eastAsia="楷体"/>
                <w:szCs w:val="21"/>
              </w:rPr>
              <w:t>pH、SS、COD、BOD5、石油类、氨氮、总氮、总磷、挥发酚、硫化物、砷、汞、铅、铬</w:t>
            </w:r>
          </w:p>
        </w:tc>
        <w:tc>
          <w:tcPr>
            <w:tcW w:w="2453" w:type="dxa"/>
            <w:tcBorders>
              <w:top w:val="single" w:color="auto" w:sz="4" w:space="0"/>
              <w:left w:val="single" w:color="auto" w:sz="4" w:space="0"/>
              <w:bottom w:val="single" w:color="auto" w:sz="4" w:space="0"/>
              <w:tl2br w:val="nil"/>
              <w:tr2bl w:val="nil"/>
            </w:tcBorders>
            <w:vAlign w:val="center"/>
          </w:tcPr>
          <w:p>
            <w:pPr>
              <w:jc w:val="center"/>
              <w:rPr>
                <w:rFonts w:eastAsia="楷体"/>
                <w:szCs w:val="21"/>
              </w:rPr>
            </w:pPr>
            <w:r>
              <w:rPr>
                <w:rFonts w:hint="eastAsia" w:eastAsia="楷体"/>
                <w:szCs w:val="21"/>
              </w:rPr>
              <w:t>环保监测标准井</w:t>
            </w:r>
          </w:p>
          <w:p>
            <w:pPr>
              <w:jc w:val="center"/>
              <w:rPr>
                <w:rFonts w:eastAsia="楷体"/>
                <w:szCs w:val="21"/>
              </w:rPr>
            </w:pPr>
            <w:r>
              <w:rPr>
                <w:rFonts w:hint="eastAsia" w:eastAsia="楷体"/>
                <w:szCs w:val="21"/>
              </w:rPr>
              <w:t>1次/年</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948" w:type="dxa"/>
            <w:tcBorders>
              <w:top w:val="single" w:color="auto" w:sz="4" w:space="0"/>
              <w:bottom w:val="double" w:color="auto" w:sz="4" w:space="0"/>
              <w:right w:val="single" w:color="auto" w:sz="4" w:space="0"/>
              <w:tl2br w:val="nil"/>
              <w:tr2bl w:val="nil"/>
            </w:tcBorders>
            <w:vAlign w:val="center"/>
          </w:tcPr>
          <w:p>
            <w:pPr>
              <w:jc w:val="center"/>
              <w:rPr>
                <w:rFonts w:eastAsia="楷体"/>
                <w:szCs w:val="21"/>
              </w:rPr>
            </w:pPr>
            <w:r>
              <w:rPr>
                <w:rFonts w:eastAsia="楷体"/>
                <w:szCs w:val="21"/>
              </w:rPr>
              <w:t>地下水</w:t>
            </w:r>
          </w:p>
        </w:tc>
        <w:tc>
          <w:tcPr>
            <w:tcW w:w="2455" w:type="dxa"/>
            <w:tcBorders>
              <w:top w:val="single" w:color="auto" w:sz="4" w:space="0"/>
              <w:left w:val="single" w:color="auto" w:sz="4" w:space="0"/>
              <w:bottom w:val="double" w:color="auto" w:sz="4" w:space="0"/>
              <w:right w:val="single" w:color="auto" w:sz="4" w:space="0"/>
              <w:tl2br w:val="nil"/>
              <w:tr2bl w:val="nil"/>
            </w:tcBorders>
            <w:vAlign w:val="center"/>
          </w:tcPr>
          <w:p>
            <w:pPr>
              <w:jc w:val="center"/>
              <w:rPr>
                <w:rFonts w:eastAsia="楷体"/>
                <w:szCs w:val="21"/>
              </w:rPr>
            </w:pPr>
            <w:r>
              <w:rPr>
                <w:rFonts w:hint="eastAsia" w:eastAsia="楷体"/>
                <w:szCs w:val="21"/>
              </w:rPr>
              <w:t>废油库地下水环保监测标准井(3#~4#)</w:t>
            </w:r>
          </w:p>
        </w:tc>
        <w:tc>
          <w:tcPr>
            <w:tcW w:w="3144" w:type="dxa"/>
            <w:tcBorders>
              <w:top w:val="single" w:color="auto" w:sz="4" w:space="0"/>
              <w:left w:val="single" w:color="auto" w:sz="4" w:space="0"/>
              <w:bottom w:val="double" w:color="auto" w:sz="4" w:space="0"/>
              <w:right w:val="single" w:color="auto" w:sz="4" w:space="0"/>
              <w:tl2br w:val="nil"/>
              <w:tr2bl w:val="nil"/>
            </w:tcBorders>
            <w:vAlign w:val="center"/>
          </w:tcPr>
          <w:p>
            <w:pPr>
              <w:jc w:val="center"/>
              <w:rPr>
                <w:rFonts w:eastAsia="楷体"/>
                <w:szCs w:val="21"/>
              </w:rPr>
            </w:pPr>
            <w:r>
              <w:rPr>
                <w:rFonts w:hint="eastAsia" w:eastAsia="楷体"/>
                <w:szCs w:val="21"/>
              </w:rPr>
              <w:t>pH、SS、COD、BOD5、石油类、氨氮、总氮、总磷、挥发酚、硫化物、砷、汞、铅、铬</w:t>
            </w:r>
          </w:p>
        </w:tc>
        <w:tc>
          <w:tcPr>
            <w:tcW w:w="2453" w:type="dxa"/>
            <w:tcBorders>
              <w:top w:val="single" w:color="auto" w:sz="4" w:space="0"/>
              <w:left w:val="single" w:color="auto" w:sz="4" w:space="0"/>
              <w:bottom w:val="double" w:color="auto" w:sz="4" w:space="0"/>
              <w:tl2br w:val="nil"/>
              <w:tr2bl w:val="nil"/>
            </w:tcBorders>
            <w:vAlign w:val="center"/>
          </w:tcPr>
          <w:p>
            <w:pPr>
              <w:jc w:val="center"/>
              <w:rPr>
                <w:rFonts w:eastAsia="楷体"/>
                <w:szCs w:val="21"/>
              </w:rPr>
            </w:pPr>
            <w:r>
              <w:rPr>
                <w:rFonts w:hint="eastAsia" w:eastAsia="楷体"/>
                <w:szCs w:val="21"/>
              </w:rPr>
              <w:t>环保监测标准井</w:t>
            </w:r>
          </w:p>
          <w:p>
            <w:pPr>
              <w:jc w:val="center"/>
              <w:rPr>
                <w:sz w:val="18"/>
              </w:rPr>
            </w:pPr>
            <w:r>
              <w:rPr>
                <w:rFonts w:hint="eastAsia" w:eastAsia="楷体"/>
                <w:szCs w:val="21"/>
              </w:rPr>
              <w:t>1次/年</w:t>
            </w:r>
          </w:p>
        </w:tc>
      </w:tr>
    </w:tbl>
    <w:p>
      <w:pPr>
        <w:pStyle w:val="8"/>
        <w:numPr>
          <w:ilvl w:val="0"/>
          <w:numId w:val="1"/>
        </w:numPr>
        <w:ind w:firstLine="0"/>
        <w:rPr>
          <w:rFonts w:cs="宋体"/>
          <w:color w:val="000000"/>
          <w:kern w:val="0"/>
          <w:sz w:val="28"/>
          <w:szCs w:val="28"/>
        </w:rPr>
      </w:pPr>
      <w:r>
        <w:rPr>
          <w:rFonts w:hint="eastAsia" w:hAnsi="宋体" w:cs="宋体"/>
          <w:color w:val="000000"/>
          <w:kern w:val="0"/>
          <w:sz w:val="28"/>
          <w:szCs w:val="28"/>
        </w:rPr>
        <w:t>方法依据</w:t>
      </w:r>
    </w:p>
    <w:p>
      <w:pPr>
        <w:spacing w:line="400" w:lineRule="exact"/>
        <w:rPr>
          <w:rFonts w:cs="宋体"/>
          <w:bCs/>
          <w:sz w:val="24"/>
          <w:szCs w:val="21"/>
        </w:rPr>
      </w:pPr>
      <w:r>
        <w:rPr>
          <w:rFonts w:hint="eastAsia" w:hAnsi="宋体" w:cs="宋体"/>
          <w:bCs/>
          <w:sz w:val="24"/>
          <w:szCs w:val="21"/>
        </w:rPr>
        <w:t xml:space="preserve"> </w:t>
      </w:r>
      <w:r>
        <w:rPr>
          <w:rFonts w:hint="eastAsia" w:hAnsi="宋体" w:cs="宋体"/>
          <w:color w:val="000000"/>
          <w:kern w:val="0"/>
          <w:sz w:val="24"/>
        </w:rPr>
        <w:t>监测方法依据</w:t>
      </w:r>
    </w:p>
    <w:tbl>
      <w:tblPr>
        <w:tblStyle w:val="9"/>
        <w:tblW w:w="5000" w:type="pct"/>
        <w:jc w:val="center"/>
        <w:tblBorders>
          <w:top w:val="double" w:color="auto" w:sz="4" w:space="0"/>
          <w:left w:val="none" w:color="auto" w:sz="0" w:space="0"/>
          <w:bottom w:val="doub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95"/>
        <w:gridCol w:w="2863"/>
        <w:gridCol w:w="4664"/>
      </w:tblGrid>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noWrap/>
            <w:vAlign w:val="center"/>
          </w:tcPr>
          <w:p>
            <w:pPr>
              <w:jc w:val="center"/>
              <w:rPr>
                <w:rFonts w:eastAsia="楷体"/>
                <w:szCs w:val="21"/>
              </w:rPr>
            </w:pPr>
            <w:r>
              <w:rPr>
                <w:rFonts w:eastAsia="楷体"/>
                <w:szCs w:val="21"/>
              </w:rPr>
              <w:t>类别</w:t>
            </w:r>
          </w:p>
        </w:tc>
        <w:tc>
          <w:tcPr>
            <w:tcW w:w="1679" w:type="pct"/>
            <w:noWrap/>
            <w:vAlign w:val="center"/>
          </w:tcPr>
          <w:p>
            <w:pPr>
              <w:jc w:val="center"/>
              <w:rPr>
                <w:rFonts w:eastAsia="楷体"/>
                <w:szCs w:val="21"/>
              </w:rPr>
            </w:pPr>
            <w:r>
              <w:rPr>
                <w:rFonts w:eastAsia="楷体"/>
                <w:szCs w:val="21"/>
              </w:rPr>
              <w:t>监测项目</w:t>
            </w:r>
          </w:p>
        </w:tc>
        <w:tc>
          <w:tcPr>
            <w:tcW w:w="2736" w:type="pct"/>
            <w:noWrap/>
            <w:vAlign w:val="center"/>
          </w:tcPr>
          <w:p>
            <w:pPr>
              <w:jc w:val="center"/>
              <w:rPr>
                <w:rFonts w:eastAsia="楷体"/>
                <w:szCs w:val="21"/>
              </w:rPr>
            </w:pPr>
            <w:r>
              <w:rPr>
                <w:rFonts w:eastAsia="楷体"/>
                <w:szCs w:val="21"/>
              </w:rPr>
              <w:t>方法依据</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restart"/>
            <w:noWrap/>
            <w:vAlign w:val="center"/>
          </w:tcPr>
          <w:p>
            <w:pPr>
              <w:jc w:val="center"/>
              <w:rPr>
                <w:rFonts w:eastAsia="楷体"/>
                <w:szCs w:val="21"/>
              </w:rPr>
            </w:pPr>
            <w:r>
              <w:rPr>
                <w:rFonts w:hint="eastAsia" w:eastAsia="楷体"/>
                <w:szCs w:val="21"/>
              </w:rPr>
              <w:t>无组织废气</w:t>
            </w:r>
          </w:p>
        </w:tc>
        <w:tc>
          <w:tcPr>
            <w:tcW w:w="1679" w:type="pct"/>
            <w:noWrap/>
            <w:vAlign w:val="center"/>
          </w:tcPr>
          <w:p>
            <w:pPr>
              <w:jc w:val="center"/>
              <w:rPr>
                <w:rFonts w:eastAsia="楷体"/>
                <w:szCs w:val="21"/>
              </w:rPr>
            </w:pPr>
            <w:r>
              <w:rPr>
                <w:rFonts w:hint="eastAsia" w:eastAsia="楷体"/>
                <w:szCs w:val="21"/>
              </w:rPr>
              <w:t>总悬浮颗粒物(TSP)</w:t>
            </w:r>
          </w:p>
        </w:tc>
        <w:tc>
          <w:tcPr>
            <w:tcW w:w="2736" w:type="pct"/>
            <w:noWrap/>
            <w:vAlign w:val="center"/>
          </w:tcPr>
          <w:p>
            <w:pPr>
              <w:jc w:val="center"/>
              <w:rPr>
                <w:rFonts w:eastAsia="楷体"/>
                <w:szCs w:val="21"/>
              </w:rPr>
            </w:pPr>
            <w:r>
              <w:rPr>
                <w:rFonts w:eastAsia="楷体"/>
                <w:szCs w:val="20"/>
              </w:rPr>
              <w:t>环境空气 总悬浮颗粒物的测定 重量法</w:t>
            </w:r>
            <w:r>
              <w:rPr>
                <w:rFonts w:hint="eastAsia" w:eastAsia="楷体"/>
                <w:szCs w:val="20"/>
              </w:rPr>
              <w:t xml:space="preserve"> HJ 1263-2022</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非甲烷总烃</w:t>
            </w:r>
          </w:p>
        </w:tc>
        <w:tc>
          <w:tcPr>
            <w:tcW w:w="2736" w:type="pct"/>
            <w:noWrap/>
            <w:vAlign w:val="center"/>
          </w:tcPr>
          <w:p>
            <w:pPr>
              <w:spacing w:line="280" w:lineRule="exact"/>
              <w:jc w:val="center"/>
              <w:rPr>
                <w:rFonts w:eastAsia="楷体"/>
                <w:bCs/>
                <w:szCs w:val="21"/>
              </w:rPr>
            </w:pPr>
            <w:r>
              <w:rPr>
                <w:rFonts w:hint="eastAsia" w:eastAsia="楷体"/>
                <w:bCs/>
                <w:szCs w:val="21"/>
              </w:rPr>
              <w:t xml:space="preserve">环境空气 总烃、甲烷和非甲烷总烃的测定 </w:t>
            </w:r>
          </w:p>
          <w:p>
            <w:pPr>
              <w:jc w:val="center"/>
              <w:rPr>
                <w:rFonts w:eastAsia="楷体"/>
                <w:szCs w:val="20"/>
              </w:rPr>
            </w:pPr>
            <w:r>
              <w:rPr>
                <w:rFonts w:hint="eastAsia" w:eastAsia="楷体"/>
                <w:bCs/>
                <w:szCs w:val="21"/>
              </w:rPr>
              <w:t>直接进样-气相色谱法 HJ 604-2017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restart"/>
            <w:noWrap/>
            <w:vAlign w:val="center"/>
          </w:tcPr>
          <w:p>
            <w:pPr>
              <w:jc w:val="center"/>
              <w:rPr>
                <w:rFonts w:eastAsia="楷体"/>
                <w:szCs w:val="21"/>
              </w:rPr>
            </w:pPr>
            <w:r>
              <w:rPr>
                <w:rFonts w:eastAsia="楷体"/>
                <w:szCs w:val="21"/>
              </w:rPr>
              <w:t>有组织废气</w:t>
            </w:r>
          </w:p>
        </w:tc>
        <w:tc>
          <w:tcPr>
            <w:tcW w:w="1679" w:type="pct"/>
            <w:noWrap/>
            <w:vAlign w:val="center"/>
          </w:tcPr>
          <w:p>
            <w:pPr>
              <w:jc w:val="center"/>
              <w:rPr>
                <w:rFonts w:eastAsia="楷体"/>
                <w:szCs w:val="21"/>
              </w:rPr>
            </w:pPr>
            <w:r>
              <w:rPr>
                <w:rFonts w:eastAsia="楷体"/>
                <w:szCs w:val="21"/>
              </w:rPr>
              <w:t>汞</w:t>
            </w:r>
          </w:p>
        </w:tc>
        <w:tc>
          <w:tcPr>
            <w:tcW w:w="2736" w:type="pct"/>
            <w:noWrap/>
            <w:vAlign w:val="center"/>
          </w:tcPr>
          <w:p>
            <w:pPr>
              <w:jc w:val="center"/>
              <w:rPr>
                <w:rFonts w:eastAsia="楷体"/>
                <w:szCs w:val="21"/>
              </w:rPr>
            </w:pPr>
            <w:r>
              <w:rPr>
                <w:rFonts w:eastAsia="楷体"/>
                <w:szCs w:val="21"/>
              </w:rPr>
              <w:t>固定污染源废气 汞的测定冷原子吸收分光光度法（暂行）</w:t>
            </w:r>
          </w:p>
          <w:p>
            <w:pPr>
              <w:jc w:val="center"/>
              <w:rPr>
                <w:rFonts w:eastAsia="楷体"/>
                <w:szCs w:val="21"/>
              </w:rPr>
            </w:pPr>
            <w:r>
              <w:rPr>
                <w:rFonts w:eastAsia="楷体"/>
                <w:szCs w:val="21"/>
              </w:rPr>
              <w:t>HJ 543-2009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烟气含氧量</w:t>
            </w:r>
          </w:p>
        </w:tc>
        <w:tc>
          <w:tcPr>
            <w:tcW w:w="2736" w:type="pct"/>
            <w:noWrap/>
            <w:vAlign w:val="center"/>
          </w:tcPr>
          <w:p>
            <w:pPr>
              <w:jc w:val="center"/>
              <w:rPr>
                <w:rFonts w:eastAsia="楷体"/>
                <w:szCs w:val="21"/>
              </w:rPr>
            </w:pPr>
            <w:r>
              <w:rPr>
                <w:rFonts w:eastAsia="楷体"/>
                <w:szCs w:val="21"/>
              </w:rPr>
              <w:t>电化学法测定氧《空气和废气监测分析方法》（第四版增补版）</w:t>
            </w:r>
          </w:p>
          <w:p>
            <w:pPr>
              <w:jc w:val="center"/>
              <w:rPr>
                <w:rFonts w:eastAsia="楷体"/>
                <w:szCs w:val="21"/>
              </w:rPr>
            </w:pPr>
            <w:r>
              <w:rPr>
                <w:rFonts w:eastAsia="楷体"/>
                <w:szCs w:val="21"/>
              </w:rPr>
              <w:t>国家</w:t>
            </w:r>
            <w:r>
              <w:rPr>
                <w:rFonts w:hint="eastAsia" w:eastAsia="楷体"/>
                <w:szCs w:val="21"/>
              </w:rPr>
              <w:t>环境保护总局</w:t>
            </w:r>
            <w:r>
              <w:rPr>
                <w:rFonts w:eastAsia="楷体"/>
                <w:szCs w:val="21"/>
              </w:rPr>
              <w:t>（2007年）5.2.6.3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widowControl/>
              <w:jc w:val="left"/>
              <w:textAlignment w:val="center"/>
              <w:rPr>
                <w:rFonts w:eastAsia="楷体"/>
                <w:szCs w:val="21"/>
              </w:rPr>
            </w:pPr>
            <w:r>
              <w:rPr>
                <w:rFonts w:hint="eastAsia" w:eastAsia="楷体"/>
                <w:szCs w:val="21"/>
              </w:rPr>
              <w:t>烟气参数（温度、压力、流速、流量）</w:t>
            </w:r>
          </w:p>
        </w:tc>
        <w:tc>
          <w:tcPr>
            <w:tcW w:w="2736" w:type="pct"/>
            <w:noWrap/>
            <w:tcFitText/>
            <w:vAlign w:val="center"/>
          </w:tcPr>
          <w:p>
            <w:pPr>
              <w:jc w:val="center"/>
              <w:rPr>
                <w:rFonts w:eastAsia="楷体"/>
                <w:szCs w:val="21"/>
              </w:rPr>
            </w:pPr>
            <w:r>
              <w:rPr>
                <w:rFonts w:hint="eastAsia" w:eastAsia="楷体"/>
                <w:spacing w:val="36"/>
                <w:w w:val="91"/>
                <w:szCs w:val="21"/>
              </w:rPr>
              <w:t>固定污染源排气中颗粒物测定与气态污染物采样方</w:t>
            </w:r>
            <w:r>
              <w:rPr>
                <w:rFonts w:hint="eastAsia" w:eastAsia="楷体"/>
                <w:spacing w:val="5"/>
                <w:w w:val="91"/>
                <w:szCs w:val="21"/>
              </w:rPr>
              <w:t>法</w:t>
            </w:r>
          </w:p>
          <w:p>
            <w:pPr>
              <w:jc w:val="center"/>
              <w:rPr>
                <w:rFonts w:eastAsia="楷体"/>
                <w:szCs w:val="21"/>
              </w:rPr>
            </w:pPr>
            <w:r>
              <w:rPr>
                <w:rFonts w:eastAsia="楷体"/>
                <w:szCs w:val="21"/>
              </w:rPr>
              <w:t>GB/T16157-1996及修改单</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eastAsia="楷体"/>
                <w:szCs w:val="21"/>
              </w:rPr>
              <w:t>烟气黑度</w:t>
            </w:r>
          </w:p>
        </w:tc>
        <w:tc>
          <w:tcPr>
            <w:tcW w:w="2736" w:type="pct"/>
            <w:noWrap/>
            <w:vAlign w:val="center"/>
          </w:tcPr>
          <w:p>
            <w:pPr>
              <w:jc w:val="center"/>
              <w:rPr>
                <w:rFonts w:eastAsia="楷体"/>
                <w:szCs w:val="21"/>
              </w:rPr>
            </w:pPr>
            <w:r>
              <w:rPr>
                <w:rFonts w:eastAsia="楷体"/>
                <w:szCs w:val="21"/>
              </w:rPr>
              <w:t>固定污染源排放 烟气黑度的测定 林格曼黑度图法 HJ/T 398-2007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eastAsia="楷体"/>
                <w:szCs w:val="21"/>
              </w:rPr>
              <w:t>氨</w:t>
            </w:r>
          </w:p>
        </w:tc>
        <w:tc>
          <w:tcPr>
            <w:tcW w:w="2736" w:type="pct"/>
            <w:noWrap/>
            <w:vAlign w:val="center"/>
          </w:tcPr>
          <w:p>
            <w:pPr>
              <w:widowControl/>
              <w:jc w:val="center"/>
              <w:textAlignment w:val="center"/>
              <w:rPr>
                <w:rFonts w:eastAsia="楷体"/>
                <w:szCs w:val="21"/>
              </w:rPr>
            </w:pPr>
            <w:r>
              <w:rPr>
                <w:rFonts w:eastAsia="楷体"/>
                <w:szCs w:val="21"/>
              </w:rPr>
              <w:t>环境空气和废气 氨的测定 纳氏试剂分光光度法 HJ 533-2009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restart"/>
            <w:noWrap/>
            <w:vAlign w:val="center"/>
          </w:tcPr>
          <w:p>
            <w:pPr>
              <w:jc w:val="center"/>
              <w:rPr>
                <w:rFonts w:eastAsia="楷体"/>
                <w:szCs w:val="21"/>
              </w:rPr>
            </w:pPr>
            <w:r>
              <w:rPr>
                <w:rFonts w:hint="eastAsia" w:eastAsia="楷体"/>
                <w:szCs w:val="21"/>
              </w:rPr>
              <w:t>地下水</w:t>
            </w:r>
          </w:p>
        </w:tc>
        <w:tc>
          <w:tcPr>
            <w:tcW w:w="1679" w:type="pct"/>
            <w:noWrap/>
            <w:vAlign w:val="center"/>
          </w:tcPr>
          <w:p>
            <w:pPr>
              <w:jc w:val="center"/>
              <w:rPr>
                <w:rFonts w:eastAsia="楷体"/>
                <w:szCs w:val="21"/>
              </w:rPr>
            </w:pPr>
            <w:r>
              <w:rPr>
                <w:rFonts w:eastAsia="楷体"/>
                <w:szCs w:val="21"/>
              </w:rPr>
              <w:t>pH值</w:t>
            </w:r>
          </w:p>
        </w:tc>
        <w:tc>
          <w:tcPr>
            <w:tcW w:w="2736" w:type="pct"/>
            <w:noWrap/>
            <w:vAlign w:val="center"/>
          </w:tcPr>
          <w:p>
            <w:pPr>
              <w:widowControl/>
              <w:jc w:val="center"/>
              <w:textAlignment w:val="center"/>
              <w:rPr>
                <w:rFonts w:eastAsia="楷体"/>
                <w:szCs w:val="21"/>
              </w:rPr>
            </w:pPr>
            <w:r>
              <w:rPr>
                <w:rFonts w:eastAsia="楷体"/>
                <w:szCs w:val="21"/>
              </w:rPr>
              <w:t>水质 pH 值的测定电极法 HJ 1147-2020</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eastAsia="楷体"/>
                <w:szCs w:val="21"/>
              </w:rPr>
              <w:t>砷</w:t>
            </w:r>
          </w:p>
        </w:tc>
        <w:tc>
          <w:tcPr>
            <w:tcW w:w="2736" w:type="pct"/>
            <w:noWrap/>
            <w:vAlign w:val="center"/>
          </w:tcPr>
          <w:p>
            <w:pPr>
              <w:jc w:val="center"/>
              <w:rPr>
                <w:rFonts w:eastAsia="楷体"/>
                <w:szCs w:val="21"/>
              </w:rPr>
            </w:pPr>
            <w:r>
              <w:rPr>
                <w:rFonts w:hint="eastAsia" w:eastAsia="楷体"/>
                <w:szCs w:val="21"/>
              </w:rPr>
              <w:t>水质汞、砷、硒、铋和锑的测定原子荧光法</w:t>
            </w:r>
            <w:r>
              <w:rPr>
                <w:rFonts w:eastAsia="楷体"/>
                <w:szCs w:val="21"/>
              </w:rPr>
              <w:t xml:space="preserve"> HJ694-2014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eastAsia="楷体"/>
                <w:szCs w:val="21"/>
              </w:rPr>
              <w:t>汞</w:t>
            </w:r>
          </w:p>
        </w:tc>
        <w:tc>
          <w:tcPr>
            <w:tcW w:w="2736" w:type="pct"/>
            <w:noWrap/>
            <w:vAlign w:val="center"/>
          </w:tcPr>
          <w:p>
            <w:pPr>
              <w:jc w:val="center"/>
              <w:rPr>
                <w:rFonts w:eastAsia="楷体"/>
                <w:szCs w:val="21"/>
              </w:rPr>
            </w:pPr>
            <w:r>
              <w:rPr>
                <w:rFonts w:hint="eastAsia" w:eastAsia="楷体"/>
                <w:szCs w:val="21"/>
              </w:rPr>
              <w:t>水质汞、砷、硒、铋和锑的测定原子荧光法</w:t>
            </w:r>
            <w:r>
              <w:rPr>
                <w:rFonts w:eastAsia="楷体"/>
                <w:szCs w:val="21"/>
              </w:rPr>
              <w:t xml:space="preserve"> HJ694-2014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eastAsia="楷体"/>
                <w:szCs w:val="21"/>
              </w:rPr>
              <w:t>铅</w:t>
            </w:r>
          </w:p>
        </w:tc>
        <w:tc>
          <w:tcPr>
            <w:tcW w:w="2736" w:type="pct"/>
            <w:noWrap/>
            <w:vAlign w:val="center"/>
          </w:tcPr>
          <w:p>
            <w:pPr>
              <w:jc w:val="center"/>
              <w:rPr>
                <w:rFonts w:eastAsia="楷体"/>
                <w:szCs w:val="21"/>
              </w:rPr>
            </w:pPr>
            <w:r>
              <w:rPr>
                <w:rFonts w:hint="eastAsia" w:eastAsia="楷体"/>
                <w:szCs w:val="21"/>
              </w:rPr>
              <w:t>水质</w:t>
            </w:r>
            <w:r>
              <w:rPr>
                <w:rFonts w:eastAsia="楷体"/>
                <w:szCs w:val="21"/>
              </w:rPr>
              <w:t xml:space="preserve"> 65 </w:t>
            </w:r>
            <w:r>
              <w:rPr>
                <w:rFonts w:hint="eastAsia" w:eastAsia="楷体"/>
                <w:szCs w:val="21"/>
              </w:rPr>
              <w:t>种元素的测定电感耦合等离子体质谱法</w:t>
            </w:r>
            <w:r>
              <w:rPr>
                <w:rFonts w:eastAsia="楷体"/>
                <w:szCs w:val="21"/>
              </w:rPr>
              <w:t>HJ 700-2014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镉</w:t>
            </w:r>
          </w:p>
        </w:tc>
        <w:tc>
          <w:tcPr>
            <w:tcW w:w="2736" w:type="pct"/>
            <w:shd w:val="clear" w:color="auto" w:fill="auto"/>
            <w:noWrap/>
            <w:vAlign w:val="center"/>
          </w:tcPr>
          <w:p>
            <w:pPr>
              <w:jc w:val="center"/>
              <w:rPr>
                <w:rFonts w:eastAsia="楷体"/>
                <w:szCs w:val="21"/>
              </w:rPr>
            </w:pPr>
            <w:r>
              <w:rPr>
                <w:rFonts w:hint="eastAsia" w:eastAsia="楷体"/>
                <w:szCs w:val="21"/>
              </w:rPr>
              <w:t>水质</w:t>
            </w:r>
            <w:r>
              <w:rPr>
                <w:rFonts w:eastAsia="楷体"/>
                <w:szCs w:val="21"/>
              </w:rPr>
              <w:t xml:space="preserve"> 65 </w:t>
            </w:r>
            <w:r>
              <w:rPr>
                <w:rFonts w:hint="eastAsia" w:eastAsia="楷体"/>
                <w:szCs w:val="21"/>
              </w:rPr>
              <w:t>种元素的测定电感耦合等离子体质谱法</w:t>
            </w:r>
            <w:r>
              <w:rPr>
                <w:rFonts w:eastAsia="楷体"/>
                <w:szCs w:val="21"/>
              </w:rPr>
              <w:t>HJ 700-2014</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悬浮物</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水质悬浮物的测定重量法 GB/T 11901-1989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化学需氧量</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水质化学需氧量的测定快速消解分光光度法 HJ/T 399-2007</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五日生化需氧量</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水质五日生化需氧量（BOD5）的测定稀释与接种法 HJ 505-2009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石油类</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水质石油类和动植物油类的测定红外分光光度法 HJ 637-2018</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氨氮</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水质氨氮的测定纳氏试剂分光光度法 HJ 535-2009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总磷</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水质总磷的测定钼酸铵分光光度法 GB/T 11893-1989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总氮</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水质总氮的测定气相分子吸收光谱法 HJ 199-2023</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挥发酚</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水质挥发酚的测定 4-氨基安替比林分光光度法 HJ 503-2009</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vMerge w:val="continue"/>
            <w:noWrap/>
            <w:vAlign w:val="center"/>
          </w:tcPr>
          <w:p>
            <w:pPr>
              <w:jc w:val="center"/>
              <w:rPr>
                <w:rFonts w:eastAsia="楷体"/>
                <w:szCs w:val="21"/>
              </w:rPr>
            </w:pPr>
          </w:p>
        </w:tc>
        <w:tc>
          <w:tcPr>
            <w:tcW w:w="1679" w:type="pct"/>
            <w:noWrap/>
            <w:vAlign w:val="center"/>
          </w:tcPr>
          <w:p>
            <w:pPr>
              <w:jc w:val="center"/>
              <w:rPr>
                <w:rFonts w:eastAsia="楷体"/>
                <w:szCs w:val="21"/>
              </w:rPr>
            </w:pPr>
            <w:r>
              <w:rPr>
                <w:rFonts w:hint="eastAsia" w:eastAsia="楷体"/>
                <w:szCs w:val="21"/>
              </w:rPr>
              <w:t>硫化物</w:t>
            </w:r>
          </w:p>
        </w:tc>
        <w:tc>
          <w:tcPr>
            <w:tcW w:w="2736" w:type="pct"/>
            <w:shd w:val="clear" w:color="auto" w:fill="auto"/>
            <w:noWrap/>
            <w:vAlign w:val="center"/>
          </w:tcPr>
          <w:p>
            <w:pPr>
              <w:widowControl/>
              <w:jc w:val="center"/>
              <w:textAlignment w:val="center"/>
              <w:rPr>
                <w:rFonts w:eastAsia="楷体"/>
                <w:szCs w:val="21"/>
              </w:rPr>
            </w:pPr>
            <w:r>
              <w:rPr>
                <w:rFonts w:eastAsia="楷体"/>
                <w:szCs w:val="21"/>
              </w:rPr>
              <w:t>水质硫化物的测定亚甲基蓝分光光度法 HJ1226-2021</w:t>
            </w:r>
          </w:p>
        </w:tc>
      </w:tr>
      <w:tr>
        <w:tblPrEx>
          <w:tblBorders>
            <w:top w:val="double" w:color="auto" w:sz="4" w:space="0"/>
            <w:left w:val="none" w:color="auto" w:sz="0" w:space="0"/>
            <w:bottom w:val="doub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583" w:type="pct"/>
            <w:noWrap/>
            <w:vAlign w:val="center"/>
          </w:tcPr>
          <w:p>
            <w:pPr>
              <w:jc w:val="center"/>
              <w:rPr>
                <w:rFonts w:eastAsia="楷体"/>
                <w:szCs w:val="21"/>
              </w:rPr>
            </w:pPr>
            <w:r>
              <w:rPr>
                <w:rFonts w:eastAsia="楷体"/>
                <w:szCs w:val="21"/>
              </w:rPr>
              <w:t>噪声</w:t>
            </w:r>
          </w:p>
        </w:tc>
        <w:tc>
          <w:tcPr>
            <w:tcW w:w="1679" w:type="pct"/>
            <w:noWrap/>
            <w:vAlign w:val="center"/>
          </w:tcPr>
          <w:p>
            <w:pPr>
              <w:jc w:val="center"/>
              <w:rPr>
                <w:rFonts w:eastAsia="楷体"/>
                <w:szCs w:val="21"/>
              </w:rPr>
            </w:pPr>
            <w:r>
              <w:rPr>
                <w:rFonts w:eastAsia="楷体"/>
                <w:szCs w:val="21"/>
              </w:rPr>
              <w:t>工业企业厂界</w:t>
            </w:r>
            <w:r>
              <w:rPr>
                <w:rFonts w:hint="eastAsia" w:eastAsia="楷体"/>
                <w:szCs w:val="21"/>
              </w:rPr>
              <w:t>环境</w:t>
            </w:r>
            <w:r>
              <w:rPr>
                <w:rFonts w:eastAsia="楷体"/>
                <w:szCs w:val="21"/>
              </w:rPr>
              <w:t>噪声</w:t>
            </w:r>
          </w:p>
        </w:tc>
        <w:tc>
          <w:tcPr>
            <w:tcW w:w="2736" w:type="pct"/>
            <w:noWrap/>
            <w:vAlign w:val="center"/>
          </w:tcPr>
          <w:p>
            <w:pPr>
              <w:jc w:val="center"/>
              <w:rPr>
                <w:rFonts w:eastAsia="楷体"/>
                <w:szCs w:val="21"/>
              </w:rPr>
            </w:pPr>
            <w:r>
              <w:rPr>
                <w:rFonts w:eastAsia="楷体"/>
                <w:szCs w:val="21"/>
              </w:rPr>
              <w:t>工业企业厂界环境噪声排放标准GB12348-2008</w:t>
            </w:r>
          </w:p>
        </w:tc>
      </w:tr>
    </w:tbl>
    <w:p>
      <w:pPr>
        <w:pStyle w:val="8"/>
        <w:numPr>
          <w:ilvl w:val="0"/>
          <w:numId w:val="1"/>
        </w:numPr>
        <w:ind w:firstLine="0"/>
        <w:rPr>
          <w:rFonts w:cs="宋体"/>
          <w:color w:val="000000"/>
          <w:kern w:val="0"/>
          <w:sz w:val="28"/>
          <w:szCs w:val="28"/>
        </w:rPr>
      </w:pPr>
      <w:r>
        <w:rPr>
          <w:rFonts w:hint="eastAsia" w:hAnsi="宋体" w:cs="宋体"/>
          <w:color w:val="000000"/>
          <w:kern w:val="0"/>
          <w:sz w:val="28"/>
          <w:szCs w:val="28"/>
        </w:rPr>
        <w:t>质量控制要求</w:t>
      </w:r>
    </w:p>
    <w:p>
      <w:pPr>
        <w:pStyle w:val="16"/>
        <w:numPr>
          <w:ilvl w:val="0"/>
          <w:numId w:val="2"/>
        </w:numPr>
        <w:ind w:left="0" w:firstLine="0" w:firstLineChars="0"/>
        <w:rPr>
          <w:rFonts w:cs="宋体"/>
          <w:color w:val="000000"/>
          <w:kern w:val="0"/>
          <w:sz w:val="24"/>
        </w:rPr>
      </w:pPr>
      <w:r>
        <w:rPr>
          <w:rFonts w:cs="宋体"/>
          <w:color w:val="000000"/>
          <w:kern w:val="0"/>
          <w:sz w:val="24"/>
        </w:rPr>
        <w:t>监测分析方法采用国家有关部门颁布（或推荐）的标准分析方法，监测人员</w:t>
      </w:r>
      <w:r>
        <w:rPr>
          <w:rFonts w:hint="eastAsia" w:cs="宋体"/>
          <w:color w:val="000000"/>
          <w:kern w:val="0"/>
          <w:sz w:val="24"/>
        </w:rPr>
        <w:t>需</w:t>
      </w:r>
      <w:r>
        <w:rPr>
          <w:rFonts w:cs="宋体"/>
          <w:color w:val="000000"/>
          <w:kern w:val="0"/>
          <w:sz w:val="24"/>
        </w:rPr>
        <w:t>经过考核并持有合格证。</w:t>
      </w:r>
    </w:p>
    <w:p>
      <w:pPr>
        <w:pStyle w:val="16"/>
        <w:numPr>
          <w:ilvl w:val="0"/>
          <w:numId w:val="2"/>
        </w:numPr>
        <w:ind w:left="0" w:firstLine="0" w:firstLineChars="0"/>
        <w:rPr>
          <w:rFonts w:cs="宋体"/>
          <w:color w:val="000000"/>
          <w:kern w:val="0"/>
          <w:sz w:val="24"/>
        </w:rPr>
      </w:pPr>
      <w:r>
        <w:rPr>
          <w:rFonts w:hint="eastAsia" w:cs="宋体"/>
          <w:color w:val="000000"/>
          <w:kern w:val="0"/>
          <w:sz w:val="24"/>
        </w:rPr>
        <w:t>合理布设监测点，保证各监测点位布设的科学性和可比性。</w:t>
      </w:r>
    </w:p>
    <w:p>
      <w:pPr>
        <w:pStyle w:val="16"/>
        <w:numPr>
          <w:ilvl w:val="0"/>
          <w:numId w:val="2"/>
        </w:numPr>
        <w:ind w:left="0" w:firstLine="0" w:firstLineChars="0"/>
        <w:rPr>
          <w:rFonts w:cs="宋体"/>
          <w:color w:val="000000"/>
          <w:kern w:val="0"/>
          <w:sz w:val="24"/>
        </w:rPr>
      </w:pPr>
      <w:r>
        <w:rPr>
          <w:rFonts w:cs="宋体"/>
          <w:color w:val="000000"/>
          <w:kern w:val="0"/>
          <w:sz w:val="24"/>
        </w:rPr>
        <w:t>质量保证措施按《浙江省环境监测质量保证技术规定》执行。采样前对采样器的流量计进行校准，直读式仪器用标准气进行校准；实验室分析时，对部分项目采取做平行样和质控样来进行质量控制。</w:t>
      </w:r>
    </w:p>
    <w:p>
      <w:pPr>
        <w:pStyle w:val="8"/>
        <w:numPr>
          <w:ilvl w:val="0"/>
          <w:numId w:val="1"/>
        </w:numPr>
        <w:ind w:firstLine="0"/>
        <w:rPr>
          <w:rFonts w:cs="宋体"/>
          <w:color w:val="000000"/>
          <w:kern w:val="0"/>
          <w:sz w:val="28"/>
          <w:szCs w:val="28"/>
        </w:rPr>
      </w:pPr>
      <w:r>
        <w:rPr>
          <w:rFonts w:hint="eastAsia" w:hAnsi="宋体" w:cs="宋体"/>
          <w:color w:val="000000"/>
          <w:kern w:val="0"/>
          <w:sz w:val="28"/>
          <w:szCs w:val="28"/>
        </w:rPr>
        <w:t>地下水监测井建设要求</w:t>
      </w:r>
    </w:p>
    <w:p>
      <w:pPr>
        <w:ind w:firstLine="480" w:firstLineChars="200"/>
        <w:rPr>
          <w:rFonts w:cs="宋体"/>
          <w:color w:val="000000"/>
          <w:kern w:val="0"/>
          <w:sz w:val="24"/>
        </w:rPr>
      </w:pPr>
      <w:r>
        <w:rPr>
          <w:rFonts w:hint="eastAsia" w:cs="宋体"/>
          <w:color w:val="000000"/>
          <w:kern w:val="0"/>
          <w:sz w:val="24"/>
        </w:rPr>
        <w:t>地下水监测井需进行现场勘探位现场勘查根据《工业企业土壤和地下水监测指南》和《地下水监测井建设规范》要求建设。</w:t>
      </w:r>
    </w:p>
    <w:p>
      <w:pPr>
        <w:pStyle w:val="16"/>
        <w:numPr>
          <w:ilvl w:val="0"/>
          <w:numId w:val="3"/>
        </w:numPr>
        <w:ind w:left="0" w:firstLine="0" w:firstLineChars="0"/>
        <w:rPr>
          <w:rFonts w:cs="宋体"/>
          <w:color w:val="000000"/>
          <w:kern w:val="0"/>
          <w:sz w:val="24"/>
        </w:rPr>
      </w:pPr>
      <w:r>
        <w:rPr>
          <w:rFonts w:hint="eastAsia" w:cs="宋体"/>
          <w:color w:val="000000"/>
          <w:kern w:val="0"/>
          <w:sz w:val="24"/>
        </w:rPr>
        <w:t>环境监测井建设应遵循一井一编码。</w:t>
      </w:r>
    </w:p>
    <w:p>
      <w:pPr>
        <w:pStyle w:val="16"/>
        <w:numPr>
          <w:ilvl w:val="0"/>
          <w:numId w:val="3"/>
        </w:numPr>
        <w:ind w:left="0" w:firstLine="0" w:firstLineChars="0"/>
        <w:rPr>
          <w:rFonts w:cs="宋体"/>
          <w:color w:val="000000"/>
          <w:kern w:val="0"/>
          <w:sz w:val="24"/>
        </w:rPr>
      </w:pPr>
      <w:r>
        <w:rPr>
          <w:rFonts w:cs="宋体"/>
          <w:color w:val="000000"/>
          <w:kern w:val="0"/>
          <w:sz w:val="24"/>
        </w:rPr>
        <w:t>监测井建设深度应满足监测目标要求</w:t>
      </w:r>
      <w:r>
        <w:rPr>
          <w:rFonts w:hint="eastAsia" w:cs="宋体"/>
          <w:color w:val="000000"/>
          <w:kern w:val="0"/>
          <w:sz w:val="24"/>
        </w:rPr>
        <w:t>，</w:t>
      </w:r>
      <w:r>
        <w:rPr>
          <w:rFonts w:cs="宋体"/>
          <w:color w:val="000000"/>
          <w:kern w:val="0"/>
          <w:sz w:val="24"/>
        </w:rPr>
        <w:t>监测井取水位置一般在目标含水层的中部。</w:t>
      </w:r>
    </w:p>
    <w:p>
      <w:pPr>
        <w:pStyle w:val="16"/>
        <w:numPr>
          <w:ilvl w:val="0"/>
          <w:numId w:val="3"/>
        </w:numPr>
        <w:ind w:left="0" w:firstLine="0" w:firstLineChars="0"/>
        <w:rPr>
          <w:rFonts w:cs="宋体"/>
          <w:color w:val="000000"/>
          <w:kern w:val="0"/>
          <w:sz w:val="24"/>
        </w:rPr>
      </w:pPr>
      <w:r>
        <w:rPr>
          <w:rFonts w:cs="宋体"/>
          <w:color w:val="000000"/>
          <w:kern w:val="0"/>
          <w:sz w:val="24"/>
        </w:rPr>
        <w:t>监测井滤水管要求，丰水期间需要有1m的滤水管位于水面以上；枯水期需有1m的滤水管位于地下水面以下。</w:t>
      </w:r>
    </w:p>
    <w:p>
      <w:pPr>
        <w:pStyle w:val="16"/>
        <w:numPr>
          <w:ilvl w:val="0"/>
          <w:numId w:val="3"/>
        </w:numPr>
        <w:ind w:left="0" w:firstLine="0" w:firstLineChars="0"/>
        <w:rPr>
          <w:rFonts w:cs="宋体"/>
          <w:color w:val="000000"/>
          <w:kern w:val="0"/>
          <w:sz w:val="24"/>
        </w:rPr>
      </w:pPr>
      <w:r>
        <w:rPr>
          <w:rFonts w:cs="宋体"/>
          <w:color w:val="000000"/>
          <w:kern w:val="0"/>
          <w:sz w:val="24"/>
        </w:rPr>
        <w:t>井管的内径要求不小于</w:t>
      </w:r>
      <w:r>
        <w:rPr>
          <w:rFonts w:hint="eastAsia" w:cs="宋体"/>
          <w:color w:val="000000"/>
          <w:kern w:val="0"/>
          <w:sz w:val="24"/>
        </w:rPr>
        <w:t>63</w:t>
      </w:r>
      <w:r>
        <w:rPr>
          <w:rFonts w:cs="宋体"/>
          <w:color w:val="000000"/>
          <w:kern w:val="0"/>
          <w:sz w:val="24"/>
        </w:rPr>
        <w:t xml:space="preserve"> mm，以能够满足洗井和取水要求的口径为准。</w:t>
      </w:r>
    </w:p>
    <w:p>
      <w:pPr>
        <w:pStyle w:val="16"/>
        <w:numPr>
          <w:ilvl w:val="0"/>
          <w:numId w:val="3"/>
        </w:numPr>
        <w:ind w:left="0" w:firstLine="0" w:firstLineChars="0"/>
        <w:rPr>
          <w:rFonts w:cs="宋体"/>
          <w:color w:val="000000"/>
          <w:kern w:val="0"/>
          <w:sz w:val="24"/>
        </w:rPr>
      </w:pPr>
      <w:r>
        <w:rPr>
          <w:rFonts w:cs="宋体"/>
          <w:color w:val="000000"/>
          <w:kern w:val="0"/>
          <w:sz w:val="24"/>
        </w:rPr>
        <w:t>监测井所采用的构筑材料不应改变地下水的化学成分，即不能干扰监测过程中对地下水中化合物的分析</w:t>
      </w:r>
      <w:r>
        <w:rPr>
          <w:rFonts w:hint="eastAsia" w:cs="宋体"/>
          <w:color w:val="000000"/>
          <w:kern w:val="0"/>
          <w:sz w:val="24"/>
        </w:rPr>
        <w:t>；</w:t>
      </w:r>
      <w:r>
        <w:rPr>
          <w:rFonts w:cs="宋体"/>
          <w:color w:val="000000"/>
          <w:kern w:val="0"/>
          <w:sz w:val="24"/>
        </w:rPr>
        <w:t>井管各接头连接时不能用任何黏合剂或涂料，推荐采用螺纹式连接井管。</w:t>
      </w:r>
    </w:p>
    <w:p>
      <w:pPr>
        <w:pStyle w:val="16"/>
        <w:numPr>
          <w:ilvl w:val="0"/>
          <w:numId w:val="3"/>
        </w:numPr>
        <w:ind w:left="0" w:firstLine="0" w:firstLineChars="0"/>
        <w:rPr>
          <w:rFonts w:cs="宋体"/>
          <w:color w:val="000000"/>
          <w:kern w:val="0"/>
          <w:sz w:val="24"/>
        </w:rPr>
      </w:pPr>
      <w:r>
        <w:rPr>
          <w:rFonts w:cs="宋体"/>
          <w:color w:val="000000"/>
          <w:kern w:val="0"/>
          <w:sz w:val="24"/>
        </w:rPr>
        <w:t>监测井建设完成后必须进行洗井，保证监测井出水水清沙净。常见的方法包括超量抽水、反冲、汲取及气洗等。</w:t>
      </w:r>
    </w:p>
    <w:p>
      <w:pPr>
        <w:pStyle w:val="16"/>
        <w:numPr>
          <w:ilvl w:val="0"/>
          <w:numId w:val="3"/>
        </w:numPr>
        <w:ind w:left="0" w:firstLine="0" w:firstLineChars="0"/>
        <w:rPr>
          <w:rFonts w:cs="宋体"/>
          <w:color w:val="000000"/>
          <w:kern w:val="0"/>
          <w:sz w:val="24"/>
        </w:rPr>
      </w:pPr>
      <w:r>
        <w:rPr>
          <w:rFonts w:cs="宋体"/>
          <w:color w:val="000000"/>
          <w:kern w:val="0"/>
          <w:sz w:val="24"/>
        </w:rPr>
        <w:t>洗井后需进行至少1个落程的定流量抽水试验，抽水稳定时间达到24h以上，待水位恢复后才能采集水样。</w:t>
      </w:r>
    </w:p>
    <w:p>
      <w:pPr>
        <w:pStyle w:val="8"/>
        <w:numPr>
          <w:ilvl w:val="0"/>
          <w:numId w:val="1"/>
        </w:numPr>
        <w:ind w:firstLine="0"/>
        <w:rPr>
          <w:rFonts w:cs="宋体"/>
          <w:color w:val="000000"/>
          <w:kern w:val="0"/>
          <w:sz w:val="28"/>
          <w:szCs w:val="28"/>
        </w:rPr>
      </w:pPr>
      <w:r>
        <w:rPr>
          <w:rFonts w:hint="eastAsia" w:hAnsi="宋体" w:cs="宋体"/>
          <w:color w:val="000000"/>
          <w:kern w:val="0"/>
          <w:sz w:val="28"/>
          <w:szCs w:val="28"/>
        </w:rPr>
        <w:t>资质要求</w:t>
      </w:r>
    </w:p>
    <w:p>
      <w:pPr>
        <w:pStyle w:val="8"/>
        <w:numPr>
          <w:numId w:val="0"/>
        </w:numPr>
        <w:ind w:right="-147" w:rightChars="-70"/>
        <w:rPr>
          <w:rFonts w:hint="default" w:eastAsia="宋体" w:cs="宋体"/>
          <w:b w:val="0"/>
          <w:bCs/>
          <w:color w:val="000000"/>
          <w:kern w:val="0"/>
          <w:sz w:val="24"/>
          <w:szCs w:val="24"/>
          <w:lang w:val="en-US" w:eastAsia="zh-CN"/>
        </w:rPr>
      </w:pPr>
      <w:bookmarkStart w:id="0" w:name="_GoBack"/>
      <w:r>
        <w:rPr>
          <w:rFonts w:hint="eastAsia" w:hAnsi="宋体" w:cs="宋体"/>
          <w:b w:val="0"/>
          <w:bCs/>
          <w:color w:val="000000"/>
          <w:kern w:val="0"/>
          <w:sz w:val="24"/>
          <w:szCs w:val="24"/>
          <w:lang w:val="en-US" w:eastAsia="zh-CN"/>
        </w:rPr>
        <w:t>见招标公告</w:t>
      </w:r>
    </w:p>
    <w:bookmarkEnd w:id="0"/>
    <w:p>
      <w:pPr>
        <w:pStyle w:val="8"/>
        <w:numPr>
          <w:ilvl w:val="0"/>
          <w:numId w:val="1"/>
        </w:numPr>
        <w:ind w:firstLine="0"/>
        <w:rPr>
          <w:rFonts w:hAnsi="宋体" w:cs="宋体"/>
          <w:color w:val="000000"/>
          <w:kern w:val="0"/>
          <w:sz w:val="28"/>
          <w:szCs w:val="28"/>
        </w:rPr>
      </w:pPr>
      <w:r>
        <w:rPr>
          <w:rFonts w:hint="eastAsia" w:hAnsi="宋体" w:cs="宋体"/>
          <w:color w:val="000000"/>
          <w:kern w:val="0"/>
          <w:sz w:val="28"/>
          <w:szCs w:val="28"/>
        </w:rPr>
        <w:t>工程进度安排</w:t>
      </w:r>
    </w:p>
    <w:p>
      <w:pPr>
        <w:pStyle w:val="16"/>
        <w:numPr>
          <w:ilvl w:val="0"/>
          <w:numId w:val="4"/>
        </w:numPr>
        <w:ind w:firstLineChars="0"/>
        <w:rPr>
          <w:rFonts w:cs="宋体"/>
          <w:color w:val="000000"/>
          <w:kern w:val="0"/>
          <w:sz w:val="24"/>
        </w:rPr>
      </w:pPr>
      <w:r>
        <w:rPr>
          <w:rFonts w:hint="eastAsia" w:cs="宋体"/>
          <w:color w:val="000000"/>
          <w:kern w:val="0"/>
          <w:sz w:val="24"/>
        </w:rPr>
        <w:t>计划施工开始时间严格按照监测频次，具体根据实际情况进度需要适当调整。</w:t>
      </w:r>
    </w:p>
    <w:p>
      <w:pPr>
        <w:pStyle w:val="16"/>
        <w:numPr>
          <w:ilvl w:val="0"/>
          <w:numId w:val="4"/>
        </w:numPr>
        <w:ind w:firstLineChars="0"/>
        <w:rPr>
          <w:rFonts w:cs="宋体"/>
          <w:color w:val="000000"/>
          <w:kern w:val="0"/>
          <w:sz w:val="24"/>
        </w:rPr>
      </w:pPr>
      <w:r>
        <w:rPr>
          <w:rFonts w:hint="eastAsia" w:cs="宋体"/>
          <w:color w:val="000000"/>
          <w:kern w:val="0"/>
          <w:sz w:val="24"/>
        </w:rPr>
        <w:t>实际施工时间以甲方通知为准，甲方需提前5日通知乙方。</w:t>
      </w:r>
    </w:p>
    <w:p>
      <w:pPr>
        <w:pStyle w:val="16"/>
        <w:numPr>
          <w:ilvl w:val="0"/>
          <w:numId w:val="4"/>
        </w:numPr>
        <w:ind w:firstLineChars="0"/>
        <w:rPr>
          <w:rFonts w:cs="宋体"/>
          <w:color w:val="000000"/>
          <w:kern w:val="0"/>
          <w:sz w:val="24"/>
        </w:rPr>
      </w:pPr>
      <w:r>
        <w:rPr>
          <w:rFonts w:hint="eastAsia" w:cs="宋体"/>
          <w:color w:val="000000"/>
          <w:kern w:val="0"/>
          <w:sz w:val="24"/>
        </w:rPr>
        <w:t>乙方在收到甲方的开工通知后，需安排足够的人力、物力及检测设备仪器，按甲方要求按期完成各项服务工作。</w:t>
      </w:r>
    </w:p>
    <w:p>
      <w:pPr>
        <w:pStyle w:val="16"/>
        <w:numPr>
          <w:ilvl w:val="0"/>
          <w:numId w:val="4"/>
        </w:numPr>
        <w:ind w:firstLineChars="0"/>
        <w:rPr>
          <w:rFonts w:cs="宋体"/>
          <w:color w:val="000000"/>
          <w:kern w:val="0"/>
          <w:sz w:val="24"/>
        </w:rPr>
      </w:pPr>
      <w:r>
        <w:rPr>
          <w:rFonts w:hint="eastAsia" w:cs="宋体"/>
          <w:color w:val="000000"/>
          <w:kern w:val="0"/>
          <w:sz w:val="24"/>
        </w:rPr>
        <w:t>乙方在布点采样后20个工作日内，需提交检测项目的正式报告。</w:t>
      </w:r>
    </w:p>
    <w:p>
      <w:pPr>
        <w:pStyle w:val="8"/>
        <w:numPr>
          <w:ilvl w:val="0"/>
          <w:numId w:val="1"/>
        </w:numPr>
        <w:ind w:firstLine="0"/>
        <w:rPr>
          <w:rFonts w:hAnsi="宋体" w:cs="宋体"/>
          <w:color w:val="000000"/>
          <w:kern w:val="0"/>
          <w:sz w:val="28"/>
          <w:szCs w:val="28"/>
        </w:rPr>
      </w:pPr>
      <w:r>
        <w:rPr>
          <w:rFonts w:hint="eastAsia" w:hAnsi="宋体" w:cs="宋体"/>
          <w:color w:val="000000"/>
          <w:kern w:val="0"/>
          <w:sz w:val="28"/>
          <w:szCs w:val="28"/>
        </w:rPr>
        <w:t>技术服务和其它事项</w:t>
      </w:r>
    </w:p>
    <w:p>
      <w:pPr>
        <w:pStyle w:val="16"/>
        <w:numPr>
          <w:ilvl w:val="0"/>
          <w:numId w:val="5"/>
        </w:numPr>
        <w:ind w:firstLineChars="0"/>
        <w:rPr>
          <w:rFonts w:cs="宋体"/>
          <w:color w:val="000000"/>
          <w:kern w:val="0"/>
          <w:sz w:val="24"/>
        </w:rPr>
      </w:pPr>
      <w:r>
        <w:rPr>
          <w:rFonts w:hint="eastAsia" w:cs="宋体"/>
          <w:color w:val="000000"/>
          <w:kern w:val="0"/>
          <w:sz w:val="24"/>
        </w:rPr>
        <w:t>乙方须遵守安全生产有关管理规定，在浙江浙能嘉华发电有限公司内严格执行安全管理标准制度，并且随时接受甲方安全检查人员的监督检查。</w:t>
      </w:r>
    </w:p>
    <w:p>
      <w:pPr>
        <w:pStyle w:val="16"/>
        <w:numPr>
          <w:ilvl w:val="0"/>
          <w:numId w:val="5"/>
        </w:numPr>
        <w:ind w:firstLineChars="0"/>
        <w:rPr>
          <w:rFonts w:cs="宋体"/>
          <w:color w:val="000000"/>
          <w:kern w:val="0"/>
          <w:sz w:val="24"/>
        </w:rPr>
      </w:pPr>
      <w:r>
        <w:rPr>
          <w:rFonts w:hint="eastAsia" w:cs="宋体"/>
          <w:color w:val="000000"/>
          <w:kern w:val="0"/>
          <w:sz w:val="24"/>
        </w:rPr>
        <w:t>乙方应保证所提供的设备和服务满足电厂安全、可靠运行的要求，并对供货、试验、安装、现场服务等过程全面负责。</w:t>
      </w:r>
    </w:p>
    <w:p>
      <w:pPr>
        <w:pStyle w:val="16"/>
        <w:numPr>
          <w:ilvl w:val="0"/>
          <w:numId w:val="5"/>
        </w:numPr>
        <w:ind w:firstLineChars="0"/>
        <w:rPr>
          <w:rFonts w:cs="宋体"/>
          <w:color w:val="000000"/>
          <w:kern w:val="0"/>
          <w:sz w:val="24"/>
        </w:rPr>
      </w:pPr>
      <w:r>
        <w:rPr>
          <w:rFonts w:hint="eastAsia" w:cs="宋体"/>
          <w:color w:val="000000"/>
          <w:kern w:val="0"/>
          <w:sz w:val="24"/>
        </w:rPr>
        <w:t>监测服务期间，甲方有权利委托省级或省级以上环境管理部门单位对本项目的监测工作进行质量监督调查，乙方有义务接受甲方委托的质量监督调查监测工作。若监督调查结果不符合质量控制要求的甲方有权解除合约，且有追偿因此造成的直接或间接经济损失的权利。</w:t>
      </w:r>
    </w:p>
    <w:p>
      <w:pPr>
        <w:pStyle w:val="8"/>
        <w:numPr>
          <w:ilvl w:val="0"/>
          <w:numId w:val="1"/>
        </w:numPr>
        <w:ind w:firstLine="0"/>
        <w:rPr>
          <w:rFonts w:hAnsi="宋体" w:cs="宋体"/>
          <w:color w:val="000000"/>
          <w:kern w:val="0"/>
          <w:sz w:val="28"/>
          <w:szCs w:val="28"/>
        </w:rPr>
      </w:pPr>
      <w:r>
        <w:rPr>
          <w:rFonts w:hint="eastAsia" w:hAnsi="宋体" w:cs="宋体"/>
          <w:color w:val="000000"/>
          <w:kern w:val="0"/>
          <w:sz w:val="28"/>
          <w:szCs w:val="28"/>
        </w:rPr>
        <w:t>考核条款</w:t>
      </w:r>
    </w:p>
    <w:p>
      <w:pPr>
        <w:pStyle w:val="16"/>
        <w:numPr>
          <w:ilvl w:val="0"/>
          <w:numId w:val="6"/>
        </w:numPr>
        <w:ind w:firstLineChars="0"/>
        <w:rPr>
          <w:rFonts w:cs="宋体"/>
          <w:color w:val="000000"/>
          <w:kern w:val="0"/>
          <w:sz w:val="24"/>
        </w:rPr>
      </w:pPr>
      <w:r>
        <w:rPr>
          <w:rFonts w:hint="eastAsia" w:cs="宋体"/>
          <w:color w:val="000000"/>
          <w:kern w:val="0"/>
          <w:sz w:val="24"/>
        </w:rPr>
        <w:t>乙方应在约定时间内完成服务，由于乙方原因逾期完成的，每推迟一天扣除合同总金额的0.1%。</w:t>
      </w:r>
    </w:p>
    <w:p>
      <w:pPr>
        <w:pStyle w:val="16"/>
        <w:numPr>
          <w:ilvl w:val="0"/>
          <w:numId w:val="6"/>
        </w:numPr>
        <w:ind w:firstLineChars="0"/>
        <w:rPr>
          <w:rFonts w:cs="宋体"/>
          <w:color w:val="000000"/>
          <w:kern w:val="0"/>
          <w:sz w:val="24"/>
        </w:rPr>
      </w:pPr>
      <w:r>
        <w:rPr>
          <w:rFonts w:hint="eastAsia" w:cs="宋体"/>
          <w:color w:val="000000"/>
          <w:kern w:val="0"/>
          <w:sz w:val="24"/>
        </w:rPr>
        <w:t>本工程设置项目安全绩效金，安全绩效金根据“安全绩效金设置比例表”中具体条款支付，绩效金金额比例设置为本项目合同价的5%，施工完成后满足条件则足额支付，未满足则扣除相应安全绩效金。安全绩效金扣罚标准与浙江浙能嘉华发电有限公司其他安全奖惩条款不一致的，从重不重复考核。</w:t>
      </w:r>
    </w:p>
    <w:p>
      <w:pPr>
        <w:pStyle w:val="8"/>
        <w:rPr>
          <w:rFonts w:hAnsi="宋体" w:cs="宋体"/>
          <w:b w:val="0"/>
          <w:color w:val="000000"/>
          <w:kern w:val="0"/>
          <w:sz w:val="24"/>
        </w:rPr>
      </w:pPr>
    </w:p>
    <w:p>
      <w:pPr>
        <w:rPr>
          <w:rFonts w:cs="宋体"/>
          <w:b/>
          <w:color w:val="000000"/>
          <w:kern w:val="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985105"/>
    <w:multiLevelType w:val="multilevel"/>
    <w:tmpl w:val="0198510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E760229"/>
    <w:multiLevelType w:val="multilevel"/>
    <w:tmpl w:val="0E76022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B65AF5"/>
    <w:multiLevelType w:val="multilevel"/>
    <w:tmpl w:val="0FB65AF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C0E5C10"/>
    <w:multiLevelType w:val="multilevel"/>
    <w:tmpl w:val="5C0E5C10"/>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4">
    <w:nsid w:val="755BF15C"/>
    <w:multiLevelType w:val="singleLevel"/>
    <w:tmpl w:val="755BF15C"/>
    <w:lvl w:ilvl="0" w:tentative="0">
      <w:start w:val="3"/>
      <w:numFmt w:val="decimal"/>
      <w:suff w:val="nothing"/>
      <w:lvlText w:val="%1、"/>
      <w:lvlJc w:val="left"/>
    </w:lvl>
  </w:abstractNum>
  <w:abstractNum w:abstractNumId="5">
    <w:nsid w:val="7A8B0358"/>
    <w:multiLevelType w:val="multilevel"/>
    <w:tmpl w:val="7A8B035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val=""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43B72"/>
    <w:rsid w:val="000748C7"/>
    <w:rsid w:val="00076A0B"/>
    <w:rsid w:val="00095267"/>
    <w:rsid w:val="000A605C"/>
    <w:rsid w:val="000F0471"/>
    <w:rsid w:val="000F5CFA"/>
    <w:rsid w:val="00100845"/>
    <w:rsid w:val="001232C5"/>
    <w:rsid w:val="00172A27"/>
    <w:rsid w:val="001A00E2"/>
    <w:rsid w:val="001A76C6"/>
    <w:rsid w:val="001F0944"/>
    <w:rsid w:val="00215C80"/>
    <w:rsid w:val="002600EB"/>
    <w:rsid w:val="00290E99"/>
    <w:rsid w:val="002B0C1D"/>
    <w:rsid w:val="002B245A"/>
    <w:rsid w:val="002C0C45"/>
    <w:rsid w:val="002C2DD8"/>
    <w:rsid w:val="003244F4"/>
    <w:rsid w:val="00354DC7"/>
    <w:rsid w:val="004331FE"/>
    <w:rsid w:val="00441D4D"/>
    <w:rsid w:val="00456228"/>
    <w:rsid w:val="0047718C"/>
    <w:rsid w:val="004856D8"/>
    <w:rsid w:val="00507C02"/>
    <w:rsid w:val="00596B48"/>
    <w:rsid w:val="005B74F1"/>
    <w:rsid w:val="005D10A5"/>
    <w:rsid w:val="005D7A69"/>
    <w:rsid w:val="005F4AE2"/>
    <w:rsid w:val="005F7CCC"/>
    <w:rsid w:val="006015CB"/>
    <w:rsid w:val="00615E8E"/>
    <w:rsid w:val="006314C2"/>
    <w:rsid w:val="006D1D0D"/>
    <w:rsid w:val="00702DBD"/>
    <w:rsid w:val="007163FA"/>
    <w:rsid w:val="00716DAA"/>
    <w:rsid w:val="00726C44"/>
    <w:rsid w:val="00733B1C"/>
    <w:rsid w:val="007559BB"/>
    <w:rsid w:val="0078151E"/>
    <w:rsid w:val="007A6A5B"/>
    <w:rsid w:val="007A7BD9"/>
    <w:rsid w:val="007C27C5"/>
    <w:rsid w:val="00876BF6"/>
    <w:rsid w:val="0088017A"/>
    <w:rsid w:val="008A0083"/>
    <w:rsid w:val="008A231D"/>
    <w:rsid w:val="008C5F20"/>
    <w:rsid w:val="008D452C"/>
    <w:rsid w:val="008D5AE8"/>
    <w:rsid w:val="008E3BFC"/>
    <w:rsid w:val="008E3DE0"/>
    <w:rsid w:val="008F21D7"/>
    <w:rsid w:val="009652CD"/>
    <w:rsid w:val="00986A22"/>
    <w:rsid w:val="00A11028"/>
    <w:rsid w:val="00A75B0F"/>
    <w:rsid w:val="00A9334C"/>
    <w:rsid w:val="00AC64A4"/>
    <w:rsid w:val="00B47AF1"/>
    <w:rsid w:val="00B6736A"/>
    <w:rsid w:val="00B74156"/>
    <w:rsid w:val="00B90392"/>
    <w:rsid w:val="00BC3626"/>
    <w:rsid w:val="00C06FA7"/>
    <w:rsid w:val="00C742A4"/>
    <w:rsid w:val="00C82C84"/>
    <w:rsid w:val="00C872D1"/>
    <w:rsid w:val="00CB4B8E"/>
    <w:rsid w:val="00CC0A11"/>
    <w:rsid w:val="00D04E51"/>
    <w:rsid w:val="00D35F35"/>
    <w:rsid w:val="00D771D1"/>
    <w:rsid w:val="00D775A2"/>
    <w:rsid w:val="00E7451A"/>
    <w:rsid w:val="00EA3C60"/>
    <w:rsid w:val="00EA6D43"/>
    <w:rsid w:val="00EB3D0D"/>
    <w:rsid w:val="00EE1D57"/>
    <w:rsid w:val="00EE5FBA"/>
    <w:rsid w:val="00F1058B"/>
    <w:rsid w:val="00F210E8"/>
    <w:rsid w:val="00F255A6"/>
    <w:rsid w:val="00F95767"/>
    <w:rsid w:val="00FB3DE8"/>
    <w:rsid w:val="00FC5033"/>
    <w:rsid w:val="00FF4AFC"/>
    <w:rsid w:val="01211844"/>
    <w:rsid w:val="016C10DD"/>
    <w:rsid w:val="01A058B4"/>
    <w:rsid w:val="01DF1C14"/>
    <w:rsid w:val="0200073A"/>
    <w:rsid w:val="027B1030"/>
    <w:rsid w:val="02BC49FA"/>
    <w:rsid w:val="03657DAF"/>
    <w:rsid w:val="03A326D8"/>
    <w:rsid w:val="03D66146"/>
    <w:rsid w:val="0424331C"/>
    <w:rsid w:val="04D459DE"/>
    <w:rsid w:val="050F4734"/>
    <w:rsid w:val="0530338C"/>
    <w:rsid w:val="05A02D95"/>
    <w:rsid w:val="05F225EF"/>
    <w:rsid w:val="05F91594"/>
    <w:rsid w:val="068E25CB"/>
    <w:rsid w:val="06AD7CDB"/>
    <w:rsid w:val="07186635"/>
    <w:rsid w:val="077542C2"/>
    <w:rsid w:val="07962A70"/>
    <w:rsid w:val="08083B9F"/>
    <w:rsid w:val="0871135E"/>
    <w:rsid w:val="08EC64B4"/>
    <w:rsid w:val="0B584945"/>
    <w:rsid w:val="0C0018BA"/>
    <w:rsid w:val="0C0A4EBE"/>
    <w:rsid w:val="0C584316"/>
    <w:rsid w:val="0D144586"/>
    <w:rsid w:val="0DFE5679"/>
    <w:rsid w:val="0E1E56B3"/>
    <w:rsid w:val="0EA05F3A"/>
    <w:rsid w:val="0ECA43C0"/>
    <w:rsid w:val="0EFA4705"/>
    <w:rsid w:val="0F35552E"/>
    <w:rsid w:val="0F4056EA"/>
    <w:rsid w:val="0F4A0E88"/>
    <w:rsid w:val="0F4E0F07"/>
    <w:rsid w:val="1029563E"/>
    <w:rsid w:val="10F4413C"/>
    <w:rsid w:val="11A72C7C"/>
    <w:rsid w:val="11E71691"/>
    <w:rsid w:val="121C5BF1"/>
    <w:rsid w:val="1296068B"/>
    <w:rsid w:val="12D7301C"/>
    <w:rsid w:val="13A02520"/>
    <w:rsid w:val="149D613F"/>
    <w:rsid w:val="14EB4680"/>
    <w:rsid w:val="155F723C"/>
    <w:rsid w:val="162068C2"/>
    <w:rsid w:val="175C1B8D"/>
    <w:rsid w:val="18101184"/>
    <w:rsid w:val="188F195E"/>
    <w:rsid w:val="18EE05F4"/>
    <w:rsid w:val="1928621A"/>
    <w:rsid w:val="19C22B32"/>
    <w:rsid w:val="1A000C78"/>
    <w:rsid w:val="1A3C5E7F"/>
    <w:rsid w:val="1ABC5852"/>
    <w:rsid w:val="1B135E06"/>
    <w:rsid w:val="1BEE1CEB"/>
    <w:rsid w:val="1C504DD8"/>
    <w:rsid w:val="1CAF0D9D"/>
    <w:rsid w:val="1DB47D9E"/>
    <w:rsid w:val="1DFF3C27"/>
    <w:rsid w:val="1E5D6216"/>
    <w:rsid w:val="1ECE3077"/>
    <w:rsid w:val="1EE731EF"/>
    <w:rsid w:val="1F481E6C"/>
    <w:rsid w:val="1F7D1399"/>
    <w:rsid w:val="1F7D5413"/>
    <w:rsid w:val="20423763"/>
    <w:rsid w:val="20471BD0"/>
    <w:rsid w:val="20AE4D2B"/>
    <w:rsid w:val="214309DA"/>
    <w:rsid w:val="223E615C"/>
    <w:rsid w:val="22C571C3"/>
    <w:rsid w:val="22E53440"/>
    <w:rsid w:val="22EA2003"/>
    <w:rsid w:val="22F109D2"/>
    <w:rsid w:val="231C4351"/>
    <w:rsid w:val="23EB7953"/>
    <w:rsid w:val="241923B4"/>
    <w:rsid w:val="24A362E8"/>
    <w:rsid w:val="24AE4A07"/>
    <w:rsid w:val="252D1DEB"/>
    <w:rsid w:val="25734759"/>
    <w:rsid w:val="26224751"/>
    <w:rsid w:val="264632EC"/>
    <w:rsid w:val="26770036"/>
    <w:rsid w:val="267A3EBF"/>
    <w:rsid w:val="26AF7DBF"/>
    <w:rsid w:val="26B1787A"/>
    <w:rsid w:val="26BE451C"/>
    <w:rsid w:val="272C291B"/>
    <w:rsid w:val="272F7FB4"/>
    <w:rsid w:val="27A51F4D"/>
    <w:rsid w:val="27B80E66"/>
    <w:rsid w:val="28167B44"/>
    <w:rsid w:val="28404824"/>
    <w:rsid w:val="28561801"/>
    <w:rsid w:val="288613F6"/>
    <w:rsid w:val="288F3BFA"/>
    <w:rsid w:val="28B11294"/>
    <w:rsid w:val="28D91FA3"/>
    <w:rsid w:val="294209EF"/>
    <w:rsid w:val="2950646C"/>
    <w:rsid w:val="2A796385"/>
    <w:rsid w:val="2A9B148A"/>
    <w:rsid w:val="2ADA1F25"/>
    <w:rsid w:val="2AFE111E"/>
    <w:rsid w:val="2B3B76F2"/>
    <w:rsid w:val="2BF75B82"/>
    <w:rsid w:val="2C98403E"/>
    <w:rsid w:val="2C9A6584"/>
    <w:rsid w:val="2CCF62F9"/>
    <w:rsid w:val="2CEE7C27"/>
    <w:rsid w:val="2D3612C0"/>
    <w:rsid w:val="2D794A53"/>
    <w:rsid w:val="2D8B1E02"/>
    <w:rsid w:val="2D8C0FD8"/>
    <w:rsid w:val="2D9D2331"/>
    <w:rsid w:val="2DA223BF"/>
    <w:rsid w:val="2DE828A3"/>
    <w:rsid w:val="2E386193"/>
    <w:rsid w:val="2E4918E2"/>
    <w:rsid w:val="2E5E573E"/>
    <w:rsid w:val="2E8320A8"/>
    <w:rsid w:val="2E8D3576"/>
    <w:rsid w:val="2EE05198"/>
    <w:rsid w:val="2F6064DD"/>
    <w:rsid w:val="2FAA149C"/>
    <w:rsid w:val="2FE243E5"/>
    <w:rsid w:val="305D3335"/>
    <w:rsid w:val="3093095B"/>
    <w:rsid w:val="30B6010A"/>
    <w:rsid w:val="30F16D01"/>
    <w:rsid w:val="30FE510B"/>
    <w:rsid w:val="311315C5"/>
    <w:rsid w:val="313026BA"/>
    <w:rsid w:val="31503250"/>
    <w:rsid w:val="318E083D"/>
    <w:rsid w:val="31A90499"/>
    <w:rsid w:val="31E56A0D"/>
    <w:rsid w:val="322E3F5F"/>
    <w:rsid w:val="335D10E6"/>
    <w:rsid w:val="33FE306A"/>
    <w:rsid w:val="34311443"/>
    <w:rsid w:val="34354868"/>
    <w:rsid w:val="34E65038"/>
    <w:rsid w:val="353949FE"/>
    <w:rsid w:val="35931BDF"/>
    <w:rsid w:val="35BF05C6"/>
    <w:rsid w:val="35D72A81"/>
    <w:rsid w:val="35F00AD8"/>
    <w:rsid w:val="36DF2A9D"/>
    <w:rsid w:val="378B129F"/>
    <w:rsid w:val="3828449A"/>
    <w:rsid w:val="38A95658"/>
    <w:rsid w:val="391E740A"/>
    <w:rsid w:val="3960568C"/>
    <w:rsid w:val="399660E8"/>
    <w:rsid w:val="3AA631F6"/>
    <w:rsid w:val="3AD940ED"/>
    <w:rsid w:val="3AEB6CFA"/>
    <w:rsid w:val="3B5720D9"/>
    <w:rsid w:val="3B6D4438"/>
    <w:rsid w:val="3C537F74"/>
    <w:rsid w:val="3C8E73B4"/>
    <w:rsid w:val="3D712960"/>
    <w:rsid w:val="3D9927F1"/>
    <w:rsid w:val="3DBC6825"/>
    <w:rsid w:val="3DDD0E6C"/>
    <w:rsid w:val="3E6C41B3"/>
    <w:rsid w:val="3E937F82"/>
    <w:rsid w:val="3EB54260"/>
    <w:rsid w:val="3EFB336A"/>
    <w:rsid w:val="3FCA47C2"/>
    <w:rsid w:val="40605769"/>
    <w:rsid w:val="40AB1278"/>
    <w:rsid w:val="40E67746"/>
    <w:rsid w:val="4155590D"/>
    <w:rsid w:val="42FE527F"/>
    <w:rsid w:val="43374AF1"/>
    <w:rsid w:val="43B45C96"/>
    <w:rsid w:val="442365C2"/>
    <w:rsid w:val="44662340"/>
    <w:rsid w:val="449B4262"/>
    <w:rsid w:val="45193807"/>
    <w:rsid w:val="457A15AD"/>
    <w:rsid w:val="4599532D"/>
    <w:rsid w:val="45A37957"/>
    <w:rsid w:val="45B17818"/>
    <w:rsid w:val="462C1A35"/>
    <w:rsid w:val="466A7906"/>
    <w:rsid w:val="46C6179C"/>
    <w:rsid w:val="46DC1962"/>
    <w:rsid w:val="46F65AC2"/>
    <w:rsid w:val="472D7444"/>
    <w:rsid w:val="478A0553"/>
    <w:rsid w:val="47A906E9"/>
    <w:rsid w:val="47B97256"/>
    <w:rsid w:val="4815240D"/>
    <w:rsid w:val="481A3B5D"/>
    <w:rsid w:val="48354163"/>
    <w:rsid w:val="483C6EF1"/>
    <w:rsid w:val="483F76C6"/>
    <w:rsid w:val="485B7173"/>
    <w:rsid w:val="490F1469"/>
    <w:rsid w:val="49272D0D"/>
    <w:rsid w:val="4A014616"/>
    <w:rsid w:val="4A9950BB"/>
    <w:rsid w:val="4AAF464F"/>
    <w:rsid w:val="4AFC32AE"/>
    <w:rsid w:val="4B470264"/>
    <w:rsid w:val="4C190947"/>
    <w:rsid w:val="4C52089D"/>
    <w:rsid w:val="4C8E4DC4"/>
    <w:rsid w:val="4CB86023"/>
    <w:rsid w:val="4CC44B33"/>
    <w:rsid w:val="4CE17F8D"/>
    <w:rsid w:val="4DB017B2"/>
    <w:rsid w:val="4E2C79C9"/>
    <w:rsid w:val="4E847905"/>
    <w:rsid w:val="4E9C75AC"/>
    <w:rsid w:val="4EB03D5A"/>
    <w:rsid w:val="4ED173A5"/>
    <w:rsid w:val="4F657DAA"/>
    <w:rsid w:val="4F6E169C"/>
    <w:rsid w:val="4F7C1662"/>
    <w:rsid w:val="4F947FB0"/>
    <w:rsid w:val="4FAC3452"/>
    <w:rsid w:val="4FAE07F2"/>
    <w:rsid w:val="506E3F0F"/>
    <w:rsid w:val="50A5470D"/>
    <w:rsid w:val="50AE6F92"/>
    <w:rsid w:val="50BB7F7E"/>
    <w:rsid w:val="50BC1D4E"/>
    <w:rsid w:val="514D5FC7"/>
    <w:rsid w:val="5171359E"/>
    <w:rsid w:val="51EB43B2"/>
    <w:rsid w:val="521E5CD2"/>
    <w:rsid w:val="52767F26"/>
    <w:rsid w:val="5313241D"/>
    <w:rsid w:val="5341501A"/>
    <w:rsid w:val="537724BC"/>
    <w:rsid w:val="53D25FF8"/>
    <w:rsid w:val="53EE209C"/>
    <w:rsid w:val="54037617"/>
    <w:rsid w:val="544245DA"/>
    <w:rsid w:val="5490104B"/>
    <w:rsid w:val="54B72BA1"/>
    <w:rsid w:val="54C460D6"/>
    <w:rsid w:val="54C51D72"/>
    <w:rsid w:val="550F5787"/>
    <w:rsid w:val="55623D82"/>
    <w:rsid w:val="55EE5B61"/>
    <w:rsid w:val="55F77EF6"/>
    <w:rsid w:val="56205ADF"/>
    <w:rsid w:val="562343F6"/>
    <w:rsid w:val="5638648B"/>
    <w:rsid w:val="565F2279"/>
    <w:rsid w:val="57156BBA"/>
    <w:rsid w:val="57292ECC"/>
    <w:rsid w:val="5780049A"/>
    <w:rsid w:val="580202A2"/>
    <w:rsid w:val="581273F4"/>
    <w:rsid w:val="5898306C"/>
    <w:rsid w:val="58B76B4B"/>
    <w:rsid w:val="597C2E6A"/>
    <w:rsid w:val="59821FBA"/>
    <w:rsid w:val="59D13468"/>
    <w:rsid w:val="5A425EE2"/>
    <w:rsid w:val="5B515432"/>
    <w:rsid w:val="5B56353F"/>
    <w:rsid w:val="5BCC18A4"/>
    <w:rsid w:val="5C2900A0"/>
    <w:rsid w:val="5C465FBD"/>
    <w:rsid w:val="5C795044"/>
    <w:rsid w:val="5DBA1552"/>
    <w:rsid w:val="5DE6314A"/>
    <w:rsid w:val="5E224B69"/>
    <w:rsid w:val="5E395506"/>
    <w:rsid w:val="5E3A4AA7"/>
    <w:rsid w:val="5E6370E9"/>
    <w:rsid w:val="5E6F3217"/>
    <w:rsid w:val="5EA32234"/>
    <w:rsid w:val="5F117BB4"/>
    <w:rsid w:val="5F1E6190"/>
    <w:rsid w:val="60546290"/>
    <w:rsid w:val="60886A3C"/>
    <w:rsid w:val="609865D9"/>
    <w:rsid w:val="60B743D9"/>
    <w:rsid w:val="60CA6957"/>
    <w:rsid w:val="61994C3E"/>
    <w:rsid w:val="621868E7"/>
    <w:rsid w:val="62976E62"/>
    <w:rsid w:val="63B6234C"/>
    <w:rsid w:val="643D4632"/>
    <w:rsid w:val="644F069A"/>
    <w:rsid w:val="64D53E8B"/>
    <w:rsid w:val="65286788"/>
    <w:rsid w:val="656277F4"/>
    <w:rsid w:val="66942889"/>
    <w:rsid w:val="671575DB"/>
    <w:rsid w:val="672335A4"/>
    <w:rsid w:val="674871E5"/>
    <w:rsid w:val="675A1027"/>
    <w:rsid w:val="679B74A8"/>
    <w:rsid w:val="67BA14E0"/>
    <w:rsid w:val="67CF3390"/>
    <w:rsid w:val="67CF7355"/>
    <w:rsid w:val="68114EF5"/>
    <w:rsid w:val="682E226A"/>
    <w:rsid w:val="687920B5"/>
    <w:rsid w:val="68FB0947"/>
    <w:rsid w:val="69142F1D"/>
    <w:rsid w:val="698E12DA"/>
    <w:rsid w:val="69E34274"/>
    <w:rsid w:val="6C2660EC"/>
    <w:rsid w:val="6D6C2823"/>
    <w:rsid w:val="6E4F2331"/>
    <w:rsid w:val="6ED805E0"/>
    <w:rsid w:val="6EDF3FDB"/>
    <w:rsid w:val="6F0D20AD"/>
    <w:rsid w:val="6F57617B"/>
    <w:rsid w:val="6FF20A22"/>
    <w:rsid w:val="6FF8098F"/>
    <w:rsid w:val="701A75D7"/>
    <w:rsid w:val="704A77E5"/>
    <w:rsid w:val="70665F4D"/>
    <w:rsid w:val="70F34B7D"/>
    <w:rsid w:val="713C3BAD"/>
    <w:rsid w:val="715E7770"/>
    <w:rsid w:val="71B970BE"/>
    <w:rsid w:val="71DB0A5D"/>
    <w:rsid w:val="72A74823"/>
    <w:rsid w:val="736B000D"/>
    <w:rsid w:val="73E755BD"/>
    <w:rsid w:val="74756BE6"/>
    <w:rsid w:val="7510101A"/>
    <w:rsid w:val="754C5810"/>
    <w:rsid w:val="75AF089E"/>
    <w:rsid w:val="761E0C15"/>
    <w:rsid w:val="762703D0"/>
    <w:rsid w:val="769E3FBE"/>
    <w:rsid w:val="76BC2603"/>
    <w:rsid w:val="76C36EF5"/>
    <w:rsid w:val="771B3E4B"/>
    <w:rsid w:val="77584B79"/>
    <w:rsid w:val="776A5D4A"/>
    <w:rsid w:val="777C7DD6"/>
    <w:rsid w:val="77EE744C"/>
    <w:rsid w:val="788522D0"/>
    <w:rsid w:val="78F76F28"/>
    <w:rsid w:val="792A5650"/>
    <w:rsid w:val="792B07CE"/>
    <w:rsid w:val="7933570D"/>
    <w:rsid w:val="795E21C9"/>
    <w:rsid w:val="79642718"/>
    <w:rsid w:val="797D2A0C"/>
    <w:rsid w:val="7997226A"/>
    <w:rsid w:val="79A51DFC"/>
    <w:rsid w:val="79C712F3"/>
    <w:rsid w:val="79C84BE9"/>
    <w:rsid w:val="79E32B63"/>
    <w:rsid w:val="7B3F1013"/>
    <w:rsid w:val="7BF33892"/>
    <w:rsid w:val="7C074967"/>
    <w:rsid w:val="7C422D15"/>
    <w:rsid w:val="7C6D24B9"/>
    <w:rsid w:val="7CBE5E65"/>
    <w:rsid w:val="7CDD2026"/>
    <w:rsid w:val="7D1505E1"/>
    <w:rsid w:val="7DBC40DB"/>
    <w:rsid w:val="7E0E05D5"/>
    <w:rsid w:val="7EEE6CA8"/>
    <w:rsid w:val="7EF1717F"/>
    <w:rsid w:val="7EFD386E"/>
    <w:rsid w:val="7F3D32F5"/>
    <w:rsid w:val="7F6E3638"/>
    <w:rsid w:val="7FA55700"/>
    <w:rsid w:val="7FEF2A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5"/>
    <w:qFormat/>
    <w:uiPriority w:val="0"/>
    <w:pPr>
      <w:keepNext/>
      <w:keepLines/>
      <w:outlineLvl w:val="1"/>
    </w:pPr>
    <w:rPr>
      <w:rFonts w:ascii="宋体" w:hAnsi="宋体"/>
      <w:bCs/>
      <w:color w:val="000000"/>
      <w:szCs w:val="32"/>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Indent"/>
    <w:basedOn w:val="1"/>
    <w:qFormat/>
    <w:uiPriority w:val="0"/>
    <w:pPr>
      <w:ind w:firstLine="444"/>
    </w:pPr>
    <w:rPr>
      <w:b/>
    </w:rPr>
  </w:style>
  <w:style w:type="paragraph" w:styleId="5">
    <w:name w:val="Balloon Text"/>
    <w:basedOn w:val="1"/>
    <w:link w:val="19"/>
    <w:qFormat/>
    <w:uiPriority w:val="0"/>
    <w:rPr>
      <w:sz w:val="18"/>
      <w:szCs w:val="18"/>
    </w:rPr>
  </w:style>
  <w:style w:type="paragraph" w:styleId="6">
    <w:name w:val="footer"/>
    <w:basedOn w:val="1"/>
    <w:link w:val="14"/>
    <w:uiPriority w:val="0"/>
    <w:pPr>
      <w:tabs>
        <w:tab w:val="center" w:pos="4153"/>
        <w:tab w:val="right" w:pos="8306"/>
      </w:tabs>
      <w:snapToGrid w:val="0"/>
      <w:jc w:val="left"/>
    </w:pPr>
    <w:rPr>
      <w:sz w:val="18"/>
      <w:szCs w:val="18"/>
    </w:rPr>
  </w:style>
  <w:style w:type="paragraph" w:styleId="7">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8">
    <w:name w:val="Body Text First Indent 2"/>
    <w:basedOn w:val="4"/>
    <w:link w:val="20"/>
    <w:qFormat/>
    <w:uiPriority w:val="0"/>
    <w:pPr>
      <w:tabs>
        <w:tab w:val="left" w:pos="-105"/>
      </w:tabs>
      <w:autoSpaceDE w:val="0"/>
      <w:autoSpaceDN w:val="0"/>
      <w:ind w:right="-147" w:rightChars="-70" w:firstLine="210"/>
      <w:outlineLvl w:val="2"/>
    </w:pPr>
  </w:style>
  <w:style w:type="character" w:styleId="11">
    <w:name w:val="annotation reference"/>
    <w:basedOn w:val="10"/>
    <w:qFormat/>
    <w:uiPriority w:val="0"/>
    <w:rPr>
      <w:sz w:val="21"/>
      <w:szCs w:val="21"/>
    </w:rPr>
  </w:style>
  <w:style w:type="paragraph" w:customStyle="1" w:styleId="12">
    <w:name w:val="Table Paragraph"/>
    <w:basedOn w:val="1"/>
    <w:qFormat/>
    <w:uiPriority w:val="1"/>
    <w:rPr>
      <w:rFonts w:ascii="宋体" w:hAnsi="宋体" w:cs="宋体"/>
      <w:lang w:val="zh-CN" w:bidi="zh-CN"/>
    </w:rPr>
  </w:style>
  <w:style w:type="character" w:customStyle="1" w:styleId="13">
    <w:name w:val="页眉 Char"/>
    <w:basedOn w:val="10"/>
    <w:link w:val="7"/>
    <w:uiPriority w:val="0"/>
    <w:rPr>
      <w:kern w:val="2"/>
      <w:sz w:val="18"/>
      <w:szCs w:val="18"/>
    </w:rPr>
  </w:style>
  <w:style w:type="character" w:customStyle="1" w:styleId="14">
    <w:name w:val="页脚 Char"/>
    <w:basedOn w:val="10"/>
    <w:link w:val="6"/>
    <w:uiPriority w:val="0"/>
    <w:rPr>
      <w:kern w:val="2"/>
      <w:sz w:val="18"/>
      <w:szCs w:val="18"/>
    </w:rPr>
  </w:style>
  <w:style w:type="character" w:customStyle="1" w:styleId="15">
    <w:name w:val="标题 2 Char"/>
    <w:basedOn w:val="10"/>
    <w:link w:val="2"/>
    <w:uiPriority w:val="0"/>
    <w:rPr>
      <w:rFonts w:ascii="宋体" w:hAnsi="宋体"/>
      <w:bCs/>
      <w:color w:val="000000"/>
      <w:kern w:val="2"/>
      <w:sz w:val="21"/>
      <w:szCs w:val="32"/>
    </w:rPr>
  </w:style>
  <w:style w:type="paragraph" w:styleId="16">
    <w:name w:val="List Paragraph"/>
    <w:basedOn w:val="1"/>
    <w:unhideWhenUsed/>
    <w:uiPriority w:val="99"/>
    <w:pPr>
      <w:ind w:firstLine="420" w:firstLineChars="200"/>
    </w:pPr>
  </w:style>
  <w:style w:type="character" w:customStyle="1" w:styleId="17">
    <w:name w:val="font31"/>
    <w:basedOn w:val="10"/>
    <w:uiPriority w:val="0"/>
    <w:rPr>
      <w:rFonts w:ascii="宋体" w:hAnsi="宋体" w:eastAsia="宋体" w:cs="宋体"/>
      <w:color w:val="000000"/>
      <w:sz w:val="20"/>
      <w:szCs w:val="20"/>
      <w:u w:val="none"/>
    </w:rPr>
  </w:style>
  <w:style w:type="character" w:customStyle="1" w:styleId="18">
    <w:name w:val="font21"/>
    <w:basedOn w:val="10"/>
    <w:qFormat/>
    <w:uiPriority w:val="0"/>
    <w:rPr>
      <w:rFonts w:hint="default" w:ascii="Times New Roman" w:hAnsi="Times New Roman" w:cs="Times New Roman"/>
      <w:color w:val="000000"/>
      <w:sz w:val="20"/>
      <w:szCs w:val="20"/>
      <w:u w:val="none"/>
    </w:rPr>
  </w:style>
  <w:style w:type="character" w:customStyle="1" w:styleId="19">
    <w:name w:val="批注框文本 Char"/>
    <w:basedOn w:val="10"/>
    <w:link w:val="5"/>
    <w:qFormat/>
    <w:uiPriority w:val="0"/>
    <w:rPr>
      <w:kern w:val="2"/>
      <w:sz w:val="18"/>
      <w:szCs w:val="18"/>
    </w:rPr>
  </w:style>
  <w:style w:type="character" w:customStyle="1" w:styleId="20">
    <w:name w:val="正文首行缩进 2 Char"/>
    <w:basedOn w:val="10"/>
    <w:link w:val="8"/>
    <w:qFormat/>
    <w:uiPriority w:val="99"/>
    <w:rPr>
      <w:b/>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Kingsoft</Company>
  <Pages>1</Pages>
  <Words>505</Words>
  <Characters>2884</Characters>
  <Lines>24</Lines>
  <Paragraphs>6</Paragraphs>
  <TotalTime>40</TotalTime>
  <ScaleCrop>false</ScaleCrop>
  <LinksUpToDate>false</LinksUpToDate>
  <CharactersWithSpaces>3383</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guoyifan</dc:creator>
  <cp:lastModifiedBy>王岑萱</cp:lastModifiedBy>
  <cp:lastPrinted>2024-11-21T07:44:00Z</cp:lastPrinted>
  <dcterms:modified xsi:type="dcterms:W3CDTF">2025-09-28T04:31:04Z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KSOTemplateDocerSaveRecord">
    <vt:lpwstr>eyJoZGlkIjoiYTcyZDFhYzIyZGZmNGJiMWZiNzZjZDk4MmQwZGY2ZjAiLCJ1c2VySWQiOiI0MTc3NjMyMzQifQ==</vt:lpwstr>
  </property>
  <property fmtid="{D5CDD505-2E9C-101B-9397-08002B2CF9AE}" pid="4" name="ICV">
    <vt:lpwstr>228A0E9B303D47E6B16E776F81439216_13</vt:lpwstr>
  </property>
</Properties>
</file>