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20" w:line="480" w:lineRule="auto"/>
        <w:jc w:val="center"/>
        <w:rPr>
          <w:rFonts w:ascii="宋体" w:hAnsi="华文楷体"/>
          <w:b/>
          <w:sz w:val="52"/>
          <w:szCs w:val="52"/>
        </w:rPr>
      </w:pPr>
      <w:r>
        <w:rPr>
          <w:rFonts w:ascii="宋体" w:hAnsi="华文楷体"/>
          <w:b/>
          <w:sz w:val="52"/>
          <w:szCs w:val="52"/>
        </w:rPr>
        <w:pict>
          <v:rect id="矩形 4" o:spid="_x0000_s1026" o:spt="1" style="position:absolute;left:0pt;margin-left:-53.5pt;margin-top:38.4pt;height:23.25pt;width:125.7pt;z-index:251661312;mso-width-relative:page;mso-height-relative:page;" coordsize="21600,21600" o:gfxdata="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vnRGPcAAAACwEAAA8AAAAAAAAAAQAg&#10;AAAAIgAAAGRycy9kb3ducmV2LnhtbFBLAQIUABQAAAAIAIdO4kAd6Dh6CgIAADcEAAAOAAAAAAAA&#10;AAEAIAAAACsBAABkcnMvZTJvRG9jLnhtbFBLBQYAAAAABgAGAFkBAACnBQAAAAA=&#10;">
            <v:path/>
            <v:fill focussize="0,0"/>
            <v:stroke/>
            <v:imagedata o:title=""/>
            <o:lock v:ext="edit"/>
            <v:textbox inset="3.5mm,1.27mm,2.54mm,1.27mm">
              <w:txbxContent>
                <w:p>
                  <w:pPr>
                    <w:jc w:val="center"/>
                    <w:rPr>
                      <w:b/>
                      <w:sz w:val="24"/>
                    </w:rPr>
                  </w:pPr>
                  <w:r>
                    <w:rPr>
                      <w:b/>
                      <w:sz w:val="18"/>
                      <w:szCs w:val="18"/>
                    </w:rPr>
                    <w:t>NO.20</w:t>
                  </w:r>
                  <w:r>
                    <w:rPr>
                      <w:rFonts w:hint="eastAsia"/>
                      <w:b/>
                      <w:sz w:val="18"/>
                      <w:szCs w:val="18"/>
                    </w:rPr>
                    <w:t>25</w:t>
                  </w:r>
                  <w:r>
                    <w:rPr>
                      <w:b/>
                      <w:sz w:val="18"/>
                      <w:szCs w:val="18"/>
                    </w:rPr>
                    <w:t>-</w:t>
                  </w:r>
                  <w:r>
                    <w:rPr>
                      <w:rFonts w:hint="eastAsia"/>
                      <w:b/>
                      <w:sz w:val="18"/>
                      <w:szCs w:val="18"/>
                    </w:rPr>
                    <w:t>9</w:t>
                  </w:r>
                </w:p>
              </w:txbxContent>
            </v:textbox>
          </v:rect>
        </w:pict>
      </w:r>
      <w:r>
        <w:rPr>
          <w:rFonts w:ascii="宋体" w:hAnsi="华文楷体"/>
          <w:b/>
          <w:sz w:val="52"/>
          <w:szCs w:val="52"/>
        </w:rPr>
        <w:pict>
          <v:rect id="矩形 3" o:spid="_x0000_s2051" o:spt="1" style="position:absolute;left:0pt;margin-left:-53.55pt;margin-top:61.8pt;height:23.4pt;width:125.55pt;z-index:251660288;mso-width-relative:page;mso-height-relative:page;" coordsize="21600,21600" o:gfxdata="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e7FG2wAAAAwBAAAPAAAAAAAA&#10;AAEAIAAAACIAAABkcnMvZG93bnJldi54bWxQSwECFAAUAAAACACHTuJA0Zy2PQ8CAAA3BAAADgAA&#10;AAAAAAABACAAAAAqAQAAZHJzL2Uyb0RvYy54bWxQSwUGAAAAAAYABgBZAQAAqwUAAAAA&#10;">
            <v:path/>
            <v:fill focussize="0,0"/>
            <v:stroke/>
            <v:imagedata o:title=""/>
            <o:lock v:ext="edit"/>
            <v:textbox inset="3.5mm,1.27mm,2.54mm,1.27mm">
              <w:txbxContent>
                <w:p>
                  <w:pPr>
                    <w:ind w:firstLine="241" w:firstLineChars="100"/>
                    <w:rPr>
                      <w:b/>
                      <w:sz w:val="24"/>
                    </w:rPr>
                  </w:pPr>
                  <w:r>
                    <w:rPr>
                      <w:rFonts w:hint="eastAsia"/>
                      <w:b/>
                      <w:sz w:val="24"/>
                    </w:rPr>
                    <w:t>　9 月 1 日</w:t>
                  </w:r>
                </w:p>
              </w:txbxContent>
            </v:textbox>
          </v:rect>
        </w:pict>
      </w:r>
      <w:r>
        <w:rPr>
          <w:rFonts w:ascii="宋体" w:hAnsi="华文楷体"/>
          <w:b/>
          <w:sz w:val="52"/>
          <w:szCs w:val="52"/>
        </w:rPr>
        <w:pict>
          <v:rect id="矩形 2" o:spid="_x0000_s2050" o:spt="1" style="position:absolute;left:0pt;margin-left:-53.55pt;margin-top:15pt;height:23.4pt;width:125.55pt;z-index:251659264;mso-width-relative:page;mso-height-relative:page;" coordsize="21600,21600" o:gfxdata="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c4khtoAAAAKAQAADwAAAAAAAAAB&#10;ACAAAAAiAAAAZHJzL2Rvd25yZXYueG1sUEsBAhQAFAAAAAgAh07iQCMtd0cOAgAANwQAAA4AAAAA&#10;AAAAAQAgAAAAKQEAAGRycy9lMm9Eb2MueG1sUEsFBgAAAAAGAAYAWQEAAKkFAAAAAA==&#10;">
            <v:path/>
            <v:fill focussize="0,0"/>
            <v:stroke/>
            <v:imagedata o:title=""/>
            <o:lock v:ext="edit"/>
            <v:textbox inset="3.5mm,1.27mm,2.54mm,1.27mm">
              <w:txbxContent>
                <w:p>
                  <w:pPr>
                    <w:jc w:val="center"/>
                    <w:rPr>
                      <w:b/>
                      <w:sz w:val="24"/>
                    </w:rPr>
                  </w:pPr>
                  <w:r>
                    <w:rPr>
                      <w:rFonts w:hint="eastAsia"/>
                      <w:b/>
                      <w:sz w:val="24"/>
                    </w:rPr>
                    <w:t>A 类</w:t>
                  </w:r>
                </w:p>
              </w:txbxContent>
            </v:textbox>
          </v:rect>
        </w:pict>
      </w:r>
    </w:p>
    <w:p>
      <w:pPr>
        <w:snapToGrid w:val="0"/>
        <w:spacing w:before="120" w:line="480" w:lineRule="auto"/>
        <w:jc w:val="center"/>
        <w:rPr>
          <w:rFonts w:ascii="宋体" w:hAnsi="华文楷体"/>
          <w:b/>
          <w:sz w:val="52"/>
          <w:szCs w:val="52"/>
        </w:rPr>
      </w:pPr>
    </w:p>
    <w:p>
      <w:pPr>
        <w:snapToGrid w:val="0"/>
        <w:spacing w:before="120" w:line="480" w:lineRule="auto"/>
        <w:jc w:val="center"/>
        <w:rPr>
          <w:rFonts w:ascii="宋体" w:hAnsi="华文楷体"/>
          <w:b/>
          <w:sz w:val="52"/>
          <w:szCs w:val="52"/>
        </w:rPr>
      </w:pPr>
      <w:r>
        <w:rPr>
          <w:b/>
          <w:sz w:val="52"/>
          <w:szCs w:val="52"/>
        </w:rPr>
        <w:t>2026-2027</w:t>
      </w:r>
      <w:r>
        <w:rPr>
          <w:rFonts w:hint="eastAsia" w:ascii="宋体" w:hAnsi="华文楷体"/>
          <w:b/>
          <w:sz w:val="52"/>
          <w:szCs w:val="52"/>
        </w:rPr>
        <w:t>年浙能嘉电</w:t>
      </w:r>
    </w:p>
    <w:p>
      <w:pPr>
        <w:snapToGrid w:val="0"/>
        <w:spacing w:before="120" w:line="480" w:lineRule="auto"/>
        <w:jc w:val="center"/>
        <w:rPr>
          <w:rFonts w:ascii="宋体" w:hAnsi="华文楷体"/>
          <w:b/>
          <w:sz w:val="52"/>
          <w:szCs w:val="52"/>
        </w:rPr>
      </w:pPr>
      <w:r>
        <w:rPr>
          <w:rFonts w:hint="eastAsia" w:ascii="宋体" w:hAnsi="华文楷体"/>
          <w:b/>
          <w:sz w:val="52"/>
          <w:szCs w:val="52"/>
        </w:rPr>
        <w:t>环保自行监测服务技术规范书</w:t>
      </w:r>
    </w:p>
    <w:p>
      <w:pPr>
        <w:jc w:val="center"/>
        <w:rPr>
          <w:b/>
          <w:sz w:val="48"/>
        </w:rPr>
      </w:pPr>
    </w:p>
    <w:p>
      <w:pPr>
        <w:ind w:firstLine="1970" w:firstLineChars="545"/>
        <w:rPr>
          <w:b/>
          <w:sz w:val="36"/>
        </w:rPr>
      </w:pPr>
    </w:p>
    <w:p>
      <w:pPr>
        <w:ind w:firstLine="1970" w:firstLineChars="545"/>
        <w:rPr>
          <w:b/>
          <w:sz w:val="36"/>
        </w:rPr>
      </w:pPr>
    </w:p>
    <w:p>
      <w:pPr>
        <w:ind w:firstLine="1970" w:firstLineChars="545"/>
        <w:rPr>
          <w:b/>
          <w:sz w:val="36"/>
        </w:rPr>
      </w:pPr>
      <w:r>
        <w:rPr>
          <w:rFonts w:hint="eastAsia"/>
          <w:b/>
          <w:sz w:val="36"/>
        </w:rPr>
        <w:t>编   写：</w:t>
      </w:r>
    </w:p>
    <w:p>
      <w:pPr>
        <w:jc w:val="center"/>
        <w:rPr>
          <w:b/>
          <w:sz w:val="36"/>
        </w:rPr>
      </w:pPr>
    </w:p>
    <w:p>
      <w:pPr>
        <w:rPr>
          <w:rFonts w:ascii="宋体"/>
          <w:b/>
          <w:sz w:val="36"/>
        </w:rPr>
      </w:pPr>
    </w:p>
    <w:p>
      <w:pPr>
        <w:ind w:firstLine="1970" w:firstLineChars="545"/>
        <w:rPr>
          <w:rFonts w:ascii="宋体"/>
          <w:b/>
          <w:sz w:val="36"/>
        </w:rPr>
      </w:pPr>
      <w:r>
        <w:rPr>
          <w:rFonts w:hint="eastAsia"/>
          <w:b/>
          <w:sz w:val="36"/>
        </w:rPr>
        <w:t>审   核：</w:t>
      </w:r>
    </w:p>
    <w:p>
      <w:pPr>
        <w:jc w:val="center"/>
        <w:rPr>
          <w:rFonts w:ascii="宋体"/>
          <w:b/>
          <w:sz w:val="36"/>
        </w:rPr>
      </w:pPr>
    </w:p>
    <w:p>
      <w:pPr>
        <w:pStyle w:val="2"/>
      </w:pPr>
    </w:p>
    <w:p>
      <w:pPr>
        <w:ind w:firstLine="1970" w:firstLineChars="545"/>
        <w:rPr>
          <w:b/>
          <w:sz w:val="32"/>
        </w:rPr>
      </w:pPr>
      <w:r>
        <w:rPr>
          <w:rFonts w:hint="eastAsia"/>
          <w:b/>
          <w:sz w:val="36"/>
        </w:rPr>
        <w:t>批   准：</w:t>
      </w:r>
    </w:p>
    <w:p>
      <w:pPr>
        <w:rPr>
          <w:b/>
          <w:sz w:val="36"/>
        </w:rPr>
      </w:pPr>
    </w:p>
    <w:p>
      <w:pPr>
        <w:jc w:val="right"/>
        <w:rPr>
          <w:rFonts w:eastAsia="华文行楷"/>
          <w:b/>
          <w:sz w:val="36"/>
        </w:rPr>
      </w:pPr>
    </w:p>
    <w:p>
      <w:pPr>
        <w:jc w:val="center"/>
        <w:rPr>
          <w:rFonts w:eastAsia="华文行楷"/>
          <w:b/>
          <w:sz w:val="36"/>
        </w:rPr>
      </w:pPr>
      <w:r>
        <w:rPr>
          <w:rFonts w:hint="eastAsia" w:eastAsia="华文行楷"/>
          <w:b/>
          <w:sz w:val="36"/>
        </w:rPr>
        <w:t>浙江浙能嘉兴发电有限公司</w:t>
      </w:r>
    </w:p>
    <w:p>
      <w:pPr>
        <w:rPr>
          <w:rFonts w:ascii="宋体" w:hAnsi="宋体" w:cs="宋体"/>
          <w:b/>
          <w:sz w:val="28"/>
          <w:szCs w:val="28"/>
        </w:rPr>
      </w:pPr>
      <w:r>
        <w:rPr>
          <w:rFonts w:hint="eastAsia" w:ascii="宋体" w:hAnsi="宋体" w:cs="宋体"/>
          <w:b/>
          <w:sz w:val="28"/>
          <w:szCs w:val="28"/>
        </w:rPr>
        <w:t>1．项目概述</w:t>
      </w:r>
    </w:p>
    <w:p>
      <w:pPr>
        <w:ind w:firstLine="480" w:firstLineChars="200"/>
        <w:rPr>
          <w:rFonts w:cs="宋体"/>
          <w:color w:val="000000"/>
          <w:kern w:val="0"/>
          <w:sz w:val="24"/>
        </w:rPr>
      </w:pPr>
      <w:r>
        <w:rPr>
          <w:rFonts w:hint="eastAsia" w:hAnsi="宋体" w:cs="宋体"/>
          <w:color w:val="000000"/>
          <w:kern w:val="0"/>
          <w:sz w:val="24"/>
        </w:rPr>
        <w:t>为落实《中华人民共和国环境保护法》《中华人民共和国大气污染防治法》《中华人民共和国水污染防治法》，指导和规范排污单位自行监测工作，国家出台</w:t>
      </w:r>
      <w:r>
        <w:rPr>
          <w:rFonts w:hint="eastAsia" w:cs="宋体"/>
          <w:color w:val="000000"/>
          <w:kern w:val="0"/>
          <w:sz w:val="24"/>
        </w:rPr>
        <w:t>HJ 819-2017</w:t>
      </w:r>
      <w:r>
        <w:rPr>
          <w:rFonts w:hint="eastAsia" w:hAnsi="宋体" w:cs="宋体"/>
          <w:color w:val="000000"/>
          <w:kern w:val="0"/>
          <w:sz w:val="24"/>
        </w:rPr>
        <w:t>《排污单位自行监测技术指南总则》和</w:t>
      </w:r>
      <w:r>
        <w:rPr>
          <w:rFonts w:hint="eastAsia" w:cs="宋体"/>
          <w:color w:val="000000"/>
          <w:kern w:val="0"/>
          <w:sz w:val="24"/>
        </w:rPr>
        <w:t>HJ 820-2017</w:t>
      </w:r>
      <w:r>
        <w:rPr>
          <w:rFonts w:hint="eastAsia" w:hAnsi="宋体" w:cs="宋体"/>
          <w:color w:val="000000"/>
          <w:kern w:val="0"/>
          <w:sz w:val="24"/>
        </w:rPr>
        <w:t>《排污单位自行监测技术指南火力发电及锅炉》，提出了排污单位自行监测的一般要求、监测方案制定、监测质量保证和质量控制、信息记录和报告的基本内容和要求文件要求，不具备相关检测能力的企业也可委托其它有资质的检（监）测机构代其开展自行监测。标准要求的检测指标，我公司实验室人员技能及检测仪表无法满足检测要求，故考虑第三方委托监测。</w:t>
      </w:r>
    </w:p>
    <w:p>
      <w:pPr>
        <w:pStyle w:val="2"/>
        <w:ind w:right="0" w:rightChars="0" w:firstLine="567"/>
        <w:rPr>
          <w:rFonts w:hAnsi="宋体" w:cs="宋体"/>
          <w:b w:val="0"/>
          <w:color w:val="000000"/>
          <w:kern w:val="0"/>
          <w:sz w:val="24"/>
        </w:rPr>
      </w:pPr>
      <w:r>
        <w:rPr>
          <w:rFonts w:hint="eastAsia" w:hAnsi="宋体" w:cs="宋体"/>
          <w:b w:val="0"/>
          <w:color w:val="000000"/>
          <w:kern w:val="0"/>
          <w:sz w:val="24"/>
        </w:rPr>
        <w:t>采样人员遵守采样操作规范，严格执行监测方案，在各监测点位携带仪器对监测指标进行监测或采样；认真如实填写各项自行监测记录及校验记录并妥善保存记录台账，包括：采样记录、样品保存、分析测试记录、检测报告等；按规定保存、运输样品。</w:t>
      </w:r>
    </w:p>
    <w:p>
      <w:pPr>
        <w:rPr>
          <w:rFonts w:ascii="宋体" w:hAnsi="宋体" w:cs="宋体"/>
          <w:b/>
          <w:bCs/>
          <w:color w:val="000000"/>
          <w:kern w:val="0"/>
          <w:sz w:val="28"/>
          <w:szCs w:val="28"/>
        </w:rPr>
      </w:pPr>
      <w:r>
        <w:rPr>
          <w:rFonts w:hint="eastAsia" w:ascii="宋体" w:hAnsi="宋体" w:cs="宋体"/>
          <w:b/>
          <w:bCs/>
          <w:color w:val="000000"/>
          <w:kern w:val="0"/>
          <w:sz w:val="28"/>
          <w:szCs w:val="28"/>
        </w:rPr>
        <w:t>2、现场监测内容</w:t>
      </w:r>
    </w:p>
    <w:p>
      <w:pPr>
        <w:spacing w:line="560" w:lineRule="exact"/>
        <w:ind w:firstLine="480"/>
        <w:outlineLvl w:val="0"/>
        <w:rPr>
          <w:rFonts w:ascii="宋体" w:hAnsi="宋体" w:cs="宋体"/>
          <w:sz w:val="24"/>
          <w:shd w:val="clear" w:color="auto" w:fill="FFFFFF"/>
        </w:rPr>
      </w:pPr>
      <w:r>
        <w:rPr>
          <w:rFonts w:hint="eastAsia" w:ascii="宋体" w:hAnsi="宋体" w:cs="宋体"/>
          <w:sz w:val="24"/>
          <w:shd w:val="clear" w:color="auto" w:fill="FFFFFF"/>
        </w:rPr>
        <w:t>监测点位、项目及频次</w:t>
      </w:r>
    </w:p>
    <w:tbl>
      <w:tblPr>
        <w:tblStyle w:val="8"/>
        <w:tblW w:w="8711"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232"/>
        <w:gridCol w:w="3119"/>
        <w:gridCol w:w="2412"/>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类型</w:t>
            </w:r>
          </w:p>
        </w:tc>
        <w:tc>
          <w:tcPr>
            <w:tcW w:w="2232" w:type="dxa"/>
            <w:tcBorders>
              <w:tl2br w:val="nil"/>
              <w:tr2bl w:val="nil"/>
            </w:tcBorders>
            <w:vAlign w:val="center"/>
          </w:tcPr>
          <w:p>
            <w:pPr>
              <w:jc w:val="center"/>
              <w:rPr>
                <w:rFonts w:eastAsia="楷体"/>
                <w:szCs w:val="21"/>
              </w:rPr>
            </w:pPr>
            <w:r>
              <w:rPr>
                <w:rFonts w:hint="eastAsia" w:eastAsia="楷体"/>
                <w:szCs w:val="21"/>
              </w:rPr>
              <w:t>排放口（点位）</w:t>
            </w:r>
          </w:p>
          <w:p>
            <w:pPr>
              <w:jc w:val="center"/>
              <w:rPr>
                <w:rFonts w:eastAsia="楷体"/>
                <w:szCs w:val="21"/>
              </w:rPr>
            </w:pPr>
            <w:r>
              <w:rPr>
                <w:rFonts w:hint="eastAsia" w:eastAsia="楷体"/>
                <w:szCs w:val="21"/>
              </w:rPr>
              <w:t>名称</w:t>
            </w:r>
          </w:p>
        </w:tc>
        <w:tc>
          <w:tcPr>
            <w:tcW w:w="3119" w:type="dxa"/>
            <w:tcBorders>
              <w:tl2br w:val="nil"/>
              <w:tr2bl w:val="nil"/>
            </w:tcBorders>
            <w:vAlign w:val="center"/>
          </w:tcPr>
          <w:p>
            <w:pPr>
              <w:jc w:val="center"/>
              <w:rPr>
                <w:rFonts w:eastAsia="楷体"/>
                <w:szCs w:val="21"/>
              </w:rPr>
            </w:pPr>
            <w:r>
              <w:rPr>
                <w:rFonts w:hint="eastAsia" w:eastAsia="楷体"/>
                <w:szCs w:val="21"/>
              </w:rPr>
              <w:t>监测指标</w:t>
            </w:r>
          </w:p>
        </w:tc>
        <w:tc>
          <w:tcPr>
            <w:tcW w:w="2412" w:type="dxa"/>
            <w:tcBorders>
              <w:tl2br w:val="nil"/>
              <w:tr2bl w:val="nil"/>
            </w:tcBorders>
            <w:vAlign w:val="center"/>
          </w:tcPr>
          <w:p>
            <w:pPr>
              <w:jc w:val="center"/>
              <w:rPr>
                <w:rFonts w:eastAsia="楷体"/>
                <w:szCs w:val="21"/>
              </w:rPr>
            </w:pPr>
            <w:r>
              <w:rPr>
                <w:rFonts w:hint="eastAsia" w:eastAsia="楷体"/>
                <w:szCs w:val="21"/>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vMerge w:val="restart"/>
            <w:tcBorders>
              <w:tl2br w:val="nil"/>
              <w:tr2bl w:val="nil"/>
            </w:tcBorders>
            <w:vAlign w:val="center"/>
          </w:tcPr>
          <w:p>
            <w:pPr>
              <w:jc w:val="center"/>
              <w:rPr>
                <w:rFonts w:eastAsia="楷体"/>
                <w:szCs w:val="21"/>
              </w:rPr>
            </w:pPr>
            <w:r>
              <w:rPr>
                <w:rFonts w:hint="eastAsia" w:eastAsia="楷体"/>
                <w:szCs w:val="21"/>
              </w:rPr>
              <w:t>有组织废气</w:t>
            </w:r>
          </w:p>
        </w:tc>
        <w:tc>
          <w:tcPr>
            <w:tcW w:w="2232" w:type="dxa"/>
            <w:tcBorders>
              <w:tl2br w:val="nil"/>
              <w:tr2bl w:val="nil"/>
            </w:tcBorders>
            <w:vAlign w:val="center"/>
          </w:tcPr>
          <w:p>
            <w:pPr>
              <w:jc w:val="center"/>
              <w:rPr>
                <w:rFonts w:eastAsia="楷体"/>
                <w:szCs w:val="21"/>
              </w:rPr>
            </w:pPr>
            <w:r>
              <w:rPr>
                <w:rFonts w:hint="eastAsia" w:eastAsia="楷体"/>
                <w:szCs w:val="21"/>
              </w:rPr>
              <w:t>#1、#2烟囱总排口</w:t>
            </w:r>
          </w:p>
        </w:tc>
        <w:tc>
          <w:tcPr>
            <w:tcW w:w="3119" w:type="dxa"/>
            <w:tcBorders>
              <w:tl2br w:val="nil"/>
              <w:tr2bl w:val="nil"/>
            </w:tcBorders>
            <w:vAlign w:val="center"/>
          </w:tcPr>
          <w:p>
            <w:pPr>
              <w:spacing w:line="234" w:lineRule="exact"/>
              <w:ind w:right="40" w:firstLine="210" w:firstLineChars="100"/>
              <w:rPr>
                <w:rFonts w:eastAsia="楷体"/>
                <w:szCs w:val="21"/>
              </w:rPr>
            </w:pPr>
            <w:r>
              <w:rPr>
                <w:rFonts w:hint="eastAsia" w:eastAsia="楷体"/>
                <w:szCs w:val="21"/>
              </w:rPr>
              <w:t>汞及其化合物、林格曼黑度、氨、氯化氢、镉、铊、锑、砷、铅、铬、钴、铜、</w:t>
            </w:r>
            <w:r>
              <w:rPr>
                <w:rFonts w:eastAsia="楷体"/>
                <w:szCs w:val="21"/>
              </w:rPr>
              <w:t xml:space="preserve"> </w:t>
            </w:r>
            <w:r>
              <w:rPr>
                <w:rFonts w:hint="eastAsia" w:eastAsia="楷体"/>
                <w:szCs w:val="21"/>
              </w:rPr>
              <w:t>锰、镍及其化合物</w:t>
            </w:r>
          </w:p>
        </w:tc>
        <w:tc>
          <w:tcPr>
            <w:tcW w:w="2412" w:type="dxa"/>
            <w:tcBorders>
              <w:tl2br w:val="nil"/>
              <w:tr2bl w:val="nil"/>
            </w:tcBorders>
            <w:vAlign w:val="center"/>
          </w:tcPr>
          <w:p>
            <w:pPr>
              <w:jc w:val="center"/>
              <w:rPr>
                <w:rFonts w:eastAsia="楷体"/>
                <w:szCs w:val="21"/>
              </w:rPr>
            </w:pPr>
            <w:r>
              <w:rPr>
                <w:rFonts w:hint="eastAsia" w:eastAsia="楷体"/>
                <w:szCs w:val="21"/>
              </w:rPr>
              <w:t>1次/季度</w:t>
            </w:r>
          </w:p>
          <w:p>
            <w:pPr>
              <w:jc w:val="center"/>
              <w:rPr>
                <w:rFonts w:eastAsia="楷体"/>
                <w:szCs w:val="21"/>
              </w:rPr>
            </w:pPr>
            <w:r>
              <w:rPr>
                <w:rFonts w:hint="eastAsia" w:eastAsia="楷体"/>
                <w:szCs w:val="21"/>
              </w:rPr>
              <w:t>非连续采样至少3次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48" w:type="dxa"/>
            <w:vMerge w:val="continue"/>
            <w:tcBorders>
              <w:tl2br w:val="nil"/>
              <w:tr2bl w:val="nil"/>
            </w:tcBorders>
            <w:vAlign w:val="center"/>
          </w:tcPr>
          <w:p>
            <w:pPr>
              <w:jc w:val="center"/>
              <w:rPr>
                <w:rFonts w:eastAsia="楷体"/>
                <w:szCs w:val="21"/>
              </w:rPr>
            </w:pPr>
          </w:p>
        </w:tc>
        <w:tc>
          <w:tcPr>
            <w:tcW w:w="2232" w:type="dxa"/>
            <w:tcBorders>
              <w:tl2br w:val="nil"/>
              <w:tr2bl w:val="nil"/>
            </w:tcBorders>
            <w:vAlign w:val="center"/>
          </w:tcPr>
          <w:p>
            <w:pPr>
              <w:jc w:val="center"/>
              <w:rPr>
                <w:rFonts w:eastAsia="楷体"/>
                <w:szCs w:val="21"/>
              </w:rPr>
            </w:pPr>
            <w:r>
              <w:rPr>
                <w:rFonts w:hint="eastAsia" w:eastAsia="楷体"/>
                <w:szCs w:val="21"/>
              </w:rPr>
              <w:t>#1、#2烟囱总排口</w:t>
            </w:r>
          </w:p>
        </w:tc>
        <w:tc>
          <w:tcPr>
            <w:tcW w:w="3119" w:type="dxa"/>
            <w:tcBorders>
              <w:tl2br w:val="nil"/>
              <w:tr2bl w:val="nil"/>
            </w:tcBorders>
            <w:vAlign w:val="center"/>
          </w:tcPr>
          <w:p>
            <w:pPr>
              <w:jc w:val="center"/>
              <w:rPr>
                <w:rFonts w:eastAsia="楷体"/>
                <w:szCs w:val="21"/>
              </w:rPr>
            </w:pPr>
            <w:r>
              <w:rPr>
                <w:rFonts w:hint="eastAsia" w:eastAsia="楷体"/>
                <w:szCs w:val="21"/>
              </w:rPr>
              <w:t>烟气参数（排气温度、排气压力、排气流速、排气流量）</w:t>
            </w:r>
          </w:p>
        </w:tc>
        <w:tc>
          <w:tcPr>
            <w:tcW w:w="2412" w:type="dxa"/>
            <w:tcBorders>
              <w:tl2br w:val="nil"/>
              <w:tr2bl w:val="nil"/>
            </w:tcBorders>
            <w:vAlign w:val="center"/>
          </w:tcPr>
          <w:p>
            <w:pPr>
              <w:jc w:val="center"/>
              <w:rPr>
                <w:rFonts w:eastAsia="楷体"/>
                <w:szCs w:val="21"/>
              </w:rPr>
            </w:pPr>
            <w:r>
              <w:rPr>
                <w:rFonts w:hint="eastAsia" w:eastAsia="楷体"/>
                <w:szCs w:val="21"/>
              </w:rPr>
              <w:t>1次/季度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48" w:type="dxa"/>
            <w:vMerge w:val="continue"/>
            <w:tcBorders>
              <w:tl2br w:val="nil"/>
              <w:tr2bl w:val="nil"/>
            </w:tcBorders>
            <w:vAlign w:val="center"/>
          </w:tcPr>
          <w:p>
            <w:pPr>
              <w:jc w:val="center"/>
              <w:rPr>
                <w:rFonts w:eastAsia="楷体"/>
                <w:szCs w:val="21"/>
              </w:rPr>
            </w:pPr>
          </w:p>
        </w:tc>
        <w:tc>
          <w:tcPr>
            <w:tcW w:w="2232" w:type="dxa"/>
            <w:tcBorders>
              <w:tl2br w:val="nil"/>
              <w:tr2bl w:val="nil"/>
            </w:tcBorders>
            <w:vAlign w:val="center"/>
          </w:tcPr>
          <w:p>
            <w:pPr>
              <w:jc w:val="center"/>
              <w:rPr>
                <w:rFonts w:eastAsia="楷体"/>
                <w:szCs w:val="21"/>
              </w:rPr>
            </w:pPr>
            <w:r>
              <w:rPr>
                <w:rFonts w:hint="eastAsia" w:eastAsia="楷体"/>
                <w:szCs w:val="21"/>
              </w:rPr>
              <w:t>#1、#2烟囱总排口</w:t>
            </w:r>
          </w:p>
        </w:tc>
        <w:tc>
          <w:tcPr>
            <w:tcW w:w="3119" w:type="dxa"/>
            <w:tcBorders>
              <w:tl2br w:val="nil"/>
              <w:tr2bl w:val="nil"/>
            </w:tcBorders>
            <w:vAlign w:val="center"/>
          </w:tcPr>
          <w:p>
            <w:pPr>
              <w:jc w:val="center"/>
              <w:rPr>
                <w:rFonts w:eastAsia="楷体"/>
                <w:szCs w:val="21"/>
              </w:rPr>
            </w:pPr>
            <w:r>
              <w:rPr>
                <w:rFonts w:hint="eastAsia" w:eastAsia="楷体"/>
                <w:szCs w:val="21"/>
              </w:rPr>
              <w:t>烟气含氧量、一氧化碳</w:t>
            </w:r>
          </w:p>
        </w:tc>
        <w:tc>
          <w:tcPr>
            <w:tcW w:w="2412" w:type="dxa"/>
            <w:tcBorders>
              <w:tl2br w:val="nil"/>
              <w:tr2bl w:val="nil"/>
            </w:tcBorders>
            <w:vAlign w:val="center"/>
          </w:tcPr>
          <w:p>
            <w:pPr>
              <w:jc w:val="center"/>
              <w:rPr>
                <w:rFonts w:eastAsia="楷体"/>
                <w:szCs w:val="21"/>
              </w:rPr>
            </w:pPr>
            <w:r>
              <w:rPr>
                <w:rFonts w:hint="eastAsia" w:eastAsia="楷体"/>
                <w:szCs w:val="21"/>
              </w:rPr>
              <w:t>1次/季度</w:t>
            </w:r>
          </w:p>
          <w:p>
            <w:pPr>
              <w:pStyle w:val="2"/>
              <w:jc w:val="center"/>
              <w:rPr>
                <w:rFonts w:eastAsia="楷体"/>
                <w:szCs w:val="21"/>
              </w:rPr>
            </w:pPr>
            <w:r>
              <w:rPr>
                <w:rFonts w:hint="eastAsia" w:eastAsia="楷体"/>
                <w:b w:val="0"/>
                <w:szCs w:val="21"/>
              </w:rPr>
              <w:t>以小时为单位，</w:t>
            </w:r>
          </w:p>
          <w:p>
            <w:pPr>
              <w:pStyle w:val="2"/>
              <w:jc w:val="center"/>
              <w:rPr>
                <w:rFonts w:eastAsia="楷体"/>
                <w:szCs w:val="21"/>
              </w:rPr>
            </w:pPr>
            <w:r>
              <w:rPr>
                <w:rFonts w:hint="eastAsia" w:eastAsia="楷体"/>
                <w:b w:val="0"/>
                <w:szCs w:val="21"/>
              </w:rPr>
              <w:t>3次</w:t>
            </w:r>
            <w:r>
              <w:rPr>
                <w:rFonts w:eastAsia="楷体"/>
                <w:b w:val="0"/>
                <w:szCs w:val="21"/>
              </w:rPr>
              <w:t>/</w:t>
            </w:r>
            <w:r>
              <w:rPr>
                <w:rFonts w:hint="eastAsia" w:eastAsia="楷体"/>
                <w:b w:val="0"/>
                <w:szCs w:val="21"/>
              </w:rPr>
              <w:t>周期，监测</w:t>
            </w:r>
            <w:r>
              <w:rPr>
                <w:rFonts w:eastAsia="楷体"/>
                <w:b w:val="0"/>
                <w:szCs w:val="21"/>
              </w:rPr>
              <w:t>1</w:t>
            </w:r>
            <w:r>
              <w:rPr>
                <w:rFonts w:hint="eastAsia" w:eastAsia="楷体"/>
                <w:b w:val="0"/>
                <w:szCs w:val="21"/>
              </w:rPr>
              <w:t>周期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48" w:type="dxa"/>
            <w:vMerge w:val="continue"/>
            <w:tcBorders>
              <w:tl2br w:val="nil"/>
              <w:tr2bl w:val="nil"/>
            </w:tcBorders>
            <w:vAlign w:val="center"/>
          </w:tcPr>
          <w:p>
            <w:pPr>
              <w:jc w:val="center"/>
              <w:rPr>
                <w:rFonts w:eastAsia="楷体"/>
                <w:szCs w:val="21"/>
              </w:rPr>
            </w:pPr>
          </w:p>
        </w:tc>
        <w:tc>
          <w:tcPr>
            <w:tcW w:w="2232" w:type="dxa"/>
            <w:tcBorders>
              <w:tl2br w:val="nil"/>
              <w:tr2bl w:val="nil"/>
            </w:tcBorders>
            <w:vAlign w:val="center"/>
          </w:tcPr>
          <w:p>
            <w:pPr>
              <w:jc w:val="center"/>
              <w:rPr>
                <w:rFonts w:eastAsia="楷体"/>
                <w:szCs w:val="21"/>
              </w:rPr>
            </w:pPr>
            <w:r>
              <w:rPr>
                <w:rFonts w:hint="eastAsia" w:eastAsia="楷体"/>
                <w:szCs w:val="21"/>
              </w:rPr>
              <w:t>#1、#2烟囱总排口</w:t>
            </w:r>
          </w:p>
        </w:tc>
        <w:tc>
          <w:tcPr>
            <w:tcW w:w="3119" w:type="dxa"/>
            <w:tcBorders>
              <w:tl2br w:val="nil"/>
              <w:tr2bl w:val="nil"/>
            </w:tcBorders>
            <w:vAlign w:val="center"/>
          </w:tcPr>
          <w:p>
            <w:pPr>
              <w:tabs>
                <w:tab w:val="center" w:pos="4153"/>
                <w:tab w:val="right" w:pos="8306"/>
              </w:tabs>
              <w:snapToGrid w:val="0"/>
              <w:jc w:val="center"/>
              <w:rPr>
                <w:rFonts w:eastAsia="楷体"/>
                <w:szCs w:val="21"/>
              </w:rPr>
            </w:pPr>
            <w:r>
              <w:rPr>
                <w:rFonts w:hint="eastAsia" w:eastAsia="楷体"/>
                <w:szCs w:val="21"/>
              </w:rPr>
              <w:t>二噁英</w:t>
            </w:r>
          </w:p>
        </w:tc>
        <w:tc>
          <w:tcPr>
            <w:tcW w:w="2412" w:type="dxa"/>
            <w:tcBorders>
              <w:tl2br w:val="nil"/>
              <w:tr2bl w:val="nil"/>
            </w:tcBorders>
            <w:vAlign w:val="center"/>
          </w:tcPr>
          <w:p>
            <w:pPr>
              <w:jc w:val="center"/>
              <w:rPr>
                <w:rFonts w:eastAsia="楷体"/>
                <w:szCs w:val="21"/>
              </w:rPr>
            </w:pPr>
            <w:r>
              <w:rPr>
                <w:rFonts w:hint="eastAsia" w:eastAsia="楷体"/>
                <w:szCs w:val="21"/>
              </w:rPr>
              <w:t>1次/半年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厂界</w:t>
            </w:r>
          </w:p>
          <w:p>
            <w:pPr>
              <w:jc w:val="center"/>
              <w:rPr>
                <w:rFonts w:eastAsia="楷体"/>
                <w:szCs w:val="21"/>
              </w:rPr>
            </w:pPr>
            <w:r>
              <w:rPr>
                <w:rFonts w:hint="eastAsia" w:eastAsia="楷体"/>
                <w:szCs w:val="21"/>
              </w:rPr>
              <w:t>噪声</w:t>
            </w:r>
          </w:p>
        </w:tc>
        <w:tc>
          <w:tcPr>
            <w:tcW w:w="2232" w:type="dxa"/>
            <w:tcBorders>
              <w:tl2br w:val="nil"/>
              <w:tr2bl w:val="nil"/>
            </w:tcBorders>
            <w:vAlign w:val="center"/>
          </w:tcPr>
          <w:p>
            <w:pPr>
              <w:jc w:val="center"/>
              <w:rPr>
                <w:rFonts w:eastAsia="楷体"/>
                <w:szCs w:val="21"/>
              </w:rPr>
            </w:pPr>
            <w:r>
              <w:rPr>
                <w:rFonts w:hint="eastAsia" w:eastAsia="楷体"/>
                <w:szCs w:val="21"/>
              </w:rPr>
              <w:t>厂界</w:t>
            </w:r>
          </w:p>
        </w:tc>
        <w:tc>
          <w:tcPr>
            <w:tcW w:w="3119" w:type="dxa"/>
            <w:tcBorders>
              <w:tl2br w:val="nil"/>
              <w:tr2bl w:val="nil"/>
            </w:tcBorders>
            <w:shd w:val="clear" w:color="auto" w:fill="auto"/>
            <w:vAlign w:val="center"/>
          </w:tcPr>
          <w:p>
            <w:pPr>
              <w:tabs>
                <w:tab w:val="center" w:pos="4153"/>
                <w:tab w:val="right" w:pos="8306"/>
              </w:tabs>
              <w:snapToGrid w:val="0"/>
              <w:jc w:val="center"/>
              <w:rPr>
                <w:rFonts w:eastAsia="楷体"/>
                <w:szCs w:val="21"/>
              </w:rPr>
            </w:pPr>
            <w:r>
              <w:rPr>
                <w:rFonts w:hint="eastAsia" w:eastAsia="楷体"/>
                <w:szCs w:val="21"/>
              </w:rPr>
              <w:t>噪声昼间、夜间</w:t>
            </w:r>
          </w:p>
        </w:tc>
        <w:tc>
          <w:tcPr>
            <w:tcW w:w="2412" w:type="dxa"/>
            <w:tcBorders>
              <w:tl2br w:val="nil"/>
              <w:tr2bl w:val="nil"/>
            </w:tcBorders>
            <w:vAlign w:val="center"/>
          </w:tcPr>
          <w:p>
            <w:pPr>
              <w:jc w:val="center"/>
              <w:rPr>
                <w:rFonts w:eastAsia="楷体"/>
                <w:szCs w:val="21"/>
              </w:rPr>
            </w:pPr>
            <w:r>
              <w:rPr>
                <w:rFonts w:hint="eastAsia" w:eastAsia="楷体"/>
                <w:szCs w:val="21"/>
              </w:rPr>
              <w:t>1次/季度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无组织排放</w:t>
            </w:r>
          </w:p>
        </w:tc>
        <w:tc>
          <w:tcPr>
            <w:tcW w:w="2232" w:type="dxa"/>
            <w:tcBorders>
              <w:tl2br w:val="nil"/>
              <w:tr2bl w:val="nil"/>
            </w:tcBorders>
            <w:vAlign w:val="center"/>
          </w:tcPr>
          <w:p>
            <w:pPr>
              <w:jc w:val="center"/>
              <w:rPr>
                <w:rFonts w:eastAsia="楷体"/>
                <w:szCs w:val="21"/>
              </w:rPr>
            </w:pPr>
            <w:r>
              <w:rPr>
                <w:rFonts w:hint="eastAsia" w:eastAsia="楷体"/>
                <w:szCs w:val="21"/>
              </w:rPr>
              <w:t>厂界</w:t>
            </w:r>
          </w:p>
        </w:tc>
        <w:tc>
          <w:tcPr>
            <w:tcW w:w="3119" w:type="dxa"/>
            <w:tcBorders>
              <w:tl2br w:val="nil"/>
              <w:tr2bl w:val="nil"/>
            </w:tcBorders>
            <w:shd w:val="clear" w:color="auto" w:fill="auto"/>
            <w:vAlign w:val="center"/>
          </w:tcPr>
          <w:p>
            <w:pPr>
              <w:tabs>
                <w:tab w:val="center" w:pos="4153"/>
                <w:tab w:val="right" w:pos="8306"/>
              </w:tabs>
              <w:snapToGrid w:val="0"/>
              <w:jc w:val="center"/>
              <w:rPr>
                <w:rFonts w:eastAsia="楷体"/>
                <w:szCs w:val="21"/>
              </w:rPr>
            </w:pPr>
            <w:r>
              <w:rPr>
                <w:rFonts w:hint="eastAsia" w:eastAsia="楷体"/>
                <w:szCs w:val="21"/>
              </w:rPr>
              <w:t>颗粒物</w:t>
            </w:r>
          </w:p>
        </w:tc>
        <w:tc>
          <w:tcPr>
            <w:tcW w:w="2412" w:type="dxa"/>
            <w:tcBorders>
              <w:tl2br w:val="nil"/>
              <w:tr2bl w:val="nil"/>
            </w:tcBorders>
            <w:vAlign w:val="center"/>
          </w:tcPr>
          <w:p>
            <w:pPr>
              <w:jc w:val="center"/>
              <w:rPr>
                <w:rFonts w:eastAsia="楷体"/>
                <w:szCs w:val="21"/>
              </w:rPr>
            </w:pPr>
            <w:r>
              <w:rPr>
                <w:rFonts w:hint="eastAsia" w:eastAsia="楷体"/>
                <w:szCs w:val="21"/>
              </w:rPr>
              <w:t>1次/季度</w:t>
            </w:r>
          </w:p>
          <w:p>
            <w:pPr>
              <w:jc w:val="center"/>
              <w:rPr>
                <w:rFonts w:eastAsia="楷体"/>
                <w:szCs w:val="21"/>
              </w:rPr>
            </w:pPr>
            <w:r>
              <w:rPr>
                <w:rFonts w:hint="eastAsia" w:eastAsia="楷体"/>
                <w:szCs w:val="21"/>
              </w:rPr>
              <w:t>非连续采样至少3次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无组织排放</w:t>
            </w:r>
          </w:p>
        </w:tc>
        <w:tc>
          <w:tcPr>
            <w:tcW w:w="2232" w:type="dxa"/>
            <w:tcBorders>
              <w:tl2br w:val="nil"/>
              <w:tr2bl w:val="nil"/>
            </w:tcBorders>
            <w:vAlign w:val="center"/>
          </w:tcPr>
          <w:p>
            <w:pPr>
              <w:jc w:val="center"/>
              <w:rPr>
                <w:rFonts w:eastAsia="楷体"/>
                <w:szCs w:val="21"/>
              </w:rPr>
            </w:pPr>
            <w:r>
              <w:rPr>
                <w:rFonts w:hint="eastAsia" w:eastAsia="楷体"/>
                <w:szCs w:val="21"/>
              </w:rPr>
              <w:t>污泥干化车间</w:t>
            </w:r>
          </w:p>
          <w:p>
            <w:pPr>
              <w:jc w:val="center"/>
              <w:rPr>
                <w:rFonts w:eastAsia="楷体"/>
                <w:szCs w:val="21"/>
              </w:rPr>
            </w:pPr>
            <w:r>
              <w:rPr>
                <w:rFonts w:hint="eastAsia" w:eastAsia="楷体"/>
                <w:szCs w:val="21"/>
              </w:rPr>
              <w:t>厂界无组织废气监测</w:t>
            </w:r>
          </w:p>
        </w:tc>
        <w:tc>
          <w:tcPr>
            <w:tcW w:w="3119" w:type="dxa"/>
            <w:tcBorders>
              <w:tl2br w:val="nil"/>
              <w:tr2bl w:val="nil"/>
            </w:tcBorders>
            <w:shd w:val="clear" w:color="auto" w:fill="auto"/>
            <w:vAlign w:val="center"/>
          </w:tcPr>
          <w:p>
            <w:pPr>
              <w:tabs>
                <w:tab w:val="center" w:pos="4153"/>
                <w:tab w:val="right" w:pos="8306"/>
              </w:tabs>
              <w:snapToGrid w:val="0"/>
              <w:jc w:val="center"/>
              <w:rPr>
                <w:rFonts w:eastAsia="楷体"/>
                <w:szCs w:val="21"/>
              </w:rPr>
            </w:pPr>
            <w:r>
              <w:rPr>
                <w:rFonts w:hint="eastAsia" w:eastAsia="楷体"/>
                <w:szCs w:val="21"/>
              </w:rPr>
              <w:t>臭气浓度、氨、硫化氢、</w:t>
            </w:r>
          </w:p>
          <w:p>
            <w:pPr>
              <w:tabs>
                <w:tab w:val="center" w:pos="4153"/>
                <w:tab w:val="right" w:pos="8306"/>
              </w:tabs>
              <w:snapToGrid w:val="0"/>
              <w:jc w:val="center"/>
              <w:rPr>
                <w:rFonts w:eastAsia="楷体"/>
                <w:szCs w:val="21"/>
              </w:rPr>
            </w:pPr>
            <w:r>
              <w:rPr>
                <w:rFonts w:hint="eastAsia" w:eastAsia="楷体"/>
                <w:szCs w:val="21"/>
              </w:rPr>
              <w:t>总悬浮颗粒物</w:t>
            </w:r>
          </w:p>
        </w:tc>
        <w:tc>
          <w:tcPr>
            <w:tcW w:w="2412" w:type="dxa"/>
            <w:tcBorders>
              <w:tl2br w:val="nil"/>
              <w:tr2bl w:val="nil"/>
            </w:tcBorders>
            <w:vAlign w:val="center"/>
          </w:tcPr>
          <w:p>
            <w:pPr>
              <w:jc w:val="center"/>
              <w:rPr>
                <w:rFonts w:eastAsia="楷体"/>
                <w:szCs w:val="21"/>
              </w:rPr>
            </w:pPr>
            <w:r>
              <w:rPr>
                <w:rFonts w:hint="eastAsia" w:eastAsia="楷体"/>
                <w:szCs w:val="21"/>
              </w:rPr>
              <w:t>1次/年</w:t>
            </w:r>
          </w:p>
          <w:p>
            <w:pPr>
              <w:jc w:val="center"/>
              <w:rPr>
                <w:rFonts w:eastAsia="楷体"/>
                <w:szCs w:val="21"/>
              </w:rPr>
            </w:pPr>
            <w:r>
              <w:rPr>
                <w:rFonts w:hint="eastAsia" w:eastAsia="楷体"/>
                <w:szCs w:val="21"/>
              </w:rPr>
              <w:t>每次监测采样4次</w:t>
            </w:r>
          </w:p>
        </w:tc>
      </w:tr>
    </w:tbl>
    <w:p>
      <w:pPr>
        <w:pStyle w:val="2"/>
        <w:numPr>
          <w:ilvl w:val="0"/>
          <w:numId w:val="1"/>
        </w:numPr>
        <w:ind w:firstLine="0"/>
        <w:rPr>
          <w:rFonts w:ascii="宋体" w:hAnsi="宋体" w:cs="宋体"/>
          <w:color w:val="000000"/>
          <w:kern w:val="0"/>
          <w:sz w:val="28"/>
          <w:szCs w:val="28"/>
        </w:rPr>
      </w:pPr>
      <w:r>
        <w:rPr>
          <w:rFonts w:hint="eastAsia" w:ascii="宋体" w:hAnsi="宋体" w:cs="宋体"/>
          <w:color w:val="000000"/>
          <w:kern w:val="0"/>
          <w:sz w:val="28"/>
          <w:szCs w:val="28"/>
        </w:rPr>
        <w:t>方法依据</w:t>
      </w:r>
    </w:p>
    <w:p>
      <w:pPr>
        <w:pStyle w:val="2"/>
        <w:ind w:firstLine="0"/>
        <w:rPr>
          <w:rFonts w:hAnsi="宋体" w:cs="宋体"/>
          <w:b w:val="0"/>
          <w:bCs/>
          <w:sz w:val="24"/>
        </w:rPr>
      </w:pPr>
      <w:r>
        <w:rPr>
          <w:rFonts w:hint="eastAsia" w:hAnsi="宋体" w:cs="宋体"/>
          <w:b w:val="0"/>
          <w:bCs/>
          <w:sz w:val="24"/>
        </w:rPr>
        <w:t>监测方法依据</w:t>
      </w:r>
    </w:p>
    <w:tbl>
      <w:tblPr>
        <w:tblStyle w:val="8"/>
        <w:tblpPr w:leftFromText="180" w:rightFromText="180" w:horzAnchor="page" w:tblpX="1919" w:tblpY="313"/>
        <w:tblW w:w="4971" w:type="pct"/>
        <w:tblInd w:w="0" w:type="dxa"/>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38"/>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ind w:left="1839" w:leftChars="405" w:hanging="989" w:hangingChars="471"/>
              <w:jc w:val="center"/>
              <w:rPr>
                <w:rFonts w:eastAsia="楷体"/>
                <w:szCs w:val="21"/>
              </w:rPr>
            </w:pPr>
            <w:r>
              <w:rPr>
                <w:rFonts w:eastAsia="楷体"/>
                <w:szCs w:val="21"/>
              </w:rPr>
              <w:t>监测项目</w:t>
            </w:r>
          </w:p>
        </w:tc>
        <w:tc>
          <w:tcPr>
            <w:tcW w:w="3681" w:type="pct"/>
            <w:noWrap/>
            <w:vAlign w:val="center"/>
          </w:tcPr>
          <w:p>
            <w:pPr>
              <w:spacing w:line="300" w:lineRule="exact"/>
              <w:jc w:val="center"/>
              <w:rPr>
                <w:rFonts w:eastAsia="楷体"/>
                <w:szCs w:val="21"/>
              </w:rPr>
            </w:pPr>
            <w:r>
              <w:rPr>
                <w:rFonts w:eastAsia="楷体"/>
                <w:szCs w:val="21"/>
              </w:rPr>
              <w:t>方法依据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总悬浮颗粒物</w:t>
            </w:r>
          </w:p>
        </w:tc>
        <w:tc>
          <w:tcPr>
            <w:tcW w:w="3681" w:type="pct"/>
            <w:noWrap/>
            <w:vAlign w:val="center"/>
          </w:tcPr>
          <w:p>
            <w:pPr>
              <w:spacing w:line="300" w:lineRule="exact"/>
              <w:jc w:val="center"/>
              <w:rPr>
                <w:rFonts w:eastAsia="楷体"/>
                <w:szCs w:val="21"/>
              </w:rPr>
            </w:pPr>
            <w:r>
              <w:rPr>
                <w:rFonts w:eastAsia="楷体"/>
                <w:szCs w:val="21"/>
              </w:rPr>
              <w:t>环境空气 总悬浮颗粒物的测定 重量法 HJ 1263-2022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napToGrid w:val="0"/>
              <w:ind w:left="-105" w:leftChars="-50" w:right="-105" w:rightChars="-50"/>
              <w:jc w:val="center"/>
              <w:rPr>
                <w:rFonts w:eastAsia="楷体"/>
                <w:szCs w:val="21"/>
              </w:rPr>
            </w:pPr>
            <w:r>
              <w:rPr>
                <w:rFonts w:hint="eastAsia" w:eastAsia="楷体"/>
                <w:szCs w:val="21"/>
              </w:rPr>
              <w:t>工业企业厂界</w:t>
            </w:r>
          </w:p>
          <w:p>
            <w:pPr>
              <w:snapToGrid w:val="0"/>
              <w:ind w:left="-105" w:leftChars="-50" w:right="-105" w:rightChars="-50"/>
              <w:jc w:val="center"/>
              <w:rPr>
                <w:rFonts w:eastAsia="楷体"/>
                <w:szCs w:val="21"/>
              </w:rPr>
            </w:pPr>
            <w:r>
              <w:rPr>
                <w:rFonts w:hint="eastAsia" w:eastAsia="楷体"/>
                <w:szCs w:val="21"/>
              </w:rPr>
              <w:t>环境噪声</w:t>
            </w:r>
          </w:p>
        </w:tc>
        <w:tc>
          <w:tcPr>
            <w:tcW w:w="3681" w:type="pct"/>
            <w:noWrap/>
            <w:vAlign w:val="center"/>
          </w:tcPr>
          <w:p>
            <w:pPr>
              <w:snapToGrid w:val="0"/>
              <w:ind w:left="-105" w:leftChars="-50" w:right="-105" w:rightChars="-50"/>
              <w:jc w:val="center"/>
              <w:rPr>
                <w:rFonts w:eastAsia="楷体"/>
                <w:szCs w:val="21"/>
              </w:rPr>
            </w:pPr>
            <w:r>
              <w:rPr>
                <w:rFonts w:eastAsia="楷体"/>
                <w:szCs w:val="21"/>
              </w:rPr>
              <w:t>工业企业厂界环境噪声排放标准 GB12348-2008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（总）汞</w:t>
            </w:r>
          </w:p>
        </w:tc>
        <w:tc>
          <w:tcPr>
            <w:tcW w:w="3681" w:type="pct"/>
            <w:noWrap/>
            <w:vAlign w:val="center"/>
          </w:tcPr>
          <w:p>
            <w:pPr>
              <w:spacing w:line="300" w:lineRule="exact"/>
              <w:jc w:val="center"/>
              <w:rPr>
                <w:rFonts w:eastAsia="楷体"/>
                <w:szCs w:val="21"/>
              </w:rPr>
            </w:pPr>
            <w:r>
              <w:rPr>
                <w:rFonts w:eastAsia="楷体"/>
                <w:szCs w:val="21"/>
              </w:rPr>
              <w:t>固定污染源废气 汞的测定冷原子吸收分光光度法（暂行）</w:t>
            </w:r>
          </w:p>
          <w:p>
            <w:pPr>
              <w:spacing w:line="300" w:lineRule="exact"/>
              <w:jc w:val="center"/>
              <w:rPr>
                <w:rFonts w:eastAsia="楷体"/>
                <w:szCs w:val="21"/>
              </w:rPr>
            </w:pPr>
            <w:r>
              <w:rPr>
                <w:rFonts w:eastAsia="楷体"/>
                <w:szCs w:val="21"/>
              </w:rPr>
              <w:t>HJ 543-2009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烟气含氧量</w:t>
            </w:r>
          </w:p>
        </w:tc>
        <w:tc>
          <w:tcPr>
            <w:tcW w:w="3681" w:type="pct"/>
            <w:noWrap/>
            <w:vAlign w:val="center"/>
          </w:tcPr>
          <w:p>
            <w:pPr>
              <w:spacing w:line="300" w:lineRule="exact"/>
              <w:jc w:val="center"/>
              <w:rPr>
                <w:rFonts w:eastAsia="楷体"/>
                <w:szCs w:val="21"/>
              </w:rPr>
            </w:pPr>
            <w:r>
              <w:rPr>
                <w:rFonts w:eastAsia="楷体"/>
                <w:szCs w:val="21"/>
              </w:rPr>
              <w:t>电化学法测定氧《空气和废气监测分析方法》（第四版增补版）国家环境保护总局（2007年）5.2.6.3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一氧化碳</w:t>
            </w:r>
          </w:p>
        </w:tc>
        <w:tc>
          <w:tcPr>
            <w:tcW w:w="3681" w:type="pct"/>
            <w:noWrap/>
            <w:vAlign w:val="center"/>
          </w:tcPr>
          <w:p>
            <w:pPr>
              <w:widowControl/>
              <w:jc w:val="center"/>
              <w:textAlignment w:val="center"/>
              <w:rPr>
                <w:rFonts w:eastAsia="楷体"/>
                <w:szCs w:val="21"/>
              </w:rPr>
            </w:pPr>
            <w:r>
              <w:rPr>
                <w:rFonts w:eastAsia="楷体"/>
                <w:szCs w:val="21"/>
              </w:rPr>
              <w:t>固定污染源废气 一氧化碳的测定 定电位电解法HJ 973-2018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烟气参数</w:t>
            </w:r>
          </w:p>
          <w:p>
            <w:pPr>
              <w:spacing w:line="300" w:lineRule="exact"/>
              <w:jc w:val="center"/>
              <w:rPr>
                <w:rFonts w:eastAsia="楷体"/>
                <w:w w:val="90"/>
                <w:szCs w:val="21"/>
              </w:rPr>
            </w:pPr>
            <w:r>
              <w:rPr>
                <w:rFonts w:hint="eastAsia" w:eastAsia="楷体"/>
                <w:szCs w:val="21"/>
              </w:rPr>
              <w:t>（温度、压力、流速、流量）</w:t>
            </w:r>
          </w:p>
        </w:tc>
        <w:tc>
          <w:tcPr>
            <w:tcW w:w="3681" w:type="pct"/>
            <w:noWrap/>
            <w:tcFitText/>
            <w:vAlign w:val="center"/>
          </w:tcPr>
          <w:p>
            <w:pPr>
              <w:spacing w:line="300" w:lineRule="exact"/>
              <w:jc w:val="center"/>
              <w:rPr>
                <w:rFonts w:eastAsia="楷体"/>
                <w:kern w:val="0"/>
                <w:szCs w:val="21"/>
              </w:rPr>
            </w:pPr>
            <w:r>
              <w:rPr>
                <w:rFonts w:hint="eastAsia" w:eastAsia="楷体"/>
                <w:spacing w:val="26"/>
                <w:kern w:val="0"/>
                <w:szCs w:val="21"/>
              </w:rPr>
              <w:t>固定污染源排气中颗粒物测定与气态污染物采样方</w:t>
            </w:r>
            <w:r>
              <w:rPr>
                <w:rFonts w:hint="eastAsia" w:eastAsia="楷体"/>
                <w:spacing w:val="14"/>
                <w:kern w:val="0"/>
                <w:szCs w:val="21"/>
              </w:rPr>
              <w:t>法</w:t>
            </w:r>
          </w:p>
          <w:p>
            <w:pPr>
              <w:spacing w:line="300" w:lineRule="exact"/>
              <w:jc w:val="center"/>
              <w:rPr>
                <w:rFonts w:eastAsia="楷体"/>
                <w:szCs w:val="21"/>
              </w:rPr>
            </w:pPr>
            <w:r>
              <w:rPr>
                <w:rFonts w:eastAsia="楷体"/>
                <w:kern w:val="0"/>
                <w:szCs w:val="21"/>
              </w:rPr>
              <w:t>GB/T16157-1996</w:t>
            </w:r>
            <w:r>
              <w:rPr>
                <w:rFonts w:hint="eastAsia" w:eastAsia="楷体"/>
                <w:kern w:val="0"/>
                <w:szCs w:val="21"/>
              </w:rPr>
              <w:t>及修改单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烟气黑度</w:t>
            </w:r>
          </w:p>
        </w:tc>
        <w:tc>
          <w:tcPr>
            <w:tcW w:w="3681" w:type="pct"/>
            <w:noWrap/>
            <w:vAlign w:val="center"/>
          </w:tcPr>
          <w:p>
            <w:pPr>
              <w:spacing w:line="300" w:lineRule="exact"/>
              <w:jc w:val="center"/>
              <w:rPr>
                <w:rFonts w:eastAsia="楷体"/>
                <w:szCs w:val="21"/>
              </w:rPr>
            </w:pPr>
            <w:r>
              <w:rPr>
                <w:rFonts w:eastAsia="楷体"/>
                <w:szCs w:val="21"/>
              </w:rPr>
              <w:t>固定污染源排放 烟气黑度的测定 林格曼黑度图法HJ/T398-2007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氯化氢</w:t>
            </w:r>
          </w:p>
        </w:tc>
        <w:tc>
          <w:tcPr>
            <w:tcW w:w="3681" w:type="pct"/>
            <w:noWrap/>
            <w:vAlign w:val="center"/>
          </w:tcPr>
          <w:p>
            <w:pPr>
              <w:spacing w:line="300" w:lineRule="exact"/>
              <w:jc w:val="center"/>
              <w:rPr>
                <w:rFonts w:eastAsia="楷体"/>
                <w:szCs w:val="21"/>
              </w:rPr>
            </w:pPr>
            <w:r>
              <w:rPr>
                <w:rFonts w:eastAsia="楷体"/>
                <w:szCs w:val="21"/>
              </w:rPr>
              <w:t>固定污染源排气中氯化氢的测定 硫氰酸汞分光光度法</w:t>
            </w:r>
          </w:p>
          <w:p>
            <w:pPr>
              <w:spacing w:line="300" w:lineRule="exact"/>
              <w:jc w:val="center"/>
              <w:rPr>
                <w:rFonts w:eastAsia="楷体"/>
                <w:szCs w:val="21"/>
              </w:rPr>
            </w:pPr>
            <w:r>
              <w:rPr>
                <w:rFonts w:eastAsia="楷体"/>
                <w:szCs w:val="21"/>
              </w:rPr>
              <w:t>HJ/T 27-1999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氨</w:t>
            </w:r>
          </w:p>
        </w:tc>
        <w:tc>
          <w:tcPr>
            <w:tcW w:w="3681" w:type="pct"/>
            <w:noWrap/>
            <w:vAlign w:val="center"/>
          </w:tcPr>
          <w:p>
            <w:pPr>
              <w:spacing w:line="300" w:lineRule="exact"/>
              <w:jc w:val="center"/>
              <w:rPr>
                <w:rFonts w:eastAsia="楷体"/>
                <w:szCs w:val="21"/>
              </w:rPr>
            </w:pPr>
            <w:r>
              <w:rPr>
                <w:rFonts w:eastAsia="楷体"/>
                <w:szCs w:val="21"/>
              </w:rPr>
              <w:t>环境空气和废气 氨的测定 纳氏试剂分光光度法HJ 533-2009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tabs>
                <w:tab w:val="center" w:pos="4153"/>
                <w:tab w:val="right" w:pos="8306"/>
              </w:tabs>
              <w:snapToGrid w:val="0"/>
              <w:spacing w:line="300" w:lineRule="exact"/>
              <w:jc w:val="center"/>
              <w:rPr>
                <w:rFonts w:eastAsia="楷体"/>
                <w:szCs w:val="21"/>
              </w:rPr>
            </w:pPr>
            <w:r>
              <w:rPr>
                <w:rFonts w:hint="eastAsia" w:eastAsia="楷体"/>
                <w:szCs w:val="21"/>
              </w:rPr>
              <w:t>砷</w:t>
            </w:r>
          </w:p>
        </w:tc>
        <w:tc>
          <w:tcPr>
            <w:tcW w:w="3681" w:type="pct"/>
            <w:noWrap/>
            <w:vAlign w:val="center"/>
          </w:tcPr>
          <w:p>
            <w:pPr>
              <w:spacing w:line="300" w:lineRule="exact"/>
              <w:jc w:val="center"/>
              <w:rPr>
                <w:rFonts w:eastAsia="楷体"/>
                <w:sz w:val="18"/>
                <w:szCs w:val="21"/>
              </w:rPr>
            </w:pPr>
            <w:r>
              <w:rPr>
                <w:rFonts w:eastAsia="楷体"/>
                <w:szCs w:val="21"/>
              </w:rPr>
              <w:t>环境空气和废气 颗粒物中砷、硒、铋、锑的测定 原子荧光法</w:t>
            </w:r>
          </w:p>
          <w:p>
            <w:pPr>
              <w:spacing w:line="300" w:lineRule="exact"/>
              <w:jc w:val="center"/>
              <w:rPr>
                <w:rFonts w:eastAsia="楷体"/>
                <w:sz w:val="18"/>
                <w:szCs w:val="21"/>
              </w:rPr>
            </w:pPr>
            <w:r>
              <w:rPr>
                <w:rFonts w:eastAsia="楷体"/>
                <w:szCs w:val="21"/>
              </w:rPr>
              <w:t>HJ 1133-2020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镉、铊、锑、铅、铬、钴、铜、</w:t>
            </w:r>
            <w:r>
              <w:rPr>
                <w:rFonts w:eastAsia="楷体"/>
                <w:szCs w:val="21"/>
              </w:rPr>
              <w:t xml:space="preserve"> </w:t>
            </w:r>
            <w:r>
              <w:rPr>
                <w:rFonts w:hint="eastAsia" w:eastAsia="楷体"/>
                <w:szCs w:val="21"/>
              </w:rPr>
              <w:t>锰、镍</w:t>
            </w:r>
          </w:p>
        </w:tc>
        <w:tc>
          <w:tcPr>
            <w:tcW w:w="3681" w:type="pct"/>
            <w:noWrap/>
            <w:vAlign w:val="center"/>
          </w:tcPr>
          <w:p>
            <w:pPr>
              <w:spacing w:line="300" w:lineRule="exact"/>
              <w:jc w:val="center"/>
              <w:rPr>
                <w:rFonts w:eastAsia="楷体"/>
                <w:szCs w:val="21"/>
              </w:rPr>
            </w:pPr>
            <w:r>
              <w:rPr>
                <w:rFonts w:eastAsia="楷体"/>
                <w:szCs w:val="21"/>
              </w:rPr>
              <w:t>空气和废气 颗粒物中铅等金属元素的测定 电感耦合等离子体质谱法HJ657-2013及修改单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硫化氢</w:t>
            </w:r>
          </w:p>
        </w:tc>
        <w:tc>
          <w:tcPr>
            <w:tcW w:w="3681" w:type="pct"/>
            <w:noWrap/>
            <w:vAlign w:val="center"/>
          </w:tcPr>
          <w:p>
            <w:pPr>
              <w:spacing w:line="300" w:lineRule="exact"/>
              <w:jc w:val="center"/>
              <w:rPr>
                <w:rFonts w:eastAsia="楷体"/>
                <w:szCs w:val="21"/>
              </w:rPr>
            </w:pPr>
            <w:r>
              <w:rPr>
                <w:rFonts w:eastAsia="楷体"/>
                <w:szCs w:val="21"/>
              </w:rPr>
              <w:t>亚甲基蓝分光光度法《空气和废气检测分析方法》</w:t>
            </w:r>
          </w:p>
          <w:p>
            <w:pPr>
              <w:pStyle w:val="2"/>
              <w:rPr>
                <w:rFonts w:eastAsia="楷体"/>
                <w:szCs w:val="21"/>
              </w:rPr>
            </w:pPr>
            <w:r>
              <w:rPr>
                <w:rFonts w:hint="eastAsia" w:eastAsia="楷体"/>
                <w:b w:val="0"/>
                <w:szCs w:val="21"/>
              </w:rPr>
              <w:t>（第四版增补版）国家环境保护总局（2007年）3.1.11.2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567" w:hRule="atLeast"/>
          <w:tblHeader/>
        </w:trPr>
        <w:tc>
          <w:tcPr>
            <w:tcW w:w="1319" w:type="pct"/>
            <w:noWrap/>
            <w:vAlign w:val="center"/>
          </w:tcPr>
          <w:p>
            <w:pPr>
              <w:spacing w:line="300" w:lineRule="exact"/>
              <w:jc w:val="center"/>
              <w:rPr>
                <w:rFonts w:eastAsia="楷体"/>
                <w:szCs w:val="21"/>
              </w:rPr>
            </w:pPr>
            <w:r>
              <w:rPr>
                <w:rFonts w:hint="eastAsia" w:eastAsia="楷体"/>
                <w:szCs w:val="21"/>
              </w:rPr>
              <w:t>臭气浓度</w:t>
            </w:r>
          </w:p>
        </w:tc>
        <w:tc>
          <w:tcPr>
            <w:tcW w:w="3681" w:type="pct"/>
            <w:noWrap/>
            <w:vAlign w:val="center"/>
          </w:tcPr>
          <w:p>
            <w:pPr>
              <w:spacing w:line="300" w:lineRule="exact"/>
              <w:jc w:val="center"/>
              <w:rPr>
                <w:rFonts w:eastAsia="楷体"/>
                <w:szCs w:val="21"/>
              </w:rPr>
            </w:pPr>
            <w:r>
              <w:rPr>
                <w:rFonts w:eastAsia="楷体"/>
                <w:szCs w:val="21"/>
              </w:rPr>
              <w:t>环境空气和废气</w:t>
            </w:r>
            <w:r>
              <w:rPr>
                <w:rFonts w:hint="eastAsia" w:eastAsia="楷体"/>
                <w:szCs w:val="21"/>
              </w:rPr>
              <w:t xml:space="preserve"> 臭气的测定 三点比较式臭袋法</w:t>
            </w:r>
          </w:p>
          <w:p>
            <w:pPr>
              <w:spacing w:line="300" w:lineRule="exact"/>
              <w:jc w:val="center"/>
              <w:rPr>
                <w:rFonts w:eastAsia="楷体"/>
                <w:szCs w:val="21"/>
              </w:rPr>
            </w:pPr>
            <w:r>
              <w:rPr>
                <w:rFonts w:hint="eastAsia" w:eastAsia="楷体"/>
                <w:szCs w:val="21"/>
              </w:rPr>
              <w:t>HJ 1262-2022</w:t>
            </w:r>
          </w:p>
        </w:tc>
      </w:tr>
    </w:tbl>
    <w:p>
      <w:pPr>
        <w:pStyle w:val="2"/>
        <w:numPr>
          <w:ilvl w:val="0"/>
          <w:numId w:val="1"/>
        </w:numPr>
        <w:ind w:firstLine="0"/>
        <w:rPr>
          <w:rFonts w:cs="宋体"/>
          <w:color w:val="000000"/>
          <w:kern w:val="0"/>
          <w:sz w:val="28"/>
          <w:szCs w:val="28"/>
        </w:rPr>
      </w:pPr>
      <w:r>
        <w:rPr>
          <w:rFonts w:hint="eastAsia" w:hAnsi="宋体" w:cs="宋体"/>
          <w:color w:val="000000"/>
          <w:kern w:val="0"/>
          <w:sz w:val="28"/>
          <w:szCs w:val="28"/>
        </w:rPr>
        <w:t>质量控制要求</w:t>
      </w:r>
    </w:p>
    <w:p>
      <w:pPr>
        <w:pStyle w:val="14"/>
        <w:numPr>
          <w:ilvl w:val="0"/>
          <w:numId w:val="2"/>
        </w:numPr>
        <w:ind w:left="0" w:firstLine="0" w:firstLineChars="0"/>
        <w:rPr>
          <w:rFonts w:cs="宋体"/>
          <w:color w:val="000000"/>
          <w:kern w:val="0"/>
          <w:sz w:val="24"/>
        </w:rPr>
      </w:pPr>
      <w:r>
        <w:rPr>
          <w:rFonts w:cs="宋体"/>
          <w:color w:val="000000"/>
          <w:kern w:val="0"/>
          <w:sz w:val="24"/>
        </w:rPr>
        <w:t>监测分析方法采用国家有关部门颁布（或推荐）的标准分析方法，监测人员</w:t>
      </w:r>
      <w:r>
        <w:rPr>
          <w:rFonts w:hint="eastAsia" w:cs="宋体"/>
          <w:color w:val="000000"/>
          <w:kern w:val="0"/>
          <w:sz w:val="24"/>
        </w:rPr>
        <w:t>需</w:t>
      </w:r>
      <w:r>
        <w:rPr>
          <w:rFonts w:cs="宋体"/>
          <w:color w:val="000000"/>
          <w:kern w:val="0"/>
          <w:sz w:val="24"/>
        </w:rPr>
        <w:t>经过考核并持有合格证。</w:t>
      </w:r>
    </w:p>
    <w:p>
      <w:pPr>
        <w:pStyle w:val="14"/>
        <w:numPr>
          <w:ilvl w:val="0"/>
          <w:numId w:val="2"/>
        </w:numPr>
        <w:ind w:left="0" w:firstLine="0" w:firstLineChars="0"/>
        <w:rPr>
          <w:rFonts w:cs="宋体"/>
          <w:color w:val="000000"/>
          <w:kern w:val="0"/>
          <w:sz w:val="24"/>
        </w:rPr>
      </w:pPr>
      <w:r>
        <w:rPr>
          <w:rFonts w:hint="eastAsia" w:cs="宋体"/>
          <w:color w:val="000000"/>
          <w:kern w:val="0"/>
          <w:sz w:val="24"/>
        </w:rPr>
        <w:t>合理布设监测点，保证各监测点位布设的科学性和可比性。</w:t>
      </w:r>
    </w:p>
    <w:p>
      <w:pPr>
        <w:pStyle w:val="14"/>
        <w:numPr>
          <w:ilvl w:val="0"/>
          <w:numId w:val="2"/>
        </w:numPr>
        <w:ind w:left="0" w:firstLine="0" w:firstLineChars="0"/>
        <w:rPr>
          <w:rFonts w:cs="宋体"/>
          <w:color w:val="000000"/>
          <w:kern w:val="0"/>
          <w:sz w:val="24"/>
        </w:rPr>
      </w:pPr>
      <w:r>
        <w:rPr>
          <w:rFonts w:cs="宋体"/>
          <w:color w:val="000000"/>
          <w:kern w:val="0"/>
          <w:sz w:val="24"/>
        </w:rPr>
        <w:t>质量保证措施按《浙江省环境监测质量保证技术规定》执行。采样前对采样器的流量计进行校准，直读式仪器用标准气进行校准；实验室分析时，对部分项目采取做平行样和质控样来进行质量控制。</w:t>
      </w:r>
    </w:p>
    <w:p>
      <w:pPr>
        <w:pStyle w:val="2"/>
        <w:numPr>
          <w:ilvl w:val="0"/>
          <w:numId w:val="1"/>
        </w:numPr>
        <w:ind w:firstLine="0"/>
        <w:rPr>
          <w:rFonts w:cs="宋体"/>
          <w:color w:val="000000"/>
          <w:kern w:val="0"/>
          <w:sz w:val="28"/>
          <w:szCs w:val="28"/>
        </w:rPr>
      </w:pPr>
      <w:r>
        <w:rPr>
          <w:rFonts w:hint="eastAsia" w:hAnsi="宋体" w:cs="宋体"/>
          <w:color w:val="000000"/>
          <w:kern w:val="0"/>
          <w:sz w:val="28"/>
          <w:szCs w:val="28"/>
        </w:rPr>
        <w:t>资质要求</w:t>
      </w:r>
    </w:p>
    <w:p>
      <w:pPr>
        <w:pStyle w:val="2"/>
        <w:numPr>
          <w:numId w:val="0"/>
        </w:numPr>
        <w:ind w:right="-147" w:rightChars="-70"/>
        <w:rPr>
          <w:rFonts w:hint="default" w:eastAsia="宋体" w:cs="宋体"/>
          <w:b w:val="0"/>
          <w:bCs/>
          <w:color w:val="000000"/>
          <w:kern w:val="0"/>
          <w:sz w:val="24"/>
          <w:szCs w:val="24"/>
          <w:lang w:val="en-US" w:eastAsia="zh-CN"/>
        </w:rPr>
      </w:pPr>
      <w:r>
        <w:rPr>
          <w:rFonts w:hint="eastAsia" w:hAnsi="宋体" w:cs="宋体"/>
          <w:b w:val="0"/>
          <w:bCs/>
          <w:color w:val="000000"/>
          <w:kern w:val="0"/>
          <w:sz w:val="24"/>
          <w:szCs w:val="24"/>
          <w:lang w:val="en-US" w:eastAsia="zh-CN"/>
        </w:rPr>
        <w:t>见招标公告。</w:t>
      </w:r>
    </w:p>
    <w:p>
      <w:pPr>
        <w:pStyle w:val="2"/>
        <w:numPr>
          <w:ilvl w:val="0"/>
          <w:numId w:val="1"/>
        </w:numPr>
        <w:ind w:firstLine="0"/>
        <w:rPr>
          <w:rFonts w:hAnsi="宋体" w:cs="宋体"/>
          <w:color w:val="000000"/>
          <w:kern w:val="0"/>
          <w:sz w:val="28"/>
          <w:szCs w:val="28"/>
        </w:rPr>
      </w:pPr>
      <w:r>
        <w:rPr>
          <w:rFonts w:hint="eastAsia" w:hAnsi="宋体" w:cs="宋体"/>
          <w:color w:val="000000"/>
          <w:kern w:val="0"/>
          <w:sz w:val="28"/>
          <w:szCs w:val="28"/>
        </w:rPr>
        <w:t>工程进度安排</w:t>
      </w:r>
    </w:p>
    <w:p>
      <w:pPr>
        <w:pStyle w:val="14"/>
        <w:numPr>
          <w:ilvl w:val="0"/>
          <w:numId w:val="3"/>
        </w:numPr>
        <w:ind w:firstLineChars="0"/>
        <w:rPr>
          <w:rFonts w:cs="宋体"/>
          <w:color w:val="000000"/>
          <w:kern w:val="0"/>
          <w:sz w:val="24"/>
        </w:rPr>
      </w:pPr>
      <w:r>
        <w:rPr>
          <w:rFonts w:hint="eastAsia" w:cs="宋体"/>
          <w:color w:val="000000"/>
          <w:kern w:val="0"/>
          <w:sz w:val="24"/>
        </w:rPr>
        <w:t>计划施工开始时间</w:t>
      </w:r>
      <w:bookmarkStart w:id="0" w:name="_GoBack"/>
      <w:bookmarkEnd w:id="0"/>
      <w:r>
        <w:rPr>
          <w:rFonts w:hint="eastAsia" w:cs="宋体"/>
          <w:color w:val="000000"/>
          <w:kern w:val="0"/>
          <w:sz w:val="24"/>
        </w:rPr>
        <w:t>严格按照监测频次，具体根据实际情况进度需要适当调整。</w:t>
      </w:r>
    </w:p>
    <w:p>
      <w:pPr>
        <w:pStyle w:val="14"/>
        <w:numPr>
          <w:ilvl w:val="0"/>
          <w:numId w:val="3"/>
        </w:numPr>
        <w:ind w:firstLineChars="0"/>
        <w:rPr>
          <w:rFonts w:cs="宋体"/>
          <w:color w:val="000000"/>
          <w:kern w:val="0"/>
          <w:sz w:val="24"/>
        </w:rPr>
      </w:pPr>
      <w:r>
        <w:rPr>
          <w:rFonts w:hint="eastAsia" w:cs="宋体"/>
          <w:color w:val="000000"/>
          <w:kern w:val="0"/>
          <w:sz w:val="24"/>
        </w:rPr>
        <w:t>实际施工时间以甲方通知为准，甲方需提前5日通知乙方。</w:t>
      </w:r>
    </w:p>
    <w:p>
      <w:pPr>
        <w:pStyle w:val="14"/>
        <w:numPr>
          <w:ilvl w:val="0"/>
          <w:numId w:val="3"/>
        </w:numPr>
        <w:ind w:firstLineChars="0"/>
        <w:rPr>
          <w:rFonts w:cs="宋体"/>
          <w:color w:val="000000"/>
          <w:kern w:val="0"/>
          <w:sz w:val="24"/>
        </w:rPr>
      </w:pPr>
      <w:r>
        <w:rPr>
          <w:rFonts w:hint="eastAsia" w:cs="宋体"/>
          <w:color w:val="000000"/>
          <w:kern w:val="0"/>
          <w:sz w:val="24"/>
        </w:rPr>
        <w:t>乙方在收到甲方的开工通知后，需安排足够的人力、物力及检测设备仪器，按甲方要求按期完成各项服务工作。</w:t>
      </w:r>
    </w:p>
    <w:p>
      <w:pPr>
        <w:pStyle w:val="14"/>
        <w:numPr>
          <w:ilvl w:val="0"/>
          <w:numId w:val="3"/>
        </w:numPr>
        <w:ind w:firstLineChars="0"/>
        <w:rPr>
          <w:rFonts w:cs="宋体"/>
          <w:color w:val="000000"/>
          <w:kern w:val="0"/>
          <w:sz w:val="24"/>
        </w:rPr>
      </w:pPr>
      <w:r>
        <w:rPr>
          <w:rFonts w:hint="eastAsia" w:cs="宋体"/>
          <w:color w:val="000000"/>
          <w:kern w:val="0"/>
          <w:sz w:val="24"/>
        </w:rPr>
        <w:t>乙方在布点采样后20个工作日内，需提交检测项目的正式报告。</w:t>
      </w:r>
    </w:p>
    <w:p>
      <w:pPr>
        <w:pStyle w:val="2"/>
        <w:numPr>
          <w:ilvl w:val="0"/>
          <w:numId w:val="1"/>
        </w:numPr>
        <w:ind w:firstLine="0"/>
        <w:rPr>
          <w:rFonts w:hAnsi="宋体" w:cs="宋体"/>
          <w:color w:val="000000"/>
          <w:kern w:val="0"/>
          <w:sz w:val="28"/>
          <w:szCs w:val="28"/>
        </w:rPr>
      </w:pPr>
      <w:r>
        <w:rPr>
          <w:rFonts w:hint="eastAsia" w:hAnsi="宋体" w:cs="宋体"/>
          <w:color w:val="000000"/>
          <w:kern w:val="0"/>
          <w:sz w:val="28"/>
          <w:szCs w:val="28"/>
        </w:rPr>
        <w:t>技术服务和其它事项</w:t>
      </w:r>
    </w:p>
    <w:p>
      <w:pPr>
        <w:pStyle w:val="14"/>
        <w:numPr>
          <w:ilvl w:val="0"/>
          <w:numId w:val="4"/>
        </w:numPr>
        <w:ind w:firstLineChars="0"/>
        <w:rPr>
          <w:rFonts w:cs="宋体"/>
          <w:color w:val="000000"/>
          <w:kern w:val="0"/>
          <w:sz w:val="24"/>
        </w:rPr>
      </w:pPr>
      <w:r>
        <w:rPr>
          <w:rFonts w:hint="eastAsia" w:cs="宋体"/>
          <w:color w:val="000000"/>
          <w:kern w:val="0"/>
          <w:sz w:val="24"/>
        </w:rPr>
        <w:t>乙方须遵守安全生产有关管理规定，在浙江浙能嘉兴发电有限公司内严格执行安全管理标准制度，并且随时接受甲方安全检查人员的监督检查。</w:t>
      </w:r>
    </w:p>
    <w:p>
      <w:pPr>
        <w:pStyle w:val="14"/>
        <w:numPr>
          <w:ilvl w:val="0"/>
          <w:numId w:val="4"/>
        </w:numPr>
        <w:ind w:firstLineChars="0"/>
        <w:rPr>
          <w:rFonts w:cs="宋体"/>
          <w:color w:val="000000"/>
          <w:kern w:val="0"/>
          <w:sz w:val="24"/>
        </w:rPr>
      </w:pPr>
      <w:r>
        <w:rPr>
          <w:rFonts w:hint="eastAsia" w:cs="宋体"/>
          <w:color w:val="000000"/>
          <w:kern w:val="0"/>
          <w:sz w:val="24"/>
        </w:rPr>
        <w:t>乙方应保证所提供的设备和服务满足电厂安全、可靠运行的要求，并对供货、试验、安装、现场服务等过程全面负责。</w:t>
      </w:r>
    </w:p>
    <w:p>
      <w:pPr>
        <w:pStyle w:val="14"/>
        <w:numPr>
          <w:ilvl w:val="0"/>
          <w:numId w:val="4"/>
        </w:numPr>
        <w:ind w:firstLineChars="0"/>
        <w:rPr>
          <w:rFonts w:cs="宋体"/>
          <w:color w:val="000000"/>
          <w:kern w:val="0"/>
          <w:sz w:val="24"/>
        </w:rPr>
      </w:pPr>
      <w:r>
        <w:rPr>
          <w:rFonts w:hint="eastAsia" w:cs="宋体"/>
          <w:color w:val="000000"/>
          <w:kern w:val="0"/>
          <w:sz w:val="24"/>
        </w:rPr>
        <w:t>监测服务期间，甲方有权利委托省级或省级以上环境管理部门单位对本项目的监测工作进行质量监督调查，乙方有义务接受甲方委托的质量监督调查监测工作。若监督调查结果不符合质量控制要求的甲方有权解除合约，且有追偿因此造成的直接或间接经济损失的权利。</w:t>
      </w:r>
    </w:p>
    <w:p>
      <w:pPr>
        <w:pStyle w:val="2"/>
        <w:numPr>
          <w:ilvl w:val="0"/>
          <w:numId w:val="1"/>
        </w:numPr>
        <w:ind w:firstLine="0"/>
        <w:rPr>
          <w:rFonts w:hAnsi="宋体" w:cs="宋体"/>
          <w:color w:val="000000"/>
          <w:kern w:val="0"/>
          <w:sz w:val="28"/>
          <w:szCs w:val="28"/>
        </w:rPr>
      </w:pPr>
      <w:r>
        <w:rPr>
          <w:rFonts w:hint="eastAsia" w:hAnsi="宋体" w:cs="宋体"/>
          <w:color w:val="000000"/>
          <w:kern w:val="0"/>
          <w:sz w:val="28"/>
          <w:szCs w:val="28"/>
        </w:rPr>
        <w:t>考核条款</w:t>
      </w:r>
    </w:p>
    <w:p>
      <w:pPr>
        <w:pStyle w:val="14"/>
        <w:numPr>
          <w:ilvl w:val="0"/>
          <w:numId w:val="5"/>
        </w:numPr>
        <w:ind w:firstLineChars="0"/>
        <w:rPr>
          <w:rFonts w:cs="宋体"/>
          <w:color w:val="000000"/>
          <w:kern w:val="0"/>
          <w:sz w:val="24"/>
        </w:rPr>
      </w:pPr>
      <w:r>
        <w:rPr>
          <w:rFonts w:hint="eastAsia" w:cs="宋体"/>
          <w:color w:val="000000"/>
          <w:kern w:val="0"/>
          <w:sz w:val="24"/>
        </w:rPr>
        <w:t>乙方应在约定时间内完成服务，由于乙方原因逾期完成的，每推迟一天扣除合同总金额的0.1%。</w:t>
      </w:r>
    </w:p>
    <w:p>
      <w:pPr>
        <w:pStyle w:val="14"/>
        <w:numPr>
          <w:ilvl w:val="0"/>
          <w:numId w:val="5"/>
        </w:numPr>
        <w:ind w:firstLineChars="0"/>
        <w:rPr>
          <w:rFonts w:cs="宋体"/>
          <w:color w:val="000000"/>
          <w:kern w:val="0"/>
          <w:sz w:val="24"/>
        </w:rPr>
      </w:pPr>
      <w:r>
        <w:rPr>
          <w:rFonts w:hint="eastAsia" w:cs="宋体"/>
          <w:color w:val="000000"/>
          <w:kern w:val="0"/>
          <w:sz w:val="24"/>
        </w:rPr>
        <w:t>本工程设置项目安全绩效金，安全绩效金根据“安全绩效金设置比例表”中具体条款支付，绩效金金额比例设置为本项目合同价的5%，施工完成后满足条件则足额支付，未满足则扣除相应安全绩效金。安全绩效金扣罚标准与浙江浙能嘉兴发电有限公司其他安全奖惩条款不一致的，从重不重复考核。</w:t>
      </w:r>
    </w:p>
    <w:p>
      <w:pPr>
        <w:pStyle w:val="2"/>
        <w:rPr>
          <w:rFonts w:hAnsi="宋体" w:cs="宋体"/>
          <w:b w:val="0"/>
          <w:color w:val="000000"/>
          <w:kern w:val="0"/>
          <w:sz w:val="24"/>
        </w:rPr>
      </w:pPr>
    </w:p>
    <w:p>
      <w:pPr>
        <w:pStyle w:val="2"/>
        <w:ind w:firstLine="0"/>
        <w:rPr>
          <w:rFonts w:ascii="宋体" w:hAnsi="宋体" w:cs="宋体"/>
          <w:color w:val="000000"/>
          <w:kern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985105"/>
    <w:multiLevelType w:val="multilevel"/>
    <w:tmpl w:val="0198510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E760229"/>
    <w:multiLevelType w:val="multilevel"/>
    <w:tmpl w:val="0E76022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B65AF5"/>
    <w:multiLevelType w:val="multilevel"/>
    <w:tmpl w:val="0FB65AF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755BF15C"/>
    <w:multiLevelType w:val="singleLevel"/>
    <w:tmpl w:val="755BF15C"/>
    <w:lvl w:ilvl="0" w:tentative="0">
      <w:start w:val="3"/>
      <w:numFmt w:val="decimal"/>
      <w:suff w:val="nothing"/>
      <w:lvlText w:val="%1、"/>
      <w:lvlJc w:val="left"/>
    </w:lvl>
  </w:abstractNum>
  <w:abstractNum w:abstractNumId="4">
    <w:nsid w:val="7A8B0358"/>
    <w:multiLevelType w:val="multilevel"/>
    <w:tmpl w:val="7A8B035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ABD"/>
    <w:rsid w:val="00006A8C"/>
    <w:rsid w:val="000643BB"/>
    <w:rsid w:val="00080FCE"/>
    <w:rsid w:val="001006A4"/>
    <w:rsid w:val="00125038"/>
    <w:rsid w:val="00143ABA"/>
    <w:rsid w:val="00172A27"/>
    <w:rsid w:val="001D21A6"/>
    <w:rsid w:val="00214FBF"/>
    <w:rsid w:val="00231807"/>
    <w:rsid w:val="00276479"/>
    <w:rsid w:val="00285149"/>
    <w:rsid w:val="00287386"/>
    <w:rsid w:val="0029541C"/>
    <w:rsid w:val="002E3B05"/>
    <w:rsid w:val="00300C1D"/>
    <w:rsid w:val="00350AFC"/>
    <w:rsid w:val="00354DC7"/>
    <w:rsid w:val="00367ABF"/>
    <w:rsid w:val="003B1169"/>
    <w:rsid w:val="003D4358"/>
    <w:rsid w:val="003E022C"/>
    <w:rsid w:val="003E7426"/>
    <w:rsid w:val="004009EB"/>
    <w:rsid w:val="004646CC"/>
    <w:rsid w:val="004D200C"/>
    <w:rsid w:val="00540EC4"/>
    <w:rsid w:val="005B26F1"/>
    <w:rsid w:val="005E2BB8"/>
    <w:rsid w:val="005F645F"/>
    <w:rsid w:val="005F6BCF"/>
    <w:rsid w:val="006A2105"/>
    <w:rsid w:val="006E756F"/>
    <w:rsid w:val="00705FB4"/>
    <w:rsid w:val="007169C6"/>
    <w:rsid w:val="00721040"/>
    <w:rsid w:val="00737090"/>
    <w:rsid w:val="007534AC"/>
    <w:rsid w:val="00756067"/>
    <w:rsid w:val="00776B68"/>
    <w:rsid w:val="007D6B49"/>
    <w:rsid w:val="007E3FC6"/>
    <w:rsid w:val="007E4BE2"/>
    <w:rsid w:val="00876BF6"/>
    <w:rsid w:val="00887CF7"/>
    <w:rsid w:val="008919D0"/>
    <w:rsid w:val="008D4B8C"/>
    <w:rsid w:val="009829CA"/>
    <w:rsid w:val="0099799A"/>
    <w:rsid w:val="00A541DA"/>
    <w:rsid w:val="00A806BC"/>
    <w:rsid w:val="00A828C4"/>
    <w:rsid w:val="00AD340F"/>
    <w:rsid w:val="00AE3659"/>
    <w:rsid w:val="00B8055E"/>
    <w:rsid w:val="00BB7174"/>
    <w:rsid w:val="00BC1731"/>
    <w:rsid w:val="00BF2053"/>
    <w:rsid w:val="00C01453"/>
    <w:rsid w:val="00C25C75"/>
    <w:rsid w:val="00C4416B"/>
    <w:rsid w:val="00C61BEB"/>
    <w:rsid w:val="00C62B3A"/>
    <w:rsid w:val="00C702D6"/>
    <w:rsid w:val="00C71332"/>
    <w:rsid w:val="00CD3D1D"/>
    <w:rsid w:val="00D16674"/>
    <w:rsid w:val="00D41985"/>
    <w:rsid w:val="00D46290"/>
    <w:rsid w:val="00D643A6"/>
    <w:rsid w:val="00DB4F47"/>
    <w:rsid w:val="00DF7887"/>
    <w:rsid w:val="00E26FA3"/>
    <w:rsid w:val="00E4652F"/>
    <w:rsid w:val="00E52750"/>
    <w:rsid w:val="00E8477B"/>
    <w:rsid w:val="00EB21DD"/>
    <w:rsid w:val="00F66741"/>
    <w:rsid w:val="00F958C9"/>
    <w:rsid w:val="00F96CC2"/>
    <w:rsid w:val="00FB0C6F"/>
    <w:rsid w:val="00FC5033"/>
    <w:rsid w:val="00FD11E8"/>
    <w:rsid w:val="00FF55F2"/>
    <w:rsid w:val="01211844"/>
    <w:rsid w:val="016C10DD"/>
    <w:rsid w:val="01A058B4"/>
    <w:rsid w:val="01DF1C14"/>
    <w:rsid w:val="0200073A"/>
    <w:rsid w:val="027B1030"/>
    <w:rsid w:val="02BC49FA"/>
    <w:rsid w:val="03657DAF"/>
    <w:rsid w:val="03A326D8"/>
    <w:rsid w:val="03D66146"/>
    <w:rsid w:val="0424331C"/>
    <w:rsid w:val="04D459DE"/>
    <w:rsid w:val="050F4734"/>
    <w:rsid w:val="0530338C"/>
    <w:rsid w:val="05A02D95"/>
    <w:rsid w:val="05EC4021"/>
    <w:rsid w:val="05F225EF"/>
    <w:rsid w:val="05F91594"/>
    <w:rsid w:val="068E25CB"/>
    <w:rsid w:val="06AD7CDB"/>
    <w:rsid w:val="07186635"/>
    <w:rsid w:val="077542C2"/>
    <w:rsid w:val="07962A70"/>
    <w:rsid w:val="08083B9F"/>
    <w:rsid w:val="0871135E"/>
    <w:rsid w:val="08EC64B4"/>
    <w:rsid w:val="0B584945"/>
    <w:rsid w:val="0C0018BA"/>
    <w:rsid w:val="0C0A4EBE"/>
    <w:rsid w:val="0C584316"/>
    <w:rsid w:val="0D144586"/>
    <w:rsid w:val="0DFE5679"/>
    <w:rsid w:val="0E1E56B3"/>
    <w:rsid w:val="0EA05F3A"/>
    <w:rsid w:val="0ECA43C0"/>
    <w:rsid w:val="0EFA4705"/>
    <w:rsid w:val="0F35552E"/>
    <w:rsid w:val="0F4056EA"/>
    <w:rsid w:val="0F4A0E88"/>
    <w:rsid w:val="0F4E0F07"/>
    <w:rsid w:val="1029563E"/>
    <w:rsid w:val="10F4413C"/>
    <w:rsid w:val="11A72C7C"/>
    <w:rsid w:val="11E71691"/>
    <w:rsid w:val="12D7301C"/>
    <w:rsid w:val="13A02520"/>
    <w:rsid w:val="149D613F"/>
    <w:rsid w:val="14EB4680"/>
    <w:rsid w:val="155F723C"/>
    <w:rsid w:val="162068C2"/>
    <w:rsid w:val="18101184"/>
    <w:rsid w:val="188F195E"/>
    <w:rsid w:val="18EE05F4"/>
    <w:rsid w:val="1928621A"/>
    <w:rsid w:val="19C22B32"/>
    <w:rsid w:val="1A000C78"/>
    <w:rsid w:val="1A3C5E7F"/>
    <w:rsid w:val="1AA95B8B"/>
    <w:rsid w:val="1ABC5852"/>
    <w:rsid w:val="1B135E06"/>
    <w:rsid w:val="1BEE1CEB"/>
    <w:rsid w:val="1C504DD8"/>
    <w:rsid w:val="1CAF0D9D"/>
    <w:rsid w:val="1DB47D9E"/>
    <w:rsid w:val="1DFF3C27"/>
    <w:rsid w:val="1E5D6216"/>
    <w:rsid w:val="1EE731EF"/>
    <w:rsid w:val="1F481E6C"/>
    <w:rsid w:val="1F7D1399"/>
    <w:rsid w:val="1F7D5413"/>
    <w:rsid w:val="20423763"/>
    <w:rsid w:val="20471BD0"/>
    <w:rsid w:val="20AE4D2B"/>
    <w:rsid w:val="214309DA"/>
    <w:rsid w:val="223E615C"/>
    <w:rsid w:val="22C571C3"/>
    <w:rsid w:val="22E53440"/>
    <w:rsid w:val="22EA2003"/>
    <w:rsid w:val="22F109D2"/>
    <w:rsid w:val="231C4351"/>
    <w:rsid w:val="23EB7953"/>
    <w:rsid w:val="241923B4"/>
    <w:rsid w:val="24A362E8"/>
    <w:rsid w:val="24AE4A07"/>
    <w:rsid w:val="252D1DEB"/>
    <w:rsid w:val="25734759"/>
    <w:rsid w:val="26224751"/>
    <w:rsid w:val="264632EC"/>
    <w:rsid w:val="26770036"/>
    <w:rsid w:val="267A3EBF"/>
    <w:rsid w:val="26AF7DBF"/>
    <w:rsid w:val="26B1787A"/>
    <w:rsid w:val="26BE451C"/>
    <w:rsid w:val="272C291B"/>
    <w:rsid w:val="272F7FB4"/>
    <w:rsid w:val="27A51F4D"/>
    <w:rsid w:val="27B80E66"/>
    <w:rsid w:val="28167B44"/>
    <w:rsid w:val="28404824"/>
    <w:rsid w:val="28561801"/>
    <w:rsid w:val="288613F6"/>
    <w:rsid w:val="288F3BFA"/>
    <w:rsid w:val="28B11294"/>
    <w:rsid w:val="28D91FA3"/>
    <w:rsid w:val="294209EF"/>
    <w:rsid w:val="2950646C"/>
    <w:rsid w:val="2A796385"/>
    <w:rsid w:val="2ADA1F25"/>
    <w:rsid w:val="2AFE111E"/>
    <w:rsid w:val="2B3B76F2"/>
    <w:rsid w:val="2BF75B82"/>
    <w:rsid w:val="2C98403E"/>
    <w:rsid w:val="2C9A6584"/>
    <w:rsid w:val="2CCF62F9"/>
    <w:rsid w:val="2CEE7C27"/>
    <w:rsid w:val="2D3612C0"/>
    <w:rsid w:val="2D794A53"/>
    <w:rsid w:val="2D8B1E02"/>
    <w:rsid w:val="2D9D2331"/>
    <w:rsid w:val="2DA223BF"/>
    <w:rsid w:val="2DE828A3"/>
    <w:rsid w:val="2E386193"/>
    <w:rsid w:val="2E4918E2"/>
    <w:rsid w:val="2E5E573E"/>
    <w:rsid w:val="2E8320A8"/>
    <w:rsid w:val="2E8D3576"/>
    <w:rsid w:val="2EE05198"/>
    <w:rsid w:val="2F6064DD"/>
    <w:rsid w:val="2FE243E5"/>
    <w:rsid w:val="305D3335"/>
    <w:rsid w:val="3093095B"/>
    <w:rsid w:val="30B6010A"/>
    <w:rsid w:val="30F16D01"/>
    <w:rsid w:val="311315C5"/>
    <w:rsid w:val="313026BA"/>
    <w:rsid w:val="31503250"/>
    <w:rsid w:val="318E083D"/>
    <w:rsid w:val="31E56A0D"/>
    <w:rsid w:val="322E3F5F"/>
    <w:rsid w:val="335D10E6"/>
    <w:rsid w:val="33FE306A"/>
    <w:rsid w:val="34311443"/>
    <w:rsid w:val="34354868"/>
    <w:rsid w:val="34CD09D6"/>
    <w:rsid w:val="34E65038"/>
    <w:rsid w:val="353949FE"/>
    <w:rsid w:val="35931BDF"/>
    <w:rsid w:val="35BF05C6"/>
    <w:rsid w:val="35D72A81"/>
    <w:rsid w:val="35F00AD8"/>
    <w:rsid w:val="36DF2A9D"/>
    <w:rsid w:val="378B129F"/>
    <w:rsid w:val="3828449A"/>
    <w:rsid w:val="391E740A"/>
    <w:rsid w:val="3960568C"/>
    <w:rsid w:val="399660E8"/>
    <w:rsid w:val="3AA631F6"/>
    <w:rsid w:val="3AD940ED"/>
    <w:rsid w:val="3AEB6CFA"/>
    <w:rsid w:val="3B5720D9"/>
    <w:rsid w:val="3B6D4438"/>
    <w:rsid w:val="3C537F74"/>
    <w:rsid w:val="3C620DF5"/>
    <w:rsid w:val="3C8E73B4"/>
    <w:rsid w:val="3D712960"/>
    <w:rsid w:val="3D9927F1"/>
    <w:rsid w:val="3DBC6825"/>
    <w:rsid w:val="3DDD0E6C"/>
    <w:rsid w:val="3E6C41B3"/>
    <w:rsid w:val="3E937F82"/>
    <w:rsid w:val="3EB54260"/>
    <w:rsid w:val="3EFB336A"/>
    <w:rsid w:val="3FCA47C2"/>
    <w:rsid w:val="40605769"/>
    <w:rsid w:val="40AB1278"/>
    <w:rsid w:val="40E67746"/>
    <w:rsid w:val="42FE527F"/>
    <w:rsid w:val="43374AF1"/>
    <w:rsid w:val="43B45C96"/>
    <w:rsid w:val="442365C2"/>
    <w:rsid w:val="44662340"/>
    <w:rsid w:val="449B4262"/>
    <w:rsid w:val="45193807"/>
    <w:rsid w:val="457A15AD"/>
    <w:rsid w:val="458D0AA6"/>
    <w:rsid w:val="4599532D"/>
    <w:rsid w:val="45A37957"/>
    <w:rsid w:val="45B17818"/>
    <w:rsid w:val="462C1A35"/>
    <w:rsid w:val="466A7906"/>
    <w:rsid w:val="46C6179C"/>
    <w:rsid w:val="46DC1962"/>
    <w:rsid w:val="46F65AC2"/>
    <w:rsid w:val="478A0553"/>
    <w:rsid w:val="47A906E9"/>
    <w:rsid w:val="47B97256"/>
    <w:rsid w:val="4815240D"/>
    <w:rsid w:val="481A3B5D"/>
    <w:rsid w:val="48354163"/>
    <w:rsid w:val="483C6EF1"/>
    <w:rsid w:val="483F76C6"/>
    <w:rsid w:val="485B7173"/>
    <w:rsid w:val="490F1469"/>
    <w:rsid w:val="49272D0D"/>
    <w:rsid w:val="4A014616"/>
    <w:rsid w:val="4A9950BB"/>
    <w:rsid w:val="4AAF464F"/>
    <w:rsid w:val="4AFC32AE"/>
    <w:rsid w:val="4B470264"/>
    <w:rsid w:val="4C190947"/>
    <w:rsid w:val="4C52089D"/>
    <w:rsid w:val="4C8E4DC4"/>
    <w:rsid w:val="4CB86023"/>
    <w:rsid w:val="4CC44B33"/>
    <w:rsid w:val="4CE17F8D"/>
    <w:rsid w:val="4DB017B2"/>
    <w:rsid w:val="4E2C79C9"/>
    <w:rsid w:val="4E847905"/>
    <w:rsid w:val="4E9C75AC"/>
    <w:rsid w:val="4EB03D5A"/>
    <w:rsid w:val="4ED173A5"/>
    <w:rsid w:val="4F657DAA"/>
    <w:rsid w:val="4F6E169C"/>
    <w:rsid w:val="4F7C1662"/>
    <w:rsid w:val="4F947FB0"/>
    <w:rsid w:val="4FAC3452"/>
    <w:rsid w:val="4FAE07F2"/>
    <w:rsid w:val="506E3F0F"/>
    <w:rsid w:val="50A5470D"/>
    <w:rsid w:val="50AE6F92"/>
    <w:rsid w:val="50BB7F7E"/>
    <w:rsid w:val="50BC1D4E"/>
    <w:rsid w:val="514D5FC7"/>
    <w:rsid w:val="5171359E"/>
    <w:rsid w:val="51EB43B2"/>
    <w:rsid w:val="521E5CD2"/>
    <w:rsid w:val="52767F26"/>
    <w:rsid w:val="5313241D"/>
    <w:rsid w:val="5341501A"/>
    <w:rsid w:val="537724BC"/>
    <w:rsid w:val="53D25FF8"/>
    <w:rsid w:val="53EE209C"/>
    <w:rsid w:val="54037617"/>
    <w:rsid w:val="544245DA"/>
    <w:rsid w:val="5490104B"/>
    <w:rsid w:val="54B72BA1"/>
    <w:rsid w:val="54C460D6"/>
    <w:rsid w:val="54C51D72"/>
    <w:rsid w:val="550F5787"/>
    <w:rsid w:val="55623D82"/>
    <w:rsid w:val="55EE5B61"/>
    <w:rsid w:val="55F77EF6"/>
    <w:rsid w:val="56205ADF"/>
    <w:rsid w:val="5638648B"/>
    <w:rsid w:val="565F2279"/>
    <w:rsid w:val="57156BBA"/>
    <w:rsid w:val="57292ECC"/>
    <w:rsid w:val="5780049A"/>
    <w:rsid w:val="580202A2"/>
    <w:rsid w:val="581273F4"/>
    <w:rsid w:val="5898306C"/>
    <w:rsid w:val="58B76B4B"/>
    <w:rsid w:val="597C2E6A"/>
    <w:rsid w:val="59821FBA"/>
    <w:rsid w:val="59D13468"/>
    <w:rsid w:val="5A425EE2"/>
    <w:rsid w:val="5B515432"/>
    <w:rsid w:val="5B56353F"/>
    <w:rsid w:val="5BCC18A4"/>
    <w:rsid w:val="5C2900A0"/>
    <w:rsid w:val="5C465FBD"/>
    <w:rsid w:val="5C795044"/>
    <w:rsid w:val="5DBA1552"/>
    <w:rsid w:val="5DE6314A"/>
    <w:rsid w:val="5E224B69"/>
    <w:rsid w:val="5E395506"/>
    <w:rsid w:val="5E3A4AA7"/>
    <w:rsid w:val="5E6370E9"/>
    <w:rsid w:val="5E6F3217"/>
    <w:rsid w:val="5EA32234"/>
    <w:rsid w:val="5F117BB4"/>
    <w:rsid w:val="5F1E6190"/>
    <w:rsid w:val="60546290"/>
    <w:rsid w:val="60886A3C"/>
    <w:rsid w:val="609865D9"/>
    <w:rsid w:val="60B743D9"/>
    <w:rsid w:val="60CA6957"/>
    <w:rsid w:val="61994C3E"/>
    <w:rsid w:val="621868E7"/>
    <w:rsid w:val="62976E62"/>
    <w:rsid w:val="63B6234C"/>
    <w:rsid w:val="643D4632"/>
    <w:rsid w:val="644F069A"/>
    <w:rsid w:val="64D53E8B"/>
    <w:rsid w:val="65286788"/>
    <w:rsid w:val="656277F4"/>
    <w:rsid w:val="66942889"/>
    <w:rsid w:val="671575DB"/>
    <w:rsid w:val="672335A4"/>
    <w:rsid w:val="674871E5"/>
    <w:rsid w:val="675A1027"/>
    <w:rsid w:val="679B74A8"/>
    <w:rsid w:val="67BA14E0"/>
    <w:rsid w:val="67CF3390"/>
    <w:rsid w:val="67CF7355"/>
    <w:rsid w:val="68114EF5"/>
    <w:rsid w:val="682E226A"/>
    <w:rsid w:val="68FB0947"/>
    <w:rsid w:val="69142F1D"/>
    <w:rsid w:val="698E12DA"/>
    <w:rsid w:val="69E34274"/>
    <w:rsid w:val="6C2660EC"/>
    <w:rsid w:val="6E4F2331"/>
    <w:rsid w:val="6ED805E0"/>
    <w:rsid w:val="6EDF3FDB"/>
    <w:rsid w:val="6F0D20AD"/>
    <w:rsid w:val="6F57617B"/>
    <w:rsid w:val="6FF20A22"/>
    <w:rsid w:val="6FF8098F"/>
    <w:rsid w:val="701A75D7"/>
    <w:rsid w:val="704A77E5"/>
    <w:rsid w:val="70665F4D"/>
    <w:rsid w:val="70F34B7D"/>
    <w:rsid w:val="713C3BAD"/>
    <w:rsid w:val="715E7770"/>
    <w:rsid w:val="71B970BE"/>
    <w:rsid w:val="71DB0A5D"/>
    <w:rsid w:val="72A74823"/>
    <w:rsid w:val="736B000D"/>
    <w:rsid w:val="737249CB"/>
    <w:rsid w:val="73E755BD"/>
    <w:rsid w:val="74756BE6"/>
    <w:rsid w:val="7510101A"/>
    <w:rsid w:val="754C5810"/>
    <w:rsid w:val="75AF089E"/>
    <w:rsid w:val="761E0C15"/>
    <w:rsid w:val="762703D0"/>
    <w:rsid w:val="769E3FBE"/>
    <w:rsid w:val="76BC2603"/>
    <w:rsid w:val="76C36EF5"/>
    <w:rsid w:val="771B3E4B"/>
    <w:rsid w:val="77584B79"/>
    <w:rsid w:val="776A5D4A"/>
    <w:rsid w:val="77735B74"/>
    <w:rsid w:val="777C7DD6"/>
    <w:rsid w:val="77EE744C"/>
    <w:rsid w:val="788522D0"/>
    <w:rsid w:val="78F76F28"/>
    <w:rsid w:val="792A5650"/>
    <w:rsid w:val="792B07CE"/>
    <w:rsid w:val="7933570D"/>
    <w:rsid w:val="795E21C9"/>
    <w:rsid w:val="79642718"/>
    <w:rsid w:val="797D2A0C"/>
    <w:rsid w:val="7997226A"/>
    <w:rsid w:val="79A51DFC"/>
    <w:rsid w:val="79C712F3"/>
    <w:rsid w:val="79C84BE9"/>
    <w:rsid w:val="79E32B63"/>
    <w:rsid w:val="7B3F1013"/>
    <w:rsid w:val="7BF33892"/>
    <w:rsid w:val="7C074967"/>
    <w:rsid w:val="7C422D15"/>
    <w:rsid w:val="7CBE5E65"/>
    <w:rsid w:val="7CDD2026"/>
    <w:rsid w:val="7D1505E1"/>
    <w:rsid w:val="7DBC40DB"/>
    <w:rsid w:val="7E0E05D5"/>
    <w:rsid w:val="7EEE6CA8"/>
    <w:rsid w:val="7EF1717F"/>
    <w:rsid w:val="7EFD386E"/>
    <w:rsid w:val="7F3D32F5"/>
    <w:rsid w:val="7F6E3638"/>
    <w:rsid w:val="7FA55700"/>
    <w:rsid w:val="7FEF2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13"/>
    <w:qFormat/>
    <w:uiPriority w:val="0"/>
    <w:pPr>
      <w:tabs>
        <w:tab w:val="left" w:pos="-105"/>
      </w:tabs>
      <w:autoSpaceDE w:val="0"/>
      <w:autoSpaceDN w:val="0"/>
      <w:ind w:right="-147" w:rightChars="-70" w:firstLine="210"/>
      <w:outlineLvl w:val="2"/>
    </w:pPr>
  </w:style>
  <w:style w:type="paragraph" w:styleId="3">
    <w:name w:val="Body Text Indent"/>
    <w:basedOn w:val="1"/>
    <w:qFormat/>
    <w:uiPriority w:val="0"/>
    <w:pPr>
      <w:ind w:firstLine="444"/>
    </w:pPr>
    <w:rPr>
      <w:b/>
    </w:rPr>
  </w:style>
  <w:style w:type="paragraph" w:styleId="4">
    <w:name w:val="annotation text"/>
    <w:basedOn w:val="1"/>
    <w:uiPriority w:val="0"/>
    <w:pPr>
      <w:jc w:val="left"/>
    </w:pPr>
  </w:style>
  <w:style w:type="paragraph" w:styleId="5">
    <w:name w:val="Balloon Text"/>
    <w:basedOn w:val="1"/>
    <w:link w:val="15"/>
    <w:qFormat/>
    <w:uiPriority w:val="0"/>
    <w:rPr>
      <w:sz w:val="18"/>
      <w:szCs w:val="18"/>
    </w:rPr>
  </w:style>
  <w:style w:type="paragraph" w:styleId="6">
    <w:name w:val="footer"/>
    <w:basedOn w:val="1"/>
    <w:link w:val="12"/>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customStyle="1" w:styleId="10">
    <w:name w:val="Table Paragraph"/>
    <w:basedOn w:val="1"/>
    <w:qFormat/>
    <w:uiPriority w:val="1"/>
    <w:rPr>
      <w:rFonts w:ascii="宋体" w:hAnsi="宋体" w:cs="宋体"/>
      <w:lang w:val="zh-CN" w:bidi="zh-CN"/>
    </w:rPr>
  </w:style>
  <w:style w:type="character" w:customStyle="1" w:styleId="11">
    <w:name w:val="页眉 Char"/>
    <w:basedOn w:val="9"/>
    <w:link w:val="7"/>
    <w:uiPriority w:val="0"/>
    <w:rPr>
      <w:rFonts w:ascii="Times New Roman" w:hAnsi="Times New Roman" w:eastAsia="宋体" w:cs="Times New Roman"/>
      <w:kern w:val="2"/>
      <w:sz w:val="18"/>
      <w:szCs w:val="18"/>
    </w:rPr>
  </w:style>
  <w:style w:type="character" w:customStyle="1" w:styleId="12">
    <w:name w:val="页脚 Char"/>
    <w:basedOn w:val="9"/>
    <w:link w:val="6"/>
    <w:qFormat/>
    <w:uiPriority w:val="0"/>
    <w:rPr>
      <w:rFonts w:ascii="Times New Roman" w:hAnsi="Times New Roman" w:eastAsia="宋体" w:cs="Times New Roman"/>
      <w:kern w:val="2"/>
      <w:sz w:val="18"/>
      <w:szCs w:val="18"/>
    </w:rPr>
  </w:style>
  <w:style w:type="character" w:customStyle="1" w:styleId="13">
    <w:name w:val="正文首行缩进 2 Char"/>
    <w:basedOn w:val="9"/>
    <w:link w:val="2"/>
    <w:uiPriority w:val="99"/>
    <w:rPr>
      <w:rFonts w:ascii="Times New Roman" w:hAnsi="Times New Roman" w:eastAsia="宋体" w:cs="Times New Roman"/>
      <w:b/>
      <w:kern w:val="2"/>
      <w:sz w:val="21"/>
      <w:szCs w:val="24"/>
    </w:rPr>
  </w:style>
  <w:style w:type="paragraph" w:styleId="14">
    <w:name w:val="List Paragraph"/>
    <w:basedOn w:val="1"/>
    <w:unhideWhenUsed/>
    <w:uiPriority w:val="99"/>
    <w:pPr>
      <w:ind w:firstLine="420" w:firstLineChars="200"/>
    </w:pPr>
  </w:style>
  <w:style w:type="character" w:customStyle="1" w:styleId="15">
    <w:name w:val="批注框文本 Char"/>
    <w:basedOn w:val="9"/>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4</Pages>
  <Words>366</Words>
  <Characters>2087</Characters>
  <Lines>17</Lines>
  <Paragraphs>4</Paragraphs>
  <TotalTime>258</TotalTime>
  <ScaleCrop>false</ScaleCrop>
  <LinksUpToDate>false</LinksUpToDate>
  <CharactersWithSpaces>2449</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guoyifan</dc:creator>
  <cp:lastModifiedBy>王岑萱</cp:lastModifiedBy>
  <cp:lastPrinted>2024-11-21T07:43:00Z</cp:lastPrinted>
  <dcterms:modified xsi:type="dcterms:W3CDTF">2025-09-28T04:30:25Z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KSOTemplateDocerSaveRecord">
    <vt:lpwstr>eyJoZGlkIjoiYTcyZDFhYzIyZGZmNGJiMWZiNzZjZDk4MmQwZGY2ZjAiLCJ1c2VySWQiOiI0MTc3NjMyMzQifQ==</vt:lpwstr>
  </property>
  <property fmtid="{D5CDD505-2E9C-101B-9397-08002B2CF9AE}" pid="4" name="ICV">
    <vt:lpwstr>236D00CD5F574AB7A95B5330B85D80A6_13</vt:lpwstr>
  </property>
</Properties>
</file>