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B12FF">
      <w:pPr>
        <w:spacing w:line="480" w:lineRule="auto"/>
        <w:jc w:val="center"/>
        <w:rPr>
          <w:rFonts w:ascii="宋体" w:hAnsi="宋体"/>
          <w:b/>
          <w:highlight w:val="none"/>
        </w:rPr>
      </w:pPr>
    </w:p>
    <w:p w14:paraId="53215196">
      <w:pPr>
        <w:spacing w:line="480" w:lineRule="auto"/>
        <w:rPr>
          <w:rFonts w:ascii="宋体" w:hAnsi="宋体"/>
          <w:b/>
          <w:sz w:val="48"/>
          <w:szCs w:val="48"/>
          <w:highlight w:val="none"/>
        </w:rPr>
      </w:pPr>
      <w:r>
        <w:rPr>
          <w:rFonts w:ascii="宋体" w:hAnsi="宋体"/>
          <w:b/>
          <w:sz w:val="48"/>
          <w:szCs w:val="48"/>
          <w:highlight w:val="none"/>
        </w:rPr>
        <w:pict>
          <v:group id="_x0000_s1026" o:spid="_x0000_s1026" o:spt="203" style="position:absolute;left:0pt;margin-left:-18.55pt;margin-top:8.7pt;height:78pt;width:168.6pt;z-index:251659264;mso-width-relative:page;mso-height-relative:page;" coordorigin="1620,1596" coordsize="1260,1404">
            <o:lock v:ext="edit"/>
            <v:rect id="_x0000_s1027" o:spid="_x0000_s1027" o:spt="1" style="position:absolute;left:1620;top:2064;height:468;width:1260;" coordsize="21600,21600">
              <v:path/>
              <v:fill focussize="0,0"/>
              <v:stroke/>
              <v:imagedata o:title=""/>
              <o:lock v:ext="edit"/>
              <v:textbox>
                <w:txbxContent>
                  <w:p w14:paraId="0F851B46"/>
                </w:txbxContent>
              </v:textbox>
            </v:rect>
            <v:rect id="_x0000_s1028" o:spid="_x0000_s1028" o:spt="1" style="position:absolute;left:1620;top:1596;height:468;width:1260;" coordsize="21600,21600">
              <v:path/>
              <v:fill focussize="0,0"/>
              <v:stroke/>
              <v:imagedata o:title=""/>
              <o:lock v:ext="edit"/>
              <v:textbox>
                <w:txbxContent>
                  <w:p w14:paraId="58FDD09C">
                    <w:pPr>
                      <w:jc w:val="center"/>
                      <w:rPr>
                        <w:rFonts w:ascii="Calibri" w:hAnsi="Calibri"/>
                        <w:b/>
                      </w:rPr>
                    </w:pPr>
                    <w:r>
                      <w:rPr>
                        <w:rFonts w:hint="eastAsia"/>
                        <w:b/>
                      </w:rPr>
                      <w:t>A</w:t>
                    </w:r>
                    <w:r>
                      <w:rPr>
                        <w:rFonts w:hint="eastAsia" w:ascii="Calibri" w:hAnsi="Calibri"/>
                        <w:b/>
                      </w:rPr>
                      <w:t>类</w:t>
                    </w:r>
                  </w:p>
                </w:txbxContent>
              </v:textbox>
            </v:rect>
            <v:rect id="_x0000_s1029" o:spid="_x0000_s1029" o:spt="1" style="position:absolute;left:1620;top:2532;height:468;width:1260;" coordsize="21600,21600">
              <v:path/>
              <v:fill focussize="0,0"/>
              <v:stroke/>
              <v:imagedata o:title=""/>
              <o:lock v:ext="edit"/>
              <v:textbox>
                <w:txbxContent>
                  <w:p w14:paraId="54DF5712">
                    <w:pPr>
                      <w:jc w:val="center"/>
                      <w:rPr>
                        <w:rFonts w:ascii="Calibri" w:hAnsi="Calibri"/>
                        <w:b/>
                      </w:rPr>
                    </w:pPr>
                    <w:r>
                      <w:rPr>
                        <w:rFonts w:hint="eastAsia" w:ascii="Calibri" w:hAnsi="Calibri"/>
                        <w:b/>
                      </w:rPr>
                      <w:t>2025年7月</w:t>
                    </w:r>
                  </w:p>
                </w:txbxContent>
              </v:textbox>
            </v:rect>
          </v:group>
        </w:pict>
      </w:r>
    </w:p>
    <w:p w14:paraId="44E529AC">
      <w:pPr>
        <w:spacing w:beforeLines="50" w:afterLines="50" w:line="480" w:lineRule="auto"/>
        <w:rPr>
          <w:rFonts w:ascii="宋体" w:hAnsi="宋体"/>
          <w:b/>
          <w:bCs/>
          <w:sz w:val="48"/>
          <w:szCs w:val="48"/>
          <w:highlight w:val="none"/>
        </w:rPr>
      </w:pPr>
    </w:p>
    <w:p w14:paraId="37F21A82">
      <w:pPr>
        <w:spacing w:line="360" w:lineRule="auto"/>
        <w:rPr>
          <w:rFonts w:ascii="黑体" w:hAnsi="宋体" w:eastAsia="黑体"/>
          <w:bCs/>
          <w:spacing w:val="6"/>
          <w:kern w:val="4"/>
          <w:sz w:val="44"/>
          <w:szCs w:val="44"/>
          <w:highlight w:val="none"/>
        </w:rPr>
      </w:pPr>
    </w:p>
    <w:p w14:paraId="2878A251">
      <w:pPr>
        <w:spacing w:line="360" w:lineRule="auto"/>
        <w:jc w:val="center"/>
        <w:rPr>
          <w:rFonts w:ascii="黑体" w:hAnsi="宋体" w:eastAsia="黑体"/>
          <w:b/>
          <w:bCs/>
          <w:spacing w:val="6"/>
          <w:kern w:val="4"/>
          <w:sz w:val="44"/>
          <w:szCs w:val="44"/>
          <w:highlight w:val="none"/>
        </w:rPr>
      </w:pPr>
      <w:r>
        <w:rPr>
          <w:rFonts w:hint="eastAsia" w:ascii="黑体" w:hAnsi="宋体" w:eastAsia="黑体"/>
          <w:b/>
          <w:bCs/>
          <w:spacing w:val="6"/>
          <w:kern w:val="4"/>
          <w:sz w:val="44"/>
          <w:szCs w:val="44"/>
          <w:highlight w:val="none"/>
        </w:rPr>
        <w:t>嘉兴电厂7号炉中部水冷壁管屏采购</w:t>
      </w:r>
    </w:p>
    <w:p w14:paraId="06B9CF5A">
      <w:pPr>
        <w:spacing w:line="360" w:lineRule="auto"/>
        <w:jc w:val="center"/>
        <w:rPr>
          <w:rFonts w:ascii="黑体" w:hAnsi="宋体" w:eastAsia="黑体"/>
          <w:b/>
          <w:bCs/>
          <w:spacing w:val="6"/>
          <w:kern w:val="4"/>
          <w:sz w:val="44"/>
          <w:szCs w:val="44"/>
          <w:highlight w:val="none"/>
        </w:rPr>
      </w:pPr>
      <w:r>
        <w:rPr>
          <w:rFonts w:hint="eastAsia" w:ascii="黑体" w:hAnsi="宋体" w:eastAsia="黑体"/>
          <w:b/>
          <w:bCs/>
          <w:spacing w:val="6"/>
          <w:kern w:val="4"/>
          <w:sz w:val="44"/>
          <w:szCs w:val="44"/>
          <w:highlight w:val="none"/>
        </w:rPr>
        <w:t>技术规范书</w:t>
      </w:r>
    </w:p>
    <w:p w14:paraId="55D0067C">
      <w:pPr>
        <w:ind w:firstLine="1807" w:firstLineChars="500"/>
        <w:rPr>
          <w:b/>
          <w:sz w:val="36"/>
          <w:szCs w:val="36"/>
          <w:highlight w:val="none"/>
        </w:rPr>
      </w:pPr>
    </w:p>
    <w:p w14:paraId="7874C02C">
      <w:pPr>
        <w:tabs>
          <w:tab w:val="left" w:pos="1985"/>
        </w:tabs>
        <w:ind w:firstLine="2409" w:firstLineChars="500"/>
        <w:rPr>
          <w:b/>
          <w:sz w:val="48"/>
          <w:szCs w:val="48"/>
          <w:highlight w:val="none"/>
        </w:rPr>
      </w:pPr>
    </w:p>
    <w:p w14:paraId="11E9A287">
      <w:pPr>
        <w:tabs>
          <w:tab w:val="left" w:pos="1985"/>
        </w:tabs>
        <w:ind w:firstLine="2409" w:firstLineChars="500"/>
        <w:rPr>
          <w:b/>
          <w:sz w:val="48"/>
          <w:szCs w:val="48"/>
          <w:highlight w:val="none"/>
        </w:rPr>
      </w:pPr>
    </w:p>
    <w:p w14:paraId="17AC4002">
      <w:pPr>
        <w:tabs>
          <w:tab w:val="left" w:pos="1985"/>
        </w:tabs>
        <w:ind w:firstLine="2409" w:firstLineChars="500"/>
        <w:rPr>
          <w:b/>
          <w:sz w:val="48"/>
          <w:szCs w:val="48"/>
          <w:highlight w:val="none"/>
        </w:rPr>
      </w:pPr>
    </w:p>
    <w:p w14:paraId="07988126">
      <w:pPr>
        <w:tabs>
          <w:tab w:val="left" w:pos="1985"/>
        </w:tabs>
        <w:ind w:firstLine="2409" w:firstLineChars="500"/>
        <w:rPr>
          <w:b/>
          <w:sz w:val="48"/>
          <w:szCs w:val="48"/>
          <w:highlight w:val="none"/>
        </w:rPr>
      </w:pPr>
    </w:p>
    <w:p w14:paraId="48B7461E">
      <w:pPr>
        <w:tabs>
          <w:tab w:val="left" w:pos="1985"/>
        </w:tabs>
        <w:ind w:firstLine="2409" w:firstLineChars="500"/>
        <w:rPr>
          <w:b/>
          <w:sz w:val="48"/>
          <w:szCs w:val="48"/>
          <w:highlight w:val="none"/>
        </w:rPr>
      </w:pPr>
    </w:p>
    <w:p w14:paraId="7406967D">
      <w:pPr>
        <w:tabs>
          <w:tab w:val="left" w:pos="1985"/>
        </w:tabs>
        <w:ind w:firstLine="2409" w:firstLineChars="500"/>
        <w:rPr>
          <w:b/>
          <w:sz w:val="48"/>
          <w:szCs w:val="48"/>
          <w:highlight w:val="none"/>
        </w:rPr>
      </w:pPr>
    </w:p>
    <w:p w14:paraId="24D808D6">
      <w:pPr>
        <w:tabs>
          <w:tab w:val="left" w:pos="1985"/>
        </w:tabs>
        <w:ind w:firstLine="2409" w:firstLineChars="500"/>
        <w:rPr>
          <w:b/>
          <w:sz w:val="48"/>
          <w:szCs w:val="48"/>
          <w:highlight w:val="none"/>
        </w:rPr>
      </w:pPr>
    </w:p>
    <w:p w14:paraId="12E43676">
      <w:pPr>
        <w:tabs>
          <w:tab w:val="left" w:pos="1985"/>
        </w:tabs>
        <w:ind w:firstLine="2409" w:firstLineChars="500"/>
        <w:rPr>
          <w:b/>
          <w:sz w:val="48"/>
          <w:szCs w:val="48"/>
          <w:highlight w:val="none"/>
        </w:rPr>
      </w:pPr>
    </w:p>
    <w:p w14:paraId="61DB971F">
      <w:pPr>
        <w:tabs>
          <w:tab w:val="left" w:pos="1985"/>
        </w:tabs>
        <w:ind w:firstLine="2409" w:firstLineChars="500"/>
        <w:rPr>
          <w:b/>
          <w:sz w:val="48"/>
          <w:szCs w:val="48"/>
          <w:highlight w:val="none"/>
        </w:rPr>
      </w:pPr>
    </w:p>
    <w:p w14:paraId="45F92F77">
      <w:pPr>
        <w:tabs>
          <w:tab w:val="center" w:pos="4053"/>
          <w:tab w:val="left" w:pos="6780"/>
        </w:tabs>
        <w:spacing w:line="360" w:lineRule="auto"/>
        <w:ind w:right="-50" w:rightChars="-21"/>
        <w:jc w:val="center"/>
        <w:rPr>
          <w:rFonts w:ascii="宋体" w:hAnsi="宋体"/>
          <w:b/>
          <w:sz w:val="30"/>
          <w:szCs w:val="30"/>
          <w:highlight w:val="none"/>
        </w:rPr>
      </w:pPr>
      <w:r>
        <w:rPr>
          <w:rFonts w:hint="eastAsia" w:ascii="华文行楷" w:eastAsia="华文行楷"/>
          <w:b/>
          <w:sz w:val="44"/>
          <w:highlight w:val="none"/>
        </w:rPr>
        <w:t>浙江浙能嘉华发电有限公司</w:t>
      </w:r>
    </w:p>
    <w:p w14:paraId="40FD4668">
      <w:pPr>
        <w:spacing w:line="360" w:lineRule="auto"/>
        <w:jc w:val="center"/>
        <w:rPr>
          <w:rFonts w:ascii="黑体" w:hAnsi="宋体" w:eastAsia="黑体"/>
          <w:bCs/>
          <w:spacing w:val="6"/>
          <w:kern w:val="4"/>
          <w:sz w:val="44"/>
          <w:szCs w:val="44"/>
          <w:highlight w:val="none"/>
        </w:rPr>
        <w:sectPr>
          <w:type w:val="nextColumn"/>
          <w:pgSz w:w="11907" w:h="16840"/>
          <w:pgMar w:top="1418" w:right="1531" w:bottom="1418" w:left="1701" w:header="851" w:footer="992" w:gutter="0"/>
          <w:pgNumType w:start="1"/>
          <w:cols w:space="720" w:num="1"/>
          <w:docGrid w:linePitch="380" w:charSpace="0"/>
        </w:sectPr>
      </w:pPr>
    </w:p>
    <w:p w14:paraId="36C68EDF">
      <w:pPr>
        <w:spacing w:line="500" w:lineRule="exact"/>
        <w:ind w:right="1120"/>
        <w:jc w:val="right"/>
        <w:rPr>
          <w:sz w:val="28"/>
          <w:highlight w:val="none"/>
        </w:rPr>
      </w:pPr>
    </w:p>
    <w:p w14:paraId="36C442E4">
      <w:pPr>
        <w:spacing w:line="500" w:lineRule="exact"/>
        <w:jc w:val="center"/>
        <w:rPr>
          <w:b/>
          <w:sz w:val="44"/>
          <w:highlight w:val="none"/>
        </w:rPr>
        <w:sectPr>
          <w:headerReference r:id="rId4" w:type="first"/>
          <w:headerReference r:id="rId3" w:type="default"/>
          <w:footerReference r:id="rId5" w:type="default"/>
          <w:footerReference r:id="rId6" w:type="even"/>
          <w:pgSz w:w="11907" w:h="16840"/>
          <w:pgMar w:top="1418" w:right="1531" w:bottom="1418" w:left="1701" w:header="851" w:footer="851" w:gutter="0"/>
          <w:pgNumType w:start="1"/>
          <w:cols w:space="720" w:num="1"/>
          <w:docGrid w:linePitch="326" w:charSpace="0"/>
        </w:sectPr>
      </w:pPr>
    </w:p>
    <w:p w14:paraId="114EEA9F">
      <w:pPr>
        <w:autoSpaceDE w:val="0"/>
        <w:autoSpaceDN w:val="0"/>
        <w:spacing w:line="500" w:lineRule="exact"/>
        <w:jc w:val="center"/>
        <w:rPr>
          <w:rFonts w:ascii="宋体"/>
          <w:b/>
          <w:bCs/>
          <w:sz w:val="44"/>
          <w:szCs w:val="44"/>
          <w:highlight w:val="none"/>
        </w:rPr>
      </w:pPr>
      <w:r>
        <w:rPr>
          <w:rFonts w:hint="eastAsia" w:ascii="宋体"/>
          <w:b/>
          <w:bCs/>
          <w:sz w:val="44"/>
          <w:szCs w:val="44"/>
          <w:highlight w:val="none"/>
        </w:rPr>
        <w:t>目  录</w:t>
      </w:r>
    </w:p>
    <w:p w14:paraId="38BCD0A9">
      <w:pPr>
        <w:pStyle w:val="49"/>
        <w:rPr>
          <w:rStyle w:val="30"/>
          <w:b w:val="0"/>
          <w:bCs/>
          <w:caps/>
          <w:color w:val="auto"/>
          <w:sz w:val="24"/>
          <w:szCs w:val="24"/>
          <w:highlight w:val="none"/>
        </w:rPr>
      </w:pPr>
    </w:p>
    <w:p w14:paraId="11FF09F4">
      <w:pPr>
        <w:pStyle w:val="21"/>
        <w:tabs>
          <w:tab w:val="right" w:leader="dot" w:pos="8675"/>
        </w:tabs>
        <w:spacing w:line="360" w:lineRule="auto"/>
        <w:rPr>
          <w:rFonts w:ascii="宋体" w:hAnsi="宋体" w:cs="宋体"/>
          <w:b/>
          <w:bCs/>
          <w:sz w:val="28"/>
          <w:szCs w:val="28"/>
          <w:highlight w:val="none"/>
        </w:rPr>
      </w:pPr>
      <w:r>
        <w:rPr>
          <w:rFonts w:hint="eastAsia" w:ascii="宋体" w:hAnsi="宋体" w:cs="宋体"/>
          <w:b/>
          <w:bCs/>
          <w:caps/>
          <w:sz w:val="28"/>
          <w:szCs w:val="28"/>
          <w:highlight w:val="none"/>
        </w:rPr>
        <w:fldChar w:fldCharType="begin"/>
      </w:r>
      <w:r>
        <w:rPr>
          <w:rStyle w:val="30"/>
          <w:rFonts w:hint="eastAsia" w:ascii="宋体" w:hAnsi="宋体" w:cs="宋体"/>
          <w:b/>
          <w:bCs/>
          <w:caps/>
          <w:color w:val="auto"/>
          <w:sz w:val="28"/>
          <w:szCs w:val="28"/>
          <w:highlight w:val="none"/>
        </w:rPr>
        <w:instrText xml:space="preserve"> TOC \o "1-1" \h \z \u </w:instrText>
      </w:r>
      <w:r>
        <w:rPr>
          <w:rFonts w:hint="eastAsia" w:ascii="宋体" w:hAnsi="宋体" w:cs="宋体"/>
          <w:b/>
          <w:bCs/>
          <w:caps/>
          <w:sz w:val="28"/>
          <w:szCs w:val="28"/>
          <w:highlight w:val="none"/>
        </w:rPr>
        <w:fldChar w:fldCharType="separate"/>
      </w:r>
      <w:r>
        <w:rPr>
          <w:highlight w:val="none"/>
        </w:rPr>
        <w:fldChar w:fldCharType="begin"/>
      </w:r>
      <w:r>
        <w:rPr>
          <w:highlight w:val="none"/>
        </w:rPr>
        <w:instrText xml:space="preserve"> HYPERLINK \l "_Toc1608" </w:instrText>
      </w:r>
      <w:r>
        <w:rPr>
          <w:highlight w:val="none"/>
        </w:rPr>
        <w:fldChar w:fldCharType="separate"/>
      </w:r>
      <w:r>
        <w:rPr>
          <w:rFonts w:hint="eastAsia" w:ascii="宋体" w:hAnsi="宋体" w:cs="宋体"/>
          <w:b/>
          <w:bCs/>
          <w:sz w:val="28"/>
          <w:szCs w:val="28"/>
          <w:highlight w:val="none"/>
        </w:rPr>
        <w:t>附件1 技术规范</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 PAGEREF _Toc1608 </w:instrText>
      </w:r>
      <w:r>
        <w:rPr>
          <w:rFonts w:hint="eastAsia" w:ascii="宋体" w:hAnsi="宋体" w:cs="宋体"/>
          <w:b/>
          <w:bCs/>
          <w:sz w:val="28"/>
          <w:szCs w:val="28"/>
          <w:highlight w:val="none"/>
        </w:rPr>
        <w:fldChar w:fldCharType="separate"/>
      </w:r>
      <w:r>
        <w:rPr>
          <w:rFonts w:hint="eastAsia" w:ascii="宋体" w:hAnsi="宋体" w:cs="宋体"/>
          <w:b/>
          <w:bCs/>
          <w:sz w:val="28"/>
          <w:szCs w:val="28"/>
          <w:highlight w:val="none"/>
        </w:rPr>
        <w:t>2</w:t>
      </w:r>
      <w:r>
        <w:rPr>
          <w:rFonts w:hint="eastAsia" w:ascii="宋体" w:hAnsi="宋体" w:cs="宋体"/>
          <w:b/>
          <w:bCs/>
          <w:sz w:val="28"/>
          <w:szCs w:val="28"/>
          <w:highlight w:val="none"/>
        </w:rPr>
        <w:fldChar w:fldCharType="end"/>
      </w:r>
      <w:r>
        <w:rPr>
          <w:rFonts w:hint="eastAsia" w:ascii="宋体" w:hAnsi="宋体" w:cs="宋体"/>
          <w:b/>
          <w:bCs/>
          <w:sz w:val="28"/>
          <w:szCs w:val="28"/>
          <w:highlight w:val="none"/>
        </w:rPr>
        <w:fldChar w:fldCharType="end"/>
      </w:r>
    </w:p>
    <w:p w14:paraId="48C0A841">
      <w:pPr>
        <w:pStyle w:val="21"/>
        <w:tabs>
          <w:tab w:val="right" w:leader="dot" w:pos="8675"/>
        </w:tabs>
        <w:spacing w:line="360" w:lineRule="auto"/>
        <w:rPr>
          <w:rFonts w:ascii="宋体" w:hAnsi="宋体" w:cs="宋体"/>
          <w:b/>
          <w:bCs/>
          <w:sz w:val="28"/>
          <w:szCs w:val="28"/>
          <w:highlight w:val="none"/>
        </w:rPr>
      </w:pPr>
      <w:r>
        <w:rPr>
          <w:highlight w:val="none"/>
        </w:rPr>
        <w:fldChar w:fldCharType="begin"/>
      </w:r>
      <w:r>
        <w:rPr>
          <w:highlight w:val="none"/>
        </w:rPr>
        <w:instrText xml:space="preserve"> HYPERLINK \l "_Toc27519" </w:instrText>
      </w:r>
      <w:r>
        <w:rPr>
          <w:highlight w:val="none"/>
        </w:rPr>
        <w:fldChar w:fldCharType="separate"/>
      </w:r>
      <w:r>
        <w:rPr>
          <w:rFonts w:hint="eastAsia" w:ascii="宋体" w:hAnsi="宋体" w:cs="宋体"/>
          <w:b/>
          <w:bCs/>
          <w:sz w:val="28"/>
          <w:szCs w:val="28"/>
          <w:highlight w:val="none"/>
        </w:rPr>
        <w:t>附件2 供货范围</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 PAGEREF _Toc27519 </w:instrText>
      </w:r>
      <w:r>
        <w:rPr>
          <w:rFonts w:hint="eastAsia" w:ascii="宋体" w:hAnsi="宋体" w:cs="宋体"/>
          <w:b/>
          <w:bCs/>
          <w:sz w:val="28"/>
          <w:szCs w:val="28"/>
          <w:highlight w:val="none"/>
        </w:rPr>
        <w:fldChar w:fldCharType="separate"/>
      </w:r>
      <w:r>
        <w:rPr>
          <w:rFonts w:hint="eastAsia" w:ascii="宋体" w:hAnsi="宋体" w:cs="宋体"/>
          <w:b/>
          <w:bCs/>
          <w:sz w:val="28"/>
          <w:szCs w:val="28"/>
          <w:highlight w:val="none"/>
        </w:rPr>
        <w:t>21</w:t>
      </w:r>
      <w:r>
        <w:rPr>
          <w:rFonts w:hint="eastAsia" w:ascii="宋体" w:hAnsi="宋体" w:cs="宋体"/>
          <w:b/>
          <w:bCs/>
          <w:sz w:val="28"/>
          <w:szCs w:val="28"/>
          <w:highlight w:val="none"/>
        </w:rPr>
        <w:fldChar w:fldCharType="end"/>
      </w:r>
      <w:r>
        <w:rPr>
          <w:rFonts w:hint="eastAsia" w:ascii="宋体" w:hAnsi="宋体" w:cs="宋体"/>
          <w:b/>
          <w:bCs/>
          <w:sz w:val="28"/>
          <w:szCs w:val="28"/>
          <w:highlight w:val="none"/>
        </w:rPr>
        <w:fldChar w:fldCharType="end"/>
      </w:r>
    </w:p>
    <w:p w14:paraId="50724B25">
      <w:pPr>
        <w:pStyle w:val="21"/>
        <w:tabs>
          <w:tab w:val="right" w:leader="dot" w:pos="8675"/>
        </w:tabs>
        <w:spacing w:line="360" w:lineRule="auto"/>
        <w:rPr>
          <w:rFonts w:ascii="宋体" w:hAnsi="宋体" w:cs="宋体"/>
          <w:b/>
          <w:bCs/>
          <w:sz w:val="28"/>
          <w:szCs w:val="28"/>
          <w:highlight w:val="none"/>
        </w:rPr>
      </w:pPr>
      <w:r>
        <w:rPr>
          <w:highlight w:val="none"/>
        </w:rPr>
        <w:fldChar w:fldCharType="begin"/>
      </w:r>
      <w:r>
        <w:rPr>
          <w:highlight w:val="none"/>
        </w:rPr>
        <w:instrText xml:space="preserve"> HYPERLINK \l "_Toc15989" </w:instrText>
      </w:r>
      <w:r>
        <w:rPr>
          <w:highlight w:val="none"/>
        </w:rPr>
        <w:fldChar w:fldCharType="separate"/>
      </w:r>
      <w:r>
        <w:rPr>
          <w:rFonts w:hint="eastAsia" w:ascii="宋体" w:hAnsi="宋体" w:cs="宋体"/>
          <w:b/>
          <w:bCs/>
          <w:sz w:val="28"/>
          <w:szCs w:val="28"/>
          <w:highlight w:val="none"/>
        </w:rPr>
        <w:t>附件3 技术资料及交付进度</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 PAGEREF _Toc15989 </w:instrText>
      </w:r>
      <w:r>
        <w:rPr>
          <w:rFonts w:hint="eastAsia" w:ascii="宋体" w:hAnsi="宋体" w:cs="宋体"/>
          <w:b/>
          <w:bCs/>
          <w:sz w:val="28"/>
          <w:szCs w:val="28"/>
          <w:highlight w:val="none"/>
        </w:rPr>
        <w:fldChar w:fldCharType="separate"/>
      </w:r>
      <w:r>
        <w:rPr>
          <w:rFonts w:hint="eastAsia" w:ascii="宋体" w:hAnsi="宋体" w:cs="宋体"/>
          <w:b/>
          <w:bCs/>
          <w:sz w:val="28"/>
          <w:szCs w:val="28"/>
          <w:highlight w:val="none"/>
        </w:rPr>
        <w:t>23</w:t>
      </w:r>
      <w:r>
        <w:rPr>
          <w:rFonts w:hint="eastAsia" w:ascii="宋体" w:hAnsi="宋体" w:cs="宋体"/>
          <w:b/>
          <w:bCs/>
          <w:sz w:val="28"/>
          <w:szCs w:val="28"/>
          <w:highlight w:val="none"/>
        </w:rPr>
        <w:fldChar w:fldCharType="end"/>
      </w:r>
      <w:r>
        <w:rPr>
          <w:rFonts w:hint="eastAsia" w:ascii="宋体" w:hAnsi="宋体" w:cs="宋体"/>
          <w:b/>
          <w:bCs/>
          <w:sz w:val="28"/>
          <w:szCs w:val="28"/>
          <w:highlight w:val="none"/>
        </w:rPr>
        <w:fldChar w:fldCharType="end"/>
      </w:r>
    </w:p>
    <w:p w14:paraId="3CA8D15C">
      <w:pPr>
        <w:pStyle w:val="21"/>
        <w:tabs>
          <w:tab w:val="right" w:leader="dot" w:pos="8675"/>
        </w:tabs>
        <w:spacing w:line="360" w:lineRule="auto"/>
        <w:rPr>
          <w:rFonts w:ascii="宋体" w:hAnsi="宋体" w:cs="宋体"/>
          <w:b/>
          <w:bCs/>
          <w:sz w:val="28"/>
          <w:szCs w:val="28"/>
          <w:highlight w:val="none"/>
        </w:rPr>
      </w:pPr>
      <w:r>
        <w:rPr>
          <w:highlight w:val="none"/>
        </w:rPr>
        <w:fldChar w:fldCharType="begin"/>
      </w:r>
      <w:r>
        <w:rPr>
          <w:highlight w:val="none"/>
        </w:rPr>
        <w:instrText xml:space="preserve"> HYPERLINK \l "_Toc29745" </w:instrText>
      </w:r>
      <w:r>
        <w:rPr>
          <w:highlight w:val="none"/>
        </w:rPr>
        <w:fldChar w:fldCharType="separate"/>
      </w:r>
      <w:r>
        <w:rPr>
          <w:rFonts w:hint="eastAsia" w:ascii="宋体" w:hAnsi="宋体" w:cs="宋体"/>
          <w:b/>
          <w:bCs/>
          <w:sz w:val="28"/>
          <w:szCs w:val="28"/>
          <w:highlight w:val="none"/>
        </w:rPr>
        <w:t>附件4 设备交货进度</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 PAGEREF _Toc29745 </w:instrText>
      </w:r>
      <w:r>
        <w:rPr>
          <w:rFonts w:hint="eastAsia" w:ascii="宋体" w:hAnsi="宋体" w:cs="宋体"/>
          <w:b/>
          <w:bCs/>
          <w:sz w:val="28"/>
          <w:szCs w:val="28"/>
          <w:highlight w:val="none"/>
        </w:rPr>
        <w:fldChar w:fldCharType="separate"/>
      </w:r>
      <w:r>
        <w:rPr>
          <w:rFonts w:hint="eastAsia" w:ascii="宋体" w:hAnsi="宋体" w:cs="宋体"/>
          <w:b/>
          <w:bCs/>
          <w:sz w:val="28"/>
          <w:szCs w:val="28"/>
          <w:highlight w:val="none"/>
        </w:rPr>
        <w:t>26</w:t>
      </w:r>
      <w:r>
        <w:rPr>
          <w:rFonts w:hint="eastAsia" w:ascii="宋体" w:hAnsi="宋体" w:cs="宋体"/>
          <w:b/>
          <w:bCs/>
          <w:sz w:val="28"/>
          <w:szCs w:val="28"/>
          <w:highlight w:val="none"/>
        </w:rPr>
        <w:fldChar w:fldCharType="end"/>
      </w:r>
      <w:r>
        <w:rPr>
          <w:rFonts w:hint="eastAsia" w:ascii="宋体" w:hAnsi="宋体" w:cs="宋体"/>
          <w:b/>
          <w:bCs/>
          <w:sz w:val="28"/>
          <w:szCs w:val="28"/>
          <w:highlight w:val="none"/>
        </w:rPr>
        <w:fldChar w:fldCharType="end"/>
      </w:r>
    </w:p>
    <w:p w14:paraId="0BE3DDC1">
      <w:pPr>
        <w:pStyle w:val="21"/>
        <w:tabs>
          <w:tab w:val="right" w:leader="dot" w:pos="8675"/>
        </w:tabs>
        <w:spacing w:line="360" w:lineRule="auto"/>
        <w:rPr>
          <w:rFonts w:ascii="宋体" w:hAnsi="宋体" w:cs="宋体"/>
          <w:b/>
          <w:bCs/>
          <w:sz w:val="28"/>
          <w:szCs w:val="28"/>
          <w:highlight w:val="none"/>
        </w:rPr>
      </w:pPr>
      <w:r>
        <w:rPr>
          <w:highlight w:val="none"/>
        </w:rPr>
        <w:fldChar w:fldCharType="begin"/>
      </w:r>
      <w:r>
        <w:rPr>
          <w:highlight w:val="none"/>
        </w:rPr>
        <w:instrText xml:space="preserve"> HYPERLINK \l "_Toc25551" </w:instrText>
      </w:r>
      <w:r>
        <w:rPr>
          <w:highlight w:val="none"/>
        </w:rPr>
        <w:fldChar w:fldCharType="separate"/>
      </w:r>
      <w:r>
        <w:rPr>
          <w:rFonts w:hint="eastAsia" w:ascii="宋体" w:hAnsi="宋体" w:cs="宋体"/>
          <w:b/>
          <w:bCs/>
          <w:sz w:val="28"/>
          <w:szCs w:val="28"/>
          <w:highlight w:val="none"/>
        </w:rPr>
        <w:t>附件5 设备监造、检验和性能验收试验</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 PAGEREF _Toc25551 </w:instrText>
      </w:r>
      <w:r>
        <w:rPr>
          <w:rFonts w:hint="eastAsia" w:ascii="宋体" w:hAnsi="宋体" w:cs="宋体"/>
          <w:b/>
          <w:bCs/>
          <w:sz w:val="28"/>
          <w:szCs w:val="28"/>
          <w:highlight w:val="none"/>
        </w:rPr>
        <w:fldChar w:fldCharType="separate"/>
      </w:r>
      <w:r>
        <w:rPr>
          <w:rFonts w:hint="eastAsia" w:ascii="宋体" w:hAnsi="宋体" w:cs="宋体"/>
          <w:b/>
          <w:bCs/>
          <w:sz w:val="28"/>
          <w:szCs w:val="28"/>
          <w:highlight w:val="none"/>
        </w:rPr>
        <w:t>27</w:t>
      </w:r>
      <w:r>
        <w:rPr>
          <w:rFonts w:hint="eastAsia" w:ascii="宋体" w:hAnsi="宋体" w:cs="宋体"/>
          <w:b/>
          <w:bCs/>
          <w:sz w:val="28"/>
          <w:szCs w:val="28"/>
          <w:highlight w:val="none"/>
        </w:rPr>
        <w:fldChar w:fldCharType="end"/>
      </w:r>
      <w:r>
        <w:rPr>
          <w:rFonts w:hint="eastAsia" w:ascii="宋体" w:hAnsi="宋体" w:cs="宋体"/>
          <w:b/>
          <w:bCs/>
          <w:sz w:val="28"/>
          <w:szCs w:val="28"/>
          <w:highlight w:val="none"/>
        </w:rPr>
        <w:fldChar w:fldCharType="end"/>
      </w:r>
    </w:p>
    <w:p w14:paraId="051E364E">
      <w:pPr>
        <w:pStyle w:val="21"/>
        <w:tabs>
          <w:tab w:val="right" w:leader="dot" w:pos="8675"/>
        </w:tabs>
        <w:spacing w:line="360" w:lineRule="auto"/>
        <w:rPr>
          <w:rFonts w:ascii="宋体" w:hAnsi="宋体" w:cs="宋体"/>
          <w:b/>
          <w:bCs/>
          <w:sz w:val="28"/>
          <w:szCs w:val="28"/>
          <w:highlight w:val="none"/>
        </w:rPr>
      </w:pPr>
      <w:r>
        <w:rPr>
          <w:highlight w:val="none"/>
        </w:rPr>
        <w:fldChar w:fldCharType="begin"/>
      </w:r>
      <w:r>
        <w:rPr>
          <w:highlight w:val="none"/>
        </w:rPr>
        <w:instrText xml:space="preserve"> HYPERLINK \l "_Toc19570" </w:instrText>
      </w:r>
      <w:r>
        <w:rPr>
          <w:highlight w:val="none"/>
        </w:rPr>
        <w:fldChar w:fldCharType="separate"/>
      </w:r>
      <w:r>
        <w:rPr>
          <w:rFonts w:hint="eastAsia" w:ascii="宋体" w:hAnsi="宋体" w:cs="宋体"/>
          <w:b/>
          <w:bCs/>
          <w:kern w:val="44"/>
          <w:sz w:val="28"/>
          <w:szCs w:val="28"/>
          <w:highlight w:val="none"/>
        </w:rPr>
        <w:t>附件6 技术服务和联络</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 PAGEREF _Toc19570 </w:instrText>
      </w:r>
      <w:r>
        <w:rPr>
          <w:rFonts w:hint="eastAsia" w:ascii="宋体" w:hAnsi="宋体" w:cs="宋体"/>
          <w:b/>
          <w:bCs/>
          <w:sz w:val="28"/>
          <w:szCs w:val="28"/>
          <w:highlight w:val="none"/>
        </w:rPr>
        <w:fldChar w:fldCharType="separate"/>
      </w:r>
      <w:r>
        <w:rPr>
          <w:rFonts w:hint="eastAsia" w:ascii="宋体" w:hAnsi="宋体" w:cs="宋体"/>
          <w:b/>
          <w:bCs/>
          <w:sz w:val="28"/>
          <w:szCs w:val="28"/>
          <w:highlight w:val="none"/>
        </w:rPr>
        <w:t>31</w:t>
      </w:r>
      <w:r>
        <w:rPr>
          <w:rFonts w:hint="eastAsia" w:ascii="宋体" w:hAnsi="宋体" w:cs="宋体"/>
          <w:b/>
          <w:bCs/>
          <w:sz w:val="28"/>
          <w:szCs w:val="28"/>
          <w:highlight w:val="none"/>
        </w:rPr>
        <w:fldChar w:fldCharType="end"/>
      </w:r>
      <w:r>
        <w:rPr>
          <w:rFonts w:hint="eastAsia" w:ascii="宋体" w:hAnsi="宋体" w:cs="宋体"/>
          <w:b/>
          <w:bCs/>
          <w:sz w:val="28"/>
          <w:szCs w:val="28"/>
          <w:highlight w:val="none"/>
        </w:rPr>
        <w:fldChar w:fldCharType="end"/>
      </w:r>
    </w:p>
    <w:p w14:paraId="271F13C5">
      <w:pPr>
        <w:pStyle w:val="21"/>
        <w:tabs>
          <w:tab w:val="right" w:leader="dot" w:pos="8675"/>
        </w:tabs>
        <w:spacing w:line="360" w:lineRule="auto"/>
        <w:rPr>
          <w:rFonts w:ascii="宋体" w:hAnsi="宋体" w:cs="宋体"/>
          <w:b/>
          <w:bCs/>
          <w:sz w:val="28"/>
          <w:szCs w:val="28"/>
          <w:highlight w:val="none"/>
        </w:rPr>
      </w:pPr>
      <w:r>
        <w:rPr>
          <w:highlight w:val="none"/>
        </w:rPr>
        <w:fldChar w:fldCharType="begin"/>
      </w:r>
      <w:r>
        <w:rPr>
          <w:highlight w:val="none"/>
        </w:rPr>
        <w:instrText xml:space="preserve"> HYPERLINK \l "_Toc28232" </w:instrText>
      </w:r>
      <w:r>
        <w:rPr>
          <w:highlight w:val="none"/>
        </w:rPr>
        <w:fldChar w:fldCharType="separate"/>
      </w:r>
      <w:r>
        <w:rPr>
          <w:rFonts w:hint="eastAsia" w:ascii="宋体" w:hAnsi="宋体" w:cs="宋体"/>
          <w:b/>
          <w:bCs/>
          <w:sz w:val="28"/>
          <w:szCs w:val="28"/>
          <w:highlight w:val="none"/>
        </w:rPr>
        <w:t>附件7外购</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 PAGEREF _Toc28232 </w:instrText>
      </w:r>
      <w:r>
        <w:rPr>
          <w:rFonts w:hint="eastAsia" w:ascii="宋体" w:hAnsi="宋体" w:cs="宋体"/>
          <w:b/>
          <w:bCs/>
          <w:sz w:val="28"/>
          <w:szCs w:val="28"/>
          <w:highlight w:val="none"/>
        </w:rPr>
        <w:fldChar w:fldCharType="separate"/>
      </w:r>
      <w:r>
        <w:rPr>
          <w:rFonts w:hint="eastAsia" w:ascii="宋体" w:hAnsi="宋体" w:cs="宋体"/>
          <w:b/>
          <w:bCs/>
          <w:sz w:val="28"/>
          <w:szCs w:val="28"/>
          <w:highlight w:val="none"/>
        </w:rPr>
        <w:t>34</w:t>
      </w:r>
      <w:r>
        <w:rPr>
          <w:rFonts w:hint="eastAsia" w:ascii="宋体" w:hAnsi="宋体" w:cs="宋体"/>
          <w:b/>
          <w:bCs/>
          <w:sz w:val="28"/>
          <w:szCs w:val="28"/>
          <w:highlight w:val="none"/>
        </w:rPr>
        <w:fldChar w:fldCharType="end"/>
      </w:r>
      <w:r>
        <w:rPr>
          <w:rFonts w:hint="eastAsia" w:ascii="宋体" w:hAnsi="宋体" w:cs="宋体"/>
          <w:b/>
          <w:bCs/>
          <w:sz w:val="28"/>
          <w:szCs w:val="28"/>
          <w:highlight w:val="none"/>
        </w:rPr>
        <w:fldChar w:fldCharType="end"/>
      </w:r>
    </w:p>
    <w:p w14:paraId="2271729C">
      <w:pPr>
        <w:pStyle w:val="21"/>
        <w:tabs>
          <w:tab w:val="right" w:leader="dot" w:pos="8675"/>
        </w:tabs>
        <w:spacing w:line="360" w:lineRule="auto"/>
        <w:rPr>
          <w:rFonts w:ascii="宋体" w:hAnsi="宋体" w:cs="宋体"/>
          <w:b/>
          <w:bCs/>
          <w:sz w:val="28"/>
          <w:szCs w:val="28"/>
          <w:highlight w:val="none"/>
        </w:rPr>
      </w:pPr>
      <w:r>
        <w:rPr>
          <w:highlight w:val="none"/>
        </w:rPr>
        <w:fldChar w:fldCharType="begin"/>
      </w:r>
      <w:r>
        <w:rPr>
          <w:highlight w:val="none"/>
        </w:rPr>
        <w:instrText xml:space="preserve"> HYPERLINK \l "_Toc12024" </w:instrText>
      </w:r>
      <w:r>
        <w:rPr>
          <w:highlight w:val="none"/>
        </w:rPr>
        <w:fldChar w:fldCharType="separate"/>
      </w:r>
      <w:r>
        <w:rPr>
          <w:rFonts w:hint="eastAsia" w:ascii="宋体" w:hAnsi="宋体" w:cs="宋体"/>
          <w:b/>
          <w:bCs/>
          <w:sz w:val="28"/>
          <w:szCs w:val="28"/>
          <w:highlight w:val="none"/>
        </w:rPr>
        <w:t>附件8 运行维护手册</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 PAGEREF _Toc12024 </w:instrText>
      </w:r>
      <w:r>
        <w:rPr>
          <w:rFonts w:hint="eastAsia" w:ascii="宋体" w:hAnsi="宋体" w:cs="宋体"/>
          <w:b/>
          <w:bCs/>
          <w:sz w:val="28"/>
          <w:szCs w:val="28"/>
          <w:highlight w:val="none"/>
        </w:rPr>
        <w:fldChar w:fldCharType="separate"/>
      </w:r>
      <w:r>
        <w:rPr>
          <w:rFonts w:hint="eastAsia" w:ascii="宋体" w:hAnsi="宋体" w:cs="宋体"/>
          <w:b/>
          <w:bCs/>
          <w:sz w:val="28"/>
          <w:szCs w:val="28"/>
          <w:highlight w:val="none"/>
        </w:rPr>
        <w:t>35</w:t>
      </w:r>
      <w:r>
        <w:rPr>
          <w:rFonts w:hint="eastAsia" w:ascii="宋体" w:hAnsi="宋体" w:cs="宋体"/>
          <w:b/>
          <w:bCs/>
          <w:sz w:val="28"/>
          <w:szCs w:val="28"/>
          <w:highlight w:val="none"/>
        </w:rPr>
        <w:fldChar w:fldCharType="end"/>
      </w:r>
      <w:r>
        <w:rPr>
          <w:rFonts w:hint="eastAsia" w:ascii="宋体" w:hAnsi="宋体" w:cs="宋体"/>
          <w:b/>
          <w:bCs/>
          <w:sz w:val="28"/>
          <w:szCs w:val="28"/>
          <w:highlight w:val="none"/>
        </w:rPr>
        <w:fldChar w:fldCharType="end"/>
      </w:r>
    </w:p>
    <w:p w14:paraId="60DE0E8A">
      <w:pPr>
        <w:pStyle w:val="21"/>
        <w:tabs>
          <w:tab w:val="right" w:leader="dot" w:pos="8675"/>
        </w:tabs>
        <w:spacing w:line="360" w:lineRule="auto"/>
        <w:rPr>
          <w:rFonts w:ascii="宋体" w:hAnsi="宋体" w:cs="宋体"/>
          <w:b/>
          <w:bCs/>
          <w:sz w:val="28"/>
          <w:szCs w:val="28"/>
          <w:highlight w:val="none"/>
        </w:rPr>
      </w:pPr>
      <w:r>
        <w:rPr>
          <w:highlight w:val="none"/>
        </w:rPr>
        <w:fldChar w:fldCharType="begin"/>
      </w:r>
      <w:r>
        <w:rPr>
          <w:highlight w:val="none"/>
        </w:rPr>
        <w:instrText xml:space="preserve"> HYPERLINK \l "_Toc3588" </w:instrText>
      </w:r>
      <w:r>
        <w:rPr>
          <w:highlight w:val="none"/>
        </w:rPr>
        <w:fldChar w:fldCharType="separate"/>
      </w:r>
      <w:r>
        <w:rPr>
          <w:rFonts w:hint="eastAsia" w:ascii="宋体" w:hAnsi="宋体" w:cs="宋体"/>
          <w:b/>
          <w:bCs/>
          <w:sz w:val="28"/>
          <w:szCs w:val="28"/>
          <w:highlight w:val="none"/>
        </w:rPr>
        <w:t>附件9 大（部）件情况</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 PAGEREF _Toc3588 </w:instrText>
      </w:r>
      <w:r>
        <w:rPr>
          <w:rFonts w:hint="eastAsia" w:ascii="宋体" w:hAnsi="宋体" w:cs="宋体"/>
          <w:b/>
          <w:bCs/>
          <w:sz w:val="28"/>
          <w:szCs w:val="28"/>
          <w:highlight w:val="none"/>
        </w:rPr>
        <w:fldChar w:fldCharType="separate"/>
      </w:r>
      <w:r>
        <w:rPr>
          <w:rFonts w:hint="eastAsia" w:ascii="宋体" w:hAnsi="宋体" w:cs="宋体"/>
          <w:b/>
          <w:bCs/>
          <w:sz w:val="28"/>
          <w:szCs w:val="28"/>
          <w:highlight w:val="none"/>
        </w:rPr>
        <w:t>36</w:t>
      </w:r>
      <w:r>
        <w:rPr>
          <w:rFonts w:hint="eastAsia" w:ascii="宋体" w:hAnsi="宋体" w:cs="宋体"/>
          <w:b/>
          <w:bCs/>
          <w:sz w:val="28"/>
          <w:szCs w:val="28"/>
          <w:highlight w:val="none"/>
        </w:rPr>
        <w:fldChar w:fldCharType="end"/>
      </w:r>
      <w:r>
        <w:rPr>
          <w:rFonts w:hint="eastAsia" w:ascii="宋体" w:hAnsi="宋体" w:cs="宋体"/>
          <w:b/>
          <w:bCs/>
          <w:sz w:val="28"/>
          <w:szCs w:val="28"/>
          <w:highlight w:val="none"/>
        </w:rPr>
        <w:fldChar w:fldCharType="end"/>
      </w:r>
    </w:p>
    <w:p w14:paraId="18E15B1E">
      <w:pPr>
        <w:pStyle w:val="21"/>
        <w:tabs>
          <w:tab w:val="right" w:leader="dot" w:pos="8675"/>
        </w:tabs>
        <w:spacing w:line="360" w:lineRule="auto"/>
        <w:rPr>
          <w:rFonts w:ascii="宋体" w:hAnsi="宋体" w:cs="宋体"/>
          <w:b/>
          <w:bCs/>
          <w:sz w:val="28"/>
          <w:szCs w:val="28"/>
          <w:highlight w:val="none"/>
        </w:rPr>
      </w:pPr>
      <w:r>
        <w:rPr>
          <w:highlight w:val="none"/>
        </w:rPr>
        <w:fldChar w:fldCharType="begin"/>
      </w:r>
      <w:r>
        <w:rPr>
          <w:highlight w:val="none"/>
        </w:rPr>
        <w:instrText xml:space="preserve"> HYPERLINK \l "_Toc4731" </w:instrText>
      </w:r>
      <w:r>
        <w:rPr>
          <w:highlight w:val="none"/>
        </w:rPr>
        <w:fldChar w:fldCharType="separate"/>
      </w:r>
      <w:r>
        <w:rPr>
          <w:rFonts w:hint="eastAsia" w:ascii="宋体" w:hAnsi="宋体" w:cs="宋体"/>
          <w:b/>
          <w:bCs/>
          <w:sz w:val="28"/>
          <w:szCs w:val="28"/>
          <w:highlight w:val="none"/>
        </w:rPr>
        <w:t>附件10技术差异表</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 PAGEREF _Toc4731 </w:instrText>
      </w:r>
      <w:r>
        <w:rPr>
          <w:rFonts w:hint="eastAsia" w:ascii="宋体" w:hAnsi="宋体" w:cs="宋体"/>
          <w:b/>
          <w:bCs/>
          <w:sz w:val="28"/>
          <w:szCs w:val="28"/>
          <w:highlight w:val="none"/>
        </w:rPr>
        <w:fldChar w:fldCharType="separate"/>
      </w:r>
      <w:r>
        <w:rPr>
          <w:rFonts w:hint="eastAsia" w:ascii="宋体" w:hAnsi="宋体" w:cs="宋体"/>
          <w:b/>
          <w:bCs/>
          <w:sz w:val="28"/>
          <w:szCs w:val="28"/>
          <w:highlight w:val="none"/>
        </w:rPr>
        <w:t>37</w:t>
      </w:r>
      <w:r>
        <w:rPr>
          <w:rFonts w:hint="eastAsia" w:ascii="宋体" w:hAnsi="宋体" w:cs="宋体"/>
          <w:b/>
          <w:bCs/>
          <w:sz w:val="28"/>
          <w:szCs w:val="28"/>
          <w:highlight w:val="none"/>
        </w:rPr>
        <w:fldChar w:fldCharType="end"/>
      </w:r>
      <w:r>
        <w:rPr>
          <w:rFonts w:hint="eastAsia" w:ascii="宋体" w:hAnsi="宋体" w:cs="宋体"/>
          <w:b/>
          <w:bCs/>
          <w:sz w:val="28"/>
          <w:szCs w:val="28"/>
          <w:highlight w:val="none"/>
        </w:rPr>
        <w:fldChar w:fldCharType="end"/>
      </w:r>
    </w:p>
    <w:p w14:paraId="0ECABE4C">
      <w:pPr>
        <w:pStyle w:val="21"/>
        <w:tabs>
          <w:tab w:val="right" w:leader="dot" w:pos="8675"/>
        </w:tabs>
        <w:spacing w:line="360" w:lineRule="auto"/>
        <w:rPr>
          <w:rFonts w:ascii="宋体" w:hAnsi="宋体" w:cs="宋体"/>
          <w:b/>
          <w:bCs/>
          <w:sz w:val="28"/>
          <w:szCs w:val="28"/>
          <w:highlight w:val="none"/>
        </w:rPr>
      </w:pPr>
      <w:r>
        <w:rPr>
          <w:highlight w:val="none"/>
        </w:rPr>
        <w:fldChar w:fldCharType="begin"/>
      </w:r>
      <w:r>
        <w:rPr>
          <w:highlight w:val="none"/>
        </w:rPr>
        <w:instrText xml:space="preserve"> HYPERLINK \l "_Toc20853" </w:instrText>
      </w:r>
      <w:r>
        <w:rPr>
          <w:highlight w:val="none"/>
        </w:rPr>
        <w:fldChar w:fldCharType="separate"/>
      </w:r>
      <w:r>
        <w:rPr>
          <w:rFonts w:hint="eastAsia" w:ascii="宋体" w:hAnsi="宋体" w:cs="宋体"/>
          <w:b/>
          <w:bCs/>
          <w:sz w:val="28"/>
          <w:szCs w:val="28"/>
          <w:highlight w:val="none"/>
        </w:rPr>
        <w:t>附件11 附图</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end"/>
      </w:r>
      <w:r>
        <w:rPr>
          <w:rFonts w:hint="eastAsia"/>
          <w:highlight w:val="none"/>
        </w:rPr>
        <w:t>36</w:t>
      </w:r>
    </w:p>
    <w:p w14:paraId="7A529042">
      <w:pPr>
        <w:pStyle w:val="21"/>
        <w:tabs>
          <w:tab w:val="right" w:leader="dot" w:pos="8675"/>
        </w:tabs>
        <w:spacing w:line="360" w:lineRule="auto"/>
        <w:rPr>
          <w:rFonts w:ascii="宋体" w:hAnsi="宋体" w:cs="宋体"/>
          <w:b/>
          <w:bCs/>
          <w:sz w:val="28"/>
          <w:szCs w:val="28"/>
          <w:highlight w:val="none"/>
        </w:rPr>
      </w:pPr>
      <w:r>
        <w:rPr>
          <w:highlight w:val="none"/>
        </w:rPr>
        <w:fldChar w:fldCharType="begin"/>
      </w:r>
      <w:r>
        <w:rPr>
          <w:highlight w:val="none"/>
        </w:rPr>
        <w:instrText xml:space="preserve"> HYPERLINK \l "_Toc23510" </w:instrText>
      </w:r>
      <w:r>
        <w:rPr>
          <w:highlight w:val="none"/>
        </w:rPr>
        <w:fldChar w:fldCharType="separate"/>
      </w:r>
      <w:r>
        <w:rPr>
          <w:rFonts w:hint="eastAsia" w:ascii="宋体" w:hAnsi="宋体" w:cs="宋体"/>
          <w:b/>
          <w:bCs/>
          <w:sz w:val="28"/>
          <w:szCs w:val="28"/>
          <w:highlight w:val="none"/>
        </w:rPr>
        <w:t>附件12 性能考核条款</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 PAGEREF _Toc23510 </w:instrText>
      </w:r>
      <w:r>
        <w:rPr>
          <w:rFonts w:hint="eastAsia" w:ascii="宋体" w:hAnsi="宋体" w:cs="宋体"/>
          <w:b/>
          <w:bCs/>
          <w:sz w:val="28"/>
          <w:szCs w:val="28"/>
          <w:highlight w:val="none"/>
        </w:rPr>
        <w:fldChar w:fldCharType="separate"/>
      </w:r>
      <w:r>
        <w:rPr>
          <w:rFonts w:hint="eastAsia" w:ascii="宋体" w:hAnsi="宋体" w:cs="宋体"/>
          <w:b/>
          <w:bCs/>
          <w:sz w:val="28"/>
          <w:szCs w:val="28"/>
          <w:highlight w:val="none"/>
        </w:rPr>
        <w:t>38</w:t>
      </w:r>
      <w:r>
        <w:rPr>
          <w:rFonts w:hint="eastAsia" w:ascii="宋体" w:hAnsi="宋体" w:cs="宋体"/>
          <w:b/>
          <w:bCs/>
          <w:sz w:val="28"/>
          <w:szCs w:val="28"/>
          <w:highlight w:val="none"/>
        </w:rPr>
        <w:fldChar w:fldCharType="end"/>
      </w:r>
      <w:r>
        <w:rPr>
          <w:rFonts w:hint="eastAsia" w:ascii="宋体" w:hAnsi="宋体" w:cs="宋体"/>
          <w:b/>
          <w:bCs/>
          <w:sz w:val="28"/>
          <w:szCs w:val="28"/>
          <w:highlight w:val="none"/>
        </w:rPr>
        <w:fldChar w:fldCharType="end"/>
      </w:r>
    </w:p>
    <w:p w14:paraId="4323F413">
      <w:pPr>
        <w:pStyle w:val="21"/>
        <w:tabs>
          <w:tab w:val="right" w:leader="dot" w:pos="8675"/>
        </w:tabs>
        <w:spacing w:line="360" w:lineRule="auto"/>
        <w:rPr>
          <w:rFonts w:ascii="宋体" w:hAnsi="宋体" w:cs="宋体"/>
          <w:b/>
          <w:bCs/>
          <w:sz w:val="28"/>
          <w:szCs w:val="28"/>
          <w:highlight w:val="none"/>
        </w:rPr>
      </w:pPr>
      <w:r>
        <w:rPr>
          <w:highlight w:val="none"/>
        </w:rPr>
        <w:fldChar w:fldCharType="begin"/>
      </w:r>
      <w:r>
        <w:rPr>
          <w:highlight w:val="none"/>
        </w:rPr>
        <w:instrText xml:space="preserve"> HYPERLINK \l "_Toc8565" </w:instrText>
      </w:r>
      <w:r>
        <w:rPr>
          <w:highlight w:val="none"/>
        </w:rPr>
        <w:fldChar w:fldCharType="separate"/>
      </w:r>
      <w:r>
        <w:rPr>
          <w:rFonts w:hint="eastAsia" w:ascii="宋体" w:hAnsi="宋体" w:cs="宋体"/>
          <w:b/>
          <w:bCs/>
          <w:sz w:val="28"/>
          <w:szCs w:val="28"/>
          <w:highlight w:val="none"/>
        </w:rPr>
        <w:t>附件13 投标人需要说明的其他问题</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 PAGEREF _Toc8565 </w:instrText>
      </w:r>
      <w:r>
        <w:rPr>
          <w:rFonts w:hint="eastAsia" w:ascii="宋体" w:hAnsi="宋体" w:cs="宋体"/>
          <w:b/>
          <w:bCs/>
          <w:sz w:val="28"/>
          <w:szCs w:val="28"/>
          <w:highlight w:val="none"/>
        </w:rPr>
        <w:fldChar w:fldCharType="separate"/>
      </w:r>
      <w:r>
        <w:rPr>
          <w:rFonts w:hint="eastAsia" w:ascii="宋体" w:hAnsi="宋体" w:cs="宋体"/>
          <w:b/>
          <w:bCs/>
          <w:sz w:val="28"/>
          <w:szCs w:val="28"/>
          <w:highlight w:val="none"/>
        </w:rPr>
        <w:t>39</w:t>
      </w:r>
      <w:r>
        <w:rPr>
          <w:rFonts w:hint="eastAsia" w:ascii="宋体" w:hAnsi="宋体" w:cs="宋体"/>
          <w:b/>
          <w:bCs/>
          <w:sz w:val="28"/>
          <w:szCs w:val="28"/>
          <w:highlight w:val="none"/>
        </w:rPr>
        <w:fldChar w:fldCharType="end"/>
      </w:r>
      <w:r>
        <w:rPr>
          <w:rFonts w:hint="eastAsia" w:ascii="宋体" w:hAnsi="宋体" w:cs="宋体"/>
          <w:b/>
          <w:bCs/>
          <w:sz w:val="28"/>
          <w:szCs w:val="28"/>
          <w:highlight w:val="none"/>
        </w:rPr>
        <w:fldChar w:fldCharType="end"/>
      </w:r>
    </w:p>
    <w:p w14:paraId="501296FA">
      <w:pPr>
        <w:pStyle w:val="21"/>
        <w:tabs>
          <w:tab w:val="right" w:leader="dot" w:pos="8675"/>
        </w:tabs>
        <w:spacing w:line="360" w:lineRule="auto"/>
        <w:rPr>
          <w:rFonts w:ascii="宋体" w:hAnsi="宋体" w:cs="宋体"/>
          <w:b/>
          <w:bCs/>
          <w:sz w:val="28"/>
          <w:szCs w:val="28"/>
          <w:highlight w:val="none"/>
        </w:rPr>
      </w:pPr>
      <w:r>
        <w:rPr>
          <w:highlight w:val="none"/>
        </w:rPr>
        <w:fldChar w:fldCharType="begin"/>
      </w:r>
      <w:r>
        <w:rPr>
          <w:highlight w:val="none"/>
        </w:rPr>
        <w:instrText xml:space="preserve"> HYPERLINK \l "_Toc12863" </w:instrText>
      </w:r>
      <w:r>
        <w:rPr>
          <w:highlight w:val="none"/>
        </w:rPr>
        <w:fldChar w:fldCharType="separate"/>
      </w:r>
      <w:r>
        <w:rPr>
          <w:rFonts w:hint="eastAsia" w:ascii="宋体" w:hAnsi="宋体" w:cs="宋体"/>
          <w:b/>
          <w:bCs/>
          <w:sz w:val="28"/>
          <w:szCs w:val="28"/>
          <w:highlight w:val="none"/>
        </w:rPr>
        <w:t>附件14业绩及用户评价</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 PAGEREF _Toc12863 </w:instrText>
      </w:r>
      <w:r>
        <w:rPr>
          <w:rFonts w:hint="eastAsia" w:ascii="宋体" w:hAnsi="宋体" w:cs="宋体"/>
          <w:b/>
          <w:bCs/>
          <w:sz w:val="28"/>
          <w:szCs w:val="28"/>
          <w:highlight w:val="none"/>
        </w:rPr>
        <w:fldChar w:fldCharType="separate"/>
      </w:r>
      <w:r>
        <w:rPr>
          <w:rFonts w:hint="eastAsia" w:ascii="宋体" w:hAnsi="宋体" w:cs="宋体"/>
          <w:b/>
          <w:bCs/>
          <w:sz w:val="28"/>
          <w:szCs w:val="28"/>
          <w:highlight w:val="none"/>
        </w:rPr>
        <w:t>40</w:t>
      </w:r>
      <w:r>
        <w:rPr>
          <w:rFonts w:hint="eastAsia" w:ascii="宋体" w:hAnsi="宋体" w:cs="宋体"/>
          <w:b/>
          <w:bCs/>
          <w:sz w:val="28"/>
          <w:szCs w:val="28"/>
          <w:highlight w:val="none"/>
        </w:rPr>
        <w:fldChar w:fldCharType="end"/>
      </w:r>
      <w:r>
        <w:rPr>
          <w:rFonts w:hint="eastAsia" w:ascii="宋体" w:hAnsi="宋体" w:cs="宋体"/>
          <w:b/>
          <w:bCs/>
          <w:sz w:val="28"/>
          <w:szCs w:val="28"/>
          <w:highlight w:val="none"/>
        </w:rPr>
        <w:fldChar w:fldCharType="end"/>
      </w:r>
    </w:p>
    <w:p w14:paraId="59AA67EE">
      <w:pPr>
        <w:pStyle w:val="21"/>
        <w:tabs>
          <w:tab w:val="right" w:leader="dot" w:pos="8675"/>
        </w:tabs>
        <w:spacing w:line="360" w:lineRule="auto"/>
        <w:rPr>
          <w:rFonts w:ascii="宋体" w:hAnsi="宋体" w:cs="宋体"/>
          <w:b/>
          <w:bCs/>
          <w:sz w:val="28"/>
          <w:szCs w:val="28"/>
          <w:highlight w:val="none"/>
        </w:rPr>
      </w:pPr>
      <w:r>
        <w:rPr>
          <w:highlight w:val="none"/>
        </w:rPr>
        <w:fldChar w:fldCharType="begin"/>
      </w:r>
      <w:r>
        <w:rPr>
          <w:highlight w:val="none"/>
        </w:rPr>
        <w:instrText xml:space="preserve"> HYPERLINK \l "_Toc27422" </w:instrText>
      </w:r>
      <w:r>
        <w:rPr>
          <w:highlight w:val="none"/>
        </w:rPr>
        <w:fldChar w:fldCharType="separate"/>
      </w:r>
      <w:r>
        <w:rPr>
          <w:rFonts w:hint="eastAsia" w:ascii="宋体" w:hAnsi="宋体" w:cs="宋体"/>
          <w:b/>
          <w:bCs/>
          <w:sz w:val="28"/>
          <w:szCs w:val="28"/>
          <w:highlight w:val="none"/>
        </w:rPr>
        <w:t>附件15订货情况及排产计划说明</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 PAGEREF _Toc27422 </w:instrText>
      </w:r>
      <w:r>
        <w:rPr>
          <w:rFonts w:hint="eastAsia" w:ascii="宋体" w:hAnsi="宋体" w:cs="宋体"/>
          <w:b/>
          <w:bCs/>
          <w:sz w:val="28"/>
          <w:szCs w:val="28"/>
          <w:highlight w:val="none"/>
        </w:rPr>
        <w:fldChar w:fldCharType="separate"/>
      </w:r>
      <w:r>
        <w:rPr>
          <w:rFonts w:hint="eastAsia" w:ascii="宋体" w:hAnsi="宋体" w:cs="宋体"/>
          <w:b/>
          <w:bCs/>
          <w:sz w:val="28"/>
          <w:szCs w:val="28"/>
          <w:highlight w:val="none"/>
        </w:rPr>
        <w:t>41</w:t>
      </w:r>
      <w:r>
        <w:rPr>
          <w:rFonts w:hint="eastAsia" w:ascii="宋体" w:hAnsi="宋体" w:cs="宋体"/>
          <w:b/>
          <w:bCs/>
          <w:sz w:val="28"/>
          <w:szCs w:val="28"/>
          <w:highlight w:val="none"/>
        </w:rPr>
        <w:fldChar w:fldCharType="end"/>
      </w:r>
      <w:r>
        <w:rPr>
          <w:rFonts w:hint="eastAsia" w:ascii="宋体" w:hAnsi="宋体" w:cs="宋体"/>
          <w:b/>
          <w:bCs/>
          <w:sz w:val="28"/>
          <w:szCs w:val="28"/>
          <w:highlight w:val="none"/>
        </w:rPr>
        <w:fldChar w:fldCharType="end"/>
      </w:r>
    </w:p>
    <w:p w14:paraId="4CC0D6CA">
      <w:pPr>
        <w:pStyle w:val="2"/>
        <w:rPr>
          <w:rStyle w:val="30"/>
          <w:b w:val="0"/>
          <w:bCs/>
          <w:caps/>
          <w:color w:val="auto"/>
          <w:sz w:val="24"/>
          <w:szCs w:val="24"/>
          <w:highlight w:val="none"/>
        </w:rPr>
        <w:sectPr>
          <w:footerReference r:id="rId8" w:type="first"/>
          <w:footerReference r:id="rId7" w:type="default"/>
          <w:type w:val="continuous"/>
          <w:pgSz w:w="11907" w:h="16840"/>
          <w:pgMar w:top="1418" w:right="1531" w:bottom="1418" w:left="1701" w:header="1089" w:footer="1089" w:gutter="0"/>
          <w:pgNumType w:start="0"/>
          <w:cols w:space="720" w:num="1"/>
          <w:docGrid w:linePitch="285" w:charSpace="0"/>
        </w:sectPr>
      </w:pPr>
      <w:r>
        <w:rPr>
          <w:rFonts w:hint="eastAsia" w:hAnsi="宋体" w:cs="宋体"/>
          <w:bCs/>
          <w:caps/>
          <w:sz w:val="28"/>
          <w:szCs w:val="28"/>
          <w:highlight w:val="none"/>
        </w:rPr>
        <w:fldChar w:fldCharType="end"/>
      </w:r>
      <w:bookmarkStart w:id="0" w:name="_Toc18813690"/>
      <w:bookmarkStart w:id="1" w:name="_Toc96238071"/>
      <w:bookmarkStart w:id="2" w:name="_Toc60567001"/>
    </w:p>
    <w:p w14:paraId="64BCF619">
      <w:pPr>
        <w:pStyle w:val="2"/>
        <w:rPr>
          <w:sz w:val="30"/>
          <w:szCs w:val="30"/>
          <w:highlight w:val="none"/>
        </w:rPr>
      </w:pPr>
      <w:bookmarkStart w:id="3" w:name="_Toc1608"/>
      <w:r>
        <w:rPr>
          <w:rFonts w:hint="eastAsia"/>
          <w:sz w:val="30"/>
          <w:szCs w:val="30"/>
          <w:highlight w:val="none"/>
        </w:rPr>
        <w:t>附件</w:t>
      </w:r>
      <w:r>
        <w:rPr>
          <w:sz w:val="30"/>
          <w:szCs w:val="30"/>
          <w:highlight w:val="none"/>
        </w:rPr>
        <w:t>1</w:t>
      </w:r>
      <w:r>
        <w:rPr>
          <w:rFonts w:hint="eastAsia"/>
          <w:sz w:val="30"/>
          <w:szCs w:val="30"/>
          <w:highlight w:val="none"/>
        </w:rPr>
        <w:t xml:space="preserve"> 技术规范</w:t>
      </w:r>
      <w:bookmarkEnd w:id="0"/>
      <w:bookmarkEnd w:id="1"/>
      <w:bookmarkEnd w:id="2"/>
      <w:bookmarkEnd w:id="3"/>
    </w:p>
    <w:p w14:paraId="3028251A">
      <w:pPr>
        <w:pStyle w:val="3"/>
        <w:spacing w:before="0" w:after="0" w:line="500" w:lineRule="exact"/>
        <w:rPr>
          <w:rFonts w:hAnsi="宋体"/>
          <w:bCs/>
          <w:szCs w:val="28"/>
          <w:highlight w:val="none"/>
        </w:rPr>
      </w:pPr>
      <w:bookmarkStart w:id="4" w:name="_Toc96238072"/>
      <w:bookmarkStart w:id="5" w:name="_Toc170462597"/>
      <w:bookmarkStart w:id="6" w:name="_Toc170270571"/>
      <w:r>
        <w:rPr>
          <w:rFonts w:hAnsi="宋体"/>
          <w:bCs/>
          <w:szCs w:val="28"/>
          <w:highlight w:val="none"/>
        </w:rPr>
        <w:t>1</w:t>
      </w:r>
      <w:r>
        <w:rPr>
          <w:rFonts w:hint="eastAsia" w:hAnsi="宋体"/>
          <w:bCs/>
          <w:szCs w:val="28"/>
          <w:highlight w:val="none"/>
        </w:rPr>
        <w:t>总则</w:t>
      </w:r>
      <w:bookmarkEnd w:id="4"/>
      <w:bookmarkEnd w:id="5"/>
      <w:bookmarkEnd w:id="6"/>
    </w:p>
    <w:p w14:paraId="4486714E">
      <w:pPr>
        <w:spacing w:line="500" w:lineRule="exact"/>
        <w:rPr>
          <w:rFonts w:ascii="宋体" w:hAnsi="宋体"/>
          <w:highlight w:val="none"/>
        </w:rPr>
      </w:pPr>
      <w:r>
        <w:rPr>
          <w:rFonts w:ascii="宋体" w:hAnsi="宋体"/>
          <w:highlight w:val="none"/>
        </w:rPr>
        <w:t>1.1</w:t>
      </w:r>
      <w:r>
        <w:rPr>
          <w:rFonts w:hint="eastAsia" w:ascii="宋体" w:hAnsi="宋体" w:cs="Arial"/>
          <w:highlight w:val="none"/>
        </w:rPr>
        <w:t>本招标文件适用于浙能嘉兴电厂7号炉中部水冷壁管屏更换项目所需的水冷壁管屏招标,它提出了该设备的功能设计、结构、性能、</w:t>
      </w:r>
      <w:r>
        <w:rPr>
          <w:rFonts w:hint="eastAsia" w:ascii="宋体" w:hAnsi="宋体" w:cs="Arial"/>
          <w:highlight w:val="none"/>
          <w:lang w:val="en-US" w:eastAsia="zh-CN"/>
        </w:rPr>
        <w:t>指导</w:t>
      </w:r>
      <w:r>
        <w:rPr>
          <w:rFonts w:hint="eastAsia" w:ascii="宋体" w:hAnsi="宋体" w:cs="Arial"/>
          <w:highlight w:val="none"/>
        </w:rPr>
        <w:t>安装等方面的技术要求。</w:t>
      </w:r>
    </w:p>
    <w:p w14:paraId="22D1B011">
      <w:pPr>
        <w:spacing w:line="500" w:lineRule="exact"/>
        <w:rPr>
          <w:rFonts w:ascii="宋体" w:hAnsi="宋体"/>
          <w:highlight w:val="none"/>
        </w:rPr>
      </w:pPr>
      <w:r>
        <w:rPr>
          <w:rFonts w:ascii="宋体" w:hAnsi="宋体"/>
          <w:highlight w:val="none"/>
        </w:rPr>
        <w:t>1.2</w:t>
      </w:r>
      <w:r>
        <w:rPr>
          <w:rFonts w:hint="eastAsia" w:ascii="宋体" w:hAnsi="宋体"/>
          <w:highlight w:val="none"/>
        </w:rPr>
        <w:t>招标人在</w:t>
      </w:r>
      <w:bookmarkStart w:id="7" w:name="_Hlk523265790"/>
      <w:r>
        <w:rPr>
          <w:rFonts w:hint="eastAsia" w:ascii="宋体" w:hAnsi="宋体"/>
          <w:highlight w:val="none"/>
        </w:rPr>
        <w:t>本招标文件</w:t>
      </w:r>
      <w:bookmarkEnd w:id="7"/>
      <w:r>
        <w:rPr>
          <w:rFonts w:hint="eastAsia" w:ascii="宋体" w:hAnsi="宋体"/>
          <w:highlight w:val="none"/>
        </w:rPr>
        <w:t>中提出</w:t>
      </w:r>
      <w:r>
        <w:rPr>
          <w:rFonts w:hint="eastAsia" w:ascii="宋体" w:hAnsi="宋体" w:cs="Arial"/>
          <w:highlight w:val="none"/>
        </w:rPr>
        <w:t>的是关于水冷壁管屏的最低要求，并未对一切技术要求作出详细规定，也未充分引述有关标准和规范的条文，投标人应保证提供满足本招标文件技术要求和最新国家标准以及</w:t>
      </w:r>
      <w:r>
        <w:rPr>
          <w:rFonts w:ascii="宋体" w:hAnsi="宋体" w:cs="Arial"/>
          <w:highlight w:val="none"/>
        </w:rPr>
        <w:t>ASME</w:t>
      </w:r>
      <w:r>
        <w:rPr>
          <w:rFonts w:hint="eastAsia" w:ascii="宋体" w:hAnsi="宋体" w:cs="Arial"/>
          <w:highlight w:val="none"/>
        </w:rPr>
        <w:t>标准要求的合格产品</w:t>
      </w:r>
      <w:r>
        <w:rPr>
          <w:rFonts w:hint="eastAsia" w:ascii="宋体" w:hAnsi="宋体"/>
          <w:highlight w:val="none"/>
        </w:rPr>
        <w:t>及其相应服务</w:t>
      </w:r>
      <w:r>
        <w:rPr>
          <w:rFonts w:hint="eastAsia" w:ascii="宋体" w:hAnsi="宋体"/>
          <w:snapToGrid w:val="0"/>
          <w:highlight w:val="none"/>
        </w:rPr>
        <w:t>。</w:t>
      </w:r>
      <w:r>
        <w:rPr>
          <w:rFonts w:ascii="宋体" w:hAnsi="宋体" w:cs="Arial"/>
          <w:highlight w:val="none"/>
        </w:rPr>
        <w:t>对国家有关安全、环保等强制性标准，必须满足其要求。</w:t>
      </w:r>
    </w:p>
    <w:p w14:paraId="70BD64CE">
      <w:pPr>
        <w:spacing w:line="500" w:lineRule="exact"/>
        <w:rPr>
          <w:rFonts w:ascii="宋体" w:hAnsi="宋体"/>
          <w:highlight w:val="none"/>
        </w:rPr>
      </w:pPr>
      <w:r>
        <w:rPr>
          <w:rFonts w:hint="eastAsia" w:ascii="宋体" w:hAnsi="宋体"/>
          <w:highlight w:val="none"/>
        </w:rPr>
        <w:t>1.</w:t>
      </w:r>
      <w:r>
        <w:rPr>
          <w:rFonts w:ascii="宋体" w:hAnsi="宋体"/>
          <w:highlight w:val="none"/>
        </w:rPr>
        <w:t>3</w:t>
      </w:r>
      <w:r>
        <w:rPr>
          <w:rFonts w:hint="eastAsia" w:ascii="宋体" w:hAnsi="宋体"/>
          <w:highlight w:val="none"/>
        </w:rPr>
        <w:t>投标人如对本招标文件有偏差</w:t>
      </w:r>
      <w:r>
        <w:rPr>
          <w:rFonts w:ascii="宋体" w:hAnsi="宋体"/>
          <w:highlight w:val="none"/>
        </w:rPr>
        <w:t>(</w:t>
      </w:r>
      <w:r>
        <w:rPr>
          <w:rFonts w:hint="eastAsia" w:ascii="宋体" w:hAnsi="宋体"/>
          <w:highlight w:val="none"/>
        </w:rPr>
        <w:t>无论多少或微小</w:t>
      </w:r>
      <w:r>
        <w:rPr>
          <w:rFonts w:ascii="宋体" w:hAnsi="宋体"/>
          <w:highlight w:val="none"/>
        </w:rPr>
        <w:t>)</w:t>
      </w:r>
      <w:r>
        <w:rPr>
          <w:rFonts w:hint="eastAsia" w:ascii="宋体" w:hAnsi="宋体"/>
          <w:highlight w:val="none"/>
        </w:rPr>
        <w:t>，都必须清楚地表示在本招标文件的“差异表”中，否则招标人将认为投标人完全接受和同意本招标文件的要求。投标人如有优于本招标文件基本要求的条款，也应在投标文件中特殊说明。</w:t>
      </w:r>
    </w:p>
    <w:p w14:paraId="12901F8D">
      <w:pPr>
        <w:spacing w:line="500" w:lineRule="exact"/>
        <w:rPr>
          <w:rFonts w:ascii="宋体" w:hAnsi="宋体" w:cs="Arial"/>
          <w:highlight w:val="none"/>
        </w:rPr>
      </w:pPr>
      <w:r>
        <w:rPr>
          <w:rFonts w:hint="eastAsia" w:ascii="宋体" w:hAnsi="宋体"/>
          <w:highlight w:val="none"/>
        </w:rPr>
        <w:t>1.</w:t>
      </w:r>
      <w:r>
        <w:rPr>
          <w:rFonts w:ascii="宋体" w:hAnsi="宋体"/>
          <w:highlight w:val="none"/>
        </w:rPr>
        <w:t>4</w:t>
      </w:r>
      <w:r>
        <w:rPr>
          <w:rFonts w:ascii="宋体" w:hAnsi="宋体" w:cs="Arial"/>
          <w:highlight w:val="none"/>
        </w:rPr>
        <w:t>投标人对供货范围内的</w:t>
      </w:r>
      <w:r>
        <w:rPr>
          <w:rFonts w:hint="eastAsia" w:ascii="宋体" w:hAnsi="宋体" w:cs="Arial"/>
          <w:highlight w:val="none"/>
        </w:rPr>
        <w:t>水冷壁更换项目所需的水冷壁管屏</w:t>
      </w:r>
      <w:r>
        <w:rPr>
          <w:rFonts w:ascii="宋体" w:hAnsi="宋体" w:cs="Arial"/>
          <w:highlight w:val="none"/>
        </w:rPr>
        <w:t>（含辅助系统及设备、附件等）负有全责，即包括分包（或对外采购）的产品。分包（或对外采购）的主要产品制造商应征得招标人的认可。</w:t>
      </w:r>
    </w:p>
    <w:p w14:paraId="62572402">
      <w:pPr>
        <w:spacing w:line="500" w:lineRule="exact"/>
        <w:rPr>
          <w:rFonts w:ascii="宋体" w:hAnsi="宋体" w:cs="Arial"/>
          <w:highlight w:val="none"/>
        </w:rPr>
      </w:pPr>
      <w:bookmarkStart w:id="8" w:name="_Hlt37418005"/>
      <w:bookmarkEnd w:id="8"/>
      <w:r>
        <w:rPr>
          <w:rFonts w:hint="eastAsia" w:ascii="宋体" w:hAnsi="宋体"/>
          <w:highlight w:val="none"/>
        </w:rPr>
        <w:t>1.</w:t>
      </w:r>
      <w:r>
        <w:rPr>
          <w:rFonts w:ascii="宋体" w:hAnsi="宋体"/>
          <w:highlight w:val="none"/>
        </w:rPr>
        <w:t>5</w:t>
      </w:r>
      <w:r>
        <w:rPr>
          <w:rFonts w:ascii="宋体" w:hAnsi="宋体" w:cs="Arial"/>
          <w:highlight w:val="none"/>
        </w:rPr>
        <w:t>投标人应执行本招标文件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14:paraId="62D69911">
      <w:pPr>
        <w:spacing w:line="500" w:lineRule="exact"/>
        <w:rPr>
          <w:rFonts w:ascii="宋体" w:hAnsi="宋体" w:cs="Arial"/>
          <w:highlight w:val="none"/>
        </w:rPr>
      </w:pPr>
      <w:r>
        <w:rPr>
          <w:rFonts w:hint="eastAsia" w:ascii="宋体" w:hAnsi="宋体"/>
          <w:highlight w:val="none"/>
        </w:rPr>
        <w:t>1.</w:t>
      </w:r>
      <w:r>
        <w:rPr>
          <w:rFonts w:ascii="宋体" w:hAnsi="宋体"/>
          <w:highlight w:val="none"/>
        </w:rPr>
        <w:t>6</w:t>
      </w:r>
      <w:r>
        <w:rPr>
          <w:rFonts w:hint="eastAsia" w:ascii="宋体" w:hAnsi="宋体" w:cs="Arial"/>
          <w:highlight w:val="none"/>
        </w:rPr>
        <w:t xml:space="preserve"> 投标人应在投标文件中，对于招标文件进行逐段应答，表明是否接受和同意本招标文件的要求，如：接受和同意招标文件某条款的要求，则在该条款后注明：“理解并承诺完全响应上述条款的要求”；若针对某条款，投标人有特别的建议、方案、技术特点或差异，请在该条款下加以描述和说明。</w:t>
      </w:r>
    </w:p>
    <w:p w14:paraId="1207E3D1">
      <w:pPr>
        <w:spacing w:line="500" w:lineRule="exact"/>
        <w:rPr>
          <w:rFonts w:ascii="宋体" w:hAnsi="宋体" w:cs="Arial"/>
          <w:highlight w:val="none"/>
        </w:rPr>
      </w:pPr>
      <w:r>
        <w:rPr>
          <w:rFonts w:hint="eastAsia" w:ascii="宋体" w:hAnsi="宋体"/>
          <w:highlight w:val="none"/>
        </w:rPr>
        <w:t>1.</w:t>
      </w:r>
      <w:r>
        <w:rPr>
          <w:rFonts w:ascii="宋体" w:hAnsi="宋体"/>
          <w:highlight w:val="none"/>
        </w:rPr>
        <w:t>7</w:t>
      </w:r>
      <w:r>
        <w:rPr>
          <w:rFonts w:hint="eastAsia" w:ascii="宋体" w:hAnsi="宋体"/>
          <w:bCs/>
          <w:highlight w:val="none"/>
        </w:rPr>
        <w:t>投标人后续经招投标双方确认的澄清文件内容的理解如有异议，解释权归招标人。</w:t>
      </w:r>
    </w:p>
    <w:p w14:paraId="56C1876C">
      <w:pPr>
        <w:spacing w:line="500" w:lineRule="exact"/>
        <w:rPr>
          <w:rFonts w:hAnsi="宋体"/>
          <w:highlight w:val="none"/>
        </w:rPr>
      </w:pPr>
      <w:r>
        <w:rPr>
          <w:rFonts w:hint="eastAsia" w:ascii="宋体" w:hAnsi="宋体"/>
          <w:highlight w:val="none"/>
        </w:rPr>
        <w:t>1.</w:t>
      </w:r>
      <w:r>
        <w:rPr>
          <w:rFonts w:ascii="宋体" w:hAnsi="宋体"/>
          <w:highlight w:val="none"/>
        </w:rPr>
        <w:t>8</w:t>
      </w:r>
      <w:r>
        <w:rPr>
          <w:rFonts w:hint="eastAsia"/>
          <w:highlight w:val="none"/>
        </w:rPr>
        <w:t>本工程采用统一标识系统，编码按照</w:t>
      </w:r>
      <w:r>
        <w:rPr>
          <w:highlight w:val="none"/>
        </w:rPr>
        <w:t>GB/T 50549</w:t>
      </w:r>
      <w:r>
        <w:rPr>
          <w:rFonts w:hint="eastAsia"/>
          <w:highlight w:val="none"/>
        </w:rPr>
        <w:t>《电厂标识系统编码标准》执行。</w:t>
      </w:r>
      <w:r>
        <w:rPr>
          <w:highlight w:val="none"/>
        </w:rPr>
        <w:t>投标人</w:t>
      </w:r>
      <w:r>
        <w:rPr>
          <w:rFonts w:hint="eastAsia"/>
          <w:highlight w:val="none"/>
        </w:rPr>
        <w:t>在提供的技术资料（包括图纸）和设备的标识必须有统一编码。编码范围包括投标人所供系统、设备、主要部件（包括分包和采购件）、</w:t>
      </w:r>
      <w:r>
        <w:rPr>
          <w:rFonts w:hint="eastAsia" w:hAnsi="宋体"/>
          <w:highlight w:val="none"/>
        </w:rPr>
        <w:t>电气和仪控的系统、设备，以及接线和安装位置；</w:t>
      </w:r>
      <w:r>
        <w:rPr>
          <w:rFonts w:hint="eastAsia"/>
          <w:highlight w:val="none"/>
        </w:rPr>
        <w:t>设备易损件和构筑物等。</w:t>
      </w:r>
      <w:r>
        <w:rPr>
          <w:highlight w:val="none"/>
        </w:rPr>
        <w:t>投标人</w:t>
      </w:r>
      <w:r>
        <w:rPr>
          <w:rFonts w:hint="eastAsia"/>
          <w:highlight w:val="none"/>
        </w:rPr>
        <w:t>在设计、制造、运输、安装、试运及项目管理等各个环节使用统一编码。编码深度应使标识的“电厂元素”具有唯一性，并在图纸、工程文件或设备清册上清楚标识。</w:t>
      </w:r>
      <w:r>
        <w:rPr>
          <w:rFonts w:hint="eastAsia" w:hAnsi="宋体"/>
          <w:highlight w:val="none"/>
        </w:rPr>
        <w:t>深度至少达到以下要求：</w:t>
      </w:r>
    </w:p>
    <w:p w14:paraId="091DFE5A">
      <w:pPr>
        <w:pStyle w:val="36"/>
        <w:spacing w:line="500" w:lineRule="exact"/>
        <w:ind w:firstLine="480"/>
        <w:rPr>
          <w:rFonts w:hAnsi="宋体"/>
          <w:kern w:val="2"/>
          <w:sz w:val="24"/>
          <w:highlight w:val="none"/>
        </w:rPr>
      </w:pPr>
      <w:r>
        <w:rPr>
          <w:rFonts w:hint="eastAsia" w:hAnsi="宋体"/>
          <w:kern w:val="2"/>
          <w:sz w:val="24"/>
          <w:highlight w:val="none"/>
        </w:rPr>
        <w:t>工艺：工艺系统流程图上应标识设备、管道、阀门、滤网、流量测量装置等设备的编码，在流程图上。设备安装图上应标识到设备单元级或部件级。</w:t>
      </w:r>
    </w:p>
    <w:p w14:paraId="1717CD17">
      <w:pPr>
        <w:pStyle w:val="36"/>
        <w:spacing w:line="500" w:lineRule="exact"/>
        <w:ind w:firstLine="480"/>
        <w:rPr>
          <w:rFonts w:hAnsi="宋体"/>
          <w:kern w:val="2"/>
          <w:sz w:val="24"/>
          <w:highlight w:val="none"/>
        </w:rPr>
      </w:pPr>
      <w:r>
        <w:rPr>
          <w:rFonts w:hint="eastAsia" w:hAnsi="宋体"/>
          <w:kern w:val="2"/>
          <w:sz w:val="24"/>
          <w:highlight w:val="none"/>
        </w:rPr>
        <w:t>编码原则由招标人提出，具体标识由</w:t>
      </w:r>
      <w:r>
        <w:rPr>
          <w:rFonts w:hAnsi="宋体"/>
          <w:kern w:val="2"/>
          <w:sz w:val="24"/>
          <w:highlight w:val="none"/>
        </w:rPr>
        <w:t>投标人</w:t>
      </w:r>
      <w:r>
        <w:rPr>
          <w:rFonts w:hint="eastAsia" w:hAnsi="宋体"/>
          <w:kern w:val="2"/>
          <w:sz w:val="24"/>
          <w:highlight w:val="none"/>
        </w:rPr>
        <w:t>编制。编码使用规范及含编码的设备信息样表</w:t>
      </w:r>
      <w:r>
        <w:rPr>
          <w:rFonts w:hAnsi="宋体"/>
          <w:kern w:val="2"/>
          <w:sz w:val="24"/>
          <w:highlight w:val="none"/>
        </w:rPr>
        <w:t>由</w:t>
      </w:r>
      <w:r>
        <w:rPr>
          <w:rFonts w:hint="eastAsia" w:hAnsi="宋体"/>
          <w:kern w:val="2"/>
          <w:sz w:val="24"/>
          <w:highlight w:val="none"/>
        </w:rPr>
        <w:t>招标人</w:t>
      </w:r>
      <w:r>
        <w:rPr>
          <w:rFonts w:hAnsi="宋体"/>
          <w:kern w:val="2"/>
          <w:sz w:val="24"/>
          <w:highlight w:val="none"/>
        </w:rPr>
        <w:t>提</w:t>
      </w:r>
      <w:r>
        <w:rPr>
          <w:rFonts w:hint="eastAsia" w:hAnsi="宋体"/>
          <w:kern w:val="2"/>
          <w:sz w:val="24"/>
          <w:highlight w:val="none"/>
        </w:rPr>
        <w:t>供。</w:t>
      </w:r>
    </w:p>
    <w:p w14:paraId="0153677F">
      <w:pPr>
        <w:spacing w:line="500" w:lineRule="exact"/>
        <w:rPr>
          <w:highlight w:val="none"/>
        </w:rPr>
      </w:pPr>
      <w:r>
        <w:rPr>
          <w:rFonts w:hint="eastAsia"/>
          <w:highlight w:val="none"/>
        </w:rPr>
        <w:t>1.9 技术协议签订后一周内，按技术协议要求，投标方提出合同设备的设计、制造、检验/工厂试验、装配、安装、调试、试运、验收、性能试验、运行和维护等标准清单给招标方，招标方确认。</w:t>
      </w:r>
    </w:p>
    <w:p w14:paraId="539F85E6">
      <w:pPr>
        <w:spacing w:line="500" w:lineRule="exact"/>
        <w:rPr>
          <w:highlight w:val="none"/>
        </w:rPr>
      </w:pPr>
      <w:r>
        <w:rPr>
          <w:rFonts w:hint="eastAsia"/>
          <w:highlight w:val="none"/>
        </w:rPr>
        <w:t>1.10 本技术规范书为订货合同的附件，与合同正文具有同等法律效力。在合同签定后，招标方有权因规范、标准、规程发生变化而提出一些补充要求，在设备投料生产前，投标方应在设计上给以修改。</w:t>
      </w:r>
    </w:p>
    <w:p w14:paraId="6F2EBDA4">
      <w:pPr>
        <w:pStyle w:val="3"/>
        <w:rPr>
          <w:rFonts w:ascii="Times New Roman"/>
          <w:highlight w:val="none"/>
        </w:rPr>
      </w:pPr>
      <w:bookmarkStart w:id="9" w:name="_Toc170462600"/>
      <w:bookmarkStart w:id="10" w:name="_Toc170270574"/>
      <w:bookmarkStart w:id="11" w:name="_Toc96238075"/>
      <w:r>
        <w:rPr>
          <w:rFonts w:hint="eastAsia" w:hAnsi="宋体"/>
          <w:bCs/>
          <w:szCs w:val="28"/>
          <w:highlight w:val="none"/>
        </w:rPr>
        <w:t xml:space="preserve">2   </w:t>
      </w:r>
      <w:r>
        <w:rPr>
          <w:rFonts w:ascii="Times New Roman"/>
          <w:highlight w:val="none"/>
        </w:rPr>
        <w:t>工程概况</w:t>
      </w:r>
    </w:p>
    <w:p w14:paraId="1C56AE11">
      <w:pPr>
        <w:widowControl/>
        <w:spacing w:line="360" w:lineRule="auto"/>
        <w:ind w:firstLine="504" w:firstLineChars="200"/>
        <w:rPr>
          <w:rFonts w:ascii="宋体" w:hAnsi="宋体"/>
          <w:spacing w:val="6"/>
          <w:kern w:val="4"/>
          <w:highlight w:val="none"/>
        </w:rPr>
      </w:pPr>
      <w:r>
        <w:rPr>
          <w:rFonts w:ascii="宋体" w:hAnsi="宋体"/>
          <w:spacing w:val="6"/>
          <w:kern w:val="4"/>
          <w:highlight w:val="none"/>
        </w:rPr>
        <w:t>浙江浙能嘉华发电有限公司</w:t>
      </w:r>
      <w:r>
        <w:rPr>
          <w:rFonts w:hint="eastAsia" w:ascii="宋体" w:hAnsi="宋体"/>
          <w:spacing w:val="6"/>
          <w:kern w:val="4"/>
          <w:highlight w:val="none"/>
        </w:rPr>
        <w:t>7号机组锅炉为超超临界变压运行直流锅炉，采用П型布置、单炉膛、一次中间再热、低NOX主燃烧器和高位燃尽风分级燃烧技术、反向双切圆燃烧方式，炉膛为内螺纹管垂直上升膜式水冷壁，循环泵启动系统；调温方式除煤/水比外，还采用烟气分配挡板、燃烧器摆动、喷水等方式。锅炉采用平衡通风、露天布置、固态排渣、全钢构架、全悬吊结构。</w:t>
      </w:r>
    </w:p>
    <w:p w14:paraId="5D2BC0CD">
      <w:pPr>
        <w:spacing w:line="360" w:lineRule="auto"/>
        <w:ind w:firstLine="420"/>
        <w:rPr>
          <w:rFonts w:ascii="宋体" w:hAnsi="宋体"/>
          <w:spacing w:val="6"/>
          <w:kern w:val="4"/>
          <w:highlight w:val="none"/>
        </w:rPr>
      </w:pPr>
      <w:r>
        <w:rPr>
          <w:rFonts w:ascii="宋体" w:hAnsi="宋体"/>
          <w:spacing w:val="6"/>
          <w:kern w:val="4"/>
          <w:highlight w:val="none"/>
        </w:rPr>
        <w:t>浙江浙能嘉华发电有限公司</w:t>
      </w:r>
      <w:r>
        <w:rPr>
          <w:rFonts w:hint="eastAsia" w:ascii="宋体" w:hAnsi="宋体"/>
          <w:spacing w:val="6"/>
          <w:kern w:val="4"/>
          <w:highlight w:val="none"/>
        </w:rPr>
        <w:t>7</w:t>
      </w:r>
      <w:r>
        <w:rPr>
          <w:rFonts w:ascii="宋体" w:hAnsi="宋体"/>
          <w:spacing w:val="6"/>
          <w:kern w:val="4"/>
          <w:highlight w:val="none"/>
        </w:rPr>
        <w:t>号炉</w:t>
      </w:r>
      <w:r>
        <w:rPr>
          <w:rFonts w:hint="eastAsia" w:ascii="宋体" w:hAnsi="宋体"/>
          <w:spacing w:val="6"/>
          <w:kern w:val="4"/>
          <w:highlight w:val="none"/>
        </w:rPr>
        <w:t>中部水冷壁散管管屏炉膛水冷壁采用焊接膜式壁、内螺纹管垂直上升膜式水冷壁，炉膛水冷壁采用焊接膜式壁、内螺纹管垂直上升式，炉膛断面尺寸为34220mm×15670mm，水冷壁管共有2240根，前后墙各768根，两侧墙各352根，均为φ28.6mm×5.8mm（最小壁厚）四头螺纹管，管材均为15CrMoG，节距为44.5mm，管子间加焊的扁钢宽为15.9mm，厚度6mm，材质15CrMo，在上下炉膛之间装设了一圈中间混合集箱以消除下炉膛工质吸热与温度的偏差。</w:t>
      </w:r>
    </w:p>
    <w:p w14:paraId="7F8F71BC">
      <w:pPr>
        <w:spacing w:line="360" w:lineRule="auto"/>
        <w:ind w:firstLine="504" w:firstLineChars="200"/>
        <w:rPr>
          <w:rFonts w:ascii="宋体" w:hAnsi="宋体"/>
          <w:spacing w:val="6"/>
          <w:kern w:val="4"/>
          <w:highlight w:val="none"/>
        </w:rPr>
      </w:pPr>
      <w:r>
        <w:rPr>
          <w:rFonts w:hint="eastAsia" w:ascii="宋体" w:hAnsi="宋体"/>
          <w:spacing w:val="6"/>
          <w:kern w:val="4"/>
          <w:highlight w:val="none"/>
        </w:rPr>
        <w:t>在机组常年运行过程中，锅炉水冷壁经长周期运行后中部水冷壁散管管屏H形密封板已碳化并产生裂纹，部分裂纹会延伸，从而拉裂附件管子，影响机组稳定运行，该位置由于H型鳍片的特殊结构，受热不均和应力综合作用，大面积出现裂纹。7、8号机组近年年检修中发现前后墙及左右侧墙上下两道H型鳍片约70%存在大面积裂纹，其中前后墙裂纹较左右侧墙严重，部分裂纹已经裂至水冷壁管。为国内同类型机组均存在的问题，别的集团同类型机组已经发生多次泄漏，嘉电7号机组2022年已经发生泄漏一次。</w:t>
      </w:r>
    </w:p>
    <w:p w14:paraId="4C8DCF80">
      <w:pPr>
        <w:widowControl/>
        <w:spacing w:line="360" w:lineRule="auto"/>
        <w:ind w:firstLine="504" w:firstLineChars="200"/>
        <w:rPr>
          <w:rFonts w:ascii="宋体" w:hAnsi="宋体"/>
          <w:spacing w:val="6"/>
          <w:kern w:val="4"/>
          <w:highlight w:val="none"/>
        </w:rPr>
      </w:pPr>
      <w:r>
        <w:rPr>
          <w:rFonts w:hint="eastAsia" w:ascii="宋体" w:hAnsi="宋体"/>
          <w:spacing w:val="6"/>
          <w:kern w:val="4"/>
          <w:highlight w:val="none"/>
        </w:rPr>
        <w:t>现拟对7号炉中部四周（前后墙及左右侧墙）水冷壁散管及H型板结构进行整体更换，保障机组安全运行。</w:t>
      </w:r>
    </w:p>
    <w:p w14:paraId="6C544322">
      <w:pPr>
        <w:pStyle w:val="3"/>
        <w:spacing w:line="500" w:lineRule="exact"/>
        <w:rPr>
          <w:rFonts w:ascii="Times New Roman"/>
          <w:spacing w:val="5"/>
          <w:sz w:val="24"/>
          <w:szCs w:val="24"/>
          <w:highlight w:val="none"/>
        </w:rPr>
      </w:pPr>
      <w:r>
        <w:rPr>
          <w:rFonts w:hint="eastAsia" w:hAnsi="宋体"/>
          <w:bCs/>
          <w:szCs w:val="28"/>
          <w:highlight w:val="none"/>
        </w:rPr>
        <w:t xml:space="preserve">3   </w:t>
      </w:r>
      <w:r>
        <w:rPr>
          <w:rFonts w:ascii="Times New Roman"/>
          <w:szCs w:val="28"/>
          <w:highlight w:val="none"/>
        </w:rPr>
        <w:t>设计和运行条件</w:t>
      </w:r>
      <w:r>
        <w:rPr>
          <w:rFonts w:ascii="Times New Roman"/>
          <w:b w:val="0"/>
          <w:bCs/>
          <w:sz w:val="24"/>
          <w:szCs w:val="24"/>
          <w:highlight w:val="none"/>
        </w:rPr>
        <w:tab/>
      </w:r>
    </w:p>
    <w:p w14:paraId="536D4C1A">
      <w:pPr>
        <w:widowControl/>
        <w:spacing w:line="500" w:lineRule="exact"/>
        <w:rPr>
          <w:rFonts w:ascii="宋体" w:hAnsi="宋体"/>
          <w:spacing w:val="6"/>
          <w:kern w:val="4"/>
          <w:highlight w:val="none"/>
        </w:rPr>
      </w:pPr>
      <w:r>
        <w:rPr>
          <w:rFonts w:hint="eastAsia" w:ascii="宋体" w:hAnsi="宋体"/>
          <w:spacing w:val="6"/>
          <w:kern w:val="4"/>
          <w:highlight w:val="none"/>
        </w:rPr>
        <w:t>3.1</w:t>
      </w:r>
      <w:r>
        <w:rPr>
          <w:rFonts w:hint="eastAsia" w:ascii="宋体" w:hAnsi="宋体"/>
          <w:spacing w:val="6"/>
          <w:kern w:val="4"/>
          <w:highlight w:val="none"/>
        </w:rPr>
        <w:tab/>
      </w:r>
      <w:r>
        <w:rPr>
          <w:rFonts w:hint="eastAsia" w:ascii="宋体" w:hAnsi="宋体"/>
          <w:spacing w:val="6"/>
          <w:kern w:val="4"/>
          <w:highlight w:val="none"/>
        </w:rPr>
        <w:t>工程主要原始资料</w:t>
      </w:r>
    </w:p>
    <w:p w14:paraId="40BA5EA5">
      <w:pPr>
        <w:widowControl/>
        <w:spacing w:line="500" w:lineRule="exact"/>
        <w:ind w:firstLine="504" w:firstLineChars="200"/>
        <w:rPr>
          <w:rFonts w:ascii="宋体" w:hAnsi="宋体"/>
          <w:spacing w:val="6"/>
          <w:kern w:val="4"/>
          <w:highlight w:val="none"/>
        </w:rPr>
      </w:pPr>
      <w:r>
        <w:rPr>
          <w:rFonts w:hint="eastAsia" w:ascii="宋体" w:hAnsi="宋体"/>
          <w:spacing w:val="6"/>
          <w:kern w:val="4"/>
          <w:highlight w:val="none"/>
        </w:rPr>
        <w:t>厂址地处杭嘉湖平原，厂址地势平坦。杭州湾北侧水下地貌多年来处于基本稳定状态，金山－乍浦深槽的位置多年来未发生变动，北岸岸线亦无明显变化，多年来基本呈冲刷平衡。－12m等深线离岸近，约为100～550m，深槽宽达800～1200m，深槽稳定。</w:t>
      </w:r>
    </w:p>
    <w:p w14:paraId="3A73EEA4">
      <w:pPr>
        <w:widowControl/>
        <w:spacing w:line="500" w:lineRule="exact"/>
        <w:rPr>
          <w:rFonts w:ascii="宋体" w:hAnsi="宋体"/>
          <w:spacing w:val="6"/>
          <w:kern w:val="4"/>
          <w:highlight w:val="none"/>
        </w:rPr>
      </w:pPr>
      <w:r>
        <w:rPr>
          <w:rFonts w:hint="eastAsia" w:ascii="宋体" w:hAnsi="宋体"/>
          <w:spacing w:val="6"/>
          <w:kern w:val="4"/>
          <w:highlight w:val="none"/>
        </w:rPr>
        <w:t>3.1.2气象特征与环境条件</w:t>
      </w:r>
      <w:r>
        <w:rPr>
          <w:rFonts w:hint="eastAsia" w:ascii="宋体" w:hAnsi="宋体"/>
          <w:spacing w:val="6"/>
          <w:kern w:val="4"/>
          <w:highlight w:val="none"/>
        </w:rPr>
        <w:tab/>
      </w:r>
    </w:p>
    <w:p w14:paraId="1D552A0F">
      <w:pPr>
        <w:widowControl/>
        <w:autoSpaceDE w:val="0"/>
        <w:autoSpaceDN w:val="0"/>
        <w:spacing w:line="360" w:lineRule="auto"/>
        <w:textAlignment w:val="bottom"/>
        <w:rPr>
          <w:rFonts w:ascii="宋体" w:hAnsi="宋体"/>
          <w:highlight w:val="none"/>
        </w:rPr>
      </w:pPr>
      <w:r>
        <w:rPr>
          <w:rFonts w:hint="eastAsia" w:ascii="宋体" w:hAnsi="宋体"/>
          <w:highlight w:val="none"/>
        </w:rPr>
        <w:t>多年平均气压       1016.1 hPa</w:t>
      </w:r>
    </w:p>
    <w:p w14:paraId="7667842D">
      <w:pPr>
        <w:widowControl/>
        <w:autoSpaceDE w:val="0"/>
        <w:autoSpaceDN w:val="0"/>
        <w:spacing w:line="360" w:lineRule="auto"/>
        <w:textAlignment w:val="bottom"/>
        <w:rPr>
          <w:rFonts w:ascii="宋体" w:hAnsi="宋体"/>
          <w:highlight w:val="none"/>
        </w:rPr>
      </w:pPr>
      <w:r>
        <w:rPr>
          <w:rFonts w:hint="eastAsia" w:ascii="宋体" w:hAnsi="宋体"/>
          <w:highlight w:val="none"/>
        </w:rPr>
        <w:t>多年平均气温       15.7℃</w:t>
      </w:r>
    </w:p>
    <w:p w14:paraId="13834571">
      <w:pPr>
        <w:widowControl/>
        <w:autoSpaceDE w:val="0"/>
        <w:autoSpaceDN w:val="0"/>
        <w:spacing w:line="360" w:lineRule="auto"/>
        <w:textAlignment w:val="bottom"/>
        <w:rPr>
          <w:rFonts w:ascii="宋体" w:hAnsi="宋体"/>
          <w:highlight w:val="none"/>
        </w:rPr>
      </w:pPr>
      <w:r>
        <w:rPr>
          <w:rFonts w:hint="eastAsia" w:ascii="宋体" w:hAnsi="宋体"/>
          <w:highlight w:val="none"/>
        </w:rPr>
        <w:t>最热月平均气温     28.1℃</w:t>
      </w:r>
    </w:p>
    <w:p w14:paraId="09EC11F7">
      <w:pPr>
        <w:widowControl/>
        <w:autoSpaceDE w:val="0"/>
        <w:autoSpaceDN w:val="0"/>
        <w:spacing w:line="360" w:lineRule="auto"/>
        <w:textAlignment w:val="bottom"/>
        <w:rPr>
          <w:rFonts w:ascii="宋体" w:hAnsi="宋体"/>
          <w:highlight w:val="none"/>
        </w:rPr>
      </w:pPr>
      <w:r>
        <w:rPr>
          <w:rFonts w:hint="eastAsia" w:ascii="宋体" w:hAnsi="宋体"/>
          <w:highlight w:val="none"/>
        </w:rPr>
        <w:t>最冷月平均气温     3.5℃</w:t>
      </w:r>
    </w:p>
    <w:p w14:paraId="5460B9E6">
      <w:pPr>
        <w:widowControl/>
        <w:autoSpaceDE w:val="0"/>
        <w:autoSpaceDN w:val="0"/>
        <w:spacing w:line="360" w:lineRule="auto"/>
        <w:textAlignment w:val="bottom"/>
        <w:rPr>
          <w:rFonts w:ascii="宋体" w:hAnsi="宋体"/>
          <w:highlight w:val="none"/>
        </w:rPr>
      </w:pPr>
      <w:r>
        <w:rPr>
          <w:rFonts w:hint="eastAsia" w:ascii="宋体" w:hAnsi="宋体"/>
          <w:highlight w:val="none"/>
        </w:rPr>
        <w:t>极端最高气温       38.4 ℃</w:t>
      </w:r>
    </w:p>
    <w:p w14:paraId="73C4E7E6">
      <w:pPr>
        <w:widowControl/>
        <w:autoSpaceDE w:val="0"/>
        <w:autoSpaceDN w:val="0"/>
        <w:spacing w:line="360" w:lineRule="auto"/>
        <w:textAlignment w:val="bottom"/>
        <w:rPr>
          <w:rFonts w:ascii="宋体" w:hAnsi="宋体"/>
          <w:highlight w:val="none"/>
        </w:rPr>
      </w:pPr>
      <w:r>
        <w:rPr>
          <w:rFonts w:hint="eastAsia" w:ascii="宋体" w:hAnsi="宋体"/>
          <w:highlight w:val="none"/>
        </w:rPr>
        <w:t xml:space="preserve">极端最低气温       -10.6℃ </w:t>
      </w:r>
    </w:p>
    <w:p w14:paraId="65F96062">
      <w:pPr>
        <w:widowControl/>
        <w:autoSpaceDE w:val="0"/>
        <w:autoSpaceDN w:val="0"/>
        <w:spacing w:line="360" w:lineRule="auto"/>
        <w:textAlignment w:val="bottom"/>
        <w:rPr>
          <w:rFonts w:ascii="宋体" w:hAnsi="宋体"/>
          <w:highlight w:val="none"/>
        </w:rPr>
      </w:pPr>
      <w:r>
        <w:rPr>
          <w:rFonts w:hint="eastAsia" w:ascii="宋体" w:hAnsi="宋体"/>
          <w:highlight w:val="none"/>
        </w:rPr>
        <w:t>多年平均水汽压     16.9 hPa</w:t>
      </w:r>
    </w:p>
    <w:p w14:paraId="01263ECD">
      <w:pPr>
        <w:widowControl/>
        <w:autoSpaceDE w:val="0"/>
        <w:autoSpaceDN w:val="0"/>
        <w:spacing w:line="360" w:lineRule="auto"/>
        <w:textAlignment w:val="bottom"/>
        <w:rPr>
          <w:rFonts w:ascii="宋体" w:hAnsi="宋体"/>
          <w:highlight w:val="none"/>
        </w:rPr>
      </w:pPr>
      <w:r>
        <w:rPr>
          <w:rFonts w:hint="eastAsia" w:ascii="宋体" w:hAnsi="宋体"/>
          <w:highlight w:val="none"/>
        </w:rPr>
        <w:t>历年最大水汽压     41.0 hPa</w:t>
      </w:r>
    </w:p>
    <w:p w14:paraId="6F46FA09">
      <w:pPr>
        <w:widowControl/>
        <w:autoSpaceDE w:val="0"/>
        <w:autoSpaceDN w:val="0"/>
        <w:spacing w:line="360" w:lineRule="auto"/>
        <w:textAlignment w:val="bottom"/>
        <w:rPr>
          <w:rFonts w:ascii="宋体" w:hAnsi="宋体"/>
          <w:highlight w:val="none"/>
        </w:rPr>
      </w:pPr>
      <w:r>
        <w:rPr>
          <w:rFonts w:hint="eastAsia" w:ascii="宋体" w:hAnsi="宋体"/>
          <w:highlight w:val="none"/>
        </w:rPr>
        <w:t>历年最小水汽压     1.2hPa</w:t>
      </w:r>
    </w:p>
    <w:p w14:paraId="1A6406AF">
      <w:pPr>
        <w:widowControl/>
        <w:autoSpaceDE w:val="0"/>
        <w:autoSpaceDN w:val="0"/>
        <w:spacing w:line="360" w:lineRule="auto"/>
        <w:textAlignment w:val="bottom"/>
        <w:rPr>
          <w:rFonts w:ascii="宋体" w:hAnsi="宋体"/>
          <w:highlight w:val="none"/>
        </w:rPr>
      </w:pPr>
      <w:r>
        <w:rPr>
          <w:rFonts w:hint="eastAsia" w:ascii="宋体" w:hAnsi="宋体"/>
          <w:highlight w:val="none"/>
        </w:rPr>
        <w:t>多年平均相对湿度   82%</w:t>
      </w:r>
    </w:p>
    <w:p w14:paraId="4A02F9FA">
      <w:pPr>
        <w:widowControl/>
        <w:autoSpaceDE w:val="0"/>
        <w:autoSpaceDN w:val="0"/>
        <w:spacing w:line="360" w:lineRule="auto"/>
        <w:textAlignment w:val="bottom"/>
        <w:rPr>
          <w:rFonts w:ascii="宋体" w:hAnsi="宋体"/>
          <w:highlight w:val="none"/>
        </w:rPr>
      </w:pPr>
      <w:r>
        <w:rPr>
          <w:rFonts w:hint="eastAsia" w:ascii="宋体" w:hAnsi="宋体"/>
          <w:highlight w:val="none"/>
        </w:rPr>
        <w:t xml:space="preserve">历年最小相对湿度   9 %    </w:t>
      </w:r>
    </w:p>
    <w:p w14:paraId="3EC76D9D">
      <w:pPr>
        <w:widowControl/>
        <w:autoSpaceDE w:val="0"/>
        <w:autoSpaceDN w:val="0"/>
        <w:spacing w:line="360" w:lineRule="auto"/>
        <w:textAlignment w:val="bottom"/>
        <w:rPr>
          <w:rFonts w:ascii="宋体" w:hAnsi="宋体"/>
          <w:highlight w:val="none"/>
        </w:rPr>
      </w:pPr>
      <w:r>
        <w:rPr>
          <w:rFonts w:hint="eastAsia" w:ascii="宋体" w:hAnsi="宋体"/>
          <w:highlight w:val="none"/>
        </w:rPr>
        <w:t>多年平均降水量     1162.0mm</w:t>
      </w:r>
    </w:p>
    <w:p w14:paraId="16A8AA1C">
      <w:pPr>
        <w:widowControl/>
        <w:autoSpaceDE w:val="0"/>
        <w:autoSpaceDN w:val="0"/>
        <w:spacing w:line="360" w:lineRule="auto"/>
        <w:textAlignment w:val="bottom"/>
        <w:rPr>
          <w:rFonts w:ascii="宋体" w:hAnsi="宋体"/>
          <w:highlight w:val="none"/>
        </w:rPr>
      </w:pPr>
      <w:r>
        <w:rPr>
          <w:rFonts w:hint="eastAsia" w:ascii="宋体" w:hAnsi="宋体"/>
          <w:highlight w:val="none"/>
        </w:rPr>
        <w:t>历年最大年降水量   1764.0mm</w:t>
      </w:r>
    </w:p>
    <w:p w14:paraId="535EB179">
      <w:pPr>
        <w:widowControl/>
        <w:autoSpaceDE w:val="0"/>
        <w:autoSpaceDN w:val="0"/>
        <w:spacing w:line="360" w:lineRule="auto"/>
        <w:textAlignment w:val="bottom"/>
        <w:rPr>
          <w:rFonts w:ascii="宋体" w:hAnsi="宋体"/>
          <w:highlight w:val="none"/>
        </w:rPr>
      </w:pPr>
      <w:r>
        <w:rPr>
          <w:rFonts w:hint="eastAsia" w:ascii="宋体" w:hAnsi="宋体"/>
          <w:highlight w:val="none"/>
        </w:rPr>
        <w:t>历年最小年降水量   791.3mm</w:t>
      </w:r>
    </w:p>
    <w:p w14:paraId="45B25870">
      <w:pPr>
        <w:widowControl/>
        <w:autoSpaceDE w:val="0"/>
        <w:autoSpaceDN w:val="0"/>
        <w:spacing w:line="360" w:lineRule="auto"/>
        <w:textAlignment w:val="bottom"/>
        <w:rPr>
          <w:rFonts w:ascii="宋体" w:hAnsi="宋体"/>
          <w:highlight w:val="none"/>
        </w:rPr>
      </w:pPr>
      <w:r>
        <w:rPr>
          <w:rFonts w:hint="eastAsia" w:ascii="宋体" w:hAnsi="宋体"/>
          <w:highlight w:val="none"/>
        </w:rPr>
        <w:t>历年最大日降水量   276.4mm</w:t>
      </w:r>
    </w:p>
    <w:p w14:paraId="7704942D">
      <w:pPr>
        <w:widowControl/>
        <w:autoSpaceDE w:val="0"/>
        <w:autoSpaceDN w:val="0"/>
        <w:spacing w:line="360" w:lineRule="auto"/>
        <w:textAlignment w:val="bottom"/>
        <w:rPr>
          <w:rFonts w:ascii="宋体" w:hAnsi="宋体"/>
          <w:highlight w:val="none"/>
        </w:rPr>
      </w:pPr>
      <w:r>
        <w:rPr>
          <w:rFonts w:hint="eastAsia" w:ascii="宋体" w:hAnsi="宋体"/>
          <w:highlight w:val="none"/>
        </w:rPr>
        <w:t>历年最大一小时降水量29.1mm</w:t>
      </w:r>
    </w:p>
    <w:p w14:paraId="1F775D01">
      <w:pPr>
        <w:widowControl/>
        <w:autoSpaceDE w:val="0"/>
        <w:autoSpaceDN w:val="0"/>
        <w:spacing w:line="360" w:lineRule="auto"/>
        <w:textAlignment w:val="bottom"/>
        <w:rPr>
          <w:rFonts w:ascii="宋体" w:hAnsi="宋体"/>
          <w:highlight w:val="none"/>
        </w:rPr>
      </w:pPr>
      <w:r>
        <w:rPr>
          <w:rFonts w:hint="eastAsia" w:ascii="宋体" w:hAnsi="宋体"/>
          <w:highlight w:val="none"/>
        </w:rPr>
        <w:t>多年平均蒸发量     1291.1mm</w:t>
      </w:r>
    </w:p>
    <w:p w14:paraId="1B66BC20">
      <w:pPr>
        <w:widowControl/>
        <w:autoSpaceDE w:val="0"/>
        <w:autoSpaceDN w:val="0"/>
        <w:spacing w:line="360" w:lineRule="auto"/>
        <w:textAlignment w:val="bottom"/>
        <w:rPr>
          <w:rFonts w:ascii="宋体" w:hAnsi="宋体"/>
          <w:highlight w:val="none"/>
        </w:rPr>
      </w:pPr>
      <w:r>
        <w:rPr>
          <w:rFonts w:hint="eastAsia" w:ascii="宋体" w:hAnsi="宋体"/>
          <w:highlight w:val="none"/>
        </w:rPr>
        <w:t>多年平均雷暴日数  31.9 d</w:t>
      </w:r>
    </w:p>
    <w:p w14:paraId="5DB283F0">
      <w:pPr>
        <w:widowControl/>
        <w:autoSpaceDE w:val="0"/>
        <w:autoSpaceDN w:val="0"/>
        <w:spacing w:line="360" w:lineRule="auto"/>
        <w:textAlignment w:val="bottom"/>
        <w:rPr>
          <w:rFonts w:ascii="宋体" w:hAnsi="宋体"/>
          <w:highlight w:val="none"/>
        </w:rPr>
      </w:pPr>
      <w:r>
        <w:rPr>
          <w:rFonts w:hint="eastAsia" w:ascii="宋体" w:hAnsi="宋体"/>
          <w:highlight w:val="none"/>
        </w:rPr>
        <w:t>历年最多雷暴日数   56d</w:t>
      </w:r>
    </w:p>
    <w:p w14:paraId="1449E491">
      <w:pPr>
        <w:widowControl/>
        <w:autoSpaceDE w:val="0"/>
        <w:autoSpaceDN w:val="0"/>
        <w:spacing w:line="360" w:lineRule="auto"/>
        <w:textAlignment w:val="bottom"/>
        <w:rPr>
          <w:rFonts w:ascii="宋体" w:hAnsi="宋体"/>
          <w:highlight w:val="none"/>
        </w:rPr>
      </w:pPr>
      <w:r>
        <w:rPr>
          <w:rFonts w:hint="eastAsia" w:ascii="宋体" w:hAnsi="宋体"/>
          <w:highlight w:val="none"/>
        </w:rPr>
        <w:t>多年平均雾日数     35.7d</w:t>
      </w:r>
    </w:p>
    <w:p w14:paraId="6184AC40">
      <w:pPr>
        <w:widowControl/>
        <w:autoSpaceDE w:val="0"/>
        <w:autoSpaceDN w:val="0"/>
        <w:spacing w:line="360" w:lineRule="auto"/>
        <w:textAlignment w:val="bottom"/>
        <w:rPr>
          <w:rFonts w:ascii="宋体" w:hAnsi="宋体"/>
          <w:highlight w:val="none"/>
        </w:rPr>
      </w:pPr>
      <w:r>
        <w:rPr>
          <w:rFonts w:hint="eastAsia" w:ascii="宋体" w:hAnsi="宋体"/>
          <w:highlight w:val="none"/>
        </w:rPr>
        <w:t>历年最多雾日数     57d</w:t>
      </w:r>
    </w:p>
    <w:p w14:paraId="0C0AA9AE">
      <w:pPr>
        <w:widowControl/>
        <w:autoSpaceDE w:val="0"/>
        <w:autoSpaceDN w:val="0"/>
        <w:spacing w:line="360" w:lineRule="auto"/>
        <w:textAlignment w:val="bottom"/>
        <w:rPr>
          <w:rFonts w:ascii="宋体" w:hAnsi="宋体"/>
          <w:highlight w:val="none"/>
        </w:rPr>
      </w:pPr>
      <w:r>
        <w:rPr>
          <w:rFonts w:hint="eastAsia" w:ascii="宋体" w:hAnsi="宋体"/>
          <w:highlight w:val="none"/>
        </w:rPr>
        <w:t>历年最大积雪深度   15cm</w:t>
      </w:r>
    </w:p>
    <w:p w14:paraId="5CD23569">
      <w:pPr>
        <w:widowControl/>
        <w:autoSpaceDE w:val="0"/>
        <w:autoSpaceDN w:val="0"/>
        <w:spacing w:line="360" w:lineRule="auto"/>
        <w:textAlignment w:val="bottom"/>
        <w:rPr>
          <w:rFonts w:ascii="宋体" w:hAnsi="宋体"/>
          <w:highlight w:val="none"/>
        </w:rPr>
      </w:pPr>
      <w:r>
        <w:rPr>
          <w:rFonts w:hint="eastAsia" w:ascii="宋体" w:hAnsi="宋体"/>
          <w:highlight w:val="none"/>
        </w:rPr>
        <w:t>多年平均风速       3.4  m/s</w:t>
      </w:r>
    </w:p>
    <w:p w14:paraId="1F8ECE5C">
      <w:pPr>
        <w:widowControl/>
        <w:autoSpaceDE w:val="0"/>
        <w:autoSpaceDN w:val="0"/>
        <w:spacing w:line="360" w:lineRule="auto"/>
        <w:textAlignment w:val="bottom"/>
        <w:rPr>
          <w:rFonts w:ascii="宋体" w:hAnsi="宋体"/>
          <w:highlight w:val="none"/>
        </w:rPr>
      </w:pPr>
      <w:r>
        <w:rPr>
          <w:rFonts w:hint="eastAsia" w:ascii="宋体" w:hAnsi="宋体"/>
          <w:highlight w:val="none"/>
        </w:rPr>
        <w:t>历年实测十分钟平均最大风速  20.3m/s</w:t>
      </w:r>
    </w:p>
    <w:p w14:paraId="0588B504">
      <w:pPr>
        <w:widowControl/>
        <w:autoSpaceDE w:val="0"/>
        <w:autoSpaceDN w:val="0"/>
        <w:spacing w:line="360" w:lineRule="auto"/>
        <w:textAlignment w:val="bottom"/>
        <w:rPr>
          <w:rFonts w:ascii="宋体" w:hAnsi="宋体"/>
          <w:highlight w:val="none"/>
        </w:rPr>
      </w:pPr>
      <w:r>
        <w:rPr>
          <w:rFonts w:hint="eastAsia" w:ascii="宋体" w:hAnsi="宋体"/>
          <w:highlight w:val="none"/>
        </w:rPr>
        <w:t xml:space="preserve">历年实测瞬时最大风速  37.0m/s </w:t>
      </w:r>
    </w:p>
    <w:p w14:paraId="3567F5D8">
      <w:pPr>
        <w:widowControl/>
        <w:autoSpaceDE w:val="0"/>
        <w:autoSpaceDN w:val="0"/>
        <w:spacing w:line="360" w:lineRule="auto"/>
        <w:textAlignment w:val="bottom"/>
        <w:rPr>
          <w:rFonts w:ascii="宋体" w:hAnsi="宋体"/>
          <w:highlight w:val="none"/>
        </w:rPr>
      </w:pPr>
      <w:r>
        <w:rPr>
          <w:rFonts w:hint="eastAsia" w:ascii="宋体" w:hAnsi="宋体"/>
          <w:highlight w:val="none"/>
        </w:rPr>
        <w:t>历年主导风向       SE</w:t>
      </w:r>
    </w:p>
    <w:p w14:paraId="6697E2E0">
      <w:pPr>
        <w:widowControl/>
        <w:autoSpaceDE w:val="0"/>
        <w:autoSpaceDN w:val="0"/>
        <w:spacing w:line="360" w:lineRule="auto"/>
        <w:textAlignment w:val="bottom"/>
        <w:rPr>
          <w:rFonts w:ascii="宋体" w:hAnsi="宋体"/>
          <w:highlight w:val="none"/>
        </w:rPr>
      </w:pPr>
      <w:r>
        <w:rPr>
          <w:rFonts w:hint="eastAsia" w:ascii="宋体" w:hAnsi="宋体"/>
          <w:highlight w:val="none"/>
        </w:rPr>
        <w:t>历年冬季主导风向   NW</w:t>
      </w:r>
    </w:p>
    <w:p w14:paraId="655BABFA">
      <w:pPr>
        <w:widowControl/>
        <w:autoSpaceDE w:val="0"/>
        <w:autoSpaceDN w:val="0"/>
        <w:spacing w:line="360" w:lineRule="auto"/>
        <w:textAlignment w:val="bottom"/>
        <w:rPr>
          <w:rFonts w:ascii="宋体" w:hAnsi="宋体"/>
          <w:highlight w:val="none"/>
        </w:rPr>
      </w:pPr>
      <w:r>
        <w:rPr>
          <w:rFonts w:hint="eastAsia" w:ascii="宋体" w:hAnsi="宋体"/>
          <w:highlight w:val="none"/>
        </w:rPr>
        <w:t>历年夏季主导风向   SE</w:t>
      </w:r>
    </w:p>
    <w:p w14:paraId="52B24C47">
      <w:pPr>
        <w:widowControl/>
        <w:autoSpaceDE w:val="0"/>
        <w:autoSpaceDN w:val="0"/>
        <w:spacing w:line="360" w:lineRule="auto"/>
        <w:textAlignment w:val="bottom"/>
        <w:rPr>
          <w:rFonts w:ascii="宋体" w:hAnsi="宋体"/>
          <w:highlight w:val="none"/>
        </w:rPr>
      </w:pPr>
      <w:r>
        <w:rPr>
          <w:rFonts w:hint="eastAsia" w:ascii="宋体" w:hAnsi="宋体"/>
          <w:highlight w:val="none"/>
        </w:rPr>
        <w:t>3.1.3地震烈度</w:t>
      </w:r>
    </w:p>
    <w:p w14:paraId="28D520F1">
      <w:pPr>
        <w:widowControl/>
        <w:autoSpaceDE w:val="0"/>
        <w:autoSpaceDN w:val="0"/>
        <w:spacing w:line="360" w:lineRule="auto"/>
        <w:textAlignment w:val="bottom"/>
        <w:rPr>
          <w:rFonts w:ascii="宋体" w:hAnsi="宋体"/>
          <w:highlight w:val="none"/>
        </w:rPr>
      </w:pPr>
      <w:r>
        <w:rPr>
          <w:rFonts w:hint="eastAsia" w:ascii="宋体" w:hAnsi="宋体"/>
          <w:highlight w:val="none"/>
        </w:rPr>
        <w:t>厂区域抗震设防烈度为Ⅵ度</w:t>
      </w:r>
    </w:p>
    <w:p w14:paraId="7253BEBB">
      <w:pPr>
        <w:widowControl/>
        <w:spacing w:line="500" w:lineRule="exact"/>
        <w:rPr>
          <w:rFonts w:ascii="宋体" w:hAnsi="宋体"/>
          <w:spacing w:val="6"/>
          <w:kern w:val="4"/>
          <w:highlight w:val="none"/>
        </w:rPr>
      </w:pPr>
      <w:bookmarkStart w:id="12" w:name="_Hlk523387040"/>
      <w:r>
        <w:rPr>
          <w:rFonts w:hint="eastAsia" w:ascii="宋体" w:hAnsi="宋体"/>
          <w:spacing w:val="6"/>
          <w:kern w:val="4"/>
          <w:highlight w:val="none"/>
        </w:rPr>
        <w:t>3.2</w:t>
      </w:r>
      <w:bookmarkEnd w:id="12"/>
      <w:r>
        <w:rPr>
          <w:rFonts w:hint="eastAsia" w:ascii="宋体" w:hAnsi="宋体"/>
          <w:spacing w:val="6"/>
          <w:kern w:val="4"/>
          <w:highlight w:val="none"/>
        </w:rPr>
        <w:tab/>
      </w:r>
      <w:r>
        <w:rPr>
          <w:rFonts w:hint="eastAsia" w:ascii="宋体" w:hAnsi="宋体"/>
          <w:spacing w:val="6"/>
          <w:kern w:val="4"/>
          <w:highlight w:val="none"/>
        </w:rPr>
        <w:t>系统概况和相关设备</w:t>
      </w:r>
    </w:p>
    <w:p w14:paraId="3BD0BC69">
      <w:pPr>
        <w:snapToGrid w:val="0"/>
        <w:spacing w:line="500" w:lineRule="exact"/>
        <w:ind w:firstLine="420"/>
        <w:rPr>
          <w:rFonts w:ascii="宋体" w:hAnsi="宋体"/>
          <w:spacing w:val="6"/>
          <w:kern w:val="4"/>
          <w:highlight w:val="none"/>
        </w:rPr>
      </w:pPr>
      <w:r>
        <w:rPr>
          <w:rFonts w:hint="eastAsia" w:ascii="宋体" w:hAnsi="宋体"/>
          <w:spacing w:val="6"/>
          <w:kern w:val="4"/>
          <w:highlight w:val="none"/>
        </w:rPr>
        <w:t>7号炉炉膛水冷壁采用焊接膜式壁、内螺纹管垂直上升式，炉膛断面尺寸为34220mm×15670mm，水冷壁管共有2240根，前后墙各768根，两侧墙各352根，均为φ28.6mm×5.8mm（最小壁厚）四头螺纹管，管材均为15CrMoG，节距为44.5mm，管子间加焊的扁钢宽为15.9mm，厚度6mm，材质15CrMo，在上下炉膛之间装设了一圈中间混合集箱以消除下炉膛工质吸热与温度的偏差。</w:t>
      </w:r>
    </w:p>
    <w:p w14:paraId="7CDA23AD">
      <w:pPr>
        <w:pStyle w:val="3"/>
        <w:rPr>
          <w:rFonts w:hAnsi="宋体"/>
          <w:bCs/>
          <w:szCs w:val="28"/>
          <w:highlight w:val="none"/>
        </w:rPr>
      </w:pPr>
      <w:r>
        <w:rPr>
          <w:rFonts w:hint="eastAsia" w:hAnsi="宋体"/>
          <w:bCs/>
          <w:szCs w:val="28"/>
          <w:highlight w:val="none"/>
        </w:rPr>
        <w:t>4   技术条件</w:t>
      </w:r>
      <w:bookmarkEnd w:id="9"/>
      <w:bookmarkEnd w:id="10"/>
      <w:bookmarkEnd w:id="11"/>
    </w:p>
    <w:p w14:paraId="421F74B7">
      <w:pPr>
        <w:spacing w:line="360" w:lineRule="auto"/>
        <w:rPr>
          <w:rFonts w:ascii="宋体" w:hAnsi="宋体" w:cs="宋体"/>
          <w:b/>
          <w:bCs/>
          <w:kern w:val="44"/>
          <w:highlight w:val="none"/>
        </w:rPr>
      </w:pPr>
      <w:bookmarkStart w:id="13" w:name="_Toc388871161"/>
      <w:bookmarkStart w:id="14" w:name="_Toc392056589"/>
      <w:r>
        <w:rPr>
          <w:rFonts w:hint="eastAsia" w:ascii="宋体" w:hAnsi="宋体" w:cs="宋体"/>
          <w:bCs/>
          <w:kern w:val="44"/>
          <w:highlight w:val="none"/>
        </w:rPr>
        <w:t>4.1.</w:t>
      </w:r>
      <w:r>
        <w:rPr>
          <w:rFonts w:hint="eastAsia"/>
          <w:szCs w:val="20"/>
          <w:highlight w:val="none"/>
        </w:rPr>
        <w:t xml:space="preserve"> </w:t>
      </w:r>
      <w:r>
        <w:rPr>
          <w:rFonts w:hint="eastAsia"/>
          <w:b/>
          <w:szCs w:val="20"/>
          <w:highlight w:val="none"/>
        </w:rPr>
        <w:t>水冷壁制造的技术要求</w:t>
      </w:r>
    </w:p>
    <w:p w14:paraId="6E1EC1C4">
      <w:pPr>
        <w:spacing w:line="360" w:lineRule="auto"/>
        <w:rPr>
          <w:rFonts w:ascii="宋体" w:hAnsi="宋体" w:cs="宋体"/>
          <w:spacing w:val="6"/>
          <w:kern w:val="4"/>
          <w:highlight w:val="none"/>
        </w:rPr>
      </w:pPr>
      <w:r>
        <w:rPr>
          <w:rFonts w:hint="eastAsia" w:ascii="宋体" w:hAnsi="宋体" w:cs="宋体"/>
          <w:bCs/>
          <w:kern w:val="44"/>
          <w:highlight w:val="none"/>
        </w:rPr>
        <w:t>4.1.1水冷壁管屏</w:t>
      </w:r>
      <w:bookmarkEnd w:id="13"/>
      <w:bookmarkEnd w:id="14"/>
      <w:r>
        <w:rPr>
          <w:rFonts w:hint="eastAsia" w:ascii="宋体" w:hAnsi="宋体"/>
          <w:szCs w:val="20"/>
          <w:highlight w:val="none"/>
        </w:rPr>
        <w:t>的制作应符合</w:t>
      </w:r>
      <w:r>
        <w:rPr>
          <w:rFonts w:ascii="宋体" w:hAnsi="宋体"/>
          <w:szCs w:val="20"/>
          <w:highlight w:val="none"/>
        </w:rPr>
        <w:t>ASC/ASME10002</w:t>
      </w:r>
      <w:r>
        <w:rPr>
          <w:rFonts w:hint="eastAsia" w:ascii="宋体" w:hAnsi="宋体"/>
          <w:szCs w:val="20"/>
          <w:highlight w:val="none"/>
        </w:rPr>
        <w:t>《锅炉膜式管屏制造技术条件》</w:t>
      </w:r>
      <w:r>
        <w:rPr>
          <w:rFonts w:hint="eastAsia"/>
          <w:szCs w:val="20"/>
          <w:highlight w:val="none"/>
        </w:rPr>
        <w:t>。鳍片材质应与水冷壁管相同，鳍片焊接应采用自动焊</w:t>
      </w:r>
      <w:r>
        <w:rPr>
          <w:rFonts w:hint="eastAsia" w:ascii="宋体" w:hAnsi="宋体" w:cs="宋体"/>
          <w:spacing w:val="6"/>
          <w:kern w:val="4"/>
          <w:highlight w:val="none"/>
        </w:rPr>
        <w:t>。</w:t>
      </w:r>
      <w:r>
        <w:rPr>
          <w:rFonts w:hint="eastAsia" w:ascii="宋体" w:hAnsi="宋体"/>
          <w:szCs w:val="20"/>
          <w:highlight w:val="none"/>
        </w:rPr>
        <w:t>嘉兴电厂采购的锅炉水冷壁管屏，需采用符合ASME SA—213/SA－213M标准的φ28.6×5.8MWT、SA-213T12规格材料的内螺纹管和δ=8、15CrMo、12Cr1MoV鳍片材料制作。</w:t>
      </w:r>
    </w:p>
    <w:p w14:paraId="07B3C0C1">
      <w:pPr>
        <w:spacing w:line="360" w:lineRule="auto"/>
        <w:rPr>
          <w:szCs w:val="20"/>
          <w:highlight w:val="none"/>
        </w:rPr>
      </w:pPr>
      <w:r>
        <w:rPr>
          <w:rFonts w:hint="eastAsia" w:ascii="宋体" w:hAnsi="宋体" w:cs="宋体"/>
          <w:bCs/>
          <w:kern w:val="44"/>
          <w:highlight w:val="none"/>
        </w:rPr>
        <w:t>4.1.2</w:t>
      </w:r>
      <w:r>
        <w:rPr>
          <w:rFonts w:hint="eastAsia"/>
          <w:szCs w:val="20"/>
          <w:highlight w:val="none"/>
        </w:rPr>
        <w:t>管屏的制作过程中所有的焊接均应满足</w:t>
      </w:r>
      <w:r>
        <w:rPr>
          <w:szCs w:val="20"/>
          <w:highlight w:val="none"/>
        </w:rPr>
        <w:t xml:space="preserve"> DL／T 869</w:t>
      </w:r>
      <w:r>
        <w:rPr>
          <w:rFonts w:hint="eastAsia"/>
          <w:szCs w:val="20"/>
          <w:highlight w:val="none"/>
        </w:rPr>
        <w:t>《火力发电厂焊接技术规程》。</w:t>
      </w:r>
    </w:p>
    <w:p w14:paraId="6A02C8F3">
      <w:pPr>
        <w:spacing w:line="360" w:lineRule="auto"/>
        <w:rPr>
          <w:szCs w:val="20"/>
          <w:highlight w:val="none"/>
        </w:rPr>
      </w:pPr>
      <w:r>
        <w:rPr>
          <w:rFonts w:hint="eastAsia"/>
          <w:szCs w:val="20"/>
          <w:highlight w:val="none"/>
        </w:rPr>
        <w:t>4.1.3 钢管应符合ASME标准SA-213/SA-213M、GB5310《高压锅炉用无缝钢管》标准中规定的有关技术参数.</w:t>
      </w:r>
    </w:p>
    <w:p w14:paraId="37E53AC2">
      <w:pPr>
        <w:spacing w:line="360" w:lineRule="auto"/>
        <w:rPr>
          <w:rFonts w:ascii="宋体" w:hAnsi="宋体"/>
          <w:szCs w:val="20"/>
          <w:highlight w:val="none"/>
        </w:rPr>
      </w:pPr>
      <w:r>
        <w:rPr>
          <w:rFonts w:hint="eastAsia"/>
          <w:szCs w:val="20"/>
          <w:highlight w:val="none"/>
        </w:rPr>
        <w:t>4.1.4投标人根据招标人提供的图纸及现场情况设计管屏，提供制作图纸给招标人审查。</w:t>
      </w:r>
      <w:r>
        <w:rPr>
          <w:rFonts w:hint="eastAsia" w:ascii="宋体" w:hAnsi="宋体"/>
          <w:szCs w:val="20"/>
          <w:highlight w:val="none"/>
        </w:rPr>
        <w:t>招标人对设计图纸的审核不免除投标人的责任。</w:t>
      </w:r>
    </w:p>
    <w:p w14:paraId="2F76FAF7">
      <w:pPr>
        <w:autoSpaceDE w:val="0"/>
        <w:autoSpaceDN w:val="0"/>
        <w:adjustRightInd w:val="0"/>
        <w:snapToGrid w:val="0"/>
        <w:spacing w:line="360" w:lineRule="auto"/>
        <w:textAlignment w:val="baseline"/>
        <w:rPr>
          <w:szCs w:val="20"/>
          <w:highlight w:val="none"/>
        </w:rPr>
      </w:pPr>
      <w:r>
        <w:rPr>
          <w:rFonts w:hint="eastAsia"/>
          <w:szCs w:val="20"/>
          <w:highlight w:val="none"/>
        </w:rPr>
        <w:t xml:space="preserve">4.1.5 </w:t>
      </w:r>
      <w:r>
        <w:rPr>
          <w:rFonts w:hint="eastAsia" w:ascii="宋体" w:hAnsi="宋体"/>
          <w:color w:val="000000"/>
          <w:szCs w:val="20"/>
          <w:highlight w:val="none"/>
        </w:rPr>
        <w:t>制作管屏所使用的炉管需按照</w:t>
      </w:r>
      <w:r>
        <w:rPr>
          <w:rFonts w:ascii="宋体" w:hAnsi="宋体"/>
          <w:color w:val="000000"/>
          <w:szCs w:val="20"/>
          <w:highlight w:val="none"/>
        </w:rPr>
        <w:t>JB /T3375</w:t>
      </w:r>
      <w:r>
        <w:rPr>
          <w:rFonts w:hint="eastAsia" w:ascii="宋体" w:hAnsi="宋体"/>
          <w:color w:val="000000"/>
          <w:szCs w:val="20"/>
          <w:highlight w:val="none"/>
        </w:rPr>
        <w:t>《锅炉用材料入厂验收规则》进行检验，检验结果应符合</w:t>
      </w:r>
      <w:r>
        <w:rPr>
          <w:rFonts w:hint="eastAsia"/>
          <w:szCs w:val="20"/>
          <w:highlight w:val="none"/>
        </w:rPr>
        <w:t>SA-213/SA-213M、</w:t>
      </w:r>
      <w:r>
        <w:rPr>
          <w:rFonts w:hint="eastAsia" w:ascii="宋体" w:hAnsi="宋体"/>
          <w:color w:val="000000"/>
          <w:szCs w:val="20"/>
          <w:highlight w:val="none"/>
        </w:rPr>
        <w:t>GB5310《高压锅炉用无缝钢管》标准，GB/T 20409《高压锅炉用内螺纹无缝钢管》。</w:t>
      </w:r>
      <w:r>
        <w:rPr>
          <w:rFonts w:hint="eastAsia" w:ascii="宋体" w:hAnsi="宋体"/>
          <w:szCs w:val="20"/>
          <w:highlight w:val="none"/>
        </w:rPr>
        <w:t>原材料炉管无损探伤的盲区切除，钢管不得焊补。</w:t>
      </w:r>
    </w:p>
    <w:p w14:paraId="5AB59377">
      <w:pPr>
        <w:autoSpaceDE w:val="0"/>
        <w:autoSpaceDN w:val="0"/>
        <w:adjustRightInd w:val="0"/>
        <w:snapToGrid w:val="0"/>
        <w:spacing w:line="360" w:lineRule="auto"/>
        <w:textAlignment w:val="baseline"/>
        <w:rPr>
          <w:szCs w:val="20"/>
          <w:highlight w:val="none"/>
        </w:rPr>
      </w:pPr>
      <w:r>
        <w:rPr>
          <w:rFonts w:hint="eastAsia"/>
          <w:szCs w:val="20"/>
          <w:highlight w:val="none"/>
        </w:rPr>
        <w:t>4.1.6 投标人在产品出厂前需对管屏进行预拼装，管屏单屏长、宽尺寸偏差≤1mm，拼装的管屏偏差不大于设计尺寸。鳍片中心与管子中心偏差、鳍片倾斜不超过1mm，节距偏差小于0.5mm，管屏各管间节距累计偏差小于1mm。管屏对角偏差不超过3mm。管屏中门孔标高偏差小于15mm。管屏横向弯曲、旁弯允许偏差不大于3mm。</w:t>
      </w:r>
    </w:p>
    <w:p w14:paraId="2E34940A">
      <w:pPr>
        <w:autoSpaceDE w:val="0"/>
        <w:autoSpaceDN w:val="0"/>
        <w:adjustRightInd w:val="0"/>
        <w:snapToGrid w:val="0"/>
        <w:spacing w:line="360" w:lineRule="auto"/>
        <w:textAlignment w:val="baseline"/>
        <w:rPr>
          <w:highlight w:val="none"/>
        </w:rPr>
      </w:pPr>
      <w:r>
        <w:rPr>
          <w:rFonts w:hint="eastAsia"/>
          <w:szCs w:val="20"/>
          <w:highlight w:val="none"/>
        </w:rPr>
        <w:t>4.1.7制作完成后</w:t>
      </w:r>
      <w:r>
        <w:rPr>
          <w:rFonts w:hint="eastAsia"/>
          <w:highlight w:val="none"/>
        </w:rPr>
        <w:t>所有管屏须100%通球试验，并提供相关的记录。</w:t>
      </w:r>
    </w:p>
    <w:p w14:paraId="6346D5C1">
      <w:pPr>
        <w:autoSpaceDE w:val="0"/>
        <w:autoSpaceDN w:val="0"/>
        <w:adjustRightInd w:val="0"/>
        <w:snapToGrid w:val="0"/>
        <w:spacing w:line="360" w:lineRule="auto"/>
        <w:textAlignment w:val="baseline"/>
        <w:rPr>
          <w:szCs w:val="20"/>
          <w:highlight w:val="none"/>
        </w:rPr>
      </w:pPr>
      <w:r>
        <w:rPr>
          <w:rFonts w:hint="eastAsia"/>
          <w:szCs w:val="20"/>
          <w:highlight w:val="none"/>
        </w:rPr>
        <w:t>4.1.8制作水冷壁管屏的炉管必须是整根管子，中间不能有对接焊缝。</w:t>
      </w:r>
    </w:p>
    <w:p w14:paraId="564C8576">
      <w:pPr>
        <w:autoSpaceDE w:val="0"/>
        <w:autoSpaceDN w:val="0"/>
        <w:adjustRightInd w:val="0"/>
        <w:snapToGrid w:val="0"/>
        <w:spacing w:line="360" w:lineRule="auto"/>
        <w:textAlignment w:val="baseline"/>
        <w:rPr>
          <w:highlight w:val="none"/>
        </w:rPr>
      </w:pPr>
      <w:r>
        <w:rPr>
          <w:rFonts w:hint="eastAsia"/>
          <w:szCs w:val="20"/>
          <w:highlight w:val="none"/>
        </w:rPr>
        <w:t>4.1.9</w:t>
      </w:r>
      <w:r>
        <w:rPr>
          <w:highlight w:val="none"/>
        </w:rPr>
        <w:t>水冷壁中部</w:t>
      </w:r>
      <w:r>
        <w:rPr>
          <w:rFonts w:hint="eastAsia"/>
          <w:highlight w:val="none"/>
        </w:rPr>
        <w:t>散管</w:t>
      </w:r>
      <w:r>
        <w:rPr>
          <w:highlight w:val="none"/>
        </w:rPr>
        <w:t>管屏全部更换（</w:t>
      </w:r>
      <w:r>
        <w:rPr>
          <w:rFonts w:hint="eastAsia"/>
          <w:highlight w:val="none"/>
        </w:rPr>
        <w:t>前后墙各768根，两侧墙各</w:t>
      </w:r>
      <w:r>
        <w:rPr>
          <w:highlight w:val="none"/>
        </w:rPr>
        <w:t>352</w:t>
      </w:r>
      <w:r>
        <w:rPr>
          <w:rFonts w:hint="eastAsia"/>
          <w:highlight w:val="none"/>
        </w:rPr>
        <w:t>根，均为</w:t>
      </w:r>
      <w:r>
        <w:rPr>
          <w:highlight w:val="none"/>
        </w:rPr>
        <w:t>内螺纹Φ28.6×5.8MWT，15CrMoG），原接口下标高</w:t>
      </w:r>
      <w:r>
        <w:rPr>
          <w:rFonts w:hint="eastAsia"/>
          <w:highlight w:val="none"/>
        </w:rPr>
        <w:t>49450</w:t>
      </w:r>
      <w:r>
        <w:rPr>
          <w:highlight w:val="none"/>
        </w:rPr>
        <w:t>，上标高</w:t>
      </w:r>
      <w:r>
        <w:rPr>
          <w:rFonts w:hint="eastAsia"/>
          <w:highlight w:val="none"/>
        </w:rPr>
        <w:t>52000（换管长度2.55米），原中部水冷壁散管管屏材质为</w:t>
      </w:r>
      <w:r>
        <w:rPr>
          <w:highlight w:val="none"/>
        </w:rPr>
        <w:t>15CrMoG</w:t>
      </w:r>
      <w:r>
        <w:rPr>
          <w:rFonts w:hint="eastAsia"/>
          <w:highlight w:val="none"/>
        </w:rPr>
        <w:t>，</w:t>
      </w:r>
      <w:r>
        <w:rPr>
          <w:rFonts w:ascii="宋体" w:hAnsi="宋体"/>
          <w:highlight w:val="none"/>
        </w:rPr>
        <w:t>原设计H型板材质为15CrMo，优化后改为12Cr1MoV，提高该钢板的</w:t>
      </w:r>
      <w:r>
        <w:rPr>
          <w:rFonts w:hint="eastAsia" w:ascii="宋体" w:hAnsi="宋体"/>
          <w:highlight w:val="none"/>
        </w:rPr>
        <w:t>应力值和</w:t>
      </w:r>
      <w:r>
        <w:rPr>
          <w:rFonts w:ascii="宋体" w:hAnsi="宋体"/>
          <w:highlight w:val="none"/>
        </w:rPr>
        <w:t>耐高温性能</w:t>
      </w:r>
      <w:r>
        <w:rPr>
          <w:rFonts w:hint="eastAsia" w:ascii="宋体" w:hAnsi="宋体"/>
          <w:highlight w:val="none"/>
        </w:rPr>
        <w:t>；</w:t>
      </w:r>
      <w:r>
        <w:rPr>
          <w:rFonts w:hint="eastAsia"/>
          <w:highlight w:val="none"/>
        </w:rPr>
        <w:t>H型板材厚度减薄为8</w:t>
      </w:r>
      <w:r>
        <w:rPr>
          <w:rFonts w:hint="eastAsia"/>
          <w:szCs w:val="20"/>
          <w:highlight w:val="none"/>
        </w:rPr>
        <w:t xml:space="preserve"> mm，</w:t>
      </w:r>
      <w:r>
        <w:rPr>
          <w:rFonts w:ascii="宋体" w:hAnsi="宋体"/>
          <w:highlight w:val="none"/>
        </w:rPr>
        <w:t>通过对H型板与管子接触处增加坡口，采用全焊透结构，减少裂纹延伸到管子的风险</w:t>
      </w:r>
      <w:r>
        <w:rPr>
          <w:rFonts w:hint="eastAsia"/>
          <w:highlight w:val="none"/>
        </w:rPr>
        <w:t>。</w:t>
      </w:r>
    </w:p>
    <w:p w14:paraId="43BD1FC2">
      <w:pPr>
        <w:autoSpaceDE w:val="0"/>
        <w:autoSpaceDN w:val="0"/>
        <w:adjustRightInd w:val="0"/>
        <w:snapToGrid w:val="0"/>
        <w:spacing w:line="360" w:lineRule="auto"/>
        <w:textAlignment w:val="baseline"/>
        <w:rPr>
          <w:szCs w:val="20"/>
          <w:highlight w:val="none"/>
        </w:rPr>
      </w:pPr>
      <w:r>
        <w:rPr>
          <w:rFonts w:hint="eastAsia"/>
          <w:highlight w:val="none"/>
        </w:rPr>
        <w:t>4.1.10</w:t>
      </w:r>
      <w:r>
        <w:rPr>
          <w:rFonts w:hint="eastAsia" w:ascii="宋体" w:hAnsi="宋体"/>
          <w:highlight w:val="none"/>
        </w:rPr>
        <w:t>H型鳍片对比原结构，主要区别在于在不影响强度的前提下，提高材料等级，减薄厚度，为增加内侧圆弧坡口进行了尺寸调整，使其焊接结构优易于之前的鳍片形式，保证焊透结构，焊接接头形式改变后，提高H性鳍片传热效率，</w:t>
      </w:r>
      <w:r>
        <w:rPr>
          <w:rFonts w:hint="eastAsia"/>
          <w:highlight w:val="none"/>
        </w:rPr>
        <w:t>H型</w:t>
      </w:r>
      <w:r>
        <w:rPr>
          <w:spacing w:val="-5"/>
          <w:highlight w:val="none"/>
        </w:rPr>
        <w:t>鳍片中</w:t>
      </w:r>
      <w:r>
        <w:rPr>
          <w:spacing w:val="-14"/>
          <w:highlight w:val="none"/>
        </w:rPr>
        <w:t>间部位冷却不良得到了改善</w:t>
      </w:r>
      <w:r>
        <w:rPr>
          <w:rFonts w:hint="eastAsia"/>
          <w:spacing w:val="-14"/>
          <w:highlight w:val="none"/>
        </w:rPr>
        <w:t>。</w:t>
      </w:r>
      <w:r>
        <w:rPr>
          <w:rFonts w:hint="eastAsia" w:ascii="宋体" w:hAnsi="宋体"/>
          <w:highlight w:val="none"/>
        </w:rPr>
        <w:t>本次改造中部散管结构未进行调整，其整体结构与原结构基本一致，调整了H型鳍片部分结构使其焊接强度加强，其本身传热形式相对原设计得到进一步优化，传热效果更好。通过提高材质使其材料高温力学性能提高。</w:t>
      </w:r>
    </w:p>
    <w:p w14:paraId="61402B60">
      <w:pPr>
        <w:spacing w:line="360" w:lineRule="auto"/>
        <w:rPr>
          <w:rFonts w:ascii="宋体" w:hAnsi="宋体" w:cs="宋体"/>
          <w:b/>
          <w:bCs/>
          <w:kern w:val="44"/>
          <w:highlight w:val="none"/>
        </w:rPr>
      </w:pPr>
      <w:bookmarkStart w:id="15" w:name="_Toc392056590"/>
      <w:bookmarkStart w:id="16" w:name="_Toc388871162"/>
      <w:r>
        <w:rPr>
          <w:rFonts w:hint="eastAsia" w:ascii="宋体" w:hAnsi="宋体" w:cs="宋体"/>
          <w:b/>
          <w:bCs/>
          <w:kern w:val="44"/>
          <w:highlight w:val="none"/>
        </w:rPr>
        <w:t>4.2．水冷壁管屏所需内螺纹管技术要求</w:t>
      </w:r>
      <w:bookmarkEnd w:id="15"/>
      <w:bookmarkEnd w:id="16"/>
    </w:p>
    <w:p w14:paraId="047D3C87">
      <w:pPr>
        <w:spacing w:line="360" w:lineRule="auto"/>
        <w:rPr>
          <w:rFonts w:ascii="宋体" w:hAnsi="宋体" w:cs="宋体"/>
          <w:bCs/>
          <w:kern w:val="0"/>
          <w:highlight w:val="none"/>
        </w:rPr>
      </w:pPr>
      <w:r>
        <w:rPr>
          <w:rFonts w:hint="eastAsia" w:ascii="宋体" w:hAnsi="宋体" w:cs="宋体"/>
          <w:bCs/>
          <w:kern w:val="0"/>
          <w:highlight w:val="none"/>
        </w:rPr>
        <w:t>4.2.1</w:t>
      </w:r>
      <w:bookmarkStart w:id="17" w:name="_Toc388871160"/>
      <w:r>
        <w:rPr>
          <w:rFonts w:hint="eastAsia" w:ascii="宋体" w:hAnsi="宋体" w:cs="宋体"/>
          <w:bCs/>
          <w:kern w:val="0"/>
          <w:highlight w:val="none"/>
        </w:rPr>
        <w:t>需投标方关于内螺纹管生产厂家的说明</w:t>
      </w:r>
      <w:bookmarkEnd w:id="17"/>
    </w:p>
    <w:p w14:paraId="465010EF">
      <w:pPr>
        <w:widowControl/>
        <w:snapToGrid w:val="0"/>
        <w:spacing w:line="360" w:lineRule="auto"/>
        <w:rPr>
          <w:rFonts w:ascii="宋体" w:hAnsi="宋体" w:cs="宋体"/>
          <w:spacing w:val="6"/>
          <w:kern w:val="4"/>
          <w:highlight w:val="none"/>
        </w:rPr>
      </w:pPr>
      <w:r>
        <w:rPr>
          <w:rFonts w:hint="eastAsia" w:ascii="宋体" w:hAnsi="宋体"/>
          <w:color w:val="000000"/>
          <w:kern w:val="0"/>
          <w:highlight w:val="none"/>
        </w:rPr>
        <w:t>内螺纹钢管采用</w:t>
      </w:r>
      <w:bookmarkStart w:id="18" w:name="_Hlk528323509"/>
      <w:r>
        <w:rPr>
          <w:rFonts w:hint="eastAsia" w:ascii="宋体" w:hAnsi="宋体"/>
          <w:bCs/>
          <w:color w:val="000000"/>
          <w:kern w:val="0"/>
          <w:highlight w:val="none"/>
        </w:rPr>
        <w:t>宝钢、常州常宝、江苏武进、北方重工、武汉重工或相当于品牌</w:t>
      </w:r>
      <w:bookmarkEnd w:id="18"/>
      <w:r>
        <w:rPr>
          <w:rFonts w:hint="eastAsia" w:ascii="宋体" w:hAnsi="宋体"/>
          <w:color w:val="000000"/>
          <w:kern w:val="0"/>
          <w:highlight w:val="none"/>
        </w:rPr>
        <w:t>。</w:t>
      </w:r>
      <w:r>
        <w:rPr>
          <w:rFonts w:hint="eastAsia" w:ascii="宋体" w:hAnsi="宋体" w:cs="宋体"/>
          <w:spacing w:val="6"/>
          <w:kern w:val="4"/>
          <w:highlight w:val="none"/>
        </w:rPr>
        <w:t>4.2.2 钢的牌号和化学成分</w:t>
      </w:r>
    </w:p>
    <w:p w14:paraId="05C4EAC0">
      <w:pPr>
        <w:widowControl/>
        <w:snapToGrid w:val="0"/>
        <w:spacing w:line="360" w:lineRule="auto"/>
        <w:ind w:firstLine="420"/>
        <w:rPr>
          <w:rFonts w:ascii="宋体" w:hAnsi="宋体" w:cs="宋体"/>
          <w:spacing w:val="6"/>
          <w:kern w:val="4"/>
          <w:highlight w:val="none"/>
        </w:rPr>
      </w:pPr>
      <w:r>
        <w:rPr>
          <w:rFonts w:hint="eastAsia" w:ascii="宋体" w:hAnsi="宋体" w:cs="宋体"/>
          <w:spacing w:val="6"/>
          <w:kern w:val="4"/>
          <w:highlight w:val="none"/>
        </w:rPr>
        <w:t>钢的牌号和化学成分（熔炼分析）应符合表2的规定。内螺纹管按熔炼成分验收。</w:t>
      </w:r>
    </w:p>
    <w:p w14:paraId="7942A5EF">
      <w:pPr>
        <w:pStyle w:val="14"/>
        <w:ind w:right="-57" w:firstLine="0"/>
        <w:jc w:val="center"/>
        <w:rPr>
          <w:rFonts w:hAnsi="宋体" w:cs="宋体"/>
          <w:color w:val="auto"/>
          <w:spacing w:val="6"/>
          <w:kern w:val="4"/>
          <w:szCs w:val="24"/>
          <w:highlight w:val="none"/>
        </w:rPr>
      </w:pPr>
      <w:r>
        <w:rPr>
          <w:rFonts w:hint="eastAsia" w:hAnsi="宋体" w:cs="宋体"/>
          <w:color w:val="auto"/>
          <w:spacing w:val="6"/>
          <w:kern w:val="4"/>
          <w:szCs w:val="24"/>
          <w:highlight w:val="none"/>
        </w:rPr>
        <w:t>表2 钢的牌号及化学成分</w:t>
      </w:r>
    </w:p>
    <w:tbl>
      <w:tblPr>
        <w:tblStyle w:val="25"/>
        <w:tblW w:w="513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186"/>
        <w:gridCol w:w="972"/>
        <w:gridCol w:w="972"/>
        <w:gridCol w:w="972"/>
        <w:gridCol w:w="972"/>
        <w:gridCol w:w="972"/>
        <w:gridCol w:w="972"/>
        <w:gridCol w:w="970"/>
      </w:tblGrid>
      <w:tr w14:paraId="6459E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 w:type="pct"/>
            <w:vMerge w:val="restart"/>
            <w:vAlign w:val="center"/>
          </w:tcPr>
          <w:p w14:paraId="08DB1B40">
            <w:pPr>
              <w:spacing w:before="240" w:after="60" w:line="360" w:lineRule="auto"/>
              <w:ind w:right="-57"/>
              <w:jc w:val="center"/>
              <w:rPr>
                <w:rFonts w:ascii="宋体" w:hAnsi="宋体" w:cs="宋体"/>
                <w:bCs/>
                <w:spacing w:val="6"/>
                <w:kern w:val="4"/>
                <w:highlight w:val="none"/>
              </w:rPr>
            </w:pPr>
            <w:bookmarkStart w:id="19" w:name="_Toc392056591"/>
            <w:r>
              <w:rPr>
                <w:rFonts w:hint="eastAsia" w:ascii="宋体" w:hAnsi="宋体" w:cs="宋体"/>
                <w:bCs/>
                <w:spacing w:val="6"/>
                <w:kern w:val="4"/>
                <w:highlight w:val="none"/>
              </w:rPr>
              <w:t>牌号</w:t>
            </w:r>
            <w:bookmarkEnd w:id="19"/>
          </w:p>
        </w:tc>
        <w:tc>
          <w:tcPr>
            <w:tcW w:w="649" w:type="pct"/>
            <w:vMerge w:val="restart"/>
            <w:vAlign w:val="center"/>
          </w:tcPr>
          <w:p w14:paraId="19253973">
            <w:pPr>
              <w:spacing w:before="240" w:after="60" w:line="360" w:lineRule="auto"/>
              <w:ind w:right="-57"/>
              <w:jc w:val="center"/>
              <w:rPr>
                <w:rFonts w:ascii="宋体" w:hAnsi="宋体" w:cs="宋体"/>
                <w:bCs/>
                <w:spacing w:val="6"/>
                <w:kern w:val="4"/>
                <w:highlight w:val="none"/>
              </w:rPr>
            </w:pPr>
            <w:bookmarkStart w:id="20" w:name="_Toc392056592"/>
            <w:r>
              <w:rPr>
                <w:rFonts w:hint="eastAsia" w:ascii="宋体" w:hAnsi="宋体" w:cs="宋体"/>
                <w:bCs/>
                <w:spacing w:val="6"/>
                <w:kern w:val="4"/>
                <w:highlight w:val="none"/>
              </w:rPr>
              <w:t>标准号</w:t>
            </w:r>
            <w:bookmarkEnd w:id="20"/>
          </w:p>
        </w:tc>
        <w:tc>
          <w:tcPr>
            <w:tcW w:w="3722" w:type="pct"/>
            <w:gridSpan w:val="7"/>
          </w:tcPr>
          <w:p w14:paraId="3911DAB9">
            <w:pPr>
              <w:widowControl/>
              <w:spacing w:before="240" w:after="60" w:line="360" w:lineRule="auto"/>
              <w:ind w:right="-57"/>
              <w:jc w:val="center"/>
              <w:rPr>
                <w:rFonts w:ascii="宋体" w:hAnsi="宋体" w:cs="宋体"/>
                <w:bCs/>
                <w:spacing w:val="6"/>
                <w:kern w:val="4"/>
                <w:highlight w:val="none"/>
              </w:rPr>
            </w:pPr>
            <w:bookmarkStart w:id="21" w:name="_Toc392056593"/>
            <w:r>
              <w:rPr>
                <w:rFonts w:hint="eastAsia" w:ascii="宋体" w:hAnsi="宋体" w:cs="宋体"/>
                <w:bCs/>
                <w:spacing w:val="6"/>
                <w:kern w:val="4"/>
                <w:highlight w:val="none"/>
              </w:rPr>
              <w:t>化学成分（质量分数）/％</w:t>
            </w:r>
            <w:bookmarkEnd w:id="21"/>
          </w:p>
        </w:tc>
      </w:tr>
      <w:tr w14:paraId="0031F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 w:type="pct"/>
            <w:vMerge w:val="continue"/>
          </w:tcPr>
          <w:p w14:paraId="4DD3D23F">
            <w:pPr>
              <w:pStyle w:val="14"/>
              <w:spacing w:before="240" w:after="60"/>
              <w:ind w:right="-57" w:firstLine="0"/>
              <w:jc w:val="center"/>
              <w:rPr>
                <w:rFonts w:hAnsi="宋体" w:cs="宋体"/>
                <w:bCs/>
                <w:color w:val="auto"/>
                <w:spacing w:val="6"/>
                <w:kern w:val="4"/>
                <w:szCs w:val="24"/>
                <w:highlight w:val="none"/>
              </w:rPr>
            </w:pPr>
          </w:p>
        </w:tc>
        <w:tc>
          <w:tcPr>
            <w:tcW w:w="649" w:type="pct"/>
            <w:vMerge w:val="continue"/>
          </w:tcPr>
          <w:p w14:paraId="648F08D0">
            <w:pPr>
              <w:pStyle w:val="14"/>
              <w:spacing w:before="240" w:after="60"/>
              <w:ind w:right="-57" w:firstLine="0"/>
              <w:jc w:val="center"/>
              <w:rPr>
                <w:rFonts w:hAnsi="宋体" w:cs="宋体"/>
                <w:bCs/>
                <w:color w:val="auto"/>
                <w:spacing w:val="6"/>
                <w:kern w:val="4"/>
                <w:szCs w:val="24"/>
                <w:highlight w:val="none"/>
              </w:rPr>
            </w:pPr>
          </w:p>
        </w:tc>
        <w:tc>
          <w:tcPr>
            <w:tcW w:w="532" w:type="pct"/>
            <w:vAlign w:val="center"/>
          </w:tcPr>
          <w:p w14:paraId="485AD916">
            <w:pPr>
              <w:spacing w:before="240" w:after="60" w:line="360" w:lineRule="auto"/>
              <w:ind w:right="-57"/>
              <w:jc w:val="center"/>
              <w:rPr>
                <w:rFonts w:ascii="宋体" w:hAnsi="宋体" w:cs="宋体"/>
                <w:bCs/>
                <w:spacing w:val="6"/>
                <w:kern w:val="4"/>
                <w:highlight w:val="none"/>
              </w:rPr>
            </w:pPr>
            <w:bookmarkStart w:id="22" w:name="_Toc392056594"/>
            <w:r>
              <w:rPr>
                <w:rFonts w:hint="eastAsia" w:ascii="宋体" w:hAnsi="宋体" w:cs="宋体"/>
                <w:bCs/>
                <w:spacing w:val="6"/>
                <w:kern w:val="4"/>
                <w:highlight w:val="none"/>
              </w:rPr>
              <w:t>C</w:t>
            </w:r>
            <w:bookmarkEnd w:id="22"/>
          </w:p>
        </w:tc>
        <w:tc>
          <w:tcPr>
            <w:tcW w:w="532" w:type="pct"/>
            <w:vAlign w:val="center"/>
          </w:tcPr>
          <w:p w14:paraId="439B4EB4">
            <w:pPr>
              <w:spacing w:before="240" w:after="60" w:line="360" w:lineRule="auto"/>
              <w:ind w:right="-57"/>
              <w:jc w:val="center"/>
              <w:rPr>
                <w:rFonts w:ascii="宋体" w:hAnsi="宋体" w:cs="宋体"/>
                <w:bCs/>
                <w:spacing w:val="6"/>
                <w:kern w:val="4"/>
                <w:highlight w:val="none"/>
              </w:rPr>
            </w:pPr>
            <w:bookmarkStart w:id="23" w:name="_Toc392056595"/>
            <w:r>
              <w:rPr>
                <w:rFonts w:hint="eastAsia" w:ascii="宋体" w:hAnsi="宋体" w:cs="宋体"/>
                <w:bCs/>
                <w:spacing w:val="6"/>
                <w:kern w:val="4"/>
                <w:highlight w:val="none"/>
              </w:rPr>
              <w:t>Mn</w:t>
            </w:r>
            <w:bookmarkEnd w:id="23"/>
          </w:p>
        </w:tc>
        <w:tc>
          <w:tcPr>
            <w:tcW w:w="532" w:type="pct"/>
            <w:vAlign w:val="center"/>
          </w:tcPr>
          <w:p w14:paraId="1BAA9883">
            <w:pPr>
              <w:spacing w:before="240" w:after="60" w:line="360" w:lineRule="auto"/>
              <w:ind w:right="-57"/>
              <w:jc w:val="center"/>
              <w:rPr>
                <w:rFonts w:ascii="宋体" w:hAnsi="宋体" w:cs="宋体"/>
                <w:bCs/>
                <w:spacing w:val="6"/>
                <w:kern w:val="4"/>
                <w:highlight w:val="none"/>
              </w:rPr>
            </w:pPr>
            <w:bookmarkStart w:id="24" w:name="_Toc392056596"/>
            <w:r>
              <w:rPr>
                <w:rFonts w:hint="eastAsia" w:ascii="宋体" w:hAnsi="宋体" w:cs="宋体"/>
                <w:bCs/>
                <w:spacing w:val="6"/>
                <w:kern w:val="4"/>
                <w:highlight w:val="none"/>
              </w:rPr>
              <w:t>Si</w:t>
            </w:r>
            <w:bookmarkEnd w:id="24"/>
          </w:p>
        </w:tc>
        <w:tc>
          <w:tcPr>
            <w:tcW w:w="532" w:type="pct"/>
            <w:vAlign w:val="center"/>
          </w:tcPr>
          <w:p w14:paraId="49788592">
            <w:pPr>
              <w:spacing w:before="240" w:after="60" w:line="360" w:lineRule="auto"/>
              <w:ind w:right="-57"/>
              <w:jc w:val="center"/>
              <w:rPr>
                <w:rFonts w:ascii="宋体" w:hAnsi="宋体" w:cs="宋体"/>
                <w:bCs/>
                <w:spacing w:val="6"/>
                <w:kern w:val="4"/>
                <w:highlight w:val="none"/>
              </w:rPr>
            </w:pPr>
            <w:bookmarkStart w:id="25" w:name="_Toc392056597"/>
            <w:r>
              <w:rPr>
                <w:rFonts w:hint="eastAsia" w:ascii="宋体" w:hAnsi="宋体" w:cs="宋体"/>
                <w:bCs/>
                <w:spacing w:val="6"/>
                <w:kern w:val="4"/>
                <w:highlight w:val="none"/>
              </w:rPr>
              <w:t>Cr</w:t>
            </w:r>
            <w:bookmarkEnd w:id="25"/>
          </w:p>
        </w:tc>
        <w:tc>
          <w:tcPr>
            <w:tcW w:w="532" w:type="pct"/>
            <w:vAlign w:val="center"/>
          </w:tcPr>
          <w:p w14:paraId="5A5E6D7A">
            <w:pPr>
              <w:spacing w:before="240" w:after="60" w:line="360" w:lineRule="auto"/>
              <w:ind w:right="-57"/>
              <w:jc w:val="center"/>
              <w:rPr>
                <w:rFonts w:ascii="宋体" w:hAnsi="宋体" w:cs="宋体"/>
                <w:bCs/>
                <w:spacing w:val="6"/>
                <w:kern w:val="4"/>
                <w:highlight w:val="none"/>
              </w:rPr>
            </w:pPr>
            <w:bookmarkStart w:id="26" w:name="_Toc392056598"/>
            <w:r>
              <w:rPr>
                <w:rFonts w:hint="eastAsia" w:ascii="宋体" w:hAnsi="宋体" w:cs="宋体"/>
                <w:bCs/>
                <w:spacing w:val="6"/>
                <w:kern w:val="4"/>
                <w:highlight w:val="none"/>
              </w:rPr>
              <w:t>Mo</w:t>
            </w:r>
            <w:bookmarkEnd w:id="26"/>
          </w:p>
        </w:tc>
        <w:tc>
          <w:tcPr>
            <w:tcW w:w="532" w:type="pct"/>
            <w:vAlign w:val="center"/>
          </w:tcPr>
          <w:p w14:paraId="4500AD3D">
            <w:pPr>
              <w:spacing w:before="240" w:after="60" w:line="360" w:lineRule="auto"/>
              <w:ind w:right="-57"/>
              <w:jc w:val="center"/>
              <w:rPr>
                <w:rFonts w:ascii="宋体" w:hAnsi="宋体" w:cs="宋体"/>
                <w:bCs/>
                <w:spacing w:val="6"/>
                <w:kern w:val="4"/>
                <w:highlight w:val="none"/>
              </w:rPr>
            </w:pPr>
            <w:bookmarkStart w:id="27" w:name="_Toc392056599"/>
            <w:r>
              <w:rPr>
                <w:rFonts w:hint="eastAsia" w:ascii="宋体" w:hAnsi="宋体" w:cs="宋体"/>
                <w:bCs/>
                <w:spacing w:val="6"/>
                <w:kern w:val="4"/>
                <w:highlight w:val="none"/>
              </w:rPr>
              <w:t>S</w:t>
            </w:r>
            <w:bookmarkEnd w:id="27"/>
          </w:p>
        </w:tc>
        <w:tc>
          <w:tcPr>
            <w:tcW w:w="531" w:type="pct"/>
            <w:vAlign w:val="center"/>
          </w:tcPr>
          <w:p w14:paraId="2F1E3232">
            <w:pPr>
              <w:spacing w:before="240" w:after="60" w:line="360" w:lineRule="auto"/>
              <w:ind w:right="-57"/>
              <w:jc w:val="center"/>
              <w:rPr>
                <w:rFonts w:ascii="宋体" w:hAnsi="宋体" w:cs="宋体"/>
                <w:bCs/>
                <w:spacing w:val="6"/>
                <w:kern w:val="4"/>
                <w:highlight w:val="none"/>
              </w:rPr>
            </w:pPr>
            <w:bookmarkStart w:id="28" w:name="_Toc392056600"/>
            <w:r>
              <w:rPr>
                <w:rFonts w:hint="eastAsia" w:ascii="宋体" w:hAnsi="宋体" w:cs="宋体"/>
                <w:bCs/>
                <w:spacing w:val="6"/>
                <w:kern w:val="4"/>
                <w:highlight w:val="none"/>
              </w:rPr>
              <w:t>P</w:t>
            </w:r>
            <w:bookmarkEnd w:id="28"/>
          </w:p>
        </w:tc>
      </w:tr>
      <w:tr w14:paraId="111E4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 w:type="pct"/>
            <w:vAlign w:val="center"/>
          </w:tcPr>
          <w:p w14:paraId="71CF316D">
            <w:pPr>
              <w:spacing w:before="240" w:after="60" w:line="360" w:lineRule="auto"/>
              <w:ind w:right="-57"/>
              <w:jc w:val="center"/>
              <w:rPr>
                <w:rFonts w:ascii="宋体" w:hAnsi="宋体" w:cs="宋体"/>
                <w:bCs/>
                <w:spacing w:val="6"/>
                <w:kern w:val="4"/>
                <w:highlight w:val="none"/>
              </w:rPr>
            </w:pPr>
            <w:r>
              <w:rPr>
                <w:rFonts w:hint="eastAsia" w:ascii="宋体" w:hAnsi="宋体" w:cs="宋体"/>
                <w:bCs/>
                <w:spacing w:val="6"/>
                <w:kern w:val="4"/>
                <w:highlight w:val="none"/>
              </w:rPr>
              <w:t>15CrMoG</w:t>
            </w:r>
          </w:p>
        </w:tc>
        <w:tc>
          <w:tcPr>
            <w:tcW w:w="649" w:type="pct"/>
            <w:vAlign w:val="center"/>
          </w:tcPr>
          <w:p w14:paraId="26B499CA">
            <w:pPr>
              <w:spacing w:before="240" w:after="60" w:line="360" w:lineRule="auto"/>
              <w:ind w:right="-57"/>
              <w:jc w:val="center"/>
              <w:rPr>
                <w:rFonts w:ascii="宋体" w:hAnsi="宋体" w:cs="宋体"/>
                <w:bCs/>
                <w:spacing w:val="6"/>
                <w:kern w:val="4"/>
                <w:highlight w:val="none"/>
              </w:rPr>
            </w:pPr>
            <w:r>
              <w:rPr>
                <w:rFonts w:hint="eastAsia" w:ascii="宋体" w:hAnsi="宋体" w:cs="宋体"/>
                <w:bCs/>
                <w:spacing w:val="6"/>
                <w:kern w:val="4"/>
                <w:highlight w:val="none"/>
              </w:rPr>
              <w:t>GB5310</w:t>
            </w:r>
          </w:p>
        </w:tc>
        <w:tc>
          <w:tcPr>
            <w:tcW w:w="532" w:type="pct"/>
            <w:vAlign w:val="center"/>
          </w:tcPr>
          <w:p w14:paraId="6A298D55">
            <w:pPr>
              <w:spacing w:before="240" w:after="60" w:line="360" w:lineRule="auto"/>
              <w:ind w:right="-57"/>
              <w:jc w:val="center"/>
              <w:rPr>
                <w:rFonts w:ascii="宋体" w:hAnsi="宋体" w:cs="宋体"/>
                <w:bCs/>
                <w:spacing w:val="6"/>
                <w:kern w:val="4"/>
                <w:highlight w:val="none"/>
              </w:rPr>
            </w:pPr>
            <w:bookmarkStart w:id="29" w:name="_Toc392056604"/>
            <w:r>
              <w:rPr>
                <w:rFonts w:hint="eastAsia" w:ascii="宋体" w:hAnsi="宋体" w:cs="宋体"/>
                <w:bCs/>
                <w:spacing w:val="6"/>
                <w:kern w:val="4"/>
                <w:highlight w:val="none"/>
              </w:rPr>
              <w:t>0.12～</w:t>
            </w:r>
            <w:bookmarkEnd w:id="29"/>
          </w:p>
          <w:p w14:paraId="60532AAE">
            <w:pPr>
              <w:spacing w:before="240" w:after="60" w:line="360" w:lineRule="auto"/>
              <w:ind w:right="-57"/>
              <w:jc w:val="center"/>
              <w:rPr>
                <w:rFonts w:ascii="宋体" w:hAnsi="宋体" w:cs="宋体"/>
                <w:bCs/>
                <w:spacing w:val="6"/>
                <w:kern w:val="4"/>
                <w:highlight w:val="none"/>
              </w:rPr>
            </w:pPr>
            <w:bookmarkStart w:id="30" w:name="_Toc392056605"/>
            <w:r>
              <w:rPr>
                <w:rFonts w:hint="eastAsia" w:ascii="宋体" w:hAnsi="宋体" w:cs="宋体"/>
                <w:bCs/>
                <w:spacing w:val="6"/>
                <w:kern w:val="4"/>
                <w:highlight w:val="none"/>
              </w:rPr>
              <w:t>0.1</w:t>
            </w:r>
            <w:bookmarkEnd w:id="30"/>
            <w:r>
              <w:rPr>
                <w:rFonts w:hint="eastAsia" w:ascii="宋体" w:hAnsi="宋体" w:cs="宋体"/>
                <w:bCs/>
                <w:spacing w:val="6"/>
                <w:kern w:val="4"/>
                <w:highlight w:val="none"/>
              </w:rPr>
              <w:t>8</w:t>
            </w:r>
          </w:p>
        </w:tc>
        <w:tc>
          <w:tcPr>
            <w:tcW w:w="532" w:type="pct"/>
            <w:vAlign w:val="center"/>
          </w:tcPr>
          <w:p w14:paraId="615ACA2F">
            <w:pPr>
              <w:spacing w:before="240" w:after="60" w:line="360" w:lineRule="auto"/>
              <w:ind w:right="-57"/>
              <w:jc w:val="center"/>
              <w:rPr>
                <w:rFonts w:ascii="宋体" w:hAnsi="宋体" w:cs="宋体"/>
                <w:bCs/>
                <w:spacing w:val="6"/>
                <w:kern w:val="4"/>
                <w:highlight w:val="none"/>
              </w:rPr>
            </w:pPr>
            <w:bookmarkStart w:id="31" w:name="_Toc392056606"/>
            <w:r>
              <w:rPr>
                <w:rFonts w:hint="eastAsia" w:ascii="宋体" w:hAnsi="宋体" w:cs="宋体"/>
                <w:bCs/>
                <w:spacing w:val="6"/>
                <w:kern w:val="4"/>
                <w:highlight w:val="none"/>
              </w:rPr>
              <w:t>0.40～</w:t>
            </w:r>
            <w:bookmarkEnd w:id="31"/>
          </w:p>
          <w:p w14:paraId="54AFEC8B">
            <w:pPr>
              <w:spacing w:before="240" w:after="60" w:line="360" w:lineRule="auto"/>
              <w:ind w:right="-57"/>
              <w:jc w:val="center"/>
              <w:rPr>
                <w:rFonts w:ascii="宋体" w:hAnsi="宋体" w:cs="宋体"/>
                <w:bCs/>
                <w:spacing w:val="6"/>
                <w:kern w:val="4"/>
                <w:highlight w:val="none"/>
              </w:rPr>
            </w:pPr>
            <w:bookmarkStart w:id="32" w:name="_Toc392056607"/>
            <w:r>
              <w:rPr>
                <w:rFonts w:hint="eastAsia" w:ascii="宋体" w:hAnsi="宋体" w:cs="宋体"/>
                <w:bCs/>
                <w:spacing w:val="6"/>
                <w:kern w:val="4"/>
                <w:highlight w:val="none"/>
              </w:rPr>
              <w:t>0.</w:t>
            </w:r>
            <w:bookmarkEnd w:id="32"/>
            <w:r>
              <w:rPr>
                <w:rFonts w:hint="eastAsia" w:ascii="宋体" w:hAnsi="宋体" w:cs="宋体"/>
                <w:bCs/>
                <w:spacing w:val="6"/>
                <w:kern w:val="4"/>
                <w:highlight w:val="none"/>
              </w:rPr>
              <w:t>7</w:t>
            </w:r>
          </w:p>
        </w:tc>
        <w:tc>
          <w:tcPr>
            <w:tcW w:w="532" w:type="pct"/>
            <w:vAlign w:val="center"/>
          </w:tcPr>
          <w:p w14:paraId="68516182">
            <w:pPr>
              <w:spacing w:before="240" w:after="60" w:line="360" w:lineRule="auto"/>
              <w:ind w:right="-57"/>
              <w:jc w:val="center"/>
              <w:rPr>
                <w:rFonts w:ascii="宋体" w:hAnsi="宋体" w:cs="宋体"/>
                <w:bCs/>
                <w:spacing w:val="6"/>
                <w:kern w:val="4"/>
                <w:highlight w:val="none"/>
              </w:rPr>
            </w:pPr>
            <w:r>
              <w:rPr>
                <w:rFonts w:hint="eastAsia" w:ascii="宋体" w:hAnsi="宋体" w:cs="宋体"/>
                <w:bCs/>
                <w:spacing w:val="6"/>
                <w:kern w:val="4"/>
                <w:highlight w:val="none"/>
              </w:rPr>
              <w:t>0.17～0.37</w:t>
            </w:r>
          </w:p>
        </w:tc>
        <w:tc>
          <w:tcPr>
            <w:tcW w:w="532" w:type="pct"/>
            <w:vAlign w:val="center"/>
          </w:tcPr>
          <w:p w14:paraId="080F71E5">
            <w:pPr>
              <w:spacing w:before="240" w:after="60" w:line="360" w:lineRule="auto"/>
              <w:ind w:right="-57"/>
              <w:jc w:val="center"/>
              <w:rPr>
                <w:rFonts w:ascii="宋体" w:hAnsi="宋体" w:cs="宋体"/>
                <w:bCs/>
                <w:spacing w:val="6"/>
                <w:kern w:val="4"/>
                <w:highlight w:val="none"/>
              </w:rPr>
            </w:pPr>
            <w:bookmarkStart w:id="33" w:name="_Toc392056609"/>
            <w:r>
              <w:rPr>
                <w:rFonts w:hint="eastAsia" w:ascii="宋体" w:hAnsi="宋体" w:cs="宋体"/>
                <w:bCs/>
                <w:spacing w:val="6"/>
                <w:kern w:val="4"/>
                <w:highlight w:val="none"/>
              </w:rPr>
              <w:t>0.80～</w:t>
            </w:r>
            <w:bookmarkEnd w:id="33"/>
          </w:p>
          <w:p w14:paraId="0497C77C">
            <w:pPr>
              <w:spacing w:before="240" w:after="60" w:line="360" w:lineRule="auto"/>
              <w:ind w:right="-57"/>
              <w:jc w:val="center"/>
              <w:rPr>
                <w:rFonts w:ascii="宋体" w:hAnsi="宋体" w:cs="宋体"/>
                <w:bCs/>
                <w:spacing w:val="6"/>
                <w:kern w:val="4"/>
                <w:highlight w:val="none"/>
              </w:rPr>
            </w:pPr>
            <w:bookmarkStart w:id="34" w:name="_Toc392056610"/>
            <w:r>
              <w:rPr>
                <w:rFonts w:hint="eastAsia" w:ascii="宋体" w:hAnsi="宋体" w:cs="宋体"/>
                <w:bCs/>
                <w:spacing w:val="6"/>
                <w:kern w:val="4"/>
                <w:highlight w:val="none"/>
              </w:rPr>
              <w:t>1.</w:t>
            </w:r>
            <w:bookmarkEnd w:id="34"/>
            <w:r>
              <w:rPr>
                <w:rFonts w:hint="eastAsia" w:ascii="宋体" w:hAnsi="宋体" w:cs="宋体"/>
                <w:bCs/>
                <w:spacing w:val="6"/>
                <w:kern w:val="4"/>
                <w:highlight w:val="none"/>
              </w:rPr>
              <w:t>1</w:t>
            </w:r>
          </w:p>
        </w:tc>
        <w:tc>
          <w:tcPr>
            <w:tcW w:w="532" w:type="pct"/>
            <w:vAlign w:val="center"/>
          </w:tcPr>
          <w:p w14:paraId="50ABB5B1">
            <w:pPr>
              <w:spacing w:before="240" w:after="60" w:line="360" w:lineRule="auto"/>
              <w:ind w:right="-57"/>
              <w:jc w:val="center"/>
              <w:rPr>
                <w:rFonts w:ascii="宋体" w:hAnsi="宋体" w:cs="宋体"/>
                <w:bCs/>
                <w:spacing w:val="6"/>
                <w:kern w:val="4"/>
                <w:highlight w:val="none"/>
              </w:rPr>
            </w:pPr>
            <w:bookmarkStart w:id="35" w:name="_Toc392056611"/>
            <w:r>
              <w:rPr>
                <w:rFonts w:hint="eastAsia" w:ascii="宋体" w:hAnsi="宋体" w:cs="宋体"/>
                <w:bCs/>
                <w:spacing w:val="6"/>
                <w:kern w:val="4"/>
                <w:highlight w:val="none"/>
              </w:rPr>
              <w:t>0.4～</w:t>
            </w:r>
            <w:bookmarkEnd w:id="35"/>
          </w:p>
          <w:p w14:paraId="7AB4D2AB">
            <w:pPr>
              <w:spacing w:before="240" w:after="60" w:line="360" w:lineRule="auto"/>
              <w:ind w:right="-57"/>
              <w:jc w:val="center"/>
              <w:rPr>
                <w:rFonts w:ascii="宋体" w:hAnsi="宋体" w:cs="宋体"/>
                <w:bCs/>
                <w:spacing w:val="6"/>
                <w:kern w:val="4"/>
                <w:highlight w:val="none"/>
              </w:rPr>
            </w:pPr>
            <w:bookmarkStart w:id="36" w:name="_Toc392056612"/>
            <w:r>
              <w:rPr>
                <w:rFonts w:hint="eastAsia" w:ascii="宋体" w:hAnsi="宋体" w:cs="宋体"/>
                <w:bCs/>
                <w:spacing w:val="6"/>
                <w:kern w:val="4"/>
                <w:highlight w:val="none"/>
              </w:rPr>
              <w:t>0.55</w:t>
            </w:r>
            <w:bookmarkEnd w:id="36"/>
          </w:p>
        </w:tc>
        <w:tc>
          <w:tcPr>
            <w:tcW w:w="532" w:type="pct"/>
            <w:vAlign w:val="center"/>
          </w:tcPr>
          <w:p w14:paraId="2A51B310">
            <w:pPr>
              <w:spacing w:before="240" w:after="60" w:line="360" w:lineRule="auto"/>
              <w:ind w:right="-57"/>
              <w:jc w:val="center"/>
              <w:rPr>
                <w:rFonts w:ascii="宋体" w:hAnsi="宋体" w:cs="宋体"/>
                <w:bCs/>
                <w:spacing w:val="6"/>
                <w:kern w:val="4"/>
                <w:highlight w:val="none"/>
              </w:rPr>
            </w:pPr>
            <w:bookmarkStart w:id="37" w:name="_Toc392056613"/>
            <w:r>
              <w:rPr>
                <w:rFonts w:hint="eastAsia" w:ascii="宋体" w:hAnsi="宋体" w:cs="宋体"/>
                <w:bCs/>
                <w:spacing w:val="6"/>
                <w:kern w:val="4"/>
                <w:highlight w:val="none"/>
              </w:rPr>
              <w:t>≤0.</w:t>
            </w:r>
            <w:bookmarkEnd w:id="37"/>
            <w:r>
              <w:rPr>
                <w:rFonts w:hint="eastAsia" w:ascii="宋体" w:hAnsi="宋体" w:cs="宋体"/>
                <w:bCs/>
                <w:spacing w:val="6"/>
                <w:kern w:val="4"/>
                <w:highlight w:val="none"/>
              </w:rPr>
              <w:t>015</w:t>
            </w:r>
          </w:p>
        </w:tc>
        <w:tc>
          <w:tcPr>
            <w:tcW w:w="531" w:type="pct"/>
            <w:vAlign w:val="center"/>
          </w:tcPr>
          <w:p w14:paraId="52A195EF">
            <w:pPr>
              <w:spacing w:before="240" w:after="60" w:line="360" w:lineRule="auto"/>
              <w:ind w:right="-57"/>
              <w:jc w:val="center"/>
              <w:rPr>
                <w:rFonts w:ascii="宋体" w:hAnsi="宋体" w:cs="宋体"/>
                <w:bCs/>
                <w:spacing w:val="6"/>
                <w:kern w:val="4"/>
                <w:highlight w:val="none"/>
              </w:rPr>
            </w:pPr>
            <w:bookmarkStart w:id="38" w:name="_Toc392056614"/>
            <w:r>
              <w:rPr>
                <w:rFonts w:hint="eastAsia" w:ascii="宋体" w:hAnsi="宋体" w:cs="宋体"/>
                <w:bCs/>
                <w:spacing w:val="6"/>
                <w:kern w:val="4"/>
                <w:highlight w:val="none"/>
              </w:rPr>
              <w:t>≤0.</w:t>
            </w:r>
            <w:bookmarkEnd w:id="38"/>
            <w:r>
              <w:rPr>
                <w:rFonts w:hint="eastAsia" w:ascii="宋体" w:hAnsi="宋体" w:cs="宋体"/>
                <w:bCs/>
                <w:spacing w:val="6"/>
                <w:kern w:val="4"/>
                <w:highlight w:val="none"/>
              </w:rPr>
              <w:t>025</w:t>
            </w:r>
          </w:p>
        </w:tc>
      </w:tr>
    </w:tbl>
    <w:p w14:paraId="526A4B8B">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4.2.3 制造方法</w:t>
      </w:r>
    </w:p>
    <w:p w14:paraId="6603F732">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（1）钢及管坯的制造方法</w:t>
      </w:r>
    </w:p>
    <w:p w14:paraId="5D4BA6C4">
      <w:pPr>
        <w:widowControl/>
        <w:snapToGrid w:val="0"/>
        <w:spacing w:line="360" w:lineRule="auto"/>
        <w:ind w:firstLine="504" w:firstLineChars="200"/>
        <w:rPr>
          <w:rFonts w:ascii="宋体" w:hAnsi="宋体" w:cs="宋体"/>
          <w:spacing w:val="6"/>
          <w:kern w:val="4"/>
          <w:highlight w:val="none"/>
        </w:rPr>
      </w:pPr>
      <w:r>
        <w:rPr>
          <w:rFonts w:hint="eastAsia" w:ascii="宋体" w:hAnsi="宋体" w:cs="宋体"/>
          <w:spacing w:val="6"/>
          <w:kern w:val="4"/>
          <w:highlight w:val="none"/>
        </w:rPr>
        <w:t>钢及管坯的制造方法应符合YB/T 5137的规定。</w:t>
      </w:r>
    </w:p>
    <w:p w14:paraId="0F785487">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（2）内螺纹管的制造方法</w:t>
      </w:r>
    </w:p>
    <w:p w14:paraId="08067FD6">
      <w:pPr>
        <w:widowControl/>
        <w:snapToGrid w:val="0"/>
        <w:spacing w:line="360" w:lineRule="auto"/>
        <w:ind w:firstLine="504" w:firstLineChars="200"/>
        <w:rPr>
          <w:rFonts w:ascii="宋体" w:hAnsi="宋体" w:cs="宋体"/>
          <w:spacing w:val="6"/>
          <w:kern w:val="4"/>
          <w:highlight w:val="none"/>
        </w:rPr>
      </w:pPr>
      <w:r>
        <w:rPr>
          <w:rFonts w:hint="eastAsia" w:ascii="宋体" w:hAnsi="宋体" w:cs="宋体"/>
          <w:spacing w:val="6"/>
          <w:kern w:val="4"/>
          <w:highlight w:val="none"/>
        </w:rPr>
        <w:t>内螺纹管应采用符合YB/T 5137的管坯制造的无缝钢管或符合</w:t>
      </w:r>
      <w:r>
        <w:rPr>
          <w:rFonts w:hint="eastAsia" w:ascii="宋体" w:hAnsi="宋体" w:cs="宋体"/>
          <w:kern w:val="0"/>
          <w:highlight w:val="none"/>
        </w:rPr>
        <w:t>GB5310</w:t>
      </w:r>
      <w:r>
        <w:rPr>
          <w:rFonts w:hint="eastAsia" w:ascii="宋体" w:hAnsi="宋体" w:cs="宋体"/>
          <w:spacing w:val="6"/>
          <w:kern w:val="4"/>
          <w:highlight w:val="none"/>
        </w:rPr>
        <w:t>的无缝钢管，通过冷拔加工方法制造。</w:t>
      </w:r>
    </w:p>
    <w:p w14:paraId="09C2C6A4">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4.2.4 内螺纹管交货状态</w:t>
      </w:r>
    </w:p>
    <w:p w14:paraId="0B3757AB">
      <w:pPr>
        <w:widowControl/>
        <w:snapToGrid w:val="0"/>
        <w:spacing w:line="360" w:lineRule="auto"/>
        <w:ind w:firstLine="504" w:firstLineChars="200"/>
        <w:rPr>
          <w:rFonts w:ascii="宋体" w:hAnsi="宋体" w:cs="宋体"/>
          <w:spacing w:val="6"/>
          <w:kern w:val="4"/>
          <w:highlight w:val="none"/>
        </w:rPr>
      </w:pPr>
      <w:r>
        <w:rPr>
          <w:rFonts w:hint="eastAsia" w:ascii="宋体" w:hAnsi="宋体" w:cs="宋体"/>
          <w:spacing w:val="6"/>
          <w:kern w:val="4"/>
          <w:highlight w:val="none"/>
        </w:rPr>
        <w:t>内螺纹管应以热处理状态交货，其热处理制度应符合表5的规定。热处理制度应填写在质量证明书中。</w:t>
      </w:r>
    </w:p>
    <w:p w14:paraId="03EED04E">
      <w:pPr>
        <w:pStyle w:val="14"/>
        <w:ind w:right="-57" w:firstLine="0"/>
        <w:jc w:val="center"/>
        <w:rPr>
          <w:rFonts w:hAnsi="宋体" w:cs="宋体"/>
          <w:color w:val="auto"/>
          <w:spacing w:val="6"/>
          <w:kern w:val="4"/>
          <w:szCs w:val="24"/>
          <w:highlight w:val="none"/>
        </w:rPr>
      </w:pPr>
      <w:r>
        <w:rPr>
          <w:rFonts w:hint="eastAsia" w:hAnsi="宋体" w:cs="宋体"/>
          <w:color w:val="auto"/>
          <w:spacing w:val="6"/>
          <w:kern w:val="4"/>
          <w:szCs w:val="24"/>
          <w:highlight w:val="none"/>
        </w:rPr>
        <w:t>表5 内螺纹管的热处理制度</w:t>
      </w:r>
    </w:p>
    <w:tbl>
      <w:tblPr>
        <w:tblStyle w:val="25"/>
        <w:tblW w:w="51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8049"/>
      </w:tblGrid>
      <w:tr w14:paraId="40F59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02" w:type="pct"/>
            <w:vAlign w:val="center"/>
          </w:tcPr>
          <w:p w14:paraId="77505673">
            <w:pPr>
              <w:spacing w:before="240" w:after="60" w:line="360" w:lineRule="auto"/>
              <w:ind w:right="-57"/>
              <w:jc w:val="center"/>
              <w:rPr>
                <w:rFonts w:ascii="宋体" w:hAnsi="宋体" w:cs="宋体"/>
                <w:bCs/>
                <w:spacing w:val="6"/>
                <w:kern w:val="4"/>
                <w:highlight w:val="none"/>
              </w:rPr>
            </w:pPr>
            <w:bookmarkStart w:id="39" w:name="_Toc392056615"/>
            <w:r>
              <w:rPr>
                <w:rFonts w:hint="eastAsia" w:ascii="宋体" w:hAnsi="宋体" w:cs="宋体"/>
                <w:bCs/>
                <w:spacing w:val="6"/>
                <w:kern w:val="4"/>
                <w:highlight w:val="none"/>
              </w:rPr>
              <w:t>牌号</w:t>
            </w:r>
            <w:bookmarkEnd w:id="39"/>
          </w:p>
        </w:tc>
        <w:tc>
          <w:tcPr>
            <w:tcW w:w="4397" w:type="pct"/>
            <w:vAlign w:val="center"/>
          </w:tcPr>
          <w:p w14:paraId="30EC79B9">
            <w:pPr>
              <w:spacing w:before="240" w:after="60" w:line="360" w:lineRule="auto"/>
              <w:ind w:right="-57"/>
              <w:jc w:val="center"/>
              <w:rPr>
                <w:rFonts w:ascii="宋体" w:hAnsi="宋体" w:cs="宋体"/>
                <w:bCs/>
                <w:spacing w:val="6"/>
                <w:kern w:val="4"/>
                <w:highlight w:val="none"/>
              </w:rPr>
            </w:pPr>
            <w:bookmarkStart w:id="40" w:name="_Toc392056616"/>
            <w:r>
              <w:rPr>
                <w:rFonts w:hint="eastAsia" w:ascii="宋体" w:hAnsi="宋体" w:cs="宋体"/>
                <w:bCs/>
                <w:spacing w:val="6"/>
                <w:kern w:val="4"/>
                <w:highlight w:val="none"/>
              </w:rPr>
              <w:t>热处理制度</w:t>
            </w:r>
            <w:bookmarkEnd w:id="40"/>
          </w:p>
        </w:tc>
      </w:tr>
      <w:tr w14:paraId="0A4E8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Align w:val="center"/>
          </w:tcPr>
          <w:p w14:paraId="50F6AD9D">
            <w:pPr>
              <w:spacing w:before="240" w:after="60" w:line="360" w:lineRule="auto"/>
              <w:ind w:right="-57"/>
              <w:jc w:val="center"/>
              <w:rPr>
                <w:rFonts w:ascii="宋体" w:hAnsi="宋体" w:cs="宋体"/>
                <w:bCs/>
                <w:spacing w:val="6"/>
                <w:kern w:val="4"/>
                <w:highlight w:val="none"/>
              </w:rPr>
            </w:pPr>
            <w:r>
              <w:rPr>
                <w:rFonts w:hint="eastAsia" w:ascii="宋体" w:hAnsi="宋体" w:cs="宋体"/>
                <w:bCs/>
                <w:spacing w:val="6"/>
                <w:kern w:val="4"/>
                <w:highlight w:val="none"/>
              </w:rPr>
              <w:t>15CrMoG</w:t>
            </w:r>
          </w:p>
        </w:tc>
        <w:tc>
          <w:tcPr>
            <w:tcW w:w="4397" w:type="pct"/>
            <w:vAlign w:val="center"/>
          </w:tcPr>
          <w:p w14:paraId="10011C44">
            <w:pPr>
              <w:spacing w:before="240" w:after="60" w:line="360" w:lineRule="auto"/>
              <w:ind w:right="-57"/>
              <w:jc w:val="center"/>
              <w:rPr>
                <w:rFonts w:ascii="宋体" w:hAnsi="宋体" w:cs="宋体"/>
                <w:bCs/>
                <w:spacing w:val="6"/>
                <w:kern w:val="4"/>
                <w:highlight w:val="none"/>
              </w:rPr>
            </w:pPr>
            <w:r>
              <w:rPr>
                <w:rFonts w:hint="eastAsia" w:ascii="宋体" w:hAnsi="宋体" w:cs="宋体"/>
                <w:bCs/>
                <w:spacing w:val="6"/>
                <w:kern w:val="4"/>
                <w:highlight w:val="none"/>
              </w:rPr>
              <w:t>S≤30mm的钢管正火加回火；正火温度900℃~960℃；回火温度670℃~730℃。</w:t>
            </w:r>
          </w:p>
          <w:p w14:paraId="68138E3A">
            <w:pPr>
              <w:spacing w:before="240" w:after="60" w:line="360" w:lineRule="auto"/>
              <w:ind w:right="-57"/>
              <w:rPr>
                <w:rFonts w:ascii="宋体" w:hAnsi="宋体" w:cs="宋体"/>
                <w:bCs/>
                <w:spacing w:val="6"/>
                <w:kern w:val="4"/>
                <w:highlight w:val="none"/>
              </w:rPr>
            </w:pPr>
            <w:r>
              <w:rPr>
                <w:rFonts w:hint="eastAsia" w:ascii="宋体" w:hAnsi="宋体" w:cs="宋体"/>
                <w:bCs/>
                <w:spacing w:val="6"/>
                <w:kern w:val="4"/>
                <w:highlight w:val="none"/>
              </w:rPr>
              <w:t>S＞30mm的钢管淬火加回火或正火加回火；淬火温度不低于900℃，回火温度680℃~750℃；正火温度900℃~960℃；回火温度680℃~730℃，但正火后应进行快速冷却。</w:t>
            </w:r>
          </w:p>
        </w:tc>
      </w:tr>
    </w:tbl>
    <w:p w14:paraId="6959082C">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4.2.5力学性能</w:t>
      </w:r>
    </w:p>
    <w:p w14:paraId="3CB3DCB4">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（1）交货状态内螺纹管的室温力学性能应符合表6的规定。</w:t>
      </w:r>
    </w:p>
    <w:p w14:paraId="312389E2">
      <w:pPr>
        <w:pStyle w:val="14"/>
        <w:ind w:right="-57" w:firstLine="0"/>
        <w:jc w:val="center"/>
        <w:rPr>
          <w:rFonts w:hAnsi="宋体" w:cs="宋体"/>
          <w:color w:val="auto"/>
          <w:spacing w:val="6"/>
          <w:kern w:val="4"/>
          <w:szCs w:val="24"/>
          <w:highlight w:val="none"/>
        </w:rPr>
      </w:pPr>
      <w:r>
        <w:rPr>
          <w:rFonts w:hint="eastAsia" w:hAnsi="宋体" w:cs="宋体"/>
          <w:color w:val="auto"/>
          <w:spacing w:val="6"/>
          <w:kern w:val="4"/>
          <w:szCs w:val="24"/>
          <w:highlight w:val="none"/>
        </w:rPr>
        <w:t>表6 钢的牌号及室温力学性能</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1136"/>
        <w:gridCol w:w="756"/>
        <w:gridCol w:w="1556"/>
        <w:gridCol w:w="1517"/>
        <w:gridCol w:w="1650"/>
        <w:gridCol w:w="589"/>
        <w:gridCol w:w="619"/>
      </w:tblGrid>
      <w:tr w14:paraId="44781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01" w:type="pct"/>
            <w:vMerge w:val="restart"/>
            <w:vAlign w:val="center"/>
          </w:tcPr>
          <w:p w14:paraId="18D72B62">
            <w:pPr>
              <w:spacing w:before="240" w:after="60" w:line="360" w:lineRule="auto"/>
              <w:ind w:right="-57"/>
              <w:jc w:val="center"/>
              <w:rPr>
                <w:rFonts w:ascii="宋体" w:hAnsi="宋体" w:cs="宋体"/>
                <w:bCs/>
                <w:spacing w:val="6"/>
                <w:kern w:val="4"/>
                <w:highlight w:val="none"/>
              </w:rPr>
            </w:pPr>
            <w:bookmarkStart w:id="41" w:name="_Toc392056619"/>
            <w:r>
              <w:rPr>
                <w:rFonts w:hint="eastAsia" w:ascii="宋体" w:hAnsi="宋体" w:cs="宋体"/>
                <w:bCs/>
                <w:spacing w:val="6"/>
                <w:kern w:val="4"/>
                <w:highlight w:val="none"/>
              </w:rPr>
              <w:t>牌号</w:t>
            </w:r>
            <w:bookmarkEnd w:id="41"/>
          </w:p>
        </w:tc>
        <w:tc>
          <w:tcPr>
            <w:tcW w:w="639" w:type="pct"/>
            <w:vMerge w:val="restart"/>
            <w:vAlign w:val="center"/>
          </w:tcPr>
          <w:p w14:paraId="13A3D04B">
            <w:pPr>
              <w:spacing w:before="240" w:after="60" w:line="360" w:lineRule="auto"/>
              <w:ind w:right="-57"/>
              <w:jc w:val="center"/>
              <w:rPr>
                <w:rFonts w:ascii="宋体" w:hAnsi="宋体" w:cs="宋体"/>
                <w:bCs/>
                <w:spacing w:val="6"/>
                <w:kern w:val="4"/>
                <w:highlight w:val="none"/>
              </w:rPr>
            </w:pPr>
            <w:bookmarkStart w:id="42" w:name="_Toc392056620"/>
            <w:r>
              <w:rPr>
                <w:rFonts w:hint="eastAsia" w:ascii="宋体" w:hAnsi="宋体" w:cs="宋体"/>
                <w:bCs/>
                <w:spacing w:val="6"/>
                <w:kern w:val="4"/>
                <w:highlight w:val="none"/>
              </w:rPr>
              <w:t>标准号</w:t>
            </w:r>
            <w:bookmarkEnd w:id="42"/>
          </w:p>
        </w:tc>
        <w:tc>
          <w:tcPr>
            <w:tcW w:w="425" w:type="pct"/>
            <w:vMerge w:val="restart"/>
            <w:vAlign w:val="center"/>
          </w:tcPr>
          <w:p w14:paraId="66E9F6DF">
            <w:pPr>
              <w:spacing w:before="240" w:after="60" w:line="360" w:lineRule="auto"/>
              <w:ind w:right="-57"/>
              <w:rPr>
                <w:rFonts w:ascii="宋体" w:hAnsi="宋体" w:cs="宋体"/>
                <w:bCs/>
                <w:spacing w:val="6"/>
                <w:kern w:val="4"/>
                <w:highlight w:val="none"/>
              </w:rPr>
            </w:pPr>
          </w:p>
        </w:tc>
        <w:tc>
          <w:tcPr>
            <w:tcW w:w="875" w:type="pct"/>
            <w:vMerge w:val="restart"/>
            <w:vAlign w:val="center"/>
          </w:tcPr>
          <w:p w14:paraId="7141E531">
            <w:pPr>
              <w:spacing w:before="240" w:after="60" w:line="360" w:lineRule="auto"/>
              <w:ind w:right="-57"/>
              <w:jc w:val="center"/>
              <w:rPr>
                <w:rFonts w:ascii="宋体" w:hAnsi="宋体" w:cs="宋体"/>
                <w:bCs/>
                <w:spacing w:val="6"/>
                <w:kern w:val="4"/>
                <w:highlight w:val="none"/>
              </w:rPr>
            </w:pPr>
            <w:r>
              <w:rPr>
                <w:rFonts w:hint="eastAsia" w:ascii="宋体" w:hAnsi="宋体" w:cs="宋体"/>
                <w:bCs/>
                <w:spacing w:val="6"/>
                <w:kern w:val="4"/>
                <w:highlight w:val="none"/>
              </w:rPr>
              <w:t>抗拉强度R</w:t>
            </w:r>
            <w:r>
              <w:rPr>
                <w:rFonts w:hint="eastAsia" w:ascii="宋体" w:hAnsi="宋体" w:cs="宋体"/>
                <w:bCs/>
                <w:spacing w:val="6"/>
                <w:kern w:val="4"/>
                <w:highlight w:val="none"/>
                <w:vertAlign w:val="subscript"/>
              </w:rPr>
              <w:t>m</w:t>
            </w:r>
            <w:r>
              <w:rPr>
                <w:rFonts w:hint="eastAsia" w:ascii="宋体" w:hAnsi="宋体" w:cs="宋体"/>
                <w:bCs/>
                <w:spacing w:val="6"/>
                <w:kern w:val="4"/>
                <w:highlight w:val="none"/>
              </w:rPr>
              <w:t>/</w:t>
            </w:r>
          </w:p>
          <w:p w14:paraId="5BBB3E8C">
            <w:pPr>
              <w:spacing w:before="240" w:after="60" w:line="360" w:lineRule="auto"/>
              <w:ind w:right="-57"/>
              <w:jc w:val="center"/>
              <w:rPr>
                <w:rFonts w:ascii="宋体" w:hAnsi="宋体" w:cs="宋体"/>
                <w:bCs/>
                <w:spacing w:val="6"/>
                <w:kern w:val="4"/>
                <w:highlight w:val="none"/>
              </w:rPr>
            </w:pPr>
            <w:bookmarkStart w:id="43" w:name="_Toc392056623"/>
            <w:r>
              <w:rPr>
                <w:rFonts w:hint="eastAsia" w:ascii="宋体" w:hAnsi="宋体" w:cs="宋体"/>
                <w:bCs/>
                <w:spacing w:val="6"/>
                <w:kern w:val="4"/>
                <w:highlight w:val="none"/>
              </w:rPr>
              <w:t>MPa(N/mm</w:t>
            </w:r>
            <w:r>
              <w:rPr>
                <w:rFonts w:hint="eastAsia" w:ascii="宋体" w:hAnsi="宋体" w:cs="宋体"/>
                <w:bCs/>
                <w:spacing w:val="6"/>
                <w:kern w:val="4"/>
                <w:highlight w:val="none"/>
                <w:vertAlign w:val="superscript"/>
              </w:rPr>
              <w:t>2</w:t>
            </w:r>
            <w:r>
              <w:rPr>
                <w:rFonts w:hint="eastAsia" w:ascii="宋体" w:hAnsi="宋体" w:cs="宋体"/>
                <w:bCs/>
                <w:spacing w:val="6"/>
                <w:kern w:val="4"/>
                <w:highlight w:val="none"/>
              </w:rPr>
              <w:t>)</w:t>
            </w:r>
            <w:bookmarkEnd w:id="43"/>
          </w:p>
        </w:tc>
        <w:tc>
          <w:tcPr>
            <w:tcW w:w="853" w:type="pct"/>
            <w:vMerge w:val="restart"/>
            <w:vAlign w:val="center"/>
          </w:tcPr>
          <w:p w14:paraId="09F43B08">
            <w:pPr>
              <w:spacing w:before="240" w:after="60" w:line="360" w:lineRule="auto"/>
              <w:ind w:right="-57"/>
              <w:jc w:val="center"/>
              <w:rPr>
                <w:rFonts w:ascii="宋体" w:hAnsi="宋体" w:cs="宋体"/>
                <w:bCs/>
                <w:spacing w:val="6"/>
                <w:kern w:val="4"/>
                <w:highlight w:val="none"/>
              </w:rPr>
            </w:pPr>
            <w:bookmarkStart w:id="44" w:name="_Toc392056624"/>
            <w:r>
              <w:rPr>
                <w:rFonts w:hint="eastAsia" w:ascii="宋体" w:hAnsi="宋体" w:cs="宋体"/>
                <w:bCs/>
                <w:spacing w:val="6"/>
                <w:kern w:val="4"/>
                <w:highlight w:val="none"/>
              </w:rPr>
              <w:t>下屈服强度</w:t>
            </w:r>
            <w:bookmarkEnd w:id="44"/>
          </w:p>
          <w:p w14:paraId="05B8B884">
            <w:pPr>
              <w:spacing w:before="240" w:after="60" w:line="360" w:lineRule="auto"/>
              <w:ind w:right="-57"/>
              <w:jc w:val="center"/>
              <w:rPr>
                <w:rFonts w:ascii="宋体" w:hAnsi="宋体" w:cs="宋体"/>
                <w:bCs/>
                <w:spacing w:val="6"/>
                <w:kern w:val="4"/>
                <w:highlight w:val="none"/>
              </w:rPr>
            </w:pPr>
            <w:bookmarkStart w:id="45" w:name="_Toc392056625"/>
            <w:r>
              <w:rPr>
                <w:rFonts w:hint="eastAsia" w:ascii="宋体" w:hAnsi="宋体" w:cs="宋体"/>
                <w:bCs/>
                <w:spacing w:val="6"/>
                <w:kern w:val="4"/>
                <w:highlight w:val="none"/>
              </w:rPr>
              <w:t>R</w:t>
            </w:r>
            <w:r>
              <w:rPr>
                <w:rFonts w:hint="eastAsia" w:ascii="宋体" w:hAnsi="宋体" w:cs="宋体"/>
                <w:bCs/>
                <w:spacing w:val="6"/>
                <w:kern w:val="4"/>
                <w:highlight w:val="none"/>
                <w:vertAlign w:val="subscript"/>
              </w:rPr>
              <w:t>eL</w:t>
            </w:r>
            <w:r>
              <w:rPr>
                <w:rFonts w:hint="eastAsia" w:ascii="宋体" w:hAnsi="宋体" w:cs="宋体"/>
                <w:bCs/>
                <w:spacing w:val="6"/>
                <w:kern w:val="4"/>
                <w:highlight w:val="none"/>
              </w:rPr>
              <w:t>/</w:t>
            </w:r>
            <w:bookmarkEnd w:id="45"/>
          </w:p>
          <w:p w14:paraId="351C957C">
            <w:pPr>
              <w:spacing w:before="240" w:after="60" w:line="360" w:lineRule="auto"/>
              <w:ind w:right="-57"/>
              <w:jc w:val="center"/>
              <w:rPr>
                <w:rFonts w:ascii="宋体" w:hAnsi="宋体" w:cs="宋体"/>
                <w:bCs/>
                <w:spacing w:val="6"/>
                <w:kern w:val="4"/>
                <w:highlight w:val="none"/>
              </w:rPr>
            </w:pPr>
            <w:bookmarkStart w:id="46" w:name="_Toc392056626"/>
            <w:r>
              <w:rPr>
                <w:rFonts w:hint="eastAsia" w:ascii="宋体" w:hAnsi="宋体" w:cs="宋体"/>
                <w:bCs/>
                <w:spacing w:val="6"/>
                <w:kern w:val="4"/>
                <w:highlight w:val="none"/>
              </w:rPr>
              <w:t>MPa(N/mm</w:t>
            </w:r>
            <w:r>
              <w:rPr>
                <w:rFonts w:hint="eastAsia" w:ascii="宋体" w:hAnsi="宋体" w:cs="宋体"/>
                <w:bCs/>
                <w:spacing w:val="6"/>
                <w:kern w:val="4"/>
                <w:highlight w:val="none"/>
                <w:vertAlign w:val="superscript"/>
              </w:rPr>
              <w:t>2</w:t>
            </w:r>
            <w:r>
              <w:rPr>
                <w:rFonts w:hint="eastAsia" w:ascii="宋体" w:hAnsi="宋体" w:cs="宋体"/>
                <w:bCs/>
                <w:spacing w:val="6"/>
                <w:kern w:val="4"/>
                <w:highlight w:val="none"/>
              </w:rPr>
              <w:t>)</w:t>
            </w:r>
            <w:bookmarkEnd w:id="46"/>
          </w:p>
        </w:tc>
        <w:tc>
          <w:tcPr>
            <w:tcW w:w="928" w:type="pct"/>
            <w:vMerge w:val="restart"/>
            <w:vAlign w:val="center"/>
          </w:tcPr>
          <w:p w14:paraId="5BC84729">
            <w:pPr>
              <w:spacing w:before="240" w:after="60" w:line="360" w:lineRule="auto"/>
              <w:ind w:right="-57"/>
              <w:jc w:val="center"/>
              <w:rPr>
                <w:rFonts w:ascii="宋体" w:hAnsi="宋体" w:cs="宋体"/>
                <w:bCs/>
                <w:spacing w:val="6"/>
                <w:kern w:val="4"/>
                <w:highlight w:val="none"/>
              </w:rPr>
            </w:pPr>
            <w:bookmarkStart w:id="47" w:name="_Toc392056627"/>
            <w:r>
              <w:rPr>
                <w:rFonts w:hint="eastAsia" w:ascii="宋体" w:hAnsi="宋体" w:cs="宋体"/>
                <w:bCs/>
                <w:spacing w:val="6"/>
                <w:kern w:val="4"/>
                <w:highlight w:val="none"/>
              </w:rPr>
              <w:t>断后伸长率</w:t>
            </w:r>
            <w:r>
              <w:rPr>
                <w:rFonts w:hint="eastAsia" w:ascii="宋体" w:hAnsi="宋体" w:cs="宋体"/>
                <w:bCs/>
                <w:spacing w:val="6"/>
                <w:kern w:val="4"/>
                <w:highlight w:val="none"/>
                <w:vertAlign w:val="superscript"/>
              </w:rPr>
              <w:t>a、b</w:t>
            </w:r>
            <w:bookmarkEnd w:id="47"/>
          </w:p>
          <w:p w14:paraId="4EF03A5E">
            <w:pPr>
              <w:spacing w:before="240" w:after="60" w:line="360" w:lineRule="auto"/>
              <w:ind w:right="-57"/>
              <w:jc w:val="center"/>
              <w:rPr>
                <w:rFonts w:ascii="宋体" w:hAnsi="宋体" w:cs="宋体"/>
                <w:bCs/>
                <w:spacing w:val="6"/>
                <w:kern w:val="4"/>
                <w:highlight w:val="none"/>
              </w:rPr>
            </w:pPr>
            <w:bookmarkStart w:id="48" w:name="_Toc392056628"/>
            <w:r>
              <w:rPr>
                <w:rFonts w:hint="eastAsia" w:ascii="宋体" w:hAnsi="宋体" w:cs="宋体"/>
                <w:bCs/>
                <w:spacing w:val="6"/>
                <w:kern w:val="4"/>
                <w:highlight w:val="none"/>
              </w:rPr>
              <w:t>A</w:t>
            </w:r>
            <w:r>
              <w:rPr>
                <w:rFonts w:hint="eastAsia" w:ascii="宋体" w:hAnsi="宋体" w:cs="宋体"/>
                <w:bCs/>
                <w:spacing w:val="6"/>
                <w:kern w:val="4"/>
                <w:highlight w:val="none"/>
                <w:vertAlign w:val="subscript"/>
              </w:rPr>
              <w:t>50.8mm</w:t>
            </w:r>
            <w:r>
              <w:rPr>
                <w:rFonts w:hint="eastAsia" w:ascii="宋体" w:hAnsi="宋体" w:cs="宋体"/>
                <w:bCs/>
                <w:spacing w:val="6"/>
                <w:kern w:val="4"/>
                <w:highlight w:val="none"/>
              </w:rPr>
              <w:t>/</w:t>
            </w:r>
            <w:bookmarkEnd w:id="48"/>
          </w:p>
          <w:p w14:paraId="51788274">
            <w:pPr>
              <w:spacing w:before="240" w:after="60" w:line="360" w:lineRule="auto"/>
              <w:ind w:right="-57"/>
              <w:jc w:val="center"/>
              <w:rPr>
                <w:rFonts w:ascii="宋体" w:hAnsi="宋体" w:cs="宋体"/>
                <w:bCs/>
                <w:spacing w:val="6"/>
                <w:kern w:val="4"/>
                <w:highlight w:val="none"/>
              </w:rPr>
            </w:pPr>
            <w:bookmarkStart w:id="49" w:name="_Toc392056629"/>
            <w:r>
              <w:rPr>
                <w:rFonts w:hint="eastAsia" w:ascii="宋体" w:hAnsi="宋体" w:cs="宋体"/>
                <w:bCs/>
                <w:spacing w:val="6"/>
                <w:kern w:val="4"/>
                <w:highlight w:val="none"/>
              </w:rPr>
              <w:t>％</w:t>
            </w:r>
            <w:bookmarkEnd w:id="49"/>
          </w:p>
        </w:tc>
        <w:tc>
          <w:tcPr>
            <w:tcW w:w="679" w:type="pct"/>
            <w:gridSpan w:val="2"/>
          </w:tcPr>
          <w:p w14:paraId="3707EC63">
            <w:pPr>
              <w:widowControl/>
              <w:spacing w:before="240" w:after="60" w:line="360" w:lineRule="auto"/>
              <w:ind w:right="-57"/>
              <w:jc w:val="center"/>
              <w:rPr>
                <w:rFonts w:ascii="宋体" w:hAnsi="宋体" w:cs="宋体"/>
                <w:bCs/>
                <w:spacing w:val="6"/>
                <w:kern w:val="4"/>
                <w:highlight w:val="none"/>
              </w:rPr>
            </w:pPr>
            <w:bookmarkStart w:id="50" w:name="_Toc392056630"/>
            <w:r>
              <w:rPr>
                <w:rFonts w:hint="eastAsia" w:ascii="宋体" w:hAnsi="宋体" w:cs="宋体"/>
                <w:bCs/>
                <w:spacing w:val="6"/>
                <w:kern w:val="4"/>
                <w:highlight w:val="none"/>
              </w:rPr>
              <w:t>硬度</w:t>
            </w:r>
            <w:bookmarkEnd w:id="50"/>
          </w:p>
        </w:tc>
      </w:tr>
      <w:tr w14:paraId="34A49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pct"/>
            <w:vMerge w:val="continue"/>
          </w:tcPr>
          <w:p w14:paraId="3258CE67">
            <w:pPr>
              <w:pStyle w:val="14"/>
              <w:spacing w:before="240" w:after="60"/>
              <w:ind w:right="-57" w:firstLine="0"/>
              <w:jc w:val="center"/>
              <w:rPr>
                <w:rFonts w:hAnsi="宋体" w:cs="宋体"/>
                <w:bCs/>
                <w:color w:val="auto"/>
                <w:spacing w:val="6"/>
                <w:kern w:val="4"/>
                <w:szCs w:val="24"/>
                <w:highlight w:val="none"/>
              </w:rPr>
            </w:pPr>
          </w:p>
        </w:tc>
        <w:tc>
          <w:tcPr>
            <w:tcW w:w="639" w:type="pct"/>
            <w:vMerge w:val="continue"/>
          </w:tcPr>
          <w:p w14:paraId="0160DC62">
            <w:pPr>
              <w:pStyle w:val="14"/>
              <w:spacing w:before="240" w:after="60"/>
              <w:ind w:right="-57" w:firstLine="0"/>
              <w:jc w:val="center"/>
              <w:rPr>
                <w:rFonts w:hAnsi="宋体" w:cs="宋体"/>
                <w:bCs/>
                <w:color w:val="auto"/>
                <w:spacing w:val="6"/>
                <w:kern w:val="4"/>
                <w:szCs w:val="24"/>
                <w:highlight w:val="none"/>
              </w:rPr>
            </w:pPr>
          </w:p>
        </w:tc>
        <w:tc>
          <w:tcPr>
            <w:tcW w:w="425" w:type="pct"/>
            <w:vMerge w:val="continue"/>
          </w:tcPr>
          <w:p w14:paraId="125CE754">
            <w:pPr>
              <w:pStyle w:val="14"/>
              <w:spacing w:before="240" w:after="60"/>
              <w:ind w:right="-57" w:firstLine="0"/>
              <w:jc w:val="center"/>
              <w:rPr>
                <w:rFonts w:hAnsi="宋体" w:cs="宋体"/>
                <w:bCs/>
                <w:color w:val="auto"/>
                <w:spacing w:val="6"/>
                <w:kern w:val="4"/>
                <w:szCs w:val="24"/>
                <w:highlight w:val="none"/>
              </w:rPr>
            </w:pPr>
          </w:p>
        </w:tc>
        <w:tc>
          <w:tcPr>
            <w:tcW w:w="875" w:type="pct"/>
            <w:vMerge w:val="continue"/>
          </w:tcPr>
          <w:p w14:paraId="672E8BF0">
            <w:pPr>
              <w:pStyle w:val="14"/>
              <w:spacing w:before="240" w:after="60"/>
              <w:ind w:right="-57" w:firstLine="0"/>
              <w:jc w:val="center"/>
              <w:rPr>
                <w:rFonts w:hAnsi="宋体" w:cs="宋体"/>
                <w:bCs/>
                <w:color w:val="auto"/>
                <w:spacing w:val="6"/>
                <w:kern w:val="4"/>
                <w:szCs w:val="24"/>
                <w:highlight w:val="none"/>
              </w:rPr>
            </w:pPr>
          </w:p>
        </w:tc>
        <w:tc>
          <w:tcPr>
            <w:tcW w:w="853" w:type="pct"/>
            <w:vMerge w:val="continue"/>
          </w:tcPr>
          <w:p w14:paraId="7F332F82">
            <w:pPr>
              <w:pStyle w:val="14"/>
              <w:spacing w:before="240" w:after="60"/>
              <w:ind w:right="-57" w:firstLine="0"/>
              <w:jc w:val="center"/>
              <w:rPr>
                <w:rFonts w:hAnsi="宋体" w:cs="宋体"/>
                <w:bCs/>
                <w:color w:val="auto"/>
                <w:spacing w:val="6"/>
                <w:kern w:val="4"/>
                <w:szCs w:val="24"/>
                <w:highlight w:val="none"/>
              </w:rPr>
            </w:pPr>
          </w:p>
        </w:tc>
        <w:tc>
          <w:tcPr>
            <w:tcW w:w="928" w:type="pct"/>
            <w:vMerge w:val="continue"/>
          </w:tcPr>
          <w:p w14:paraId="4B93C64D">
            <w:pPr>
              <w:pStyle w:val="14"/>
              <w:spacing w:before="240" w:after="60"/>
              <w:ind w:right="-57" w:firstLine="0"/>
              <w:jc w:val="center"/>
              <w:rPr>
                <w:rFonts w:hAnsi="宋体" w:cs="宋体"/>
                <w:bCs/>
                <w:color w:val="auto"/>
                <w:spacing w:val="6"/>
                <w:kern w:val="4"/>
                <w:szCs w:val="24"/>
                <w:highlight w:val="none"/>
              </w:rPr>
            </w:pPr>
          </w:p>
        </w:tc>
        <w:tc>
          <w:tcPr>
            <w:tcW w:w="331" w:type="pct"/>
            <w:vAlign w:val="center"/>
          </w:tcPr>
          <w:p w14:paraId="5B433BBF">
            <w:pPr>
              <w:spacing w:before="240" w:after="60" w:line="360" w:lineRule="auto"/>
              <w:ind w:right="-57"/>
              <w:jc w:val="center"/>
              <w:rPr>
                <w:rFonts w:ascii="宋体" w:hAnsi="宋体" w:cs="宋体"/>
                <w:bCs/>
                <w:spacing w:val="6"/>
                <w:kern w:val="4"/>
                <w:highlight w:val="none"/>
              </w:rPr>
            </w:pPr>
            <w:r>
              <w:rPr>
                <w:rFonts w:hint="eastAsia" w:ascii="宋体" w:hAnsi="宋体" w:cs="宋体"/>
                <w:bCs/>
                <w:spacing w:val="6"/>
                <w:kern w:val="4"/>
                <w:highlight w:val="none"/>
              </w:rPr>
              <w:t>HV</w:t>
            </w:r>
          </w:p>
        </w:tc>
        <w:tc>
          <w:tcPr>
            <w:tcW w:w="348" w:type="pct"/>
            <w:vAlign w:val="center"/>
          </w:tcPr>
          <w:p w14:paraId="1D6ADD88">
            <w:pPr>
              <w:spacing w:before="240" w:after="60" w:line="360" w:lineRule="auto"/>
              <w:ind w:right="-57"/>
              <w:jc w:val="center"/>
              <w:rPr>
                <w:rFonts w:ascii="宋体" w:hAnsi="宋体" w:cs="宋体"/>
                <w:bCs/>
                <w:spacing w:val="6"/>
                <w:kern w:val="4"/>
                <w:highlight w:val="none"/>
              </w:rPr>
            </w:pPr>
            <w:bookmarkStart w:id="51" w:name="_Toc392056632"/>
            <w:r>
              <w:rPr>
                <w:rFonts w:hint="eastAsia" w:ascii="宋体" w:hAnsi="宋体" w:cs="宋体"/>
                <w:bCs/>
                <w:spacing w:val="6"/>
                <w:kern w:val="4"/>
                <w:highlight w:val="none"/>
              </w:rPr>
              <w:t>HBW</w:t>
            </w:r>
            <w:bookmarkEnd w:id="51"/>
          </w:p>
        </w:tc>
      </w:tr>
      <w:tr w14:paraId="2F350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601" w:type="pct"/>
            <w:vMerge w:val="restart"/>
            <w:vAlign w:val="center"/>
          </w:tcPr>
          <w:p w14:paraId="60F02AB1">
            <w:pPr>
              <w:spacing w:before="240" w:after="60" w:line="360" w:lineRule="auto"/>
              <w:ind w:right="-57"/>
              <w:jc w:val="center"/>
              <w:rPr>
                <w:rFonts w:ascii="宋体" w:hAnsi="宋体" w:cs="宋体"/>
                <w:bCs/>
                <w:spacing w:val="6"/>
                <w:kern w:val="4"/>
                <w:highlight w:val="none"/>
              </w:rPr>
            </w:pPr>
            <w:r>
              <w:rPr>
                <w:rFonts w:hint="eastAsia" w:ascii="宋体" w:hAnsi="宋体" w:cs="宋体"/>
                <w:bCs/>
                <w:spacing w:val="6"/>
                <w:kern w:val="4"/>
                <w:highlight w:val="none"/>
              </w:rPr>
              <w:t>15CrMoG</w:t>
            </w:r>
          </w:p>
        </w:tc>
        <w:tc>
          <w:tcPr>
            <w:tcW w:w="639" w:type="pct"/>
            <w:vMerge w:val="restart"/>
            <w:vAlign w:val="center"/>
          </w:tcPr>
          <w:p w14:paraId="3C0AE395">
            <w:pPr>
              <w:spacing w:before="240" w:after="60" w:line="360" w:lineRule="auto"/>
              <w:ind w:right="-57"/>
              <w:jc w:val="center"/>
              <w:rPr>
                <w:rFonts w:ascii="宋体" w:hAnsi="宋体" w:cs="宋体"/>
                <w:bCs/>
                <w:spacing w:val="6"/>
                <w:kern w:val="4"/>
                <w:highlight w:val="none"/>
              </w:rPr>
            </w:pPr>
            <w:r>
              <w:rPr>
                <w:rFonts w:hint="eastAsia" w:ascii="宋体" w:hAnsi="宋体" w:cs="宋体"/>
                <w:bCs/>
                <w:spacing w:val="6"/>
                <w:kern w:val="4"/>
                <w:highlight w:val="none"/>
              </w:rPr>
              <w:t>GB5310</w:t>
            </w:r>
          </w:p>
        </w:tc>
        <w:tc>
          <w:tcPr>
            <w:tcW w:w="425" w:type="pct"/>
            <w:vAlign w:val="center"/>
          </w:tcPr>
          <w:p w14:paraId="1E22A0F2">
            <w:pPr>
              <w:spacing w:before="240" w:after="60" w:line="360" w:lineRule="auto"/>
              <w:ind w:right="-57"/>
              <w:jc w:val="center"/>
              <w:rPr>
                <w:rFonts w:ascii="宋体" w:hAnsi="宋体" w:cs="宋体"/>
                <w:bCs/>
                <w:spacing w:val="6"/>
                <w:kern w:val="4"/>
                <w:highlight w:val="none"/>
              </w:rPr>
            </w:pPr>
            <w:r>
              <w:rPr>
                <w:rFonts w:hint="eastAsia" w:ascii="宋体" w:hAnsi="宋体" w:cs="宋体"/>
                <w:bCs/>
                <w:spacing w:val="6"/>
                <w:kern w:val="4"/>
                <w:highlight w:val="none"/>
              </w:rPr>
              <w:t>纵向</w:t>
            </w:r>
          </w:p>
        </w:tc>
        <w:tc>
          <w:tcPr>
            <w:tcW w:w="875" w:type="pct"/>
            <w:vAlign w:val="center"/>
          </w:tcPr>
          <w:p w14:paraId="11CB6071">
            <w:pPr>
              <w:spacing w:before="240" w:after="60" w:line="360" w:lineRule="auto"/>
              <w:ind w:right="-57"/>
              <w:jc w:val="center"/>
              <w:rPr>
                <w:rFonts w:ascii="宋体" w:hAnsi="宋体" w:cs="宋体"/>
                <w:bCs/>
                <w:spacing w:val="6"/>
                <w:kern w:val="4"/>
                <w:highlight w:val="none"/>
              </w:rPr>
            </w:pPr>
            <w:r>
              <w:rPr>
                <w:rFonts w:hint="eastAsia" w:ascii="宋体" w:hAnsi="宋体" w:cs="宋体"/>
                <w:bCs/>
                <w:spacing w:val="6"/>
                <w:kern w:val="4"/>
                <w:highlight w:val="none"/>
              </w:rPr>
              <w:t>440～640</w:t>
            </w:r>
          </w:p>
        </w:tc>
        <w:tc>
          <w:tcPr>
            <w:tcW w:w="853" w:type="pct"/>
            <w:vAlign w:val="center"/>
          </w:tcPr>
          <w:p w14:paraId="44F4CC1C">
            <w:pPr>
              <w:spacing w:before="240" w:after="60" w:line="360" w:lineRule="auto"/>
              <w:ind w:right="-57"/>
              <w:jc w:val="center"/>
              <w:rPr>
                <w:rFonts w:ascii="宋体" w:hAnsi="宋体" w:cs="宋体"/>
                <w:bCs/>
                <w:spacing w:val="6"/>
                <w:kern w:val="4"/>
                <w:highlight w:val="none"/>
              </w:rPr>
            </w:pPr>
            <w:r>
              <w:rPr>
                <w:rFonts w:hint="eastAsia" w:ascii="宋体" w:hAnsi="宋体" w:cs="宋体"/>
                <w:bCs/>
                <w:spacing w:val="6"/>
                <w:kern w:val="4"/>
                <w:highlight w:val="none"/>
              </w:rPr>
              <w:t>295</w:t>
            </w:r>
          </w:p>
        </w:tc>
        <w:tc>
          <w:tcPr>
            <w:tcW w:w="928" w:type="pct"/>
            <w:vAlign w:val="center"/>
          </w:tcPr>
          <w:p w14:paraId="025837BE">
            <w:pPr>
              <w:spacing w:before="240" w:after="60" w:line="360" w:lineRule="auto"/>
              <w:ind w:right="-57"/>
              <w:jc w:val="center"/>
              <w:rPr>
                <w:rFonts w:ascii="宋体" w:hAnsi="宋体" w:cs="宋体"/>
                <w:bCs/>
                <w:spacing w:val="6"/>
                <w:kern w:val="4"/>
                <w:highlight w:val="none"/>
              </w:rPr>
            </w:pPr>
            <w:r>
              <w:rPr>
                <w:rFonts w:hint="eastAsia" w:ascii="宋体" w:hAnsi="宋体" w:cs="宋体"/>
                <w:bCs/>
                <w:spacing w:val="6"/>
                <w:kern w:val="4"/>
                <w:highlight w:val="none"/>
              </w:rPr>
              <w:t>21</w:t>
            </w:r>
          </w:p>
        </w:tc>
        <w:tc>
          <w:tcPr>
            <w:tcW w:w="331" w:type="pct"/>
            <w:vAlign w:val="center"/>
          </w:tcPr>
          <w:p w14:paraId="326D2D79">
            <w:pPr>
              <w:spacing w:before="240" w:after="60" w:line="360" w:lineRule="auto"/>
              <w:ind w:right="-57"/>
              <w:jc w:val="center"/>
              <w:rPr>
                <w:rFonts w:ascii="宋体" w:hAnsi="宋体" w:cs="宋体"/>
                <w:bCs/>
                <w:spacing w:val="6"/>
                <w:kern w:val="4"/>
                <w:highlight w:val="none"/>
              </w:rPr>
            </w:pPr>
            <w:r>
              <w:rPr>
                <w:rFonts w:hint="eastAsia" w:ascii="宋体" w:hAnsi="宋体" w:cs="宋体"/>
                <w:bCs/>
                <w:spacing w:val="6"/>
                <w:kern w:val="4"/>
                <w:highlight w:val="none"/>
              </w:rPr>
              <w:t>130-205</w:t>
            </w:r>
          </w:p>
        </w:tc>
        <w:tc>
          <w:tcPr>
            <w:tcW w:w="348" w:type="pct"/>
            <w:vAlign w:val="center"/>
          </w:tcPr>
          <w:p w14:paraId="2B27375F">
            <w:pPr>
              <w:spacing w:before="240" w:after="60" w:line="360" w:lineRule="auto"/>
              <w:ind w:right="-57"/>
              <w:jc w:val="center"/>
              <w:rPr>
                <w:rFonts w:ascii="宋体" w:hAnsi="宋体" w:cs="宋体"/>
                <w:bCs/>
                <w:spacing w:val="6"/>
                <w:kern w:val="4"/>
                <w:highlight w:val="none"/>
              </w:rPr>
            </w:pPr>
            <w:r>
              <w:rPr>
                <w:rFonts w:hint="eastAsia" w:ascii="宋体" w:hAnsi="宋体" w:cs="宋体"/>
                <w:bCs/>
                <w:spacing w:val="6"/>
                <w:kern w:val="4"/>
                <w:highlight w:val="none"/>
              </w:rPr>
              <w:t>125-195</w:t>
            </w:r>
          </w:p>
        </w:tc>
      </w:tr>
      <w:tr w14:paraId="4AB3A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601" w:type="pct"/>
            <w:vMerge w:val="continue"/>
            <w:vAlign w:val="center"/>
          </w:tcPr>
          <w:p w14:paraId="4ABCE9BD">
            <w:pPr>
              <w:spacing w:before="240" w:after="60" w:line="360" w:lineRule="auto"/>
              <w:ind w:right="-57"/>
              <w:jc w:val="center"/>
              <w:rPr>
                <w:rFonts w:ascii="宋体" w:hAnsi="宋体" w:cs="宋体"/>
                <w:bCs/>
                <w:spacing w:val="6"/>
                <w:kern w:val="4"/>
                <w:highlight w:val="none"/>
              </w:rPr>
            </w:pPr>
          </w:p>
        </w:tc>
        <w:tc>
          <w:tcPr>
            <w:tcW w:w="639" w:type="pct"/>
            <w:vMerge w:val="continue"/>
            <w:vAlign w:val="center"/>
          </w:tcPr>
          <w:p w14:paraId="08347E86">
            <w:pPr>
              <w:spacing w:before="240" w:after="60" w:line="360" w:lineRule="auto"/>
              <w:ind w:right="-57"/>
              <w:jc w:val="center"/>
              <w:rPr>
                <w:rFonts w:ascii="宋体" w:hAnsi="宋体" w:cs="宋体"/>
                <w:bCs/>
                <w:spacing w:val="6"/>
                <w:kern w:val="4"/>
                <w:highlight w:val="none"/>
              </w:rPr>
            </w:pPr>
          </w:p>
        </w:tc>
        <w:tc>
          <w:tcPr>
            <w:tcW w:w="425" w:type="pct"/>
            <w:vAlign w:val="center"/>
          </w:tcPr>
          <w:p w14:paraId="6BCC1B9A">
            <w:pPr>
              <w:spacing w:before="240" w:after="60" w:line="360" w:lineRule="auto"/>
              <w:ind w:right="-57"/>
              <w:jc w:val="center"/>
              <w:rPr>
                <w:rFonts w:ascii="宋体" w:hAnsi="宋体" w:cs="宋体"/>
                <w:bCs/>
                <w:spacing w:val="6"/>
                <w:kern w:val="4"/>
                <w:highlight w:val="none"/>
              </w:rPr>
            </w:pPr>
            <w:r>
              <w:rPr>
                <w:rFonts w:hint="eastAsia" w:ascii="宋体" w:hAnsi="宋体" w:cs="宋体"/>
                <w:bCs/>
                <w:spacing w:val="6"/>
                <w:kern w:val="4"/>
                <w:highlight w:val="none"/>
              </w:rPr>
              <w:t>横向</w:t>
            </w:r>
          </w:p>
        </w:tc>
        <w:tc>
          <w:tcPr>
            <w:tcW w:w="875" w:type="pct"/>
            <w:vAlign w:val="center"/>
          </w:tcPr>
          <w:p w14:paraId="20DC51C5">
            <w:pPr>
              <w:spacing w:before="240" w:after="60" w:line="360" w:lineRule="auto"/>
              <w:ind w:right="-57"/>
              <w:jc w:val="center"/>
              <w:rPr>
                <w:rFonts w:ascii="宋体" w:hAnsi="宋体" w:cs="宋体"/>
                <w:bCs/>
                <w:spacing w:val="6"/>
                <w:kern w:val="4"/>
                <w:highlight w:val="none"/>
              </w:rPr>
            </w:pPr>
            <w:r>
              <w:rPr>
                <w:rFonts w:hint="eastAsia" w:ascii="宋体" w:hAnsi="宋体" w:cs="宋体"/>
                <w:bCs/>
                <w:spacing w:val="6"/>
                <w:kern w:val="4"/>
                <w:highlight w:val="none"/>
              </w:rPr>
              <w:t>440～640</w:t>
            </w:r>
          </w:p>
        </w:tc>
        <w:tc>
          <w:tcPr>
            <w:tcW w:w="853" w:type="pct"/>
            <w:vAlign w:val="center"/>
          </w:tcPr>
          <w:p w14:paraId="0B326B25">
            <w:pPr>
              <w:spacing w:before="240" w:after="60" w:line="360" w:lineRule="auto"/>
              <w:ind w:right="-57"/>
              <w:jc w:val="center"/>
              <w:rPr>
                <w:rFonts w:ascii="宋体" w:hAnsi="宋体" w:cs="宋体"/>
                <w:bCs/>
                <w:spacing w:val="6"/>
                <w:kern w:val="4"/>
                <w:highlight w:val="none"/>
              </w:rPr>
            </w:pPr>
            <w:r>
              <w:rPr>
                <w:rFonts w:hint="eastAsia" w:ascii="宋体" w:hAnsi="宋体" w:cs="宋体"/>
                <w:bCs/>
                <w:spacing w:val="6"/>
                <w:kern w:val="4"/>
                <w:highlight w:val="none"/>
              </w:rPr>
              <w:t>295</w:t>
            </w:r>
          </w:p>
        </w:tc>
        <w:tc>
          <w:tcPr>
            <w:tcW w:w="928" w:type="pct"/>
            <w:vAlign w:val="center"/>
          </w:tcPr>
          <w:p w14:paraId="23C684E0">
            <w:pPr>
              <w:spacing w:before="240" w:after="60" w:line="360" w:lineRule="auto"/>
              <w:ind w:right="-57"/>
              <w:jc w:val="center"/>
              <w:rPr>
                <w:rFonts w:ascii="宋体" w:hAnsi="宋体" w:cs="宋体"/>
                <w:bCs/>
                <w:spacing w:val="6"/>
                <w:kern w:val="4"/>
                <w:highlight w:val="none"/>
              </w:rPr>
            </w:pPr>
            <w:r>
              <w:rPr>
                <w:rFonts w:hint="eastAsia" w:ascii="宋体" w:hAnsi="宋体" w:cs="宋体"/>
                <w:bCs/>
                <w:spacing w:val="6"/>
                <w:kern w:val="4"/>
                <w:highlight w:val="none"/>
              </w:rPr>
              <w:t>19</w:t>
            </w:r>
          </w:p>
        </w:tc>
        <w:tc>
          <w:tcPr>
            <w:tcW w:w="331" w:type="pct"/>
            <w:vAlign w:val="center"/>
          </w:tcPr>
          <w:p w14:paraId="7EC16C61">
            <w:pPr>
              <w:spacing w:before="240" w:after="60" w:line="360" w:lineRule="auto"/>
              <w:ind w:right="-57"/>
              <w:jc w:val="center"/>
              <w:rPr>
                <w:rFonts w:ascii="宋体" w:hAnsi="宋体" w:cs="宋体"/>
                <w:bCs/>
                <w:spacing w:val="6"/>
                <w:kern w:val="4"/>
                <w:highlight w:val="none"/>
              </w:rPr>
            </w:pPr>
            <w:r>
              <w:rPr>
                <w:rFonts w:hint="eastAsia" w:ascii="宋体" w:hAnsi="宋体" w:cs="宋体"/>
                <w:bCs/>
                <w:spacing w:val="6"/>
                <w:kern w:val="4"/>
                <w:highlight w:val="none"/>
              </w:rPr>
              <w:t>130-205</w:t>
            </w:r>
          </w:p>
        </w:tc>
        <w:tc>
          <w:tcPr>
            <w:tcW w:w="348" w:type="pct"/>
            <w:vAlign w:val="center"/>
          </w:tcPr>
          <w:p w14:paraId="19F56491">
            <w:pPr>
              <w:spacing w:before="240" w:after="60" w:line="360" w:lineRule="auto"/>
              <w:ind w:right="-57"/>
              <w:jc w:val="center"/>
              <w:rPr>
                <w:rFonts w:ascii="宋体" w:hAnsi="宋体" w:cs="宋体"/>
                <w:bCs/>
                <w:spacing w:val="6"/>
                <w:kern w:val="4"/>
                <w:highlight w:val="none"/>
              </w:rPr>
            </w:pPr>
            <w:r>
              <w:rPr>
                <w:rFonts w:hint="eastAsia" w:ascii="宋体" w:hAnsi="宋体" w:cs="宋体"/>
                <w:bCs/>
                <w:spacing w:val="6"/>
                <w:kern w:val="4"/>
                <w:highlight w:val="none"/>
              </w:rPr>
              <w:t>125-195</w:t>
            </w:r>
          </w:p>
        </w:tc>
      </w:tr>
      <w:tr w14:paraId="651C5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tcPr>
          <w:p w14:paraId="4CFC0CD4">
            <w:pPr>
              <w:widowControl/>
              <w:spacing w:before="240" w:after="60" w:line="360" w:lineRule="auto"/>
              <w:ind w:right="-57" w:firstLine="360"/>
              <w:jc w:val="center"/>
              <w:rPr>
                <w:rFonts w:ascii="宋体" w:hAnsi="宋体" w:cs="宋体"/>
                <w:bCs/>
                <w:spacing w:val="6"/>
                <w:kern w:val="4"/>
                <w:highlight w:val="none"/>
              </w:rPr>
            </w:pPr>
            <w:bookmarkStart w:id="52" w:name="_Toc392056640"/>
            <w:r>
              <w:rPr>
                <w:rFonts w:hint="eastAsia" w:ascii="宋体" w:hAnsi="宋体" w:cs="宋体"/>
                <w:bCs/>
                <w:spacing w:val="6"/>
                <w:kern w:val="4"/>
                <w:highlight w:val="none"/>
              </w:rPr>
              <w:t>a　对于纵向弧形或矩形试样，公称壁厚小于8mm时，每减薄0.8mm，从基本最小断后伸长率中减去的百分值为1.5。</w:t>
            </w:r>
            <w:bookmarkEnd w:id="52"/>
          </w:p>
        </w:tc>
      </w:tr>
    </w:tbl>
    <w:p w14:paraId="5DD6D41F">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（2）拉伸试样应符合GB/T 228的规定。</w:t>
      </w:r>
    </w:p>
    <w:p w14:paraId="743312CA">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4.2.6工艺性能</w:t>
      </w:r>
    </w:p>
    <w:p w14:paraId="31555ECE">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（1）压扁试验</w:t>
      </w:r>
    </w:p>
    <w:p w14:paraId="3F1FAE06">
      <w:pPr>
        <w:widowControl/>
        <w:snapToGrid w:val="0"/>
        <w:spacing w:line="360" w:lineRule="auto"/>
        <w:ind w:firstLine="504" w:firstLineChars="200"/>
        <w:rPr>
          <w:rFonts w:ascii="宋体" w:hAnsi="宋体" w:cs="宋体"/>
          <w:spacing w:val="6"/>
          <w:kern w:val="4"/>
          <w:highlight w:val="none"/>
        </w:rPr>
      </w:pPr>
      <w:r>
        <w:rPr>
          <w:rFonts w:hint="eastAsia" w:ascii="宋体" w:hAnsi="宋体" w:cs="宋体"/>
          <w:spacing w:val="6"/>
          <w:kern w:val="4"/>
          <w:highlight w:val="none"/>
        </w:rPr>
        <w:t>内螺纹管应进行压扁试验。内螺纹管压扁试验时可保留内螺纹。</w:t>
      </w:r>
    </w:p>
    <w:p w14:paraId="738B52CD">
      <w:pPr>
        <w:widowControl/>
        <w:snapToGrid w:val="0"/>
        <w:spacing w:line="360" w:lineRule="auto"/>
        <w:ind w:firstLine="504" w:firstLineChars="200"/>
        <w:rPr>
          <w:rFonts w:ascii="宋体" w:hAnsi="宋体" w:cs="宋体"/>
          <w:spacing w:val="6"/>
          <w:kern w:val="4"/>
          <w:highlight w:val="none"/>
        </w:rPr>
      </w:pPr>
      <w:r>
        <w:rPr>
          <w:rFonts w:hint="eastAsia" w:ascii="宋体" w:hAnsi="宋体" w:cs="宋体"/>
          <w:spacing w:val="6"/>
          <w:kern w:val="4"/>
          <w:highlight w:val="none"/>
        </w:rPr>
        <w:t>压扁试验后，试样上不允许存在裂缝或裂口。当外径与公称壁厚之比小于10时，两平板处试样内表面的裂缝，可不作为判定的依据。</w:t>
      </w:r>
    </w:p>
    <w:p w14:paraId="35D32279">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（2）液压试验</w:t>
      </w:r>
    </w:p>
    <w:p w14:paraId="444103CE">
      <w:pPr>
        <w:widowControl/>
        <w:snapToGrid w:val="0"/>
        <w:spacing w:line="360" w:lineRule="auto"/>
        <w:ind w:firstLine="420"/>
        <w:rPr>
          <w:rFonts w:ascii="宋体" w:hAnsi="宋体" w:cs="宋体"/>
          <w:spacing w:val="6"/>
          <w:kern w:val="4"/>
          <w:highlight w:val="none"/>
        </w:rPr>
      </w:pPr>
      <w:r>
        <w:rPr>
          <w:rFonts w:hint="eastAsia" w:ascii="宋体" w:hAnsi="宋体" w:cs="宋体"/>
          <w:spacing w:val="6"/>
          <w:kern w:val="4"/>
          <w:highlight w:val="none"/>
        </w:rPr>
        <w:t>内螺纹管应逐根进行液压试验。内螺纹管液压试验压力按公式（1）计算，最大试验压力为20MPa。</w:t>
      </w:r>
    </w:p>
    <w:p w14:paraId="1DE7F6D8">
      <w:pPr>
        <w:widowControl/>
        <w:snapToGrid w:val="0"/>
        <w:spacing w:line="360" w:lineRule="auto"/>
        <w:jc w:val="right"/>
        <w:rPr>
          <w:rFonts w:ascii="宋体" w:hAnsi="宋体" w:cs="宋体"/>
          <w:spacing w:val="6"/>
          <w:kern w:val="4"/>
          <w:highlight w:val="none"/>
        </w:rPr>
      </w:pPr>
      <w:r>
        <w:rPr>
          <w:rFonts w:hint="eastAsia" w:ascii="宋体" w:hAnsi="宋体" w:cs="宋体"/>
          <w:spacing w:val="6"/>
          <w:kern w:val="4"/>
          <w:highlight w:val="none"/>
        </w:rPr>
        <w:drawing>
          <wp:inline distT="0" distB="0" distL="0" distR="0">
            <wp:extent cx="716915" cy="160655"/>
            <wp:effectExtent l="19050" t="0" r="0" b="0"/>
            <wp:docPr id="1" name="图片 10" descr="mhtml:file://G:\1：%233锅炉水冷壁更换\锅炉炉管等相关标准\高压锅炉用内螺纹无缝钢管.mht!http://172.16.1.9:8087/pldr_bz/9776800.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descr="mhtml:file://G:\1：%233锅炉水冷壁更换\锅炉炉管等相关标准\高压锅炉用内螺纹无缝钢管.mht!http://172.16.1.9:8087/pldr_bz/9776800.files/image014.gif"/>
                    <pic:cNvPicPr>
                      <a:picLocks noChangeAspect="1" noChangeArrowheads="1"/>
                    </pic:cNvPicPr>
                  </pic:nvPicPr>
                  <pic:blipFill>
                    <a:blip r:embed="rId20" cstate="print"/>
                    <a:srcRect/>
                    <a:stretch>
                      <a:fillRect/>
                    </a:stretch>
                  </pic:blipFill>
                  <pic:spPr>
                    <a:xfrm>
                      <a:off x="0" y="0"/>
                      <a:ext cx="716915" cy="160655"/>
                    </a:xfrm>
                    <a:prstGeom prst="rect">
                      <a:avLst/>
                    </a:prstGeom>
                    <a:noFill/>
                    <a:ln w="9525">
                      <a:noFill/>
                      <a:miter lim="800000"/>
                      <a:headEnd/>
                      <a:tailEnd/>
                    </a:ln>
                  </pic:spPr>
                </pic:pic>
              </a:graphicData>
            </a:graphic>
          </wp:inline>
        </w:drawing>
      </w:r>
      <w:r>
        <w:rPr>
          <w:rFonts w:hint="eastAsia" w:ascii="宋体" w:hAnsi="宋体" w:cs="宋体"/>
          <w:spacing w:val="6"/>
          <w:kern w:val="4"/>
          <w:highlight w:val="none"/>
        </w:rPr>
        <w:t>　……………………………………………………………（1）</w:t>
      </w:r>
    </w:p>
    <w:p w14:paraId="56C54AC3">
      <w:pPr>
        <w:widowControl/>
        <w:snapToGrid w:val="0"/>
        <w:spacing w:line="360" w:lineRule="auto"/>
        <w:ind w:firstLine="420"/>
        <w:rPr>
          <w:rFonts w:ascii="宋体" w:hAnsi="宋体" w:cs="宋体"/>
          <w:spacing w:val="6"/>
          <w:kern w:val="4"/>
          <w:highlight w:val="none"/>
        </w:rPr>
      </w:pPr>
      <w:r>
        <w:rPr>
          <w:rFonts w:hint="eastAsia" w:ascii="宋体" w:hAnsi="宋体" w:cs="宋体"/>
          <w:spacing w:val="6"/>
          <w:kern w:val="4"/>
          <w:highlight w:val="none"/>
        </w:rPr>
        <w:t>式中：</w:t>
      </w:r>
    </w:p>
    <w:p w14:paraId="369912F8">
      <w:pPr>
        <w:widowControl/>
        <w:snapToGrid w:val="0"/>
        <w:spacing w:line="360" w:lineRule="auto"/>
        <w:ind w:firstLine="420"/>
        <w:rPr>
          <w:rFonts w:ascii="宋体" w:hAnsi="宋体" w:cs="宋体"/>
          <w:spacing w:val="6"/>
          <w:kern w:val="4"/>
          <w:highlight w:val="none"/>
        </w:rPr>
      </w:pPr>
      <w:r>
        <w:rPr>
          <w:rFonts w:hint="eastAsia" w:ascii="宋体" w:hAnsi="宋体" w:cs="宋体"/>
          <w:spacing w:val="6"/>
          <w:kern w:val="4"/>
          <w:highlight w:val="none"/>
        </w:rPr>
        <w:t>P——试验压力，单位为兆帕（MPa）；</w:t>
      </w:r>
    </w:p>
    <w:p w14:paraId="671A5119">
      <w:pPr>
        <w:widowControl/>
        <w:snapToGrid w:val="0"/>
        <w:spacing w:line="360" w:lineRule="auto"/>
        <w:ind w:firstLine="420"/>
        <w:rPr>
          <w:rFonts w:ascii="宋体" w:hAnsi="宋体" w:cs="宋体"/>
          <w:spacing w:val="6"/>
          <w:kern w:val="4"/>
          <w:highlight w:val="none"/>
        </w:rPr>
      </w:pPr>
      <w:r>
        <w:rPr>
          <w:rFonts w:hint="eastAsia" w:ascii="宋体" w:hAnsi="宋体" w:cs="宋体"/>
          <w:spacing w:val="6"/>
          <w:kern w:val="4"/>
          <w:highlight w:val="none"/>
        </w:rPr>
        <w:t>S——内螺纹管的公称壁厚，单位为毫米（mm）；</w:t>
      </w:r>
    </w:p>
    <w:p w14:paraId="2F8DB514">
      <w:pPr>
        <w:widowControl/>
        <w:snapToGrid w:val="0"/>
        <w:spacing w:line="360" w:lineRule="auto"/>
        <w:ind w:firstLine="420"/>
        <w:rPr>
          <w:rFonts w:ascii="宋体" w:hAnsi="宋体" w:cs="宋体"/>
          <w:spacing w:val="6"/>
          <w:kern w:val="4"/>
          <w:highlight w:val="none"/>
        </w:rPr>
      </w:pPr>
      <w:r>
        <w:rPr>
          <w:rFonts w:hint="eastAsia" w:ascii="宋体" w:hAnsi="宋体" w:cs="宋体"/>
          <w:spacing w:val="6"/>
          <w:kern w:val="4"/>
          <w:highlight w:val="none"/>
        </w:rPr>
        <w:t>D——内螺纹管的公称外径，单位为毫米（mm）；</w:t>
      </w:r>
    </w:p>
    <w:p w14:paraId="4EDCB069">
      <w:pPr>
        <w:widowControl/>
        <w:snapToGrid w:val="0"/>
        <w:spacing w:line="360" w:lineRule="auto"/>
        <w:ind w:firstLine="420"/>
        <w:rPr>
          <w:rFonts w:ascii="宋体" w:hAnsi="宋体" w:cs="宋体"/>
          <w:spacing w:val="6"/>
          <w:kern w:val="4"/>
          <w:highlight w:val="none"/>
        </w:rPr>
      </w:pPr>
      <w:r>
        <w:rPr>
          <w:rFonts w:hint="eastAsia" w:ascii="宋体" w:hAnsi="宋体" w:cs="宋体"/>
          <w:spacing w:val="6"/>
          <w:kern w:val="4"/>
          <w:highlight w:val="none"/>
        </w:rPr>
        <w:t>R——允许应力，为表6规定的下屈服强度的80％，单位为兆帕（牛顿每平方毫米）[MPa（N/mm</w:t>
      </w:r>
      <w:r>
        <w:rPr>
          <w:rFonts w:hint="eastAsia" w:ascii="宋体" w:hAnsi="宋体" w:cs="宋体"/>
          <w:spacing w:val="6"/>
          <w:kern w:val="4"/>
          <w:highlight w:val="none"/>
          <w:vertAlign w:val="superscript"/>
        </w:rPr>
        <w:t>2</w:t>
      </w:r>
      <w:r>
        <w:rPr>
          <w:rFonts w:hint="eastAsia" w:ascii="宋体" w:hAnsi="宋体" w:cs="宋体"/>
          <w:spacing w:val="6"/>
          <w:kern w:val="4"/>
          <w:highlight w:val="none"/>
        </w:rPr>
        <w:t>）]。</w:t>
      </w:r>
    </w:p>
    <w:p w14:paraId="2150E5EE">
      <w:pPr>
        <w:widowControl/>
        <w:snapToGrid w:val="0"/>
        <w:spacing w:line="360" w:lineRule="auto"/>
        <w:ind w:firstLine="420"/>
        <w:rPr>
          <w:rFonts w:ascii="宋体" w:hAnsi="宋体" w:cs="宋体"/>
          <w:spacing w:val="6"/>
          <w:kern w:val="4"/>
          <w:highlight w:val="none"/>
        </w:rPr>
      </w:pPr>
      <w:r>
        <w:rPr>
          <w:rFonts w:hint="eastAsia" w:ascii="宋体" w:hAnsi="宋体" w:cs="宋体"/>
          <w:spacing w:val="6"/>
          <w:kern w:val="4"/>
          <w:highlight w:val="none"/>
        </w:rPr>
        <w:t>在试验压力下，稳压时间应不少于10s，内螺纹管不允许出现渗漏现象。</w:t>
      </w:r>
    </w:p>
    <w:p w14:paraId="26BBB5CB">
      <w:pPr>
        <w:widowControl/>
        <w:snapToGrid w:val="0"/>
        <w:spacing w:line="360" w:lineRule="auto"/>
        <w:ind w:firstLine="504" w:firstLineChars="200"/>
        <w:rPr>
          <w:rFonts w:ascii="宋体" w:hAnsi="宋体" w:cs="宋体"/>
          <w:spacing w:val="6"/>
          <w:kern w:val="4"/>
          <w:highlight w:val="none"/>
        </w:rPr>
      </w:pPr>
      <w:r>
        <w:rPr>
          <w:rFonts w:hint="eastAsia" w:ascii="宋体" w:hAnsi="宋体" w:cs="宋体"/>
          <w:spacing w:val="6"/>
          <w:kern w:val="4"/>
          <w:highlight w:val="none"/>
        </w:rPr>
        <w:t>内螺纹管屏制作完成后必须进行水压试验并提供相应记录。</w:t>
      </w:r>
    </w:p>
    <w:p w14:paraId="748C585F">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4.2.7显微组织、晶粒度和脱碳层</w:t>
      </w:r>
    </w:p>
    <w:p w14:paraId="6FCCFB7E">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（1）</w:t>
      </w:r>
      <w:r>
        <w:rPr>
          <w:rFonts w:hint="eastAsia" w:ascii="宋体" w:hAnsi="宋体" w:cs="宋体"/>
          <w:bCs/>
          <w:spacing w:val="6"/>
          <w:kern w:val="4"/>
          <w:highlight w:val="none"/>
        </w:rPr>
        <w:t>15CrMoG</w:t>
      </w:r>
      <w:r>
        <w:rPr>
          <w:rFonts w:hint="eastAsia" w:ascii="宋体" w:hAnsi="宋体" w:cs="宋体"/>
          <w:spacing w:val="6"/>
          <w:kern w:val="4"/>
          <w:highlight w:val="none"/>
        </w:rPr>
        <w:t>的成品内螺纹管显微组织应为铁素体加珠光体（包括粒状贝氏体）。</w:t>
      </w:r>
    </w:p>
    <w:p w14:paraId="065EDEE4">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（2）成品内螺纹管的实际晶粒度级别应不小于4级，两个试片上晶粒度最大与最小级差应不大于3级。</w:t>
      </w:r>
    </w:p>
    <w:p w14:paraId="0B07139E">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（3）成品内螺纹管全脱碳层深度应符合：外表面不大于0.3mm，内表面不大于0.4mm，且二者之和不大于0.6mm。</w:t>
      </w:r>
    </w:p>
    <w:p w14:paraId="02638DB6">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4.2.8 表面质量</w:t>
      </w:r>
    </w:p>
    <w:p w14:paraId="4FD7CC58">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（1）内螺纹管内外表面不允许有裂纹、折迭、轧折、结疤、离层，这些缺陷应完全清除，其清除处的实际壁厚应不小于壁厚偏差允许的最小值，清除处应圆滑过渡。</w:t>
      </w:r>
    </w:p>
    <w:p w14:paraId="72B0DED0">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（2）直道允许深度应不大于最小壁厚的4％，直道最大深度应不大于0.2mm。不超过最小壁厚的其他局部缺陷允许存在。</w:t>
      </w:r>
    </w:p>
    <w:p w14:paraId="1B76DACF">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（3）内螺纹管内外表面的氧化铁皮应予以清除，不妨碍检查的氧化薄层允许存在。</w:t>
      </w:r>
    </w:p>
    <w:p w14:paraId="69F059DE">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4.2.9 超声波检验</w:t>
      </w:r>
    </w:p>
    <w:p w14:paraId="32804B3D">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（1）内螺纹管应按GB/T 5777的规定逐根进行超声波检验。超声波探伤检验可在内螺纹成形之前或以后进行。</w:t>
      </w:r>
    </w:p>
    <w:p w14:paraId="0E05E28F">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（2）内螺纹管成形前的超声波检验，对比样管表面纵向刻槽深度等级应为C5。内螺纹管成形后的超声波探伤检验，对比样管刻槽深度等级和位置由投标方与生产厂家协商确定。</w:t>
      </w:r>
    </w:p>
    <w:p w14:paraId="3D900FB4">
      <w:pPr>
        <w:spacing w:line="360" w:lineRule="auto"/>
        <w:rPr>
          <w:rFonts w:ascii="宋体" w:hAnsi="宋体" w:cs="宋体"/>
          <w:b/>
          <w:bCs/>
          <w:kern w:val="44"/>
          <w:highlight w:val="none"/>
        </w:rPr>
      </w:pPr>
      <w:bookmarkStart w:id="53" w:name="a07"/>
      <w:bookmarkEnd w:id="53"/>
      <w:bookmarkStart w:id="54" w:name="_Toc388871163"/>
      <w:bookmarkStart w:id="55" w:name="_Toc392056642"/>
      <w:r>
        <w:rPr>
          <w:rFonts w:hint="eastAsia" w:ascii="宋体" w:hAnsi="宋体" w:cs="宋体"/>
          <w:b/>
          <w:bCs/>
          <w:kern w:val="44"/>
          <w:highlight w:val="none"/>
        </w:rPr>
        <w:t>4.3. 内螺纹管检验和试验方法</w:t>
      </w:r>
      <w:bookmarkEnd w:id="54"/>
      <w:bookmarkEnd w:id="55"/>
    </w:p>
    <w:p w14:paraId="7DE690DE">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4.3.1 内螺纹管的螺纹参数应从每批中抽一根剖开测量，内螺纹管的其他尺寸和外形应采用符合精度要求的量具逐根测量。</w:t>
      </w:r>
    </w:p>
    <w:p w14:paraId="7AC559AC">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4.3.2 内螺纹管的内外表面质量应在充分照明条件下逐根目视检查。</w:t>
      </w:r>
    </w:p>
    <w:p w14:paraId="0F73B194">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4.3.3 内螺纹管的其他检验项目、试验方法、取样方法应符合表7的规定。</w:t>
      </w:r>
    </w:p>
    <w:p w14:paraId="20D50476">
      <w:pPr>
        <w:widowControl/>
        <w:snapToGrid w:val="0"/>
        <w:spacing w:line="360" w:lineRule="auto"/>
        <w:jc w:val="center"/>
        <w:rPr>
          <w:rFonts w:ascii="宋体" w:hAnsi="宋体" w:cs="宋体"/>
          <w:spacing w:val="6"/>
          <w:kern w:val="4"/>
          <w:highlight w:val="none"/>
        </w:rPr>
      </w:pPr>
      <w:r>
        <w:rPr>
          <w:rFonts w:hint="eastAsia" w:ascii="宋体" w:hAnsi="宋体" w:cs="宋体"/>
          <w:spacing w:val="6"/>
          <w:kern w:val="4"/>
          <w:highlight w:val="none"/>
        </w:rPr>
        <w:t>表7  内螺纹管的检验项目、试验方法、取样数量及方法</w:t>
      </w:r>
    </w:p>
    <w:tbl>
      <w:tblPr>
        <w:tblStyle w:val="25"/>
        <w:tblW w:w="8831" w:type="dxa"/>
        <w:jc w:val="center"/>
        <w:tblLayout w:type="autofit"/>
        <w:tblCellMar>
          <w:top w:w="0" w:type="dxa"/>
          <w:left w:w="0" w:type="dxa"/>
          <w:bottom w:w="0" w:type="dxa"/>
          <w:right w:w="0" w:type="dxa"/>
        </w:tblCellMar>
      </w:tblPr>
      <w:tblGrid>
        <w:gridCol w:w="504"/>
        <w:gridCol w:w="1595"/>
        <w:gridCol w:w="2088"/>
        <w:gridCol w:w="3197"/>
        <w:gridCol w:w="1447"/>
      </w:tblGrid>
      <w:tr w14:paraId="0D8F4871">
        <w:tblPrEx>
          <w:tblCellMar>
            <w:top w:w="0" w:type="dxa"/>
            <w:left w:w="0" w:type="dxa"/>
            <w:bottom w:w="0" w:type="dxa"/>
            <w:right w:w="0" w:type="dxa"/>
          </w:tblCellMar>
        </w:tblPrEx>
        <w:trPr>
          <w:trHeight w:val="240" w:hRule="atLeast"/>
          <w:jc w:val="center"/>
        </w:trPr>
        <w:tc>
          <w:tcPr>
            <w:tcW w:w="504" w:type="dxa"/>
            <w:tcBorders>
              <w:top w:val="single" w:color="auto" w:sz="8" w:space="0"/>
              <w:left w:val="single" w:color="auto" w:sz="8" w:space="0"/>
              <w:bottom w:val="single" w:color="auto" w:sz="8" w:space="0"/>
              <w:right w:val="single" w:color="auto" w:sz="8" w:space="0"/>
            </w:tcBorders>
            <w:vAlign w:val="center"/>
          </w:tcPr>
          <w:p w14:paraId="717310FF">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序　号</w:t>
            </w:r>
          </w:p>
        </w:tc>
        <w:tc>
          <w:tcPr>
            <w:tcW w:w="1595" w:type="dxa"/>
            <w:tcBorders>
              <w:top w:val="single" w:color="auto" w:sz="8" w:space="0"/>
              <w:left w:val="nil"/>
              <w:bottom w:val="single" w:color="auto" w:sz="8" w:space="0"/>
              <w:right w:val="single" w:color="auto" w:sz="8" w:space="0"/>
            </w:tcBorders>
            <w:vAlign w:val="center"/>
          </w:tcPr>
          <w:p w14:paraId="125E1C5B">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检验项目</w:t>
            </w:r>
          </w:p>
        </w:tc>
        <w:tc>
          <w:tcPr>
            <w:tcW w:w="2088" w:type="dxa"/>
            <w:tcBorders>
              <w:top w:val="single" w:color="auto" w:sz="8" w:space="0"/>
              <w:left w:val="nil"/>
              <w:bottom w:val="single" w:color="auto" w:sz="8" w:space="0"/>
              <w:right w:val="single" w:color="auto" w:sz="8" w:space="0"/>
            </w:tcBorders>
            <w:vAlign w:val="center"/>
          </w:tcPr>
          <w:p w14:paraId="78D7A57E">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试验方法</w:t>
            </w:r>
          </w:p>
        </w:tc>
        <w:tc>
          <w:tcPr>
            <w:tcW w:w="3197" w:type="dxa"/>
            <w:tcBorders>
              <w:top w:val="single" w:color="auto" w:sz="8" w:space="0"/>
              <w:left w:val="nil"/>
              <w:bottom w:val="single" w:color="auto" w:sz="8" w:space="0"/>
              <w:right w:val="single" w:color="auto" w:sz="8" w:space="0"/>
            </w:tcBorders>
            <w:vAlign w:val="center"/>
          </w:tcPr>
          <w:p w14:paraId="76103500">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取样数量</w:t>
            </w:r>
          </w:p>
        </w:tc>
        <w:tc>
          <w:tcPr>
            <w:tcW w:w="1447" w:type="dxa"/>
            <w:tcBorders>
              <w:top w:val="single" w:color="auto" w:sz="8" w:space="0"/>
              <w:left w:val="nil"/>
              <w:bottom w:val="single" w:color="auto" w:sz="8" w:space="0"/>
              <w:right w:val="single" w:color="auto" w:sz="8" w:space="0"/>
            </w:tcBorders>
            <w:vAlign w:val="center"/>
          </w:tcPr>
          <w:p w14:paraId="572EA8C3">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取样方法</w:t>
            </w:r>
          </w:p>
        </w:tc>
      </w:tr>
      <w:tr w14:paraId="6724A324">
        <w:tblPrEx>
          <w:tblCellMar>
            <w:top w:w="0" w:type="dxa"/>
            <w:left w:w="0" w:type="dxa"/>
            <w:bottom w:w="0" w:type="dxa"/>
            <w:right w:w="0" w:type="dxa"/>
          </w:tblCellMar>
        </w:tblPrEx>
        <w:trPr>
          <w:trHeight w:val="320" w:hRule="atLeast"/>
          <w:jc w:val="center"/>
        </w:trPr>
        <w:tc>
          <w:tcPr>
            <w:tcW w:w="504" w:type="dxa"/>
            <w:tcBorders>
              <w:top w:val="nil"/>
              <w:left w:val="single" w:color="auto" w:sz="8" w:space="0"/>
              <w:bottom w:val="single" w:color="auto" w:sz="8" w:space="0"/>
              <w:right w:val="single" w:color="auto" w:sz="8" w:space="0"/>
            </w:tcBorders>
            <w:vAlign w:val="center"/>
          </w:tcPr>
          <w:p w14:paraId="521D8FF9">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1</w:t>
            </w:r>
          </w:p>
        </w:tc>
        <w:tc>
          <w:tcPr>
            <w:tcW w:w="1595" w:type="dxa"/>
            <w:tcBorders>
              <w:top w:val="nil"/>
              <w:left w:val="nil"/>
              <w:bottom w:val="single" w:color="auto" w:sz="8" w:space="0"/>
              <w:right w:val="single" w:color="auto" w:sz="8" w:space="0"/>
            </w:tcBorders>
            <w:vAlign w:val="center"/>
          </w:tcPr>
          <w:p w14:paraId="02ED5723">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化学成分</w:t>
            </w:r>
          </w:p>
        </w:tc>
        <w:tc>
          <w:tcPr>
            <w:tcW w:w="2088" w:type="dxa"/>
            <w:tcBorders>
              <w:top w:val="nil"/>
              <w:left w:val="nil"/>
              <w:bottom w:val="single" w:color="auto" w:sz="8" w:space="0"/>
              <w:right w:val="single" w:color="auto" w:sz="8" w:space="0"/>
            </w:tcBorders>
            <w:vAlign w:val="center"/>
          </w:tcPr>
          <w:p w14:paraId="325F6939">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GB/T 223、GB/T 4336</w:t>
            </w:r>
          </w:p>
        </w:tc>
        <w:tc>
          <w:tcPr>
            <w:tcW w:w="3197" w:type="dxa"/>
            <w:tcBorders>
              <w:top w:val="nil"/>
              <w:left w:val="nil"/>
              <w:bottom w:val="single" w:color="auto" w:sz="8" w:space="0"/>
              <w:right w:val="single" w:color="auto" w:sz="8" w:space="0"/>
            </w:tcBorders>
            <w:vAlign w:val="center"/>
          </w:tcPr>
          <w:p w14:paraId="47948FCC">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每炉（罐）1个</w:t>
            </w:r>
          </w:p>
        </w:tc>
        <w:tc>
          <w:tcPr>
            <w:tcW w:w="1447" w:type="dxa"/>
            <w:tcBorders>
              <w:top w:val="nil"/>
              <w:left w:val="nil"/>
              <w:bottom w:val="single" w:color="auto" w:sz="8" w:space="0"/>
              <w:right w:val="single" w:color="auto" w:sz="8" w:space="0"/>
            </w:tcBorders>
            <w:vAlign w:val="center"/>
          </w:tcPr>
          <w:p w14:paraId="3AFB5FC1">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GB/T 20066</w:t>
            </w:r>
          </w:p>
        </w:tc>
      </w:tr>
      <w:tr w14:paraId="1C5EB500">
        <w:tblPrEx>
          <w:tblCellMar>
            <w:top w:w="0" w:type="dxa"/>
            <w:left w:w="0" w:type="dxa"/>
            <w:bottom w:w="0" w:type="dxa"/>
            <w:right w:w="0" w:type="dxa"/>
          </w:tblCellMar>
        </w:tblPrEx>
        <w:trPr>
          <w:trHeight w:val="320" w:hRule="atLeast"/>
          <w:jc w:val="center"/>
        </w:trPr>
        <w:tc>
          <w:tcPr>
            <w:tcW w:w="504" w:type="dxa"/>
            <w:tcBorders>
              <w:top w:val="nil"/>
              <w:left w:val="single" w:color="auto" w:sz="8" w:space="0"/>
              <w:bottom w:val="single" w:color="auto" w:sz="8" w:space="0"/>
              <w:right w:val="single" w:color="auto" w:sz="8" w:space="0"/>
            </w:tcBorders>
            <w:vAlign w:val="center"/>
          </w:tcPr>
          <w:p w14:paraId="2126C3B9">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2</w:t>
            </w:r>
          </w:p>
        </w:tc>
        <w:tc>
          <w:tcPr>
            <w:tcW w:w="1595" w:type="dxa"/>
            <w:tcBorders>
              <w:top w:val="nil"/>
              <w:left w:val="nil"/>
              <w:bottom w:val="single" w:color="auto" w:sz="8" w:space="0"/>
              <w:right w:val="single" w:color="auto" w:sz="8" w:space="0"/>
            </w:tcBorders>
            <w:vAlign w:val="center"/>
          </w:tcPr>
          <w:p w14:paraId="1EFEB6A6">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拉伸试验</w:t>
            </w:r>
          </w:p>
        </w:tc>
        <w:tc>
          <w:tcPr>
            <w:tcW w:w="2088" w:type="dxa"/>
            <w:tcBorders>
              <w:top w:val="nil"/>
              <w:left w:val="nil"/>
              <w:bottom w:val="single" w:color="auto" w:sz="8" w:space="0"/>
              <w:right w:val="single" w:color="auto" w:sz="8" w:space="0"/>
            </w:tcBorders>
            <w:vAlign w:val="center"/>
          </w:tcPr>
          <w:p w14:paraId="35533CD2">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GB/T 228</w:t>
            </w:r>
          </w:p>
        </w:tc>
        <w:tc>
          <w:tcPr>
            <w:tcW w:w="3197" w:type="dxa"/>
            <w:tcBorders>
              <w:top w:val="nil"/>
              <w:left w:val="nil"/>
              <w:bottom w:val="single" w:color="auto" w:sz="8" w:space="0"/>
              <w:right w:val="single" w:color="auto" w:sz="8" w:space="0"/>
            </w:tcBorders>
            <w:vAlign w:val="center"/>
          </w:tcPr>
          <w:p w14:paraId="3865FDA7">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每批在两根钢管上取1个试样</w:t>
            </w:r>
          </w:p>
        </w:tc>
        <w:tc>
          <w:tcPr>
            <w:tcW w:w="1447" w:type="dxa"/>
            <w:tcBorders>
              <w:top w:val="nil"/>
              <w:left w:val="nil"/>
              <w:bottom w:val="single" w:color="auto" w:sz="8" w:space="0"/>
              <w:right w:val="single" w:color="auto" w:sz="8" w:space="0"/>
            </w:tcBorders>
            <w:vAlign w:val="center"/>
          </w:tcPr>
          <w:p w14:paraId="44F93FBA">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GB/T 2975</w:t>
            </w:r>
          </w:p>
        </w:tc>
      </w:tr>
      <w:tr w14:paraId="4DD4BCAE">
        <w:tblPrEx>
          <w:tblCellMar>
            <w:top w:w="0" w:type="dxa"/>
            <w:left w:w="0" w:type="dxa"/>
            <w:bottom w:w="0" w:type="dxa"/>
            <w:right w:w="0" w:type="dxa"/>
          </w:tblCellMar>
        </w:tblPrEx>
        <w:trPr>
          <w:trHeight w:val="320" w:hRule="atLeast"/>
          <w:jc w:val="center"/>
        </w:trPr>
        <w:tc>
          <w:tcPr>
            <w:tcW w:w="504" w:type="dxa"/>
            <w:tcBorders>
              <w:top w:val="nil"/>
              <w:left w:val="single" w:color="auto" w:sz="8" w:space="0"/>
              <w:bottom w:val="single" w:color="auto" w:sz="8" w:space="0"/>
              <w:right w:val="single" w:color="auto" w:sz="8" w:space="0"/>
            </w:tcBorders>
            <w:vAlign w:val="center"/>
          </w:tcPr>
          <w:p w14:paraId="5C47774E">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3</w:t>
            </w:r>
          </w:p>
        </w:tc>
        <w:tc>
          <w:tcPr>
            <w:tcW w:w="1595" w:type="dxa"/>
            <w:tcBorders>
              <w:top w:val="nil"/>
              <w:left w:val="nil"/>
              <w:bottom w:val="single" w:color="auto" w:sz="8" w:space="0"/>
              <w:right w:val="single" w:color="auto" w:sz="8" w:space="0"/>
            </w:tcBorders>
            <w:vAlign w:val="center"/>
          </w:tcPr>
          <w:p w14:paraId="69005BEE">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冲击试验</w:t>
            </w:r>
          </w:p>
        </w:tc>
        <w:tc>
          <w:tcPr>
            <w:tcW w:w="2088" w:type="dxa"/>
            <w:tcBorders>
              <w:top w:val="nil"/>
              <w:left w:val="nil"/>
              <w:bottom w:val="single" w:color="auto" w:sz="8" w:space="0"/>
              <w:right w:val="single" w:color="auto" w:sz="8" w:space="0"/>
            </w:tcBorders>
            <w:vAlign w:val="center"/>
          </w:tcPr>
          <w:p w14:paraId="2EAEB952">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GB/T 229</w:t>
            </w:r>
          </w:p>
        </w:tc>
        <w:tc>
          <w:tcPr>
            <w:tcW w:w="3197" w:type="dxa"/>
            <w:tcBorders>
              <w:top w:val="nil"/>
              <w:left w:val="nil"/>
              <w:bottom w:val="single" w:color="auto" w:sz="8" w:space="0"/>
              <w:right w:val="single" w:color="auto" w:sz="8" w:space="0"/>
            </w:tcBorders>
            <w:vAlign w:val="center"/>
          </w:tcPr>
          <w:p w14:paraId="50F25A15">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每批在两根钢管上各取1组3个试样</w:t>
            </w:r>
          </w:p>
        </w:tc>
        <w:tc>
          <w:tcPr>
            <w:tcW w:w="1447" w:type="dxa"/>
            <w:tcBorders>
              <w:top w:val="nil"/>
              <w:left w:val="nil"/>
              <w:bottom w:val="single" w:color="auto" w:sz="8" w:space="0"/>
              <w:right w:val="single" w:color="auto" w:sz="8" w:space="0"/>
            </w:tcBorders>
            <w:vAlign w:val="center"/>
          </w:tcPr>
          <w:p w14:paraId="0738B49E">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GB/T 2975</w:t>
            </w:r>
          </w:p>
        </w:tc>
      </w:tr>
      <w:tr w14:paraId="0FE34132">
        <w:tblPrEx>
          <w:tblCellMar>
            <w:top w:w="0" w:type="dxa"/>
            <w:left w:w="0" w:type="dxa"/>
            <w:bottom w:w="0" w:type="dxa"/>
            <w:right w:w="0" w:type="dxa"/>
          </w:tblCellMar>
        </w:tblPrEx>
        <w:trPr>
          <w:trHeight w:val="300" w:hRule="atLeast"/>
          <w:jc w:val="center"/>
        </w:trPr>
        <w:tc>
          <w:tcPr>
            <w:tcW w:w="504" w:type="dxa"/>
            <w:tcBorders>
              <w:top w:val="nil"/>
              <w:left w:val="single" w:color="auto" w:sz="8" w:space="0"/>
              <w:bottom w:val="single" w:color="auto" w:sz="8" w:space="0"/>
              <w:right w:val="single" w:color="auto" w:sz="8" w:space="0"/>
            </w:tcBorders>
            <w:vAlign w:val="center"/>
          </w:tcPr>
          <w:p w14:paraId="1E804A3A">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4</w:t>
            </w:r>
          </w:p>
        </w:tc>
        <w:tc>
          <w:tcPr>
            <w:tcW w:w="1595" w:type="dxa"/>
            <w:tcBorders>
              <w:top w:val="nil"/>
              <w:left w:val="nil"/>
              <w:bottom w:val="single" w:color="auto" w:sz="8" w:space="0"/>
              <w:right w:val="single" w:color="auto" w:sz="8" w:space="0"/>
            </w:tcBorders>
            <w:vAlign w:val="center"/>
          </w:tcPr>
          <w:p w14:paraId="4E5B7D09">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压扁试验</w:t>
            </w:r>
          </w:p>
        </w:tc>
        <w:tc>
          <w:tcPr>
            <w:tcW w:w="2088" w:type="dxa"/>
            <w:tcBorders>
              <w:top w:val="nil"/>
              <w:left w:val="nil"/>
              <w:bottom w:val="single" w:color="auto" w:sz="8" w:space="0"/>
              <w:right w:val="single" w:color="auto" w:sz="8" w:space="0"/>
            </w:tcBorders>
            <w:vAlign w:val="center"/>
          </w:tcPr>
          <w:p w14:paraId="4D44D7D6">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GB/T 246</w:t>
            </w:r>
          </w:p>
        </w:tc>
        <w:tc>
          <w:tcPr>
            <w:tcW w:w="3197" w:type="dxa"/>
            <w:tcBorders>
              <w:top w:val="nil"/>
              <w:left w:val="nil"/>
              <w:bottom w:val="single" w:color="auto" w:sz="8" w:space="0"/>
              <w:right w:val="single" w:color="auto" w:sz="8" w:space="0"/>
            </w:tcBorders>
            <w:vAlign w:val="center"/>
          </w:tcPr>
          <w:p w14:paraId="660030EF">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每批在两根钢管上取1个试样</w:t>
            </w:r>
          </w:p>
        </w:tc>
        <w:tc>
          <w:tcPr>
            <w:tcW w:w="1447" w:type="dxa"/>
            <w:tcBorders>
              <w:top w:val="nil"/>
              <w:left w:val="nil"/>
              <w:bottom w:val="single" w:color="auto" w:sz="8" w:space="0"/>
              <w:right w:val="single" w:color="auto" w:sz="8" w:space="0"/>
            </w:tcBorders>
            <w:vAlign w:val="center"/>
          </w:tcPr>
          <w:p w14:paraId="66A4EA23">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GB/T 246</w:t>
            </w:r>
          </w:p>
        </w:tc>
      </w:tr>
      <w:tr w14:paraId="5AD52B43">
        <w:tblPrEx>
          <w:tblCellMar>
            <w:top w:w="0" w:type="dxa"/>
            <w:left w:w="0" w:type="dxa"/>
            <w:bottom w:w="0" w:type="dxa"/>
            <w:right w:w="0" w:type="dxa"/>
          </w:tblCellMar>
        </w:tblPrEx>
        <w:trPr>
          <w:trHeight w:val="320" w:hRule="atLeast"/>
          <w:jc w:val="center"/>
        </w:trPr>
        <w:tc>
          <w:tcPr>
            <w:tcW w:w="504" w:type="dxa"/>
            <w:tcBorders>
              <w:top w:val="nil"/>
              <w:left w:val="single" w:color="auto" w:sz="8" w:space="0"/>
              <w:bottom w:val="single" w:color="auto" w:sz="8" w:space="0"/>
              <w:right w:val="single" w:color="auto" w:sz="8" w:space="0"/>
            </w:tcBorders>
            <w:vAlign w:val="center"/>
          </w:tcPr>
          <w:p w14:paraId="3D85578F">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5</w:t>
            </w:r>
          </w:p>
        </w:tc>
        <w:tc>
          <w:tcPr>
            <w:tcW w:w="1595" w:type="dxa"/>
            <w:tcBorders>
              <w:top w:val="nil"/>
              <w:left w:val="nil"/>
              <w:bottom w:val="single" w:color="auto" w:sz="8" w:space="0"/>
              <w:right w:val="single" w:color="auto" w:sz="8" w:space="0"/>
            </w:tcBorders>
            <w:vAlign w:val="center"/>
          </w:tcPr>
          <w:p w14:paraId="2C9244C3">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液压试验</w:t>
            </w:r>
          </w:p>
        </w:tc>
        <w:tc>
          <w:tcPr>
            <w:tcW w:w="2088" w:type="dxa"/>
            <w:tcBorders>
              <w:top w:val="nil"/>
              <w:left w:val="nil"/>
              <w:bottom w:val="single" w:color="auto" w:sz="8" w:space="0"/>
              <w:right w:val="single" w:color="auto" w:sz="8" w:space="0"/>
            </w:tcBorders>
            <w:vAlign w:val="center"/>
          </w:tcPr>
          <w:p w14:paraId="1284B893">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GB/T 241</w:t>
            </w:r>
          </w:p>
        </w:tc>
        <w:tc>
          <w:tcPr>
            <w:tcW w:w="3197" w:type="dxa"/>
            <w:tcBorders>
              <w:top w:val="nil"/>
              <w:left w:val="nil"/>
              <w:bottom w:val="single" w:color="auto" w:sz="8" w:space="0"/>
              <w:right w:val="single" w:color="auto" w:sz="8" w:space="0"/>
            </w:tcBorders>
            <w:vAlign w:val="center"/>
          </w:tcPr>
          <w:p w14:paraId="498E2D5C">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逐支</w:t>
            </w:r>
          </w:p>
        </w:tc>
        <w:tc>
          <w:tcPr>
            <w:tcW w:w="1447" w:type="dxa"/>
            <w:tcBorders>
              <w:top w:val="nil"/>
              <w:left w:val="nil"/>
              <w:bottom w:val="single" w:color="auto" w:sz="8" w:space="0"/>
              <w:right w:val="single" w:color="auto" w:sz="8" w:space="0"/>
            </w:tcBorders>
            <w:vAlign w:val="center"/>
          </w:tcPr>
          <w:p w14:paraId="596BADFD">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w:t>
            </w:r>
          </w:p>
        </w:tc>
      </w:tr>
      <w:tr w14:paraId="34CD3C6B">
        <w:tblPrEx>
          <w:tblCellMar>
            <w:top w:w="0" w:type="dxa"/>
            <w:left w:w="0" w:type="dxa"/>
            <w:bottom w:w="0" w:type="dxa"/>
            <w:right w:w="0" w:type="dxa"/>
          </w:tblCellMar>
        </w:tblPrEx>
        <w:trPr>
          <w:trHeight w:val="320" w:hRule="atLeast"/>
          <w:jc w:val="center"/>
        </w:trPr>
        <w:tc>
          <w:tcPr>
            <w:tcW w:w="504" w:type="dxa"/>
            <w:tcBorders>
              <w:top w:val="nil"/>
              <w:left w:val="single" w:color="auto" w:sz="8" w:space="0"/>
              <w:bottom w:val="single" w:color="auto" w:sz="8" w:space="0"/>
              <w:right w:val="single" w:color="auto" w:sz="8" w:space="0"/>
            </w:tcBorders>
            <w:vAlign w:val="center"/>
          </w:tcPr>
          <w:p w14:paraId="356DB5AD">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6</w:t>
            </w:r>
          </w:p>
        </w:tc>
        <w:tc>
          <w:tcPr>
            <w:tcW w:w="1595" w:type="dxa"/>
            <w:tcBorders>
              <w:top w:val="nil"/>
              <w:left w:val="nil"/>
              <w:bottom w:val="single" w:color="auto" w:sz="8" w:space="0"/>
              <w:right w:val="single" w:color="auto" w:sz="8" w:space="0"/>
            </w:tcBorders>
            <w:vAlign w:val="center"/>
          </w:tcPr>
          <w:p w14:paraId="66C9364A">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涡流探伤检验</w:t>
            </w:r>
          </w:p>
        </w:tc>
        <w:tc>
          <w:tcPr>
            <w:tcW w:w="2088" w:type="dxa"/>
            <w:tcBorders>
              <w:top w:val="nil"/>
              <w:left w:val="nil"/>
              <w:bottom w:val="single" w:color="auto" w:sz="8" w:space="0"/>
              <w:right w:val="single" w:color="auto" w:sz="8" w:space="0"/>
            </w:tcBorders>
            <w:vAlign w:val="center"/>
          </w:tcPr>
          <w:p w14:paraId="2CA5DDD8">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CB/T 7735</w:t>
            </w:r>
          </w:p>
        </w:tc>
        <w:tc>
          <w:tcPr>
            <w:tcW w:w="3197" w:type="dxa"/>
            <w:tcBorders>
              <w:top w:val="nil"/>
              <w:left w:val="nil"/>
              <w:bottom w:val="single" w:color="auto" w:sz="8" w:space="0"/>
              <w:right w:val="single" w:color="auto" w:sz="8" w:space="0"/>
            </w:tcBorders>
            <w:vAlign w:val="center"/>
          </w:tcPr>
          <w:p w14:paraId="6098BA29">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逐支</w:t>
            </w:r>
          </w:p>
        </w:tc>
        <w:tc>
          <w:tcPr>
            <w:tcW w:w="1447" w:type="dxa"/>
            <w:tcBorders>
              <w:top w:val="nil"/>
              <w:left w:val="nil"/>
              <w:bottom w:val="single" w:color="auto" w:sz="8" w:space="0"/>
              <w:right w:val="single" w:color="auto" w:sz="8" w:space="0"/>
            </w:tcBorders>
            <w:vAlign w:val="center"/>
          </w:tcPr>
          <w:p w14:paraId="68ED4BD7">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w:t>
            </w:r>
          </w:p>
        </w:tc>
      </w:tr>
      <w:tr w14:paraId="65454D97">
        <w:tblPrEx>
          <w:tblCellMar>
            <w:top w:w="0" w:type="dxa"/>
            <w:left w:w="0" w:type="dxa"/>
            <w:bottom w:w="0" w:type="dxa"/>
            <w:right w:w="0" w:type="dxa"/>
          </w:tblCellMar>
        </w:tblPrEx>
        <w:trPr>
          <w:trHeight w:val="320" w:hRule="atLeast"/>
          <w:jc w:val="center"/>
        </w:trPr>
        <w:tc>
          <w:tcPr>
            <w:tcW w:w="504" w:type="dxa"/>
            <w:tcBorders>
              <w:top w:val="nil"/>
              <w:left w:val="single" w:color="auto" w:sz="8" w:space="0"/>
              <w:bottom w:val="single" w:color="auto" w:sz="8" w:space="0"/>
              <w:right w:val="single" w:color="auto" w:sz="8" w:space="0"/>
            </w:tcBorders>
            <w:vAlign w:val="center"/>
          </w:tcPr>
          <w:p w14:paraId="33AAA5B7">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7</w:t>
            </w:r>
          </w:p>
        </w:tc>
        <w:tc>
          <w:tcPr>
            <w:tcW w:w="1595" w:type="dxa"/>
            <w:tcBorders>
              <w:top w:val="nil"/>
              <w:left w:val="nil"/>
              <w:bottom w:val="single" w:color="auto" w:sz="8" w:space="0"/>
              <w:right w:val="single" w:color="auto" w:sz="8" w:space="0"/>
            </w:tcBorders>
            <w:vAlign w:val="center"/>
          </w:tcPr>
          <w:p w14:paraId="5A697062">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显微组织检验</w:t>
            </w:r>
          </w:p>
        </w:tc>
        <w:tc>
          <w:tcPr>
            <w:tcW w:w="2088" w:type="dxa"/>
            <w:tcBorders>
              <w:top w:val="nil"/>
              <w:left w:val="nil"/>
              <w:bottom w:val="single" w:color="auto" w:sz="8" w:space="0"/>
              <w:right w:val="single" w:color="auto" w:sz="8" w:space="0"/>
            </w:tcBorders>
            <w:vAlign w:val="center"/>
          </w:tcPr>
          <w:p w14:paraId="57B723A1">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GB/T 13298</w:t>
            </w:r>
          </w:p>
        </w:tc>
        <w:tc>
          <w:tcPr>
            <w:tcW w:w="3197" w:type="dxa"/>
            <w:tcBorders>
              <w:top w:val="nil"/>
              <w:left w:val="nil"/>
              <w:bottom w:val="single" w:color="auto" w:sz="8" w:space="0"/>
              <w:right w:val="single" w:color="auto" w:sz="8" w:space="0"/>
            </w:tcBorders>
            <w:vAlign w:val="center"/>
          </w:tcPr>
          <w:p w14:paraId="461CE413">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每批在两根钢管上取1个试样</w:t>
            </w:r>
          </w:p>
        </w:tc>
        <w:tc>
          <w:tcPr>
            <w:tcW w:w="1447" w:type="dxa"/>
            <w:tcBorders>
              <w:top w:val="nil"/>
              <w:left w:val="nil"/>
              <w:bottom w:val="single" w:color="auto" w:sz="8" w:space="0"/>
              <w:right w:val="single" w:color="auto" w:sz="8" w:space="0"/>
            </w:tcBorders>
            <w:vAlign w:val="center"/>
          </w:tcPr>
          <w:p w14:paraId="0DF97518">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GB/T 13298</w:t>
            </w:r>
          </w:p>
        </w:tc>
      </w:tr>
      <w:tr w14:paraId="3B842A68">
        <w:tblPrEx>
          <w:tblCellMar>
            <w:top w:w="0" w:type="dxa"/>
            <w:left w:w="0" w:type="dxa"/>
            <w:bottom w:w="0" w:type="dxa"/>
            <w:right w:w="0" w:type="dxa"/>
          </w:tblCellMar>
        </w:tblPrEx>
        <w:trPr>
          <w:trHeight w:val="320" w:hRule="atLeast"/>
          <w:jc w:val="center"/>
        </w:trPr>
        <w:tc>
          <w:tcPr>
            <w:tcW w:w="504" w:type="dxa"/>
            <w:tcBorders>
              <w:top w:val="nil"/>
              <w:left w:val="single" w:color="auto" w:sz="8" w:space="0"/>
              <w:bottom w:val="single" w:color="auto" w:sz="8" w:space="0"/>
              <w:right w:val="single" w:color="auto" w:sz="8" w:space="0"/>
            </w:tcBorders>
            <w:vAlign w:val="center"/>
          </w:tcPr>
          <w:p w14:paraId="694A2086">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8</w:t>
            </w:r>
          </w:p>
        </w:tc>
        <w:tc>
          <w:tcPr>
            <w:tcW w:w="1595" w:type="dxa"/>
            <w:tcBorders>
              <w:top w:val="nil"/>
              <w:left w:val="nil"/>
              <w:bottom w:val="single" w:color="auto" w:sz="8" w:space="0"/>
              <w:right w:val="single" w:color="auto" w:sz="8" w:space="0"/>
            </w:tcBorders>
            <w:vAlign w:val="center"/>
          </w:tcPr>
          <w:p w14:paraId="73D7EE63">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晶粒度检验</w:t>
            </w:r>
          </w:p>
        </w:tc>
        <w:tc>
          <w:tcPr>
            <w:tcW w:w="2088" w:type="dxa"/>
            <w:tcBorders>
              <w:top w:val="nil"/>
              <w:left w:val="nil"/>
              <w:bottom w:val="single" w:color="auto" w:sz="8" w:space="0"/>
              <w:right w:val="single" w:color="auto" w:sz="8" w:space="0"/>
            </w:tcBorders>
            <w:vAlign w:val="center"/>
          </w:tcPr>
          <w:p w14:paraId="5257932F">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GB/T 6394</w:t>
            </w:r>
          </w:p>
        </w:tc>
        <w:tc>
          <w:tcPr>
            <w:tcW w:w="3197" w:type="dxa"/>
            <w:tcBorders>
              <w:top w:val="nil"/>
              <w:left w:val="nil"/>
              <w:bottom w:val="single" w:color="auto" w:sz="8" w:space="0"/>
              <w:right w:val="single" w:color="auto" w:sz="8" w:space="0"/>
            </w:tcBorders>
            <w:vAlign w:val="center"/>
          </w:tcPr>
          <w:p w14:paraId="2D2B8123">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每批在两根钢管上取1个试样</w:t>
            </w:r>
          </w:p>
        </w:tc>
        <w:tc>
          <w:tcPr>
            <w:tcW w:w="1447" w:type="dxa"/>
            <w:tcBorders>
              <w:top w:val="nil"/>
              <w:left w:val="nil"/>
              <w:bottom w:val="single" w:color="auto" w:sz="8" w:space="0"/>
              <w:right w:val="single" w:color="auto" w:sz="8" w:space="0"/>
            </w:tcBorders>
            <w:vAlign w:val="center"/>
          </w:tcPr>
          <w:p w14:paraId="34C047BC">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GB/T 6394</w:t>
            </w:r>
          </w:p>
        </w:tc>
      </w:tr>
      <w:tr w14:paraId="2EB1901A">
        <w:tblPrEx>
          <w:tblCellMar>
            <w:top w:w="0" w:type="dxa"/>
            <w:left w:w="0" w:type="dxa"/>
            <w:bottom w:w="0" w:type="dxa"/>
            <w:right w:w="0" w:type="dxa"/>
          </w:tblCellMar>
        </w:tblPrEx>
        <w:trPr>
          <w:trHeight w:val="320" w:hRule="atLeast"/>
          <w:jc w:val="center"/>
        </w:trPr>
        <w:tc>
          <w:tcPr>
            <w:tcW w:w="504" w:type="dxa"/>
            <w:tcBorders>
              <w:top w:val="nil"/>
              <w:left w:val="single" w:color="auto" w:sz="8" w:space="0"/>
              <w:bottom w:val="single" w:color="auto" w:sz="8" w:space="0"/>
              <w:right w:val="single" w:color="auto" w:sz="8" w:space="0"/>
            </w:tcBorders>
            <w:vAlign w:val="center"/>
          </w:tcPr>
          <w:p w14:paraId="395A6CF8">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9</w:t>
            </w:r>
          </w:p>
        </w:tc>
        <w:tc>
          <w:tcPr>
            <w:tcW w:w="1595" w:type="dxa"/>
            <w:tcBorders>
              <w:top w:val="nil"/>
              <w:left w:val="nil"/>
              <w:bottom w:val="single" w:color="auto" w:sz="8" w:space="0"/>
              <w:right w:val="single" w:color="auto" w:sz="8" w:space="0"/>
            </w:tcBorders>
            <w:vAlign w:val="center"/>
          </w:tcPr>
          <w:p w14:paraId="491A19B1">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脱碳层检验</w:t>
            </w:r>
          </w:p>
        </w:tc>
        <w:tc>
          <w:tcPr>
            <w:tcW w:w="2088" w:type="dxa"/>
            <w:tcBorders>
              <w:top w:val="nil"/>
              <w:left w:val="nil"/>
              <w:bottom w:val="single" w:color="auto" w:sz="8" w:space="0"/>
              <w:right w:val="single" w:color="auto" w:sz="8" w:space="0"/>
            </w:tcBorders>
            <w:vAlign w:val="center"/>
          </w:tcPr>
          <w:p w14:paraId="525492D9">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GB/T 224</w:t>
            </w:r>
          </w:p>
        </w:tc>
        <w:tc>
          <w:tcPr>
            <w:tcW w:w="3197" w:type="dxa"/>
            <w:tcBorders>
              <w:top w:val="nil"/>
              <w:left w:val="nil"/>
              <w:bottom w:val="single" w:color="auto" w:sz="8" w:space="0"/>
              <w:right w:val="single" w:color="auto" w:sz="8" w:space="0"/>
            </w:tcBorders>
            <w:vAlign w:val="center"/>
          </w:tcPr>
          <w:p w14:paraId="773AFADD">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每批在两根钢管上取1个试样</w:t>
            </w:r>
          </w:p>
        </w:tc>
        <w:tc>
          <w:tcPr>
            <w:tcW w:w="1447" w:type="dxa"/>
            <w:tcBorders>
              <w:top w:val="nil"/>
              <w:left w:val="nil"/>
              <w:bottom w:val="single" w:color="auto" w:sz="8" w:space="0"/>
              <w:right w:val="single" w:color="auto" w:sz="8" w:space="0"/>
            </w:tcBorders>
            <w:vAlign w:val="center"/>
          </w:tcPr>
          <w:p w14:paraId="61517798">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GB/T 224</w:t>
            </w:r>
          </w:p>
        </w:tc>
      </w:tr>
      <w:tr w14:paraId="1DDBCB13">
        <w:tblPrEx>
          <w:tblCellMar>
            <w:top w:w="0" w:type="dxa"/>
            <w:left w:w="0" w:type="dxa"/>
            <w:bottom w:w="0" w:type="dxa"/>
            <w:right w:w="0" w:type="dxa"/>
          </w:tblCellMar>
        </w:tblPrEx>
        <w:trPr>
          <w:trHeight w:val="300" w:hRule="atLeast"/>
          <w:jc w:val="center"/>
        </w:trPr>
        <w:tc>
          <w:tcPr>
            <w:tcW w:w="504" w:type="dxa"/>
            <w:tcBorders>
              <w:top w:val="nil"/>
              <w:left w:val="single" w:color="auto" w:sz="8" w:space="0"/>
              <w:bottom w:val="single" w:color="auto" w:sz="8" w:space="0"/>
              <w:right w:val="single" w:color="auto" w:sz="8" w:space="0"/>
            </w:tcBorders>
            <w:vAlign w:val="center"/>
          </w:tcPr>
          <w:p w14:paraId="32B147FA">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10</w:t>
            </w:r>
          </w:p>
        </w:tc>
        <w:tc>
          <w:tcPr>
            <w:tcW w:w="1595" w:type="dxa"/>
            <w:tcBorders>
              <w:top w:val="nil"/>
              <w:left w:val="nil"/>
              <w:bottom w:val="single" w:color="auto" w:sz="8" w:space="0"/>
              <w:right w:val="single" w:color="auto" w:sz="8" w:space="0"/>
            </w:tcBorders>
            <w:vAlign w:val="center"/>
          </w:tcPr>
          <w:p w14:paraId="4573F980">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超声波检验</w:t>
            </w:r>
          </w:p>
        </w:tc>
        <w:tc>
          <w:tcPr>
            <w:tcW w:w="2088" w:type="dxa"/>
            <w:tcBorders>
              <w:top w:val="nil"/>
              <w:left w:val="nil"/>
              <w:bottom w:val="single" w:color="auto" w:sz="8" w:space="0"/>
              <w:right w:val="single" w:color="auto" w:sz="8" w:space="0"/>
            </w:tcBorders>
            <w:vAlign w:val="center"/>
          </w:tcPr>
          <w:p w14:paraId="30A91F58">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GB/T 5777</w:t>
            </w:r>
          </w:p>
        </w:tc>
        <w:tc>
          <w:tcPr>
            <w:tcW w:w="3197" w:type="dxa"/>
            <w:tcBorders>
              <w:top w:val="nil"/>
              <w:left w:val="nil"/>
              <w:bottom w:val="single" w:color="auto" w:sz="8" w:space="0"/>
              <w:right w:val="single" w:color="auto" w:sz="8" w:space="0"/>
            </w:tcBorders>
            <w:vAlign w:val="center"/>
          </w:tcPr>
          <w:p w14:paraId="2665B32C">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逐支</w:t>
            </w:r>
          </w:p>
        </w:tc>
        <w:tc>
          <w:tcPr>
            <w:tcW w:w="1447" w:type="dxa"/>
            <w:tcBorders>
              <w:top w:val="nil"/>
              <w:left w:val="nil"/>
              <w:bottom w:val="single" w:color="auto" w:sz="8" w:space="0"/>
              <w:right w:val="single" w:color="auto" w:sz="8" w:space="0"/>
            </w:tcBorders>
            <w:vAlign w:val="center"/>
          </w:tcPr>
          <w:p w14:paraId="7AD70338">
            <w:pPr>
              <w:widowControl/>
              <w:spacing w:line="360" w:lineRule="auto"/>
              <w:jc w:val="center"/>
              <w:rPr>
                <w:rFonts w:ascii="宋体" w:hAnsi="宋体" w:cs="宋体"/>
                <w:spacing w:val="6"/>
                <w:kern w:val="4"/>
                <w:highlight w:val="none"/>
              </w:rPr>
            </w:pPr>
            <w:r>
              <w:rPr>
                <w:rFonts w:hint="eastAsia" w:ascii="宋体" w:hAnsi="宋体" w:cs="宋体"/>
                <w:spacing w:val="6"/>
                <w:kern w:val="4"/>
                <w:highlight w:val="none"/>
              </w:rPr>
              <w:t>—</w:t>
            </w:r>
          </w:p>
        </w:tc>
      </w:tr>
    </w:tbl>
    <w:p w14:paraId="2072249C">
      <w:pPr>
        <w:spacing w:line="360" w:lineRule="auto"/>
        <w:rPr>
          <w:rFonts w:ascii="宋体" w:hAnsi="宋体" w:cs="宋体"/>
          <w:b/>
          <w:bCs/>
          <w:kern w:val="44"/>
          <w:highlight w:val="none"/>
        </w:rPr>
      </w:pPr>
      <w:bookmarkStart w:id="56" w:name="a08"/>
      <w:bookmarkEnd w:id="56"/>
      <w:bookmarkStart w:id="57" w:name="_Toc388871164"/>
      <w:bookmarkStart w:id="58" w:name="_Toc392056643"/>
      <w:r>
        <w:rPr>
          <w:rFonts w:hint="eastAsia" w:ascii="宋体" w:hAnsi="宋体" w:cs="宋体"/>
          <w:b/>
          <w:bCs/>
          <w:kern w:val="44"/>
          <w:highlight w:val="none"/>
        </w:rPr>
        <w:t>4.4. 内螺纹管检验规范</w:t>
      </w:r>
      <w:bookmarkEnd w:id="57"/>
      <w:bookmarkEnd w:id="58"/>
    </w:p>
    <w:p w14:paraId="12D4F406">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4.4.1 检查和验收</w:t>
      </w:r>
    </w:p>
    <w:p w14:paraId="1045B242">
      <w:pPr>
        <w:widowControl/>
        <w:snapToGrid w:val="0"/>
        <w:spacing w:line="360" w:lineRule="auto"/>
        <w:ind w:firstLine="504" w:firstLineChars="200"/>
        <w:rPr>
          <w:rFonts w:ascii="宋体" w:hAnsi="宋体" w:cs="宋体"/>
          <w:spacing w:val="6"/>
          <w:kern w:val="4"/>
          <w:highlight w:val="none"/>
        </w:rPr>
      </w:pPr>
      <w:r>
        <w:rPr>
          <w:rFonts w:hint="eastAsia" w:ascii="宋体" w:hAnsi="宋体" w:cs="宋体"/>
          <w:spacing w:val="6"/>
          <w:kern w:val="4"/>
          <w:highlight w:val="none"/>
        </w:rPr>
        <w:t>内螺纹管的检查和验收由生产厂家技术监督部门进行。</w:t>
      </w:r>
    </w:p>
    <w:p w14:paraId="4A0EDF72">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4.4.2 组批规则</w:t>
      </w:r>
    </w:p>
    <w:p w14:paraId="326F865E">
      <w:pPr>
        <w:widowControl/>
        <w:snapToGrid w:val="0"/>
        <w:spacing w:line="360" w:lineRule="auto"/>
        <w:ind w:firstLine="504" w:firstLineChars="200"/>
        <w:rPr>
          <w:rFonts w:ascii="宋体" w:hAnsi="宋体" w:cs="宋体"/>
          <w:spacing w:val="6"/>
          <w:kern w:val="4"/>
          <w:highlight w:val="none"/>
        </w:rPr>
      </w:pPr>
      <w:r>
        <w:rPr>
          <w:rFonts w:hint="eastAsia" w:ascii="宋体" w:hAnsi="宋体" w:cs="宋体"/>
          <w:spacing w:val="6"/>
          <w:kern w:val="4"/>
          <w:highlight w:val="none"/>
        </w:rPr>
        <w:t>内螺纹管按批进行检查和验收。每批应由同一牌号、同一炉号、同一规格和同一热处理制度的内螺纹管组成。每批内螺纹管的数量应不大于200根。</w:t>
      </w:r>
    </w:p>
    <w:p w14:paraId="7EB0698F">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4.4.3 取样数量</w:t>
      </w:r>
    </w:p>
    <w:p w14:paraId="54DD29D0">
      <w:pPr>
        <w:widowControl/>
        <w:snapToGrid w:val="0"/>
        <w:spacing w:line="360" w:lineRule="auto"/>
        <w:ind w:firstLine="504" w:firstLineChars="200"/>
        <w:rPr>
          <w:rFonts w:ascii="宋体" w:hAnsi="宋体" w:cs="宋体"/>
          <w:spacing w:val="6"/>
          <w:kern w:val="4"/>
          <w:highlight w:val="none"/>
        </w:rPr>
      </w:pPr>
      <w:r>
        <w:rPr>
          <w:rFonts w:hint="eastAsia" w:ascii="宋体" w:hAnsi="宋体" w:cs="宋体"/>
          <w:spacing w:val="6"/>
          <w:kern w:val="4"/>
          <w:highlight w:val="none"/>
        </w:rPr>
        <w:t>每批内螺纹管各项性能检验的取样数量应符合表7的规定。</w:t>
      </w:r>
    </w:p>
    <w:p w14:paraId="7367B170">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4.4.4 复验与判定规则</w:t>
      </w:r>
    </w:p>
    <w:p w14:paraId="13A8B69D">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（1）当内螺纹管的全脱碳层检验不合格时，应取双倍试样进行复验，复验时即使有一个试样不合格，除将不合格者挑出外，对剩余内螺纹管允许逐支检验或将该批钢管报废，不允许重新进行热处理。</w:t>
      </w:r>
    </w:p>
    <w:p w14:paraId="5C7ABC7D">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（2）冲击试验的复验与判定规则应符合GB/T 17505的规定。</w:t>
      </w:r>
    </w:p>
    <w:p w14:paraId="00A0ACD5">
      <w:pPr>
        <w:widowControl/>
        <w:snapToGrid w:val="0"/>
        <w:spacing w:line="360" w:lineRule="auto"/>
        <w:rPr>
          <w:rFonts w:ascii="宋体" w:hAnsi="宋体" w:cs="宋体"/>
          <w:spacing w:val="6"/>
          <w:kern w:val="4"/>
          <w:highlight w:val="none"/>
        </w:rPr>
      </w:pPr>
      <w:r>
        <w:rPr>
          <w:rFonts w:hint="eastAsia" w:ascii="宋体" w:hAnsi="宋体" w:cs="宋体"/>
          <w:spacing w:val="6"/>
          <w:kern w:val="4"/>
          <w:highlight w:val="none"/>
        </w:rPr>
        <w:t>（3）其他检验项目的复验与判定规则应符合GB/T 2102的规定。</w:t>
      </w:r>
    </w:p>
    <w:p w14:paraId="74EF9A55">
      <w:pPr>
        <w:spacing w:line="360" w:lineRule="auto"/>
        <w:rPr>
          <w:rFonts w:ascii="宋体" w:hAnsi="宋体" w:cs="宋体"/>
          <w:b/>
          <w:bCs/>
          <w:kern w:val="44"/>
          <w:highlight w:val="none"/>
        </w:rPr>
      </w:pPr>
      <w:bookmarkStart w:id="59" w:name="a09"/>
      <w:bookmarkEnd w:id="59"/>
      <w:bookmarkStart w:id="60" w:name="_Toc392056644"/>
      <w:bookmarkStart w:id="61" w:name="_Toc388871165"/>
      <w:r>
        <w:rPr>
          <w:rFonts w:hint="eastAsia" w:ascii="宋体" w:hAnsi="宋体" w:cs="宋体"/>
          <w:b/>
          <w:bCs/>
          <w:kern w:val="44"/>
          <w:highlight w:val="none"/>
        </w:rPr>
        <w:t>4.5. 内螺纹管包装、标志和质量证明书</w:t>
      </w:r>
      <w:bookmarkEnd w:id="60"/>
      <w:bookmarkEnd w:id="61"/>
    </w:p>
    <w:p w14:paraId="2FB9C856">
      <w:pPr>
        <w:widowControl/>
        <w:snapToGrid w:val="0"/>
        <w:spacing w:line="360" w:lineRule="auto"/>
        <w:ind w:firstLine="504" w:firstLineChars="200"/>
        <w:rPr>
          <w:rFonts w:ascii="宋体" w:hAnsi="宋体" w:cs="宋体"/>
          <w:spacing w:val="6"/>
          <w:kern w:val="4"/>
          <w:highlight w:val="none"/>
        </w:rPr>
      </w:pPr>
      <w:r>
        <w:rPr>
          <w:rFonts w:hint="eastAsia" w:ascii="宋体" w:hAnsi="宋体" w:cs="宋体"/>
          <w:spacing w:val="6"/>
          <w:kern w:val="4"/>
          <w:highlight w:val="none"/>
        </w:rPr>
        <w:t>内螺纹管的包装、标志和质量证明书应符合GB/T 2102的规定。</w:t>
      </w:r>
    </w:p>
    <w:p w14:paraId="57678B40">
      <w:pPr>
        <w:spacing w:line="360" w:lineRule="auto"/>
        <w:rPr>
          <w:rFonts w:ascii="宋体" w:hAnsi="宋体" w:cs="宋体"/>
          <w:b/>
          <w:bCs/>
          <w:kern w:val="44"/>
          <w:highlight w:val="none"/>
        </w:rPr>
      </w:pPr>
      <w:bookmarkStart w:id="62" w:name="_Toc392056645"/>
      <w:bookmarkStart w:id="63" w:name="_Toc388871166"/>
      <w:r>
        <w:rPr>
          <w:rFonts w:hint="eastAsia" w:ascii="宋体" w:hAnsi="宋体" w:cs="宋体"/>
          <w:b/>
          <w:bCs/>
          <w:kern w:val="44"/>
          <w:highlight w:val="none"/>
        </w:rPr>
        <w:t>4.6. 水冷壁管屏总体技术要求</w:t>
      </w:r>
      <w:bookmarkEnd w:id="62"/>
      <w:bookmarkEnd w:id="63"/>
    </w:p>
    <w:p w14:paraId="7B5C0D91">
      <w:pPr>
        <w:spacing w:line="360" w:lineRule="auto"/>
        <w:rPr>
          <w:rFonts w:ascii="宋体" w:hAnsi="宋体" w:cs="宋体"/>
          <w:highlight w:val="none"/>
        </w:rPr>
      </w:pPr>
      <w:r>
        <w:rPr>
          <w:rFonts w:hint="eastAsia" w:ascii="宋体" w:hAnsi="宋体" w:cs="宋体"/>
          <w:highlight w:val="none"/>
        </w:rPr>
        <w:t>4.6.1 本技术规范书所采购的中部水冷壁散管管屏，为内螺纹管与鳍片焊接制成的管屏，包含外部各种附件，包括水冷壁刚性梁附件、滑动块等管屏焊接的所有附件。</w:t>
      </w:r>
    </w:p>
    <w:p w14:paraId="0E63F783">
      <w:pPr>
        <w:spacing w:line="360" w:lineRule="auto"/>
        <w:rPr>
          <w:rFonts w:ascii="宋体" w:hAnsi="宋体" w:cs="宋体"/>
          <w:highlight w:val="none"/>
        </w:rPr>
      </w:pPr>
      <w:r>
        <w:rPr>
          <w:rFonts w:hint="eastAsia" w:ascii="宋体" w:hAnsi="宋体" w:cs="宋体"/>
          <w:highlight w:val="none"/>
        </w:rPr>
        <w:t>4.6.2中部水冷壁散管管屏，投标方严格按图纸相关技术要求进行制造。</w:t>
      </w:r>
    </w:p>
    <w:p w14:paraId="7652D4DF">
      <w:pPr>
        <w:spacing w:line="360" w:lineRule="auto"/>
        <w:rPr>
          <w:rFonts w:ascii="宋体" w:hAnsi="宋体" w:cs="宋体"/>
          <w:highlight w:val="none"/>
        </w:rPr>
      </w:pPr>
      <w:r>
        <w:rPr>
          <w:rFonts w:hint="eastAsia" w:ascii="宋体" w:hAnsi="宋体" w:cs="宋体"/>
          <w:highlight w:val="none"/>
        </w:rPr>
        <w:t>4.6.3 投标方在合同与技术协议签订后的2周内向招标方提供各水冷壁管屏相应管号、标高的电子版制造图纸，供招标方确认。</w:t>
      </w:r>
    </w:p>
    <w:p w14:paraId="53EB1AA5">
      <w:pPr>
        <w:spacing w:line="360" w:lineRule="auto"/>
        <w:rPr>
          <w:rFonts w:ascii="宋体" w:hAnsi="宋体" w:cs="宋体"/>
          <w:highlight w:val="none"/>
        </w:rPr>
      </w:pPr>
      <w:r>
        <w:rPr>
          <w:rFonts w:hint="eastAsia" w:ascii="宋体" w:hAnsi="宋体" w:cs="宋体"/>
          <w:highlight w:val="none"/>
        </w:rPr>
        <w:t>4.6.4 为方便水冷壁管屏现场安装，招标方在管屏总长度保持不变的情况下有权要求投标方制成较窄管屏，投标方应予以认可。</w:t>
      </w:r>
    </w:p>
    <w:p w14:paraId="7F7D87E2">
      <w:pPr>
        <w:spacing w:line="360" w:lineRule="auto"/>
        <w:rPr>
          <w:rFonts w:ascii="宋体" w:hAnsi="宋体" w:cs="宋体"/>
          <w:b/>
          <w:bCs/>
          <w:kern w:val="44"/>
          <w:highlight w:val="none"/>
        </w:rPr>
      </w:pPr>
      <w:bookmarkStart w:id="64" w:name="_Toc388871167"/>
      <w:bookmarkStart w:id="65" w:name="_Toc392056646"/>
      <w:r>
        <w:rPr>
          <w:rFonts w:hint="eastAsia" w:ascii="宋体" w:hAnsi="宋体" w:cs="宋体"/>
          <w:b/>
          <w:bCs/>
          <w:kern w:val="44"/>
          <w:highlight w:val="none"/>
        </w:rPr>
        <w:t>4.7. 水冷壁管屏尺寸、外形及允许偏差</w:t>
      </w:r>
      <w:bookmarkEnd w:id="64"/>
      <w:bookmarkEnd w:id="65"/>
    </w:p>
    <w:p w14:paraId="250C55AC">
      <w:pPr>
        <w:pStyle w:val="14"/>
        <w:ind w:right="-57" w:firstLine="0"/>
        <w:rPr>
          <w:rFonts w:hAnsi="宋体" w:cs="宋体"/>
          <w:color w:val="auto"/>
          <w:spacing w:val="6"/>
          <w:kern w:val="4"/>
          <w:szCs w:val="24"/>
          <w:highlight w:val="none"/>
        </w:rPr>
      </w:pPr>
      <w:r>
        <w:rPr>
          <w:rFonts w:hint="eastAsia" w:hAnsi="宋体" w:cs="宋体"/>
          <w:color w:val="auto"/>
          <w:spacing w:val="6"/>
          <w:kern w:val="4"/>
          <w:szCs w:val="24"/>
          <w:highlight w:val="none"/>
        </w:rPr>
        <w:t>4.7.1 管子加工完坡口的断面与管中心线的偏斜度，应符合表8规定：</w:t>
      </w:r>
    </w:p>
    <w:p w14:paraId="47A7B6B6">
      <w:pPr>
        <w:pStyle w:val="14"/>
        <w:ind w:right="-57" w:firstLine="0"/>
        <w:jc w:val="center"/>
        <w:rPr>
          <w:rFonts w:hAnsi="宋体" w:cs="宋体"/>
          <w:color w:val="auto"/>
          <w:spacing w:val="6"/>
          <w:kern w:val="4"/>
          <w:szCs w:val="24"/>
          <w:highlight w:val="none"/>
        </w:rPr>
      </w:pPr>
      <w:r>
        <w:rPr>
          <w:rFonts w:hint="eastAsia" w:hAnsi="宋体" w:cs="宋体"/>
          <w:color w:val="auto"/>
          <w:spacing w:val="6"/>
          <w:kern w:val="4"/>
          <w:szCs w:val="24"/>
          <w:highlight w:val="none"/>
        </w:rPr>
        <w:t>表8 管子断面与管中心线允许的偏斜度</w:t>
      </w:r>
    </w:p>
    <w:tbl>
      <w:tblPr>
        <w:tblStyle w:val="25"/>
        <w:tblW w:w="5000" w:type="pct"/>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3288"/>
        <w:gridCol w:w="2801"/>
        <w:gridCol w:w="2802"/>
      </w:tblGrid>
      <w:tr w14:paraId="0AE00F4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1666" w:type="pct"/>
            <w:vAlign w:val="center"/>
          </w:tcPr>
          <w:p w14:paraId="22B56C66">
            <w:pPr>
              <w:pStyle w:val="14"/>
              <w:ind w:right="-57" w:firstLine="0"/>
              <w:jc w:val="center"/>
              <w:rPr>
                <w:rFonts w:hAnsi="宋体" w:cs="宋体"/>
                <w:color w:val="auto"/>
                <w:spacing w:val="6"/>
                <w:kern w:val="4"/>
                <w:szCs w:val="24"/>
                <w:highlight w:val="none"/>
              </w:rPr>
            </w:pPr>
            <w:r>
              <w:rPr>
                <w:rFonts w:hint="eastAsia" w:hAnsi="宋体" w:cs="宋体"/>
                <w:color w:val="auto"/>
                <w:spacing w:val="6"/>
                <w:kern w:val="4"/>
                <w:szCs w:val="24"/>
                <w:highlight w:val="none"/>
              </w:rPr>
              <w:t>图例</w:t>
            </w:r>
          </w:p>
        </w:tc>
        <w:tc>
          <w:tcPr>
            <w:tcW w:w="1667" w:type="pct"/>
            <w:vAlign w:val="center"/>
          </w:tcPr>
          <w:p w14:paraId="6C88C890">
            <w:pPr>
              <w:pStyle w:val="14"/>
              <w:ind w:right="-57" w:firstLine="0"/>
              <w:jc w:val="center"/>
              <w:rPr>
                <w:rFonts w:hAnsi="宋体" w:cs="宋体"/>
                <w:color w:val="auto"/>
                <w:spacing w:val="6"/>
                <w:kern w:val="4"/>
                <w:szCs w:val="24"/>
                <w:highlight w:val="none"/>
              </w:rPr>
            </w:pPr>
            <w:r>
              <w:rPr>
                <w:rFonts w:hint="eastAsia" w:hAnsi="宋体" w:cs="宋体"/>
                <w:color w:val="auto"/>
                <w:spacing w:val="6"/>
                <w:kern w:val="4"/>
                <w:szCs w:val="24"/>
                <w:highlight w:val="none"/>
              </w:rPr>
              <w:t>管子外径（mm）</w:t>
            </w:r>
          </w:p>
        </w:tc>
        <w:tc>
          <w:tcPr>
            <w:tcW w:w="1667" w:type="pct"/>
            <w:vAlign w:val="center"/>
          </w:tcPr>
          <w:p w14:paraId="0B089BC5">
            <w:pPr>
              <w:pStyle w:val="14"/>
              <w:ind w:right="-57" w:firstLine="0"/>
              <w:jc w:val="center"/>
              <w:rPr>
                <w:rFonts w:hAnsi="宋体" w:cs="宋体"/>
                <w:color w:val="auto"/>
                <w:spacing w:val="6"/>
                <w:kern w:val="4"/>
                <w:szCs w:val="24"/>
                <w:highlight w:val="none"/>
              </w:rPr>
            </w:pPr>
            <w:r>
              <w:rPr>
                <w:rFonts w:hint="eastAsia" w:hAnsi="宋体" w:cs="宋体"/>
                <w:color w:val="auto"/>
                <w:spacing w:val="6"/>
                <w:kern w:val="4"/>
                <w:szCs w:val="24"/>
                <w:highlight w:val="none"/>
              </w:rPr>
              <w:t>△f（mm）</w:t>
            </w:r>
          </w:p>
        </w:tc>
      </w:tr>
      <w:tr w14:paraId="2FBB57D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1666" w:type="pct"/>
            <w:vAlign w:val="center"/>
          </w:tcPr>
          <w:p w14:paraId="20D04BE3">
            <w:pPr>
              <w:pStyle w:val="14"/>
              <w:ind w:right="-57" w:firstLine="0"/>
              <w:jc w:val="center"/>
              <w:rPr>
                <w:rFonts w:hAnsi="宋体" w:cs="宋体"/>
                <w:color w:val="auto"/>
                <w:spacing w:val="6"/>
                <w:kern w:val="4"/>
                <w:szCs w:val="24"/>
                <w:highlight w:val="none"/>
              </w:rPr>
            </w:pPr>
            <w:r>
              <w:rPr>
                <w:rFonts w:hint="eastAsia" w:hAnsi="宋体" w:cs="宋体"/>
                <w:color w:val="auto"/>
                <w:spacing w:val="6"/>
                <w:kern w:val="4"/>
                <w:szCs w:val="24"/>
                <w:highlight w:val="none"/>
              </w:rPr>
              <w:drawing>
                <wp:inline distT="0" distB="0" distL="0" distR="0">
                  <wp:extent cx="1967865" cy="1068070"/>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21" cstate="print"/>
                          <a:srcRect l="11986" t="33749" r="57866" b="10001"/>
                          <a:stretch>
                            <a:fillRect/>
                          </a:stretch>
                        </pic:blipFill>
                        <pic:spPr>
                          <a:xfrm>
                            <a:off x="0" y="0"/>
                            <a:ext cx="1967865" cy="1068070"/>
                          </a:xfrm>
                          <a:prstGeom prst="rect">
                            <a:avLst/>
                          </a:prstGeom>
                          <a:noFill/>
                          <a:ln w="9525">
                            <a:noFill/>
                            <a:miter lim="800000"/>
                            <a:headEnd/>
                            <a:tailEnd/>
                          </a:ln>
                        </pic:spPr>
                      </pic:pic>
                    </a:graphicData>
                  </a:graphic>
                </wp:inline>
              </w:drawing>
            </w:r>
          </w:p>
        </w:tc>
        <w:tc>
          <w:tcPr>
            <w:tcW w:w="1667" w:type="pct"/>
            <w:vAlign w:val="center"/>
          </w:tcPr>
          <w:p w14:paraId="48842999">
            <w:pPr>
              <w:pStyle w:val="14"/>
              <w:ind w:right="-57" w:firstLine="0"/>
              <w:jc w:val="center"/>
              <w:rPr>
                <w:rFonts w:hAnsi="宋体" w:cs="宋体"/>
                <w:color w:val="auto"/>
                <w:spacing w:val="6"/>
                <w:kern w:val="4"/>
                <w:szCs w:val="24"/>
                <w:highlight w:val="none"/>
              </w:rPr>
            </w:pPr>
            <w:r>
              <w:rPr>
                <w:rFonts w:hint="eastAsia" w:hAnsi="宋体" w:cs="宋体"/>
                <w:color w:val="auto"/>
                <w:spacing w:val="6"/>
                <w:kern w:val="4"/>
                <w:szCs w:val="24"/>
                <w:highlight w:val="none"/>
              </w:rPr>
              <w:t>28.6</w:t>
            </w:r>
          </w:p>
        </w:tc>
        <w:tc>
          <w:tcPr>
            <w:tcW w:w="1667" w:type="pct"/>
            <w:vAlign w:val="center"/>
          </w:tcPr>
          <w:p w14:paraId="5B470E8B">
            <w:pPr>
              <w:pStyle w:val="14"/>
              <w:ind w:right="-57" w:firstLine="0"/>
              <w:jc w:val="center"/>
              <w:rPr>
                <w:rFonts w:hAnsi="宋体" w:cs="宋体"/>
                <w:color w:val="auto"/>
                <w:spacing w:val="6"/>
                <w:kern w:val="4"/>
                <w:szCs w:val="24"/>
                <w:highlight w:val="none"/>
              </w:rPr>
            </w:pPr>
            <w:r>
              <w:rPr>
                <w:rFonts w:hint="eastAsia" w:hAnsi="宋体" w:cs="宋体"/>
                <w:color w:val="auto"/>
                <w:spacing w:val="6"/>
                <w:kern w:val="4"/>
                <w:szCs w:val="24"/>
                <w:highlight w:val="none"/>
              </w:rPr>
              <w:t>≤0.5</w:t>
            </w:r>
          </w:p>
        </w:tc>
      </w:tr>
    </w:tbl>
    <w:p w14:paraId="7FD674FB">
      <w:pPr>
        <w:spacing w:line="360" w:lineRule="auto"/>
        <w:rPr>
          <w:rFonts w:ascii="宋体" w:hAnsi="宋体" w:cs="宋体"/>
          <w:highlight w:val="none"/>
        </w:rPr>
      </w:pPr>
      <w:r>
        <w:rPr>
          <w:rFonts w:hint="eastAsia" w:ascii="宋体" w:hAnsi="宋体" w:cs="宋体"/>
          <w:spacing w:val="6"/>
          <w:kern w:val="4"/>
          <w:highlight w:val="none"/>
        </w:rPr>
        <w:t>4.7.2</w:t>
      </w:r>
      <w:r>
        <w:rPr>
          <w:rFonts w:hint="eastAsia" w:ascii="宋体" w:hAnsi="宋体" w:cs="宋体"/>
          <w:highlight w:val="none"/>
        </w:rPr>
        <w:t>弯曲半径小于1.5倍管子公称外径的小半径弯管宜采用热弯；若采用冷弯，当外弧伸长率超过工艺要求的规定值时，弯制后应进行回火处理。</w:t>
      </w:r>
    </w:p>
    <w:p w14:paraId="4B3C9F7B">
      <w:pPr>
        <w:spacing w:line="360" w:lineRule="auto"/>
        <w:ind w:firstLine="480" w:firstLineChars="200"/>
        <w:rPr>
          <w:rFonts w:ascii="宋体" w:hAnsi="宋体" w:cs="宋体"/>
          <w:highlight w:val="none"/>
        </w:rPr>
      </w:pPr>
      <w:r>
        <w:rPr>
          <w:rFonts w:hint="eastAsia" w:ascii="宋体" w:hAnsi="宋体" w:cs="宋体"/>
          <w:kern w:val="0"/>
          <w:highlight w:val="none"/>
        </w:rPr>
        <w:t>不同弯曲半径的弯管各抽查10根，弯管的椭圆度应符合JB/T 1611—1993的规定，见表9，压缩面不应有明显的皱褶。</w:t>
      </w:r>
    </w:p>
    <w:p w14:paraId="02C4334E">
      <w:pPr>
        <w:widowControl/>
        <w:snapToGrid w:val="0"/>
        <w:spacing w:line="360" w:lineRule="auto"/>
        <w:jc w:val="center"/>
        <w:rPr>
          <w:rFonts w:ascii="宋体" w:hAnsi="宋体" w:cs="宋体"/>
          <w:kern w:val="0"/>
          <w:highlight w:val="none"/>
        </w:rPr>
      </w:pPr>
      <w:r>
        <w:rPr>
          <w:rFonts w:hint="eastAsia" w:ascii="宋体" w:hAnsi="宋体" w:cs="宋体"/>
          <w:kern w:val="0"/>
          <w:highlight w:val="none"/>
        </w:rPr>
        <w:t>表9</w:t>
      </w:r>
    </w:p>
    <w:tbl>
      <w:tblPr>
        <w:tblStyle w:val="25"/>
        <w:tblW w:w="8505" w:type="dxa"/>
        <w:jc w:val="center"/>
        <w:tblLayout w:type="autofit"/>
        <w:tblCellMar>
          <w:top w:w="0" w:type="dxa"/>
          <w:left w:w="0" w:type="dxa"/>
          <w:bottom w:w="0" w:type="dxa"/>
          <w:right w:w="0" w:type="dxa"/>
        </w:tblCellMar>
      </w:tblPr>
      <w:tblGrid>
        <w:gridCol w:w="2554"/>
        <w:gridCol w:w="2979"/>
        <w:gridCol w:w="2972"/>
      </w:tblGrid>
      <w:tr w14:paraId="587E7A65">
        <w:tblPrEx>
          <w:tblCellMar>
            <w:top w:w="0" w:type="dxa"/>
            <w:left w:w="0" w:type="dxa"/>
            <w:bottom w:w="0" w:type="dxa"/>
            <w:right w:w="0" w:type="dxa"/>
          </w:tblCellMar>
        </w:tblPrEx>
        <w:trPr>
          <w:jc w:val="center"/>
        </w:trPr>
        <w:tc>
          <w:tcPr>
            <w:tcW w:w="1501" w:type="pct"/>
            <w:tcBorders>
              <w:top w:val="single" w:color="auto" w:sz="12" w:space="0"/>
              <w:left w:val="single" w:color="auto" w:sz="12" w:space="0"/>
              <w:bottom w:val="single" w:color="auto" w:sz="8" w:space="0"/>
              <w:right w:val="single" w:color="auto" w:sz="8" w:space="0"/>
            </w:tcBorders>
            <w:vAlign w:val="center"/>
          </w:tcPr>
          <w:p w14:paraId="7E616726">
            <w:pPr>
              <w:widowControl/>
              <w:spacing w:line="360" w:lineRule="auto"/>
              <w:jc w:val="center"/>
              <w:rPr>
                <w:rFonts w:ascii="宋体" w:hAnsi="宋体" w:cs="宋体"/>
                <w:kern w:val="0"/>
                <w:highlight w:val="none"/>
              </w:rPr>
            </w:pPr>
            <w:r>
              <w:rPr>
                <w:rFonts w:hint="eastAsia" w:ascii="宋体" w:hAnsi="宋体" w:cs="宋体"/>
                <w:kern w:val="0"/>
                <w:highlight w:val="none"/>
              </w:rPr>
              <w:t>R/D</w:t>
            </w:r>
          </w:p>
        </w:tc>
        <w:tc>
          <w:tcPr>
            <w:tcW w:w="1751" w:type="pct"/>
            <w:tcBorders>
              <w:top w:val="single" w:color="auto" w:sz="12" w:space="0"/>
              <w:left w:val="nil"/>
              <w:bottom w:val="single" w:color="auto" w:sz="8" w:space="0"/>
              <w:right w:val="single" w:color="auto" w:sz="8" w:space="0"/>
            </w:tcBorders>
            <w:vAlign w:val="center"/>
          </w:tcPr>
          <w:p w14:paraId="509F1A46">
            <w:pPr>
              <w:widowControl/>
              <w:spacing w:line="360" w:lineRule="auto"/>
              <w:jc w:val="center"/>
              <w:rPr>
                <w:rFonts w:ascii="宋体" w:hAnsi="宋体" w:cs="宋体"/>
                <w:kern w:val="0"/>
                <w:highlight w:val="none"/>
              </w:rPr>
            </w:pPr>
            <w:r>
              <w:rPr>
                <w:rFonts w:hint="eastAsia" w:ascii="宋体" w:hAnsi="宋体" w:cs="宋体"/>
                <w:kern w:val="0"/>
                <w:highlight w:val="none"/>
              </w:rPr>
              <w:t>1.4＜R/D＜2.5</w:t>
            </w:r>
          </w:p>
        </w:tc>
        <w:tc>
          <w:tcPr>
            <w:tcW w:w="1747" w:type="pct"/>
            <w:tcBorders>
              <w:top w:val="single" w:color="auto" w:sz="12" w:space="0"/>
              <w:left w:val="nil"/>
              <w:bottom w:val="single" w:color="auto" w:sz="8" w:space="0"/>
              <w:right w:val="single" w:color="auto" w:sz="12" w:space="0"/>
            </w:tcBorders>
            <w:vAlign w:val="center"/>
          </w:tcPr>
          <w:p w14:paraId="6B836305">
            <w:pPr>
              <w:widowControl/>
              <w:spacing w:line="360" w:lineRule="auto"/>
              <w:jc w:val="center"/>
              <w:rPr>
                <w:rFonts w:ascii="宋体" w:hAnsi="宋体" w:cs="宋体"/>
                <w:kern w:val="0"/>
                <w:highlight w:val="none"/>
              </w:rPr>
            </w:pPr>
            <w:r>
              <w:rPr>
                <w:rFonts w:hint="eastAsia" w:ascii="宋体" w:hAnsi="宋体" w:cs="宋体"/>
                <w:kern w:val="0"/>
                <w:highlight w:val="none"/>
              </w:rPr>
              <w:t>≥2.5</w:t>
            </w:r>
          </w:p>
        </w:tc>
      </w:tr>
      <w:tr w14:paraId="2B2DC391">
        <w:tblPrEx>
          <w:tblCellMar>
            <w:top w:w="0" w:type="dxa"/>
            <w:left w:w="0" w:type="dxa"/>
            <w:bottom w:w="0" w:type="dxa"/>
            <w:right w:w="0" w:type="dxa"/>
          </w:tblCellMar>
        </w:tblPrEx>
        <w:trPr>
          <w:jc w:val="center"/>
        </w:trPr>
        <w:tc>
          <w:tcPr>
            <w:tcW w:w="1501" w:type="pct"/>
            <w:tcBorders>
              <w:top w:val="nil"/>
              <w:left w:val="single" w:color="auto" w:sz="12" w:space="0"/>
              <w:bottom w:val="single" w:color="auto" w:sz="12" w:space="0"/>
              <w:right w:val="single" w:color="auto" w:sz="8" w:space="0"/>
            </w:tcBorders>
            <w:vAlign w:val="center"/>
          </w:tcPr>
          <w:p w14:paraId="70B19C9D">
            <w:pPr>
              <w:widowControl/>
              <w:spacing w:line="360" w:lineRule="auto"/>
              <w:jc w:val="center"/>
              <w:rPr>
                <w:rFonts w:ascii="宋体" w:hAnsi="宋体" w:cs="宋体"/>
                <w:kern w:val="0"/>
                <w:highlight w:val="none"/>
              </w:rPr>
            </w:pPr>
            <w:r>
              <w:rPr>
                <w:rFonts w:hint="eastAsia" w:ascii="宋体" w:hAnsi="宋体" w:cs="宋体"/>
                <w:kern w:val="0"/>
                <w:highlight w:val="none"/>
              </w:rPr>
              <w:t>a　％</w:t>
            </w:r>
          </w:p>
        </w:tc>
        <w:tc>
          <w:tcPr>
            <w:tcW w:w="1751" w:type="pct"/>
            <w:tcBorders>
              <w:top w:val="nil"/>
              <w:left w:val="nil"/>
              <w:bottom w:val="single" w:color="auto" w:sz="12" w:space="0"/>
              <w:right w:val="single" w:color="auto" w:sz="8" w:space="0"/>
            </w:tcBorders>
            <w:vAlign w:val="center"/>
          </w:tcPr>
          <w:p w14:paraId="30314F0E">
            <w:pPr>
              <w:widowControl/>
              <w:spacing w:line="360" w:lineRule="auto"/>
              <w:jc w:val="center"/>
              <w:rPr>
                <w:rFonts w:ascii="宋体" w:hAnsi="宋体" w:cs="宋体"/>
                <w:kern w:val="0"/>
                <w:highlight w:val="none"/>
              </w:rPr>
            </w:pPr>
            <w:r>
              <w:rPr>
                <w:rFonts w:hint="eastAsia" w:ascii="宋体" w:hAnsi="宋体" w:cs="宋体"/>
                <w:kern w:val="0"/>
                <w:highlight w:val="none"/>
              </w:rPr>
              <w:t>≤12</w:t>
            </w:r>
          </w:p>
        </w:tc>
        <w:tc>
          <w:tcPr>
            <w:tcW w:w="1747" w:type="pct"/>
            <w:tcBorders>
              <w:top w:val="nil"/>
              <w:left w:val="nil"/>
              <w:bottom w:val="single" w:color="auto" w:sz="12" w:space="0"/>
              <w:right w:val="single" w:color="auto" w:sz="12" w:space="0"/>
            </w:tcBorders>
            <w:vAlign w:val="center"/>
          </w:tcPr>
          <w:p w14:paraId="769DF614">
            <w:pPr>
              <w:widowControl/>
              <w:spacing w:line="360" w:lineRule="auto"/>
              <w:jc w:val="center"/>
              <w:rPr>
                <w:rFonts w:ascii="宋体" w:hAnsi="宋体" w:cs="宋体"/>
                <w:kern w:val="0"/>
                <w:highlight w:val="none"/>
              </w:rPr>
            </w:pPr>
            <w:r>
              <w:rPr>
                <w:rFonts w:hint="eastAsia" w:ascii="宋体" w:hAnsi="宋体" w:cs="宋体"/>
                <w:kern w:val="0"/>
                <w:highlight w:val="none"/>
              </w:rPr>
              <w:t>≤10</w:t>
            </w:r>
          </w:p>
        </w:tc>
      </w:tr>
    </w:tbl>
    <w:p w14:paraId="4351E3B4">
      <w:pPr>
        <w:widowControl/>
        <w:snapToGrid w:val="0"/>
        <w:spacing w:line="360" w:lineRule="auto"/>
        <w:ind w:firstLine="422"/>
        <w:rPr>
          <w:rFonts w:ascii="宋体" w:hAnsi="宋体" w:cs="宋体"/>
          <w:kern w:val="0"/>
          <w:highlight w:val="none"/>
        </w:rPr>
      </w:pPr>
      <w:r>
        <w:rPr>
          <w:rFonts w:hint="eastAsia" w:ascii="宋体" w:hAnsi="宋体" w:cs="宋体"/>
          <w:kern w:val="0"/>
          <w:highlight w:val="none"/>
        </w:rPr>
        <w:t>注：R为弯管半径，mm。</w:t>
      </w:r>
    </w:p>
    <w:p w14:paraId="386A0CBC">
      <w:pPr>
        <w:widowControl/>
        <w:snapToGrid w:val="0"/>
        <w:spacing w:line="360" w:lineRule="auto"/>
        <w:rPr>
          <w:rFonts w:ascii="宋体" w:hAnsi="宋体" w:cs="宋体"/>
          <w:kern w:val="0"/>
          <w:highlight w:val="none"/>
        </w:rPr>
      </w:pPr>
      <w:r>
        <w:rPr>
          <w:rFonts w:hint="eastAsia" w:ascii="宋体" w:hAnsi="宋体" w:cs="宋体"/>
          <w:spacing w:val="6"/>
          <w:kern w:val="4"/>
          <w:highlight w:val="none"/>
        </w:rPr>
        <w:t xml:space="preserve">4.7.3 </w:t>
      </w:r>
      <w:r>
        <w:rPr>
          <w:rFonts w:hint="eastAsia" w:ascii="宋体" w:hAnsi="宋体" w:cs="宋体"/>
          <w:kern w:val="0"/>
          <w:highlight w:val="none"/>
        </w:rPr>
        <w:t>弯管外弧侧的最小壁厚减薄率b［b＝（So－Smin）/So］应满足表10，且不应小于按GB/T 9222—2008计算的管子最小需要壁厚；So、Smin分别为管子的实际壁厚和弯头上壁厚减薄最大处的壁厚。</w:t>
      </w:r>
    </w:p>
    <w:p w14:paraId="14098A90">
      <w:pPr>
        <w:widowControl/>
        <w:snapToGrid w:val="0"/>
        <w:spacing w:line="360" w:lineRule="auto"/>
        <w:jc w:val="center"/>
        <w:rPr>
          <w:rFonts w:ascii="宋体" w:hAnsi="宋体" w:cs="宋体"/>
          <w:kern w:val="0"/>
          <w:highlight w:val="none"/>
        </w:rPr>
      </w:pPr>
      <w:r>
        <w:rPr>
          <w:rFonts w:hint="eastAsia" w:ascii="宋体" w:hAnsi="宋体" w:cs="宋体"/>
          <w:bCs/>
          <w:kern w:val="0"/>
          <w:highlight w:val="none"/>
        </w:rPr>
        <w:t>表10　弯管外弧侧的最小壁厚减薄率</w:t>
      </w:r>
    </w:p>
    <w:tbl>
      <w:tblPr>
        <w:tblStyle w:val="25"/>
        <w:tblW w:w="8689" w:type="dxa"/>
        <w:jc w:val="center"/>
        <w:tblLayout w:type="autofit"/>
        <w:tblCellMar>
          <w:top w:w="0" w:type="dxa"/>
          <w:left w:w="0" w:type="dxa"/>
          <w:bottom w:w="0" w:type="dxa"/>
          <w:right w:w="0" w:type="dxa"/>
        </w:tblCellMar>
      </w:tblPr>
      <w:tblGrid>
        <w:gridCol w:w="2639"/>
        <w:gridCol w:w="3024"/>
        <w:gridCol w:w="3026"/>
      </w:tblGrid>
      <w:tr w14:paraId="3DD5F771">
        <w:tblPrEx>
          <w:tblCellMar>
            <w:top w:w="0" w:type="dxa"/>
            <w:left w:w="0" w:type="dxa"/>
            <w:bottom w:w="0" w:type="dxa"/>
            <w:right w:w="0" w:type="dxa"/>
          </w:tblCellMar>
        </w:tblPrEx>
        <w:trPr>
          <w:cantSplit/>
          <w:jc w:val="center"/>
        </w:trPr>
        <w:tc>
          <w:tcPr>
            <w:tcW w:w="1519"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9CBF414">
            <w:pPr>
              <w:widowControl/>
              <w:spacing w:line="360" w:lineRule="auto"/>
              <w:jc w:val="center"/>
              <w:rPr>
                <w:rFonts w:ascii="宋体" w:hAnsi="宋体" w:cs="宋体"/>
                <w:kern w:val="0"/>
                <w:highlight w:val="none"/>
              </w:rPr>
            </w:pPr>
            <w:r>
              <w:rPr>
                <w:rFonts w:hint="eastAsia" w:ascii="宋体" w:hAnsi="宋体" w:cs="宋体"/>
                <w:i/>
                <w:iCs/>
                <w:kern w:val="0"/>
                <w:highlight w:val="none"/>
              </w:rPr>
              <w:t>R</w:t>
            </w:r>
            <w:r>
              <w:rPr>
                <w:rFonts w:hint="eastAsia" w:ascii="宋体" w:hAnsi="宋体" w:cs="宋体"/>
                <w:kern w:val="0"/>
                <w:highlight w:val="none"/>
              </w:rPr>
              <w:t>/</w:t>
            </w:r>
            <w:r>
              <w:rPr>
                <w:rFonts w:hint="eastAsia" w:ascii="宋体" w:hAnsi="宋体" w:cs="宋体"/>
                <w:i/>
                <w:iCs/>
                <w:kern w:val="0"/>
                <w:highlight w:val="none"/>
              </w:rPr>
              <w:t>D</w:t>
            </w:r>
          </w:p>
        </w:tc>
        <w:tc>
          <w:tcPr>
            <w:tcW w:w="1740" w:type="pc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B6401B8">
            <w:pPr>
              <w:widowControl/>
              <w:spacing w:line="360" w:lineRule="auto"/>
              <w:jc w:val="center"/>
              <w:rPr>
                <w:rFonts w:ascii="宋体" w:hAnsi="宋体" w:cs="宋体"/>
                <w:kern w:val="0"/>
                <w:highlight w:val="none"/>
              </w:rPr>
            </w:pPr>
            <w:r>
              <w:rPr>
                <w:rFonts w:hint="eastAsia" w:ascii="宋体" w:hAnsi="宋体" w:cs="宋体"/>
                <w:kern w:val="0"/>
                <w:highlight w:val="none"/>
              </w:rPr>
              <w:t>1.8＜</w:t>
            </w:r>
            <w:r>
              <w:rPr>
                <w:rFonts w:hint="eastAsia" w:ascii="宋体" w:hAnsi="宋体" w:cs="宋体"/>
                <w:i/>
                <w:iCs/>
                <w:kern w:val="0"/>
                <w:highlight w:val="none"/>
              </w:rPr>
              <w:t>R</w:t>
            </w:r>
            <w:r>
              <w:rPr>
                <w:rFonts w:hint="eastAsia" w:ascii="宋体" w:hAnsi="宋体" w:cs="宋体"/>
                <w:kern w:val="0"/>
                <w:highlight w:val="none"/>
              </w:rPr>
              <w:t>/</w:t>
            </w:r>
            <w:r>
              <w:rPr>
                <w:rFonts w:hint="eastAsia" w:ascii="宋体" w:hAnsi="宋体" w:cs="宋体"/>
                <w:i/>
                <w:iCs/>
                <w:kern w:val="0"/>
                <w:highlight w:val="none"/>
              </w:rPr>
              <w:t>D</w:t>
            </w:r>
            <w:r>
              <w:rPr>
                <w:rFonts w:hint="eastAsia" w:ascii="宋体" w:hAnsi="宋体" w:cs="宋体"/>
                <w:kern w:val="0"/>
                <w:highlight w:val="none"/>
              </w:rPr>
              <w:t>＜3.5</w:t>
            </w:r>
          </w:p>
        </w:tc>
        <w:tc>
          <w:tcPr>
            <w:tcW w:w="1741" w:type="pc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63B076D">
            <w:pPr>
              <w:widowControl/>
              <w:spacing w:line="360" w:lineRule="auto"/>
              <w:jc w:val="center"/>
              <w:rPr>
                <w:rFonts w:ascii="宋体" w:hAnsi="宋体" w:cs="宋体"/>
                <w:kern w:val="0"/>
                <w:highlight w:val="none"/>
              </w:rPr>
            </w:pPr>
            <w:r>
              <w:rPr>
                <w:rFonts w:hint="eastAsia" w:ascii="宋体" w:hAnsi="宋体" w:cs="宋体"/>
                <w:i/>
                <w:iCs/>
                <w:kern w:val="0"/>
                <w:highlight w:val="none"/>
              </w:rPr>
              <w:t>R</w:t>
            </w:r>
            <w:r>
              <w:rPr>
                <w:rFonts w:hint="eastAsia" w:ascii="宋体" w:hAnsi="宋体" w:cs="宋体"/>
                <w:kern w:val="0"/>
                <w:highlight w:val="none"/>
              </w:rPr>
              <w:t>/</w:t>
            </w:r>
            <w:r>
              <w:rPr>
                <w:rFonts w:hint="eastAsia" w:ascii="宋体" w:hAnsi="宋体" w:cs="宋体"/>
                <w:i/>
                <w:iCs/>
                <w:kern w:val="0"/>
                <w:highlight w:val="none"/>
              </w:rPr>
              <w:t>D</w:t>
            </w:r>
            <w:r>
              <w:rPr>
                <w:rFonts w:hint="eastAsia" w:ascii="宋体" w:hAnsi="宋体" w:cs="宋体"/>
                <w:kern w:val="0"/>
                <w:highlight w:val="none"/>
              </w:rPr>
              <w:t>≥3.5</w:t>
            </w:r>
          </w:p>
        </w:tc>
      </w:tr>
      <w:tr w14:paraId="27309F65">
        <w:tblPrEx>
          <w:tblCellMar>
            <w:top w:w="0" w:type="dxa"/>
            <w:left w:w="0" w:type="dxa"/>
            <w:bottom w:w="0" w:type="dxa"/>
            <w:right w:w="0" w:type="dxa"/>
          </w:tblCellMar>
        </w:tblPrEx>
        <w:trPr>
          <w:cantSplit/>
          <w:jc w:val="center"/>
        </w:trPr>
        <w:tc>
          <w:tcPr>
            <w:tcW w:w="1519"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47DECDD6">
            <w:pPr>
              <w:widowControl/>
              <w:spacing w:line="360" w:lineRule="auto"/>
              <w:jc w:val="center"/>
              <w:rPr>
                <w:rFonts w:ascii="宋体" w:hAnsi="宋体" w:cs="宋体"/>
                <w:kern w:val="0"/>
                <w:highlight w:val="none"/>
              </w:rPr>
            </w:pPr>
            <w:r>
              <w:rPr>
                <w:rFonts w:hint="eastAsia" w:ascii="宋体" w:hAnsi="宋体" w:cs="宋体"/>
                <w:kern w:val="0"/>
                <w:highlight w:val="none"/>
              </w:rPr>
              <w:t>b</w:t>
            </w:r>
          </w:p>
        </w:tc>
        <w:tc>
          <w:tcPr>
            <w:tcW w:w="1740" w:type="pct"/>
            <w:tcBorders>
              <w:top w:val="nil"/>
              <w:left w:val="nil"/>
              <w:bottom w:val="single" w:color="auto" w:sz="8" w:space="0"/>
              <w:right w:val="single" w:color="auto" w:sz="8" w:space="0"/>
            </w:tcBorders>
            <w:tcMar>
              <w:top w:w="0" w:type="dxa"/>
              <w:left w:w="108" w:type="dxa"/>
              <w:bottom w:w="0" w:type="dxa"/>
              <w:right w:w="108" w:type="dxa"/>
            </w:tcMar>
            <w:vAlign w:val="center"/>
          </w:tcPr>
          <w:p w14:paraId="3E4D5B3A">
            <w:pPr>
              <w:widowControl/>
              <w:spacing w:line="360" w:lineRule="auto"/>
              <w:jc w:val="center"/>
              <w:rPr>
                <w:rFonts w:ascii="宋体" w:hAnsi="宋体" w:cs="宋体"/>
                <w:kern w:val="0"/>
                <w:highlight w:val="none"/>
              </w:rPr>
            </w:pPr>
            <w:r>
              <w:rPr>
                <w:rFonts w:hint="eastAsia" w:ascii="宋体" w:hAnsi="宋体" w:cs="宋体"/>
                <w:kern w:val="0"/>
                <w:highlight w:val="none"/>
              </w:rPr>
              <w:t>≤15％</w:t>
            </w:r>
          </w:p>
        </w:tc>
        <w:tc>
          <w:tcPr>
            <w:tcW w:w="1741" w:type="pct"/>
            <w:tcBorders>
              <w:top w:val="nil"/>
              <w:left w:val="nil"/>
              <w:bottom w:val="single" w:color="auto" w:sz="8" w:space="0"/>
              <w:right w:val="single" w:color="auto" w:sz="8" w:space="0"/>
            </w:tcBorders>
            <w:tcMar>
              <w:top w:w="0" w:type="dxa"/>
              <w:left w:w="108" w:type="dxa"/>
              <w:bottom w:w="0" w:type="dxa"/>
              <w:right w:w="108" w:type="dxa"/>
            </w:tcMar>
            <w:vAlign w:val="center"/>
          </w:tcPr>
          <w:p w14:paraId="1F41A0F4">
            <w:pPr>
              <w:widowControl/>
              <w:spacing w:line="360" w:lineRule="auto"/>
              <w:jc w:val="center"/>
              <w:rPr>
                <w:rFonts w:ascii="宋体" w:hAnsi="宋体" w:cs="宋体"/>
                <w:kern w:val="0"/>
                <w:highlight w:val="none"/>
              </w:rPr>
            </w:pPr>
            <w:r>
              <w:rPr>
                <w:rFonts w:hint="eastAsia" w:ascii="宋体" w:hAnsi="宋体" w:cs="宋体"/>
                <w:kern w:val="0"/>
                <w:highlight w:val="none"/>
              </w:rPr>
              <w:t>≤10％</w:t>
            </w:r>
          </w:p>
        </w:tc>
      </w:tr>
      <w:tr w14:paraId="25656850">
        <w:tblPrEx>
          <w:tblCellMar>
            <w:top w:w="0" w:type="dxa"/>
            <w:left w:w="0" w:type="dxa"/>
            <w:bottom w:w="0" w:type="dxa"/>
            <w:right w:w="0" w:type="dxa"/>
          </w:tblCellMar>
        </w:tblPrEx>
        <w:trPr>
          <w:cantSplit/>
          <w:jc w:val="center"/>
        </w:trPr>
        <w:tc>
          <w:tcPr>
            <w:tcW w:w="5000" w:type="pct"/>
            <w:gridSpan w:val="3"/>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33A1AC96">
            <w:pPr>
              <w:widowControl/>
              <w:spacing w:line="360" w:lineRule="auto"/>
              <w:ind w:firstLine="90"/>
              <w:rPr>
                <w:rFonts w:ascii="宋体" w:hAnsi="宋体" w:cs="宋体"/>
                <w:kern w:val="0"/>
                <w:highlight w:val="none"/>
              </w:rPr>
            </w:pPr>
            <w:r>
              <w:rPr>
                <w:rFonts w:hint="eastAsia" w:ascii="宋体" w:hAnsi="宋体" w:cs="宋体"/>
                <w:kern w:val="0"/>
                <w:highlight w:val="none"/>
              </w:rPr>
              <w:t>注：</w:t>
            </w:r>
            <w:r>
              <w:rPr>
                <w:rFonts w:hint="eastAsia" w:ascii="宋体" w:hAnsi="宋体" w:cs="宋体"/>
                <w:i/>
                <w:iCs/>
                <w:kern w:val="0"/>
                <w:highlight w:val="none"/>
              </w:rPr>
              <w:t>R</w:t>
            </w:r>
            <w:r>
              <w:rPr>
                <w:rFonts w:hint="eastAsia" w:ascii="宋体" w:hAnsi="宋体" w:cs="宋体"/>
                <w:kern w:val="0"/>
                <w:highlight w:val="none"/>
              </w:rPr>
              <w:t>、</w:t>
            </w:r>
            <w:r>
              <w:rPr>
                <w:rFonts w:hint="eastAsia" w:ascii="宋体" w:hAnsi="宋体" w:cs="宋体"/>
                <w:i/>
                <w:iCs/>
                <w:kern w:val="0"/>
                <w:highlight w:val="none"/>
              </w:rPr>
              <w:t>D</w:t>
            </w:r>
            <w:r>
              <w:rPr>
                <w:rFonts w:hint="eastAsia" w:ascii="宋体" w:hAnsi="宋体" w:cs="宋体"/>
                <w:kern w:val="0"/>
                <w:highlight w:val="none"/>
              </w:rPr>
              <w:t>分别为管子的弯曲半径和公称直径</w:t>
            </w:r>
          </w:p>
        </w:tc>
      </w:tr>
    </w:tbl>
    <w:p w14:paraId="7F42341B">
      <w:pPr>
        <w:pStyle w:val="14"/>
        <w:ind w:right="-57" w:firstLine="0"/>
        <w:rPr>
          <w:rFonts w:hAnsi="宋体" w:cs="宋体"/>
          <w:color w:val="auto"/>
          <w:spacing w:val="6"/>
          <w:kern w:val="4"/>
          <w:szCs w:val="24"/>
          <w:highlight w:val="none"/>
        </w:rPr>
      </w:pPr>
      <w:r>
        <w:rPr>
          <w:rFonts w:hint="eastAsia" w:hAnsi="宋体" w:cs="宋体"/>
          <w:color w:val="auto"/>
          <w:spacing w:val="6"/>
          <w:kern w:val="4"/>
          <w:szCs w:val="24"/>
          <w:highlight w:val="none"/>
        </w:rPr>
        <w:t>4.7.4水冷壁管屏加工完成后，管屏断面与管中心线的偏斜度，应符合表11规定：</w:t>
      </w:r>
    </w:p>
    <w:p w14:paraId="3C10CF55">
      <w:pPr>
        <w:pStyle w:val="14"/>
        <w:ind w:right="-57" w:firstLine="0"/>
        <w:jc w:val="center"/>
        <w:rPr>
          <w:rFonts w:hAnsi="宋体" w:cs="宋体"/>
          <w:color w:val="auto"/>
          <w:spacing w:val="6"/>
          <w:kern w:val="4"/>
          <w:szCs w:val="24"/>
          <w:highlight w:val="none"/>
        </w:rPr>
      </w:pPr>
      <w:r>
        <w:rPr>
          <w:rFonts w:hint="eastAsia" w:hAnsi="宋体" w:cs="宋体"/>
          <w:color w:val="auto"/>
          <w:spacing w:val="6"/>
          <w:kern w:val="4"/>
          <w:szCs w:val="24"/>
          <w:highlight w:val="none"/>
        </w:rPr>
        <w:t>表11 管屏断面与管中心线允许的的偏斜度</w:t>
      </w:r>
    </w:p>
    <w:tbl>
      <w:tblPr>
        <w:tblStyle w:val="25"/>
        <w:tblW w:w="4971" w:type="pct"/>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3514"/>
        <w:gridCol w:w="5325"/>
      </w:tblGrid>
      <w:tr w14:paraId="5F6459C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1988" w:type="pct"/>
            <w:vAlign w:val="center"/>
          </w:tcPr>
          <w:p w14:paraId="6DAB5107">
            <w:pPr>
              <w:pStyle w:val="14"/>
              <w:ind w:right="-57" w:firstLine="0"/>
              <w:jc w:val="center"/>
              <w:rPr>
                <w:rFonts w:hAnsi="宋体" w:cs="宋体"/>
                <w:color w:val="auto"/>
                <w:spacing w:val="6"/>
                <w:kern w:val="4"/>
                <w:szCs w:val="24"/>
                <w:highlight w:val="none"/>
              </w:rPr>
            </w:pPr>
            <w:r>
              <w:rPr>
                <w:rFonts w:hint="eastAsia" w:hAnsi="宋体" w:cs="宋体"/>
                <w:color w:val="auto"/>
                <w:spacing w:val="6"/>
                <w:kern w:val="4"/>
                <w:szCs w:val="24"/>
                <w:highlight w:val="none"/>
              </w:rPr>
              <w:t>图例</w:t>
            </w:r>
          </w:p>
        </w:tc>
        <w:tc>
          <w:tcPr>
            <w:tcW w:w="3012" w:type="pct"/>
            <w:vAlign w:val="center"/>
          </w:tcPr>
          <w:p w14:paraId="30708B32">
            <w:pPr>
              <w:pStyle w:val="14"/>
              <w:ind w:right="-57" w:firstLine="0"/>
              <w:jc w:val="center"/>
              <w:rPr>
                <w:rFonts w:hAnsi="宋体" w:cs="宋体"/>
                <w:color w:val="auto"/>
                <w:spacing w:val="6"/>
                <w:kern w:val="4"/>
                <w:szCs w:val="24"/>
                <w:highlight w:val="none"/>
              </w:rPr>
            </w:pPr>
            <w:r>
              <w:rPr>
                <w:rFonts w:hint="eastAsia" w:hAnsi="宋体" w:cs="宋体"/>
                <w:color w:val="auto"/>
                <w:spacing w:val="6"/>
                <w:kern w:val="4"/>
                <w:szCs w:val="24"/>
                <w:highlight w:val="none"/>
              </w:rPr>
              <w:t>△f</w:t>
            </w:r>
          </w:p>
        </w:tc>
      </w:tr>
      <w:tr w14:paraId="7023E40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1988" w:type="pct"/>
            <w:vAlign w:val="center"/>
          </w:tcPr>
          <w:p w14:paraId="0D25F162">
            <w:pPr>
              <w:pStyle w:val="14"/>
              <w:ind w:right="-57" w:firstLine="0"/>
              <w:jc w:val="center"/>
              <w:rPr>
                <w:rFonts w:hAnsi="宋体" w:cs="宋体"/>
                <w:color w:val="auto"/>
                <w:spacing w:val="6"/>
                <w:kern w:val="4"/>
                <w:szCs w:val="24"/>
                <w:highlight w:val="none"/>
              </w:rPr>
            </w:pPr>
            <w:r>
              <w:rPr>
                <w:rFonts w:hint="eastAsia" w:hAnsi="宋体" w:cs="宋体"/>
                <w:color w:val="auto"/>
                <w:spacing w:val="6"/>
                <w:kern w:val="4"/>
                <w:szCs w:val="24"/>
                <w:highlight w:val="none"/>
              </w:rPr>
              <w:drawing>
                <wp:inline distT="0" distB="0" distL="0" distR="0">
                  <wp:extent cx="1967865" cy="1068070"/>
                  <wp:effectExtent l="1905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21" cstate="print"/>
                          <a:srcRect l="11986" t="33749" r="57866" b="10001"/>
                          <a:stretch>
                            <a:fillRect/>
                          </a:stretch>
                        </pic:blipFill>
                        <pic:spPr>
                          <a:xfrm>
                            <a:off x="0" y="0"/>
                            <a:ext cx="1967865" cy="1068070"/>
                          </a:xfrm>
                          <a:prstGeom prst="rect">
                            <a:avLst/>
                          </a:prstGeom>
                          <a:noFill/>
                          <a:ln w="9525">
                            <a:noFill/>
                            <a:miter lim="800000"/>
                            <a:headEnd/>
                            <a:tailEnd/>
                          </a:ln>
                        </pic:spPr>
                      </pic:pic>
                    </a:graphicData>
                  </a:graphic>
                </wp:inline>
              </w:drawing>
            </w:r>
          </w:p>
        </w:tc>
        <w:tc>
          <w:tcPr>
            <w:tcW w:w="3012" w:type="pct"/>
            <w:vAlign w:val="center"/>
          </w:tcPr>
          <w:p w14:paraId="4BD75E8B">
            <w:pPr>
              <w:pStyle w:val="14"/>
              <w:ind w:right="-57" w:firstLine="0"/>
              <w:jc w:val="center"/>
              <w:rPr>
                <w:rFonts w:hAnsi="宋体" w:cs="宋体"/>
                <w:color w:val="auto"/>
                <w:spacing w:val="6"/>
                <w:kern w:val="4"/>
                <w:szCs w:val="24"/>
                <w:highlight w:val="none"/>
              </w:rPr>
            </w:pPr>
            <w:r>
              <w:rPr>
                <w:rFonts w:hint="eastAsia" w:hAnsi="宋体" w:cs="宋体"/>
                <w:color w:val="auto"/>
                <w:spacing w:val="6"/>
                <w:kern w:val="4"/>
                <w:szCs w:val="24"/>
                <w:highlight w:val="none"/>
              </w:rPr>
              <w:t>≤1mm/m</w:t>
            </w:r>
          </w:p>
        </w:tc>
      </w:tr>
    </w:tbl>
    <w:p w14:paraId="64E3A6F9">
      <w:pPr>
        <w:spacing w:line="360" w:lineRule="auto"/>
        <w:rPr>
          <w:rFonts w:ascii="宋体" w:hAnsi="宋体" w:cs="宋体"/>
          <w:highlight w:val="none"/>
        </w:rPr>
      </w:pPr>
      <w:r>
        <w:rPr>
          <w:rFonts w:hint="eastAsia" w:ascii="宋体" w:hAnsi="宋体" w:cs="宋体"/>
          <w:highlight w:val="none"/>
        </w:rPr>
        <w:t>4.7.5 加工后的水冷壁管屏应平整、无变形。</w:t>
      </w:r>
    </w:p>
    <w:p w14:paraId="3F27FE1F">
      <w:pPr>
        <w:spacing w:line="360" w:lineRule="auto"/>
        <w:rPr>
          <w:rFonts w:ascii="宋体" w:hAnsi="宋体" w:cs="宋体"/>
          <w:b/>
          <w:bCs/>
          <w:kern w:val="44"/>
          <w:highlight w:val="none"/>
        </w:rPr>
      </w:pPr>
      <w:bookmarkStart w:id="66" w:name="_Toc192153217"/>
      <w:bookmarkStart w:id="67" w:name="_Toc392056647"/>
      <w:bookmarkStart w:id="68" w:name="_Toc388871168"/>
      <w:r>
        <w:rPr>
          <w:rFonts w:hint="eastAsia" w:ascii="宋体" w:hAnsi="宋体" w:cs="宋体"/>
          <w:b/>
          <w:bCs/>
          <w:kern w:val="44"/>
          <w:highlight w:val="none"/>
        </w:rPr>
        <w:t>4.8. 水冷壁管屏焊接</w:t>
      </w:r>
      <w:bookmarkEnd w:id="66"/>
      <w:r>
        <w:rPr>
          <w:rFonts w:hint="eastAsia" w:ascii="宋体" w:hAnsi="宋体" w:cs="宋体"/>
          <w:b/>
          <w:bCs/>
          <w:kern w:val="44"/>
          <w:highlight w:val="none"/>
        </w:rPr>
        <w:t>技术要求</w:t>
      </w:r>
      <w:bookmarkEnd w:id="67"/>
      <w:bookmarkEnd w:id="68"/>
    </w:p>
    <w:p w14:paraId="77A1045D">
      <w:pPr>
        <w:spacing w:line="360" w:lineRule="auto"/>
        <w:rPr>
          <w:rFonts w:ascii="宋体" w:hAnsi="宋体" w:cs="宋体"/>
          <w:highlight w:val="none"/>
        </w:rPr>
      </w:pPr>
      <w:r>
        <w:rPr>
          <w:rFonts w:hint="eastAsia" w:ascii="宋体" w:hAnsi="宋体" w:cs="宋体"/>
          <w:highlight w:val="none"/>
        </w:rPr>
        <w:t>4.8.1 内螺纹管在制造管屏过程中的焊接，由具有相应资质的焊工担任。</w:t>
      </w:r>
    </w:p>
    <w:p w14:paraId="6B88A7F2">
      <w:pPr>
        <w:spacing w:line="360" w:lineRule="auto"/>
        <w:rPr>
          <w:rFonts w:ascii="宋体" w:hAnsi="宋体" w:cs="宋体"/>
          <w:highlight w:val="none"/>
        </w:rPr>
      </w:pPr>
      <w:r>
        <w:rPr>
          <w:rFonts w:hint="eastAsia" w:ascii="宋体" w:hAnsi="宋体" w:cs="宋体"/>
          <w:highlight w:val="none"/>
        </w:rPr>
        <w:t>4.8.2 焊前应按DL/T 868的规定进行焊接工艺评定；焊接材料的选择、焊接工艺、焊后热处理、焊接质量检验及质量评定标准等，应按DL/T 869和DL/T 819执行。</w:t>
      </w:r>
    </w:p>
    <w:p w14:paraId="6E64ADED">
      <w:pPr>
        <w:spacing w:line="360" w:lineRule="auto"/>
        <w:rPr>
          <w:rFonts w:ascii="宋体" w:hAnsi="宋体" w:cs="宋体"/>
          <w:highlight w:val="none"/>
        </w:rPr>
      </w:pPr>
      <w:r>
        <w:rPr>
          <w:rFonts w:hint="eastAsia" w:ascii="宋体" w:hAnsi="宋体" w:cs="宋体"/>
          <w:highlight w:val="none"/>
        </w:rPr>
        <w:t>4.8.3  焊接材料（焊条、焊丝、钨棒、氩气、氧气、乙炔和焊剂）的质量应符合国家标准或相关标准规定的要求，焊条、焊丝等均应有制造厂的质量合格证；焊材过期，应重新送检。</w:t>
      </w:r>
    </w:p>
    <w:p w14:paraId="1CA2AC02">
      <w:pPr>
        <w:spacing w:line="360" w:lineRule="auto"/>
        <w:rPr>
          <w:rFonts w:ascii="宋体" w:hAnsi="宋体" w:cs="宋体"/>
          <w:highlight w:val="none"/>
        </w:rPr>
      </w:pPr>
      <w:r>
        <w:rPr>
          <w:rFonts w:hint="eastAsia" w:ascii="宋体" w:hAnsi="宋体" w:cs="宋体"/>
          <w:highlight w:val="none"/>
        </w:rPr>
        <w:t>4.8.4 焊接材料应设专库储存，并按相关技术要求进行管理，保证库房内湿度和温度符合要求，防止变质锈蚀；焊接材料的保管还应符合相关安全技术规定。</w:t>
      </w:r>
    </w:p>
    <w:p w14:paraId="79769047">
      <w:pPr>
        <w:spacing w:line="360" w:lineRule="auto"/>
        <w:rPr>
          <w:rFonts w:ascii="宋体" w:hAnsi="宋体" w:cs="宋体"/>
          <w:highlight w:val="none"/>
        </w:rPr>
      </w:pPr>
      <w:r>
        <w:rPr>
          <w:rFonts w:hint="eastAsia" w:ascii="宋体" w:hAnsi="宋体" w:cs="宋体"/>
          <w:highlight w:val="none"/>
        </w:rPr>
        <w:t>4.8.5 水冷壁管屏不合格焊缝的处理原则，应按DL/T 869执行。</w:t>
      </w:r>
    </w:p>
    <w:p w14:paraId="763EB5D3">
      <w:pPr>
        <w:spacing w:line="360" w:lineRule="auto"/>
        <w:rPr>
          <w:rFonts w:ascii="宋体" w:hAnsi="宋体" w:cs="宋体"/>
          <w:highlight w:val="none"/>
        </w:rPr>
      </w:pPr>
      <w:r>
        <w:rPr>
          <w:rFonts w:hint="eastAsia" w:ascii="宋体" w:hAnsi="宋体" w:cs="宋体"/>
          <w:highlight w:val="none"/>
        </w:rPr>
        <w:t>4.8.6 投标方应及时对焊接质量和检验技术报告进行监督检查。</w:t>
      </w:r>
    </w:p>
    <w:p w14:paraId="1BC027B2">
      <w:pPr>
        <w:spacing w:line="360" w:lineRule="auto"/>
        <w:rPr>
          <w:rFonts w:ascii="宋体" w:hAnsi="宋体" w:cs="宋体"/>
          <w:highlight w:val="none"/>
        </w:rPr>
      </w:pPr>
      <w:r>
        <w:rPr>
          <w:rFonts w:hint="eastAsia" w:ascii="宋体" w:hAnsi="宋体" w:cs="宋体"/>
          <w:highlight w:val="none"/>
        </w:rPr>
        <w:t>4.8.7 焊接的质量检验程序，检验方法、范围和数量，以及质量验收标准，应按DL/T 869的规定进行。</w:t>
      </w:r>
    </w:p>
    <w:p w14:paraId="4BBE209E">
      <w:pPr>
        <w:spacing w:line="360" w:lineRule="auto"/>
        <w:rPr>
          <w:rFonts w:ascii="宋体" w:hAnsi="宋体" w:cs="宋体"/>
          <w:highlight w:val="none"/>
        </w:rPr>
      </w:pPr>
      <w:r>
        <w:rPr>
          <w:rFonts w:hint="eastAsia" w:ascii="宋体" w:hAnsi="宋体" w:cs="宋体"/>
          <w:highlight w:val="none"/>
        </w:rPr>
        <w:t>4.8.8 水冷壁管屏外观质量检验不合格的焊缝，不允许进行其他项目的检验。</w:t>
      </w:r>
    </w:p>
    <w:p w14:paraId="4D6878E8">
      <w:pPr>
        <w:spacing w:line="360" w:lineRule="auto"/>
        <w:rPr>
          <w:rFonts w:ascii="宋体" w:hAnsi="宋体" w:cs="宋体"/>
          <w:highlight w:val="none"/>
        </w:rPr>
      </w:pPr>
      <w:r>
        <w:rPr>
          <w:rFonts w:hint="eastAsia" w:ascii="宋体" w:hAnsi="宋体" w:cs="宋体"/>
          <w:highlight w:val="none"/>
        </w:rPr>
        <w:t>4.8.9 管屏交货前，投标方应向招标方提供完整的技术报告。</w:t>
      </w:r>
    </w:p>
    <w:p w14:paraId="40FD0D93">
      <w:pPr>
        <w:spacing w:line="360" w:lineRule="auto"/>
        <w:rPr>
          <w:rFonts w:ascii="宋体" w:hAnsi="宋体" w:cs="宋体"/>
          <w:b/>
          <w:bCs/>
          <w:kern w:val="44"/>
          <w:highlight w:val="none"/>
        </w:rPr>
      </w:pPr>
      <w:bookmarkStart w:id="69" w:name="_Toc388871169"/>
      <w:bookmarkStart w:id="70" w:name="_Toc392056648"/>
      <w:r>
        <w:rPr>
          <w:rFonts w:hint="eastAsia" w:ascii="宋体" w:hAnsi="宋体" w:cs="宋体"/>
          <w:b/>
          <w:bCs/>
          <w:kern w:val="44"/>
          <w:highlight w:val="none"/>
        </w:rPr>
        <w:t>4.9. 水冷壁管屏制造检验</w:t>
      </w:r>
      <w:bookmarkEnd w:id="69"/>
      <w:bookmarkEnd w:id="70"/>
    </w:p>
    <w:p w14:paraId="1A95BFD6">
      <w:pPr>
        <w:spacing w:line="360" w:lineRule="auto"/>
        <w:rPr>
          <w:rFonts w:ascii="宋体" w:hAnsi="宋体" w:cs="宋体"/>
          <w:highlight w:val="none"/>
        </w:rPr>
      </w:pPr>
      <w:r>
        <w:rPr>
          <w:rFonts w:hint="eastAsia" w:ascii="宋体" w:hAnsi="宋体" w:cs="宋体"/>
          <w:highlight w:val="none"/>
        </w:rPr>
        <w:t>4.9.1 各中部水冷壁散管管屏，应根据GB5310或相应的技术标准，对管材质量进行检验监督。主要检验管子供应商的质量保证书和材料复检记录或报告。报告中应包括：</w:t>
      </w:r>
    </w:p>
    <w:p w14:paraId="72254045">
      <w:pPr>
        <w:spacing w:line="360" w:lineRule="auto"/>
        <w:rPr>
          <w:rFonts w:ascii="宋体" w:hAnsi="宋体" w:cs="宋体"/>
          <w:highlight w:val="none"/>
        </w:rPr>
      </w:pPr>
      <w:r>
        <w:rPr>
          <w:rFonts w:hint="eastAsia" w:ascii="宋体" w:hAnsi="宋体" w:cs="宋体"/>
          <w:highlight w:val="none"/>
        </w:rPr>
        <w:t>（1）管材制造商。</w:t>
      </w:r>
    </w:p>
    <w:p w14:paraId="4A759D3F">
      <w:pPr>
        <w:spacing w:line="360" w:lineRule="auto"/>
        <w:rPr>
          <w:rFonts w:ascii="宋体" w:hAnsi="宋体" w:cs="宋体"/>
          <w:highlight w:val="none"/>
        </w:rPr>
      </w:pPr>
      <w:r>
        <w:rPr>
          <w:rFonts w:hint="eastAsia" w:ascii="宋体" w:hAnsi="宋体" w:cs="宋体"/>
          <w:highlight w:val="none"/>
        </w:rPr>
        <w:t>（2）管材的化学成分、低倍检验、金相组织、力学性能、工艺性能和无损探伤结果应符合GB5310中相关条款的规定；管材应符合相应国家的标准及合同规定的技术条件；15CrMoG材料的技术标准见表4、表6。</w:t>
      </w:r>
    </w:p>
    <w:p w14:paraId="0DD58111">
      <w:pPr>
        <w:spacing w:line="360" w:lineRule="auto"/>
        <w:rPr>
          <w:rFonts w:ascii="宋体" w:hAnsi="宋体" w:cs="宋体"/>
          <w:highlight w:val="none"/>
        </w:rPr>
      </w:pPr>
      <w:r>
        <w:rPr>
          <w:rFonts w:hint="eastAsia" w:ascii="宋体" w:hAnsi="宋体" w:cs="宋体"/>
          <w:highlight w:val="none"/>
        </w:rPr>
        <w:t>（3）管子表面不允许有裂纹、折叠、轧折、结疤、离层、撞伤、压扁及较严重腐蚀等缺陷，视情况对缺陷管进行处理（打磨或更换）；处理后缺陷处的实际壁厚不得小于壁厚偏差所允许的最小值且不应小于按GB/T 9222计算的管子的最小需要壁厚。</w:t>
      </w:r>
    </w:p>
    <w:p w14:paraId="688D7EB0">
      <w:pPr>
        <w:spacing w:line="360" w:lineRule="auto"/>
        <w:rPr>
          <w:rFonts w:ascii="宋体" w:hAnsi="宋体" w:cs="宋体"/>
          <w:highlight w:val="none"/>
        </w:rPr>
      </w:pPr>
      <w:r>
        <w:rPr>
          <w:rFonts w:hint="eastAsia" w:ascii="宋体" w:hAnsi="宋体" w:cs="宋体"/>
          <w:highlight w:val="none"/>
        </w:rPr>
        <w:t>4.9.2 水冷壁管屏的鳍片焊缝，投标方提供无损探伤方法及检测数量供招标方确认。</w:t>
      </w:r>
    </w:p>
    <w:p w14:paraId="5334E5D5">
      <w:pPr>
        <w:spacing w:line="360" w:lineRule="auto"/>
        <w:rPr>
          <w:rFonts w:ascii="宋体" w:hAnsi="宋体" w:cs="宋体"/>
          <w:spacing w:val="6"/>
          <w:kern w:val="4"/>
          <w:highlight w:val="none"/>
        </w:rPr>
      </w:pPr>
      <w:r>
        <w:rPr>
          <w:rFonts w:hint="eastAsia" w:ascii="宋体" w:hAnsi="宋体" w:cs="宋体"/>
          <w:highlight w:val="none"/>
        </w:rPr>
        <w:t xml:space="preserve">4.9.3 </w:t>
      </w:r>
      <w:r>
        <w:rPr>
          <w:rFonts w:hint="eastAsia" w:ascii="宋体" w:hAnsi="宋体" w:cs="宋体"/>
          <w:spacing w:val="6"/>
          <w:kern w:val="4"/>
          <w:highlight w:val="none"/>
        </w:rPr>
        <w:t>管内清洁度</w:t>
      </w:r>
    </w:p>
    <w:p w14:paraId="62F0EF66">
      <w:pPr>
        <w:pStyle w:val="14"/>
        <w:ind w:right="-57"/>
        <w:rPr>
          <w:rFonts w:hAnsi="宋体" w:cs="宋体"/>
          <w:color w:val="auto"/>
          <w:szCs w:val="24"/>
          <w:highlight w:val="none"/>
        </w:rPr>
      </w:pPr>
      <w:r>
        <w:rPr>
          <w:rFonts w:hint="eastAsia" w:hAnsi="宋体" w:cs="宋体"/>
          <w:color w:val="auto"/>
          <w:szCs w:val="24"/>
          <w:highlight w:val="none"/>
        </w:rPr>
        <w:t>投标方在制造水冷壁管屏过程中，严格控制管内清洁度，严禁加工坡口等过程中产生的铁刨花、铁屑等进入管内，内螺纹管制造管屏前应进行通球试验，加工后的管屏经压缩空气吹扫。</w:t>
      </w:r>
    </w:p>
    <w:p w14:paraId="2E5EEAE4">
      <w:pPr>
        <w:pStyle w:val="14"/>
        <w:ind w:right="-57" w:firstLine="0"/>
        <w:rPr>
          <w:rFonts w:hAnsi="宋体" w:cs="宋体"/>
          <w:color w:val="auto"/>
          <w:spacing w:val="6"/>
          <w:kern w:val="4"/>
          <w:szCs w:val="24"/>
          <w:highlight w:val="none"/>
        </w:rPr>
      </w:pPr>
      <w:r>
        <w:rPr>
          <w:rFonts w:hint="eastAsia" w:hAnsi="宋体" w:cs="宋体"/>
          <w:color w:val="auto"/>
          <w:spacing w:val="6"/>
          <w:kern w:val="4"/>
          <w:szCs w:val="24"/>
          <w:highlight w:val="none"/>
        </w:rPr>
        <w:t>4.9.4水压试验</w:t>
      </w:r>
    </w:p>
    <w:p w14:paraId="235C3275">
      <w:pPr>
        <w:pStyle w:val="14"/>
        <w:ind w:right="-57" w:firstLine="0"/>
        <w:rPr>
          <w:rFonts w:hAnsi="宋体" w:cs="宋体"/>
          <w:color w:val="auto"/>
          <w:spacing w:val="6"/>
          <w:kern w:val="4"/>
          <w:szCs w:val="24"/>
          <w:highlight w:val="none"/>
        </w:rPr>
      </w:pPr>
      <w:r>
        <w:rPr>
          <w:rFonts w:hint="eastAsia" w:hAnsi="宋体" w:cs="宋体"/>
          <w:color w:val="auto"/>
          <w:spacing w:val="6"/>
          <w:kern w:val="4"/>
          <w:szCs w:val="24"/>
          <w:highlight w:val="none"/>
        </w:rPr>
        <w:t>（1）本技术规范书范围内的所有水冷壁管屏制造完成后，投标方必须全部进行水压试验。水压试验压力 P=50.55MPa，水压持续时间不少于20分钟，水温不低于15℃。水压试验完成后，管内积水应及时清除干净，并进行烘干处理，之后用胶塞对管口两端进行封堵。</w:t>
      </w:r>
    </w:p>
    <w:p w14:paraId="3C8575D1">
      <w:pPr>
        <w:pStyle w:val="14"/>
        <w:ind w:right="-57" w:firstLine="0"/>
        <w:rPr>
          <w:rFonts w:hAnsi="宋体" w:cs="宋体"/>
          <w:color w:val="auto"/>
          <w:spacing w:val="6"/>
          <w:kern w:val="4"/>
          <w:szCs w:val="24"/>
          <w:highlight w:val="none"/>
        </w:rPr>
      </w:pPr>
      <w:r>
        <w:rPr>
          <w:rFonts w:hint="eastAsia" w:hAnsi="宋体" w:cs="宋体"/>
          <w:color w:val="auto"/>
          <w:spacing w:val="6"/>
          <w:kern w:val="4"/>
          <w:szCs w:val="24"/>
          <w:highlight w:val="none"/>
        </w:rPr>
        <w:t>（2）水冷壁管屏经水压试验后，需满足如下要求：受压元件金属壁和焊缝没有任何水珠和水雾的漏泄痕迹；受压元件没有明显的残余变形。</w:t>
      </w:r>
    </w:p>
    <w:p w14:paraId="2DFA1312">
      <w:pPr>
        <w:spacing w:line="360" w:lineRule="auto"/>
        <w:rPr>
          <w:rFonts w:ascii="宋体" w:hAnsi="宋体" w:cs="宋体"/>
          <w:highlight w:val="none"/>
        </w:rPr>
      </w:pPr>
      <w:r>
        <w:rPr>
          <w:rFonts w:hint="eastAsia" w:ascii="宋体" w:hAnsi="宋体" w:cs="宋体"/>
          <w:highlight w:val="none"/>
        </w:rPr>
        <w:t>4.9.5水冷壁管屏出厂前，应进行以下检验：</w:t>
      </w:r>
    </w:p>
    <w:p w14:paraId="7C0015FC">
      <w:pPr>
        <w:spacing w:line="360" w:lineRule="auto"/>
        <w:rPr>
          <w:rFonts w:ascii="宋体" w:hAnsi="宋体" w:cs="宋体"/>
          <w:highlight w:val="none"/>
        </w:rPr>
      </w:pPr>
      <w:r>
        <w:rPr>
          <w:rFonts w:hint="eastAsia" w:ascii="宋体" w:hAnsi="宋体" w:cs="宋体"/>
          <w:highlight w:val="none"/>
        </w:rPr>
        <w:t>（1）水冷壁管屏出厂前，内部不得有杂物、积水及锈蚀；管接头、管口应密封。</w:t>
      </w:r>
    </w:p>
    <w:p w14:paraId="7F3E1F65">
      <w:pPr>
        <w:spacing w:line="360" w:lineRule="auto"/>
        <w:rPr>
          <w:rFonts w:ascii="宋体" w:hAnsi="宋体" w:cs="宋体"/>
          <w:highlight w:val="none"/>
        </w:rPr>
      </w:pPr>
      <w:r>
        <w:rPr>
          <w:rFonts w:hint="eastAsia" w:ascii="宋体" w:hAnsi="宋体" w:cs="宋体"/>
          <w:highlight w:val="none"/>
        </w:rPr>
        <w:t>（2）管排平整，部件外形尺寸符合图纸要求，吊卡结构、密封部件质量良好；</w:t>
      </w:r>
    </w:p>
    <w:p w14:paraId="558FBF73">
      <w:pPr>
        <w:spacing w:line="360" w:lineRule="auto"/>
        <w:rPr>
          <w:rFonts w:ascii="宋体" w:hAnsi="宋体" w:cs="宋体"/>
          <w:highlight w:val="none"/>
        </w:rPr>
      </w:pPr>
      <w:r>
        <w:rPr>
          <w:rFonts w:hint="eastAsia" w:ascii="宋体" w:hAnsi="宋体" w:cs="宋体"/>
          <w:highlight w:val="none"/>
        </w:rPr>
        <w:t>（3）水冷壁管屏的鳍片焊缝应无裂纹、漏焊，管子与鳍片的连接焊缝咬边深度不得大于0.5mm，且连续长度不大于100mm。</w:t>
      </w:r>
    </w:p>
    <w:p w14:paraId="7EE2F077">
      <w:pPr>
        <w:spacing w:line="360" w:lineRule="auto"/>
        <w:rPr>
          <w:rFonts w:ascii="宋体" w:hAnsi="宋体" w:cs="宋体"/>
          <w:highlight w:val="none"/>
        </w:rPr>
      </w:pPr>
      <w:r>
        <w:rPr>
          <w:rFonts w:hint="eastAsia" w:ascii="宋体" w:hAnsi="宋体" w:cs="宋体"/>
          <w:highlight w:val="none"/>
        </w:rPr>
        <w:t>（4）随机抽查水冷壁管屏管子的外径和壁厚，抽查根数不小于总根数的5%，每根两点，应符合图纸尺寸要求，壁厚负偏差在允许范围内。</w:t>
      </w:r>
    </w:p>
    <w:p w14:paraId="6AC261DC">
      <w:pPr>
        <w:spacing w:line="360" w:lineRule="auto"/>
        <w:rPr>
          <w:rFonts w:ascii="宋体" w:hAnsi="宋体" w:cs="宋体"/>
          <w:highlight w:val="none"/>
        </w:rPr>
      </w:pPr>
      <w:r>
        <w:rPr>
          <w:rFonts w:hint="eastAsia" w:ascii="宋体" w:hAnsi="宋体" w:cs="宋体"/>
          <w:highlight w:val="none"/>
        </w:rPr>
        <w:t>（5）对合金钢管及鳍片焊缝按10％进行光谱抽查，应符合相关材料技术条件。</w:t>
      </w:r>
    </w:p>
    <w:p w14:paraId="0F8115A3">
      <w:pPr>
        <w:spacing w:line="360" w:lineRule="auto"/>
        <w:rPr>
          <w:rFonts w:ascii="宋体" w:hAnsi="宋体" w:cs="宋体"/>
          <w:highlight w:val="none"/>
        </w:rPr>
      </w:pPr>
      <w:r>
        <w:rPr>
          <w:rFonts w:hint="eastAsia" w:ascii="宋体" w:hAnsi="宋体" w:cs="宋体"/>
          <w:highlight w:val="none"/>
        </w:rPr>
        <w:t>（6）抽查合金钢管及其鳍片焊缝硬度。抽查根数不小于总根数的5%，每根管子的焊缝母材各抽查1组；若出现硬度异常，应进行金相组织检验。</w:t>
      </w:r>
    </w:p>
    <w:p w14:paraId="5C990ED5">
      <w:pPr>
        <w:spacing w:line="360" w:lineRule="auto"/>
        <w:rPr>
          <w:rFonts w:ascii="宋体" w:hAnsi="宋体" w:cs="宋体"/>
          <w:highlight w:val="none"/>
        </w:rPr>
      </w:pPr>
      <w:r>
        <w:rPr>
          <w:rFonts w:hint="eastAsia" w:ascii="宋体" w:hAnsi="宋体" w:cs="宋体"/>
          <w:highlight w:val="none"/>
        </w:rPr>
        <w:t>（7）用内窥镜对水冷壁管屏内部进行检查，是否存在异物或加工遗留物。</w:t>
      </w:r>
    </w:p>
    <w:p w14:paraId="0B04AFBA">
      <w:pPr>
        <w:spacing w:line="360" w:lineRule="auto"/>
        <w:rPr>
          <w:rFonts w:ascii="宋体" w:hAnsi="宋体" w:cs="宋体"/>
          <w:highlight w:val="none"/>
        </w:rPr>
      </w:pPr>
      <w:r>
        <w:rPr>
          <w:rFonts w:hint="eastAsia" w:ascii="宋体" w:hAnsi="宋体" w:cs="宋体"/>
          <w:highlight w:val="none"/>
        </w:rPr>
        <w:t>（8）投标方应提供以下技术资料，内容应符合国家标准、行业标准。</w:t>
      </w:r>
    </w:p>
    <w:p w14:paraId="07CBF1D5">
      <w:pPr>
        <w:spacing w:line="500" w:lineRule="exact"/>
        <w:ind w:firstLine="480" w:firstLineChars="200"/>
        <w:rPr>
          <w:szCs w:val="20"/>
          <w:highlight w:val="none"/>
        </w:rPr>
      </w:pPr>
      <w:r>
        <w:rPr>
          <w:rFonts w:hint="eastAsia" w:ascii="宋体" w:hAnsi="宋体" w:cs="宋体"/>
          <w:highlight w:val="none"/>
        </w:rPr>
        <w:t>各水冷壁管屏的制造图纸、强度计算书、设计修改资料、</w:t>
      </w:r>
      <w:r>
        <w:rPr>
          <w:rFonts w:hint="eastAsia" w:ascii="宋体" w:hAnsi="宋体" w:cs="宋体"/>
          <w:spacing w:val="6"/>
          <w:kern w:val="4"/>
          <w:highlight w:val="none"/>
        </w:rPr>
        <w:t>材料复检记录或报告、制作工艺、焊接及热处理工艺、焊缝的无损探伤、焊缝返修、通球检验及水压试验记录等</w:t>
      </w:r>
      <w:r>
        <w:rPr>
          <w:rFonts w:hint="eastAsia" w:ascii="宋体" w:hAnsi="宋体" w:cs="宋体"/>
          <w:highlight w:val="none"/>
        </w:rPr>
        <w:t>。</w:t>
      </w:r>
    </w:p>
    <w:p w14:paraId="6F3E2A26">
      <w:pPr>
        <w:spacing w:line="500" w:lineRule="exact"/>
        <w:rPr>
          <w:b/>
          <w:highlight w:val="none"/>
        </w:rPr>
      </w:pPr>
      <w:r>
        <w:rPr>
          <w:rFonts w:hint="eastAsia"/>
          <w:b/>
          <w:highlight w:val="none"/>
        </w:rPr>
        <w:t>4</w:t>
      </w:r>
      <w:r>
        <w:rPr>
          <w:b/>
          <w:highlight w:val="none"/>
        </w:rPr>
        <w:t>.</w:t>
      </w:r>
      <w:r>
        <w:rPr>
          <w:rFonts w:hint="eastAsia"/>
          <w:b/>
          <w:highlight w:val="none"/>
        </w:rPr>
        <w:t>10</w:t>
      </w:r>
      <w:r>
        <w:rPr>
          <w:b/>
          <w:highlight w:val="none"/>
        </w:rPr>
        <w:t>其他要求</w:t>
      </w:r>
    </w:p>
    <w:p w14:paraId="447ECBBB">
      <w:pPr>
        <w:spacing w:line="500" w:lineRule="exact"/>
        <w:rPr>
          <w:highlight w:val="none"/>
        </w:rPr>
      </w:pPr>
      <w:r>
        <w:rPr>
          <w:rFonts w:hint="eastAsia"/>
          <w:highlight w:val="none"/>
        </w:rPr>
        <w:t>4.10.1</w:t>
      </w:r>
      <w:r>
        <w:rPr>
          <w:highlight w:val="none"/>
        </w:rPr>
        <w:t>投标方应提供需要更换的零部件的名称及清单。</w:t>
      </w:r>
    </w:p>
    <w:p w14:paraId="3075E576">
      <w:pPr>
        <w:spacing w:line="500" w:lineRule="exact"/>
        <w:rPr>
          <w:highlight w:val="none"/>
        </w:rPr>
      </w:pPr>
      <w:r>
        <w:rPr>
          <w:rFonts w:hint="eastAsia"/>
          <w:highlight w:val="none"/>
        </w:rPr>
        <w:t>4.10.2</w:t>
      </w:r>
      <w:r>
        <w:rPr>
          <w:highlight w:val="none"/>
        </w:rPr>
        <w:t>招标方应指明需要更换的零部件的预期使用寿命、安装、启动、连续运转和维修推荐的备件最少数量清单，并指明其是库存项目, 还是特殊项目。</w:t>
      </w:r>
    </w:p>
    <w:p w14:paraId="26BFD98A">
      <w:pPr>
        <w:spacing w:line="500" w:lineRule="exact"/>
        <w:rPr>
          <w:highlight w:val="none"/>
        </w:rPr>
      </w:pPr>
      <w:r>
        <w:rPr>
          <w:rFonts w:hint="eastAsia"/>
          <w:highlight w:val="none"/>
        </w:rPr>
        <w:t>4.10.3</w:t>
      </w:r>
      <w:r>
        <w:rPr>
          <w:highlight w:val="none"/>
        </w:rPr>
        <w:t>投标方应提供对设备安装、启动、运行维修及设备附件调速所需的独特的专用工具。</w:t>
      </w:r>
    </w:p>
    <w:p w14:paraId="234CD8B6">
      <w:pPr>
        <w:spacing w:line="500" w:lineRule="exact"/>
        <w:rPr>
          <w:highlight w:val="none"/>
        </w:rPr>
      </w:pPr>
      <w:r>
        <w:rPr>
          <w:rFonts w:hint="eastAsia"/>
          <w:highlight w:val="none"/>
        </w:rPr>
        <w:t>4.10.4 管屏的加工和焊接投标方不得分包。</w:t>
      </w:r>
    </w:p>
    <w:p w14:paraId="205B9EC7">
      <w:pPr>
        <w:spacing w:line="500" w:lineRule="exact"/>
        <w:rPr>
          <w:b/>
          <w:highlight w:val="none"/>
        </w:rPr>
      </w:pPr>
      <w:r>
        <w:rPr>
          <w:rFonts w:hint="eastAsia"/>
          <w:b/>
          <w:highlight w:val="none"/>
        </w:rPr>
        <w:t>4.11标准</w:t>
      </w:r>
    </w:p>
    <w:p w14:paraId="1E474C7C">
      <w:pPr>
        <w:spacing w:line="500" w:lineRule="exact"/>
        <w:rPr>
          <w:rFonts w:ascii="宋体" w:hAnsi="宋体"/>
          <w:szCs w:val="20"/>
          <w:highlight w:val="none"/>
        </w:rPr>
      </w:pPr>
      <w:bookmarkStart w:id="71" w:name="_Hlk523372517"/>
      <w:r>
        <w:rPr>
          <w:rFonts w:hint="eastAsia" w:ascii="宋体" w:hAnsi="宋体"/>
          <w:szCs w:val="20"/>
          <w:highlight w:val="none"/>
        </w:rPr>
        <w:t>4.11.1 标的物</w:t>
      </w:r>
      <w:r>
        <w:rPr>
          <w:rFonts w:ascii="Arial" w:hAnsi="Arial"/>
          <w:szCs w:val="20"/>
          <w:highlight w:val="none"/>
        </w:rPr>
        <w:t>包括投标人向其他厂商购买的所有附件和部件须按最新的有效的标准规范进行设计、制造、检验。</w:t>
      </w:r>
      <w:r>
        <w:rPr>
          <w:rFonts w:hint="eastAsia" w:ascii="宋体" w:hAnsi="宋体"/>
          <w:szCs w:val="20"/>
          <w:highlight w:val="none"/>
        </w:rPr>
        <w:t>同时满足国家关于标的物的安全、质量、工业卫生、劳动保护、节能、环保、消防等强制性标准。</w:t>
      </w:r>
    </w:p>
    <w:p w14:paraId="2346EC15">
      <w:pPr>
        <w:spacing w:line="500" w:lineRule="exact"/>
        <w:rPr>
          <w:rFonts w:ascii="宋体" w:hAnsi="宋体"/>
          <w:szCs w:val="20"/>
          <w:highlight w:val="none"/>
        </w:rPr>
      </w:pPr>
      <w:r>
        <w:rPr>
          <w:rFonts w:hint="eastAsia" w:ascii="宋体" w:hAnsi="宋体"/>
          <w:szCs w:val="20"/>
          <w:highlight w:val="none"/>
        </w:rPr>
        <w:t>4.11.2 投标人提供标的物设计、制造、检验等标准及清单，当标准、规范、本技术协议之间出现矛盾时，按较高的标准执行。</w:t>
      </w:r>
    </w:p>
    <w:p w14:paraId="3FF24439">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GB</w:t>
      </w:r>
      <w:r>
        <w:rPr>
          <w:rFonts w:ascii="宋体" w:hAnsi="宋体"/>
          <w:color w:val="000000"/>
          <w:kern w:val="0"/>
          <w:szCs w:val="20"/>
          <w:highlight w:val="none"/>
        </w:rPr>
        <w:t xml:space="preserve">/T </w:t>
      </w:r>
      <w:r>
        <w:rPr>
          <w:rFonts w:hint="eastAsia" w:ascii="宋体" w:hAnsi="宋体"/>
          <w:color w:val="000000"/>
          <w:kern w:val="0"/>
          <w:szCs w:val="20"/>
          <w:highlight w:val="none"/>
        </w:rPr>
        <w:t>222     钢的成品化学成份允许偏差</w:t>
      </w:r>
    </w:p>
    <w:p w14:paraId="11262A12">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GB</w:t>
      </w:r>
      <w:r>
        <w:rPr>
          <w:rFonts w:ascii="宋体" w:hAnsi="宋体"/>
          <w:color w:val="000000"/>
          <w:kern w:val="0"/>
          <w:szCs w:val="20"/>
          <w:highlight w:val="none"/>
        </w:rPr>
        <w:t xml:space="preserve">/T </w:t>
      </w:r>
      <w:r>
        <w:rPr>
          <w:rFonts w:hint="eastAsia" w:ascii="宋体" w:hAnsi="宋体"/>
          <w:color w:val="000000"/>
          <w:kern w:val="0"/>
          <w:szCs w:val="20"/>
          <w:highlight w:val="none"/>
        </w:rPr>
        <w:t>5777    无缝钢管超声波探伤检验方法</w:t>
      </w:r>
    </w:p>
    <w:p w14:paraId="5B20773E">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GB</w:t>
      </w:r>
      <w:r>
        <w:rPr>
          <w:rFonts w:ascii="宋体" w:hAnsi="宋体"/>
          <w:color w:val="000000"/>
          <w:kern w:val="0"/>
          <w:szCs w:val="20"/>
          <w:highlight w:val="none"/>
        </w:rPr>
        <w:t xml:space="preserve">/T </w:t>
      </w:r>
      <w:r>
        <w:rPr>
          <w:rFonts w:hint="eastAsia" w:ascii="宋体" w:hAnsi="宋体"/>
          <w:color w:val="000000"/>
          <w:kern w:val="0"/>
          <w:szCs w:val="20"/>
          <w:highlight w:val="none"/>
        </w:rPr>
        <w:t>10561   钢中非金属夹杂物含量的测定方法</w:t>
      </w:r>
    </w:p>
    <w:p w14:paraId="16AD56C7">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GB 5310      高压锅炉用无缝钢管</w:t>
      </w:r>
    </w:p>
    <w:p w14:paraId="640A5FBA">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GB 713 锅炉和压力容器用钢板</w:t>
      </w:r>
    </w:p>
    <w:p w14:paraId="7D68C9E3">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GB/T 13298   金属显微组织检验方法</w:t>
      </w:r>
    </w:p>
    <w:p w14:paraId="53D70164">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GB/T 229     金属材料夏比摆锤冲击试验方法</w:t>
      </w:r>
    </w:p>
    <w:p w14:paraId="2324C807">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GB/T 15822   磁粉探伤方法</w:t>
      </w:r>
    </w:p>
    <w:p w14:paraId="317038E4">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GB/T 223     钢铁及合金化学分析方法（系列标准）</w:t>
      </w:r>
    </w:p>
    <w:p w14:paraId="2BB54E27">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DL/T 441     火力发电厂高温高压蒸汽管道蠕变监督规程</w:t>
      </w:r>
    </w:p>
    <w:p w14:paraId="1DB0223F">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 xml:space="preserve">DL/T </w:t>
      </w:r>
      <w:r>
        <w:rPr>
          <w:rFonts w:ascii="宋体" w:hAnsi="宋体"/>
          <w:color w:val="000000"/>
          <w:kern w:val="0"/>
          <w:szCs w:val="20"/>
          <w:highlight w:val="none"/>
        </w:rPr>
        <w:t>438</w:t>
      </w:r>
      <w:r>
        <w:rPr>
          <w:rFonts w:hint="eastAsia" w:ascii="宋体" w:hAnsi="宋体"/>
          <w:color w:val="000000"/>
          <w:kern w:val="0"/>
          <w:szCs w:val="20"/>
          <w:highlight w:val="none"/>
        </w:rPr>
        <w:t xml:space="preserve">     火力发电厂金属技术监督规程</w:t>
      </w:r>
    </w:p>
    <w:p w14:paraId="5C2EE421">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DL/T869      火力发电厂焊接技术规程</w:t>
      </w:r>
    </w:p>
    <w:p w14:paraId="0A9D9B41">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DL/T515      电站弯管</w:t>
      </w:r>
    </w:p>
    <w:p w14:paraId="5DD09A92">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DL/T850      电站配管</w:t>
      </w:r>
    </w:p>
    <w:p w14:paraId="01BE73E3">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DL 5190.</w:t>
      </w:r>
      <w:r>
        <w:rPr>
          <w:rFonts w:ascii="宋体" w:hAnsi="宋体"/>
          <w:color w:val="000000"/>
          <w:kern w:val="0"/>
          <w:szCs w:val="20"/>
          <w:highlight w:val="none"/>
        </w:rPr>
        <w:t>1</w:t>
      </w:r>
      <w:r>
        <w:rPr>
          <w:rFonts w:hint="eastAsia" w:ascii="宋体" w:hAnsi="宋体"/>
          <w:color w:val="000000"/>
          <w:kern w:val="0"/>
          <w:szCs w:val="20"/>
          <w:highlight w:val="none"/>
        </w:rPr>
        <w:t xml:space="preserve">    电力建设施工技术规范 第</w:t>
      </w:r>
      <w:r>
        <w:rPr>
          <w:rFonts w:ascii="宋体" w:hAnsi="宋体"/>
          <w:color w:val="000000"/>
          <w:kern w:val="0"/>
          <w:szCs w:val="20"/>
          <w:highlight w:val="none"/>
        </w:rPr>
        <w:t>1</w:t>
      </w:r>
      <w:r>
        <w:rPr>
          <w:rFonts w:hint="eastAsia" w:ascii="宋体" w:hAnsi="宋体"/>
          <w:color w:val="000000"/>
          <w:kern w:val="0"/>
          <w:szCs w:val="20"/>
          <w:highlight w:val="none"/>
        </w:rPr>
        <w:t>部分：锅炉机组</w:t>
      </w:r>
    </w:p>
    <w:p w14:paraId="74187531">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DL 5190.5    电力建设施工技术规范 第5部分：管道及系统</w:t>
      </w:r>
    </w:p>
    <w:p w14:paraId="19E2FFB6">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DL/T 5054    火力发电厂汽水管道设计技术规定</w:t>
      </w:r>
    </w:p>
    <w:p w14:paraId="1361B593">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 xml:space="preserve">DL 612      电力工业锅炉压力容器监察规程  </w:t>
      </w:r>
    </w:p>
    <w:p w14:paraId="044BBD66">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DL/T 5366   火力发电厂汽水管道应力计算技术规程</w:t>
      </w:r>
    </w:p>
    <w:p w14:paraId="3A5CF9AA">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DL/T 5054   火力发电厂汽水管道设计规范</w:t>
      </w:r>
    </w:p>
    <w:p w14:paraId="7EF3ECCD">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NB／T47013承压设备无损检测</w:t>
      </w:r>
    </w:p>
    <w:p w14:paraId="041D745B">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DL/T 5210.</w:t>
      </w:r>
      <w:r>
        <w:rPr>
          <w:rFonts w:ascii="宋体" w:hAnsi="宋体"/>
          <w:color w:val="000000"/>
          <w:kern w:val="0"/>
          <w:szCs w:val="20"/>
          <w:highlight w:val="none"/>
        </w:rPr>
        <w:t>1</w:t>
      </w:r>
      <w:r>
        <w:rPr>
          <w:rFonts w:hint="eastAsia" w:ascii="宋体" w:hAnsi="宋体"/>
          <w:color w:val="000000"/>
          <w:kern w:val="0"/>
          <w:szCs w:val="20"/>
          <w:highlight w:val="none"/>
        </w:rPr>
        <w:t xml:space="preserve"> 电力建设施工质量验收及评价规程 第</w:t>
      </w:r>
      <w:r>
        <w:rPr>
          <w:rFonts w:ascii="宋体" w:hAnsi="宋体"/>
          <w:color w:val="000000"/>
          <w:kern w:val="0"/>
          <w:szCs w:val="20"/>
          <w:highlight w:val="none"/>
        </w:rPr>
        <w:t>1</w:t>
      </w:r>
      <w:r>
        <w:rPr>
          <w:rFonts w:hint="eastAsia" w:ascii="宋体" w:hAnsi="宋体"/>
          <w:color w:val="000000"/>
          <w:kern w:val="0"/>
          <w:szCs w:val="20"/>
          <w:highlight w:val="none"/>
        </w:rPr>
        <w:t>部分：锅炉部分</w:t>
      </w:r>
    </w:p>
    <w:p w14:paraId="02F90F00">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DL/T 5210.5 电力建设施工质量验收及评价规程 第5部分：管道及系统</w:t>
      </w:r>
    </w:p>
    <w:p w14:paraId="3DA4A94F">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hint="eastAsia" w:ascii="宋体" w:hAnsi="宋体"/>
          <w:color w:val="000000"/>
          <w:kern w:val="0"/>
          <w:szCs w:val="20"/>
          <w:highlight w:val="none"/>
        </w:rPr>
        <w:t>DL/T 5210.7 电力建设施工质量验收及评价规程 第7部分：焊接</w:t>
      </w:r>
    </w:p>
    <w:p w14:paraId="36E0C260">
      <w:pPr>
        <w:autoSpaceDE w:val="0"/>
        <w:autoSpaceDN w:val="0"/>
        <w:adjustRightInd w:val="0"/>
        <w:spacing w:line="360" w:lineRule="auto"/>
        <w:ind w:firstLine="480" w:firstLineChars="200"/>
        <w:jc w:val="left"/>
        <w:textAlignment w:val="baseline"/>
        <w:rPr>
          <w:rFonts w:ascii="宋体" w:hAnsi="宋体"/>
          <w:color w:val="000000"/>
          <w:kern w:val="0"/>
          <w:szCs w:val="20"/>
          <w:highlight w:val="none"/>
        </w:rPr>
      </w:pPr>
      <w:r>
        <w:rPr>
          <w:rFonts w:ascii="宋体" w:hAnsi="宋体"/>
          <w:color w:val="000000"/>
          <w:kern w:val="0"/>
          <w:szCs w:val="20"/>
          <w:highlight w:val="none"/>
        </w:rPr>
        <w:t>ASC/ASME10002</w:t>
      </w:r>
      <w:r>
        <w:rPr>
          <w:rFonts w:hint="eastAsia" w:ascii="宋体" w:hAnsi="宋体"/>
          <w:color w:val="000000"/>
          <w:kern w:val="0"/>
          <w:szCs w:val="20"/>
          <w:highlight w:val="none"/>
        </w:rPr>
        <w:t xml:space="preserve"> 锅炉膜式管屏制造技术条件</w:t>
      </w:r>
    </w:p>
    <w:p w14:paraId="5AE28FFF">
      <w:pPr>
        <w:autoSpaceDE w:val="0"/>
        <w:autoSpaceDN w:val="0"/>
        <w:adjustRightInd w:val="0"/>
        <w:spacing w:line="360" w:lineRule="auto"/>
        <w:ind w:firstLine="480" w:firstLineChars="200"/>
        <w:jc w:val="left"/>
        <w:textAlignment w:val="baseline"/>
        <w:rPr>
          <w:rFonts w:ascii="宋体" w:hAnsi="宋体"/>
          <w:spacing w:val="6"/>
          <w:kern w:val="4"/>
          <w:highlight w:val="none"/>
        </w:rPr>
      </w:pPr>
      <w:r>
        <w:rPr>
          <w:rFonts w:hint="eastAsia" w:ascii="宋体" w:hAnsi="宋体"/>
          <w:color w:val="000000"/>
          <w:szCs w:val="20"/>
          <w:highlight w:val="none"/>
        </w:rPr>
        <w:t>GB/T 20409高压锅炉用内螺纹无缝钢管</w:t>
      </w:r>
    </w:p>
    <w:p w14:paraId="678570F6">
      <w:pPr>
        <w:pStyle w:val="14"/>
        <w:ind w:right="-57" w:firstLine="510"/>
        <w:rPr>
          <w:rFonts w:hAnsi="宋体"/>
          <w:color w:val="auto"/>
          <w:spacing w:val="6"/>
          <w:kern w:val="4"/>
          <w:szCs w:val="24"/>
          <w:highlight w:val="none"/>
        </w:rPr>
      </w:pPr>
      <w:r>
        <w:rPr>
          <w:rFonts w:hint="eastAsia" w:hAnsi="宋体"/>
          <w:color w:val="auto"/>
          <w:spacing w:val="6"/>
          <w:kern w:val="4"/>
          <w:szCs w:val="24"/>
          <w:highlight w:val="none"/>
        </w:rPr>
        <w:t>JBT 1611-1993锅炉管子制造技术条件。</w:t>
      </w:r>
    </w:p>
    <w:p w14:paraId="17A9C8C1">
      <w:pPr>
        <w:pStyle w:val="14"/>
        <w:ind w:right="-57" w:firstLine="0"/>
        <w:rPr>
          <w:rFonts w:hAnsi="宋体"/>
          <w:color w:val="auto"/>
          <w:spacing w:val="6"/>
          <w:kern w:val="4"/>
          <w:szCs w:val="24"/>
          <w:highlight w:val="none"/>
        </w:rPr>
      </w:pPr>
      <w:bookmarkStart w:id="72" w:name="_Toc164331486"/>
      <w:r>
        <w:rPr>
          <w:rFonts w:hint="eastAsia" w:hAnsi="宋体"/>
          <w:color w:val="auto"/>
          <w:spacing w:val="6"/>
          <w:kern w:val="4"/>
          <w:szCs w:val="24"/>
          <w:highlight w:val="none"/>
        </w:rPr>
        <w:t>4.11.4. 本技术规范书涉及的锅炉水冷壁管屏的设计、制造所遵循标准的原则为：</w:t>
      </w:r>
      <w:bookmarkEnd w:id="72"/>
    </w:p>
    <w:p w14:paraId="1F57C79F">
      <w:pPr>
        <w:pStyle w:val="14"/>
        <w:ind w:right="-57" w:firstLine="504"/>
        <w:rPr>
          <w:rFonts w:hAnsi="宋体"/>
          <w:color w:val="auto"/>
          <w:spacing w:val="6"/>
          <w:kern w:val="4"/>
          <w:szCs w:val="24"/>
          <w:highlight w:val="none"/>
        </w:rPr>
      </w:pPr>
      <w:bookmarkStart w:id="73" w:name="_Toc164331487"/>
      <w:r>
        <w:rPr>
          <w:rFonts w:hint="eastAsia" w:hAnsi="宋体"/>
          <w:color w:val="auto"/>
          <w:spacing w:val="6"/>
          <w:kern w:val="4"/>
          <w:szCs w:val="24"/>
          <w:highlight w:val="none"/>
        </w:rPr>
        <w:t>按引进技术设计制造的及进口设备，须按引进技术相应的标准如</w:t>
      </w:r>
      <w:r>
        <w:rPr>
          <w:rFonts w:hAnsi="宋体"/>
          <w:color w:val="auto"/>
          <w:spacing w:val="6"/>
          <w:kern w:val="4"/>
          <w:szCs w:val="24"/>
          <w:highlight w:val="none"/>
        </w:rPr>
        <w:t>ASME</w:t>
      </w:r>
      <w:r>
        <w:rPr>
          <w:rFonts w:hint="eastAsia" w:hAnsi="宋体"/>
          <w:color w:val="auto"/>
          <w:spacing w:val="6"/>
          <w:kern w:val="4"/>
          <w:szCs w:val="24"/>
          <w:highlight w:val="none"/>
        </w:rPr>
        <w:t>、</w:t>
      </w:r>
      <w:r>
        <w:rPr>
          <w:rFonts w:hAnsi="宋体"/>
          <w:color w:val="auto"/>
          <w:spacing w:val="6"/>
          <w:kern w:val="4"/>
          <w:szCs w:val="24"/>
          <w:highlight w:val="none"/>
        </w:rPr>
        <w:t>ASTM</w:t>
      </w:r>
      <w:r>
        <w:rPr>
          <w:rFonts w:hint="eastAsia" w:hAnsi="宋体"/>
          <w:color w:val="auto"/>
          <w:spacing w:val="6"/>
          <w:kern w:val="4"/>
          <w:szCs w:val="24"/>
          <w:highlight w:val="none"/>
        </w:rPr>
        <w:t>、</w:t>
      </w:r>
      <w:r>
        <w:rPr>
          <w:rFonts w:hAnsi="宋体"/>
          <w:color w:val="auto"/>
          <w:spacing w:val="6"/>
          <w:kern w:val="4"/>
          <w:szCs w:val="24"/>
          <w:highlight w:val="none"/>
        </w:rPr>
        <w:t>NFPA</w:t>
      </w:r>
      <w:r>
        <w:rPr>
          <w:rFonts w:hint="eastAsia" w:hAnsi="宋体"/>
          <w:color w:val="auto"/>
          <w:spacing w:val="6"/>
          <w:kern w:val="4"/>
          <w:szCs w:val="24"/>
          <w:highlight w:val="none"/>
        </w:rPr>
        <w:t>等及相应的引进公司标准规范进行设计、制造、检验。</w:t>
      </w:r>
      <w:bookmarkEnd w:id="73"/>
    </w:p>
    <w:p w14:paraId="77D1FE61">
      <w:pPr>
        <w:pStyle w:val="14"/>
        <w:ind w:right="-57" w:firstLine="504"/>
        <w:rPr>
          <w:rFonts w:hAnsi="宋体"/>
          <w:color w:val="auto"/>
          <w:spacing w:val="6"/>
          <w:kern w:val="4"/>
          <w:szCs w:val="24"/>
          <w:highlight w:val="none"/>
        </w:rPr>
      </w:pPr>
      <w:bookmarkStart w:id="74" w:name="_Toc164331488"/>
      <w:r>
        <w:rPr>
          <w:rFonts w:hint="eastAsia" w:hAnsi="宋体"/>
          <w:color w:val="auto"/>
          <w:spacing w:val="6"/>
          <w:kern w:val="4"/>
          <w:szCs w:val="24"/>
          <w:highlight w:val="none"/>
        </w:rPr>
        <w:t>在按引进技术标准设计制造的同时，还必须满足最新版的中国国家标准和相关行业标准规范。</w:t>
      </w:r>
      <w:bookmarkEnd w:id="74"/>
    </w:p>
    <w:p w14:paraId="474D25E8">
      <w:pPr>
        <w:pStyle w:val="14"/>
        <w:ind w:right="-57" w:firstLine="504"/>
        <w:rPr>
          <w:rFonts w:hAnsi="宋体"/>
          <w:color w:val="auto"/>
          <w:spacing w:val="6"/>
          <w:kern w:val="4"/>
          <w:szCs w:val="24"/>
          <w:highlight w:val="none"/>
        </w:rPr>
      </w:pPr>
      <w:bookmarkStart w:id="75" w:name="_Toc164331489"/>
      <w:r>
        <w:rPr>
          <w:rFonts w:hint="eastAsia" w:hAnsi="宋体"/>
          <w:color w:val="auto"/>
          <w:spacing w:val="6"/>
          <w:kern w:val="4"/>
          <w:szCs w:val="24"/>
          <w:highlight w:val="none"/>
        </w:rPr>
        <w:t>在按引进技术标准设计制造的同时，还必须满足中国安全、环保及其它方面最新版的国家强制性标准和规程（规定）。</w:t>
      </w:r>
      <w:bookmarkEnd w:id="75"/>
    </w:p>
    <w:p w14:paraId="4D2C77FA">
      <w:pPr>
        <w:pStyle w:val="14"/>
        <w:ind w:right="-57" w:firstLine="504"/>
        <w:rPr>
          <w:rFonts w:hAnsi="宋体"/>
          <w:color w:val="auto"/>
          <w:spacing w:val="6"/>
          <w:kern w:val="4"/>
          <w:szCs w:val="24"/>
          <w:highlight w:val="none"/>
        </w:rPr>
      </w:pPr>
      <w:bookmarkStart w:id="76" w:name="_Toc164331490"/>
      <w:r>
        <w:rPr>
          <w:rFonts w:hint="eastAsia" w:hAnsi="宋体"/>
          <w:color w:val="auto"/>
          <w:spacing w:val="6"/>
          <w:kern w:val="4"/>
          <w:szCs w:val="24"/>
          <w:highlight w:val="none"/>
        </w:rPr>
        <w:t>如果本技术规范书中存在某些要求高于上述标准，则以本技术规范书的要求为准。</w:t>
      </w:r>
      <w:bookmarkEnd w:id="76"/>
      <w:bookmarkStart w:id="77" w:name="_Toc164331491"/>
      <w:r>
        <w:rPr>
          <w:rFonts w:hint="eastAsia" w:hAnsi="宋体"/>
          <w:color w:val="auto"/>
          <w:spacing w:val="6"/>
          <w:kern w:val="4"/>
          <w:szCs w:val="24"/>
          <w:highlight w:val="none"/>
        </w:rPr>
        <w:t>在上述标准、规程（规定）发生矛盾的情况下，以高标准为准。</w:t>
      </w:r>
      <w:bookmarkEnd w:id="77"/>
    </w:p>
    <w:p w14:paraId="10885B3F">
      <w:pPr>
        <w:pStyle w:val="14"/>
        <w:ind w:right="-57" w:firstLine="504"/>
        <w:rPr>
          <w:rFonts w:hAnsi="宋体"/>
          <w:color w:val="auto"/>
          <w:spacing w:val="6"/>
          <w:kern w:val="4"/>
          <w:szCs w:val="24"/>
          <w:highlight w:val="none"/>
        </w:rPr>
      </w:pPr>
      <w:bookmarkStart w:id="78" w:name="_Toc164331492"/>
      <w:r>
        <w:rPr>
          <w:rFonts w:hint="eastAsia" w:hAnsi="宋体"/>
          <w:color w:val="auto"/>
          <w:spacing w:val="6"/>
          <w:kern w:val="4"/>
          <w:szCs w:val="24"/>
          <w:highlight w:val="none"/>
        </w:rPr>
        <w:t>现场验收试验，凡未另行规定的，均应按照GB5310规范进行。</w:t>
      </w:r>
      <w:bookmarkEnd w:id="78"/>
    </w:p>
    <w:p w14:paraId="5CE45BF9">
      <w:pPr>
        <w:spacing w:line="360" w:lineRule="auto"/>
        <w:rPr>
          <w:rFonts w:ascii="宋体" w:hAnsi="宋体"/>
          <w:bCs/>
          <w:highlight w:val="none"/>
        </w:rPr>
      </w:pPr>
      <w:r>
        <w:rPr>
          <w:rFonts w:hint="eastAsia" w:ascii="宋体" w:hAnsi="宋体"/>
          <w:spacing w:val="6"/>
          <w:kern w:val="4"/>
          <w:highlight w:val="none"/>
        </w:rPr>
        <w:t>4.11.5</w:t>
      </w:r>
      <w:r>
        <w:rPr>
          <w:rFonts w:hint="eastAsia" w:ascii="宋体" w:hAnsi="宋体"/>
          <w:bCs/>
          <w:highlight w:val="none"/>
        </w:rPr>
        <w:t>投标方应在</w:t>
      </w:r>
      <w:r>
        <w:rPr>
          <w:rFonts w:hint="eastAsia" w:ascii="宋体" w:hAnsi="宋体"/>
          <w:spacing w:val="6"/>
          <w:kern w:val="4"/>
          <w:highlight w:val="none"/>
        </w:rPr>
        <w:t>技术协议签订后一周内</w:t>
      </w:r>
      <w:r>
        <w:rPr>
          <w:rFonts w:hint="eastAsia" w:ascii="宋体" w:hAnsi="宋体"/>
          <w:bCs/>
          <w:highlight w:val="none"/>
        </w:rPr>
        <w:t>提交水冷壁管屏设计、制造等采用的所有标准、规定及相关标准的清单。在合同执行过程中采用的标准需经招标方确认。</w:t>
      </w:r>
    </w:p>
    <w:p w14:paraId="7D3ECBE0">
      <w:pPr>
        <w:spacing w:line="360" w:lineRule="auto"/>
        <w:ind w:firstLine="480" w:firstLineChars="200"/>
        <w:rPr>
          <w:rFonts w:ascii="宋体" w:hAnsi="宋体"/>
          <w:bCs/>
          <w:highlight w:val="none"/>
        </w:rPr>
      </w:pPr>
      <w:r>
        <w:rPr>
          <w:rFonts w:hint="eastAsia" w:ascii="宋体" w:hAnsi="宋体"/>
          <w:bCs/>
          <w:highlight w:val="none"/>
        </w:rPr>
        <w:t>工程联系文件、技术资料、图纸、计算、仪表刻度和文件中的计量单位应为国际计量单位</w:t>
      </w:r>
      <w:r>
        <w:rPr>
          <w:rFonts w:ascii="宋体" w:hAnsi="宋体"/>
          <w:bCs/>
          <w:highlight w:val="none"/>
        </w:rPr>
        <w:t>(SI)</w:t>
      </w:r>
      <w:r>
        <w:rPr>
          <w:rFonts w:hint="eastAsia" w:ascii="宋体" w:hAnsi="宋体"/>
          <w:bCs/>
          <w:highlight w:val="none"/>
        </w:rPr>
        <w:t>制。</w:t>
      </w:r>
    </w:p>
    <w:p w14:paraId="32F25900">
      <w:pPr>
        <w:spacing w:line="360" w:lineRule="auto"/>
        <w:ind w:firstLine="480" w:firstLineChars="200"/>
        <w:rPr>
          <w:rFonts w:ascii="宋体" w:hAnsi="宋体"/>
          <w:szCs w:val="20"/>
          <w:highlight w:val="none"/>
        </w:rPr>
      </w:pPr>
      <w:r>
        <w:rPr>
          <w:rFonts w:hint="eastAsia" w:ascii="宋体" w:hAnsi="宋体"/>
          <w:bCs/>
          <w:highlight w:val="none"/>
        </w:rPr>
        <w:t>工程中的工作语言为中文，所有的文件、图纸均应用中文进行编写。</w:t>
      </w:r>
    </w:p>
    <w:p w14:paraId="50FFCC20">
      <w:pPr>
        <w:spacing w:line="360" w:lineRule="auto"/>
        <w:rPr>
          <w:rFonts w:ascii="宋体" w:hAnsi="宋体"/>
          <w:szCs w:val="20"/>
          <w:highlight w:val="none"/>
        </w:rPr>
      </w:pPr>
      <w:r>
        <w:rPr>
          <w:rFonts w:hint="eastAsia" w:ascii="宋体" w:hAnsi="宋体"/>
          <w:szCs w:val="20"/>
          <w:highlight w:val="none"/>
        </w:rPr>
        <w:t>4.11.6  如果在设计和产品制造及系统性能验收等方面采用的一些标准和规范不在本节所列的标准和规范范围内，或采用其他标准或规范，则投标人详细说明其采用的标准或规范，并向招标人提供其采用标准或规范的中文版本。采用的标准或规范是国际公认的、惯用的或国家强制性标准，且不低于本技术规范的要求，投标人采用的标准或规范可由招标人认可。</w:t>
      </w:r>
    </w:p>
    <w:p w14:paraId="6366B0E3">
      <w:pPr>
        <w:spacing w:line="360" w:lineRule="auto"/>
        <w:rPr>
          <w:rFonts w:ascii="宋体" w:hAnsi="宋体"/>
          <w:szCs w:val="20"/>
          <w:highlight w:val="none"/>
        </w:rPr>
      </w:pPr>
      <w:r>
        <w:rPr>
          <w:rFonts w:hint="eastAsia" w:ascii="宋体" w:hAnsi="宋体"/>
          <w:szCs w:val="20"/>
          <w:highlight w:val="none"/>
        </w:rPr>
        <w:t>4.11.7  从合同签订之日至开始制造之日的这段时期内，不论招标人知道与否，投标人有责任及时书面通知招标人有关规程、规范和标准发生的变化，招标人有权提出因规程、规范和标准发生变化而补充要求，投标人应按这些要求执行，且价格不变。</w:t>
      </w:r>
    </w:p>
    <w:p w14:paraId="190C9798">
      <w:pPr>
        <w:spacing w:line="360" w:lineRule="auto"/>
        <w:rPr>
          <w:rFonts w:ascii="宋体" w:hAnsi="宋体"/>
          <w:szCs w:val="20"/>
          <w:highlight w:val="none"/>
        </w:rPr>
      </w:pPr>
      <w:r>
        <w:rPr>
          <w:rFonts w:hint="eastAsia" w:ascii="宋体" w:hAnsi="宋体"/>
          <w:szCs w:val="20"/>
          <w:highlight w:val="none"/>
        </w:rPr>
        <w:t>4.11.8合同签订后15内，投标人提供适用于合同要求的标的物的设计﹑制造﹑检验/试验﹑安装﹑调试﹑验收﹑运行和维护等标准及清单。</w:t>
      </w:r>
      <w:bookmarkEnd w:id="71"/>
      <w:bookmarkStart w:id="79" w:name="_Toc170270576"/>
      <w:bookmarkStart w:id="80" w:name="_Toc96238077"/>
      <w:bookmarkStart w:id="81" w:name="_Toc170462602"/>
      <w:r>
        <w:rPr>
          <w:rFonts w:hint="eastAsia" w:hAnsi="宋体"/>
          <w:bCs/>
          <w:szCs w:val="28"/>
          <w:highlight w:val="none"/>
        </w:rPr>
        <w:br w:type="page"/>
      </w:r>
    </w:p>
    <w:p w14:paraId="07071811">
      <w:pPr>
        <w:pStyle w:val="3"/>
        <w:spacing w:before="0" w:after="0" w:line="500" w:lineRule="exact"/>
        <w:rPr>
          <w:rFonts w:hAnsi="宋体"/>
          <w:bCs/>
          <w:szCs w:val="28"/>
          <w:highlight w:val="none"/>
        </w:rPr>
      </w:pPr>
      <w:r>
        <w:rPr>
          <w:rFonts w:hint="eastAsia" w:hAnsi="宋体"/>
          <w:bCs/>
          <w:szCs w:val="28"/>
          <w:highlight w:val="none"/>
        </w:rPr>
        <w:t>5   设备监造、检验和性能验收试验</w:t>
      </w:r>
    </w:p>
    <w:p w14:paraId="15296060">
      <w:pPr>
        <w:adjustRightInd w:val="0"/>
        <w:spacing w:line="440" w:lineRule="exact"/>
        <w:ind w:firstLine="240" w:firstLineChars="100"/>
        <w:jc w:val="left"/>
        <w:textAlignment w:val="baseline"/>
        <w:rPr>
          <w:rFonts w:ascii="宋体"/>
          <w:kern w:val="0"/>
          <w:szCs w:val="20"/>
          <w:highlight w:val="none"/>
        </w:rPr>
      </w:pPr>
      <w:r>
        <w:rPr>
          <w:rFonts w:hint="eastAsia" w:ascii="宋体"/>
          <w:kern w:val="0"/>
          <w:szCs w:val="20"/>
          <w:highlight w:val="none"/>
        </w:rPr>
        <w:t>见附件5</w:t>
      </w:r>
      <w:r>
        <w:rPr>
          <w:rFonts w:ascii="宋体"/>
          <w:kern w:val="0"/>
          <w:szCs w:val="20"/>
          <w:highlight w:val="none"/>
        </w:rPr>
        <w:t xml:space="preserve">: </w:t>
      </w:r>
      <w:r>
        <w:rPr>
          <w:rFonts w:hint="eastAsia" w:ascii="宋体"/>
          <w:kern w:val="0"/>
          <w:szCs w:val="20"/>
          <w:highlight w:val="none"/>
        </w:rPr>
        <w:t>设备监造、检验和性能验收试验</w:t>
      </w:r>
    </w:p>
    <w:p w14:paraId="6888AAA9">
      <w:pPr>
        <w:pStyle w:val="3"/>
        <w:spacing w:before="0" w:after="0" w:line="500" w:lineRule="exact"/>
        <w:rPr>
          <w:rFonts w:hAnsi="宋体"/>
          <w:bCs/>
          <w:szCs w:val="28"/>
          <w:highlight w:val="none"/>
        </w:rPr>
      </w:pPr>
      <w:r>
        <w:rPr>
          <w:rFonts w:hint="eastAsia" w:hAnsi="宋体"/>
          <w:bCs/>
          <w:szCs w:val="28"/>
          <w:highlight w:val="none"/>
        </w:rPr>
        <w:t>6  设计与供货界限及接口规则</w:t>
      </w:r>
      <w:bookmarkEnd w:id="79"/>
      <w:bookmarkEnd w:id="80"/>
      <w:bookmarkEnd w:id="81"/>
    </w:p>
    <w:p w14:paraId="5B9684FB">
      <w:pPr>
        <w:spacing w:line="360" w:lineRule="auto"/>
        <w:rPr>
          <w:highlight w:val="none"/>
        </w:rPr>
      </w:pPr>
      <w:r>
        <w:rPr>
          <w:rFonts w:hint="eastAsia"/>
          <w:highlight w:val="none"/>
        </w:rPr>
        <w:t>6.1供货范围总则</w:t>
      </w:r>
    </w:p>
    <w:p w14:paraId="6EAE195F">
      <w:pPr>
        <w:spacing w:line="360" w:lineRule="auto"/>
        <w:rPr>
          <w:highlight w:val="none"/>
        </w:rPr>
      </w:pPr>
      <w:r>
        <w:rPr>
          <w:rFonts w:hint="eastAsia"/>
          <w:highlight w:val="none"/>
        </w:rPr>
        <w:t>6.1.1投标人按本技术协议对标的物设计、供货进行细化。凡在本技术协议约定由投标人设计、供货界面内，即使本技术协议描述有遗漏或不清楚或隐含的人身安全防护、可靠性、可用率和性能保证值所必须的内容，均在整套供货内。</w:t>
      </w:r>
    </w:p>
    <w:p w14:paraId="04DA259D">
      <w:pPr>
        <w:snapToGrid w:val="0"/>
        <w:spacing w:line="360" w:lineRule="auto"/>
        <w:rPr>
          <w:snapToGrid w:val="0"/>
          <w:highlight w:val="none"/>
        </w:rPr>
      </w:pPr>
      <w:r>
        <w:rPr>
          <w:rFonts w:hint="eastAsia"/>
          <w:snapToGrid w:val="0"/>
          <w:highlight w:val="none"/>
        </w:rPr>
        <w:t>6.1.2所供设备保证系统和性能的完整性，如果缺漏，免费提供缺漏部分。</w:t>
      </w:r>
    </w:p>
    <w:p w14:paraId="7C1CE703">
      <w:pPr>
        <w:snapToGrid w:val="0"/>
        <w:spacing w:line="360" w:lineRule="auto"/>
        <w:rPr>
          <w:snapToGrid w:val="0"/>
          <w:highlight w:val="none"/>
        </w:rPr>
      </w:pPr>
      <w:r>
        <w:rPr>
          <w:rFonts w:hint="eastAsia"/>
          <w:snapToGrid w:val="0"/>
          <w:highlight w:val="none"/>
        </w:rPr>
        <w:t>6.1.3保证提供设备为全新的、先进的、成熟的、完整的和安全可靠的，且设备的技术经济性能符合第四章的要求。</w:t>
      </w:r>
    </w:p>
    <w:p w14:paraId="4C63774E">
      <w:pPr>
        <w:snapToGrid w:val="0"/>
        <w:spacing w:line="360" w:lineRule="auto"/>
        <w:rPr>
          <w:snapToGrid w:val="0"/>
          <w:highlight w:val="none"/>
        </w:rPr>
      </w:pPr>
      <w:r>
        <w:rPr>
          <w:rFonts w:hint="eastAsia"/>
          <w:snapToGrid w:val="0"/>
          <w:highlight w:val="none"/>
        </w:rPr>
        <w:t>6.1.4提供详细供货清单，清单中依次说明型号、数量、产地、生产厂家等内容。对于属于整套设备运行、施工和性能试验所必需的部件，即使本合同未列出和/或数目不足，在执行的同时补足且不发生费用。</w:t>
      </w:r>
    </w:p>
    <w:p w14:paraId="5786B5E7">
      <w:pPr>
        <w:snapToGrid w:val="0"/>
        <w:spacing w:line="360" w:lineRule="auto"/>
        <w:rPr>
          <w:snapToGrid w:val="0"/>
          <w:highlight w:val="none"/>
        </w:rPr>
      </w:pPr>
      <w:r>
        <w:rPr>
          <w:rFonts w:hint="eastAsia"/>
          <w:snapToGrid w:val="0"/>
          <w:highlight w:val="none"/>
        </w:rPr>
        <w:t>6.1.5提供验收前所有消耗品(如有)的清单，并已包含在合同总价中。</w:t>
      </w:r>
    </w:p>
    <w:p w14:paraId="482236A8">
      <w:pPr>
        <w:snapToGrid w:val="0"/>
        <w:spacing w:line="360" w:lineRule="auto"/>
        <w:rPr>
          <w:snapToGrid w:val="0"/>
          <w:highlight w:val="none"/>
        </w:rPr>
      </w:pPr>
      <w:r>
        <w:rPr>
          <w:rFonts w:hint="eastAsia"/>
          <w:snapToGrid w:val="0"/>
          <w:highlight w:val="none"/>
        </w:rPr>
        <w:t>6.1.6提供满足设备正常安装、调试和设备运行三年内的详细的备品备件清单，</w:t>
      </w:r>
      <w:r>
        <w:rPr>
          <w:highlight w:val="none"/>
        </w:rPr>
        <w:t>并有详细的说明。</w:t>
      </w:r>
      <w:r>
        <w:rPr>
          <w:rFonts w:hint="eastAsia"/>
          <w:snapToGrid w:val="0"/>
          <w:highlight w:val="none"/>
        </w:rPr>
        <w:t>如质保期内正常运行中出现备品备件不足将免费提供。同时</w:t>
      </w:r>
      <w:r>
        <w:rPr>
          <w:highlight w:val="none"/>
        </w:rPr>
        <w:t>提供有关备品备件的保管资料</w:t>
      </w:r>
      <w:r>
        <w:rPr>
          <w:rFonts w:hint="eastAsia"/>
          <w:highlight w:val="none"/>
        </w:rPr>
        <w:t>，</w:t>
      </w:r>
      <w:r>
        <w:rPr>
          <w:highlight w:val="none"/>
        </w:rPr>
        <w:t>如存放期限</w:t>
      </w:r>
      <w:r>
        <w:rPr>
          <w:rFonts w:hint="eastAsia"/>
          <w:highlight w:val="none"/>
        </w:rPr>
        <w:t>等</w:t>
      </w:r>
      <w:r>
        <w:rPr>
          <w:highlight w:val="none"/>
        </w:rPr>
        <w:t>。</w:t>
      </w:r>
    </w:p>
    <w:p w14:paraId="6E873D73">
      <w:pPr>
        <w:snapToGrid w:val="0"/>
        <w:spacing w:line="360" w:lineRule="auto"/>
        <w:rPr>
          <w:snapToGrid w:val="0"/>
          <w:highlight w:val="none"/>
        </w:rPr>
      </w:pPr>
      <w:r>
        <w:rPr>
          <w:rFonts w:hint="eastAsia"/>
          <w:snapToGrid w:val="0"/>
          <w:highlight w:val="none"/>
        </w:rPr>
        <w:t>6.1.7提供所有安装和检修所需专用工具和消耗材料等。</w:t>
      </w:r>
    </w:p>
    <w:p w14:paraId="1541C955">
      <w:pPr>
        <w:snapToGrid w:val="0"/>
        <w:spacing w:line="360" w:lineRule="auto"/>
        <w:rPr>
          <w:snapToGrid w:val="0"/>
          <w:highlight w:val="none"/>
        </w:rPr>
      </w:pPr>
      <w:r>
        <w:rPr>
          <w:rFonts w:hint="eastAsia"/>
          <w:snapToGrid w:val="0"/>
          <w:highlight w:val="none"/>
        </w:rPr>
        <w:t>6.1.8提供所供设备中的进口件及外包件（如有）清单。</w:t>
      </w:r>
    </w:p>
    <w:p w14:paraId="3B1B1ACC">
      <w:pPr>
        <w:spacing w:line="360" w:lineRule="auto"/>
        <w:rPr>
          <w:highlight w:val="none"/>
        </w:rPr>
      </w:pPr>
      <w:bookmarkStart w:id="82" w:name="_Toc483400163"/>
      <w:bookmarkStart w:id="83" w:name="_Toc471716337"/>
      <w:bookmarkStart w:id="84" w:name="_Hlk523405723"/>
      <w:r>
        <w:rPr>
          <w:rFonts w:hint="eastAsia"/>
          <w:highlight w:val="none"/>
        </w:rPr>
        <w:t>6.2 供货及工作范围</w:t>
      </w:r>
      <w:bookmarkEnd w:id="82"/>
      <w:bookmarkEnd w:id="83"/>
    </w:p>
    <w:p w14:paraId="5DB2AD22">
      <w:pPr>
        <w:spacing w:line="360" w:lineRule="auto"/>
        <w:ind w:firstLine="480" w:firstLineChars="200"/>
        <w:jc w:val="left"/>
        <w:rPr>
          <w:snapToGrid w:val="0"/>
          <w:highlight w:val="none"/>
        </w:rPr>
      </w:pPr>
      <w:r>
        <w:rPr>
          <w:rFonts w:hint="eastAsia"/>
          <w:highlight w:val="none"/>
        </w:rPr>
        <w:t>供货</w:t>
      </w:r>
      <w:bookmarkEnd w:id="84"/>
      <w:r>
        <w:rPr>
          <w:rFonts w:hint="eastAsia" w:ascii="宋体" w:hAnsi="宋体"/>
          <w:szCs w:val="20"/>
          <w:highlight w:val="none"/>
        </w:rPr>
        <w:t>范围</w:t>
      </w:r>
      <w:r>
        <w:rPr>
          <w:rFonts w:hint="eastAsia"/>
          <w:highlight w:val="none"/>
        </w:rPr>
        <w:t>如</w:t>
      </w:r>
      <w:r>
        <w:rPr>
          <w:rFonts w:hint="eastAsia"/>
          <w:snapToGrid w:val="0"/>
          <w:szCs w:val="20"/>
          <w:highlight w:val="none"/>
        </w:rPr>
        <w:t>下：</w:t>
      </w:r>
      <w:r>
        <w:rPr>
          <w:rFonts w:hint="eastAsia" w:ascii="宋体" w:hAnsi="宋体"/>
          <w:szCs w:val="20"/>
          <w:highlight w:val="none"/>
        </w:rPr>
        <w:t>管屏供货时必须按附图供货，</w:t>
      </w:r>
      <w:r>
        <w:rPr>
          <w:rFonts w:hint="eastAsia"/>
          <w:snapToGrid w:val="0"/>
          <w:highlight w:val="none"/>
        </w:rPr>
        <w:t>供货范围内必须包含各种附件，包括水冷壁刚性梁附件及滑动夹块等。</w:t>
      </w:r>
    </w:p>
    <w:p w14:paraId="39DB7B42">
      <w:pPr>
        <w:snapToGrid w:val="0"/>
        <w:spacing w:line="360" w:lineRule="auto"/>
        <w:ind w:firstLine="480" w:firstLineChars="200"/>
        <w:rPr>
          <w:snapToGrid w:val="0"/>
          <w:szCs w:val="20"/>
          <w:highlight w:val="none"/>
        </w:rPr>
      </w:pPr>
      <w:r>
        <w:rPr>
          <w:rFonts w:hint="eastAsia"/>
          <w:szCs w:val="20"/>
          <w:highlight w:val="none"/>
        </w:rPr>
        <w:t>投标人</w:t>
      </w:r>
      <w:r>
        <w:rPr>
          <w:szCs w:val="20"/>
          <w:highlight w:val="none"/>
        </w:rPr>
        <w:t>的工作范围至少包括，但不仅限于如下所述各项：</w:t>
      </w:r>
    </w:p>
    <w:p w14:paraId="720126B6">
      <w:pPr>
        <w:numPr>
          <w:ilvl w:val="0"/>
          <w:numId w:val="3"/>
        </w:numPr>
        <w:tabs>
          <w:tab w:val="left" w:pos="840"/>
        </w:tabs>
        <w:adjustRightInd w:val="0"/>
        <w:snapToGrid w:val="0"/>
        <w:spacing w:line="360" w:lineRule="auto"/>
        <w:ind w:left="0" w:firstLine="480" w:firstLineChars="200"/>
        <w:jc w:val="left"/>
        <w:textAlignment w:val="baseline"/>
        <w:rPr>
          <w:kern w:val="0"/>
          <w:szCs w:val="20"/>
          <w:highlight w:val="none"/>
        </w:rPr>
      </w:pPr>
      <w:r>
        <w:rPr>
          <w:rFonts w:hint="eastAsia"/>
          <w:snapToGrid w:val="0"/>
          <w:kern w:val="0"/>
          <w:szCs w:val="20"/>
          <w:highlight w:val="none"/>
        </w:rPr>
        <w:t>进行现场勘探、测绘，掌握现有设备运行现状及收集相关资料，并依据图纸对管屏的分割方案进行设计；</w:t>
      </w:r>
    </w:p>
    <w:p w14:paraId="1924425A">
      <w:pPr>
        <w:numPr>
          <w:ilvl w:val="0"/>
          <w:numId w:val="3"/>
        </w:numPr>
        <w:tabs>
          <w:tab w:val="left" w:pos="840"/>
        </w:tabs>
        <w:adjustRightInd w:val="0"/>
        <w:snapToGrid w:val="0"/>
        <w:spacing w:line="360" w:lineRule="auto"/>
        <w:ind w:left="0" w:firstLine="480" w:firstLineChars="200"/>
        <w:jc w:val="left"/>
        <w:textAlignment w:val="baseline"/>
        <w:rPr>
          <w:kern w:val="0"/>
          <w:szCs w:val="20"/>
          <w:highlight w:val="none"/>
        </w:rPr>
      </w:pPr>
      <w:r>
        <w:rPr>
          <w:rFonts w:hint="eastAsia"/>
          <w:kern w:val="0"/>
          <w:szCs w:val="20"/>
          <w:highlight w:val="none"/>
        </w:rPr>
        <w:t>管屏的安装图纸及安装说明；</w:t>
      </w:r>
    </w:p>
    <w:p w14:paraId="096E0FA9">
      <w:pPr>
        <w:numPr>
          <w:ilvl w:val="0"/>
          <w:numId w:val="3"/>
        </w:numPr>
        <w:tabs>
          <w:tab w:val="left" w:pos="840"/>
        </w:tabs>
        <w:adjustRightInd w:val="0"/>
        <w:snapToGrid w:val="0"/>
        <w:spacing w:line="360" w:lineRule="auto"/>
        <w:ind w:left="0" w:firstLine="480" w:firstLineChars="200"/>
        <w:textAlignment w:val="baseline"/>
        <w:rPr>
          <w:kern w:val="0"/>
          <w:szCs w:val="20"/>
          <w:highlight w:val="none"/>
        </w:rPr>
      </w:pPr>
      <w:r>
        <w:rPr>
          <w:rFonts w:hint="eastAsia"/>
          <w:kern w:val="0"/>
          <w:szCs w:val="20"/>
          <w:highlight w:val="none"/>
        </w:rPr>
        <w:t>所采购设备及相关附件的生产、检验、试验、验收；</w:t>
      </w:r>
    </w:p>
    <w:p w14:paraId="7B1A347F">
      <w:pPr>
        <w:numPr>
          <w:ilvl w:val="0"/>
          <w:numId w:val="3"/>
        </w:numPr>
        <w:tabs>
          <w:tab w:val="left" w:pos="840"/>
        </w:tabs>
        <w:adjustRightInd w:val="0"/>
        <w:snapToGrid w:val="0"/>
        <w:spacing w:line="360" w:lineRule="auto"/>
        <w:ind w:left="0" w:firstLine="480" w:firstLineChars="200"/>
        <w:textAlignment w:val="baseline"/>
        <w:rPr>
          <w:kern w:val="0"/>
          <w:szCs w:val="20"/>
          <w:highlight w:val="none"/>
        </w:rPr>
      </w:pPr>
      <w:r>
        <w:rPr>
          <w:rFonts w:hint="eastAsia"/>
          <w:kern w:val="0"/>
          <w:szCs w:val="20"/>
          <w:highlight w:val="none"/>
        </w:rPr>
        <w:t>所采购设备及相关附件的运输（招标人指定地点）；</w:t>
      </w:r>
    </w:p>
    <w:p w14:paraId="5BC5FEF9">
      <w:pPr>
        <w:numPr>
          <w:ilvl w:val="0"/>
          <w:numId w:val="3"/>
        </w:numPr>
        <w:tabs>
          <w:tab w:val="left" w:pos="840"/>
        </w:tabs>
        <w:adjustRightInd w:val="0"/>
        <w:snapToGrid w:val="0"/>
        <w:spacing w:line="360" w:lineRule="auto"/>
        <w:ind w:left="0" w:firstLine="480" w:firstLineChars="200"/>
        <w:textAlignment w:val="baseline"/>
        <w:rPr>
          <w:kern w:val="0"/>
          <w:szCs w:val="20"/>
          <w:highlight w:val="none"/>
        </w:rPr>
      </w:pPr>
      <w:r>
        <w:rPr>
          <w:rFonts w:hint="eastAsia"/>
          <w:kern w:val="0"/>
          <w:szCs w:val="20"/>
          <w:highlight w:val="none"/>
        </w:rPr>
        <w:t>提供所有必须的技术资料；</w:t>
      </w:r>
    </w:p>
    <w:p w14:paraId="79E35655">
      <w:pPr>
        <w:numPr>
          <w:ilvl w:val="0"/>
          <w:numId w:val="3"/>
        </w:numPr>
        <w:tabs>
          <w:tab w:val="left" w:pos="840"/>
        </w:tabs>
        <w:adjustRightInd w:val="0"/>
        <w:snapToGrid w:val="0"/>
        <w:spacing w:line="360" w:lineRule="auto"/>
        <w:ind w:left="0" w:firstLine="480" w:firstLineChars="200"/>
        <w:jc w:val="left"/>
        <w:textAlignment w:val="baseline"/>
        <w:rPr>
          <w:kern w:val="0"/>
          <w:szCs w:val="20"/>
          <w:highlight w:val="none"/>
        </w:rPr>
      </w:pPr>
      <w:r>
        <w:rPr>
          <w:rFonts w:hint="eastAsia"/>
          <w:kern w:val="0"/>
          <w:szCs w:val="20"/>
          <w:highlight w:val="none"/>
        </w:rPr>
        <w:t>技术服务</w:t>
      </w:r>
      <w:r>
        <w:rPr>
          <w:rFonts w:hint="eastAsia"/>
          <w:highlight w:val="none"/>
        </w:rPr>
        <w:t>。</w:t>
      </w:r>
    </w:p>
    <w:p w14:paraId="1A29AC99">
      <w:pPr>
        <w:spacing w:line="360" w:lineRule="auto"/>
        <w:rPr>
          <w:highlight w:val="none"/>
        </w:rPr>
      </w:pPr>
    </w:p>
    <w:p w14:paraId="019FC156">
      <w:pPr>
        <w:spacing w:line="360" w:lineRule="auto"/>
        <w:rPr>
          <w:highlight w:val="none"/>
        </w:rPr>
      </w:pPr>
      <w:r>
        <w:rPr>
          <w:rFonts w:hint="eastAsia"/>
          <w:highlight w:val="none"/>
        </w:rPr>
        <w:t>6.3 供货清单</w:t>
      </w:r>
    </w:p>
    <w:p w14:paraId="544AC7C6">
      <w:pPr>
        <w:snapToGrid w:val="0"/>
        <w:spacing w:line="360" w:lineRule="auto"/>
        <w:rPr>
          <w:highlight w:val="none"/>
        </w:rPr>
      </w:pPr>
      <w:bookmarkStart w:id="85" w:name="_Hlk523406354"/>
      <w:r>
        <w:rPr>
          <w:rFonts w:hint="eastAsia"/>
          <w:highlight w:val="none"/>
        </w:rPr>
        <w:t>6.3.1本</w:t>
      </w:r>
      <w:bookmarkEnd w:id="85"/>
      <w:r>
        <w:rPr>
          <w:rFonts w:hint="eastAsia"/>
          <w:highlight w:val="none"/>
        </w:rPr>
        <w:t>次供货清单如下（以下清单所提及</w:t>
      </w:r>
      <w:r>
        <w:rPr>
          <w:rFonts w:hint="eastAsia"/>
          <w:snapToGrid w:val="0"/>
          <w:highlight w:val="none"/>
        </w:rPr>
        <w:t>数量</w:t>
      </w:r>
      <w:r>
        <w:rPr>
          <w:rFonts w:hint="eastAsia"/>
          <w:highlight w:val="none"/>
        </w:rPr>
        <w:t>，如未特殊说明，均指本项目包含的1台机组数）：</w:t>
      </w:r>
    </w:p>
    <w:p w14:paraId="3FFE0F00">
      <w:pPr>
        <w:spacing w:line="500" w:lineRule="exact"/>
        <w:ind w:firstLine="480" w:firstLineChars="200"/>
        <w:jc w:val="center"/>
        <w:rPr>
          <w:highlight w:val="none"/>
        </w:rPr>
      </w:pPr>
      <w:bookmarkStart w:id="86" w:name="_Hlk523406383"/>
      <w:r>
        <w:rPr>
          <w:rFonts w:hint="eastAsia"/>
          <w:highlight w:val="none"/>
        </w:rPr>
        <w:t>产品本体的供货范围表</w:t>
      </w:r>
    </w:p>
    <w:bookmarkEnd w:id="86"/>
    <w:tbl>
      <w:tblPr>
        <w:tblStyle w:val="25"/>
        <w:tblW w:w="8649"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2928"/>
        <w:gridCol w:w="1417"/>
        <w:gridCol w:w="3584"/>
      </w:tblGrid>
      <w:tr w14:paraId="52FB2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20" w:type="dxa"/>
            <w:vAlign w:val="center"/>
          </w:tcPr>
          <w:p w14:paraId="05A53A66">
            <w:pPr>
              <w:spacing w:line="440" w:lineRule="exact"/>
              <w:jc w:val="center"/>
              <w:rPr>
                <w:rFonts w:ascii="宋体" w:hAnsi="宋体"/>
                <w:highlight w:val="none"/>
              </w:rPr>
            </w:pPr>
            <w:r>
              <w:rPr>
                <w:rFonts w:hint="eastAsia" w:ascii="宋体" w:hAnsi="宋体"/>
                <w:highlight w:val="none"/>
              </w:rPr>
              <w:t>序号</w:t>
            </w:r>
          </w:p>
        </w:tc>
        <w:tc>
          <w:tcPr>
            <w:tcW w:w="2928" w:type="dxa"/>
            <w:vAlign w:val="center"/>
          </w:tcPr>
          <w:p w14:paraId="19FA0710">
            <w:pPr>
              <w:spacing w:line="440" w:lineRule="exact"/>
              <w:jc w:val="center"/>
              <w:rPr>
                <w:rFonts w:ascii="宋体" w:hAnsi="宋体"/>
                <w:highlight w:val="none"/>
              </w:rPr>
            </w:pPr>
            <w:r>
              <w:rPr>
                <w:rFonts w:hint="eastAsia" w:ascii="宋体" w:hAnsi="宋体"/>
                <w:highlight w:val="none"/>
              </w:rPr>
              <w:t>备件名称</w:t>
            </w:r>
          </w:p>
        </w:tc>
        <w:tc>
          <w:tcPr>
            <w:tcW w:w="1417" w:type="dxa"/>
            <w:shd w:val="clear" w:color="auto" w:fill="auto"/>
            <w:vAlign w:val="center"/>
          </w:tcPr>
          <w:p w14:paraId="3EF238DA">
            <w:pPr>
              <w:spacing w:line="440" w:lineRule="exact"/>
              <w:jc w:val="center"/>
              <w:rPr>
                <w:rFonts w:ascii="宋体" w:hAnsi="宋体"/>
                <w:highlight w:val="none"/>
              </w:rPr>
            </w:pPr>
            <w:r>
              <w:rPr>
                <w:rFonts w:hint="eastAsia" w:ascii="宋体" w:hAnsi="宋体"/>
                <w:highlight w:val="none"/>
              </w:rPr>
              <w:t>加工数量</w:t>
            </w:r>
          </w:p>
        </w:tc>
        <w:tc>
          <w:tcPr>
            <w:tcW w:w="3584" w:type="dxa"/>
            <w:shd w:val="clear" w:color="auto" w:fill="auto"/>
            <w:vAlign w:val="center"/>
          </w:tcPr>
          <w:p w14:paraId="3F0A8FA1">
            <w:pPr>
              <w:spacing w:line="440" w:lineRule="exact"/>
              <w:jc w:val="center"/>
              <w:rPr>
                <w:rFonts w:ascii="宋体" w:hAnsi="宋体"/>
                <w:highlight w:val="none"/>
              </w:rPr>
            </w:pPr>
            <w:r>
              <w:rPr>
                <w:rFonts w:hint="eastAsia" w:ascii="宋体" w:hAnsi="宋体"/>
                <w:highlight w:val="none"/>
              </w:rPr>
              <w:t>备注</w:t>
            </w:r>
          </w:p>
        </w:tc>
      </w:tr>
      <w:tr w14:paraId="62017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20" w:type="dxa"/>
            <w:vAlign w:val="center"/>
          </w:tcPr>
          <w:p w14:paraId="6DB666E1">
            <w:pPr>
              <w:spacing w:line="440" w:lineRule="exact"/>
              <w:jc w:val="center"/>
              <w:rPr>
                <w:rFonts w:ascii="宋体" w:hAnsi="宋体"/>
                <w:highlight w:val="none"/>
              </w:rPr>
            </w:pPr>
            <w:r>
              <w:rPr>
                <w:rFonts w:hint="eastAsia" w:ascii="宋体" w:hAnsi="宋体"/>
                <w:highlight w:val="none"/>
              </w:rPr>
              <w:t>1</w:t>
            </w:r>
          </w:p>
        </w:tc>
        <w:tc>
          <w:tcPr>
            <w:tcW w:w="2928" w:type="dxa"/>
            <w:vAlign w:val="center"/>
          </w:tcPr>
          <w:p w14:paraId="3FAA7B6D">
            <w:pPr>
              <w:spacing w:line="440" w:lineRule="exact"/>
              <w:jc w:val="center"/>
              <w:rPr>
                <w:rFonts w:ascii="宋体" w:hAnsi="宋体"/>
                <w:highlight w:val="none"/>
              </w:rPr>
            </w:pPr>
            <w:r>
              <w:rPr>
                <w:rFonts w:hint="eastAsia" w:ascii="宋体" w:hAnsi="宋体"/>
                <w:highlight w:val="none"/>
              </w:rPr>
              <w:t>前</w:t>
            </w:r>
            <w:r>
              <w:rPr>
                <w:rFonts w:ascii="宋体" w:hAnsi="宋体"/>
                <w:highlight w:val="none"/>
              </w:rPr>
              <w:t>墙中部水冷壁散管管屏</w:t>
            </w:r>
          </w:p>
        </w:tc>
        <w:tc>
          <w:tcPr>
            <w:tcW w:w="1417" w:type="dxa"/>
            <w:shd w:val="clear" w:color="auto" w:fill="auto"/>
            <w:vAlign w:val="center"/>
          </w:tcPr>
          <w:p w14:paraId="3AAAB4AD">
            <w:pPr>
              <w:spacing w:line="440" w:lineRule="exact"/>
              <w:jc w:val="center"/>
              <w:rPr>
                <w:rFonts w:ascii="宋体" w:hAnsi="宋体"/>
                <w:highlight w:val="none"/>
              </w:rPr>
            </w:pPr>
            <w:r>
              <w:rPr>
                <w:rFonts w:hint="eastAsia" w:ascii="宋体" w:hAnsi="宋体"/>
                <w:highlight w:val="none"/>
              </w:rPr>
              <w:t>1套</w:t>
            </w:r>
          </w:p>
        </w:tc>
        <w:tc>
          <w:tcPr>
            <w:tcW w:w="3584" w:type="dxa"/>
            <w:shd w:val="clear" w:color="auto" w:fill="auto"/>
            <w:vAlign w:val="top"/>
          </w:tcPr>
          <w:p w14:paraId="0A537CED">
            <w:pPr>
              <w:spacing w:line="500" w:lineRule="exact"/>
              <w:jc w:val="center"/>
              <w:rPr>
                <w:highlight w:val="yellow"/>
              </w:rPr>
            </w:pPr>
            <w:r>
              <w:rPr>
                <w:rFonts w:ascii="宋体" w:hAnsi="宋体"/>
                <w:highlight w:val="none"/>
              </w:rPr>
              <w:t>每屏</w:t>
            </w:r>
            <w:r>
              <w:rPr>
                <w:rFonts w:hint="eastAsia" w:ascii="宋体" w:hAnsi="宋体"/>
                <w:highlight w:val="none"/>
              </w:rPr>
              <w:t>10根</w:t>
            </w:r>
            <w:r>
              <w:rPr>
                <w:rFonts w:hint="eastAsia" w:ascii="宋体" w:hAnsi="宋体"/>
                <w:highlight w:val="none"/>
                <w:lang w:eastAsia="zh-CN"/>
              </w:rPr>
              <w:t>、</w:t>
            </w:r>
            <w:r>
              <w:rPr>
                <w:rFonts w:hint="eastAsia" w:ascii="宋体" w:hAnsi="宋体"/>
                <w:highlight w:val="none"/>
              </w:rPr>
              <w:t>77屏，共计77</w:t>
            </w:r>
            <w:r>
              <w:rPr>
                <w:rFonts w:hint="eastAsia" w:ascii="宋体" w:hAnsi="宋体"/>
                <w:highlight w:val="none"/>
                <w:lang w:eastAsia="zh-CN"/>
              </w:rPr>
              <w:t>0</w:t>
            </w:r>
            <w:r>
              <w:rPr>
                <w:rFonts w:hint="eastAsia" w:ascii="宋体" w:hAnsi="宋体"/>
                <w:highlight w:val="none"/>
                <w:lang w:val="en-US" w:eastAsia="zh-CN"/>
              </w:rPr>
              <w:t>根</w:t>
            </w:r>
          </w:p>
        </w:tc>
      </w:tr>
      <w:tr w14:paraId="30A99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20" w:type="dxa"/>
            <w:vAlign w:val="center"/>
          </w:tcPr>
          <w:p w14:paraId="635270A5">
            <w:pPr>
              <w:spacing w:line="440" w:lineRule="exact"/>
              <w:jc w:val="center"/>
              <w:rPr>
                <w:rFonts w:ascii="宋体" w:hAnsi="宋体"/>
                <w:highlight w:val="none"/>
              </w:rPr>
            </w:pPr>
            <w:r>
              <w:rPr>
                <w:rFonts w:hint="eastAsia" w:ascii="宋体" w:hAnsi="宋体"/>
                <w:highlight w:val="none"/>
              </w:rPr>
              <w:t>2</w:t>
            </w:r>
          </w:p>
        </w:tc>
        <w:tc>
          <w:tcPr>
            <w:tcW w:w="2928" w:type="dxa"/>
            <w:vAlign w:val="center"/>
          </w:tcPr>
          <w:p w14:paraId="3F056F37">
            <w:pPr>
              <w:spacing w:line="440" w:lineRule="exact"/>
              <w:jc w:val="center"/>
              <w:rPr>
                <w:rFonts w:ascii="宋体" w:hAnsi="宋体"/>
                <w:highlight w:val="none"/>
              </w:rPr>
            </w:pPr>
            <w:r>
              <w:rPr>
                <w:rFonts w:hint="eastAsia" w:ascii="宋体" w:hAnsi="宋体"/>
                <w:highlight w:val="none"/>
              </w:rPr>
              <w:t>后</w:t>
            </w:r>
            <w:r>
              <w:rPr>
                <w:rFonts w:ascii="宋体" w:hAnsi="宋体"/>
                <w:highlight w:val="none"/>
              </w:rPr>
              <w:t>墙中部水冷壁散管管屏</w:t>
            </w:r>
          </w:p>
        </w:tc>
        <w:tc>
          <w:tcPr>
            <w:tcW w:w="1417" w:type="dxa"/>
            <w:shd w:val="clear" w:color="auto" w:fill="auto"/>
            <w:vAlign w:val="center"/>
          </w:tcPr>
          <w:p w14:paraId="3E0E6DF1">
            <w:pPr>
              <w:spacing w:line="440" w:lineRule="exact"/>
              <w:jc w:val="center"/>
              <w:rPr>
                <w:rFonts w:ascii="宋体" w:hAnsi="宋体"/>
                <w:highlight w:val="none"/>
              </w:rPr>
            </w:pPr>
            <w:r>
              <w:rPr>
                <w:rFonts w:hint="eastAsia" w:ascii="宋体" w:hAnsi="宋体"/>
                <w:highlight w:val="none"/>
              </w:rPr>
              <w:t>1套</w:t>
            </w:r>
          </w:p>
        </w:tc>
        <w:tc>
          <w:tcPr>
            <w:tcW w:w="3584" w:type="dxa"/>
            <w:shd w:val="clear" w:color="auto" w:fill="auto"/>
            <w:vAlign w:val="top"/>
          </w:tcPr>
          <w:p w14:paraId="2BC6497A">
            <w:pPr>
              <w:spacing w:line="500" w:lineRule="exact"/>
              <w:jc w:val="center"/>
              <w:rPr>
                <w:highlight w:val="yellow"/>
              </w:rPr>
            </w:pPr>
            <w:r>
              <w:rPr>
                <w:rFonts w:ascii="宋体" w:hAnsi="宋体"/>
                <w:highlight w:val="none"/>
              </w:rPr>
              <w:t>每屏</w:t>
            </w:r>
            <w:r>
              <w:rPr>
                <w:rFonts w:hint="eastAsia" w:ascii="宋体" w:hAnsi="宋体"/>
                <w:highlight w:val="none"/>
              </w:rPr>
              <w:t>10根</w:t>
            </w:r>
            <w:r>
              <w:rPr>
                <w:rFonts w:hint="eastAsia" w:ascii="宋体" w:hAnsi="宋体"/>
                <w:highlight w:val="none"/>
                <w:lang w:eastAsia="zh-CN"/>
              </w:rPr>
              <w:t>、</w:t>
            </w:r>
            <w:r>
              <w:rPr>
                <w:rFonts w:hint="eastAsia" w:ascii="宋体" w:hAnsi="宋体"/>
                <w:highlight w:val="none"/>
              </w:rPr>
              <w:t>77屏，共计77</w:t>
            </w:r>
            <w:r>
              <w:rPr>
                <w:rFonts w:hint="eastAsia" w:ascii="宋体" w:hAnsi="宋体"/>
                <w:highlight w:val="none"/>
                <w:lang w:eastAsia="zh-CN"/>
              </w:rPr>
              <w:t>0</w:t>
            </w:r>
            <w:r>
              <w:rPr>
                <w:rFonts w:hint="eastAsia" w:ascii="宋体" w:hAnsi="宋体"/>
                <w:highlight w:val="none"/>
                <w:lang w:val="en-US" w:eastAsia="zh-CN"/>
              </w:rPr>
              <w:t>根</w:t>
            </w:r>
          </w:p>
        </w:tc>
      </w:tr>
      <w:tr w14:paraId="1AED6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20" w:type="dxa"/>
            <w:vAlign w:val="center"/>
          </w:tcPr>
          <w:p w14:paraId="32C9CE05">
            <w:pPr>
              <w:spacing w:line="440" w:lineRule="exact"/>
              <w:jc w:val="center"/>
              <w:rPr>
                <w:rFonts w:ascii="宋体" w:hAnsi="宋体"/>
                <w:highlight w:val="none"/>
              </w:rPr>
            </w:pPr>
            <w:r>
              <w:rPr>
                <w:rFonts w:hint="eastAsia" w:ascii="宋体" w:hAnsi="宋体"/>
                <w:highlight w:val="none"/>
              </w:rPr>
              <w:t>3</w:t>
            </w:r>
          </w:p>
        </w:tc>
        <w:tc>
          <w:tcPr>
            <w:tcW w:w="2928" w:type="dxa"/>
            <w:vAlign w:val="center"/>
          </w:tcPr>
          <w:p w14:paraId="3AEE3EE3">
            <w:pPr>
              <w:spacing w:line="440" w:lineRule="exact"/>
              <w:jc w:val="center"/>
              <w:rPr>
                <w:rFonts w:ascii="宋体" w:hAnsi="宋体"/>
                <w:highlight w:val="none"/>
              </w:rPr>
            </w:pPr>
            <w:r>
              <w:rPr>
                <w:rFonts w:ascii="宋体" w:hAnsi="宋体"/>
                <w:highlight w:val="none"/>
              </w:rPr>
              <w:t>侧墙中部水冷壁散管管屏</w:t>
            </w:r>
            <w:r>
              <w:rPr>
                <w:rFonts w:hint="eastAsia" w:ascii="宋体" w:hAnsi="宋体"/>
                <w:highlight w:val="none"/>
              </w:rPr>
              <w:t>（包括左右侧墙）</w:t>
            </w:r>
          </w:p>
        </w:tc>
        <w:tc>
          <w:tcPr>
            <w:tcW w:w="1417" w:type="dxa"/>
            <w:shd w:val="clear" w:color="auto" w:fill="auto"/>
            <w:vAlign w:val="center"/>
          </w:tcPr>
          <w:p w14:paraId="5AA6D814">
            <w:pPr>
              <w:spacing w:line="440" w:lineRule="exact"/>
              <w:jc w:val="center"/>
              <w:rPr>
                <w:rFonts w:ascii="宋体" w:hAnsi="宋体"/>
                <w:highlight w:val="none"/>
              </w:rPr>
            </w:pPr>
            <w:r>
              <w:rPr>
                <w:rFonts w:hint="eastAsia" w:ascii="宋体" w:hAnsi="宋体"/>
                <w:highlight w:val="none"/>
              </w:rPr>
              <w:t>2套</w:t>
            </w:r>
          </w:p>
        </w:tc>
        <w:tc>
          <w:tcPr>
            <w:tcW w:w="3584" w:type="dxa"/>
            <w:shd w:val="clear" w:color="auto" w:fill="auto"/>
            <w:vAlign w:val="center"/>
          </w:tcPr>
          <w:p w14:paraId="09DFC58C">
            <w:pPr>
              <w:spacing w:line="440" w:lineRule="exact"/>
              <w:jc w:val="center"/>
              <w:rPr>
                <w:rFonts w:ascii="宋体" w:hAnsi="宋体"/>
                <w:highlight w:val="none"/>
              </w:rPr>
            </w:pPr>
            <w:r>
              <w:rPr>
                <w:rFonts w:ascii="宋体" w:hAnsi="宋体"/>
                <w:highlight w:val="none"/>
              </w:rPr>
              <w:t>每屏</w:t>
            </w:r>
            <w:r>
              <w:rPr>
                <w:rFonts w:hint="eastAsia" w:ascii="宋体" w:hAnsi="宋体"/>
                <w:highlight w:val="none"/>
              </w:rPr>
              <w:t>10根（侧墙两套包括左侧墙（352根）</w:t>
            </w:r>
            <w:bookmarkStart w:id="219" w:name="_GoBack"/>
            <w:bookmarkEnd w:id="219"/>
            <w:r>
              <w:rPr>
                <w:rFonts w:hint="eastAsia" w:ascii="宋体" w:hAnsi="宋体"/>
                <w:highlight w:val="none"/>
              </w:rPr>
              <w:t>和右侧墙（352根），共计71屏，左右侧墙结构一样）</w:t>
            </w:r>
          </w:p>
        </w:tc>
      </w:tr>
      <w:tr w14:paraId="2C10F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20" w:type="dxa"/>
            <w:vAlign w:val="center"/>
          </w:tcPr>
          <w:p w14:paraId="3F0C92B4">
            <w:pPr>
              <w:spacing w:line="440" w:lineRule="exact"/>
              <w:jc w:val="center"/>
              <w:rPr>
                <w:rFonts w:ascii="宋体" w:hAnsi="宋体"/>
                <w:highlight w:val="none"/>
              </w:rPr>
            </w:pPr>
            <w:r>
              <w:rPr>
                <w:rFonts w:hint="eastAsia" w:ascii="宋体" w:hAnsi="宋体"/>
                <w:highlight w:val="none"/>
              </w:rPr>
              <w:t>4</w:t>
            </w:r>
          </w:p>
        </w:tc>
        <w:tc>
          <w:tcPr>
            <w:tcW w:w="2928" w:type="dxa"/>
            <w:vAlign w:val="center"/>
          </w:tcPr>
          <w:p w14:paraId="5173D5F2">
            <w:pPr>
              <w:spacing w:line="440" w:lineRule="exact"/>
              <w:jc w:val="center"/>
              <w:rPr>
                <w:rFonts w:ascii="宋体" w:hAnsi="宋体"/>
                <w:highlight w:val="none"/>
              </w:rPr>
            </w:pPr>
          </w:p>
        </w:tc>
        <w:tc>
          <w:tcPr>
            <w:tcW w:w="1417" w:type="dxa"/>
            <w:shd w:val="clear" w:color="auto" w:fill="auto"/>
            <w:vAlign w:val="center"/>
          </w:tcPr>
          <w:p w14:paraId="36A1E674">
            <w:pPr>
              <w:spacing w:line="440" w:lineRule="exact"/>
              <w:jc w:val="center"/>
              <w:rPr>
                <w:rFonts w:ascii="宋体" w:hAnsi="宋体"/>
                <w:highlight w:val="none"/>
              </w:rPr>
            </w:pPr>
          </w:p>
        </w:tc>
        <w:tc>
          <w:tcPr>
            <w:tcW w:w="3584" w:type="dxa"/>
            <w:shd w:val="clear" w:color="auto" w:fill="auto"/>
            <w:vAlign w:val="center"/>
          </w:tcPr>
          <w:p w14:paraId="4DD80C6E">
            <w:pPr>
              <w:spacing w:line="440" w:lineRule="exact"/>
              <w:jc w:val="center"/>
              <w:rPr>
                <w:rFonts w:ascii="宋体" w:hAnsi="宋体"/>
                <w:highlight w:val="none"/>
              </w:rPr>
            </w:pPr>
            <w:r>
              <w:rPr>
                <w:rFonts w:ascii="宋体" w:hAnsi="宋体"/>
                <w:highlight w:val="none"/>
              </w:rPr>
              <w:t>原材料共计约</w:t>
            </w:r>
            <w:r>
              <w:rPr>
                <w:rFonts w:hint="eastAsia" w:ascii="宋体" w:hAnsi="宋体"/>
                <w:highlight w:val="none"/>
              </w:rPr>
              <w:t>50吨</w:t>
            </w:r>
          </w:p>
        </w:tc>
      </w:tr>
    </w:tbl>
    <w:p w14:paraId="0319DE91">
      <w:pPr>
        <w:tabs>
          <w:tab w:val="left" w:pos="567"/>
        </w:tabs>
        <w:spacing w:line="360" w:lineRule="auto"/>
        <w:ind w:firstLine="120" w:firstLineChars="50"/>
        <w:rPr>
          <w:szCs w:val="20"/>
          <w:highlight w:val="none"/>
        </w:rPr>
      </w:pPr>
    </w:p>
    <w:p w14:paraId="7912FFE7">
      <w:pPr>
        <w:tabs>
          <w:tab w:val="left" w:pos="567"/>
        </w:tabs>
        <w:spacing w:line="360" w:lineRule="auto"/>
        <w:ind w:firstLine="120" w:firstLineChars="50"/>
        <w:rPr>
          <w:szCs w:val="20"/>
          <w:highlight w:val="none"/>
        </w:rPr>
      </w:pPr>
      <w:bookmarkStart w:id="87" w:name="_Hlk523406669"/>
      <w:r>
        <w:rPr>
          <w:rFonts w:hint="eastAsia"/>
          <w:highlight w:val="none"/>
        </w:rPr>
        <w:t>6.3.</w:t>
      </w:r>
      <w:bookmarkEnd w:id="87"/>
      <w:r>
        <w:rPr>
          <w:rFonts w:hint="eastAsia"/>
          <w:highlight w:val="none"/>
        </w:rPr>
        <w:t>2供货范围表</w:t>
      </w:r>
      <w:r>
        <w:rPr>
          <w:szCs w:val="20"/>
          <w:highlight w:val="none"/>
        </w:rPr>
        <w:t>的设备交货时间</w:t>
      </w:r>
      <w:r>
        <w:rPr>
          <w:rFonts w:hint="eastAsia"/>
          <w:szCs w:val="20"/>
          <w:highlight w:val="none"/>
          <w:lang w:eastAsia="zh-CN"/>
        </w:rPr>
        <w:t>：</w:t>
      </w:r>
      <w:r>
        <w:rPr>
          <w:rFonts w:hint="eastAsia" w:ascii="宋体" w:hAnsi="宋体" w:eastAsia="宋体" w:cs="宋体"/>
          <w:color w:val="000000"/>
          <w:sz w:val="24"/>
          <w:szCs w:val="24"/>
          <w:highlight w:val="none"/>
          <w:lang w:val="en-US" w:eastAsia="zh-CN"/>
        </w:rPr>
        <w:t>合同签订后收到</w:t>
      </w:r>
      <w:r>
        <w:rPr>
          <w:rFonts w:hint="eastAsia" w:ascii="宋体" w:hAnsi="宋体" w:cs="宋体"/>
          <w:color w:val="000000"/>
          <w:sz w:val="24"/>
          <w:szCs w:val="24"/>
          <w:highlight w:val="none"/>
          <w:lang w:val="en-US" w:eastAsia="zh-CN"/>
        </w:rPr>
        <w:t>招标</w:t>
      </w:r>
      <w:r>
        <w:rPr>
          <w:rFonts w:hint="eastAsia" w:ascii="宋体" w:hAnsi="宋体" w:eastAsia="宋体" w:cs="宋体"/>
          <w:color w:val="000000"/>
          <w:sz w:val="24"/>
          <w:szCs w:val="24"/>
          <w:highlight w:val="none"/>
          <w:lang w:val="en-US" w:eastAsia="zh-CN"/>
        </w:rPr>
        <w:t>人通知后2个月内。</w:t>
      </w:r>
    </w:p>
    <w:p w14:paraId="2E73A4E5">
      <w:pPr>
        <w:tabs>
          <w:tab w:val="left" w:pos="567"/>
        </w:tabs>
        <w:spacing w:line="360" w:lineRule="auto"/>
        <w:ind w:firstLine="120" w:firstLineChars="50"/>
        <w:rPr>
          <w:szCs w:val="20"/>
          <w:highlight w:val="none"/>
        </w:rPr>
      </w:pPr>
      <w:r>
        <w:rPr>
          <w:rFonts w:hint="eastAsia"/>
          <w:highlight w:val="none"/>
        </w:rPr>
        <w:t>6.3.2</w:t>
      </w:r>
      <w:r>
        <w:rPr>
          <w:rFonts w:hint="eastAsia"/>
          <w:szCs w:val="20"/>
          <w:highlight w:val="none"/>
        </w:rPr>
        <w:t>投标人设备交货要满足工程安装进度的要求；</w:t>
      </w:r>
    </w:p>
    <w:p w14:paraId="58DCFCFD">
      <w:pPr>
        <w:tabs>
          <w:tab w:val="left" w:pos="567"/>
        </w:tabs>
        <w:spacing w:line="360" w:lineRule="auto"/>
        <w:ind w:firstLine="720" w:firstLineChars="300"/>
        <w:rPr>
          <w:szCs w:val="20"/>
          <w:highlight w:val="none"/>
        </w:rPr>
      </w:pPr>
      <w:r>
        <w:rPr>
          <w:rFonts w:hint="eastAsia"/>
          <w:szCs w:val="20"/>
          <w:highlight w:val="none"/>
        </w:rPr>
        <w:t>（1）</w:t>
      </w:r>
      <w:r>
        <w:rPr>
          <w:szCs w:val="20"/>
          <w:highlight w:val="none"/>
        </w:rPr>
        <w:t>序号要与供货范围分项清单序号一致</w:t>
      </w:r>
      <w:r>
        <w:rPr>
          <w:rFonts w:hint="eastAsia"/>
          <w:szCs w:val="20"/>
          <w:highlight w:val="none"/>
        </w:rPr>
        <w:t>；</w:t>
      </w:r>
    </w:p>
    <w:p w14:paraId="3D218533">
      <w:pPr>
        <w:tabs>
          <w:tab w:val="left" w:pos="567"/>
        </w:tabs>
        <w:spacing w:line="360" w:lineRule="auto"/>
        <w:ind w:firstLine="720" w:firstLineChars="300"/>
        <w:rPr>
          <w:szCs w:val="20"/>
          <w:highlight w:val="none"/>
        </w:rPr>
      </w:pPr>
      <w:r>
        <w:rPr>
          <w:rFonts w:hint="eastAsia"/>
          <w:szCs w:val="20"/>
          <w:highlight w:val="none"/>
        </w:rPr>
        <w:t>（2）技术协议签订后，投标人在2周内，向招标人提供一个详尽的生产计划，包括设备材料采购、设备制造、厂内测试以及运输等项的详情，以确定每部分工作及其进度，投标人自制生产计划进度表，并列出详细条目，以满足工程进度要求。</w:t>
      </w:r>
    </w:p>
    <w:p w14:paraId="0D91184D">
      <w:pPr>
        <w:pStyle w:val="3"/>
        <w:spacing w:before="0" w:after="0" w:line="500" w:lineRule="exact"/>
        <w:rPr>
          <w:rFonts w:hAnsi="宋体"/>
          <w:bCs/>
          <w:szCs w:val="28"/>
          <w:highlight w:val="none"/>
        </w:rPr>
      </w:pPr>
      <w:bookmarkStart w:id="88" w:name="_Toc170462603"/>
      <w:bookmarkStart w:id="89" w:name="_Toc96238078"/>
      <w:bookmarkStart w:id="90" w:name="_Toc170270577"/>
      <w:r>
        <w:rPr>
          <w:rFonts w:hint="eastAsia" w:hAnsi="宋体"/>
          <w:highlight w:val="none"/>
        </w:rPr>
        <w:t>7</w:t>
      </w:r>
      <w:r>
        <w:rPr>
          <w:rFonts w:hint="eastAsia" w:hAnsi="宋体"/>
          <w:bCs/>
          <w:szCs w:val="28"/>
          <w:highlight w:val="none"/>
        </w:rPr>
        <w:t xml:space="preserve">   清洁</w:t>
      </w:r>
      <w:r>
        <w:rPr>
          <w:rFonts w:hAnsi="宋体"/>
          <w:bCs/>
          <w:szCs w:val="28"/>
          <w:highlight w:val="none"/>
        </w:rPr>
        <w:t xml:space="preserve">, </w:t>
      </w:r>
      <w:r>
        <w:rPr>
          <w:rFonts w:hint="eastAsia" w:hAnsi="宋体"/>
          <w:bCs/>
          <w:szCs w:val="28"/>
          <w:highlight w:val="none"/>
        </w:rPr>
        <w:t>油漆</w:t>
      </w:r>
      <w:r>
        <w:rPr>
          <w:rFonts w:hAnsi="宋体"/>
          <w:bCs/>
          <w:szCs w:val="28"/>
          <w:highlight w:val="none"/>
        </w:rPr>
        <w:t xml:space="preserve">, </w:t>
      </w:r>
      <w:r>
        <w:rPr>
          <w:rFonts w:hint="eastAsia" w:hAnsi="宋体"/>
          <w:bCs/>
          <w:szCs w:val="28"/>
          <w:highlight w:val="none"/>
        </w:rPr>
        <w:t>包装</w:t>
      </w:r>
      <w:r>
        <w:rPr>
          <w:rFonts w:hAnsi="宋体"/>
          <w:bCs/>
          <w:szCs w:val="28"/>
          <w:highlight w:val="none"/>
        </w:rPr>
        <w:t xml:space="preserve">, </w:t>
      </w:r>
      <w:r>
        <w:rPr>
          <w:rFonts w:hint="eastAsia" w:hAnsi="宋体"/>
          <w:bCs/>
          <w:szCs w:val="28"/>
          <w:highlight w:val="none"/>
        </w:rPr>
        <w:t>装卸, 运输与储存</w:t>
      </w:r>
      <w:bookmarkEnd w:id="88"/>
      <w:bookmarkEnd w:id="89"/>
      <w:bookmarkEnd w:id="90"/>
    </w:p>
    <w:p w14:paraId="223F4CDE">
      <w:pPr>
        <w:spacing w:line="500" w:lineRule="exact"/>
        <w:rPr>
          <w:highlight w:val="none"/>
        </w:rPr>
      </w:pPr>
      <w:r>
        <w:rPr>
          <w:rFonts w:hint="eastAsia"/>
          <w:highlight w:val="none"/>
        </w:rPr>
        <w:t>7</w:t>
      </w:r>
      <w:r>
        <w:rPr>
          <w:highlight w:val="none"/>
        </w:rPr>
        <w:t>.1 清洁和油漆</w:t>
      </w:r>
    </w:p>
    <w:p w14:paraId="78D03C72">
      <w:pPr>
        <w:tabs>
          <w:tab w:val="left" w:pos="240"/>
        </w:tabs>
        <w:spacing w:line="500" w:lineRule="exact"/>
        <w:rPr>
          <w:highlight w:val="none"/>
        </w:rPr>
      </w:pPr>
      <w:bookmarkStart w:id="91" w:name="_Hlk523453714"/>
      <w:r>
        <w:rPr>
          <w:rFonts w:hint="eastAsia"/>
          <w:highlight w:val="none"/>
        </w:rPr>
        <w:t xml:space="preserve">7.1.1 </w:t>
      </w:r>
      <w:bookmarkEnd w:id="91"/>
      <w:r>
        <w:rPr>
          <w:rFonts w:hint="eastAsia"/>
          <w:highlight w:val="none"/>
        </w:rPr>
        <w:t>所有管屏须100%通球试验，并提供相关的记录。</w:t>
      </w:r>
    </w:p>
    <w:p w14:paraId="7395123D">
      <w:pPr>
        <w:tabs>
          <w:tab w:val="left" w:pos="240"/>
        </w:tabs>
        <w:spacing w:line="500" w:lineRule="exact"/>
        <w:rPr>
          <w:highlight w:val="none"/>
        </w:rPr>
      </w:pPr>
      <w:r>
        <w:rPr>
          <w:rFonts w:hint="eastAsia"/>
          <w:highlight w:val="none"/>
        </w:rPr>
        <w:t>7.1.2标的物内部干净，不遗留垃圾及氧化皮等碎屑。</w:t>
      </w:r>
    </w:p>
    <w:p w14:paraId="62D2A7DA">
      <w:pPr>
        <w:tabs>
          <w:tab w:val="left" w:pos="240"/>
        </w:tabs>
        <w:spacing w:line="500" w:lineRule="exact"/>
        <w:rPr>
          <w:highlight w:val="none"/>
        </w:rPr>
      </w:pPr>
      <w:r>
        <w:rPr>
          <w:rFonts w:hint="eastAsia"/>
          <w:highlight w:val="none"/>
        </w:rPr>
        <w:t>7.1.3管件加工制造完毕后，管件内表面防腐防潮处理，并保证易于清洗，外表面涂防锈底漆并加严格封堵以防止损伤或杂物进入，管外壁涂防锈漆防锈蚀，碳钢部分为灰色，合金部分为黑色，坡口用专用防锈剂。</w:t>
      </w:r>
    </w:p>
    <w:p w14:paraId="051B1900">
      <w:pPr>
        <w:tabs>
          <w:tab w:val="left" w:pos="240"/>
        </w:tabs>
        <w:spacing w:line="500" w:lineRule="exact"/>
        <w:rPr>
          <w:spacing w:val="5"/>
          <w:highlight w:val="none"/>
        </w:rPr>
      </w:pPr>
      <w:bookmarkStart w:id="92" w:name="_Hlk523453873"/>
      <w:r>
        <w:rPr>
          <w:rFonts w:hint="eastAsia"/>
          <w:spacing w:val="5"/>
          <w:highlight w:val="none"/>
        </w:rPr>
        <w:t>7</w:t>
      </w:r>
      <w:r>
        <w:rPr>
          <w:spacing w:val="5"/>
          <w:highlight w:val="none"/>
        </w:rPr>
        <w:t>.2</w:t>
      </w:r>
      <w:bookmarkEnd w:id="92"/>
      <w:r>
        <w:rPr>
          <w:spacing w:val="5"/>
          <w:highlight w:val="none"/>
        </w:rPr>
        <w:t>包装﹑运输</w:t>
      </w:r>
    </w:p>
    <w:p w14:paraId="6A5E08AB">
      <w:pPr>
        <w:tabs>
          <w:tab w:val="left" w:pos="240"/>
        </w:tabs>
        <w:spacing w:line="500" w:lineRule="exact"/>
        <w:rPr>
          <w:spacing w:val="5"/>
          <w:highlight w:val="none"/>
        </w:rPr>
      </w:pPr>
      <w:r>
        <w:rPr>
          <w:rFonts w:hint="eastAsia"/>
          <w:spacing w:val="5"/>
          <w:highlight w:val="none"/>
        </w:rPr>
        <w:t>7</w:t>
      </w:r>
      <w:r>
        <w:rPr>
          <w:spacing w:val="5"/>
          <w:highlight w:val="none"/>
        </w:rPr>
        <w:t>.2</w:t>
      </w:r>
      <w:r>
        <w:rPr>
          <w:rFonts w:hint="eastAsia"/>
          <w:spacing w:val="5"/>
          <w:highlight w:val="none"/>
        </w:rPr>
        <w:t>.1管件有包装，小尺寸管件装箱；大尺寸管件端口等采取措施进行保护。管件的包装满足吊装需要。按有关包装技术条件进行包装，使用坚固木箱，对管道进行妥善的油漆，或其它有效防腐处理，适应远途海上陆路运输条件和大件吊运卸货的需要从而防止雨雪、受潮、生锈、腐蚀、受震以及机械和化学引起的损坏。所有散件装箱有区分标志。</w:t>
      </w:r>
    </w:p>
    <w:p w14:paraId="0E92BAF5">
      <w:pPr>
        <w:tabs>
          <w:tab w:val="left" w:pos="240"/>
        </w:tabs>
        <w:spacing w:line="500" w:lineRule="exact"/>
        <w:rPr>
          <w:spacing w:val="5"/>
          <w:highlight w:val="none"/>
        </w:rPr>
      </w:pPr>
      <w:r>
        <w:rPr>
          <w:rFonts w:hint="eastAsia"/>
          <w:spacing w:val="5"/>
          <w:highlight w:val="none"/>
        </w:rPr>
        <w:t>7</w:t>
      </w:r>
      <w:r>
        <w:rPr>
          <w:spacing w:val="5"/>
          <w:highlight w:val="none"/>
        </w:rPr>
        <w:t>.2</w:t>
      </w:r>
      <w:r>
        <w:rPr>
          <w:rFonts w:hint="eastAsia"/>
          <w:spacing w:val="5"/>
          <w:highlight w:val="none"/>
        </w:rPr>
        <w:t>.2</w:t>
      </w:r>
      <w:r>
        <w:rPr>
          <w:spacing w:val="5"/>
          <w:highlight w:val="none"/>
        </w:rPr>
        <w:t>生产厂商编制装、拆发运清册，并注明包装形式。</w:t>
      </w:r>
    </w:p>
    <w:p w14:paraId="45B10554">
      <w:pPr>
        <w:tabs>
          <w:tab w:val="left" w:pos="240"/>
        </w:tabs>
        <w:spacing w:line="500" w:lineRule="exact"/>
        <w:rPr>
          <w:spacing w:val="5"/>
          <w:highlight w:val="none"/>
        </w:rPr>
      </w:pPr>
      <w:bookmarkStart w:id="93" w:name="_Hlk523453934"/>
      <w:r>
        <w:rPr>
          <w:rFonts w:hint="eastAsia"/>
          <w:spacing w:val="5"/>
          <w:highlight w:val="none"/>
        </w:rPr>
        <w:t>7</w:t>
      </w:r>
      <w:r>
        <w:rPr>
          <w:spacing w:val="5"/>
          <w:highlight w:val="none"/>
        </w:rPr>
        <w:t>.2</w:t>
      </w:r>
      <w:r>
        <w:rPr>
          <w:rFonts w:hint="eastAsia"/>
          <w:spacing w:val="5"/>
          <w:highlight w:val="none"/>
        </w:rPr>
        <w:t>.3</w:t>
      </w:r>
      <w:bookmarkEnd w:id="93"/>
      <w:r>
        <w:rPr>
          <w:rFonts w:hint="eastAsia"/>
          <w:spacing w:val="5"/>
          <w:highlight w:val="none"/>
        </w:rPr>
        <w:t>管件的外包装上清楚标明招标人的定货号、运输识别号、到货地点、工程项目名称、收货人、设备运输及储存保管要求的国际通用标记。</w:t>
      </w:r>
    </w:p>
    <w:p w14:paraId="6AEF91EB">
      <w:pPr>
        <w:tabs>
          <w:tab w:val="left" w:pos="240"/>
        </w:tabs>
        <w:spacing w:line="500" w:lineRule="exact"/>
        <w:rPr>
          <w:spacing w:val="5"/>
          <w:highlight w:val="none"/>
        </w:rPr>
      </w:pPr>
      <w:r>
        <w:rPr>
          <w:rFonts w:hint="eastAsia"/>
          <w:spacing w:val="5"/>
          <w:highlight w:val="none"/>
        </w:rPr>
        <w:t>7</w:t>
      </w:r>
      <w:r>
        <w:rPr>
          <w:spacing w:val="5"/>
          <w:highlight w:val="none"/>
        </w:rPr>
        <w:t>.2</w:t>
      </w:r>
      <w:r>
        <w:rPr>
          <w:rFonts w:hint="eastAsia"/>
          <w:spacing w:val="5"/>
          <w:highlight w:val="none"/>
        </w:rPr>
        <w:t>.4投标人提供储存、保管和搬运的说明书，招标人依照执行，且有确认保管时没有损坏的定期检验和维护说明。</w:t>
      </w:r>
    </w:p>
    <w:p w14:paraId="23599C07">
      <w:pPr>
        <w:tabs>
          <w:tab w:val="left" w:pos="240"/>
        </w:tabs>
        <w:spacing w:line="500" w:lineRule="exact"/>
        <w:rPr>
          <w:spacing w:val="5"/>
          <w:highlight w:val="none"/>
        </w:rPr>
      </w:pPr>
      <w:r>
        <w:rPr>
          <w:rFonts w:hint="eastAsia"/>
          <w:spacing w:val="5"/>
          <w:highlight w:val="none"/>
        </w:rPr>
        <w:t>7</w:t>
      </w:r>
      <w:r>
        <w:rPr>
          <w:spacing w:val="5"/>
          <w:highlight w:val="none"/>
        </w:rPr>
        <w:t>.2</w:t>
      </w:r>
      <w:r>
        <w:rPr>
          <w:rFonts w:hint="eastAsia"/>
          <w:spacing w:val="5"/>
          <w:highlight w:val="none"/>
        </w:rPr>
        <w:t>.5</w:t>
      </w:r>
      <w:r>
        <w:rPr>
          <w:spacing w:val="5"/>
          <w:highlight w:val="none"/>
        </w:rPr>
        <w:t>运输中防腐蚀、防碰撞。运输中由于投标人包装不当引起的设备损坏由投标人负责，招标人进行现场验收。堆放时防止构件变形。</w:t>
      </w:r>
    </w:p>
    <w:p w14:paraId="1B16A07B">
      <w:pPr>
        <w:tabs>
          <w:tab w:val="left" w:pos="240"/>
        </w:tabs>
        <w:spacing w:line="500" w:lineRule="exact"/>
        <w:rPr>
          <w:spacing w:val="5"/>
          <w:highlight w:val="none"/>
        </w:rPr>
      </w:pPr>
      <w:r>
        <w:rPr>
          <w:rFonts w:hint="eastAsia"/>
          <w:spacing w:val="5"/>
          <w:highlight w:val="none"/>
        </w:rPr>
        <w:t>7</w:t>
      </w:r>
      <w:r>
        <w:rPr>
          <w:spacing w:val="5"/>
          <w:highlight w:val="none"/>
        </w:rPr>
        <w:t>.2</w:t>
      </w:r>
      <w:r>
        <w:rPr>
          <w:rFonts w:hint="eastAsia"/>
          <w:spacing w:val="5"/>
          <w:highlight w:val="none"/>
        </w:rPr>
        <w:t>.6每个包装箱均有便于移动的滑动部件及吊钩，吊钩装于起吊点，并在外包装上标明设备重量及重心、起吊点。</w:t>
      </w:r>
    </w:p>
    <w:p w14:paraId="311DAC3A">
      <w:pPr>
        <w:tabs>
          <w:tab w:val="left" w:pos="240"/>
        </w:tabs>
        <w:spacing w:line="500" w:lineRule="exact"/>
        <w:rPr>
          <w:spacing w:val="5"/>
          <w:highlight w:val="none"/>
        </w:rPr>
      </w:pPr>
      <w:r>
        <w:rPr>
          <w:rFonts w:hint="eastAsia"/>
          <w:spacing w:val="5"/>
          <w:highlight w:val="none"/>
        </w:rPr>
        <w:t>7</w:t>
      </w:r>
      <w:r>
        <w:rPr>
          <w:spacing w:val="5"/>
          <w:highlight w:val="none"/>
        </w:rPr>
        <w:t>.2</w:t>
      </w:r>
      <w:r>
        <w:rPr>
          <w:rFonts w:hint="eastAsia"/>
          <w:spacing w:val="5"/>
          <w:highlight w:val="none"/>
        </w:rPr>
        <w:t>.7管件的运输由投标人办理，采取防止磕碰措施，在到达指定地点验收时不损坏管件，如果有损坏，投标人在规定期限内修复或更换。</w:t>
      </w:r>
    </w:p>
    <w:p w14:paraId="1D4E1BC4">
      <w:pPr>
        <w:tabs>
          <w:tab w:val="left" w:pos="240"/>
        </w:tabs>
        <w:spacing w:line="500" w:lineRule="exact"/>
        <w:rPr>
          <w:spacing w:val="5"/>
          <w:highlight w:val="none"/>
        </w:rPr>
      </w:pPr>
      <w:r>
        <w:rPr>
          <w:rFonts w:hint="eastAsia"/>
          <w:spacing w:val="5"/>
          <w:highlight w:val="none"/>
        </w:rPr>
        <w:t>7</w:t>
      </w:r>
      <w:r>
        <w:rPr>
          <w:spacing w:val="5"/>
          <w:highlight w:val="none"/>
        </w:rPr>
        <w:t>.2</w:t>
      </w:r>
      <w:r>
        <w:rPr>
          <w:rFonts w:hint="eastAsia"/>
          <w:spacing w:val="5"/>
          <w:highlight w:val="none"/>
        </w:rPr>
        <w:t>.8管件端部需封闭，封闭物坚固严密，防止端部碰伤。提供的设备包装保护好，使其在室外条件下能储放。</w:t>
      </w:r>
    </w:p>
    <w:p w14:paraId="3A229891">
      <w:pPr>
        <w:tabs>
          <w:tab w:val="left" w:pos="240"/>
        </w:tabs>
        <w:spacing w:line="500" w:lineRule="exact"/>
        <w:rPr>
          <w:highlight w:val="none"/>
        </w:rPr>
      </w:pPr>
      <w:bookmarkStart w:id="94" w:name="_Toc33600663"/>
      <w:r>
        <w:rPr>
          <w:rFonts w:hint="eastAsia"/>
          <w:highlight w:val="none"/>
        </w:rPr>
        <w:t>7</w:t>
      </w:r>
      <w:r>
        <w:rPr>
          <w:highlight w:val="none"/>
        </w:rPr>
        <w:t>.</w:t>
      </w:r>
      <w:r>
        <w:rPr>
          <w:rFonts w:hint="eastAsia"/>
          <w:highlight w:val="none"/>
        </w:rPr>
        <w:t>3标志</w:t>
      </w:r>
      <w:bookmarkEnd w:id="94"/>
    </w:p>
    <w:p w14:paraId="2F456F9B">
      <w:pPr>
        <w:spacing w:line="360" w:lineRule="auto"/>
        <w:rPr>
          <w:rFonts w:ascii="宋体" w:hAnsi="宋体"/>
          <w:color w:val="000000"/>
          <w:kern w:val="0"/>
          <w:szCs w:val="20"/>
          <w:highlight w:val="none"/>
        </w:rPr>
      </w:pPr>
      <w:r>
        <w:rPr>
          <w:rFonts w:hint="eastAsia"/>
          <w:highlight w:val="none"/>
        </w:rPr>
        <w:t>7</w:t>
      </w:r>
      <w:r>
        <w:rPr>
          <w:highlight w:val="none"/>
        </w:rPr>
        <w:t>.</w:t>
      </w:r>
      <w:r>
        <w:rPr>
          <w:rFonts w:hint="eastAsia"/>
          <w:highlight w:val="none"/>
        </w:rPr>
        <w:t>3</w:t>
      </w:r>
      <w:r>
        <w:rPr>
          <w:rFonts w:hint="eastAsia" w:ascii="宋体" w:hAnsi="宋体"/>
          <w:color w:val="000000"/>
          <w:szCs w:val="20"/>
          <w:highlight w:val="none"/>
        </w:rPr>
        <w:t>.1管件有包装，小尺寸管件装箱；大尺寸管件端口等采取措施进行保护。管件的包装满足吊装需要。</w:t>
      </w:r>
      <w:r>
        <w:rPr>
          <w:rFonts w:hint="eastAsia" w:ascii="宋体" w:hAnsi="宋体"/>
          <w:color w:val="000000"/>
          <w:kern w:val="0"/>
          <w:szCs w:val="20"/>
          <w:highlight w:val="none"/>
        </w:rPr>
        <w:t>按有关包装技术条件进行包装，使用坚固木箱，对管道进行妥善的油漆，或其它有效防腐处理，适应远途海上陆路运输条件和大件吊运卸货的需要从而防止雨雪、受潮、生锈、腐蚀、受震以及机械和化学引起的损坏。所有散件装箱有区分标志。</w:t>
      </w:r>
    </w:p>
    <w:p w14:paraId="5D2A2625">
      <w:pPr>
        <w:spacing w:line="360" w:lineRule="auto"/>
        <w:rPr>
          <w:rFonts w:ascii="宋体" w:hAnsi="宋体"/>
          <w:color w:val="000000"/>
          <w:kern w:val="0"/>
          <w:szCs w:val="20"/>
          <w:highlight w:val="none"/>
        </w:rPr>
      </w:pPr>
      <w:r>
        <w:rPr>
          <w:rFonts w:hint="eastAsia"/>
          <w:highlight w:val="none"/>
        </w:rPr>
        <w:t>7</w:t>
      </w:r>
      <w:r>
        <w:rPr>
          <w:highlight w:val="none"/>
        </w:rPr>
        <w:t>.</w:t>
      </w:r>
      <w:r>
        <w:rPr>
          <w:rFonts w:hint="eastAsia"/>
          <w:highlight w:val="none"/>
        </w:rPr>
        <w:t>3</w:t>
      </w:r>
      <w:r>
        <w:rPr>
          <w:rFonts w:hint="eastAsia" w:ascii="宋体" w:hAnsi="宋体"/>
          <w:color w:val="000000"/>
          <w:szCs w:val="20"/>
          <w:highlight w:val="none"/>
        </w:rPr>
        <w:t>.2</w:t>
      </w:r>
      <w:r>
        <w:rPr>
          <w:rFonts w:ascii="宋体" w:hAnsi="宋体"/>
          <w:color w:val="000000"/>
          <w:kern w:val="0"/>
          <w:szCs w:val="20"/>
          <w:highlight w:val="none"/>
        </w:rPr>
        <w:t>生产厂商编制装、拆发运清册，并注明包装形式。</w:t>
      </w:r>
    </w:p>
    <w:p w14:paraId="6BE3D695">
      <w:pPr>
        <w:spacing w:line="360" w:lineRule="auto"/>
        <w:rPr>
          <w:rFonts w:ascii="宋体" w:hAnsi="宋体"/>
          <w:color w:val="000000"/>
          <w:szCs w:val="20"/>
          <w:highlight w:val="none"/>
        </w:rPr>
      </w:pPr>
      <w:r>
        <w:rPr>
          <w:rFonts w:hint="eastAsia"/>
          <w:highlight w:val="none"/>
        </w:rPr>
        <w:t>7</w:t>
      </w:r>
      <w:r>
        <w:rPr>
          <w:highlight w:val="none"/>
        </w:rPr>
        <w:t>.</w:t>
      </w:r>
      <w:r>
        <w:rPr>
          <w:rFonts w:hint="eastAsia"/>
          <w:highlight w:val="none"/>
        </w:rPr>
        <w:t>3</w:t>
      </w:r>
      <w:r>
        <w:rPr>
          <w:rFonts w:hint="eastAsia" w:ascii="宋体" w:hAnsi="宋体"/>
          <w:color w:val="000000"/>
          <w:kern w:val="0"/>
          <w:szCs w:val="20"/>
          <w:highlight w:val="none"/>
        </w:rPr>
        <w:t>.3管件的外包装上清楚标明招标人的定货号、运输识别号、到货地点、工程项目名称、收货人、设备运输及储存保管要求的国际通用标记。</w:t>
      </w:r>
    </w:p>
    <w:p w14:paraId="138A223D">
      <w:pPr>
        <w:spacing w:line="360" w:lineRule="auto"/>
        <w:rPr>
          <w:spacing w:val="5"/>
          <w:highlight w:val="none"/>
        </w:rPr>
      </w:pPr>
      <w:r>
        <w:rPr>
          <w:rFonts w:hint="eastAsia"/>
          <w:spacing w:val="5"/>
          <w:highlight w:val="none"/>
        </w:rPr>
        <w:t>7</w:t>
      </w:r>
      <w:r>
        <w:rPr>
          <w:spacing w:val="5"/>
          <w:highlight w:val="none"/>
        </w:rPr>
        <w:t>.</w:t>
      </w:r>
      <w:r>
        <w:rPr>
          <w:rFonts w:hint="eastAsia"/>
          <w:spacing w:val="5"/>
          <w:highlight w:val="none"/>
        </w:rPr>
        <w:t>4</w:t>
      </w:r>
      <w:r>
        <w:rPr>
          <w:spacing w:val="5"/>
          <w:highlight w:val="none"/>
        </w:rPr>
        <w:t>运输与储存</w:t>
      </w:r>
    </w:p>
    <w:p w14:paraId="45498B34">
      <w:pPr>
        <w:spacing w:line="360" w:lineRule="auto"/>
        <w:rPr>
          <w:rFonts w:ascii="宋体" w:hAnsi="宋体"/>
          <w:highlight w:val="none"/>
        </w:rPr>
      </w:pPr>
      <w:r>
        <w:rPr>
          <w:rFonts w:hint="eastAsia"/>
          <w:spacing w:val="5"/>
          <w:highlight w:val="none"/>
        </w:rPr>
        <w:t>7</w:t>
      </w:r>
      <w:r>
        <w:rPr>
          <w:spacing w:val="5"/>
          <w:highlight w:val="none"/>
        </w:rPr>
        <w:t>.</w:t>
      </w:r>
      <w:r>
        <w:rPr>
          <w:rFonts w:hint="eastAsia"/>
          <w:spacing w:val="5"/>
          <w:highlight w:val="none"/>
        </w:rPr>
        <w:t>4</w:t>
      </w:r>
      <w:r>
        <w:rPr>
          <w:rFonts w:hint="eastAsia" w:ascii="宋体" w:hAnsi="宋体"/>
          <w:highlight w:val="none"/>
        </w:rPr>
        <w:t>.1投标人提供储存、保管和搬运的说明书，招标人依照执行，且有确认保管时没有损坏的定期检验和维护说明。</w:t>
      </w:r>
    </w:p>
    <w:p w14:paraId="276CFCFC">
      <w:pPr>
        <w:tabs>
          <w:tab w:val="left" w:pos="240"/>
        </w:tabs>
        <w:spacing w:line="500" w:lineRule="exact"/>
        <w:rPr>
          <w:rFonts w:ascii="宋体" w:hAnsi="宋体"/>
          <w:highlight w:val="none"/>
        </w:rPr>
      </w:pPr>
      <w:r>
        <w:rPr>
          <w:rFonts w:hint="eastAsia"/>
          <w:spacing w:val="5"/>
          <w:highlight w:val="none"/>
        </w:rPr>
        <w:t>7</w:t>
      </w:r>
      <w:r>
        <w:rPr>
          <w:spacing w:val="5"/>
          <w:highlight w:val="none"/>
        </w:rPr>
        <w:t>.</w:t>
      </w:r>
      <w:r>
        <w:rPr>
          <w:rFonts w:hint="eastAsia"/>
          <w:spacing w:val="5"/>
          <w:highlight w:val="none"/>
        </w:rPr>
        <w:t>4</w:t>
      </w:r>
      <w:r>
        <w:rPr>
          <w:rFonts w:hint="eastAsia" w:ascii="宋体" w:hAnsi="宋体"/>
          <w:highlight w:val="none"/>
        </w:rPr>
        <w:t>.2</w:t>
      </w:r>
      <w:r>
        <w:rPr>
          <w:rFonts w:ascii="宋体" w:hAnsi="宋体"/>
          <w:highlight w:val="none"/>
        </w:rPr>
        <w:t>运输中防腐蚀、防碰撞。运输中由于投标人包装不当引起的设备损坏由投标人负责，招标人进行现场验收。堆放时防止构件变形。</w:t>
      </w:r>
    </w:p>
    <w:p w14:paraId="76060E84">
      <w:pPr>
        <w:tabs>
          <w:tab w:val="left" w:pos="240"/>
        </w:tabs>
        <w:spacing w:line="500" w:lineRule="exact"/>
        <w:rPr>
          <w:rFonts w:ascii="宋体" w:hAnsi="宋体"/>
          <w:highlight w:val="none"/>
        </w:rPr>
      </w:pPr>
      <w:r>
        <w:rPr>
          <w:rFonts w:hint="eastAsia"/>
          <w:spacing w:val="5"/>
          <w:highlight w:val="none"/>
        </w:rPr>
        <w:t>7</w:t>
      </w:r>
      <w:r>
        <w:rPr>
          <w:spacing w:val="5"/>
          <w:highlight w:val="none"/>
        </w:rPr>
        <w:t>.</w:t>
      </w:r>
      <w:r>
        <w:rPr>
          <w:rFonts w:hint="eastAsia"/>
          <w:spacing w:val="5"/>
          <w:highlight w:val="none"/>
        </w:rPr>
        <w:t>4</w:t>
      </w:r>
      <w:r>
        <w:rPr>
          <w:rFonts w:hint="eastAsia" w:ascii="宋体" w:hAnsi="宋体"/>
          <w:highlight w:val="none"/>
        </w:rPr>
        <w:t>.3每个包装箱均有便于移动的滑动部件及吊钩，吊钩装于起吊点，并在外包装上标明设备重量及重心、起吊点。</w:t>
      </w:r>
    </w:p>
    <w:p w14:paraId="5F90B062">
      <w:pPr>
        <w:tabs>
          <w:tab w:val="left" w:pos="240"/>
        </w:tabs>
        <w:spacing w:line="500" w:lineRule="exact"/>
        <w:rPr>
          <w:rFonts w:ascii="宋体" w:hAnsi="宋体"/>
          <w:highlight w:val="none"/>
        </w:rPr>
      </w:pPr>
      <w:r>
        <w:rPr>
          <w:rFonts w:hint="eastAsia"/>
          <w:spacing w:val="5"/>
          <w:highlight w:val="none"/>
        </w:rPr>
        <w:t>7</w:t>
      </w:r>
      <w:r>
        <w:rPr>
          <w:spacing w:val="5"/>
          <w:highlight w:val="none"/>
        </w:rPr>
        <w:t>.</w:t>
      </w:r>
      <w:r>
        <w:rPr>
          <w:rFonts w:hint="eastAsia"/>
          <w:spacing w:val="5"/>
          <w:highlight w:val="none"/>
        </w:rPr>
        <w:t>4</w:t>
      </w:r>
      <w:r>
        <w:rPr>
          <w:rFonts w:hint="eastAsia" w:ascii="宋体" w:hAnsi="宋体"/>
          <w:highlight w:val="none"/>
        </w:rPr>
        <w:t>.4管件的运输由投标人办理，采取防止磕碰措施，在到达指定地点验收时不损坏管件，如果有损坏，投标人在规定期限内修复或更换。</w:t>
      </w:r>
    </w:p>
    <w:p w14:paraId="67BE2C65">
      <w:pPr>
        <w:tabs>
          <w:tab w:val="left" w:pos="240"/>
        </w:tabs>
        <w:spacing w:line="500" w:lineRule="exact"/>
        <w:rPr>
          <w:rFonts w:ascii="宋体" w:hAnsi="宋体"/>
          <w:highlight w:val="none"/>
        </w:rPr>
      </w:pPr>
      <w:r>
        <w:rPr>
          <w:rFonts w:hint="eastAsia"/>
          <w:spacing w:val="5"/>
          <w:highlight w:val="none"/>
        </w:rPr>
        <w:t>7</w:t>
      </w:r>
      <w:r>
        <w:rPr>
          <w:spacing w:val="5"/>
          <w:highlight w:val="none"/>
        </w:rPr>
        <w:t>.</w:t>
      </w:r>
      <w:r>
        <w:rPr>
          <w:rFonts w:hint="eastAsia"/>
          <w:spacing w:val="5"/>
          <w:highlight w:val="none"/>
        </w:rPr>
        <w:t>4</w:t>
      </w:r>
      <w:r>
        <w:rPr>
          <w:rFonts w:hint="eastAsia" w:ascii="宋体" w:hAnsi="宋体"/>
          <w:highlight w:val="none"/>
        </w:rPr>
        <w:t>.5管件端部需封闭，封闭物坚固严密，防止端部碰伤。提供的设备包装保护好，使其在室外条件下能储放。</w:t>
      </w:r>
    </w:p>
    <w:p w14:paraId="1E052696">
      <w:pPr>
        <w:tabs>
          <w:tab w:val="left" w:pos="240"/>
        </w:tabs>
        <w:spacing w:line="500" w:lineRule="exact"/>
        <w:rPr>
          <w:rFonts w:ascii="宋体" w:hAnsi="宋体"/>
          <w:highlight w:val="none"/>
        </w:rPr>
      </w:pPr>
    </w:p>
    <w:p w14:paraId="683BDC2B">
      <w:pPr>
        <w:pStyle w:val="3"/>
        <w:spacing w:before="0" w:after="0" w:line="500" w:lineRule="exact"/>
        <w:ind w:right="-32"/>
        <w:rPr>
          <w:rFonts w:hAnsi="宋体"/>
          <w:bCs/>
          <w:szCs w:val="28"/>
          <w:highlight w:val="none"/>
        </w:rPr>
      </w:pPr>
      <w:bookmarkStart w:id="95" w:name="_Toc96238079"/>
      <w:bookmarkStart w:id="96" w:name="_Toc170462604"/>
      <w:bookmarkStart w:id="97" w:name="_Toc170270578"/>
      <w:r>
        <w:rPr>
          <w:rFonts w:hint="eastAsia" w:hAnsi="宋体"/>
          <w:bCs/>
          <w:szCs w:val="28"/>
          <w:highlight w:val="none"/>
        </w:rPr>
        <w:t>8   数据表</w:t>
      </w:r>
      <w:bookmarkEnd w:id="95"/>
      <w:bookmarkEnd w:id="96"/>
      <w:bookmarkEnd w:id="97"/>
      <w:r>
        <w:rPr>
          <w:rFonts w:hint="eastAsia"/>
          <w:highlight w:val="none"/>
        </w:rPr>
        <w:t>（投标人填写）</w:t>
      </w:r>
    </w:p>
    <w:p w14:paraId="5200731E">
      <w:pPr>
        <w:pStyle w:val="13"/>
        <w:spacing w:after="0" w:line="500" w:lineRule="exact"/>
        <w:rPr>
          <w:highlight w:val="none"/>
        </w:rPr>
      </w:pPr>
      <w:bookmarkStart w:id="98" w:name="_Toc18813691"/>
      <w:bookmarkStart w:id="99" w:name="_Toc96238081"/>
      <w:bookmarkStart w:id="100" w:name="_Toc496269570"/>
      <w:bookmarkStart w:id="101" w:name="_Toc60567002"/>
      <w:bookmarkStart w:id="102" w:name="_Toc492697268"/>
      <w:r>
        <w:rPr>
          <w:rFonts w:hint="eastAsia"/>
          <w:highlight w:val="none"/>
        </w:rPr>
        <w:t>无</w:t>
      </w:r>
    </w:p>
    <w:p w14:paraId="234FF873">
      <w:pPr>
        <w:spacing w:line="500" w:lineRule="exact"/>
        <w:rPr>
          <w:highlight w:val="none"/>
        </w:rPr>
      </w:pPr>
    </w:p>
    <w:p w14:paraId="39284F39">
      <w:pPr>
        <w:spacing w:line="500" w:lineRule="exact"/>
        <w:rPr>
          <w:rFonts w:ascii="宋体" w:hAnsi="宋体"/>
          <w:highlight w:val="none"/>
        </w:rPr>
        <w:sectPr>
          <w:headerReference r:id="rId9" w:type="default"/>
          <w:footerReference r:id="rId10" w:type="default"/>
          <w:endnotePr>
            <w:numFmt w:val="decimal"/>
          </w:endnotePr>
          <w:pgSz w:w="11907" w:h="16840"/>
          <w:pgMar w:top="1418" w:right="1531" w:bottom="1418" w:left="1701" w:header="851" w:footer="1021" w:gutter="0"/>
          <w:cols w:space="720" w:num="1"/>
          <w:docGrid w:linePitch="326" w:charSpace="0"/>
        </w:sectPr>
      </w:pPr>
    </w:p>
    <w:p w14:paraId="0FE36741">
      <w:pPr>
        <w:pStyle w:val="2"/>
        <w:rPr>
          <w:sz w:val="30"/>
          <w:szCs w:val="30"/>
          <w:highlight w:val="none"/>
        </w:rPr>
      </w:pPr>
      <w:bookmarkStart w:id="103" w:name="_Toc27519"/>
      <w:r>
        <w:rPr>
          <w:rFonts w:hint="eastAsia"/>
          <w:sz w:val="30"/>
          <w:szCs w:val="30"/>
          <w:highlight w:val="none"/>
        </w:rPr>
        <w:t>附件2 供货范围</w:t>
      </w:r>
      <w:bookmarkEnd w:id="98"/>
      <w:bookmarkEnd w:id="99"/>
      <w:bookmarkEnd w:id="100"/>
      <w:bookmarkEnd w:id="101"/>
      <w:bookmarkEnd w:id="102"/>
      <w:bookmarkEnd w:id="103"/>
    </w:p>
    <w:p w14:paraId="52C223C8">
      <w:pPr>
        <w:pStyle w:val="3"/>
        <w:numPr>
          <w:ilvl w:val="0"/>
          <w:numId w:val="4"/>
        </w:numPr>
        <w:spacing w:before="0" w:after="0" w:line="500" w:lineRule="exact"/>
        <w:rPr>
          <w:rFonts w:hAnsi="宋体"/>
          <w:bCs/>
          <w:szCs w:val="28"/>
          <w:highlight w:val="none"/>
        </w:rPr>
      </w:pPr>
      <w:bookmarkStart w:id="104" w:name="_Toc96238082"/>
      <w:bookmarkStart w:id="105" w:name="_Toc170270580"/>
      <w:bookmarkStart w:id="106" w:name="_Toc170462606"/>
      <w:r>
        <w:rPr>
          <w:rFonts w:hint="eastAsia" w:hAnsi="宋体"/>
          <w:bCs/>
          <w:szCs w:val="28"/>
          <w:highlight w:val="none"/>
        </w:rPr>
        <w:t>一般要求</w:t>
      </w:r>
      <w:bookmarkEnd w:id="104"/>
      <w:bookmarkEnd w:id="105"/>
      <w:bookmarkEnd w:id="106"/>
    </w:p>
    <w:p w14:paraId="4543D5E8">
      <w:pPr>
        <w:rPr>
          <w:highlight w:val="none"/>
        </w:rPr>
      </w:pPr>
    </w:p>
    <w:p w14:paraId="41B5C48F">
      <w:pPr>
        <w:spacing w:line="360" w:lineRule="auto"/>
        <w:rPr>
          <w:highlight w:val="none"/>
        </w:rPr>
      </w:pPr>
      <w:r>
        <w:rPr>
          <w:rFonts w:hint="eastAsia"/>
          <w:highlight w:val="none"/>
        </w:rPr>
        <w:t>1.1投标人按本技术协议对标的物设计、供货进行细化。凡在本技术协议约定由投标人设计、供货界面内，即使本技术协议描述有遗漏或不清楚或隐含的人身安全防护、可靠性、可用率和性能保证值所必须的内容，均在整套供货内。</w:t>
      </w:r>
    </w:p>
    <w:p w14:paraId="3105B8CF">
      <w:pPr>
        <w:snapToGrid w:val="0"/>
        <w:spacing w:line="360" w:lineRule="auto"/>
        <w:rPr>
          <w:snapToGrid w:val="0"/>
          <w:highlight w:val="none"/>
        </w:rPr>
      </w:pPr>
      <w:r>
        <w:rPr>
          <w:rFonts w:hint="eastAsia"/>
          <w:snapToGrid w:val="0"/>
          <w:highlight w:val="none"/>
        </w:rPr>
        <w:t>1.2所供设备保证系统和性能的完整性，如果缺漏，免费提供缺漏部分。</w:t>
      </w:r>
    </w:p>
    <w:p w14:paraId="76D1E118">
      <w:pPr>
        <w:snapToGrid w:val="0"/>
        <w:spacing w:line="360" w:lineRule="auto"/>
        <w:rPr>
          <w:snapToGrid w:val="0"/>
          <w:highlight w:val="none"/>
        </w:rPr>
      </w:pPr>
      <w:r>
        <w:rPr>
          <w:rFonts w:hint="eastAsia"/>
          <w:snapToGrid w:val="0"/>
          <w:highlight w:val="none"/>
        </w:rPr>
        <w:t>1.3保证提供设备为全新的、先进的、成熟的、完整的和安全可靠的。</w:t>
      </w:r>
    </w:p>
    <w:p w14:paraId="51D5CD31">
      <w:pPr>
        <w:snapToGrid w:val="0"/>
        <w:spacing w:line="360" w:lineRule="auto"/>
        <w:rPr>
          <w:snapToGrid w:val="0"/>
          <w:highlight w:val="none"/>
        </w:rPr>
      </w:pPr>
      <w:r>
        <w:rPr>
          <w:rFonts w:hint="eastAsia"/>
          <w:snapToGrid w:val="0"/>
          <w:highlight w:val="none"/>
        </w:rPr>
        <w:t>1.4提供详细供货清单，清单中依次说明型号、数量、产地、生产厂家等内容。对于属于整套设备运行、施工和性能试验所必需的部件，即使本合同未列出和/或数目不足，在执行的同时补足且不发生费用。</w:t>
      </w:r>
    </w:p>
    <w:p w14:paraId="74FA8FE0">
      <w:pPr>
        <w:snapToGrid w:val="0"/>
        <w:spacing w:line="360" w:lineRule="auto"/>
        <w:rPr>
          <w:snapToGrid w:val="0"/>
          <w:highlight w:val="none"/>
        </w:rPr>
      </w:pPr>
      <w:r>
        <w:rPr>
          <w:rFonts w:hint="eastAsia"/>
          <w:snapToGrid w:val="0"/>
          <w:highlight w:val="none"/>
        </w:rPr>
        <w:t>1.5提供验收前所有消耗品(如有)的清单，并已包含在合同总价中。</w:t>
      </w:r>
    </w:p>
    <w:p w14:paraId="61EA6770">
      <w:pPr>
        <w:snapToGrid w:val="0"/>
        <w:spacing w:line="360" w:lineRule="auto"/>
        <w:rPr>
          <w:snapToGrid w:val="0"/>
          <w:highlight w:val="none"/>
        </w:rPr>
      </w:pPr>
      <w:r>
        <w:rPr>
          <w:rFonts w:hint="eastAsia"/>
          <w:snapToGrid w:val="0"/>
          <w:highlight w:val="none"/>
        </w:rPr>
        <w:t>1.6提供满足设备正常安装、调试和设备运行三年内的详细的备品备件清单，</w:t>
      </w:r>
      <w:r>
        <w:rPr>
          <w:highlight w:val="none"/>
        </w:rPr>
        <w:t>并有详细的说明。</w:t>
      </w:r>
      <w:r>
        <w:rPr>
          <w:rFonts w:hint="eastAsia"/>
          <w:snapToGrid w:val="0"/>
          <w:highlight w:val="none"/>
        </w:rPr>
        <w:t>如质保期内正常运行中出现备品备件不足将免费提供。同时</w:t>
      </w:r>
      <w:r>
        <w:rPr>
          <w:highlight w:val="none"/>
        </w:rPr>
        <w:t>提供有关备品备件的保管资料</w:t>
      </w:r>
      <w:r>
        <w:rPr>
          <w:rFonts w:hint="eastAsia"/>
          <w:highlight w:val="none"/>
        </w:rPr>
        <w:t>，</w:t>
      </w:r>
      <w:r>
        <w:rPr>
          <w:highlight w:val="none"/>
        </w:rPr>
        <w:t>如存放期限</w:t>
      </w:r>
      <w:r>
        <w:rPr>
          <w:rFonts w:hint="eastAsia"/>
          <w:highlight w:val="none"/>
        </w:rPr>
        <w:t>等</w:t>
      </w:r>
      <w:r>
        <w:rPr>
          <w:highlight w:val="none"/>
        </w:rPr>
        <w:t>。</w:t>
      </w:r>
    </w:p>
    <w:p w14:paraId="11868AE7">
      <w:pPr>
        <w:snapToGrid w:val="0"/>
        <w:spacing w:line="360" w:lineRule="auto"/>
        <w:rPr>
          <w:snapToGrid w:val="0"/>
          <w:highlight w:val="none"/>
        </w:rPr>
      </w:pPr>
      <w:r>
        <w:rPr>
          <w:rFonts w:hint="eastAsia"/>
          <w:snapToGrid w:val="0"/>
          <w:highlight w:val="none"/>
        </w:rPr>
        <w:t>1.7提供所有安装和检修所需专用工具和消耗材料等。</w:t>
      </w:r>
    </w:p>
    <w:p w14:paraId="226F88CC">
      <w:pPr>
        <w:snapToGrid w:val="0"/>
        <w:spacing w:line="360" w:lineRule="auto"/>
        <w:rPr>
          <w:snapToGrid w:val="0"/>
          <w:highlight w:val="none"/>
        </w:rPr>
      </w:pPr>
      <w:r>
        <w:rPr>
          <w:rFonts w:hint="eastAsia"/>
          <w:snapToGrid w:val="0"/>
          <w:highlight w:val="none"/>
        </w:rPr>
        <w:t>1.8提供所供设备中的进口件及外包件（如有）清单。</w:t>
      </w:r>
    </w:p>
    <w:p w14:paraId="54F78FB8">
      <w:pPr>
        <w:snapToGrid w:val="0"/>
        <w:spacing w:line="360" w:lineRule="auto"/>
        <w:rPr>
          <w:snapToGrid w:val="0"/>
          <w:highlight w:val="none"/>
        </w:rPr>
      </w:pPr>
      <w:r>
        <w:rPr>
          <w:rFonts w:hint="eastAsia"/>
          <w:snapToGrid w:val="0"/>
          <w:highlight w:val="none"/>
        </w:rPr>
        <w:t>1.9</w:t>
      </w:r>
      <w:r>
        <w:rPr>
          <w:snapToGrid w:val="0"/>
          <w:highlight w:val="none"/>
        </w:rPr>
        <w:t>投标人提供的技术资料清单见附件3。</w:t>
      </w:r>
    </w:p>
    <w:p w14:paraId="4B0C2C15">
      <w:pPr>
        <w:pStyle w:val="3"/>
        <w:spacing w:before="0" w:after="0" w:line="500" w:lineRule="exact"/>
        <w:rPr>
          <w:rFonts w:hAnsi="宋体"/>
          <w:bCs/>
          <w:szCs w:val="28"/>
          <w:highlight w:val="none"/>
        </w:rPr>
      </w:pPr>
      <w:bookmarkStart w:id="107" w:name="_Toc96238083"/>
      <w:bookmarkStart w:id="108" w:name="_Toc170270581"/>
      <w:bookmarkStart w:id="109" w:name="_Toc170462607"/>
      <w:r>
        <w:rPr>
          <w:rFonts w:hAnsi="宋体"/>
          <w:bCs/>
          <w:szCs w:val="28"/>
          <w:highlight w:val="none"/>
        </w:rPr>
        <w:t>2</w:t>
      </w:r>
      <w:r>
        <w:rPr>
          <w:rFonts w:hint="eastAsia" w:hAnsi="宋体"/>
          <w:bCs/>
          <w:szCs w:val="28"/>
          <w:highlight w:val="none"/>
        </w:rPr>
        <w:t xml:space="preserve">  供货范围</w:t>
      </w:r>
      <w:bookmarkEnd w:id="107"/>
      <w:bookmarkEnd w:id="108"/>
      <w:bookmarkEnd w:id="109"/>
    </w:p>
    <w:p w14:paraId="255DCC98">
      <w:pPr>
        <w:spacing w:line="500" w:lineRule="exact"/>
        <w:ind w:firstLine="480" w:firstLineChars="200"/>
        <w:rPr>
          <w:highlight w:val="none"/>
        </w:rPr>
      </w:pPr>
      <w:r>
        <w:rPr>
          <w:rFonts w:hint="eastAsia"/>
          <w:highlight w:val="none"/>
        </w:rPr>
        <w:t>投标人的基本供货范围是提供</w:t>
      </w:r>
      <w:r>
        <w:rPr>
          <w:rFonts w:hint="eastAsia" w:ascii="宋体" w:hAnsi="宋体" w:cs="Arial"/>
          <w:highlight w:val="none"/>
        </w:rPr>
        <w:t>于浙能嘉兴电厂7号炉锅炉中部水冷壁散管管屏更换项目</w:t>
      </w:r>
      <w:r>
        <w:rPr>
          <w:rFonts w:hint="eastAsia"/>
          <w:highlight w:val="none"/>
        </w:rPr>
        <w:t>改造所需的设备与材料。</w:t>
      </w:r>
      <w:r>
        <w:rPr>
          <w:highlight w:val="none"/>
        </w:rPr>
        <w:t>投标人应确保供货范围完整，以能满足用户安装、运行要求为原则，在技术规范中涉及的供货要求也作为本供货范围的补充，若在安装、调试、运行中发现缺项(属投标人供货范围)由投标人补充</w:t>
      </w:r>
      <w:r>
        <w:rPr>
          <w:rFonts w:hint="eastAsia"/>
          <w:highlight w:val="none"/>
        </w:rPr>
        <w:t>，并不增加任何费用</w:t>
      </w:r>
      <w:r>
        <w:rPr>
          <w:highlight w:val="none"/>
        </w:rPr>
        <w:t>。</w:t>
      </w:r>
    </w:p>
    <w:p w14:paraId="604EFC38">
      <w:pPr>
        <w:numPr>
          <w:ilvl w:val="1"/>
          <w:numId w:val="5"/>
        </w:numPr>
        <w:spacing w:line="500" w:lineRule="exact"/>
        <w:rPr>
          <w:highlight w:val="none"/>
        </w:rPr>
      </w:pPr>
      <w:r>
        <w:rPr>
          <w:rFonts w:hint="eastAsia" w:ascii="宋体" w:hAnsi="宋体"/>
          <w:highlight w:val="none"/>
        </w:rPr>
        <w:t>设备范围</w:t>
      </w:r>
      <w:r>
        <w:rPr>
          <w:highlight w:val="none"/>
        </w:rPr>
        <w:t>（</w:t>
      </w:r>
      <w:r>
        <w:rPr>
          <w:rFonts w:hint="eastAsia"/>
          <w:highlight w:val="none"/>
        </w:rPr>
        <w:t>但不限于此</w:t>
      </w:r>
      <w:r>
        <w:rPr>
          <w:highlight w:val="none"/>
        </w:rPr>
        <w:t>）</w:t>
      </w:r>
    </w:p>
    <w:p w14:paraId="5829AA49">
      <w:pPr>
        <w:spacing w:line="500" w:lineRule="exact"/>
        <w:ind w:firstLine="480" w:firstLineChars="200"/>
        <w:rPr>
          <w:highlight w:val="none"/>
        </w:rPr>
      </w:pPr>
      <w:r>
        <w:rPr>
          <w:highlight w:val="none"/>
        </w:rPr>
        <w:t>投标人要确认此范围并提供细化清单</w:t>
      </w:r>
    </w:p>
    <w:tbl>
      <w:tblPr>
        <w:tblStyle w:val="25"/>
        <w:tblW w:w="8505" w:type="dxa"/>
        <w:tblInd w:w="28"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540"/>
        <w:gridCol w:w="2340"/>
        <w:gridCol w:w="1373"/>
        <w:gridCol w:w="992"/>
        <w:gridCol w:w="1134"/>
        <w:gridCol w:w="2126"/>
      </w:tblGrid>
      <w:tr w14:paraId="46DE6BC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blHeader/>
        </w:trPr>
        <w:tc>
          <w:tcPr>
            <w:tcW w:w="540" w:type="dxa"/>
            <w:vAlign w:val="center"/>
          </w:tcPr>
          <w:p w14:paraId="59E079E4">
            <w:pPr>
              <w:spacing w:line="500" w:lineRule="exact"/>
              <w:jc w:val="center"/>
              <w:rPr>
                <w:highlight w:val="none"/>
              </w:rPr>
            </w:pPr>
            <w:r>
              <w:rPr>
                <w:highlight w:val="none"/>
              </w:rPr>
              <w:t>序号</w:t>
            </w:r>
          </w:p>
        </w:tc>
        <w:tc>
          <w:tcPr>
            <w:tcW w:w="2340" w:type="dxa"/>
            <w:vAlign w:val="center"/>
          </w:tcPr>
          <w:p w14:paraId="0067D2B4">
            <w:pPr>
              <w:spacing w:line="500" w:lineRule="exact"/>
              <w:jc w:val="center"/>
              <w:rPr>
                <w:highlight w:val="none"/>
              </w:rPr>
            </w:pPr>
            <w:r>
              <w:rPr>
                <w:highlight w:val="none"/>
              </w:rPr>
              <w:t>名称</w:t>
            </w:r>
          </w:p>
        </w:tc>
        <w:tc>
          <w:tcPr>
            <w:tcW w:w="1373" w:type="dxa"/>
            <w:vAlign w:val="center"/>
          </w:tcPr>
          <w:p w14:paraId="5AC33006">
            <w:pPr>
              <w:spacing w:line="500" w:lineRule="exact"/>
              <w:jc w:val="center"/>
              <w:rPr>
                <w:highlight w:val="none"/>
              </w:rPr>
            </w:pPr>
            <w:r>
              <w:rPr>
                <w:rFonts w:hint="eastAsia"/>
                <w:highlight w:val="none"/>
              </w:rPr>
              <w:t>加工</w:t>
            </w:r>
            <w:r>
              <w:rPr>
                <w:highlight w:val="none"/>
              </w:rPr>
              <w:t>数量</w:t>
            </w:r>
          </w:p>
        </w:tc>
        <w:tc>
          <w:tcPr>
            <w:tcW w:w="992" w:type="dxa"/>
            <w:vAlign w:val="center"/>
          </w:tcPr>
          <w:p w14:paraId="398BAB0C">
            <w:pPr>
              <w:spacing w:line="500" w:lineRule="exact"/>
              <w:jc w:val="center"/>
              <w:rPr>
                <w:highlight w:val="none"/>
              </w:rPr>
            </w:pPr>
            <w:r>
              <w:rPr>
                <w:highlight w:val="none"/>
              </w:rPr>
              <w:t>产地</w:t>
            </w:r>
          </w:p>
        </w:tc>
        <w:tc>
          <w:tcPr>
            <w:tcW w:w="1134" w:type="dxa"/>
            <w:vAlign w:val="center"/>
          </w:tcPr>
          <w:p w14:paraId="72124AC1">
            <w:pPr>
              <w:spacing w:line="500" w:lineRule="exact"/>
              <w:jc w:val="center"/>
              <w:rPr>
                <w:highlight w:val="none"/>
              </w:rPr>
            </w:pPr>
            <w:r>
              <w:rPr>
                <w:highlight w:val="none"/>
              </w:rPr>
              <w:t>生产厂家</w:t>
            </w:r>
          </w:p>
        </w:tc>
        <w:tc>
          <w:tcPr>
            <w:tcW w:w="2126" w:type="dxa"/>
            <w:vAlign w:val="center"/>
          </w:tcPr>
          <w:p w14:paraId="11F7D1B6">
            <w:pPr>
              <w:spacing w:line="500" w:lineRule="exact"/>
              <w:jc w:val="center"/>
              <w:rPr>
                <w:highlight w:val="none"/>
              </w:rPr>
            </w:pPr>
            <w:r>
              <w:rPr>
                <w:highlight w:val="none"/>
              </w:rPr>
              <w:t>备注</w:t>
            </w:r>
          </w:p>
        </w:tc>
      </w:tr>
      <w:tr w14:paraId="604F3FB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Pr>
        <w:tc>
          <w:tcPr>
            <w:tcW w:w="540" w:type="dxa"/>
          </w:tcPr>
          <w:p w14:paraId="2D285128">
            <w:pPr>
              <w:spacing w:line="500" w:lineRule="exact"/>
              <w:jc w:val="center"/>
              <w:rPr>
                <w:highlight w:val="none"/>
              </w:rPr>
            </w:pPr>
            <w:r>
              <w:rPr>
                <w:highlight w:val="none"/>
              </w:rPr>
              <w:t>1</w:t>
            </w:r>
          </w:p>
        </w:tc>
        <w:tc>
          <w:tcPr>
            <w:tcW w:w="2340" w:type="dxa"/>
            <w:vAlign w:val="center"/>
          </w:tcPr>
          <w:p w14:paraId="616A7008">
            <w:pPr>
              <w:spacing w:line="440" w:lineRule="exact"/>
              <w:jc w:val="center"/>
              <w:rPr>
                <w:rFonts w:ascii="宋体" w:hAnsi="宋体"/>
                <w:highlight w:val="none"/>
              </w:rPr>
            </w:pPr>
            <w:r>
              <w:rPr>
                <w:rFonts w:hint="eastAsia" w:ascii="宋体" w:hAnsi="宋体"/>
                <w:highlight w:val="none"/>
              </w:rPr>
              <w:t>前</w:t>
            </w:r>
            <w:r>
              <w:rPr>
                <w:rFonts w:ascii="宋体" w:hAnsi="宋体"/>
                <w:highlight w:val="none"/>
              </w:rPr>
              <w:t>墙中部水冷壁散管管屏</w:t>
            </w:r>
          </w:p>
        </w:tc>
        <w:tc>
          <w:tcPr>
            <w:tcW w:w="1373" w:type="dxa"/>
            <w:vAlign w:val="center"/>
          </w:tcPr>
          <w:p w14:paraId="086138AE">
            <w:pPr>
              <w:spacing w:line="440" w:lineRule="exact"/>
              <w:jc w:val="center"/>
              <w:rPr>
                <w:rFonts w:ascii="宋体" w:hAnsi="宋体"/>
                <w:highlight w:val="none"/>
              </w:rPr>
            </w:pPr>
            <w:r>
              <w:rPr>
                <w:rFonts w:hint="eastAsia" w:ascii="宋体" w:hAnsi="宋体"/>
                <w:highlight w:val="none"/>
              </w:rPr>
              <w:t>1套</w:t>
            </w:r>
          </w:p>
        </w:tc>
        <w:tc>
          <w:tcPr>
            <w:tcW w:w="992" w:type="dxa"/>
            <w:vAlign w:val="center"/>
          </w:tcPr>
          <w:p w14:paraId="01801D97">
            <w:pPr>
              <w:spacing w:line="440" w:lineRule="exact"/>
              <w:jc w:val="center"/>
              <w:rPr>
                <w:rFonts w:ascii="宋体" w:hAnsi="宋体"/>
                <w:highlight w:val="none"/>
              </w:rPr>
            </w:pPr>
          </w:p>
        </w:tc>
        <w:tc>
          <w:tcPr>
            <w:tcW w:w="1134" w:type="dxa"/>
          </w:tcPr>
          <w:p w14:paraId="67FCBF85">
            <w:pPr>
              <w:spacing w:line="500" w:lineRule="exact"/>
              <w:jc w:val="center"/>
              <w:rPr>
                <w:highlight w:val="none"/>
              </w:rPr>
            </w:pPr>
          </w:p>
        </w:tc>
        <w:tc>
          <w:tcPr>
            <w:tcW w:w="2126" w:type="dxa"/>
          </w:tcPr>
          <w:p w14:paraId="21C23B4E">
            <w:pPr>
              <w:spacing w:line="500" w:lineRule="exact"/>
              <w:jc w:val="center"/>
              <w:rPr>
                <w:highlight w:val="none"/>
              </w:rPr>
            </w:pPr>
            <w:r>
              <w:rPr>
                <w:rFonts w:ascii="宋体" w:hAnsi="宋体"/>
                <w:highlight w:val="none"/>
              </w:rPr>
              <w:t>每屏</w:t>
            </w:r>
            <w:r>
              <w:rPr>
                <w:rFonts w:hint="eastAsia" w:ascii="宋体" w:hAnsi="宋体"/>
                <w:highlight w:val="none"/>
              </w:rPr>
              <w:t>10根</w:t>
            </w:r>
            <w:r>
              <w:rPr>
                <w:rFonts w:hint="eastAsia" w:ascii="宋体" w:hAnsi="宋体"/>
                <w:highlight w:val="none"/>
                <w:lang w:eastAsia="zh-CN"/>
              </w:rPr>
              <w:t>、</w:t>
            </w:r>
            <w:r>
              <w:rPr>
                <w:rFonts w:hint="eastAsia" w:ascii="宋体" w:hAnsi="宋体"/>
                <w:highlight w:val="none"/>
              </w:rPr>
              <w:t>77屏，共计77</w:t>
            </w:r>
            <w:r>
              <w:rPr>
                <w:rFonts w:hint="eastAsia" w:ascii="宋体" w:hAnsi="宋体"/>
                <w:highlight w:val="none"/>
                <w:lang w:eastAsia="zh-CN"/>
              </w:rPr>
              <w:t>0</w:t>
            </w:r>
            <w:r>
              <w:rPr>
                <w:rFonts w:hint="eastAsia" w:ascii="宋体" w:hAnsi="宋体"/>
                <w:highlight w:val="none"/>
                <w:lang w:val="en-US" w:eastAsia="zh-CN"/>
              </w:rPr>
              <w:t>根</w:t>
            </w:r>
          </w:p>
        </w:tc>
      </w:tr>
      <w:tr w14:paraId="451B6BE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Pr>
        <w:tc>
          <w:tcPr>
            <w:tcW w:w="540" w:type="dxa"/>
          </w:tcPr>
          <w:p w14:paraId="4A59DFFD">
            <w:pPr>
              <w:spacing w:line="500" w:lineRule="exact"/>
              <w:jc w:val="center"/>
              <w:rPr>
                <w:highlight w:val="none"/>
              </w:rPr>
            </w:pPr>
            <w:r>
              <w:rPr>
                <w:highlight w:val="none"/>
              </w:rPr>
              <w:t>2</w:t>
            </w:r>
          </w:p>
        </w:tc>
        <w:tc>
          <w:tcPr>
            <w:tcW w:w="2340" w:type="dxa"/>
            <w:vAlign w:val="center"/>
          </w:tcPr>
          <w:p w14:paraId="12C4502B">
            <w:pPr>
              <w:spacing w:line="440" w:lineRule="exact"/>
              <w:jc w:val="center"/>
              <w:rPr>
                <w:rFonts w:ascii="宋体" w:hAnsi="宋体"/>
                <w:highlight w:val="none"/>
              </w:rPr>
            </w:pPr>
            <w:r>
              <w:rPr>
                <w:rFonts w:hint="eastAsia" w:ascii="宋体" w:hAnsi="宋体"/>
                <w:highlight w:val="none"/>
              </w:rPr>
              <w:t>后</w:t>
            </w:r>
            <w:r>
              <w:rPr>
                <w:rFonts w:ascii="宋体" w:hAnsi="宋体"/>
                <w:highlight w:val="none"/>
              </w:rPr>
              <w:t>墙中部水冷壁散管管屏</w:t>
            </w:r>
          </w:p>
        </w:tc>
        <w:tc>
          <w:tcPr>
            <w:tcW w:w="1373" w:type="dxa"/>
            <w:vAlign w:val="center"/>
          </w:tcPr>
          <w:p w14:paraId="4C69FC33">
            <w:pPr>
              <w:spacing w:line="440" w:lineRule="exact"/>
              <w:jc w:val="center"/>
              <w:rPr>
                <w:rFonts w:ascii="宋体" w:hAnsi="宋体"/>
                <w:highlight w:val="none"/>
              </w:rPr>
            </w:pPr>
            <w:r>
              <w:rPr>
                <w:rFonts w:hint="eastAsia" w:ascii="宋体" w:hAnsi="宋体"/>
                <w:highlight w:val="none"/>
              </w:rPr>
              <w:t>1套</w:t>
            </w:r>
          </w:p>
        </w:tc>
        <w:tc>
          <w:tcPr>
            <w:tcW w:w="992" w:type="dxa"/>
            <w:vAlign w:val="center"/>
          </w:tcPr>
          <w:p w14:paraId="543C5B1B">
            <w:pPr>
              <w:spacing w:line="440" w:lineRule="exact"/>
              <w:jc w:val="center"/>
              <w:rPr>
                <w:rFonts w:ascii="宋体" w:hAnsi="宋体"/>
                <w:highlight w:val="none"/>
              </w:rPr>
            </w:pPr>
          </w:p>
        </w:tc>
        <w:tc>
          <w:tcPr>
            <w:tcW w:w="1134" w:type="dxa"/>
          </w:tcPr>
          <w:p w14:paraId="154378C9">
            <w:pPr>
              <w:spacing w:line="500" w:lineRule="exact"/>
              <w:jc w:val="center"/>
              <w:rPr>
                <w:highlight w:val="none"/>
              </w:rPr>
            </w:pPr>
          </w:p>
        </w:tc>
        <w:tc>
          <w:tcPr>
            <w:tcW w:w="2126" w:type="dxa"/>
          </w:tcPr>
          <w:p w14:paraId="22109EA4">
            <w:pPr>
              <w:spacing w:line="500" w:lineRule="exact"/>
              <w:jc w:val="center"/>
              <w:rPr>
                <w:highlight w:val="none"/>
              </w:rPr>
            </w:pPr>
            <w:r>
              <w:rPr>
                <w:rFonts w:ascii="宋体" w:hAnsi="宋体"/>
                <w:highlight w:val="none"/>
              </w:rPr>
              <w:t>每屏</w:t>
            </w:r>
            <w:r>
              <w:rPr>
                <w:rFonts w:hint="eastAsia" w:ascii="宋体" w:hAnsi="宋体"/>
                <w:highlight w:val="none"/>
              </w:rPr>
              <w:t>10根</w:t>
            </w:r>
            <w:r>
              <w:rPr>
                <w:rFonts w:hint="eastAsia" w:ascii="宋体" w:hAnsi="宋体"/>
                <w:highlight w:val="none"/>
                <w:lang w:eastAsia="zh-CN"/>
              </w:rPr>
              <w:t>、</w:t>
            </w:r>
            <w:r>
              <w:rPr>
                <w:rFonts w:hint="eastAsia" w:ascii="宋体" w:hAnsi="宋体"/>
                <w:highlight w:val="none"/>
              </w:rPr>
              <w:t>77屏，共计77</w:t>
            </w:r>
            <w:r>
              <w:rPr>
                <w:rFonts w:hint="eastAsia" w:ascii="宋体" w:hAnsi="宋体"/>
                <w:highlight w:val="none"/>
                <w:lang w:eastAsia="zh-CN"/>
              </w:rPr>
              <w:t>0</w:t>
            </w:r>
            <w:r>
              <w:rPr>
                <w:rFonts w:hint="eastAsia" w:ascii="宋体" w:hAnsi="宋体"/>
                <w:highlight w:val="none"/>
                <w:lang w:val="en-US" w:eastAsia="zh-CN"/>
              </w:rPr>
              <w:t>根</w:t>
            </w:r>
          </w:p>
        </w:tc>
      </w:tr>
      <w:tr w14:paraId="24C3C23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540" w:type="dxa"/>
          </w:tcPr>
          <w:p w14:paraId="523DE64A">
            <w:pPr>
              <w:spacing w:line="500" w:lineRule="exact"/>
              <w:jc w:val="center"/>
              <w:rPr>
                <w:highlight w:val="none"/>
              </w:rPr>
            </w:pPr>
            <w:r>
              <w:rPr>
                <w:highlight w:val="none"/>
              </w:rPr>
              <w:t>3</w:t>
            </w:r>
          </w:p>
        </w:tc>
        <w:tc>
          <w:tcPr>
            <w:tcW w:w="2340" w:type="dxa"/>
            <w:vAlign w:val="center"/>
          </w:tcPr>
          <w:p w14:paraId="40E2991B">
            <w:pPr>
              <w:spacing w:line="440" w:lineRule="exact"/>
              <w:jc w:val="center"/>
              <w:rPr>
                <w:rFonts w:ascii="宋体" w:hAnsi="宋体"/>
                <w:highlight w:val="none"/>
              </w:rPr>
            </w:pPr>
            <w:r>
              <w:rPr>
                <w:rFonts w:ascii="宋体" w:hAnsi="宋体"/>
                <w:highlight w:val="none"/>
              </w:rPr>
              <w:t>侧墙中部水冷壁散管管屏</w:t>
            </w:r>
            <w:r>
              <w:rPr>
                <w:rFonts w:hint="eastAsia" w:ascii="宋体" w:hAnsi="宋体"/>
                <w:highlight w:val="none"/>
              </w:rPr>
              <w:t>（包括左右侧墙）</w:t>
            </w:r>
          </w:p>
        </w:tc>
        <w:tc>
          <w:tcPr>
            <w:tcW w:w="1373" w:type="dxa"/>
            <w:vAlign w:val="center"/>
          </w:tcPr>
          <w:p w14:paraId="0C0932FD">
            <w:pPr>
              <w:spacing w:line="440" w:lineRule="exact"/>
              <w:jc w:val="center"/>
              <w:rPr>
                <w:rFonts w:ascii="宋体" w:hAnsi="宋体"/>
                <w:highlight w:val="none"/>
              </w:rPr>
            </w:pPr>
            <w:r>
              <w:rPr>
                <w:rFonts w:hint="eastAsia" w:ascii="宋体" w:hAnsi="宋体"/>
                <w:highlight w:val="none"/>
              </w:rPr>
              <w:t>2套</w:t>
            </w:r>
          </w:p>
        </w:tc>
        <w:tc>
          <w:tcPr>
            <w:tcW w:w="992" w:type="dxa"/>
            <w:vAlign w:val="center"/>
          </w:tcPr>
          <w:p w14:paraId="316F2FAE">
            <w:pPr>
              <w:spacing w:line="440" w:lineRule="exact"/>
              <w:jc w:val="center"/>
              <w:rPr>
                <w:rFonts w:ascii="宋体" w:hAnsi="宋体"/>
                <w:highlight w:val="none"/>
              </w:rPr>
            </w:pPr>
          </w:p>
        </w:tc>
        <w:tc>
          <w:tcPr>
            <w:tcW w:w="1134" w:type="dxa"/>
          </w:tcPr>
          <w:p w14:paraId="2BE3A1F0">
            <w:pPr>
              <w:spacing w:line="500" w:lineRule="exact"/>
              <w:jc w:val="center"/>
              <w:rPr>
                <w:highlight w:val="none"/>
              </w:rPr>
            </w:pPr>
          </w:p>
        </w:tc>
        <w:tc>
          <w:tcPr>
            <w:tcW w:w="2126" w:type="dxa"/>
            <w:vAlign w:val="center"/>
          </w:tcPr>
          <w:p w14:paraId="50BDF6E1">
            <w:pPr>
              <w:spacing w:line="500" w:lineRule="exact"/>
              <w:jc w:val="center"/>
              <w:rPr>
                <w:highlight w:val="none"/>
              </w:rPr>
            </w:pPr>
            <w:r>
              <w:rPr>
                <w:rFonts w:ascii="宋体" w:hAnsi="宋体"/>
                <w:highlight w:val="none"/>
              </w:rPr>
              <w:t>每屏</w:t>
            </w:r>
            <w:r>
              <w:rPr>
                <w:rFonts w:hint="eastAsia" w:ascii="宋体" w:hAnsi="宋体"/>
                <w:highlight w:val="none"/>
              </w:rPr>
              <w:t>10根（侧墙两套包括左侧墙（352根）和右侧墙（352根），共计71屏，左右侧墙结构一样）</w:t>
            </w:r>
          </w:p>
        </w:tc>
      </w:tr>
      <w:tr w14:paraId="7DF940B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540" w:type="dxa"/>
          </w:tcPr>
          <w:p w14:paraId="76255F2B">
            <w:pPr>
              <w:spacing w:line="500" w:lineRule="exact"/>
              <w:jc w:val="center"/>
              <w:rPr>
                <w:highlight w:val="none"/>
              </w:rPr>
            </w:pPr>
            <w:r>
              <w:rPr>
                <w:highlight w:val="none"/>
              </w:rPr>
              <w:t>4</w:t>
            </w:r>
          </w:p>
        </w:tc>
        <w:tc>
          <w:tcPr>
            <w:tcW w:w="2340" w:type="dxa"/>
            <w:vAlign w:val="center"/>
          </w:tcPr>
          <w:p w14:paraId="0B0DCA27">
            <w:pPr>
              <w:spacing w:line="440" w:lineRule="exact"/>
              <w:jc w:val="center"/>
              <w:rPr>
                <w:rFonts w:ascii="宋体" w:hAnsi="宋体"/>
                <w:highlight w:val="none"/>
              </w:rPr>
            </w:pPr>
          </w:p>
        </w:tc>
        <w:tc>
          <w:tcPr>
            <w:tcW w:w="1373" w:type="dxa"/>
            <w:vAlign w:val="center"/>
          </w:tcPr>
          <w:p w14:paraId="49E64BCF">
            <w:pPr>
              <w:spacing w:line="440" w:lineRule="exact"/>
              <w:jc w:val="center"/>
              <w:rPr>
                <w:rFonts w:ascii="宋体" w:hAnsi="宋体"/>
                <w:highlight w:val="none"/>
              </w:rPr>
            </w:pPr>
          </w:p>
        </w:tc>
        <w:tc>
          <w:tcPr>
            <w:tcW w:w="992" w:type="dxa"/>
            <w:vAlign w:val="center"/>
          </w:tcPr>
          <w:p w14:paraId="67F216C6">
            <w:pPr>
              <w:spacing w:line="440" w:lineRule="exact"/>
              <w:jc w:val="center"/>
              <w:rPr>
                <w:rFonts w:ascii="宋体" w:hAnsi="宋体"/>
                <w:highlight w:val="none"/>
              </w:rPr>
            </w:pPr>
          </w:p>
        </w:tc>
        <w:tc>
          <w:tcPr>
            <w:tcW w:w="1134" w:type="dxa"/>
          </w:tcPr>
          <w:p w14:paraId="2FF6FF50">
            <w:pPr>
              <w:spacing w:line="500" w:lineRule="exact"/>
              <w:jc w:val="center"/>
              <w:rPr>
                <w:highlight w:val="none"/>
              </w:rPr>
            </w:pPr>
          </w:p>
        </w:tc>
        <w:tc>
          <w:tcPr>
            <w:tcW w:w="2126" w:type="dxa"/>
            <w:vAlign w:val="center"/>
          </w:tcPr>
          <w:p w14:paraId="5EB4E198">
            <w:pPr>
              <w:spacing w:line="500" w:lineRule="exact"/>
              <w:jc w:val="center"/>
              <w:rPr>
                <w:highlight w:val="none"/>
              </w:rPr>
            </w:pPr>
            <w:r>
              <w:rPr>
                <w:rFonts w:ascii="宋体" w:hAnsi="宋体"/>
                <w:highlight w:val="none"/>
              </w:rPr>
              <w:t>原材料共计约</w:t>
            </w:r>
            <w:r>
              <w:rPr>
                <w:rFonts w:hint="eastAsia" w:ascii="宋体" w:hAnsi="宋体"/>
                <w:highlight w:val="none"/>
              </w:rPr>
              <w:t>50吨</w:t>
            </w:r>
          </w:p>
        </w:tc>
      </w:tr>
    </w:tbl>
    <w:p w14:paraId="15EF2F4A">
      <w:pPr>
        <w:spacing w:line="500" w:lineRule="exact"/>
        <w:rPr>
          <w:highlight w:val="none"/>
        </w:rPr>
      </w:pPr>
    </w:p>
    <w:p w14:paraId="502570E1">
      <w:pPr>
        <w:spacing w:line="500" w:lineRule="exact"/>
        <w:rPr>
          <w:highlight w:val="none"/>
        </w:rPr>
      </w:pPr>
    </w:p>
    <w:p w14:paraId="64F102E9">
      <w:pPr>
        <w:spacing w:line="500" w:lineRule="exact"/>
        <w:rPr>
          <w:highlight w:val="none"/>
        </w:rPr>
      </w:pPr>
    </w:p>
    <w:p w14:paraId="715F5792">
      <w:pPr>
        <w:rPr>
          <w:sz w:val="30"/>
          <w:szCs w:val="30"/>
          <w:highlight w:val="none"/>
        </w:rPr>
      </w:pPr>
      <w:bookmarkStart w:id="110" w:name="_Toc60567004"/>
      <w:bookmarkStart w:id="111" w:name="_Toc64705877"/>
      <w:bookmarkStart w:id="112" w:name="_Toc18813692"/>
      <w:bookmarkStart w:id="113" w:name="_Toc96238084"/>
      <w:r>
        <w:rPr>
          <w:rFonts w:hint="eastAsia"/>
          <w:sz w:val="30"/>
          <w:szCs w:val="30"/>
          <w:highlight w:val="none"/>
        </w:rPr>
        <w:br w:type="page"/>
      </w:r>
    </w:p>
    <w:p w14:paraId="02FB3332">
      <w:pPr>
        <w:pStyle w:val="2"/>
        <w:rPr>
          <w:sz w:val="30"/>
          <w:szCs w:val="30"/>
          <w:highlight w:val="none"/>
        </w:rPr>
      </w:pPr>
      <w:bookmarkStart w:id="114" w:name="_Toc15989"/>
      <w:r>
        <w:rPr>
          <w:rFonts w:hint="eastAsia"/>
          <w:sz w:val="30"/>
          <w:szCs w:val="30"/>
          <w:highlight w:val="none"/>
        </w:rPr>
        <w:t>附件3 技术</w:t>
      </w:r>
      <w:bookmarkEnd w:id="110"/>
      <w:bookmarkEnd w:id="111"/>
      <w:bookmarkEnd w:id="112"/>
      <w:bookmarkEnd w:id="113"/>
      <w:r>
        <w:rPr>
          <w:rFonts w:hint="eastAsia"/>
          <w:sz w:val="30"/>
          <w:szCs w:val="30"/>
          <w:highlight w:val="none"/>
        </w:rPr>
        <w:t>资料及交付进度</w:t>
      </w:r>
      <w:bookmarkEnd w:id="114"/>
    </w:p>
    <w:p w14:paraId="2AA2FA38">
      <w:pPr>
        <w:pStyle w:val="3"/>
        <w:spacing w:before="0" w:after="0" w:line="500" w:lineRule="exact"/>
        <w:rPr>
          <w:rFonts w:hAnsi="宋体"/>
          <w:szCs w:val="28"/>
          <w:highlight w:val="none"/>
        </w:rPr>
      </w:pPr>
      <w:bookmarkStart w:id="115" w:name="_Toc170462609"/>
      <w:bookmarkStart w:id="116" w:name="_Toc64705879"/>
      <w:bookmarkStart w:id="117" w:name="_Toc170270583"/>
      <w:bookmarkStart w:id="118" w:name="_Toc96238086"/>
      <w:r>
        <w:rPr>
          <w:rFonts w:hint="eastAsia" w:hAnsi="宋体"/>
          <w:szCs w:val="28"/>
          <w:highlight w:val="none"/>
        </w:rPr>
        <w:t>1 资料提供总则</w:t>
      </w:r>
      <w:bookmarkEnd w:id="115"/>
      <w:bookmarkEnd w:id="116"/>
      <w:bookmarkEnd w:id="117"/>
      <w:bookmarkEnd w:id="118"/>
    </w:p>
    <w:p w14:paraId="6A981479">
      <w:pPr>
        <w:spacing w:line="500" w:lineRule="exact"/>
        <w:rPr>
          <w:highlight w:val="none"/>
        </w:rPr>
      </w:pPr>
      <w:r>
        <w:rPr>
          <w:rFonts w:hint="eastAsia"/>
          <w:highlight w:val="none"/>
        </w:rPr>
        <w:t>1.1  投标人提供的资料，计量单位使用国家法定单位制，语言为中文。国内设备提供中文说明书，进口设备应提供中英文两种版本说明书，均应采用中文简体印刷字体，图纸资料以中文本为准，图纸资料除提供书面文件外提供可编辑的</w:t>
      </w:r>
      <w:r>
        <w:rPr>
          <w:highlight w:val="none"/>
        </w:rPr>
        <w:t>Word/EXcel</w:t>
      </w:r>
      <w:r>
        <w:rPr>
          <w:rFonts w:hint="eastAsia"/>
          <w:highlight w:val="none"/>
        </w:rPr>
        <w:t>格式、</w:t>
      </w:r>
      <w:r>
        <w:rPr>
          <w:highlight w:val="none"/>
        </w:rPr>
        <w:t>AutoCAD</w:t>
      </w:r>
      <w:r>
        <w:rPr>
          <w:rFonts w:hint="eastAsia"/>
          <w:highlight w:val="none"/>
        </w:rPr>
        <w:t>格式DWG电子文件。除图纸外的所有纸质技术资料采用A4规格。</w:t>
      </w:r>
    </w:p>
    <w:p w14:paraId="4D922F8F">
      <w:pPr>
        <w:spacing w:line="500" w:lineRule="exact"/>
        <w:rPr>
          <w:highlight w:val="none"/>
        </w:rPr>
      </w:pPr>
      <w:r>
        <w:rPr>
          <w:rFonts w:hint="eastAsia"/>
          <w:highlight w:val="none"/>
        </w:rPr>
        <w:t>1.2 投标人提供的技术文件包括纸介质文件和电子版文件，保证所提供的工程资料纸介资料与电子版资料的一致性。配合用的中间版资料采用电子版文件，终版资料文件包括纸介质文件和电子版文件，缺任一介质资料，均视为没有完整提供全部资料。</w:t>
      </w:r>
    </w:p>
    <w:p w14:paraId="71BF2940">
      <w:pPr>
        <w:spacing w:line="500" w:lineRule="exact"/>
        <w:rPr>
          <w:highlight w:val="none"/>
        </w:rPr>
      </w:pPr>
      <w:r>
        <w:rPr>
          <w:rFonts w:hint="eastAsia"/>
          <w:highlight w:val="none"/>
        </w:rPr>
        <w:t>1.3 资料的组织结构清晰、符合逻辑性。资料内容正确、准确、一致、清晰完整，满足项目要求。</w:t>
      </w:r>
    </w:p>
    <w:p w14:paraId="2E9292C3">
      <w:pPr>
        <w:spacing w:line="500" w:lineRule="exact"/>
        <w:rPr>
          <w:highlight w:val="none"/>
        </w:rPr>
      </w:pPr>
      <w:r>
        <w:rPr>
          <w:rFonts w:hint="eastAsia"/>
          <w:highlight w:val="none"/>
        </w:rPr>
        <w:t>1.4  投标人资料的提交及时充分，满足项目进度要求。在接到中标通知后，</w:t>
      </w:r>
      <w:r>
        <w:rPr>
          <w:rFonts w:hint="eastAsia"/>
          <w:highlight w:val="none"/>
          <w:u w:val="single"/>
        </w:rPr>
        <w:t xml:space="preserve"> 30 </w:t>
      </w:r>
      <w:r>
        <w:rPr>
          <w:rFonts w:hint="eastAsia"/>
          <w:highlight w:val="none"/>
        </w:rPr>
        <w:t>天内给出全部技术资料和交付进度清单，并经招标人确认。在合同生效日起</w:t>
      </w:r>
      <w:r>
        <w:rPr>
          <w:rFonts w:hint="eastAsia"/>
          <w:highlight w:val="none"/>
          <w:u w:val="single"/>
        </w:rPr>
        <w:t xml:space="preserve"> 30 </w:t>
      </w:r>
      <w:r>
        <w:rPr>
          <w:rFonts w:hint="eastAsia"/>
          <w:highlight w:val="none"/>
        </w:rPr>
        <w:t>天内，向招标人提供合同设备的监造、设计、制造和检验标准的目录。</w:t>
      </w:r>
    </w:p>
    <w:p w14:paraId="40C69E77">
      <w:pPr>
        <w:spacing w:line="500" w:lineRule="exact"/>
        <w:rPr>
          <w:highlight w:val="none"/>
        </w:rPr>
      </w:pPr>
      <w:r>
        <w:rPr>
          <w:rFonts w:hint="eastAsia"/>
          <w:highlight w:val="none"/>
        </w:rPr>
        <w:t>1.5  提供的技术资料包括设计阶段，监造检验阶段，施工调试试运、性能验收试验和运行维护阶段。满足实际工程具体要求。</w:t>
      </w:r>
    </w:p>
    <w:p w14:paraId="12B1B728">
      <w:pPr>
        <w:spacing w:line="500" w:lineRule="exact"/>
        <w:rPr>
          <w:highlight w:val="none"/>
        </w:rPr>
      </w:pPr>
      <w:r>
        <w:rPr>
          <w:rFonts w:hint="eastAsia"/>
          <w:highlight w:val="none"/>
        </w:rPr>
        <w:t>1.6  对于其它没有列入合同的技术资料清单，却是项目所必需的文件和资料，一经发现，投标人也及时免费提供。如标的物后续有改进时，也及时免费提供新的技术资料。</w:t>
      </w:r>
    </w:p>
    <w:p w14:paraId="2CA4FDCF">
      <w:pPr>
        <w:spacing w:line="500" w:lineRule="exact"/>
        <w:rPr>
          <w:highlight w:val="none"/>
        </w:rPr>
      </w:pPr>
      <w:r>
        <w:rPr>
          <w:rFonts w:hint="eastAsia"/>
          <w:highlight w:val="none"/>
        </w:rPr>
        <w:t>1.7  及时提供与标的物设备设计制造有关的资料。</w:t>
      </w:r>
    </w:p>
    <w:p w14:paraId="108CA4CC">
      <w:pPr>
        <w:spacing w:line="500" w:lineRule="exact"/>
        <w:rPr>
          <w:highlight w:val="none"/>
        </w:rPr>
      </w:pPr>
      <w:r>
        <w:rPr>
          <w:rFonts w:hint="eastAsia"/>
          <w:highlight w:val="none"/>
        </w:rPr>
        <w:t>1.8  提供施工用的技术资料为3套，电子文件1套，并在交货前1个月供完。电子版图纸、资料组织结构清晰、逻辑性强，根据设备功能等对其进行分类归档，并根据分类提供超链接方式的索引文件。</w:t>
      </w:r>
    </w:p>
    <w:p w14:paraId="4AE838A3">
      <w:pPr>
        <w:spacing w:line="500" w:lineRule="exact"/>
        <w:rPr>
          <w:highlight w:val="none"/>
        </w:rPr>
      </w:pPr>
      <w:r>
        <w:rPr>
          <w:rFonts w:hint="eastAsia"/>
          <w:highlight w:val="none"/>
        </w:rPr>
        <w:t>1.9完工后的产品与最后确认的图纸一致。招标人对图纸的认可并不减轻投标人关于其图纸的正确性的责任。</w:t>
      </w:r>
    </w:p>
    <w:p w14:paraId="4FB9492D">
      <w:pPr>
        <w:spacing w:line="500" w:lineRule="exact"/>
        <w:rPr>
          <w:highlight w:val="none"/>
        </w:rPr>
      </w:pPr>
      <w:r>
        <w:rPr>
          <w:rFonts w:hint="eastAsia"/>
          <w:highlight w:val="none"/>
        </w:rPr>
        <w:t>1.10提供适用于本项目实际情况的、符合国家竣工档案归档一级标准要求的、为本项目专用的技术资料，</w:t>
      </w:r>
      <w:bookmarkStart w:id="119" w:name="_Hlk523460023"/>
      <w:r>
        <w:rPr>
          <w:rFonts w:hint="eastAsia"/>
          <w:highlight w:val="none"/>
        </w:rPr>
        <w:t>所有资料上应加盖《</w:t>
      </w:r>
      <w:r>
        <w:rPr>
          <w:rFonts w:hint="eastAsia" w:ascii="宋体" w:hAnsi="宋体" w:cs="Arial"/>
          <w:highlight w:val="none"/>
        </w:rPr>
        <w:t>浙能嘉华电厂7号炉锅炉水冷壁管屏更换项目</w:t>
      </w:r>
      <w:r>
        <w:rPr>
          <w:rFonts w:hint="eastAsia"/>
          <w:highlight w:val="none"/>
        </w:rPr>
        <w:t>图纸专用章》字样。修改版资料对修改部分有明显的标识和标注。</w:t>
      </w:r>
    </w:p>
    <w:bookmarkEnd w:id="119"/>
    <w:p w14:paraId="6F1B0BB2">
      <w:pPr>
        <w:tabs>
          <w:tab w:val="left" w:pos="600"/>
        </w:tabs>
        <w:adjustRightInd w:val="0"/>
        <w:spacing w:line="500" w:lineRule="exact"/>
        <w:jc w:val="left"/>
        <w:textAlignment w:val="baseline"/>
        <w:rPr>
          <w:highlight w:val="none"/>
        </w:rPr>
      </w:pPr>
      <w:r>
        <w:rPr>
          <w:rFonts w:hint="eastAsia" w:ascii="宋体" w:hAnsi="宋体"/>
          <w:highlight w:val="none"/>
        </w:rPr>
        <w:t>1.11投标人按招标人的要求，编制所供设备的电厂标识系统编码。</w:t>
      </w:r>
    </w:p>
    <w:p w14:paraId="4107B197">
      <w:pPr>
        <w:spacing w:line="500" w:lineRule="exact"/>
        <w:rPr>
          <w:rFonts w:ascii="宋体" w:hAnsi="宋体"/>
          <w:highlight w:val="none"/>
        </w:rPr>
      </w:pPr>
    </w:p>
    <w:p w14:paraId="7FBA4149">
      <w:pPr>
        <w:pStyle w:val="3"/>
        <w:spacing w:before="0" w:after="0" w:line="500" w:lineRule="exact"/>
        <w:ind w:right="-32"/>
        <w:rPr>
          <w:highlight w:val="none"/>
        </w:rPr>
      </w:pPr>
      <w:bookmarkStart w:id="120" w:name="_Toc64705880"/>
      <w:bookmarkStart w:id="121" w:name="_Toc170270584"/>
      <w:bookmarkStart w:id="122" w:name="_Toc513179361"/>
      <w:bookmarkStart w:id="123" w:name="_Toc170462610"/>
      <w:bookmarkStart w:id="124" w:name="_Toc96238087"/>
      <w:r>
        <w:rPr>
          <w:rFonts w:hint="eastAsia"/>
          <w:highlight w:val="none"/>
        </w:rPr>
        <w:t>2  资料提交的基本要求</w:t>
      </w:r>
      <w:bookmarkEnd w:id="120"/>
      <w:bookmarkEnd w:id="121"/>
      <w:bookmarkEnd w:id="122"/>
      <w:bookmarkEnd w:id="123"/>
      <w:bookmarkEnd w:id="124"/>
    </w:p>
    <w:p w14:paraId="160B583A">
      <w:pPr>
        <w:spacing w:line="500" w:lineRule="exact"/>
        <w:rPr>
          <w:highlight w:val="none"/>
        </w:rPr>
      </w:pPr>
      <w:r>
        <w:rPr>
          <w:rFonts w:hint="eastAsia"/>
          <w:highlight w:val="none"/>
        </w:rPr>
        <w:t>2</w:t>
      </w:r>
      <w:r>
        <w:rPr>
          <w:highlight w:val="none"/>
        </w:rPr>
        <w:t xml:space="preserve">.1 </w:t>
      </w:r>
      <w:bookmarkStart w:id="125" w:name="_Toc483400167"/>
      <w:bookmarkStart w:id="126" w:name="_Toc482701835"/>
      <w:bookmarkStart w:id="127" w:name="_Toc334798573"/>
      <w:r>
        <w:rPr>
          <w:rFonts w:hint="eastAsia"/>
          <w:highlight w:val="none"/>
        </w:rPr>
        <w:t>技术文件和图纸</w:t>
      </w:r>
      <w:bookmarkEnd w:id="125"/>
      <w:bookmarkEnd w:id="126"/>
      <w:bookmarkEnd w:id="127"/>
      <w:r>
        <w:rPr>
          <w:rFonts w:hint="eastAsia"/>
          <w:highlight w:val="none"/>
        </w:rPr>
        <w:t>（如有）</w:t>
      </w:r>
    </w:p>
    <w:p w14:paraId="38082562">
      <w:pPr>
        <w:adjustRightInd w:val="0"/>
        <w:snapToGrid w:val="0"/>
        <w:spacing w:line="500" w:lineRule="exact"/>
        <w:rPr>
          <w:highlight w:val="none"/>
        </w:rPr>
      </w:pPr>
      <w:r>
        <w:rPr>
          <w:rFonts w:hint="eastAsia"/>
          <w:highlight w:val="none"/>
        </w:rPr>
        <w:t>2</w:t>
      </w:r>
      <w:r>
        <w:rPr>
          <w:highlight w:val="none"/>
        </w:rPr>
        <w:t>.1</w:t>
      </w:r>
      <w:r>
        <w:rPr>
          <w:rFonts w:hint="eastAsia"/>
          <w:highlight w:val="none"/>
        </w:rPr>
        <w:t>.1配合工程设计的资料与图纸如下，包括但不限于此：</w:t>
      </w:r>
    </w:p>
    <w:p w14:paraId="5B78C239">
      <w:pPr>
        <w:adjustRightInd w:val="0"/>
        <w:snapToGrid w:val="0"/>
        <w:spacing w:line="500" w:lineRule="exact"/>
        <w:rPr>
          <w:highlight w:val="none"/>
        </w:rPr>
      </w:pPr>
      <w:r>
        <w:rPr>
          <w:rFonts w:hint="eastAsia"/>
          <w:highlight w:val="none"/>
        </w:rPr>
        <w:t>投标人在合同签订后15日内及时提供满足工程设计的正式资料和图纸3套</w:t>
      </w:r>
    </w:p>
    <w:p w14:paraId="3BA7D719">
      <w:pPr>
        <w:adjustRightInd w:val="0"/>
        <w:snapToGrid w:val="0"/>
        <w:spacing w:line="500" w:lineRule="exact"/>
        <w:rPr>
          <w:highlight w:val="none"/>
        </w:rPr>
      </w:pPr>
      <w:r>
        <w:rPr>
          <w:rFonts w:hint="eastAsia"/>
          <w:highlight w:val="none"/>
        </w:rPr>
        <w:t>(1) 设备及其部件图（包括外部尺寸，基础尺寸，接口尺寸，起吊高度尺寸等）；</w:t>
      </w:r>
    </w:p>
    <w:p w14:paraId="44332A3A">
      <w:pPr>
        <w:adjustRightInd w:val="0"/>
        <w:snapToGrid w:val="0"/>
        <w:spacing w:line="500" w:lineRule="exact"/>
        <w:rPr>
          <w:highlight w:val="none"/>
        </w:rPr>
      </w:pPr>
      <w:r>
        <w:rPr>
          <w:rFonts w:hint="eastAsia"/>
          <w:highlight w:val="none"/>
        </w:rPr>
        <w:t>(2) 设备运行参数、运行方式、技术特性、热力计算等；</w:t>
      </w:r>
    </w:p>
    <w:p w14:paraId="43A5FAE1">
      <w:pPr>
        <w:adjustRightInd w:val="0"/>
        <w:snapToGrid w:val="0"/>
        <w:spacing w:line="500" w:lineRule="exact"/>
        <w:rPr>
          <w:highlight w:val="none"/>
        </w:rPr>
      </w:pPr>
      <w:r>
        <w:rPr>
          <w:rFonts w:hint="eastAsia"/>
          <w:highlight w:val="none"/>
        </w:rPr>
        <w:t>(3)焊接、检验及热处理、热校工艺，合格标准。</w:t>
      </w:r>
    </w:p>
    <w:p w14:paraId="3B309C88">
      <w:pPr>
        <w:adjustRightInd w:val="0"/>
        <w:snapToGrid w:val="0"/>
        <w:spacing w:line="500" w:lineRule="exact"/>
        <w:rPr>
          <w:highlight w:val="none"/>
        </w:rPr>
      </w:pPr>
      <w:r>
        <w:rPr>
          <w:rFonts w:hint="eastAsia"/>
          <w:highlight w:val="none"/>
        </w:rPr>
        <w:t>2</w:t>
      </w:r>
      <w:r>
        <w:rPr>
          <w:highlight w:val="none"/>
        </w:rPr>
        <w:t>.1</w:t>
      </w:r>
      <w:r>
        <w:rPr>
          <w:rFonts w:hint="eastAsia"/>
          <w:highlight w:val="none"/>
        </w:rPr>
        <w:t>.2设备交付前一个月, 提供6套如下资料，包括但不限于此：</w:t>
      </w:r>
    </w:p>
    <w:p w14:paraId="7AB73088">
      <w:pPr>
        <w:adjustRightInd w:val="0"/>
        <w:snapToGrid w:val="0"/>
        <w:spacing w:line="500" w:lineRule="exact"/>
        <w:rPr>
          <w:highlight w:val="none"/>
        </w:rPr>
      </w:pPr>
      <w:r>
        <w:rPr>
          <w:rFonts w:hint="eastAsia"/>
          <w:highlight w:val="none"/>
        </w:rPr>
        <w:t>(1) 全套技术资料和图纸清册；</w:t>
      </w:r>
    </w:p>
    <w:p w14:paraId="3C0FFDA7">
      <w:pPr>
        <w:adjustRightInd w:val="0"/>
        <w:snapToGrid w:val="0"/>
        <w:spacing w:line="500" w:lineRule="exact"/>
        <w:rPr>
          <w:highlight w:val="none"/>
        </w:rPr>
      </w:pPr>
      <w:r>
        <w:rPr>
          <w:rFonts w:hint="eastAsia"/>
          <w:highlight w:val="none"/>
        </w:rPr>
        <w:t>(2) 安装说明书；</w:t>
      </w:r>
    </w:p>
    <w:p w14:paraId="0B17F5ED">
      <w:pPr>
        <w:adjustRightInd w:val="0"/>
        <w:snapToGrid w:val="0"/>
        <w:spacing w:line="500" w:lineRule="exact"/>
        <w:rPr>
          <w:highlight w:val="none"/>
        </w:rPr>
      </w:pPr>
      <w:r>
        <w:rPr>
          <w:rFonts w:hint="eastAsia"/>
          <w:highlight w:val="none"/>
        </w:rPr>
        <w:t>(3) 设备发货总清册及资料(包括保管要求、超限件重量和外形尺寸以及发货计划) ；(4) 安装用设备总图和分部件总图；</w:t>
      </w:r>
    </w:p>
    <w:p w14:paraId="246A0368">
      <w:pPr>
        <w:adjustRightInd w:val="0"/>
        <w:snapToGrid w:val="0"/>
        <w:spacing w:line="500" w:lineRule="exact"/>
        <w:rPr>
          <w:highlight w:val="none"/>
        </w:rPr>
      </w:pPr>
      <w:r>
        <w:rPr>
          <w:rFonts w:hint="eastAsia"/>
          <w:highlight w:val="none"/>
        </w:rPr>
        <w:t>(5) 检修、调试和运行说明书及易损备件详图；</w:t>
      </w:r>
    </w:p>
    <w:p w14:paraId="667B47B8">
      <w:pPr>
        <w:adjustRightInd w:val="0"/>
        <w:snapToGrid w:val="0"/>
        <w:spacing w:line="500" w:lineRule="exact"/>
        <w:rPr>
          <w:highlight w:val="none"/>
        </w:rPr>
      </w:pPr>
      <w:r>
        <w:rPr>
          <w:rFonts w:hint="eastAsia"/>
          <w:highlight w:val="none"/>
        </w:rPr>
        <w:t>(6) 产品说明书和维护手册。</w:t>
      </w:r>
    </w:p>
    <w:p w14:paraId="28EC9D1C">
      <w:pPr>
        <w:adjustRightInd w:val="0"/>
        <w:snapToGrid w:val="0"/>
        <w:spacing w:line="500" w:lineRule="exact"/>
        <w:rPr>
          <w:highlight w:val="none"/>
        </w:rPr>
      </w:pPr>
      <w:r>
        <w:rPr>
          <w:rFonts w:hint="eastAsia"/>
          <w:highlight w:val="none"/>
        </w:rPr>
        <w:t>2</w:t>
      </w:r>
      <w:r>
        <w:rPr>
          <w:highlight w:val="none"/>
        </w:rPr>
        <w:t>.1</w:t>
      </w:r>
      <w:r>
        <w:rPr>
          <w:rFonts w:hint="eastAsia"/>
          <w:highlight w:val="none"/>
        </w:rPr>
        <w:t>.3 设备监造检验所需要的技术资料</w:t>
      </w:r>
    </w:p>
    <w:p w14:paraId="7552E548">
      <w:pPr>
        <w:adjustRightInd w:val="0"/>
        <w:snapToGrid w:val="0"/>
        <w:spacing w:line="500" w:lineRule="exact"/>
        <w:ind w:firstLine="425"/>
        <w:rPr>
          <w:highlight w:val="none"/>
        </w:rPr>
      </w:pPr>
      <w:r>
        <w:rPr>
          <w:rFonts w:hint="eastAsia"/>
          <w:highlight w:val="none"/>
        </w:rPr>
        <w:t>满足按DL/T586《电力设备监造技术导则》和投标人按ISO-9000系列的质保体系规定从原材料进厂直至标的物出厂全过程的质量监察，提供满足标的物监造检验/见证所需的全部技术资料。</w:t>
      </w:r>
    </w:p>
    <w:p w14:paraId="6A461047">
      <w:pPr>
        <w:adjustRightInd w:val="0"/>
        <w:snapToGrid w:val="0"/>
        <w:spacing w:line="500" w:lineRule="exact"/>
        <w:rPr>
          <w:highlight w:val="none"/>
        </w:rPr>
      </w:pPr>
      <w:bookmarkStart w:id="128" w:name="_Hlk523459772"/>
      <w:r>
        <w:rPr>
          <w:rFonts w:hint="eastAsia"/>
          <w:highlight w:val="none"/>
        </w:rPr>
        <w:t>2</w:t>
      </w:r>
      <w:r>
        <w:rPr>
          <w:highlight w:val="none"/>
        </w:rPr>
        <w:t>.1</w:t>
      </w:r>
      <w:r>
        <w:rPr>
          <w:rFonts w:hint="eastAsia"/>
          <w:highlight w:val="none"/>
        </w:rPr>
        <w:t xml:space="preserve">.4  </w:t>
      </w:r>
      <w:bookmarkEnd w:id="128"/>
      <w:r>
        <w:rPr>
          <w:rFonts w:hint="eastAsia"/>
          <w:highlight w:val="none"/>
        </w:rPr>
        <w:t>施工、调试、试运、机组性能试验和运行维护所需的技术资料（投标人提出具体清单和要求，投标人细化，由招标人确认）包括但不限于：</w:t>
      </w:r>
    </w:p>
    <w:p w14:paraId="4542691A">
      <w:pPr>
        <w:adjustRightInd w:val="0"/>
        <w:snapToGrid w:val="0"/>
        <w:spacing w:line="500" w:lineRule="exact"/>
        <w:rPr>
          <w:highlight w:val="none"/>
        </w:rPr>
      </w:pPr>
      <w:r>
        <w:rPr>
          <w:rFonts w:hint="eastAsia"/>
          <w:highlight w:val="none"/>
        </w:rPr>
        <w:t>（1）提供设备安装、调试和试运说明书，以及组装、拆卸时所需用的技术资料。</w:t>
      </w:r>
    </w:p>
    <w:p w14:paraId="1E30CC02">
      <w:pPr>
        <w:adjustRightInd w:val="0"/>
        <w:snapToGrid w:val="0"/>
        <w:spacing w:line="500" w:lineRule="exact"/>
        <w:rPr>
          <w:highlight w:val="none"/>
        </w:rPr>
      </w:pPr>
      <w:r>
        <w:rPr>
          <w:rFonts w:hint="eastAsia"/>
          <w:highlight w:val="none"/>
        </w:rPr>
        <w:t xml:space="preserve"> (2) 安装、运行、维护、检修所需详尽图纸和的技术资料(包括设备总图、部件总图、分图和必要的零件图、计算资料等)。</w:t>
      </w:r>
    </w:p>
    <w:p w14:paraId="0D0A2562">
      <w:pPr>
        <w:adjustRightInd w:val="0"/>
        <w:snapToGrid w:val="0"/>
        <w:spacing w:line="500" w:lineRule="exact"/>
        <w:rPr>
          <w:highlight w:val="none"/>
        </w:rPr>
      </w:pPr>
      <w:r>
        <w:rPr>
          <w:rFonts w:hint="eastAsia"/>
          <w:highlight w:val="none"/>
        </w:rPr>
        <w:t xml:space="preserve"> (3) 设备安装、运行、维护、检修说明书(包括设备结构特点、安装程序和工艺要求、等)。</w:t>
      </w:r>
    </w:p>
    <w:p w14:paraId="0394E828">
      <w:pPr>
        <w:adjustRightInd w:val="0"/>
        <w:snapToGrid w:val="0"/>
        <w:spacing w:line="500" w:lineRule="exact"/>
        <w:rPr>
          <w:highlight w:val="none"/>
        </w:rPr>
      </w:pPr>
      <w:r>
        <w:rPr>
          <w:rFonts w:hint="eastAsia"/>
          <w:highlight w:val="none"/>
        </w:rPr>
        <w:t>2</w:t>
      </w:r>
      <w:r>
        <w:rPr>
          <w:highlight w:val="none"/>
        </w:rPr>
        <w:t>.1</w:t>
      </w:r>
      <w:r>
        <w:rPr>
          <w:rFonts w:hint="eastAsia"/>
          <w:highlight w:val="none"/>
        </w:rPr>
        <w:t>.5提供3套的其它技术资料（具体清单，投标人细化，招标人确认）包括以下但不限于：</w:t>
      </w:r>
    </w:p>
    <w:p w14:paraId="3132B3FB">
      <w:pPr>
        <w:adjustRightInd w:val="0"/>
        <w:snapToGrid w:val="0"/>
        <w:spacing w:line="500" w:lineRule="exact"/>
        <w:rPr>
          <w:highlight w:val="none"/>
        </w:rPr>
      </w:pPr>
      <w:r>
        <w:rPr>
          <w:rFonts w:hint="eastAsia"/>
          <w:highlight w:val="none"/>
        </w:rPr>
        <w:t>（1）检验记录、试验报告及质量合格证等出厂报告。</w:t>
      </w:r>
    </w:p>
    <w:p w14:paraId="3F93481F">
      <w:pPr>
        <w:adjustRightInd w:val="0"/>
        <w:snapToGrid w:val="0"/>
        <w:spacing w:line="500" w:lineRule="exact"/>
        <w:rPr>
          <w:highlight w:val="none"/>
        </w:rPr>
      </w:pPr>
      <w:r>
        <w:rPr>
          <w:rFonts w:hint="eastAsia"/>
          <w:highlight w:val="none"/>
        </w:rPr>
        <w:t>(2)提供在设计、制造时所遵循的规范、标准和规程清单。</w:t>
      </w:r>
    </w:p>
    <w:p w14:paraId="71E3B4B0">
      <w:pPr>
        <w:adjustRightInd w:val="0"/>
        <w:snapToGrid w:val="0"/>
        <w:spacing w:line="500" w:lineRule="exact"/>
        <w:rPr>
          <w:highlight w:val="none"/>
        </w:rPr>
      </w:pPr>
      <w:r>
        <w:rPr>
          <w:rFonts w:hint="eastAsia"/>
          <w:highlight w:val="none"/>
        </w:rPr>
        <w:t>(3) 设备和管理资料文件</w:t>
      </w:r>
      <w:r>
        <w:rPr>
          <w:highlight w:val="none"/>
        </w:rPr>
        <w:t>(</w:t>
      </w:r>
      <w:r>
        <w:rPr>
          <w:rFonts w:hint="eastAsia"/>
          <w:highlight w:val="none"/>
        </w:rPr>
        <w:t>包括设备发运和装箱的详细资料，设备存放与保管的技术要求，运输超重超大件的明细表和外形图</w:t>
      </w:r>
      <w:r>
        <w:rPr>
          <w:highlight w:val="none"/>
        </w:rPr>
        <w:t>)</w:t>
      </w:r>
      <w:r>
        <w:rPr>
          <w:rFonts w:hint="eastAsia"/>
          <w:highlight w:val="none"/>
        </w:rPr>
        <w:t>。</w:t>
      </w:r>
      <w:bookmarkStart w:id="129" w:name="_Toc483400168"/>
      <w:bookmarkStart w:id="130" w:name="_Toc482701836"/>
    </w:p>
    <w:p w14:paraId="0B594C64">
      <w:pPr>
        <w:adjustRightInd w:val="0"/>
        <w:snapToGrid w:val="0"/>
        <w:spacing w:line="500" w:lineRule="exact"/>
        <w:rPr>
          <w:highlight w:val="none"/>
        </w:rPr>
      </w:pPr>
      <w:r>
        <w:rPr>
          <w:rFonts w:hint="eastAsia"/>
          <w:highlight w:val="none"/>
        </w:rPr>
        <w:t>(4) 详细的产品质量文件</w:t>
      </w:r>
      <w:r>
        <w:rPr>
          <w:highlight w:val="none"/>
        </w:rPr>
        <w:t>:</w:t>
      </w:r>
      <w:r>
        <w:rPr>
          <w:rFonts w:hint="eastAsia"/>
          <w:highlight w:val="none"/>
        </w:rPr>
        <w:t>包括材质、材质检验、主要零部件材料的化学成分和力学性</w:t>
      </w:r>
      <w:bookmarkEnd w:id="129"/>
      <w:bookmarkEnd w:id="130"/>
      <w:bookmarkStart w:id="131" w:name="_Toc482701837"/>
      <w:bookmarkStart w:id="132" w:name="_Toc483400169"/>
      <w:r>
        <w:rPr>
          <w:rFonts w:hint="eastAsia"/>
          <w:highlight w:val="none"/>
        </w:rPr>
        <w:t>能、焊接质量的检查结果</w:t>
      </w:r>
      <w:bookmarkEnd w:id="131"/>
      <w:bookmarkEnd w:id="132"/>
      <w:r>
        <w:rPr>
          <w:rFonts w:hint="eastAsia"/>
          <w:b/>
          <w:highlight w:val="none"/>
        </w:rPr>
        <w:t>。</w:t>
      </w:r>
    </w:p>
    <w:p w14:paraId="34FF0340">
      <w:pPr>
        <w:adjustRightInd w:val="0"/>
        <w:snapToGrid w:val="0"/>
        <w:spacing w:line="500" w:lineRule="exact"/>
        <w:ind w:firstLine="425"/>
        <w:rPr>
          <w:highlight w:val="none"/>
        </w:rPr>
      </w:pPr>
      <w:r>
        <w:rPr>
          <w:highlight w:val="none"/>
        </w:rPr>
        <w:t>以上所有正式资料上注明</w:t>
      </w:r>
      <w:r>
        <w:rPr>
          <w:rFonts w:hint="eastAsia"/>
          <w:highlight w:val="none"/>
        </w:rPr>
        <w:t>嘉兴</w:t>
      </w:r>
      <w:r>
        <w:rPr>
          <w:highlight w:val="none"/>
        </w:rPr>
        <w:t>电厂</w:t>
      </w:r>
      <w:r>
        <w:rPr>
          <w:rFonts w:hint="eastAsia"/>
          <w:highlight w:val="none"/>
        </w:rPr>
        <w:t>7号炉中部水冷壁散管管屏更换项目图纸专用章</w:t>
      </w:r>
      <w:r>
        <w:rPr>
          <w:highlight w:val="none"/>
        </w:rPr>
        <w:t>”字样，并注明版次。最终资料提交后不得任意修改，设备到货后与所提资料不符所造成的一切返工和损失由投标人负责赔偿。</w:t>
      </w:r>
    </w:p>
    <w:p w14:paraId="14D21E8A">
      <w:pPr>
        <w:adjustRightInd w:val="0"/>
        <w:snapToGrid w:val="0"/>
        <w:spacing w:line="500" w:lineRule="exact"/>
        <w:rPr>
          <w:rFonts w:ascii="宋体" w:hAnsi="宋体"/>
          <w:highlight w:val="none"/>
        </w:rPr>
      </w:pPr>
    </w:p>
    <w:p w14:paraId="55B1876D">
      <w:pPr>
        <w:rPr>
          <w:sz w:val="30"/>
          <w:szCs w:val="30"/>
          <w:highlight w:val="none"/>
        </w:rPr>
      </w:pPr>
      <w:bookmarkStart w:id="133" w:name="_Toc399318773"/>
      <w:bookmarkEnd w:id="133"/>
      <w:bookmarkStart w:id="134" w:name="_Toc505746939"/>
      <w:bookmarkEnd w:id="134"/>
      <w:bookmarkStart w:id="135" w:name="_Hlt515349389"/>
      <w:bookmarkEnd w:id="135"/>
      <w:bookmarkStart w:id="136" w:name="_Toc399326517"/>
      <w:bookmarkEnd w:id="136"/>
      <w:bookmarkStart w:id="137" w:name="_Toc478439473"/>
      <w:bookmarkEnd w:id="137"/>
      <w:bookmarkStart w:id="138" w:name="_Toc513014512"/>
      <w:bookmarkStart w:id="139" w:name="_Toc515785175"/>
      <w:bookmarkStart w:id="140" w:name="_Toc286159472"/>
      <w:r>
        <w:rPr>
          <w:rFonts w:hint="eastAsia"/>
          <w:sz w:val="30"/>
          <w:szCs w:val="30"/>
          <w:highlight w:val="none"/>
        </w:rPr>
        <w:br w:type="page"/>
      </w:r>
    </w:p>
    <w:p w14:paraId="56FBAE70">
      <w:pPr>
        <w:pStyle w:val="2"/>
        <w:rPr>
          <w:sz w:val="30"/>
          <w:szCs w:val="30"/>
          <w:highlight w:val="none"/>
        </w:rPr>
      </w:pPr>
      <w:bookmarkStart w:id="141" w:name="_Toc29745"/>
      <w:r>
        <w:rPr>
          <w:rFonts w:hint="eastAsia"/>
          <w:sz w:val="30"/>
          <w:szCs w:val="30"/>
          <w:highlight w:val="none"/>
        </w:rPr>
        <w:t>附件4 设备交货进度</w:t>
      </w:r>
      <w:bookmarkEnd w:id="138"/>
      <w:bookmarkEnd w:id="139"/>
      <w:bookmarkEnd w:id="140"/>
      <w:bookmarkEnd w:id="141"/>
    </w:p>
    <w:p w14:paraId="300F9B2B">
      <w:pPr>
        <w:spacing w:line="500" w:lineRule="exact"/>
        <w:ind w:firstLine="480" w:firstLineChars="200"/>
        <w:rPr>
          <w:highlight w:val="none"/>
        </w:rPr>
      </w:pPr>
      <w:r>
        <w:rPr>
          <w:rFonts w:hint="eastAsia"/>
          <w:highlight w:val="none"/>
        </w:rPr>
        <w:t>投标人填写</w:t>
      </w:r>
    </w:p>
    <w:tbl>
      <w:tblPr>
        <w:tblStyle w:val="25"/>
        <w:tblW w:w="8080" w:type="dxa"/>
        <w:tblInd w:w="28"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540"/>
        <w:gridCol w:w="4847"/>
        <w:gridCol w:w="1559"/>
        <w:gridCol w:w="1134"/>
      </w:tblGrid>
      <w:tr w14:paraId="0523F00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blHeader/>
        </w:trPr>
        <w:tc>
          <w:tcPr>
            <w:tcW w:w="540" w:type="dxa"/>
            <w:vAlign w:val="center"/>
          </w:tcPr>
          <w:p w14:paraId="22D0AB92">
            <w:pPr>
              <w:spacing w:line="500" w:lineRule="exact"/>
              <w:jc w:val="center"/>
              <w:rPr>
                <w:highlight w:val="none"/>
              </w:rPr>
            </w:pPr>
            <w:r>
              <w:rPr>
                <w:highlight w:val="none"/>
              </w:rPr>
              <w:t>序号</w:t>
            </w:r>
          </w:p>
        </w:tc>
        <w:tc>
          <w:tcPr>
            <w:tcW w:w="4847" w:type="dxa"/>
            <w:vAlign w:val="center"/>
          </w:tcPr>
          <w:p w14:paraId="2DF40659">
            <w:pPr>
              <w:spacing w:line="500" w:lineRule="exact"/>
              <w:jc w:val="center"/>
              <w:rPr>
                <w:highlight w:val="none"/>
              </w:rPr>
            </w:pPr>
            <w:r>
              <w:rPr>
                <w:highlight w:val="none"/>
              </w:rPr>
              <w:t>名称</w:t>
            </w:r>
          </w:p>
        </w:tc>
        <w:tc>
          <w:tcPr>
            <w:tcW w:w="1559" w:type="dxa"/>
            <w:vAlign w:val="center"/>
          </w:tcPr>
          <w:p w14:paraId="10CDB313">
            <w:pPr>
              <w:spacing w:line="500" w:lineRule="exact"/>
              <w:jc w:val="center"/>
              <w:rPr>
                <w:highlight w:val="none"/>
              </w:rPr>
            </w:pPr>
            <w:r>
              <w:rPr>
                <w:rFonts w:hint="eastAsia"/>
                <w:highlight w:val="none"/>
              </w:rPr>
              <w:t>交货时间</w:t>
            </w:r>
          </w:p>
        </w:tc>
        <w:tc>
          <w:tcPr>
            <w:tcW w:w="1134" w:type="dxa"/>
            <w:vAlign w:val="center"/>
          </w:tcPr>
          <w:p w14:paraId="2FE1126B">
            <w:pPr>
              <w:spacing w:line="500" w:lineRule="exact"/>
              <w:jc w:val="center"/>
              <w:rPr>
                <w:highlight w:val="none"/>
              </w:rPr>
            </w:pPr>
            <w:r>
              <w:rPr>
                <w:highlight w:val="none"/>
              </w:rPr>
              <w:t>备注</w:t>
            </w:r>
          </w:p>
        </w:tc>
      </w:tr>
      <w:tr w14:paraId="7EE9DCF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Pr>
        <w:tc>
          <w:tcPr>
            <w:tcW w:w="540" w:type="dxa"/>
          </w:tcPr>
          <w:p w14:paraId="5CEF84E9">
            <w:pPr>
              <w:spacing w:line="500" w:lineRule="exact"/>
              <w:rPr>
                <w:highlight w:val="none"/>
              </w:rPr>
            </w:pPr>
            <w:r>
              <w:rPr>
                <w:highlight w:val="none"/>
              </w:rPr>
              <w:t>1</w:t>
            </w:r>
          </w:p>
        </w:tc>
        <w:tc>
          <w:tcPr>
            <w:tcW w:w="4847" w:type="dxa"/>
          </w:tcPr>
          <w:p w14:paraId="29C73528">
            <w:pPr>
              <w:spacing w:line="440" w:lineRule="exact"/>
              <w:rPr>
                <w:rFonts w:ascii="宋体" w:hAnsi="宋体"/>
                <w:sz w:val="21"/>
                <w:szCs w:val="21"/>
                <w:highlight w:val="none"/>
              </w:rPr>
            </w:pPr>
            <w:r>
              <w:rPr>
                <w:rFonts w:hint="eastAsia" w:ascii="宋体" w:hAnsi="宋体" w:eastAsia="宋体" w:cs="宋体"/>
                <w:color w:val="000000"/>
                <w:sz w:val="24"/>
                <w:highlight w:val="none"/>
                <w:lang w:val="en-US" w:eastAsia="zh-CN"/>
              </w:rPr>
              <w:t>锅炉中部水冷壁管屏</w:t>
            </w:r>
          </w:p>
        </w:tc>
        <w:tc>
          <w:tcPr>
            <w:tcW w:w="1559" w:type="dxa"/>
          </w:tcPr>
          <w:p w14:paraId="48569446">
            <w:pPr>
              <w:spacing w:line="500" w:lineRule="exact"/>
              <w:rPr>
                <w:highlight w:val="none"/>
              </w:rPr>
            </w:pPr>
            <w:r>
              <w:rPr>
                <w:rFonts w:hint="eastAsia" w:ascii="宋体" w:hAnsi="宋体" w:eastAsia="宋体" w:cs="宋体"/>
                <w:color w:val="000000"/>
                <w:sz w:val="24"/>
                <w:szCs w:val="24"/>
                <w:highlight w:val="none"/>
                <w:lang w:val="en-US" w:eastAsia="zh-CN"/>
              </w:rPr>
              <w:t>合同签订后收到</w:t>
            </w:r>
            <w:r>
              <w:rPr>
                <w:rFonts w:hint="eastAsia" w:ascii="宋体" w:hAnsi="宋体" w:cs="宋体"/>
                <w:color w:val="000000"/>
                <w:sz w:val="24"/>
                <w:szCs w:val="24"/>
                <w:highlight w:val="none"/>
                <w:lang w:val="en-US" w:eastAsia="zh-CN"/>
              </w:rPr>
              <w:t>招标</w:t>
            </w:r>
            <w:r>
              <w:rPr>
                <w:rFonts w:hint="eastAsia" w:ascii="宋体" w:hAnsi="宋体" w:eastAsia="宋体" w:cs="宋体"/>
                <w:color w:val="000000"/>
                <w:sz w:val="24"/>
                <w:szCs w:val="24"/>
                <w:highlight w:val="none"/>
                <w:lang w:val="en-US" w:eastAsia="zh-CN"/>
              </w:rPr>
              <w:t>人通知后2个月内。</w:t>
            </w:r>
          </w:p>
        </w:tc>
        <w:tc>
          <w:tcPr>
            <w:tcW w:w="1134" w:type="dxa"/>
          </w:tcPr>
          <w:p w14:paraId="5A9DF3FA">
            <w:pPr>
              <w:spacing w:line="500" w:lineRule="exact"/>
              <w:rPr>
                <w:highlight w:val="none"/>
              </w:rPr>
            </w:pPr>
          </w:p>
        </w:tc>
      </w:tr>
      <w:tr w14:paraId="5C88B8C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Pr>
        <w:tc>
          <w:tcPr>
            <w:tcW w:w="540" w:type="dxa"/>
          </w:tcPr>
          <w:p w14:paraId="00C6CD72">
            <w:pPr>
              <w:spacing w:line="500" w:lineRule="exact"/>
              <w:rPr>
                <w:highlight w:val="none"/>
              </w:rPr>
            </w:pPr>
            <w:r>
              <w:rPr>
                <w:highlight w:val="none"/>
              </w:rPr>
              <w:t>2</w:t>
            </w:r>
          </w:p>
        </w:tc>
        <w:tc>
          <w:tcPr>
            <w:tcW w:w="4847" w:type="dxa"/>
          </w:tcPr>
          <w:p w14:paraId="6ADB7BA5">
            <w:pPr>
              <w:spacing w:line="440" w:lineRule="exact"/>
              <w:rPr>
                <w:rFonts w:ascii="宋体" w:hAnsi="宋体"/>
                <w:sz w:val="21"/>
                <w:szCs w:val="21"/>
                <w:highlight w:val="none"/>
              </w:rPr>
            </w:pPr>
          </w:p>
        </w:tc>
        <w:tc>
          <w:tcPr>
            <w:tcW w:w="1559" w:type="dxa"/>
          </w:tcPr>
          <w:p w14:paraId="037C272C">
            <w:pPr>
              <w:spacing w:line="500" w:lineRule="exact"/>
              <w:rPr>
                <w:highlight w:val="none"/>
              </w:rPr>
            </w:pPr>
          </w:p>
        </w:tc>
        <w:tc>
          <w:tcPr>
            <w:tcW w:w="1134" w:type="dxa"/>
          </w:tcPr>
          <w:p w14:paraId="08D7128A">
            <w:pPr>
              <w:spacing w:line="500" w:lineRule="exact"/>
              <w:rPr>
                <w:highlight w:val="none"/>
              </w:rPr>
            </w:pPr>
          </w:p>
        </w:tc>
      </w:tr>
      <w:tr w14:paraId="720530E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540" w:type="dxa"/>
          </w:tcPr>
          <w:p w14:paraId="002CE138">
            <w:pPr>
              <w:spacing w:line="500" w:lineRule="exact"/>
              <w:rPr>
                <w:highlight w:val="none"/>
              </w:rPr>
            </w:pPr>
            <w:r>
              <w:rPr>
                <w:highlight w:val="none"/>
              </w:rPr>
              <w:t>3</w:t>
            </w:r>
          </w:p>
        </w:tc>
        <w:tc>
          <w:tcPr>
            <w:tcW w:w="4847" w:type="dxa"/>
          </w:tcPr>
          <w:p w14:paraId="41BE69D4">
            <w:pPr>
              <w:spacing w:line="440" w:lineRule="exact"/>
              <w:rPr>
                <w:rFonts w:ascii="宋体" w:hAnsi="宋体"/>
                <w:sz w:val="21"/>
                <w:szCs w:val="21"/>
                <w:highlight w:val="none"/>
              </w:rPr>
            </w:pPr>
          </w:p>
        </w:tc>
        <w:tc>
          <w:tcPr>
            <w:tcW w:w="1559" w:type="dxa"/>
          </w:tcPr>
          <w:p w14:paraId="67AF37D5">
            <w:pPr>
              <w:spacing w:line="500" w:lineRule="exact"/>
              <w:rPr>
                <w:highlight w:val="none"/>
              </w:rPr>
            </w:pPr>
          </w:p>
        </w:tc>
        <w:tc>
          <w:tcPr>
            <w:tcW w:w="1134" w:type="dxa"/>
          </w:tcPr>
          <w:p w14:paraId="56F69247">
            <w:pPr>
              <w:spacing w:line="500" w:lineRule="exact"/>
              <w:rPr>
                <w:highlight w:val="none"/>
              </w:rPr>
            </w:pPr>
          </w:p>
        </w:tc>
      </w:tr>
      <w:tr w14:paraId="0ACD2BD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540" w:type="dxa"/>
          </w:tcPr>
          <w:p w14:paraId="3E1240D0">
            <w:pPr>
              <w:spacing w:line="500" w:lineRule="exact"/>
              <w:rPr>
                <w:highlight w:val="none"/>
              </w:rPr>
            </w:pPr>
            <w:r>
              <w:rPr>
                <w:highlight w:val="none"/>
              </w:rPr>
              <w:t>4</w:t>
            </w:r>
          </w:p>
        </w:tc>
        <w:tc>
          <w:tcPr>
            <w:tcW w:w="4847" w:type="dxa"/>
          </w:tcPr>
          <w:p w14:paraId="7AAE0C34">
            <w:pPr>
              <w:spacing w:line="440" w:lineRule="exact"/>
              <w:rPr>
                <w:rFonts w:ascii="宋体" w:hAnsi="宋体"/>
                <w:sz w:val="21"/>
                <w:szCs w:val="21"/>
                <w:highlight w:val="none"/>
              </w:rPr>
            </w:pPr>
          </w:p>
        </w:tc>
        <w:tc>
          <w:tcPr>
            <w:tcW w:w="1559" w:type="dxa"/>
          </w:tcPr>
          <w:p w14:paraId="3DC4E7EE">
            <w:pPr>
              <w:spacing w:line="500" w:lineRule="exact"/>
              <w:rPr>
                <w:highlight w:val="none"/>
              </w:rPr>
            </w:pPr>
          </w:p>
        </w:tc>
        <w:tc>
          <w:tcPr>
            <w:tcW w:w="1134" w:type="dxa"/>
          </w:tcPr>
          <w:p w14:paraId="5A97B36E">
            <w:pPr>
              <w:spacing w:line="500" w:lineRule="exact"/>
              <w:rPr>
                <w:highlight w:val="none"/>
              </w:rPr>
            </w:pPr>
          </w:p>
        </w:tc>
      </w:tr>
      <w:tr w14:paraId="3E3834D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540" w:type="dxa"/>
          </w:tcPr>
          <w:p w14:paraId="48B432C5">
            <w:pPr>
              <w:spacing w:line="500" w:lineRule="exact"/>
              <w:rPr>
                <w:highlight w:val="none"/>
              </w:rPr>
            </w:pPr>
            <w:r>
              <w:rPr>
                <w:highlight w:val="none"/>
              </w:rPr>
              <w:t>5</w:t>
            </w:r>
          </w:p>
        </w:tc>
        <w:tc>
          <w:tcPr>
            <w:tcW w:w="4847" w:type="dxa"/>
          </w:tcPr>
          <w:p w14:paraId="60A619E9">
            <w:pPr>
              <w:spacing w:line="440" w:lineRule="exact"/>
              <w:rPr>
                <w:rFonts w:ascii="宋体" w:hAnsi="宋体"/>
                <w:sz w:val="21"/>
                <w:szCs w:val="21"/>
                <w:highlight w:val="none"/>
              </w:rPr>
            </w:pPr>
          </w:p>
        </w:tc>
        <w:tc>
          <w:tcPr>
            <w:tcW w:w="1559" w:type="dxa"/>
          </w:tcPr>
          <w:p w14:paraId="69693BAA">
            <w:pPr>
              <w:spacing w:line="500" w:lineRule="exact"/>
              <w:rPr>
                <w:highlight w:val="none"/>
              </w:rPr>
            </w:pPr>
          </w:p>
        </w:tc>
        <w:tc>
          <w:tcPr>
            <w:tcW w:w="1134" w:type="dxa"/>
          </w:tcPr>
          <w:p w14:paraId="435F4449">
            <w:pPr>
              <w:spacing w:line="500" w:lineRule="exact"/>
              <w:rPr>
                <w:highlight w:val="none"/>
              </w:rPr>
            </w:pPr>
          </w:p>
        </w:tc>
      </w:tr>
      <w:tr w14:paraId="03046B6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540" w:type="dxa"/>
          </w:tcPr>
          <w:p w14:paraId="7A8398B5">
            <w:pPr>
              <w:spacing w:line="500" w:lineRule="exact"/>
              <w:rPr>
                <w:highlight w:val="none"/>
              </w:rPr>
            </w:pPr>
            <w:r>
              <w:rPr>
                <w:highlight w:val="none"/>
              </w:rPr>
              <w:t>6</w:t>
            </w:r>
          </w:p>
        </w:tc>
        <w:tc>
          <w:tcPr>
            <w:tcW w:w="4847" w:type="dxa"/>
          </w:tcPr>
          <w:p w14:paraId="07403A40">
            <w:pPr>
              <w:spacing w:line="440" w:lineRule="exact"/>
              <w:rPr>
                <w:rFonts w:ascii="宋体" w:hAnsi="宋体"/>
                <w:sz w:val="21"/>
                <w:szCs w:val="21"/>
                <w:highlight w:val="none"/>
              </w:rPr>
            </w:pPr>
          </w:p>
        </w:tc>
        <w:tc>
          <w:tcPr>
            <w:tcW w:w="1559" w:type="dxa"/>
          </w:tcPr>
          <w:p w14:paraId="7921684F">
            <w:pPr>
              <w:spacing w:line="500" w:lineRule="exact"/>
              <w:rPr>
                <w:highlight w:val="none"/>
              </w:rPr>
            </w:pPr>
          </w:p>
        </w:tc>
        <w:tc>
          <w:tcPr>
            <w:tcW w:w="1134" w:type="dxa"/>
          </w:tcPr>
          <w:p w14:paraId="6D82A15E">
            <w:pPr>
              <w:spacing w:line="500" w:lineRule="exact"/>
              <w:rPr>
                <w:highlight w:val="none"/>
              </w:rPr>
            </w:pPr>
          </w:p>
        </w:tc>
      </w:tr>
    </w:tbl>
    <w:p w14:paraId="18F8D302">
      <w:pPr>
        <w:spacing w:line="500" w:lineRule="exact"/>
        <w:rPr>
          <w:highlight w:val="none"/>
        </w:rPr>
      </w:pPr>
    </w:p>
    <w:p w14:paraId="4725A181">
      <w:pPr>
        <w:spacing w:line="500" w:lineRule="exact"/>
        <w:rPr>
          <w:highlight w:val="none"/>
        </w:rPr>
      </w:pPr>
      <w:r>
        <w:rPr>
          <w:rFonts w:hint="eastAsia"/>
          <w:highlight w:val="none"/>
        </w:rPr>
        <w:t>备注：</w:t>
      </w:r>
      <w:r>
        <w:rPr>
          <w:rFonts w:hint="eastAsia"/>
          <w:highlight w:val="none"/>
        </w:rPr>
        <w:tab/>
      </w:r>
    </w:p>
    <w:p w14:paraId="1BD8AD4C">
      <w:pPr>
        <w:spacing w:line="500" w:lineRule="exact"/>
        <w:rPr>
          <w:highlight w:val="none"/>
        </w:rPr>
      </w:pPr>
      <w:r>
        <w:rPr>
          <w:rFonts w:hint="eastAsia"/>
          <w:highlight w:val="none"/>
        </w:rPr>
        <w:t>1、交货日期指该批设备到现场的日期；（交货地点为</w:t>
      </w:r>
      <w:r>
        <w:rPr>
          <w:rFonts w:hint="eastAsia" w:ascii="宋体" w:hAnsi="宋体" w:cs="Arial"/>
          <w:highlight w:val="none"/>
        </w:rPr>
        <w:t>浙能嘉兴电厂</w:t>
      </w:r>
      <w:r>
        <w:rPr>
          <w:rFonts w:hint="eastAsia"/>
          <w:highlight w:val="none"/>
        </w:rPr>
        <w:t>）</w:t>
      </w:r>
    </w:p>
    <w:p w14:paraId="3D5C6B60">
      <w:pPr>
        <w:spacing w:line="500" w:lineRule="exact"/>
        <w:rPr>
          <w:highlight w:val="none"/>
        </w:rPr>
      </w:pPr>
      <w:r>
        <w:rPr>
          <w:rFonts w:hint="eastAsia"/>
          <w:highlight w:val="none"/>
        </w:rPr>
        <w:t>2、设备到达现场，投标人派人到现场办理交接。</w:t>
      </w:r>
    </w:p>
    <w:p w14:paraId="56CF9BAE">
      <w:pPr>
        <w:spacing w:line="500" w:lineRule="exact"/>
        <w:rPr>
          <w:highlight w:val="none"/>
        </w:rPr>
      </w:pPr>
      <w:r>
        <w:rPr>
          <w:rFonts w:hint="eastAsia"/>
          <w:highlight w:val="none"/>
        </w:rPr>
        <w:t>3、</w:t>
      </w:r>
      <w:r>
        <w:rPr>
          <w:highlight w:val="none"/>
        </w:rPr>
        <w:t>本交货时间为暂定计划，具体交货时间</w:t>
      </w:r>
      <w:r>
        <w:rPr>
          <w:rFonts w:hint="eastAsia"/>
          <w:highlight w:val="none"/>
        </w:rPr>
        <w:t>根据</w:t>
      </w:r>
      <w:r>
        <w:rPr>
          <w:highlight w:val="none"/>
        </w:rPr>
        <w:t>工程进度要求</w:t>
      </w:r>
      <w:r>
        <w:rPr>
          <w:rFonts w:hint="eastAsia"/>
          <w:highlight w:val="none"/>
        </w:rPr>
        <w:t>调整</w:t>
      </w:r>
      <w:r>
        <w:rPr>
          <w:highlight w:val="none"/>
        </w:rPr>
        <w:t>。</w:t>
      </w:r>
    </w:p>
    <w:p w14:paraId="0C0E6C6C">
      <w:pPr>
        <w:spacing w:line="500" w:lineRule="exact"/>
        <w:rPr>
          <w:highlight w:val="none"/>
        </w:rPr>
      </w:pPr>
    </w:p>
    <w:p w14:paraId="722F6D59">
      <w:pPr>
        <w:spacing w:line="500" w:lineRule="exact"/>
        <w:rPr>
          <w:rFonts w:ascii="宋体" w:hAnsi="宋体"/>
          <w:highlight w:val="none"/>
        </w:rPr>
      </w:pPr>
    </w:p>
    <w:p w14:paraId="7ABBA620">
      <w:pPr>
        <w:spacing w:line="500" w:lineRule="exact"/>
        <w:rPr>
          <w:rFonts w:ascii="宋体" w:hAnsi="宋体"/>
          <w:bCs/>
          <w:highlight w:val="none"/>
        </w:rPr>
      </w:pPr>
    </w:p>
    <w:p w14:paraId="05A23119">
      <w:pPr>
        <w:spacing w:line="500" w:lineRule="exact"/>
        <w:rPr>
          <w:rFonts w:ascii="宋体" w:hAnsi="宋体"/>
          <w:bCs/>
          <w:highlight w:val="none"/>
        </w:rPr>
      </w:pPr>
    </w:p>
    <w:p w14:paraId="5F029484">
      <w:pPr>
        <w:spacing w:line="500" w:lineRule="exact"/>
        <w:rPr>
          <w:rFonts w:ascii="宋体" w:hAnsi="宋体"/>
          <w:bCs/>
          <w:highlight w:val="none"/>
        </w:rPr>
      </w:pPr>
    </w:p>
    <w:p w14:paraId="1565E1E9">
      <w:pPr>
        <w:spacing w:line="500" w:lineRule="exact"/>
        <w:rPr>
          <w:rFonts w:ascii="宋体" w:hAnsi="宋体"/>
          <w:highlight w:val="none"/>
        </w:rPr>
      </w:pPr>
    </w:p>
    <w:p w14:paraId="110A0078">
      <w:pPr>
        <w:spacing w:line="500" w:lineRule="exact"/>
        <w:rPr>
          <w:rFonts w:ascii="宋体" w:hAnsi="宋体"/>
          <w:bCs/>
          <w:highlight w:val="none"/>
        </w:rPr>
        <w:sectPr>
          <w:headerReference r:id="rId11" w:type="default"/>
          <w:footerReference r:id="rId12" w:type="default"/>
          <w:endnotePr>
            <w:numFmt w:val="decimal"/>
          </w:endnotePr>
          <w:pgSz w:w="11907" w:h="16840"/>
          <w:pgMar w:top="1418" w:right="1531" w:bottom="1418" w:left="1701" w:header="851" w:footer="1021" w:gutter="0"/>
          <w:cols w:space="720" w:num="1"/>
          <w:docGrid w:linePitch="326" w:charSpace="0"/>
        </w:sectPr>
      </w:pPr>
    </w:p>
    <w:p w14:paraId="34AAC6BB">
      <w:pPr>
        <w:pStyle w:val="2"/>
        <w:rPr>
          <w:sz w:val="30"/>
          <w:szCs w:val="30"/>
          <w:highlight w:val="none"/>
        </w:rPr>
      </w:pPr>
      <w:bookmarkStart w:id="142" w:name="_Toc513014514"/>
      <w:bookmarkStart w:id="143" w:name="_Toc515785176"/>
      <w:bookmarkStart w:id="144" w:name="_Toc501817570"/>
      <w:bookmarkStart w:id="145" w:name="_Toc286159473"/>
      <w:bookmarkStart w:id="146" w:name="_Toc25551"/>
      <w:r>
        <w:rPr>
          <w:rFonts w:hint="eastAsia"/>
          <w:sz w:val="30"/>
          <w:szCs w:val="30"/>
          <w:highlight w:val="none"/>
        </w:rPr>
        <w:t>附件5 设备监造、检验和性能验收试验</w:t>
      </w:r>
      <w:bookmarkEnd w:id="142"/>
      <w:bookmarkEnd w:id="143"/>
      <w:bookmarkEnd w:id="144"/>
      <w:bookmarkEnd w:id="145"/>
      <w:bookmarkEnd w:id="146"/>
      <w:bookmarkStart w:id="147" w:name="_Toc501817571"/>
      <w:bookmarkStart w:id="148" w:name="_Toc513014515"/>
      <w:bookmarkStart w:id="149" w:name="_Toc515785177"/>
    </w:p>
    <w:p w14:paraId="398F52A2">
      <w:pPr>
        <w:pStyle w:val="3"/>
        <w:snapToGrid w:val="0"/>
        <w:spacing w:before="0" w:after="0" w:line="500" w:lineRule="exact"/>
        <w:rPr>
          <w:rFonts w:hAnsi="宋体"/>
          <w:highlight w:val="none"/>
        </w:rPr>
      </w:pPr>
      <w:r>
        <w:rPr>
          <w:rFonts w:hint="eastAsia" w:hAnsi="宋体"/>
          <w:highlight w:val="none"/>
        </w:rPr>
        <w:t>1概述</w:t>
      </w:r>
      <w:bookmarkEnd w:id="147"/>
      <w:bookmarkEnd w:id="148"/>
      <w:bookmarkEnd w:id="149"/>
    </w:p>
    <w:p w14:paraId="5F95DA7B">
      <w:pPr>
        <w:spacing w:line="360" w:lineRule="auto"/>
        <w:rPr>
          <w:rFonts w:ascii="宋体" w:hAnsi="宋体"/>
          <w:szCs w:val="20"/>
          <w:highlight w:val="none"/>
        </w:rPr>
      </w:pPr>
      <w:bookmarkStart w:id="150" w:name="_Toc501817572"/>
      <w:bookmarkStart w:id="151" w:name="_Toc513014516"/>
      <w:bookmarkStart w:id="152" w:name="_Toc515785178"/>
      <w:r>
        <w:rPr>
          <w:rFonts w:hint="eastAsia" w:ascii="宋体" w:hAnsi="宋体"/>
          <w:szCs w:val="20"/>
          <w:highlight w:val="none"/>
        </w:rPr>
        <w:t>1.1  本章用于合同执行期间对所提供的标的物（包括对分包外购设备）进行检验、监造和性能验收试验，确保投标人所提供的设备符合第四章规定的要求。</w:t>
      </w:r>
    </w:p>
    <w:p w14:paraId="0F539545">
      <w:pPr>
        <w:spacing w:line="360" w:lineRule="auto"/>
        <w:rPr>
          <w:rFonts w:ascii="宋体" w:hAnsi="宋体"/>
          <w:szCs w:val="20"/>
          <w:highlight w:val="none"/>
        </w:rPr>
      </w:pPr>
      <w:r>
        <w:rPr>
          <w:rFonts w:hint="eastAsia" w:ascii="宋体" w:hAnsi="宋体"/>
          <w:szCs w:val="20"/>
          <w:highlight w:val="none"/>
        </w:rPr>
        <w:t>招标人对设计图纸的审核同意，不免除投标人设计制造准确性、与现场相符合的责任。</w:t>
      </w:r>
    </w:p>
    <w:p w14:paraId="10167059">
      <w:pPr>
        <w:spacing w:line="360" w:lineRule="auto"/>
        <w:rPr>
          <w:rFonts w:ascii="宋体" w:hAnsi="宋体"/>
          <w:szCs w:val="20"/>
          <w:highlight w:val="none"/>
        </w:rPr>
      </w:pPr>
      <w:r>
        <w:rPr>
          <w:rFonts w:hint="eastAsia" w:ascii="宋体" w:hAnsi="宋体"/>
          <w:szCs w:val="20"/>
          <w:highlight w:val="none"/>
        </w:rPr>
        <w:t>1.2  在本合同生效后</w:t>
      </w:r>
      <w:r>
        <w:rPr>
          <w:rFonts w:hint="eastAsia" w:ascii="宋体" w:hAnsi="宋体"/>
          <w:szCs w:val="20"/>
          <w:highlight w:val="none"/>
          <w:u w:val="single"/>
        </w:rPr>
        <w:t xml:space="preserve"> 1 </w:t>
      </w:r>
      <w:r>
        <w:rPr>
          <w:rFonts w:hint="eastAsia" w:ascii="宋体" w:hAnsi="宋体"/>
          <w:szCs w:val="20"/>
          <w:highlight w:val="none"/>
        </w:rPr>
        <w:t>个月内，向招标人提供与本合同设备有关的监造、检验、性能验收试验标准。有关标准应符合第四章的规定。</w:t>
      </w:r>
    </w:p>
    <w:p w14:paraId="775D1BA7">
      <w:pPr>
        <w:spacing w:line="360" w:lineRule="auto"/>
        <w:rPr>
          <w:rFonts w:ascii="宋体" w:hAnsi="宋体"/>
          <w:szCs w:val="20"/>
          <w:highlight w:val="none"/>
        </w:rPr>
      </w:pPr>
      <w:r>
        <w:rPr>
          <w:rFonts w:hint="eastAsia" w:ascii="宋体" w:hAnsi="宋体"/>
          <w:szCs w:val="20"/>
          <w:highlight w:val="none"/>
        </w:rPr>
        <w:t>1.3  及时提交完整检验和试验资料给招标人；对重要的检查和试验项目，列出清单由招标人认可后，派代表参加。并应在试验前20天通知招标人。</w:t>
      </w:r>
    </w:p>
    <w:p w14:paraId="491D6C11">
      <w:pPr>
        <w:spacing w:line="360" w:lineRule="auto"/>
        <w:rPr>
          <w:rFonts w:ascii="宋体" w:hAnsi="宋体"/>
          <w:szCs w:val="20"/>
          <w:highlight w:val="none"/>
        </w:rPr>
      </w:pPr>
      <w:r>
        <w:rPr>
          <w:rFonts w:hint="eastAsia" w:ascii="宋体" w:hAnsi="宋体"/>
          <w:szCs w:val="20"/>
          <w:highlight w:val="none"/>
        </w:rPr>
        <w:t>1.4   配套中直接外购件的质量亦由投标人负责。</w:t>
      </w:r>
    </w:p>
    <w:p w14:paraId="5F3A4A49">
      <w:pPr>
        <w:spacing w:line="360" w:lineRule="auto"/>
        <w:rPr>
          <w:rFonts w:ascii="宋体" w:hAnsi="宋体"/>
          <w:szCs w:val="20"/>
          <w:highlight w:val="none"/>
        </w:rPr>
      </w:pPr>
      <w:r>
        <w:rPr>
          <w:rFonts w:hint="eastAsia" w:ascii="宋体" w:hAnsi="宋体"/>
          <w:szCs w:val="20"/>
          <w:highlight w:val="none"/>
        </w:rPr>
        <w:t xml:space="preserve">1.5  </w:t>
      </w:r>
      <w:r>
        <w:rPr>
          <w:rFonts w:ascii="宋体" w:hAnsi="宋体"/>
          <w:szCs w:val="20"/>
          <w:highlight w:val="none"/>
        </w:rPr>
        <w:t>如有合同</w:t>
      </w:r>
      <w:r>
        <w:rPr>
          <w:rFonts w:hint="eastAsia" w:ascii="宋体" w:hAnsi="宋体"/>
          <w:szCs w:val="20"/>
          <w:highlight w:val="none"/>
        </w:rPr>
        <w:t>标的物</w:t>
      </w:r>
      <w:r>
        <w:rPr>
          <w:rFonts w:ascii="宋体" w:hAnsi="宋体"/>
          <w:szCs w:val="20"/>
          <w:highlight w:val="none"/>
        </w:rPr>
        <w:t>经检验和试验不符合技术规范的要求</w:t>
      </w:r>
      <w:r>
        <w:rPr>
          <w:rFonts w:hint="eastAsia" w:ascii="宋体" w:hAnsi="宋体"/>
          <w:szCs w:val="20"/>
          <w:highlight w:val="none"/>
        </w:rPr>
        <w:t>，招标人</w:t>
      </w:r>
      <w:r>
        <w:rPr>
          <w:rFonts w:ascii="宋体" w:hAnsi="宋体"/>
          <w:szCs w:val="20"/>
          <w:highlight w:val="none"/>
        </w:rPr>
        <w:t>可以拒收</w:t>
      </w:r>
      <w:r>
        <w:rPr>
          <w:rFonts w:hint="eastAsia" w:ascii="宋体" w:hAnsi="宋体"/>
          <w:szCs w:val="20"/>
          <w:highlight w:val="none"/>
        </w:rPr>
        <w:t>，投标人将</w:t>
      </w:r>
      <w:r>
        <w:rPr>
          <w:rFonts w:ascii="宋体" w:hAnsi="宋体"/>
          <w:szCs w:val="20"/>
          <w:highlight w:val="none"/>
        </w:rPr>
        <w:t>更换被拒收的货物</w:t>
      </w:r>
      <w:r>
        <w:rPr>
          <w:rFonts w:hint="eastAsia" w:ascii="宋体" w:hAnsi="宋体"/>
          <w:szCs w:val="20"/>
          <w:highlight w:val="none"/>
        </w:rPr>
        <w:t>，</w:t>
      </w:r>
      <w:r>
        <w:rPr>
          <w:rFonts w:ascii="宋体" w:hAnsi="宋体"/>
          <w:szCs w:val="20"/>
          <w:highlight w:val="none"/>
        </w:rPr>
        <w:t>或进行必要的改造使之符合技术规范的要求</w:t>
      </w:r>
      <w:r>
        <w:rPr>
          <w:rFonts w:hint="eastAsia" w:ascii="宋体" w:hAnsi="宋体"/>
          <w:szCs w:val="20"/>
          <w:highlight w:val="none"/>
        </w:rPr>
        <w:t>，招标人</w:t>
      </w:r>
      <w:r>
        <w:rPr>
          <w:rFonts w:ascii="宋体" w:hAnsi="宋体"/>
          <w:szCs w:val="20"/>
          <w:highlight w:val="none"/>
        </w:rPr>
        <w:t>不承担上述的费用。</w:t>
      </w:r>
    </w:p>
    <w:p w14:paraId="6F24A05D">
      <w:pPr>
        <w:spacing w:line="360" w:lineRule="auto"/>
        <w:rPr>
          <w:rFonts w:ascii="宋体" w:hAnsi="宋体"/>
          <w:szCs w:val="20"/>
          <w:highlight w:val="none"/>
        </w:rPr>
      </w:pPr>
      <w:r>
        <w:rPr>
          <w:rFonts w:hint="eastAsia" w:ascii="宋体" w:hAnsi="宋体"/>
          <w:szCs w:val="20"/>
          <w:highlight w:val="none"/>
        </w:rPr>
        <w:t>1.6  招标人有权</w:t>
      </w:r>
      <w:r>
        <w:rPr>
          <w:rFonts w:ascii="宋体" w:hAnsi="宋体"/>
          <w:szCs w:val="20"/>
          <w:highlight w:val="none"/>
        </w:rPr>
        <w:t>对</w:t>
      </w:r>
      <w:r>
        <w:rPr>
          <w:rFonts w:hint="eastAsia" w:ascii="宋体" w:hAnsi="宋体"/>
          <w:szCs w:val="20"/>
          <w:highlight w:val="none"/>
        </w:rPr>
        <w:t>标的物</w:t>
      </w:r>
      <w:r>
        <w:rPr>
          <w:rFonts w:ascii="宋体" w:hAnsi="宋体"/>
          <w:szCs w:val="20"/>
          <w:highlight w:val="none"/>
        </w:rPr>
        <w:t>运到</w:t>
      </w:r>
      <w:r>
        <w:rPr>
          <w:rFonts w:hint="eastAsia" w:ascii="宋体" w:hAnsi="宋体"/>
          <w:szCs w:val="20"/>
          <w:highlight w:val="none"/>
        </w:rPr>
        <w:t>招标人</w:t>
      </w:r>
      <w:r>
        <w:rPr>
          <w:rFonts w:ascii="宋体" w:hAnsi="宋体"/>
          <w:szCs w:val="20"/>
          <w:highlight w:val="none"/>
        </w:rPr>
        <w:t>所在地以后进行检验、试验和拒收</w:t>
      </w:r>
      <w:r>
        <w:rPr>
          <w:rFonts w:hint="eastAsia" w:ascii="宋体" w:hAnsi="宋体"/>
          <w:szCs w:val="20"/>
          <w:highlight w:val="none"/>
        </w:rPr>
        <w:t>（</w:t>
      </w:r>
      <w:r>
        <w:rPr>
          <w:rFonts w:ascii="宋体" w:hAnsi="宋体"/>
          <w:szCs w:val="20"/>
          <w:highlight w:val="none"/>
        </w:rPr>
        <w:t>如果必要时</w:t>
      </w:r>
      <w:r>
        <w:rPr>
          <w:rFonts w:hint="eastAsia" w:ascii="宋体" w:hAnsi="宋体"/>
          <w:szCs w:val="20"/>
          <w:highlight w:val="none"/>
        </w:rPr>
        <w:t>）</w:t>
      </w:r>
      <w:r>
        <w:rPr>
          <w:rFonts w:ascii="宋体" w:hAnsi="宋体"/>
          <w:szCs w:val="20"/>
          <w:highlight w:val="none"/>
        </w:rPr>
        <w:t>的权利</w:t>
      </w:r>
      <w:r>
        <w:rPr>
          <w:rFonts w:hint="eastAsia" w:ascii="宋体" w:hAnsi="宋体"/>
          <w:szCs w:val="20"/>
          <w:highlight w:val="none"/>
        </w:rPr>
        <w:t>，投标人积极配合</w:t>
      </w:r>
      <w:r>
        <w:rPr>
          <w:rFonts w:ascii="宋体" w:hAnsi="宋体"/>
          <w:szCs w:val="20"/>
          <w:highlight w:val="none"/>
        </w:rPr>
        <w:t>。</w:t>
      </w:r>
      <w:r>
        <w:rPr>
          <w:rFonts w:hint="eastAsia" w:ascii="宋体" w:hAnsi="宋体"/>
          <w:szCs w:val="20"/>
          <w:highlight w:val="none"/>
        </w:rPr>
        <w:t>招标人</w:t>
      </w:r>
      <w:r>
        <w:rPr>
          <w:rFonts w:ascii="宋体" w:hAnsi="宋体"/>
          <w:szCs w:val="20"/>
          <w:highlight w:val="none"/>
        </w:rPr>
        <w:t>人员参加工厂试验</w:t>
      </w:r>
      <w:r>
        <w:rPr>
          <w:rFonts w:hint="eastAsia" w:ascii="宋体" w:hAnsi="宋体"/>
          <w:szCs w:val="20"/>
          <w:highlight w:val="none"/>
        </w:rPr>
        <w:t>，</w:t>
      </w:r>
      <w:r>
        <w:rPr>
          <w:rFonts w:ascii="宋体" w:hAnsi="宋体"/>
          <w:szCs w:val="20"/>
          <w:highlight w:val="none"/>
        </w:rPr>
        <w:t>包括会签任何试验结果</w:t>
      </w:r>
      <w:r>
        <w:rPr>
          <w:rFonts w:hint="eastAsia" w:ascii="宋体" w:hAnsi="宋体"/>
          <w:szCs w:val="20"/>
          <w:highlight w:val="none"/>
        </w:rPr>
        <w:t>，</w:t>
      </w:r>
      <w:r>
        <w:rPr>
          <w:rFonts w:ascii="宋体" w:hAnsi="宋体"/>
          <w:szCs w:val="20"/>
          <w:highlight w:val="none"/>
        </w:rPr>
        <w:t>既不免除</w:t>
      </w:r>
      <w:r>
        <w:rPr>
          <w:rFonts w:hint="eastAsia" w:ascii="宋体" w:hAnsi="宋体"/>
          <w:szCs w:val="20"/>
          <w:highlight w:val="none"/>
        </w:rPr>
        <w:t>投标人</w:t>
      </w:r>
      <w:r>
        <w:rPr>
          <w:rFonts w:ascii="宋体" w:hAnsi="宋体"/>
          <w:szCs w:val="20"/>
          <w:highlight w:val="none"/>
        </w:rPr>
        <w:t>按合同规定应负的责任</w:t>
      </w:r>
      <w:r>
        <w:rPr>
          <w:rFonts w:hint="eastAsia" w:ascii="宋体" w:hAnsi="宋体"/>
          <w:szCs w:val="20"/>
          <w:highlight w:val="none"/>
        </w:rPr>
        <w:t>，</w:t>
      </w:r>
      <w:r>
        <w:rPr>
          <w:rFonts w:ascii="宋体" w:hAnsi="宋体"/>
          <w:szCs w:val="20"/>
          <w:highlight w:val="none"/>
        </w:rPr>
        <w:t>也不能代替合同设备到达现场后</w:t>
      </w:r>
      <w:r>
        <w:rPr>
          <w:rFonts w:hint="eastAsia" w:ascii="宋体" w:hAnsi="宋体"/>
          <w:szCs w:val="20"/>
          <w:highlight w:val="none"/>
        </w:rPr>
        <w:t>招标人</w:t>
      </w:r>
      <w:r>
        <w:rPr>
          <w:rFonts w:ascii="宋体" w:hAnsi="宋体"/>
          <w:szCs w:val="20"/>
          <w:highlight w:val="none"/>
        </w:rPr>
        <w:t>对其进行的检验。</w:t>
      </w:r>
    </w:p>
    <w:p w14:paraId="30C1FBEC">
      <w:pPr>
        <w:spacing w:line="360" w:lineRule="auto"/>
        <w:rPr>
          <w:rFonts w:ascii="宋体" w:hAnsi="宋体"/>
          <w:szCs w:val="20"/>
          <w:highlight w:val="none"/>
        </w:rPr>
      </w:pPr>
      <w:r>
        <w:rPr>
          <w:rFonts w:hint="eastAsia" w:ascii="宋体" w:hAnsi="宋体"/>
          <w:szCs w:val="20"/>
          <w:highlight w:val="none"/>
        </w:rPr>
        <w:t>1.7  招标人在设备制造和装货前可以有任何合理的检查和测试系统的要求，或到分包商处进行测试、审查质量控制工作和记录。</w:t>
      </w:r>
    </w:p>
    <w:p w14:paraId="22437331">
      <w:pPr>
        <w:pStyle w:val="3"/>
        <w:snapToGrid w:val="0"/>
        <w:spacing w:before="0" w:after="0" w:line="500" w:lineRule="exact"/>
        <w:rPr>
          <w:rFonts w:hAnsi="宋体"/>
          <w:highlight w:val="none"/>
        </w:rPr>
      </w:pPr>
      <w:r>
        <w:rPr>
          <w:rFonts w:hint="eastAsia" w:hAnsi="宋体"/>
          <w:highlight w:val="none"/>
        </w:rPr>
        <w:t>2工厂检查</w:t>
      </w:r>
      <w:bookmarkEnd w:id="150"/>
      <w:bookmarkEnd w:id="151"/>
      <w:bookmarkEnd w:id="152"/>
    </w:p>
    <w:p w14:paraId="43432804">
      <w:pPr>
        <w:spacing w:line="360" w:lineRule="auto"/>
        <w:rPr>
          <w:rFonts w:ascii="宋体" w:hAnsi="宋体"/>
          <w:szCs w:val="20"/>
          <w:highlight w:val="none"/>
        </w:rPr>
      </w:pPr>
      <w:bookmarkStart w:id="153" w:name="_Toc513014517"/>
      <w:bookmarkStart w:id="154" w:name="_Toc501817573"/>
      <w:bookmarkStart w:id="155" w:name="_Toc515785179"/>
      <w:r>
        <w:rPr>
          <w:rFonts w:hint="eastAsia" w:ascii="宋体" w:hAnsi="宋体"/>
          <w:szCs w:val="20"/>
          <w:highlight w:val="none"/>
        </w:rPr>
        <w:t>2.1  工厂检验是质量控制的一个重要组成部分。投标人按ISO-9000系列质量保证体系和DL/T586《电力设备监造技术导则》，严格进行厂内各生产环节的检验和试验。提供的合同设备须签发质量证明、检验记录和测试报告，并且作为交货时质量证明文件的组成部分。</w:t>
      </w:r>
    </w:p>
    <w:p w14:paraId="62DC7075">
      <w:pPr>
        <w:spacing w:line="360" w:lineRule="auto"/>
        <w:rPr>
          <w:rFonts w:ascii="宋体" w:hAnsi="宋体"/>
          <w:szCs w:val="20"/>
          <w:highlight w:val="none"/>
        </w:rPr>
      </w:pPr>
      <w:r>
        <w:rPr>
          <w:rFonts w:hint="eastAsia" w:ascii="宋体" w:hAnsi="宋体"/>
          <w:szCs w:val="20"/>
          <w:highlight w:val="none"/>
        </w:rPr>
        <w:t xml:space="preserve">2.2  </w:t>
      </w:r>
      <w:r>
        <w:rPr>
          <w:rFonts w:ascii="宋体" w:hAnsi="宋体"/>
          <w:szCs w:val="20"/>
          <w:highlight w:val="none"/>
        </w:rPr>
        <w:t>在开始进行工厂试验前15天</w:t>
      </w:r>
      <w:r>
        <w:rPr>
          <w:rFonts w:hint="eastAsia" w:ascii="宋体" w:hAnsi="宋体"/>
          <w:szCs w:val="20"/>
          <w:highlight w:val="none"/>
        </w:rPr>
        <w:t>，</w:t>
      </w:r>
      <w:r>
        <w:rPr>
          <w:rFonts w:ascii="宋体" w:hAnsi="宋体"/>
          <w:szCs w:val="20"/>
          <w:highlight w:val="none"/>
        </w:rPr>
        <w:t>通知</w:t>
      </w:r>
      <w:r>
        <w:rPr>
          <w:rFonts w:hint="eastAsia" w:ascii="宋体" w:hAnsi="宋体"/>
          <w:szCs w:val="20"/>
          <w:highlight w:val="none"/>
        </w:rPr>
        <w:t>招标人</w:t>
      </w:r>
      <w:r>
        <w:rPr>
          <w:rFonts w:ascii="宋体" w:hAnsi="宋体"/>
          <w:szCs w:val="20"/>
          <w:highlight w:val="none"/>
        </w:rPr>
        <w:t>其日程安排。根据这个日程安排</w:t>
      </w:r>
      <w:r>
        <w:rPr>
          <w:rFonts w:hint="eastAsia" w:ascii="宋体" w:hAnsi="宋体"/>
          <w:szCs w:val="20"/>
          <w:highlight w:val="none"/>
        </w:rPr>
        <w:t>，招标人</w:t>
      </w:r>
      <w:r>
        <w:rPr>
          <w:rFonts w:ascii="宋体" w:hAnsi="宋体"/>
          <w:szCs w:val="20"/>
          <w:highlight w:val="none"/>
        </w:rPr>
        <w:t>将确定对</w:t>
      </w:r>
      <w:r>
        <w:rPr>
          <w:rFonts w:hint="eastAsia" w:ascii="宋体" w:hAnsi="宋体"/>
          <w:szCs w:val="20"/>
          <w:highlight w:val="none"/>
        </w:rPr>
        <w:t>标的物</w:t>
      </w:r>
      <w:r>
        <w:rPr>
          <w:rFonts w:ascii="宋体" w:hAnsi="宋体"/>
          <w:szCs w:val="20"/>
          <w:highlight w:val="none"/>
        </w:rPr>
        <w:t>的</w:t>
      </w:r>
      <w:r>
        <w:rPr>
          <w:rFonts w:hint="eastAsia" w:ascii="宋体" w:hAnsi="宋体"/>
          <w:szCs w:val="20"/>
          <w:highlight w:val="none"/>
        </w:rPr>
        <w:t>哪些</w:t>
      </w:r>
      <w:r>
        <w:rPr>
          <w:rFonts w:ascii="宋体" w:hAnsi="宋体"/>
          <w:szCs w:val="20"/>
          <w:highlight w:val="none"/>
        </w:rPr>
        <w:t>试验项目和阶段要进行现场验证</w:t>
      </w:r>
      <w:r>
        <w:rPr>
          <w:rFonts w:hint="eastAsia" w:ascii="宋体" w:hAnsi="宋体"/>
          <w:szCs w:val="20"/>
          <w:highlight w:val="none"/>
        </w:rPr>
        <w:t>，</w:t>
      </w:r>
      <w:r>
        <w:rPr>
          <w:rFonts w:ascii="宋体" w:hAnsi="宋体"/>
          <w:szCs w:val="20"/>
          <w:highlight w:val="none"/>
        </w:rPr>
        <w:t>并将在接到关于安装、试验和检验的日程安排通知后10天内</w:t>
      </w:r>
      <w:r>
        <w:rPr>
          <w:rFonts w:hint="eastAsia" w:ascii="宋体" w:hAnsi="宋体"/>
          <w:szCs w:val="20"/>
          <w:highlight w:val="none"/>
        </w:rPr>
        <w:t>反馈投标人</w:t>
      </w:r>
      <w:r>
        <w:rPr>
          <w:rFonts w:ascii="宋体" w:hAnsi="宋体"/>
          <w:szCs w:val="20"/>
          <w:highlight w:val="none"/>
        </w:rPr>
        <w:t>。然后</w:t>
      </w:r>
      <w:r>
        <w:rPr>
          <w:rFonts w:hint="eastAsia" w:ascii="宋体" w:hAnsi="宋体"/>
          <w:szCs w:val="20"/>
          <w:highlight w:val="none"/>
        </w:rPr>
        <w:t>招标人</w:t>
      </w:r>
      <w:r>
        <w:rPr>
          <w:rFonts w:ascii="宋体" w:hAnsi="宋体"/>
          <w:szCs w:val="20"/>
          <w:highlight w:val="none"/>
        </w:rPr>
        <w:t>将派出技术人员前往</w:t>
      </w:r>
      <w:r>
        <w:rPr>
          <w:rFonts w:hint="eastAsia" w:ascii="宋体" w:hAnsi="宋体"/>
          <w:szCs w:val="20"/>
          <w:highlight w:val="none"/>
        </w:rPr>
        <w:t>投标人</w:t>
      </w:r>
      <w:r>
        <w:rPr>
          <w:rFonts w:ascii="宋体" w:hAnsi="宋体"/>
          <w:szCs w:val="20"/>
          <w:highlight w:val="none"/>
        </w:rPr>
        <w:t>和</w:t>
      </w:r>
      <w:r>
        <w:rPr>
          <w:rFonts w:hint="eastAsia" w:ascii="宋体" w:hAnsi="宋体"/>
          <w:szCs w:val="20"/>
          <w:highlight w:val="none"/>
        </w:rPr>
        <w:t>/</w:t>
      </w:r>
      <w:r>
        <w:rPr>
          <w:rFonts w:ascii="宋体" w:hAnsi="宋体"/>
          <w:szCs w:val="20"/>
          <w:highlight w:val="none"/>
        </w:rPr>
        <w:t>或其分包商生产现场</w:t>
      </w:r>
      <w:r>
        <w:rPr>
          <w:rFonts w:hint="eastAsia" w:ascii="宋体" w:hAnsi="宋体"/>
          <w:szCs w:val="20"/>
          <w:highlight w:val="none"/>
        </w:rPr>
        <w:t>，</w:t>
      </w:r>
      <w:r>
        <w:rPr>
          <w:rFonts w:ascii="宋体" w:hAnsi="宋体"/>
          <w:szCs w:val="20"/>
          <w:highlight w:val="none"/>
        </w:rPr>
        <w:t>以观察和了解该合同设备工厂试验的情况。若发现任一货物的质量不符合合同规定的标准</w:t>
      </w:r>
      <w:r>
        <w:rPr>
          <w:rFonts w:hint="eastAsia" w:ascii="宋体" w:hAnsi="宋体"/>
          <w:szCs w:val="20"/>
          <w:highlight w:val="none"/>
        </w:rPr>
        <w:t>，招标人</w:t>
      </w:r>
      <w:r>
        <w:rPr>
          <w:rFonts w:ascii="宋体" w:hAnsi="宋体"/>
          <w:szCs w:val="20"/>
          <w:highlight w:val="none"/>
        </w:rPr>
        <w:t>代表有权发表意见</w:t>
      </w:r>
      <w:r>
        <w:rPr>
          <w:rFonts w:hint="eastAsia" w:ascii="宋体" w:hAnsi="宋体"/>
          <w:szCs w:val="20"/>
          <w:highlight w:val="none"/>
        </w:rPr>
        <w:t>，投标人将</w:t>
      </w:r>
      <w:r>
        <w:rPr>
          <w:rFonts w:ascii="宋体" w:hAnsi="宋体"/>
          <w:szCs w:val="20"/>
          <w:highlight w:val="none"/>
        </w:rPr>
        <w:t>认真考虑其意见</w:t>
      </w:r>
      <w:r>
        <w:rPr>
          <w:rFonts w:hint="eastAsia" w:ascii="宋体" w:hAnsi="宋体"/>
          <w:szCs w:val="20"/>
          <w:highlight w:val="none"/>
        </w:rPr>
        <w:t>，</w:t>
      </w:r>
      <w:r>
        <w:rPr>
          <w:rFonts w:ascii="宋体" w:hAnsi="宋体"/>
          <w:szCs w:val="20"/>
          <w:highlight w:val="none"/>
        </w:rPr>
        <w:t>并采取必要措施以确保设备的质量</w:t>
      </w:r>
      <w:r>
        <w:rPr>
          <w:rFonts w:hint="eastAsia" w:ascii="宋体" w:hAnsi="宋体"/>
          <w:szCs w:val="20"/>
          <w:highlight w:val="none"/>
        </w:rPr>
        <w:t>，工厂</w:t>
      </w:r>
      <w:r>
        <w:rPr>
          <w:rFonts w:ascii="宋体" w:hAnsi="宋体"/>
          <w:szCs w:val="20"/>
          <w:highlight w:val="none"/>
        </w:rPr>
        <w:t>验证检验程序由双方代表共同协商决定。</w:t>
      </w:r>
    </w:p>
    <w:p w14:paraId="0E15C91C">
      <w:pPr>
        <w:spacing w:line="360" w:lineRule="auto"/>
        <w:rPr>
          <w:rFonts w:ascii="宋体" w:hAnsi="宋体"/>
          <w:szCs w:val="20"/>
          <w:highlight w:val="none"/>
        </w:rPr>
      </w:pPr>
      <w:r>
        <w:rPr>
          <w:rFonts w:hint="eastAsia" w:ascii="宋体" w:hAnsi="宋体"/>
          <w:szCs w:val="20"/>
          <w:highlight w:val="none"/>
        </w:rPr>
        <w:t xml:space="preserve">2.3  </w:t>
      </w:r>
      <w:r>
        <w:rPr>
          <w:rFonts w:ascii="宋体" w:hAnsi="宋体"/>
          <w:szCs w:val="20"/>
          <w:highlight w:val="none"/>
        </w:rPr>
        <w:t>若</w:t>
      </w:r>
      <w:r>
        <w:rPr>
          <w:rFonts w:hint="eastAsia" w:ascii="宋体" w:hAnsi="宋体"/>
          <w:szCs w:val="20"/>
          <w:highlight w:val="none"/>
        </w:rPr>
        <w:t>招标人</w:t>
      </w:r>
      <w:r>
        <w:rPr>
          <w:rFonts w:ascii="宋体" w:hAnsi="宋体"/>
          <w:szCs w:val="20"/>
          <w:highlight w:val="none"/>
        </w:rPr>
        <w:t>不派代表参加上述试验</w:t>
      </w:r>
      <w:r>
        <w:rPr>
          <w:rFonts w:hint="eastAsia" w:ascii="宋体" w:hAnsi="宋体"/>
          <w:szCs w:val="20"/>
          <w:highlight w:val="none"/>
        </w:rPr>
        <w:t>，投标人</w:t>
      </w:r>
      <w:r>
        <w:rPr>
          <w:rFonts w:ascii="宋体" w:hAnsi="宋体"/>
          <w:szCs w:val="20"/>
          <w:highlight w:val="none"/>
        </w:rPr>
        <w:t>应接到</w:t>
      </w:r>
      <w:r>
        <w:rPr>
          <w:rFonts w:hint="eastAsia" w:ascii="宋体" w:hAnsi="宋体"/>
          <w:szCs w:val="20"/>
          <w:highlight w:val="none"/>
        </w:rPr>
        <w:t>招标人</w:t>
      </w:r>
      <w:r>
        <w:rPr>
          <w:rFonts w:ascii="宋体" w:hAnsi="宋体"/>
          <w:szCs w:val="20"/>
          <w:highlight w:val="none"/>
        </w:rPr>
        <w:t>关于不派员到</w:t>
      </w:r>
      <w:r>
        <w:rPr>
          <w:rFonts w:hint="eastAsia" w:ascii="宋体" w:hAnsi="宋体"/>
          <w:szCs w:val="20"/>
          <w:highlight w:val="none"/>
        </w:rPr>
        <w:t>投标人</w:t>
      </w:r>
      <w:r>
        <w:rPr>
          <w:rFonts w:ascii="宋体" w:hAnsi="宋体"/>
          <w:szCs w:val="20"/>
          <w:highlight w:val="none"/>
        </w:rPr>
        <w:t>和</w:t>
      </w:r>
      <w:r>
        <w:rPr>
          <w:rFonts w:hint="eastAsia" w:ascii="宋体" w:hAnsi="宋体"/>
          <w:szCs w:val="20"/>
          <w:highlight w:val="none"/>
        </w:rPr>
        <w:t>/</w:t>
      </w:r>
      <w:r>
        <w:rPr>
          <w:rFonts w:ascii="宋体" w:hAnsi="宋体"/>
          <w:szCs w:val="20"/>
          <w:highlight w:val="none"/>
        </w:rPr>
        <w:t>或其分包商工厂的通知后</w:t>
      </w:r>
      <w:r>
        <w:rPr>
          <w:rFonts w:hint="eastAsia" w:ascii="宋体" w:hAnsi="宋体"/>
          <w:szCs w:val="20"/>
          <w:highlight w:val="none"/>
        </w:rPr>
        <w:t>，</w:t>
      </w:r>
      <w:r>
        <w:rPr>
          <w:rFonts w:ascii="宋体" w:hAnsi="宋体"/>
          <w:szCs w:val="20"/>
          <w:highlight w:val="none"/>
        </w:rPr>
        <w:t>自行组织检验。</w:t>
      </w:r>
    </w:p>
    <w:p w14:paraId="38414F31">
      <w:pPr>
        <w:spacing w:line="360" w:lineRule="auto"/>
        <w:rPr>
          <w:rFonts w:ascii="宋体" w:hAnsi="宋体"/>
          <w:szCs w:val="20"/>
          <w:highlight w:val="none"/>
        </w:rPr>
      </w:pPr>
      <w:r>
        <w:rPr>
          <w:rFonts w:hint="eastAsia" w:ascii="宋体" w:hAnsi="宋体"/>
          <w:szCs w:val="20"/>
          <w:highlight w:val="none"/>
        </w:rPr>
        <w:t>2.4  检验的范围包括原材料的进厂，部件的加工、热处理、检验至出厂试验的各个环节。</w:t>
      </w:r>
    </w:p>
    <w:p w14:paraId="216D02FA">
      <w:pPr>
        <w:autoSpaceDE w:val="0"/>
        <w:autoSpaceDN w:val="0"/>
        <w:adjustRightInd w:val="0"/>
        <w:spacing w:line="360" w:lineRule="auto"/>
        <w:jc w:val="left"/>
        <w:textAlignment w:val="baseline"/>
        <w:rPr>
          <w:rFonts w:ascii="宋体" w:hAnsi="宋体"/>
          <w:kern w:val="0"/>
          <w:szCs w:val="20"/>
          <w:highlight w:val="none"/>
        </w:rPr>
      </w:pPr>
      <w:r>
        <w:rPr>
          <w:rFonts w:hint="eastAsia" w:ascii="宋体" w:hAnsi="宋体"/>
          <w:szCs w:val="20"/>
          <w:highlight w:val="none"/>
        </w:rPr>
        <w:t>2.5</w:t>
      </w:r>
      <w:r>
        <w:rPr>
          <w:rFonts w:hint="eastAsia" w:ascii="宋体" w:hAnsi="宋体"/>
          <w:kern w:val="0"/>
          <w:szCs w:val="20"/>
          <w:highlight w:val="none"/>
        </w:rPr>
        <w:t>根据检验内容出具产品合格证书。检验的内容包括：</w:t>
      </w:r>
    </w:p>
    <w:p w14:paraId="37FCD22B">
      <w:pPr>
        <w:autoSpaceDE w:val="0"/>
        <w:autoSpaceDN w:val="0"/>
        <w:adjustRightInd w:val="0"/>
        <w:spacing w:line="360" w:lineRule="auto"/>
        <w:ind w:firstLine="480" w:firstLineChars="200"/>
        <w:jc w:val="left"/>
        <w:textAlignment w:val="baseline"/>
        <w:rPr>
          <w:rFonts w:ascii="宋体" w:hAnsi="宋体"/>
          <w:kern w:val="0"/>
          <w:szCs w:val="20"/>
          <w:highlight w:val="none"/>
        </w:rPr>
      </w:pPr>
      <w:r>
        <w:rPr>
          <w:rFonts w:hint="eastAsia" w:ascii="宋体" w:hAnsi="宋体"/>
          <w:kern w:val="0"/>
          <w:szCs w:val="20"/>
          <w:highlight w:val="none"/>
        </w:rPr>
        <w:t>（1）材料的化学成份。</w:t>
      </w:r>
    </w:p>
    <w:p w14:paraId="46472FDD">
      <w:pPr>
        <w:autoSpaceDE w:val="0"/>
        <w:autoSpaceDN w:val="0"/>
        <w:adjustRightInd w:val="0"/>
        <w:spacing w:line="360" w:lineRule="auto"/>
        <w:ind w:firstLine="480" w:firstLineChars="200"/>
        <w:jc w:val="left"/>
        <w:textAlignment w:val="baseline"/>
        <w:rPr>
          <w:rFonts w:ascii="宋体" w:hAnsi="宋体"/>
          <w:kern w:val="0"/>
          <w:szCs w:val="20"/>
          <w:highlight w:val="none"/>
        </w:rPr>
      </w:pPr>
      <w:r>
        <w:rPr>
          <w:rFonts w:hint="eastAsia" w:ascii="宋体" w:hAnsi="宋体"/>
          <w:kern w:val="0"/>
          <w:szCs w:val="20"/>
          <w:highlight w:val="none"/>
        </w:rPr>
        <w:t>（2）金相组织及晶粒度测定。</w:t>
      </w:r>
    </w:p>
    <w:p w14:paraId="064D0626">
      <w:pPr>
        <w:autoSpaceDE w:val="0"/>
        <w:autoSpaceDN w:val="0"/>
        <w:adjustRightInd w:val="0"/>
        <w:spacing w:line="360" w:lineRule="auto"/>
        <w:ind w:firstLine="480" w:firstLineChars="200"/>
        <w:jc w:val="left"/>
        <w:textAlignment w:val="baseline"/>
        <w:rPr>
          <w:rFonts w:ascii="宋体" w:hAnsi="宋体"/>
          <w:kern w:val="0"/>
          <w:szCs w:val="20"/>
          <w:highlight w:val="none"/>
        </w:rPr>
      </w:pPr>
      <w:r>
        <w:rPr>
          <w:rFonts w:hint="eastAsia" w:ascii="宋体" w:hAnsi="宋体"/>
          <w:kern w:val="0"/>
          <w:szCs w:val="20"/>
          <w:highlight w:val="none"/>
        </w:rPr>
        <w:t>（3）射线探伤检验。</w:t>
      </w:r>
    </w:p>
    <w:p w14:paraId="73E67695">
      <w:pPr>
        <w:autoSpaceDE w:val="0"/>
        <w:autoSpaceDN w:val="0"/>
        <w:adjustRightInd w:val="0"/>
        <w:spacing w:line="360" w:lineRule="auto"/>
        <w:ind w:firstLine="480" w:firstLineChars="200"/>
        <w:jc w:val="left"/>
        <w:textAlignment w:val="baseline"/>
        <w:rPr>
          <w:rFonts w:ascii="宋体" w:hAnsi="宋体"/>
          <w:kern w:val="0"/>
          <w:szCs w:val="20"/>
          <w:highlight w:val="none"/>
        </w:rPr>
      </w:pPr>
      <w:r>
        <w:rPr>
          <w:rFonts w:hint="eastAsia" w:ascii="宋体" w:hAnsi="宋体"/>
          <w:kern w:val="0"/>
          <w:szCs w:val="20"/>
          <w:highlight w:val="none"/>
        </w:rPr>
        <w:t>（4）机械性能。</w:t>
      </w:r>
    </w:p>
    <w:p w14:paraId="64CC189E">
      <w:pPr>
        <w:autoSpaceDE w:val="0"/>
        <w:autoSpaceDN w:val="0"/>
        <w:adjustRightInd w:val="0"/>
        <w:spacing w:line="360" w:lineRule="auto"/>
        <w:ind w:firstLine="480" w:firstLineChars="200"/>
        <w:jc w:val="left"/>
        <w:textAlignment w:val="baseline"/>
        <w:rPr>
          <w:rFonts w:ascii="宋体" w:hAnsi="宋体"/>
          <w:kern w:val="0"/>
          <w:szCs w:val="20"/>
          <w:highlight w:val="none"/>
        </w:rPr>
      </w:pPr>
      <w:r>
        <w:rPr>
          <w:rFonts w:hint="eastAsia" w:ascii="宋体" w:hAnsi="宋体"/>
          <w:kern w:val="0"/>
          <w:szCs w:val="20"/>
          <w:highlight w:val="none"/>
        </w:rPr>
        <w:t>（5）硬度试验。</w:t>
      </w:r>
    </w:p>
    <w:p w14:paraId="3A3FA189">
      <w:pPr>
        <w:autoSpaceDE w:val="0"/>
        <w:autoSpaceDN w:val="0"/>
        <w:adjustRightInd w:val="0"/>
        <w:spacing w:line="360" w:lineRule="auto"/>
        <w:ind w:firstLine="480" w:firstLineChars="200"/>
        <w:jc w:val="left"/>
        <w:textAlignment w:val="baseline"/>
        <w:rPr>
          <w:rFonts w:ascii="宋体" w:hAnsi="宋体"/>
          <w:kern w:val="0"/>
          <w:szCs w:val="20"/>
          <w:highlight w:val="none"/>
        </w:rPr>
      </w:pPr>
      <w:r>
        <w:rPr>
          <w:rFonts w:hint="eastAsia" w:ascii="宋体" w:hAnsi="宋体"/>
          <w:kern w:val="0"/>
          <w:szCs w:val="20"/>
          <w:highlight w:val="none"/>
        </w:rPr>
        <w:t>（6）磁粉检验。</w:t>
      </w:r>
    </w:p>
    <w:p w14:paraId="1F86F435">
      <w:pPr>
        <w:autoSpaceDE w:val="0"/>
        <w:autoSpaceDN w:val="0"/>
        <w:adjustRightInd w:val="0"/>
        <w:spacing w:line="360" w:lineRule="auto"/>
        <w:ind w:firstLine="480" w:firstLineChars="200"/>
        <w:jc w:val="left"/>
        <w:textAlignment w:val="baseline"/>
        <w:rPr>
          <w:rFonts w:ascii="宋体" w:hAnsi="宋体"/>
          <w:kern w:val="0"/>
          <w:szCs w:val="20"/>
          <w:highlight w:val="none"/>
        </w:rPr>
      </w:pPr>
      <w:r>
        <w:rPr>
          <w:rFonts w:hint="eastAsia" w:ascii="宋体" w:hAnsi="宋体"/>
          <w:kern w:val="0"/>
          <w:szCs w:val="20"/>
          <w:highlight w:val="none"/>
        </w:rPr>
        <w:t>（7）拉伸试验及弯曲试验。</w:t>
      </w:r>
    </w:p>
    <w:p w14:paraId="02E56512">
      <w:pPr>
        <w:autoSpaceDE w:val="0"/>
        <w:autoSpaceDN w:val="0"/>
        <w:adjustRightInd w:val="0"/>
        <w:spacing w:line="360" w:lineRule="auto"/>
        <w:ind w:firstLine="480" w:firstLineChars="200"/>
        <w:jc w:val="left"/>
        <w:textAlignment w:val="baseline"/>
        <w:rPr>
          <w:rFonts w:ascii="宋体" w:hAnsi="宋体"/>
          <w:kern w:val="0"/>
          <w:szCs w:val="20"/>
          <w:highlight w:val="none"/>
        </w:rPr>
      </w:pPr>
      <w:r>
        <w:rPr>
          <w:rFonts w:hint="eastAsia" w:ascii="宋体" w:hAnsi="宋体"/>
          <w:kern w:val="0"/>
          <w:szCs w:val="20"/>
          <w:highlight w:val="none"/>
        </w:rPr>
        <w:t>（8）管段或管件编号。</w:t>
      </w:r>
    </w:p>
    <w:p w14:paraId="48A827BD">
      <w:pPr>
        <w:autoSpaceDE w:val="0"/>
        <w:autoSpaceDN w:val="0"/>
        <w:adjustRightInd w:val="0"/>
        <w:spacing w:line="360" w:lineRule="auto"/>
        <w:ind w:firstLine="480" w:firstLineChars="200"/>
        <w:jc w:val="left"/>
        <w:textAlignment w:val="baseline"/>
        <w:rPr>
          <w:rFonts w:ascii="宋体" w:hAnsi="宋体"/>
          <w:kern w:val="0"/>
          <w:szCs w:val="20"/>
          <w:highlight w:val="none"/>
        </w:rPr>
      </w:pPr>
      <w:r>
        <w:rPr>
          <w:rFonts w:hint="eastAsia" w:ascii="宋体" w:hAnsi="宋体"/>
          <w:kern w:val="0"/>
          <w:szCs w:val="20"/>
          <w:highlight w:val="none"/>
        </w:rPr>
        <w:t>（9）冲击试验。</w:t>
      </w:r>
    </w:p>
    <w:p w14:paraId="5BBA8C7E">
      <w:pPr>
        <w:autoSpaceDE w:val="0"/>
        <w:autoSpaceDN w:val="0"/>
        <w:adjustRightInd w:val="0"/>
        <w:spacing w:line="360" w:lineRule="auto"/>
        <w:ind w:firstLine="480" w:firstLineChars="200"/>
        <w:jc w:val="left"/>
        <w:textAlignment w:val="baseline"/>
        <w:rPr>
          <w:rFonts w:ascii="宋体" w:hAnsi="宋体"/>
          <w:szCs w:val="20"/>
          <w:highlight w:val="none"/>
        </w:rPr>
      </w:pPr>
      <w:r>
        <w:rPr>
          <w:rFonts w:hint="eastAsia" w:ascii="宋体" w:hAnsi="宋体"/>
          <w:kern w:val="0"/>
          <w:szCs w:val="20"/>
          <w:highlight w:val="none"/>
        </w:rPr>
        <w:t>（10）超声波检验。</w:t>
      </w:r>
    </w:p>
    <w:p w14:paraId="7E464FA3">
      <w:pPr>
        <w:spacing w:line="360" w:lineRule="auto"/>
        <w:rPr>
          <w:rFonts w:ascii="宋体" w:hAnsi="宋体"/>
          <w:szCs w:val="20"/>
          <w:highlight w:val="none"/>
        </w:rPr>
      </w:pPr>
      <w:r>
        <w:rPr>
          <w:rFonts w:hint="eastAsia" w:ascii="宋体" w:hAnsi="宋体"/>
          <w:szCs w:val="20"/>
          <w:highlight w:val="none"/>
        </w:rPr>
        <w:t>2.6  投标人检验的结果满足第四章的要求。开始制造前，提交制造程序表，介绍要进行的检验和/或试验。凡与标准和本规范不符之处，采取措施处理直至满足要求，同时向招标人提交不一致性报告。设备上重大缺陷及其返修工艺及时通知招标人，并记录在质量保证文件中。</w:t>
      </w:r>
    </w:p>
    <w:p w14:paraId="582B8833">
      <w:pPr>
        <w:spacing w:line="360" w:lineRule="auto"/>
        <w:rPr>
          <w:rFonts w:ascii="宋体" w:hAnsi="宋体"/>
          <w:szCs w:val="20"/>
          <w:highlight w:val="none"/>
        </w:rPr>
      </w:pPr>
      <w:r>
        <w:rPr>
          <w:rFonts w:hint="eastAsia" w:ascii="宋体" w:hAnsi="宋体"/>
          <w:szCs w:val="20"/>
          <w:highlight w:val="none"/>
        </w:rPr>
        <w:t>2.7 设备的重要部件和专用部件未经招标人允许，不擅自调换。</w:t>
      </w:r>
    </w:p>
    <w:p w14:paraId="49B6797A">
      <w:pPr>
        <w:spacing w:line="360" w:lineRule="auto"/>
        <w:rPr>
          <w:rFonts w:ascii="宋体" w:hAnsi="宋体"/>
          <w:szCs w:val="20"/>
          <w:highlight w:val="none"/>
        </w:rPr>
      </w:pPr>
      <w:r>
        <w:rPr>
          <w:rFonts w:hint="eastAsia" w:ascii="宋体" w:hAnsi="宋体"/>
          <w:szCs w:val="20"/>
          <w:highlight w:val="none"/>
        </w:rPr>
        <w:t>2.8  工厂检验的所有费用包括在合同总价之中。</w:t>
      </w:r>
    </w:p>
    <w:p w14:paraId="7BFF57EF">
      <w:pPr>
        <w:spacing w:line="360" w:lineRule="auto"/>
        <w:rPr>
          <w:rFonts w:ascii="宋体" w:hAnsi="宋体"/>
          <w:szCs w:val="20"/>
          <w:highlight w:val="none"/>
        </w:rPr>
      </w:pPr>
      <w:r>
        <w:rPr>
          <w:rFonts w:hint="eastAsia" w:ascii="宋体" w:hAnsi="宋体"/>
          <w:szCs w:val="20"/>
          <w:highlight w:val="none"/>
        </w:rPr>
        <w:t xml:space="preserve">  在完成检验后10天内应向招标人提供出厂认证测试结果。当不能给招标人提供能满足上述规定的出厂检验报告时，招标人有权拒绝接收。出厂检验报告应包括用于出厂认证测试的所有电子测试设备的可追溯性文件。</w:t>
      </w:r>
    </w:p>
    <w:p w14:paraId="14898111">
      <w:pPr>
        <w:pStyle w:val="3"/>
        <w:snapToGrid w:val="0"/>
        <w:spacing w:before="0" w:after="0" w:line="500" w:lineRule="exact"/>
        <w:rPr>
          <w:rFonts w:hAnsi="宋体"/>
          <w:sz w:val="24"/>
          <w:highlight w:val="none"/>
        </w:rPr>
      </w:pPr>
      <w:r>
        <w:rPr>
          <w:rFonts w:hAnsi="宋体"/>
          <w:highlight w:val="none"/>
        </w:rPr>
        <w:t xml:space="preserve">3 </w:t>
      </w:r>
      <w:r>
        <w:rPr>
          <w:rFonts w:hint="eastAsia" w:hAnsi="宋体"/>
          <w:highlight w:val="none"/>
        </w:rPr>
        <w:t>设备监造</w:t>
      </w:r>
      <w:bookmarkEnd w:id="153"/>
      <w:bookmarkEnd w:id="154"/>
      <w:bookmarkEnd w:id="155"/>
    </w:p>
    <w:p w14:paraId="72B648E5">
      <w:pPr>
        <w:spacing w:line="360" w:lineRule="auto"/>
        <w:rPr>
          <w:rFonts w:ascii="宋体" w:hAnsi="宋体"/>
          <w:szCs w:val="20"/>
          <w:highlight w:val="none"/>
        </w:rPr>
      </w:pPr>
      <w:r>
        <w:rPr>
          <w:rFonts w:hint="eastAsia" w:ascii="宋体" w:hAnsi="宋体"/>
          <w:szCs w:val="20"/>
          <w:highlight w:val="none"/>
        </w:rPr>
        <w:t>3.1  监造依据</w:t>
      </w:r>
    </w:p>
    <w:p w14:paraId="5502379C">
      <w:pPr>
        <w:spacing w:line="360" w:lineRule="auto"/>
        <w:rPr>
          <w:rFonts w:ascii="宋体" w:hAnsi="宋体"/>
          <w:szCs w:val="20"/>
          <w:highlight w:val="none"/>
        </w:rPr>
      </w:pPr>
      <w:r>
        <w:rPr>
          <w:rFonts w:hint="eastAsia" w:ascii="宋体" w:hAnsi="宋体"/>
          <w:szCs w:val="20"/>
          <w:highlight w:val="none"/>
        </w:rPr>
        <w:t xml:space="preserve">    根据</w:t>
      </w:r>
      <w:r>
        <w:rPr>
          <w:rFonts w:ascii="宋体" w:hAnsi="宋体"/>
          <w:szCs w:val="20"/>
          <w:highlight w:val="none"/>
        </w:rPr>
        <w:t>DL</w:t>
      </w:r>
      <w:r>
        <w:rPr>
          <w:rFonts w:hint="eastAsia" w:ascii="宋体" w:hAnsi="宋体"/>
          <w:szCs w:val="20"/>
          <w:highlight w:val="none"/>
        </w:rPr>
        <w:t>/</w:t>
      </w:r>
      <w:r>
        <w:rPr>
          <w:rFonts w:ascii="宋体" w:hAnsi="宋体"/>
          <w:szCs w:val="20"/>
          <w:highlight w:val="none"/>
        </w:rPr>
        <w:t>T586</w:t>
      </w:r>
      <w:r>
        <w:rPr>
          <w:rFonts w:hint="eastAsia" w:ascii="宋体" w:hAnsi="宋体"/>
          <w:szCs w:val="20"/>
          <w:highlight w:val="none"/>
        </w:rPr>
        <w:t>《电力设备监造技术导则》和投标人ISO-9000系列质量保证体系和本技术协议的约定，招标人或其监造代表有权进厂进行设备监造，投标人应配合。</w:t>
      </w:r>
    </w:p>
    <w:p w14:paraId="0332A68C">
      <w:pPr>
        <w:spacing w:line="360" w:lineRule="auto"/>
        <w:rPr>
          <w:rFonts w:ascii="宋体" w:hAnsi="宋体"/>
          <w:szCs w:val="20"/>
          <w:highlight w:val="none"/>
        </w:rPr>
      </w:pPr>
      <w:r>
        <w:rPr>
          <w:rFonts w:hint="eastAsia" w:ascii="宋体" w:hAnsi="宋体"/>
          <w:szCs w:val="20"/>
          <w:highlight w:val="none"/>
        </w:rPr>
        <w:t>3.2  监造方式</w:t>
      </w:r>
    </w:p>
    <w:p w14:paraId="3BD0FB1A">
      <w:pPr>
        <w:spacing w:line="360" w:lineRule="auto"/>
        <w:ind w:firstLine="480"/>
        <w:rPr>
          <w:rFonts w:ascii="宋体" w:hAnsi="宋体"/>
          <w:szCs w:val="20"/>
          <w:highlight w:val="none"/>
        </w:rPr>
      </w:pPr>
      <w:r>
        <w:rPr>
          <w:rFonts w:hint="eastAsia" w:ascii="宋体" w:hAnsi="宋体"/>
          <w:szCs w:val="20"/>
          <w:highlight w:val="none"/>
        </w:rPr>
        <w:t>文件见证、现场见证和停工待检，即 R点、W点、H点。</w:t>
      </w:r>
    </w:p>
    <w:p w14:paraId="0EADCC93">
      <w:pPr>
        <w:spacing w:line="360" w:lineRule="auto"/>
        <w:ind w:firstLine="480"/>
        <w:rPr>
          <w:rFonts w:ascii="宋体" w:hAnsi="宋体"/>
          <w:szCs w:val="20"/>
          <w:highlight w:val="none"/>
        </w:rPr>
      </w:pPr>
      <w:r>
        <w:rPr>
          <w:rFonts w:hint="eastAsia" w:ascii="宋体" w:hAnsi="宋体"/>
          <w:szCs w:val="20"/>
          <w:highlight w:val="none"/>
        </w:rPr>
        <w:t>R点：投标人提供检验或试验记录或报告的项目，即见证文件。</w:t>
      </w:r>
    </w:p>
    <w:p w14:paraId="7388535B">
      <w:pPr>
        <w:spacing w:line="360" w:lineRule="auto"/>
        <w:ind w:firstLine="480"/>
        <w:rPr>
          <w:rFonts w:ascii="宋体" w:hAnsi="宋体"/>
          <w:szCs w:val="20"/>
          <w:highlight w:val="none"/>
        </w:rPr>
      </w:pPr>
      <w:r>
        <w:rPr>
          <w:rFonts w:hint="eastAsia" w:ascii="宋体" w:hAnsi="宋体"/>
          <w:szCs w:val="20"/>
          <w:highlight w:val="none"/>
        </w:rPr>
        <w:t>W点：招标人监造代表参加的检验或试验项目，检验或试验后投标人提供检验或试验记录，即现场见证。</w:t>
      </w:r>
    </w:p>
    <w:p w14:paraId="21F04E51">
      <w:pPr>
        <w:spacing w:line="360" w:lineRule="auto"/>
        <w:ind w:firstLine="480"/>
        <w:rPr>
          <w:rFonts w:ascii="宋体" w:hAnsi="宋体"/>
          <w:szCs w:val="20"/>
          <w:highlight w:val="none"/>
        </w:rPr>
      </w:pPr>
      <w:r>
        <w:rPr>
          <w:rFonts w:hint="eastAsia" w:ascii="宋体" w:hAnsi="宋体"/>
          <w:szCs w:val="20"/>
          <w:highlight w:val="none"/>
        </w:rPr>
        <w:t>H点：投标人在进行至该点时必须停工等待招标人监造代表参加的检验或试验项目，检验或试验后投标人提供检验或试验记录，即停工待检。</w:t>
      </w:r>
    </w:p>
    <w:p w14:paraId="405DD850">
      <w:pPr>
        <w:spacing w:line="360" w:lineRule="auto"/>
        <w:ind w:firstLine="480"/>
        <w:rPr>
          <w:rFonts w:ascii="宋体" w:hAnsi="宋体"/>
          <w:szCs w:val="20"/>
          <w:highlight w:val="none"/>
        </w:rPr>
      </w:pPr>
      <w:r>
        <w:rPr>
          <w:rFonts w:hint="eastAsia" w:ascii="宋体" w:hAnsi="宋体"/>
          <w:szCs w:val="20"/>
          <w:highlight w:val="none"/>
        </w:rPr>
        <w:t>招标人接到见证通知后，及时派代表到检验或试验的现场参加现场见证或停工待检。如果招标人代表不能按时参加，W点可自动转为R点，但H点如果没有招标人书面通知同意转为R点，投标人不得自行转入下道工序，与招标人商定更改见证时间，如果更改后，招标人仍不能按时参加，则H点自动转为R点。</w:t>
      </w:r>
    </w:p>
    <w:p w14:paraId="31D0F9C8">
      <w:pPr>
        <w:spacing w:line="360" w:lineRule="auto"/>
        <w:ind w:firstLine="480"/>
        <w:rPr>
          <w:rFonts w:ascii="宋体" w:hAnsi="宋体"/>
          <w:color w:val="FF0000"/>
          <w:szCs w:val="20"/>
          <w:highlight w:val="none"/>
        </w:rPr>
      </w:pPr>
      <w:r>
        <w:rPr>
          <w:rFonts w:hint="eastAsia" w:ascii="宋体" w:hAnsi="宋体"/>
          <w:szCs w:val="20"/>
          <w:highlight w:val="none"/>
        </w:rPr>
        <w:t xml:space="preserve">每次监造内容完成后，投标人和监造代表均须在见证表上履行签字手续。投标人复印3份，交监造代表1份。招标人或其监造代表在监造文件上签字，仅作见证证明并不免除投标人对标的物应负的安全、质量的责任。   </w:t>
      </w:r>
    </w:p>
    <w:p w14:paraId="4FBAB942">
      <w:pPr>
        <w:spacing w:line="360" w:lineRule="auto"/>
        <w:rPr>
          <w:rFonts w:ascii="宋体" w:hAnsi="宋体"/>
          <w:szCs w:val="20"/>
          <w:highlight w:val="none"/>
        </w:rPr>
      </w:pPr>
      <w:r>
        <w:rPr>
          <w:rFonts w:hint="eastAsia" w:ascii="宋体" w:hAnsi="宋体"/>
          <w:szCs w:val="20"/>
          <w:highlight w:val="none"/>
        </w:rPr>
        <w:t>3.3  监造内容（具体内容由招标人填写或由投标人填写，招标人确认）</w:t>
      </w:r>
    </w:p>
    <w:p w14:paraId="7866AB09">
      <w:pPr>
        <w:spacing w:after="160" w:line="360" w:lineRule="auto"/>
        <w:jc w:val="center"/>
        <w:rPr>
          <w:rFonts w:ascii="宋体" w:hAnsi="宋体"/>
          <w:szCs w:val="20"/>
          <w:highlight w:val="none"/>
        </w:rPr>
      </w:pPr>
      <w:r>
        <w:rPr>
          <w:rFonts w:hint="eastAsia" w:ascii="宋体" w:hAnsi="宋体"/>
          <w:szCs w:val="20"/>
          <w:highlight w:val="none"/>
        </w:rPr>
        <w:t>设备监造内容</w:t>
      </w:r>
    </w:p>
    <w:tbl>
      <w:tblPr>
        <w:tblStyle w:val="2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89"/>
        <w:gridCol w:w="1440"/>
        <w:gridCol w:w="3600"/>
        <w:gridCol w:w="680"/>
        <w:gridCol w:w="600"/>
        <w:gridCol w:w="600"/>
        <w:gridCol w:w="1174"/>
      </w:tblGrid>
      <w:tr w14:paraId="42D845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889" w:type="dxa"/>
            <w:vMerge w:val="restart"/>
            <w:tcBorders>
              <w:bottom w:val="nil"/>
            </w:tcBorders>
            <w:vAlign w:val="center"/>
          </w:tcPr>
          <w:p w14:paraId="5B16C041">
            <w:pPr>
              <w:spacing w:line="360" w:lineRule="auto"/>
              <w:jc w:val="center"/>
              <w:rPr>
                <w:rFonts w:ascii="宋体" w:hAnsi="宋体"/>
                <w:szCs w:val="20"/>
                <w:highlight w:val="none"/>
              </w:rPr>
            </w:pPr>
            <w:r>
              <w:rPr>
                <w:rFonts w:hint="eastAsia" w:ascii="宋体" w:hAnsi="宋体"/>
                <w:szCs w:val="20"/>
                <w:highlight w:val="none"/>
              </w:rPr>
              <w:t>序号</w:t>
            </w:r>
          </w:p>
        </w:tc>
        <w:tc>
          <w:tcPr>
            <w:tcW w:w="1440" w:type="dxa"/>
            <w:vMerge w:val="restart"/>
            <w:tcBorders>
              <w:bottom w:val="nil"/>
            </w:tcBorders>
            <w:vAlign w:val="center"/>
          </w:tcPr>
          <w:p w14:paraId="31B38087">
            <w:pPr>
              <w:spacing w:line="360" w:lineRule="auto"/>
              <w:jc w:val="center"/>
              <w:rPr>
                <w:rFonts w:ascii="宋体" w:hAnsi="宋体"/>
                <w:szCs w:val="20"/>
                <w:highlight w:val="none"/>
              </w:rPr>
            </w:pPr>
            <w:r>
              <w:rPr>
                <w:rFonts w:hint="eastAsia" w:ascii="宋体" w:hAnsi="宋体"/>
                <w:szCs w:val="20"/>
                <w:highlight w:val="none"/>
              </w:rPr>
              <w:t>监造项目</w:t>
            </w:r>
          </w:p>
        </w:tc>
        <w:tc>
          <w:tcPr>
            <w:tcW w:w="3600" w:type="dxa"/>
            <w:vMerge w:val="restart"/>
            <w:tcBorders>
              <w:bottom w:val="nil"/>
            </w:tcBorders>
            <w:vAlign w:val="center"/>
          </w:tcPr>
          <w:p w14:paraId="78779775">
            <w:pPr>
              <w:spacing w:line="360" w:lineRule="auto"/>
              <w:jc w:val="center"/>
              <w:rPr>
                <w:rFonts w:ascii="宋体" w:hAnsi="宋体"/>
                <w:szCs w:val="20"/>
                <w:highlight w:val="none"/>
              </w:rPr>
            </w:pPr>
            <w:r>
              <w:rPr>
                <w:rFonts w:hint="eastAsia" w:ascii="宋体" w:hAnsi="宋体"/>
                <w:szCs w:val="20"/>
                <w:highlight w:val="none"/>
              </w:rPr>
              <w:t>监造内容</w:t>
            </w:r>
          </w:p>
        </w:tc>
        <w:tc>
          <w:tcPr>
            <w:tcW w:w="3054" w:type="dxa"/>
            <w:gridSpan w:val="4"/>
            <w:tcBorders>
              <w:right w:val="single" w:color="000000" w:sz="6" w:space="0"/>
            </w:tcBorders>
            <w:vAlign w:val="center"/>
          </w:tcPr>
          <w:p w14:paraId="5C69F430">
            <w:pPr>
              <w:spacing w:line="360" w:lineRule="auto"/>
              <w:jc w:val="center"/>
              <w:rPr>
                <w:rFonts w:ascii="宋体" w:hAnsi="宋体"/>
                <w:szCs w:val="20"/>
                <w:highlight w:val="none"/>
              </w:rPr>
            </w:pPr>
            <w:r>
              <w:rPr>
                <w:rFonts w:hint="eastAsia" w:ascii="宋体" w:hAnsi="宋体"/>
                <w:szCs w:val="20"/>
                <w:highlight w:val="none"/>
              </w:rPr>
              <w:t>监造方式</w:t>
            </w:r>
          </w:p>
        </w:tc>
      </w:tr>
      <w:tr w14:paraId="43AF6C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889" w:type="dxa"/>
            <w:vMerge w:val="continue"/>
            <w:tcBorders>
              <w:top w:val="nil"/>
            </w:tcBorders>
            <w:vAlign w:val="center"/>
          </w:tcPr>
          <w:p w14:paraId="77D76C0D">
            <w:pPr>
              <w:spacing w:line="360" w:lineRule="auto"/>
              <w:jc w:val="center"/>
              <w:rPr>
                <w:rFonts w:ascii="宋体" w:hAnsi="宋体"/>
                <w:szCs w:val="20"/>
                <w:highlight w:val="none"/>
              </w:rPr>
            </w:pPr>
          </w:p>
        </w:tc>
        <w:tc>
          <w:tcPr>
            <w:tcW w:w="1440" w:type="dxa"/>
            <w:vMerge w:val="continue"/>
            <w:tcBorders>
              <w:top w:val="nil"/>
            </w:tcBorders>
            <w:vAlign w:val="center"/>
          </w:tcPr>
          <w:p w14:paraId="44B582D6">
            <w:pPr>
              <w:spacing w:line="360" w:lineRule="auto"/>
              <w:jc w:val="center"/>
              <w:rPr>
                <w:rFonts w:ascii="宋体" w:hAnsi="宋体"/>
                <w:szCs w:val="20"/>
                <w:highlight w:val="none"/>
              </w:rPr>
            </w:pPr>
          </w:p>
        </w:tc>
        <w:tc>
          <w:tcPr>
            <w:tcW w:w="3600" w:type="dxa"/>
            <w:vMerge w:val="continue"/>
            <w:tcBorders>
              <w:top w:val="nil"/>
            </w:tcBorders>
            <w:vAlign w:val="center"/>
          </w:tcPr>
          <w:p w14:paraId="4C9BF684">
            <w:pPr>
              <w:spacing w:line="360" w:lineRule="auto"/>
              <w:rPr>
                <w:rFonts w:ascii="宋体" w:hAnsi="宋体"/>
                <w:szCs w:val="20"/>
                <w:highlight w:val="none"/>
              </w:rPr>
            </w:pPr>
          </w:p>
        </w:tc>
        <w:tc>
          <w:tcPr>
            <w:tcW w:w="680" w:type="dxa"/>
            <w:vAlign w:val="center"/>
          </w:tcPr>
          <w:p w14:paraId="71762489">
            <w:pPr>
              <w:spacing w:line="360" w:lineRule="auto"/>
              <w:jc w:val="center"/>
              <w:rPr>
                <w:rFonts w:ascii="宋体" w:hAnsi="宋体"/>
                <w:szCs w:val="20"/>
                <w:highlight w:val="none"/>
              </w:rPr>
            </w:pPr>
            <w:r>
              <w:rPr>
                <w:rFonts w:ascii="宋体" w:hAnsi="宋体"/>
                <w:szCs w:val="20"/>
                <w:highlight w:val="none"/>
              </w:rPr>
              <w:t>H</w:t>
            </w:r>
          </w:p>
        </w:tc>
        <w:tc>
          <w:tcPr>
            <w:tcW w:w="600" w:type="dxa"/>
            <w:vAlign w:val="center"/>
          </w:tcPr>
          <w:p w14:paraId="034A082D">
            <w:pPr>
              <w:spacing w:line="360" w:lineRule="auto"/>
              <w:jc w:val="center"/>
              <w:rPr>
                <w:rFonts w:ascii="宋体" w:hAnsi="宋体"/>
                <w:szCs w:val="20"/>
                <w:highlight w:val="none"/>
              </w:rPr>
            </w:pPr>
            <w:r>
              <w:rPr>
                <w:rFonts w:ascii="宋体" w:hAnsi="宋体"/>
                <w:szCs w:val="20"/>
                <w:highlight w:val="none"/>
              </w:rPr>
              <w:t>W</w:t>
            </w:r>
          </w:p>
        </w:tc>
        <w:tc>
          <w:tcPr>
            <w:tcW w:w="600" w:type="dxa"/>
            <w:vAlign w:val="center"/>
          </w:tcPr>
          <w:p w14:paraId="1231799E">
            <w:pPr>
              <w:spacing w:line="360" w:lineRule="auto"/>
              <w:jc w:val="center"/>
              <w:rPr>
                <w:rFonts w:ascii="宋体" w:hAnsi="宋体"/>
                <w:szCs w:val="20"/>
                <w:highlight w:val="none"/>
              </w:rPr>
            </w:pPr>
            <w:r>
              <w:rPr>
                <w:rFonts w:ascii="宋体" w:hAnsi="宋体"/>
                <w:szCs w:val="20"/>
                <w:highlight w:val="none"/>
              </w:rPr>
              <w:t>R</w:t>
            </w:r>
          </w:p>
        </w:tc>
        <w:tc>
          <w:tcPr>
            <w:tcW w:w="1174" w:type="dxa"/>
            <w:vAlign w:val="center"/>
          </w:tcPr>
          <w:p w14:paraId="27C10A9D">
            <w:pPr>
              <w:spacing w:line="360" w:lineRule="auto"/>
              <w:jc w:val="center"/>
              <w:rPr>
                <w:rFonts w:ascii="宋体" w:hAnsi="宋体"/>
                <w:szCs w:val="20"/>
                <w:highlight w:val="none"/>
              </w:rPr>
            </w:pPr>
            <w:r>
              <w:rPr>
                <w:rFonts w:hint="eastAsia" w:ascii="宋体" w:hAnsi="宋体"/>
                <w:szCs w:val="20"/>
                <w:highlight w:val="none"/>
              </w:rPr>
              <w:t>备注</w:t>
            </w:r>
          </w:p>
        </w:tc>
      </w:tr>
      <w:tr w14:paraId="2A657A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889" w:type="dxa"/>
            <w:vMerge w:val="restart"/>
            <w:vAlign w:val="center"/>
          </w:tcPr>
          <w:p w14:paraId="02162C89">
            <w:pPr>
              <w:spacing w:line="360" w:lineRule="auto"/>
              <w:jc w:val="center"/>
              <w:rPr>
                <w:rFonts w:ascii="宋体" w:hAnsi="宋体"/>
                <w:szCs w:val="20"/>
                <w:highlight w:val="none"/>
              </w:rPr>
            </w:pPr>
            <w:r>
              <w:rPr>
                <w:rFonts w:hint="eastAsia" w:ascii="宋体" w:hAnsi="宋体"/>
                <w:szCs w:val="20"/>
                <w:highlight w:val="none"/>
              </w:rPr>
              <w:t>1</w:t>
            </w:r>
          </w:p>
        </w:tc>
        <w:tc>
          <w:tcPr>
            <w:tcW w:w="1440" w:type="dxa"/>
            <w:vMerge w:val="restart"/>
            <w:vAlign w:val="center"/>
          </w:tcPr>
          <w:p w14:paraId="1AB7F264">
            <w:pPr>
              <w:spacing w:line="360" w:lineRule="auto"/>
              <w:jc w:val="center"/>
              <w:rPr>
                <w:rFonts w:ascii="宋体" w:hAnsi="宋体"/>
                <w:szCs w:val="20"/>
                <w:highlight w:val="none"/>
              </w:rPr>
            </w:pPr>
            <w:r>
              <w:rPr>
                <w:rFonts w:hint="eastAsia" w:ascii="宋体" w:hAnsi="宋体"/>
                <w:szCs w:val="20"/>
                <w:highlight w:val="none"/>
              </w:rPr>
              <w:t>原材料质量控制</w:t>
            </w:r>
          </w:p>
        </w:tc>
        <w:tc>
          <w:tcPr>
            <w:tcW w:w="3600" w:type="dxa"/>
            <w:vAlign w:val="center"/>
          </w:tcPr>
          <w:p w14:paraId="6BD591B5">
            <w:pPr>
              <w:spacing w:line="360" w:lineRule="auto"/>
              <w:rPr>
                <w:rFonts w:ascii="宋体" w:hAnsi="宋体"/>
                <w:szCs w:val="20"/>
                <w:highlight w:val="none"/>
              </w:rPr>
            </w:pPr>
            <w:r>
              <w:rPr>
                <w:rFonts w:hint="eastAsia" w:ascii="宋体" w:hAnsi="宋体"/>
                <w:szCs w:val="20"/>
                <w:highlight w:val="none"/>
              </w:rPr>
              <w:t>原材料质量证明资料</w:t>
            </w:r>
          </w:p>
        </w:tc>
        <w:tc>
          <w:tcPr>
            <w:tcW w:w="680" w:type="dxa"/>
            <w:vAlign w:val="center"/>
          </w:tcPr>
          <w:p w14:paraId="69F7545B">
            <w:pPr>
              <w:numPr>
                <w:ilvl w:val="0"/>
                <w:numId w:val="6"/>
              </w:numPr>
              <w:spacing w:line="360" w:lineRule="auto"/>
              <w:jc w:val="center"/>
              <w:rPr>
                <w:rFonts w:ascii="宋体" w:hAnsi="宋体"/>
                <w:szCs w:val="20"/>
                <w:highlight w:val="none"/>
              </w:rPr>
            </w:pPr>
          </w:p>
        </w:tc>
        <w:tc>
          <w:tcPr>
            <w:tcW w:w="600" w:type="dxa"/>
            <w:vAlign w:val="center"/>
          </w:tcPr>
          <w:p w14:paraId="289C09C6">
            <w:pPr>
              <w:spacing w:line="360" w:lineRule="auto"/>
              <w:jc w:val="center"/>
              <w:rPr>
                <w:rFonts w:ascii="宋体" w:hAnsi="宋体"/>
                <w:szCs w:val="20"/>
                <w:highlight w:val="none"/>
              </w:rPr>
            </w:pPr>
          </w:p>
        </w:tc>
        <w:tc>
          <w:tcPr>
            <w:tcW w:w="600" w:type="dxa"/>
            <w:vAlign w:val="center"/>
          </w:tcPr>
          <w:p w14:paraId="1D2127C9">
            <w:pPr>
              <w:spacing w:line="360" w:lineRule="auto"/>
              <w:ind w:left="420"/>
              <w:rPr>
                <w:rFonts w:ascii="宋体" w:hAnsi="宋体"/>
                <w:szCs w:val="20"/>
                <w:highlight w:val="none"/>
              </w:rPr>
            </w:pPr>
          </w:p>
        </w:tc>
        <w:tc>
          <w:tcPr>
            <w:tcW w:w="1174" w:type="dxa"/>
            <w:vAlign w:val="center"/>
          </w:tcPr>
          <w:p w14:paraId="4735DA41">
            <w:pPr>
              <w:spacing w:line="360" w:lineRule="auto"/>
              <w:jc w:val="center"/>
              <w:rPr>
                <w:rFonts w:ascii="宋体" w:hAnsi="宋体"/>
                <w:szCs w:val="20"/>
                <w:highlight w:val="none"/>
              </w:rPr>
            </w:pPr>
          </w:p>
        </w:tc>
      </w:tr>
      <w:tr w14:paraId="1E2081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889" w:type="dxa"/>
            <w:vMerge w:val="continue"/>
            <w:vAlign w:val="center"/>
          </w:tcPr>
          <w:p w14:paraId="7B3B1DC3">
            <w:pPr>
              <w:spacing w:line="360" w:lineRule="auto"/>
              <w:jc w:val="center"/>
              <w:rPr>
                <w:rFonts w:ascii="宋体" w:hAnsi="宋体"/>
                <w:szCs w:val="20"/>
                <w:highlight w:val="none"/>
              </w:rPr>
            </w:pPr>
          </w:p>
        </w:tc>
        <w:tc>
          <w:tcPr>
            <w:tcW w:w="1440" w:type="dxa"/>
            <w:vMerge w:val="continue"/>
            <w:vAlign w:val="center"/>
          </w:tcPr>
          <w:p w14:paraId="759A34F1">
            <w:pPr>
              <w:spacing w:line="360" w:lineRule="auto"/>
              <w:jc w:val="center"/>
              <w:rPr>
                <w:rFonts w:ascii="宋体" w:hAnsi="宋体"/>
                <w:szCs w:val="20"/>
                <w:highlight w:val="none"/>
              </w:rPr>
            </w:pPr>
          </w:p>
        </w:tc>
        <w:tc>
          <w:tcPr>
            <w:tcW w:w="3600" w:type="dxa"/>
            <w:vAlign w:val="center"/>
          </w:tcPr>
          <w:p w14:paraId="31267513">
            <w:pPr>
              <w:spacing w:line="360" w:lineRule="auto"/>
              <w:rPr>
                <w:rFonts w:ascii="宋体" w:hAnsi="宋体"/>
                <w:szCs w:val="20"/>
                <w:highlight w:val="none"/>
              </w:rPr>
            </w:pPr>
            <w:r>
              <w:rPr>
                <w:rFonts w:hint="eastAsia" w:ascii="宋体" w:hAnsi="宋体"/>
                <w:szCs w:val="20"/>
                <w:highlight w:val="none"/>
              </w:rPr>
              <w:t>原材料宏观表面及尺寸</w:t>
            </w:r>
          </w:p>
        </w:tc>
        <w:tc>
          <w:tcPr>
            <w:tcW w:w="680" w:type="dxa"/>
            <w:vAlign w:val="center"/>
          </w:tcPr>
          <w:p w14:paraId="6BFDC7FE">
            <w:pPr>
              <w:spacing w:line="360" w:lineRule="auto"/>
              <w:jc w:val="center"/>
              <w:rPr>
                <w:rFonts w:ascii="宋体" w:hAnsi="宋体"/>
                <w:szCs w:val="20"/>
                <w:highlight w:val="none"/>
              </w:rPr>
            </w:pPr>
          </w:p>
        </w:tc>
        <w:tc>
          <w:tcPr>
            <w:tcW w:w="600" w:type="dxa"/>
            <w:vAlign w:val="center"/>
          </w:tcPr>
          <w:p w14:paraId="316E5EE8">
            <w:pPr>
              <w:numPr>
                <w:ilvl w:val="0"/>
                <w:numId w:val="6"/>
              </w:numPr>
              <w:spacing w:line="360" w:lineRule="auto"/>
              <w:jc w:val="center"/>
              <w:rPr>
                <w:rFonts w:ascii="宋体" w:hAnsi="宋体"/>
                <w:szCs w:val="20"/>
                <w:highlight w:val="none"/>
              </w:rPr>
            </w:pPr>
          </w:p>
        </w:tc>
        <w:tc>
          <w:tcPr>
            <w:tcW w:w="600" w:type="dxa"/>
            <w:vAlign w:val="center"/>
          </w:tcPr>
          <w:p w14:paraId="0ADC8B73">
            <w:pPr>
              <w:spacing w:line="360" w:lineRule="auto"/>
              <w:ind w:left="420"/>
              <w:rPr>
                <w:rFonts w:ascii="宋体" w:hAnsi="宋体"/>
                <w:szCs w:val="20"/>
                <w:highlight w:val="none"/>
              </w:rPr>
            </w:pPr>
          </w:p>
        </w:tc>
        <w:tc>
          <w:tcPr>
            <w:tcW w:w="1174" w:type="dxa"/>
            <w:vAlign w:val="center"/>
          </w:tcPr>
          <w:p w14:paraId="0B13A592">
            <w:pPr>
              <w:spacing w:line="360" w:lineRule="auto"/>
              <w:jc w:val="center"/>
              <w:rPr>
                <w:rFonts w:ascii="宋体" w:hAnsi="宋体"/>
                <w:szCs w:val="20"/>
                <w:highlight w:val="none"/>
              </w:rPr>
            </w:pPr>
          </w:p>
        </w:tc>
      </w:tr>
      <w:tr w14:paraId="0DB655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889" w:type="dxa"/>
            <w:vMerge w:val="continue"/>
            <w:vAlign w:val="center"/>
          </w:tcPr>
          <w:p w14:paraId="1AF38222">
            <w:pPr>
              <w:spacing w:line="360" w:lineRule="auto"/>
              <w:jc w:val="center"/>
              <w:rPr>
                <w:rFonts w:ascii="宋体" w:hAnsi="宋体"/>
                <w:szCs w:val="20"/>
                <w:highlight w:val="none"/>
              </w:rPr>
            </w:pPr>
          </w:p>
        </w:tc>
        <w:tc>
          <w:tcPr>
            <w:tcW w:w="1440" w:type="dxa"/>
            <w:vMerge w:val="continue"/>
            <w:vAlign w:val="center"/>
          </w:tcPr>
          <w:p w14:paraId="7FF498A0">
            <w:pPr>
              <w:spacing w:line="360" w:lineRule="auto"/>
              <w:jc w:val="center"/>
              <w:rPr>
                <w:rFonts w:ascii="宋体" w:hAnsi="宋体"/>
                <w:szCs w:val="20"/>
                <w:highlight w:val="none"/>
              </w:rPr>
            </w:pPr>
          </w:p>
        </w:tc>
        <w:tc>
          <w:tcPr>
            <w:tcW w:w="3600" w:type="dxa"/>
            <w:vAlign w:val="center"/>
          </w:tcPr>
          <w:p w14:paraId="59FB3BAB">
            <w:pPr>
              <w:spacing w:line="360" w:lineRule="auto"/>
              <w:rPr>
                <w:rFonts w:ascii="宋体" w:hAnsi="宋体"/>
                <w:szCs w:val="20"/>
                <w:highlight w:val="none"/>
              </w:rPr>
            </w:pPr>
            <w:r>
              <w:rPr>
                <w:rFonts w:hint="eastAsia" w:ascii="宋体" w:hAnsi="宋体"/>
                <w:szCs w:val="20"/>
                <w:highlight w:val="none"/>
              </w:rPr>
              <w:t>原材料物理性能试验</w:t>
            </w:r>
          </w:p>
        </w:tc>
        <w:tc>
          <w:tcPr>
            <w:tcW w:w="680" w:type="dxa"/>
            <w:vAlign w:val="center"/>
          </w:tcPr>
          <w:p w14:paraId="6C9A4D92">
            <w:pPr>
              <w:spacing w:line="360" w:lineRule="auto"/>
              <w:jc w:val="center"/>
              <w:rPr>
                <w:rFonts w:ascii="宋体" w:hAnsi="宋体"/>
                <w:szCs w:val="20"/>
                <w:highlight w:val="none"/>
              </w:rPr>
            </w:pPr>
          </w:p>
        </w:tc>
        <w:tc>
          <w:tcPr>
            <w:tcW w:w="600" w:type="dxa"/>
            <w:vAlign w:val="center"/>
          </w:tcPr>
          <w:p w14:paraId="513FDB43">
            <w:pPr>
              <w:spacing w:line="360" w:lineRule="auto"/>
              <w:jc w:val="center"/>
              <w:rPr>
                <w:rFonts w:ascii="宋体" w:hAnsi="宋体"/>
                <w:szCs w:val="20"/>
                <w:highlight w:val="none"/>
              </w:rPr>
            </w:pPr>
          </w:p>
        </w:tc>
        <w:tc>
          <w:tcPr>
            <w:tcW w:w="600" w:type="dxa"/>
            <w:vAlign w:val="center"/>
          </w:tcPr>
          <w:p w14:paraId="429B6095">
            <w:pPr>
              <w:numPr>
                <w:ilvl w:val="0"/>
                <w:numId w:val="7"/>
              </w:numPr>
              <w:spacing w:line="360" w:lineRule="auto"/>
              <w:jc w:val="center"/>
              <w:rPr>
                <w:rFonts w:ascii="宋体" w:hAnsi="宋体"/>
                <w:szCs w:val="20"/>
                <w:highlight w:val="none"/>
              </w:rPr>
            </w:pPr>
          </w:p>
        </w:tc>
        <w:tc>
          <w:tcPr>
            <w:tcW w:w="1174" w:type="dxa"/>
            <w:vAlign w:val="center"/>
          </w:tcPr>
          <w:p w14:paraId="19DEE2F9">
            <w:pPr>
              <w:spacing w:line="360" w:lineRule="auto"/>
              <w:jc w:val="center"/>
              <w:rPr>
                <w:rFonts w:ascii="宋体" w:hAnsi="宋体"/>
                <w:szCs w:val="20"/>
                <w:highlight w:val="none"/>
              </w:rPr>
            </w:pPr>
          </w:p>
        </w:tc>
      </w:tr>
      <w:tr w14:paraId="551256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889" w:type="dxa"/>
            <w:vMerge w:val="continue"/>
            <w:vAlign w:val="center"/>
          </w:tcPr>
          <w:p w14:paraId="627DF7AA">
            <w:pPr>
              <w:spacing w:line="360" w:lineRule="auto"/>
              <w:jc w:val="center"/>
              <w:rPr>
                <w:rFonts w:ascii="宋体" w:hAnsi="宋体"/>
                <w:szCs w:val="20"/>
                <w:highlight w:val="none"/>
              </w:rPr>
            </w:pPr>
          </w:p>
        </w:tc>
        <w:tc>
          <w:tcPr>
            <w:tcW w:w="1440" w:type="dxa"/>
            <w:vMerge w:val="continue"/>
            <w:vAlign w:val="center"/>
          </w:tcPr>
          <w:p w14:paraId="2F1207AA">
            <w:pPr>
              <w:spacing w:line="360" w:lineRule="auto"/>
              <w:jc w:val="center"/>
              <w:rPr>
                <w:rFonts w:ascii="宋体" w:hAnsi="宋体"/>
                <w:szCs w:val="20"/>
                <w:highlight w:val="none"/>
              </w:rPr>
            </w:pPr>
          </w:p>
        </w:tc>
        <w:tc>
          <w:tcPr>
            <w:tcW w:w="3600" w:type="dxa"/>
            <w:vAlign w:val="center"/>
          </w:tcPr>
          <w:p w14:paraId="43727950">
            <w:pPr>
              <w:spacing w:line="360" w:lineRule="auto"/>
              <w:rPr>
                <w:rFonts w:ascii="宋体" w:hAnsi="宋体"/>
                <w:szCs w:val="20"/>
                <w:highlight w:val="none"/>
              </w:rPr>
            </w:pPr>
            <w:r>
              <w:rPr>
                <w:rFonts w:hint="eastAsia" w:ascii="宋体" w:hAnsi="宋体"/>
                <w:szCs w:val="20"/>
                <w:highlight w:val="none"/>
              </w:rPr>
              <w:t>原材料化学成分试验</w:t>
            </w:r>
          </w:p>
        </w:tc>
        <w:tc>
          <w:tcPr>
            <w:tcW w:w="680" w:type="dxa"/>
            <w:vAlign w:val="center"/>
          </w:tcPr>
          <w:p w14:paraId="274477DC">
            <w:pPr>
              <w:spacing w:line="360" w:lineRule="auto"/>
              <w:jc w:val="center"/>
              <w:rPr>
                <w:rFonts w:ascii="宋体" w:hAnsi="宋体"/>
                <w:szCs w:val="20"/>
                <w:highlight w:val="none"/>
              </w:rPr>
            </w:pPr>
          </w:p>
        </w:tc>
        <w:tc>
          <w:tcPr>
            <w:tcW w:w="600" w:type="dxa"/>
            <w:vAlign w:val="center"/>
          </w:tcPr>
          <w:p w14:paraId="61DF6F06">
            <w:pPr>
              <w:spacing w:line="360" w:lineRule="auto"/>
              <w:jc w:val="center"/>
              <w:rPr>
                <w:rFonts w:ascii="宋体" w:hAnsi="宋体"/>
                <w:szCs w:val="20"/>
                <w:highlight w:val="none"/>
              </w:rPr>
            </w:pPr>
          </w:p>
        </w:tc>
        <w:tc>
          <w:tcPr>
            <w:tcW w:w="600" w:type="dxa"/>
            <w:vAlign w:val="center"/>
          </w:tcPr>
          <w:p w14:paraId="6A0CE4F4">
            <w:pPr>
              <w:numPr>
                <w:ilvl w:val="0"/>
                <w:numId w:val="7"/>
              </w:numPr>
              <w:spacing w:line="360" w:lineRule="auto"/>
              <w:jc w:val="center"/>
              <w:rPr>
                <w:rFonts w:ascii="宋体" w:hAnsi="宋体"/>
                <w:szCs w:val="20"/>
                <w:highlight w:val="none"/>
              </w:rPr>
            </w:pPr>
          </w:p>
        </w:tc>
        <w:tc>
          <w:tcPr>
            <w:tcW w:w="1174" w:type="dxa"/>
            <w:vAlign w:val="center"/>
          </w:tcPr>
          <w:p w14:paraId="4AEEC550">
            <w:pPr>
              <w:spacing w:line="360" w:lineRule="auto"/>
              <w:jc w:val="center"/>
              <w:rPr>
                <w:rFonts w:ascii="宋体" w:hAnsi="宋体"/>
                <w:szCs w:val="20"/>
                <w:highlight w:val="none"/>
              </w:rPr>
            </w:pPr>
          </w:p>
        </w:tc>
      </w:tr>
      <w:tr w14:paraId="2FFC07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889" w:type="dxa"/>
            <w:vMerge w:val="restart"/>
            <w:vAlign w:val="center"/>
          </w:tcPr>
          <w:p w14:paraId="66B7EE70">
            <w:pPr>
              <w:spacing w:line="360" w:lineRule="auto"/>
              <w:jc w:val="center"/>
              <w:rPr>
                <w:rFonts w:ascii="宋体" w:hAnsi="宋体"/>
                <w:szCs w:val="20"/>
                <w:highlight w:val="none"/>
              </w:rPr>
            </w:pPr>
            <w:r>
              <w:rPr>
                <w:rFonts w:hint="eastAsia" w:ascii="宋体" w:hAnsi="宋体"/>
                <w:szCs w:val="20"/>
                <w:highlight w:val="none"/>
              </w:rPr>
              <w:t>2</w:t>
            </w:r>
          </w:p>
        </w:tc>
        <w:tc>
          <w:tcPr>
            <w:tcW w:w="1440" w:type="dxa"/>
            <w:vMerge w:val="restart"/>
            <w:vAlign w:val="center"/>
          </w:tcPr>
          <w:p w14:paraId="5E503A77">
            <w:pPr>
              <w:spacing w:line="360" w:lineRule="auto"/>
              <w:jc w:val="center"/>
              <w:rPr>
                <w:rFonts w:ascii="宋体" w:hAnsi="宋体"/>
                <w:szCs w:val="20"/>
                <w:highlight w:val="none"/>
              </w:rPr>
            </w:pPr>
            <w:r>
              <w:rPr>
                <w:rFonts w:hint="eastAsia" w:ascii="宋体" w:hAnsi="宋体"/>
                <w:szCs w:val="20"/>
                <w:highlight w:val="none"/>
              </w:rPr>
              <w:t>管排制作质量控制</w:t>
            </w:r>
          </w:p>
        </w:tc>
        <w:tc>
          <w:tcPr>
            <w:tcW w:w="3600" w:type="dxa"/>
            <w:vAlign w:val="center"/>
          </w:tcPr>
          <w:p w14:paraId="54CB862F">
            <w:pPr>
              <w:spacing w:line="360" w:lineRule="auto"/>
              <w:rPr>
                <w:rFonts w:ascii="宋体" w:hAnsi="宋体"/>
                <w:szCs w:val="20"/>
                <w:highlight w:val="none"/>
              </w:rPr>
            </w:pPr>
            <w:r>
              <w:rPr>
                <w:rFonts w:hint="eastAsia" w:ascii="宋体" w:hAnsi="宋体"/>
                <w:szCs w:val="20"/>
                <w:highlight w:val="none"/>
              </w:rPr>
              <w:t>弯管工艺及弯管检查</w:t>
            </w:r>
          </w:p>
        </w:tc>
        <w:tc>
          <w:tcPr>
            <w:tcW w:w="680" w:type="dxa"/>
            <w:vAlign w:val="center"/>
          </w:tcPr>
          <w:p w14:paraId="60E22295">
            <w:pPr>
              <w:spacing w:line="360" w:lineRule="auto"/>
              <w:jc w:val="center"/>
              <w:rPr>
                <w:rFonts w:ascii="宋体" w:hAnsi="宋体"/>
                <w:szCs w:val="20"/>
                <w:highlight w:val="none"/>
              </w:rPr>
            </w:pPr>
          </w:p>
        </w:tc>
        <w:tc>
          <w:tcPr>
            <w:tcW w:w="600" w:type="dxa"/>
            <w:vAlign w:val="center"/>
          </w:tcPr>
          <w:p w14:paraId="4433A4B8">
            <w:pPr>
              <w:spacing w:line="360" w:lineRule="auto"/>
              <w:jc w:val="center"/>
              <w:rPr>
                <w:rFonts w:ascii="宋体" w:hAnsi="宋体"/>
                <w:szCs w:val="20"/>
                <w:highlight w:val="none"/>
              </w:rPr>
            </w:pPr>
          </w:p>
        </w:tc>
        <w:tc>
          <w:tcPr>
            <w:tcW w:w="600" w:type="dxa"/>
            <w:vAlign w:val="center"/>
          </w:tcPr>
          <w:p w14:paraId="5A67005B">
            <w:pPr>
              <w:numPr>
                <w:ilvl w:val="0"/>
                <w:numId w:val="7"/>
              </w:numPr>
              <w:spacing w:line="360" w:lineRule="auto"/>
              <w:jc w:val="center"/>
              <w:rPr>
                <w:rFonts w:ascii="宋体" w:hAnsi="宋体"/>
                <w:szCs w:val="20"/>
                <w:highlight w:val="none"/>
              </w:rPr>
            </w:pPr>
          </w:p>
        </w:tc>
        <w:tc>
          <w:tcPr>
            <w:tcW w:w="1174" w:type="dxa"/>
            <w:vAlign w:val="center"/>
          </w:tcPr>
          <w:p w14:paraId="2C9FF3B5">
            <w:pPr>
              <w:spacing w:line="360" w:lineRule="auto"/>
              <w:jc w:val="center"/>
              <w:rPr>
                <w:rFonts w:ascii="宋体" w:hAnsi="宋体"/>
                <w:szCs w:val="20"/>
                <w:highlight w:val="none"/>
              </w:rPr>
            </w:pPr>
          </w:p>
        </w:tc>
      </w:tr>
      <w:tr w14:paraId="6D6037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889" w:type="dxa"/>
            <w:vMerge w:val="continue"/>
            <w:vAlign w:val="center"/>
          </w:tcPr>
          <w:p w14:paraId="61EA8716">
            <w:pPr>
              <w:spacing w:line="360" w:lineRule="auto"/>
              <w:jc w:val="center"/>
              <w:rPr>
                <w:rFonts w:ascii="宋体" w:hAnsi="宋体"/>
                <w:szCs w:val="20"/>
                <w:highlight w:val="none"/>
              </w:rPr>
            </w:pPr>
          </w:p>
        </w:tc>
        <w:tc>
          <w:tcPr>
            <w:tcW w:w="1440" w:type="dxa"/>
            <w:vMerge w:val="continue"/>
            <w:vAlign w:val="center"/>
          </w:tcPr>
          <w:p w14:paraId="2E42D01F">
            <w:pPr>
              <w:spacing w:line="360" w:lineRule="auto"/>
              <w:jc w:val="center"/>
              <w:rPr>
                <w:rFonts w:ascii="宋体" w:hAnsi="宋体"/>
                <w:szCs w:val="20"/>
                <w:highlight w:val="none"/>
              </w:rPr>
            </w:pPr>
          </w:p>
        </w:tc>
        <w:tc>
          <w:tcPr>
            <w:tcW w:w="3600" w:type="dxa"/>
            <w:vAlign w:val="center"/>
          </w:tcPr>
          <w:p w14:paraId="75EC5CC7">
            <w:pPr>
              <w:spacing w:line="360" w:lineRule="auto"/>
              <w:rPr>
                <w:rFonts w:ascii="宋体" w:hAnsi="宋体"/>
                <w:szCs w:val="20"/>
                <w:highlight w:val="none"/>
              </w:rPr>
            </w:pPr>
            <w:r>
              <w:rPr>
                <w:rFonts w:hint="eastAsia" w:ascii="宋体" w:hAnsi="宋体"/>
                <w:szCs w:val="20"/>
                <w:highlight w:val="none"/>
              </w:rPr>
              <w:t>焊接工艺及焊缝检查</w:t>
            </w:r>
          </w:p>
        </w:tc>
        <w:tc>
          <w:tcPr>
            <w:tcW w:w="680" w:type="dxa"/>
            <w:vAlign w:val="center"/>
          </w:tcPr>
          <w:p w14:paraId="4C99223D">
            <w:pPr>
              <w:spacing w:line="360" w:lineRule="auto"/>
              <w:jc w:val="center"/>
              <w:rPr>
                <w:rFonts w:ascii="宋体" w:hAnsi="宋体"/>
                <w:szCs w:val="20"/>
                <w:highlight w:val="none"/>
              </w:rPr>
            </w:pPr>
          </w:p>
        </w:tc>
        <w:tc>
          <w:tcPr>
            <w:tcW w:w="600" w:type="dxa"/>
            <w:vAlign w:val="center"/>
          </w:tcPr>
          <w:p w14:paraId="353123DA">
            <w:pPr>
              <w:spacing w:line="360" w:lineRule="auto"/>
              <w:jc w:val="center"/>
              <w:rPr>
                <w:rFonts w:ascii="宋体" w:hAnsi="宋体"/>
                <w:szCs w:val="20"/>
                <w:highlight w:val="none"/>
              </w:rPr>
            </w:pPr>
          </w:p>
        </w:tc>
        <w:tc>
          <w:tcPr>
            <w:tcW w:w="600" w:type="dxa"/>
            <w:vAlign w:val="center"/>
          </w:tcPr>
          <w:p w14:paraId="764DBF97">
            <w:pPr>
              <w:numPr>
                <w:ilvl w:val="0"/>
                <w:numId w:val="7"/>
              </w:numPr>
              <w:spacing w:line="360" w:lineRule="auto"/>
              <w:jc w:val="center"/>
              <w:rPr>
                <w:rFonts w:ascii="宋体" w:hAnsi="宋体"/>
                <w:szCs w:val="20"/>
                <w:highlight w:val="none"/>
              </w:rPr>
            </w:pPr>
          </w:p>
        </w:tc>
        <w:tc>
          <w:tcPr>
            <w:tcW w:w="1174" w:type="dxa"/>
            <w:vAlign w:val="center"/>
          </w:tcPr>
          <w:p w14:paraId="227846E9">
            <w:pPr>
              <w:spacing w:line="360" w:lineRule="auto"/>
              <w:jc w:val="center"/>
              <w:rPr>
                <w:rFonts w:ascii="宋体" w:hAnsi="宋体"/>
                <w:szCs w:val="20"/>
                <w:highlight w:val="none"/>
              </w:rPr>
            </w:pPr>
          </w:p>
        </w:tc>
      </w:tr>
      <w:tr w14:paraId="781140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889" w:type="dxa"/>
            <w:vMerge w:val="continue"/>
            <w:vAlign w:val="center"/>
          </w:tcPr>
          <w:p w14:paraId="26E04085">
            <w:pPr>
              <w:spacing w:line="360" w:lineRule="auto"/>
              <w:jc w:val="center"/>
              <w:rPr>
                <w:rFonts w:ascii="宋体" w:hAnsi="宋体"/>
                <w:szCs w:val="20"/>
                <w:highlight w:val="none"/>
              </w:rPr>
            </w:pPr>
          </w:p>
        </w:tc>
        <w:tc>
          <w:tcPr>
            <w:tcW w:w="1440" w:type="dxa"/>
            <w:vMerge w:val="continue"/>
            <w:vAlign w:val="center"/>
          </w:tcPr>
          <w:p w14:paraId="3B1946B3">
            <w:pPr>
              <w:spacing w:line="360" w:lineRule="auto"/>
              <w:jc w:val="center"/>
              <w:rPr>
                <w:rFonts w:ascii="宋体" w:hAnsi="宋体"/>
                <w:szCs w:val="20"/>
                <w:highlight w:val="none"/>
              </w:rPr>
            </w:pPr>
          </w:p>
        </w:tc>
        <w:tc>
          <w:tcPr>
            <w:tcW w:w="3600" w:type="dxa"/>
            <w:vAlign w:val="center"/>
          </w:tcPr>
          <w:p w14:paraId="579C6E9D">
            <w:pPr>
              <w:spacing w:line="360" w:lineRule="auto"/>
              <w:rPr>
                <w:rFonts w:ascii="宋体" w:hAnsi="宋体"/>
                <w:spacing w:val="5"/>
                <w:szCs w:val="20"/>
                <w:highlight w:val="none"/>
              </w:rPr>
            </w:pPr>
            <w:r>
              <w:rPr>
                <w:rFonts w:hint="eastAsia" w:ascii="宋体" w:hAnsi="宋体"/>
                <w:spacing w:val="5"/>
                <w:szCs w:val="20"/>
                <w:highlight w:val="none"/>
              </w:rPr>
              <w:t>光谱检验</w:t>
            </w:r>
          </w:p>
        </w:tc>
        <w:tc>
          <w:tcPr>
            <w:tcW w:w="680" w:type="dxa"/>
            <w:vAlign w:val="center"/>
          </w:tcPr>
          <w:p w14:paraId="7E06A6C9">
            <w:pPr>
              <w:spacing w:line="360" w:lineRule="auto"/>
              <w:jc w:val="center"/>
              <w:rPr>
                <w:rFonts w:ascii="宋体" w:hAnsi="宋体"/>
                <w:szCs w:val="20"/>
                <w:highlight w:val="none"/>
              </w:rPr>
            </w:pPr>
          </w:p>
        </w:tc>
        <w:tc>
          <w:tcPr>
            <w:tcW w:w="600" w:type="dxa"/>
            <w:vAlign w:val="center"/>
          </w:tcPr>
          <w:p w14:paraId="51F3EEBE">
            <w:pPr>
              <w:spacing w:line="360" w:lineRule="auto"/>
              <w:jc w:val="center"/>
              <w:rPr>
                <w:rFonts w:ascii="宋体" w:hAnsi="宋体"/>
                <w:szCs w:val="20"/>
                <w:highlight w:val="none"/>
              </w:rPr>
            </w:pPr>
          </w:p>
        </w:tc>
        <w:tc>
          <w:tcPr>
            <w:tcW w:w="600" w:type="dxa"/>
            <w:vAlign w:val="center"/>
          </w:tcPr>
          <w:p w14:paraId="68A4A71B">
            <w:pPr>
              <w:numPr>
                <w:ilvl w:val="0"/>
                <w:numId w:val="7"/>
              </w:numPr>
              <w:spacing w:line="360" w:lineRule="auto"/>
              <w:jc w:val="center"/>
              <w:rPr>
                <w:rFonts w:ascii="宋体" w:hAnsi="宋体"/>
                <w:szCs w:val="20"/>
                <w:highlight w:val="none"/>
              </w:rPr>
            </w:pPr>
          </w:p>
        </w:tc>
        <w:tc>
          <w:tcPr>
            <w:tcW w:w="1174" w:type="dxa"/>
            <w:vAlign w:val="center"/>
          </w:tcPr>
          <w:p w14:paraId="6C1EA291">
            <w:pPr>
              <w:spacing w:line="360" w:lineRule="auto"/>
              <w:jc w:val="center"/>
              <w:rPr>
                <w:rFonts w:ascii="宋体" w:hAnsi="宋体"/>
                <w:szCs w:val="20"/>
                <w:highlight w:val="none"/>
              </w:rPr>
            </w:pPr>
          </w:p>
        </w:tc>
      </w:tr>
      <w:tr w14:paraId="42FB85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889" w:type="dxa"/>
            <w:vMerge w:val="continue"/>
            <w:vAlign w:val="center"/>
          </w:tcPr>
          <w:p w14:paraId="3AB2549F">
            <w:pPr>
              <w:spacing w:line="360" w:lineRule="auto"/>
              <w:jc w:val="center"/>
              <w:rPr>
                <w:rFonts w:ascii="宋体" w:hAnsi="宋体"/>
                <w:szCs w:val="20"/>
                <w:highlight w:val="none"/>
              </w:rPr>
            </w:pPr>
          </w:p>
        </w:tc>
        <w:tc>
          <w:tcPr>
            <w:tcW w:w="1440" w:type="dxa"/>
            <w:vMerge w:val="continue"/>
            <w:vAlign w:val="center"/>
          </w:tcPr>
          <w:p w14:paraId="772150A5">
            <w:pPr>
              <w:spacing w:line="360" w:lineRule="auto"/>
              <w:jc w:val="center"/>
              <w:rPr>
                <w:rFonts w:ascii="宋体" w:hAnsi="宋体"/>
                <w:szCs w:val="20"/>
                <w:highlight w:val="none"/>
              </w:rPr>
            </w:pPr>
          </w:p>
        </w:tc>
        <w:tc>
          <w:tcPr>
            <w:tcW w:w="3600" w:type="dxa"/>
            <w:vAlign w:val="center"/>
          </w:tcPr>
          <w:p w14:paraId="35745646">
            <w:pPr>
              <w:spacing w:line="360" w:lineRule="auto"/>
              <w:rPr>
                <w:rFonts w:ascii="宋体" w:hAnsi="宋体"/>
                <w:spacing w:val="5"/>
                <w:szCs w:val="20"/>
                <w:highlight w:val="none"/>
              </w:rPr>
            </w:pPr>
            <w:r>
              <w:rPr>
                <w:rFonts w:hint="eastAsia" w:ascii="宋体" w:hAnsi="宋体"/>
                <w:spacing w:val="5"/>
                <w:szCs w:val="20"/>
                <w:highlight w:val="none"/>
              </w:rPr>
              <w:t>表面及尺寸检查</w:t>
            </w:r>
          </w:p>
        </w:tc>
        <w:tc>
          <w:tcPr>
            <w:tcW w:w="680" w:type="dxa"/>
            <w:vAlign w:val="center"/>
          </w:tcPr>
          <w:p w14:paraId="4C8EE3F5">
            <w:pPr>
              <w:spacing w:line="360" w:lineRule="auto"/>
              <w:jc w:val="center"/>
              <w:rPr>
                <w:rFonts w:ascii="宋体" w:hAnsi="宋体"/>
                <w:szCs w:val="20"/>
                <w:highlight w:val="none"/>
              </w:rPr>
            </w:pPr>
          </w:p>
        </w:tc>
        <w:tc>
          <w:tcPr>
            <w:tcW w:w="600" w:type="dxa"/>
            <w:vAlign w:val="center"/>
          </w:tcPr>
          <w:p w14:paraId="59158D7D">
            <w:pPr>
              <w:numPr>
                <w:ilvl w:val="0"/>
                <w:numId w:val="7"/>
              </w:numPr>
              <w:spacing w:line="360" w:lineRule="auto"/>
              <w:jc w:val="center"/>
              <w:rPr>
                <w:rFonts w:ascii="宋体" w:hAnsi="宋体"/>
                <w:szCs w:val="20"/>
                <w:highlight w:val="none"/>
              </w:rPr>
            </w:pPr>
          </w:p>
        </w:tc>
        <w:tc>
          <w:tcPr>
            <w:tcW w:w="600" w:type="dxa"/>
            <w:vAlign w:val="center"/>
          </w:tcPr>
          <w:p w14:paraId="76CB8851">
            <w:pPr>
              <w:spacing w:line="360" w:lineRule="auto"/>
              <w:jc w:val="center"/>
              <w:rPr>
                <w:rFonts w:ascii="宋体" w:hAnsi="宋体"/>
                <w:szCs w:val="20"/>
                <w:highlight w:val="none"/>
              </w:rPr>
            </w:pPr>
          </w:p>
        </w:tc>
        <w:tc>
          <w:tcPr>
            <w:tcW w:w="1174" w:type="dxa"/>
            <w:vAlign w:val="center"/>
          </w:tcPr>
          <w:p w14:paraId="425DFA3C">
            <w:pPr>
              <w:spacing w:line="360" w:lineRule="auto"/>
              <w:jc w:val="center"/>
              <w:rPr>
                <w:rFonts w:ascii="宋体" w:hAnsi="宋体"/>
                <w:szCs w:val="20"/>
                <w:highlight w:val="none"/>
              </w:rPr>
            </w:pPr>
          </w:p>
        </w:tc>
      </w:tr>
      <w:tr w14:paraId="1C15C1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889" w:type="dxa"/>
            <w:vMerge w:val="continue"/>
            <w:vAlign w:val="center"/>
          </w:tcPr>
          <w:p w14:paraId="39BF663C">
            <w:pPr>
              <w:spacing w:line="360" w:lineRule="auto"/>
              <w:jc w:val="center"/>
              <w:rPr>
                <w:rFonts w:ascii="宋体" w:hAnsi="宋体"/>
                <w:szCs w:val="20"/>
                <w:highlight w:val="none"/>
              </w:rPr>
            </w:pPr>
          </w:p>
        </w:tc>
        <w:tc>
          <w:tcPr>
            <w:tcW w:w="1440" w:type="dxa"/>
            <w:vMerge w:val="continue"/>
            <w:vAlign w:val="center"/>
          </w:tcPr>
          <w:p w14:paraId="50DAB59A">
            <w:pPr>
              <w:spacing w:line="360" w:lineRule="auto"/>
              <w:jc w:val="center"/>
              <w:rPr>
                <w:rFonts w:ascii="宋体" w:hAnsi="宋体"/>
                <w:szCs w:val="20"/>
                <w:highlight w:val="none"/>
              </w:rPr>
            </w:pPr>
          </w:p>
        </w:tc>
        <w:tc>
          <w:tcPr>
            <w:tcW w:w="3600" w:type="dxa"/>
            <w:vAlign w:val="center"/>
          </w:tcPr>
          <w:p w14:paraId="5CAC97FE">
            <w:pPr>
              <w:spacing w:line="360" w:lineRule="auto"/>
              <w:rPr>
                <w:rFonts w:ascii="宋体" w:hAnsi="宋体"/>
                <w:spacing w:val="5"/>
                <w:szCs w:val="20"/>
                <w:highlight w:val="none"/>
              </w:rPr>
            </w:pPr>
            <w:r>
              <w:rPr>
                <w:rFonts w:hint="eastAsia" w:ascii="宋体" w:hAnsi="宋体"/>
                <w:spacing w:val="5"/>
                <w:szCs w:val="20"/>
                <w:highlight w:val="none"/>
              </w:rPr>
              <w:t>通球试验</w:t>
            </w:r>
          </w:p>
        </w:tc>
        <w:tc>
          <w:tcPr>
            <w:tcW w:w="680" w:type="dxa"/>
            <w:vAlign w:val="center"/>
          </w:tcPr>
          <w:p w14:paraId="705EFB27">
            <w:pPr>
              <w:spacing w:line="360" w:lineRule="auto"/>
              <w:jc w:val="center"/>
              <w:rPr>
                <w:rFonts w:ascii="宋体" w:hAnsi="宋体"/>
                <w:szCs w:val="20"/>
                <w:highlight w:val="none"/>
              </w:rPr>
            </w:pPr>
          </w:p>
        </w:tc>
        <w:tc>
          <w:tcPr>
            <w:tcW w:w="600" w:type="dxa"/>
            <w:vAlign w:val="center"/>
          </w:tcPr>
          <w:p w14:paraId="626D6510">
            <w:pPr>
              <w:spacing w:line="360" w:lineRule="auto"/>
              <w:jc w:val="center"/>
              <w:rPr>
                <w:rFonts w:ascii="宋体" w:hAnsi="宋体"/>
                <w:szCs w:val="20"/>
                <w:highlight w:val="none"/>
              </w:rPr>
            </w:pPr>
          </w:p>
        </w:tc>
        <w:tc>
          <w:tcPr>
            <w:tcW w:w="600" w:type="dxa"/>
            <w:vAlign w:val="center"/>
          </w:tcPr>
          <w:p w14:paraId="607A8F2B">
            <w:pPr>
              <w:numPr>
                <w:ilvl w:val="0"/>
                <w:numId w:val="7"/>
              </w:numPr>
              <w:spacing w:line="360" w:lineRule="auto"/>
              <w:jc w:val="center"/>
              <w:rPr>
                <w:rFonts w:ascii="宋体" w:hAnsi="宋体"/>
                <w:szCs w:val="20"/>
                <w:highlight w:val="none"/>
              </w:rPr>
            </w:pPr>
          </w:p>
        </w:tc>
        <w:tc>
          <w:tcPr>
            <w:tcW w:w="1174" w:type="dxa"/>
            <w:vAlign w:val="center"/>
          </w:tcPr>
          <w:p w14:paraId="017F6C94">
            <w:pPr>
              <w:spacing w:line="360" w:lineRule="auto"/>
              <w:jc w:val="center"/>
              <w:rPr>
                <w:rFonts w:ascii="宋体" w:hAnsi="宋体"/>
                <w:szCs w:val="20"/>
                <w:highlight w:val="none"/>
              </w:rPr>
            </w:pPr>
          </w:p>
        </w:tc>
      </w:tr>
      <w:tr w14:paraId="08010D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889" w:type="dxa"/>
            <w:vMerge w:val="continue"/>
            <w:vAlign w:val="center"/>
          </w:tcPr>
          <w:p w14:paraId="07444381">
            <w:pPr>
              <w:spacing w:line="360" w:lineRule="auto"/>
              <w:jc w:val="center"/>
              <w:rPr>
                <w:rFonts w:ascii="宋体" w:hAnsi="宋体"/>
                <w:szCs w:val="20"/>
                <w:highlight w:val="none"/>
              </w:rPr>
            </w:pPr>
          </w:p>
        </w:tc>
        <w:tc>
          <w:tcPr>
            <w:tcW w:w="1440" w:type="dxa"/>
            <w:vMerge w:val="continue"/>
            <w:vAlign w:val="center"/>
          </w:tcPr>
          <w:p w14:paraId="4E4B68CE">
            <w:pPr>
              <w:spacing w:line="360" w:lineRule="auto"/>
              <w:jc w:val="center"/>
              <w:rPr>
                <w:rFonts w:ascii="宋体" w:hAnsi="宋体"/>
                <w:szCs w:val="20"/>
                <w:highlight w:val="none"/>
              </w:rPr>
            </w:pPr>
          </w:p>
        </w:tc>
        <w:tc>
          <w:tcPr>
            <w:tcW w:w="3600" w:type="dxa"/>
            <w:vAlign w:val="center"/>
          </w:tcPr>
          <w:p w14:paraId="48DDB0B5">
            <w:pPr>
              <w:spacing w:line="360" w:lineRule="auto"/>
              <w:rPr>
                <w:rFonts w:ascii="宋体" w:hAnsi="宋体"/>
                <w:spacing w:val="5"/>
                <w:szCs w:val="20"/>
                <w:highlight w:val="none"/>
              </w:rPr>
            </w:pPr>
            <w:r>
              <w:rPr>
                <w:rFonts w:hint="eastAsia" w:ascii="宋体" w:hAnsi="宋体"/>
                <w:spacing w:val="5"/>
                <w:szCs w:val="20"/>
                <w:highlight w:val="none"/>
              </w:rPr>
              <w:t>水压试验</w:t>
            </w:r>
          </w:p>
        </w:tc>
        <w:tc>
          <w:tcPr>
            <w:tcW w:w="680" w:type="dxa"/>
            <w:vAlign w:val="center"/>
          </w:tcPr>
          <w:p w14:paraId="22A87A01">
            <w:pPr>
              <w:numPr>
                <w:ilvl w:val="0"/>
                <w:numId w:val="7"/>
              </w:numPr>
              <w:spacing w:line="360" w:lineRule="auto"/>
              <w:jc w:val="center"/>
              <w:rPr>
                <w:rFonts w:ascii="宋体" w:hAnsi="宋体"/>
                <w:szCs w:val="20"/>
                <w:highlight w:val="none"/>
              </w:rPr>
            </w:pPr>
          </w:p>
        </w:tc>
        <w:tc>
          <w:tcPr>
            <w:tcW w:w="600" w:type="dxa"/>
            <w:vAlign w:val="center"/>
          </w:tcPr>
          <w:p w14:paraId="19C45ED7">
            <w:pPr>
              <w:spacing w:line="360" w:lineRule="auto"/>
              <w:jc w:val="center"/>
              <w:rPr>
                <w:rFonts w:ascii="宋体" w:hAnsi="宋体"/>
                <w:szCs w:val="20"/>
                <w:highlight w:val="none"/>
              </w:rPr>
            </w:pPr>
          </w:p>
        </w:tc>
        <w:tc>
          <w:tcPr>
            <w:tcW w:w="600" w:type="dxa"/>
            <w:vAlign w:val="center"/>
          </w:tcPr>
          <w:p w14:paraId="4BDD51FC">
            <w:pPr>
              <w:spacing w:line="360" w:lineRule="auto"/>
              <w:jc w:val="center"/>
              <w:rPr>
                <w:rFonts w:ascii="宋体" w:hAnsi="宋体"/>
                <w:szCs w:val="20"/>
                <w:highlight w:val="none"/>
              </w:rPr>
            </w:pPr>
          </w:p>
        </w:tc>
        <w:tc>
          <w:tcPr>
            <w:tcW w:w="1174" w:type="dxa"/>
            <w:vAlign w:val="center"/>
          </w:tcPr>
          <w:p w14:paraId="22C171EE">
            <w:pPr>
              <w:spacing w:line="360" w:lineRule="auto"/>
              <w:jc w:val="center"/>
              <w:rPr>
                <w:rFonts w:ascii="宋体" w:hAnsi="宋体"/>
                <w:szCs w:val="20"/>
                <w:highlight w:val="none"/>
              </w:rPr>
            </w:pPr>
          </w:p>
        </w:tc>
      </w:tr>
      <w:tr w14:paraId="48CA32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889" w:type="dxa"/>
            <w:vAlign w:val="center"/>
          </w:tcPr>
          <w:p w14:paraId="63022EA4">
            <w:pPr>
              <w:spacing w:line="360" w:lineRule="auto"/>
              <w:jc w:val="center"/>
              <w:rPr>
                <w:rFonts w:ascii="宋体" w:hAnsi="宋体"/>
                <w:szCs w:val="20"/>
                <w:highlight w:val="none"/>
              </w:rPr>
            </w:pPr>
            <w:r>
              <w:rPr>
                <w:rFonts w:hint="eastAsia" w:ascii="宋体" w:hAnsi="宋体"/>
                <w:szCs w:val="20"/>
                <w:highlight w:val="none"/>
              </w:rPr>
              <w:t>3</w:t>
            </w:r>
          </w:p>
        </w:tc>
        <w:tc>
          <w:tcPr>
            <w:tcW w:w="1440" w:type="dxa"/>
            <w:vAlign w:val="center"/>
          </w:tcPr>
          <w:p w14:paraId="3CEDCE42">
            <w:pPr>
              <w:spacing w:line="360" w:lineRule="auto"/>
              <w:jc w:val="center"/>
              <w:rPr>
                <w:rFonts w:ascii="宋体" w:hAnsi="宋体"/>
                <w:szCs w:val="20"/>
                <w:highlight w:val="none"/>
              </w:rPr>
            </w:pPr>
            <w:r>
              <w:rPr>
                <w:rFonts w:hint="eastAsia" w:ascii="宋体" w:hAnsi="宋体"/>
                <w:szCs w:val="20"/>
                <w:highlight w:val="none"/>
              </w:rPr>
              <w:t>完工检查</w:t>
            </w:r>
          </w:p>
        </w:tc>
        <w:tc>
          <w:tcPr>
            <w:tcW w:w="3600" w:type="dxa"/>
            <w:vAlign w:val="center"/>
          </w:tcPr>
          <w:p w14:paraId="31CD1F57">
            <w:pPr>
              <w:spacing w:line="360" w:lineRule="auto"/>
              <w:rPr>
                <w:rFonts w:ascii="宋体" w:hAnsi="宋体"/>
                <w:szCs w:val="20"/>
                <w:highlight w:val="none"/>
              </w:rPr>
            </w:pPr>
            <w:r>
              <w:rPr>
                <w:rFonts w:hint="eastAsia" w:ascii="宋体" w:hAnsi="宋体"/>
                <w:szCs w:val="20"/>
                <w:highlight w:val="none"/>
              </w:rPr>
              <w:t>完工检查及油漆包装</w:t>
            </w:r>
          </w:p>
        </w:tc>
        <w:tc>
          <w:tcPr>
            <w:tcW w:w="680" w:type="dxa"/>
            <w:vAlign w:val="center"/>
          </w:tcPr>
          <w:p w14:paraId="229865E9">
            <w:pPr>
              <w:spacing w:line="360" w:lineRule="auto"/>
              <w:jc w:val="center"/>
              <w:rPr>
                <w:rFonts w:ascii="宋体" w:hAnsi="宋体"/>
                <w:szCs w:val="20"/>
                <w:highlight w:val="none"/>
              </w:rPr>
            </w:pPr>
          </w:p>
        </w:tc>
        <w:tc>
          <w:tcPr>
            <w:tcW w:w="600" w:type="dxa"/>
            <w:vAlign w:val="center"/>
          </w:tcPr>
          <w:p w14:paraId="537D75B6">
            <w:pPr>
              <w:numPr>
                <w:ilvl w:val="0"/>
                <w:numId w:val="7"/>
              </w:numPr>
              <w:spacing w:line="360" w:lineRule="auto"/>
              <w:jc w:val="center"/>
              <w:rPr>
                <w:rFonts w:ascii="宋体" w:hAnsi="宋体"/>
                <w:szCs w:val="20"/>
                <w:highlight w:val="none"/>
              </w:rPr>
            </w:pPr>
          </w:p>
        </w:tc>
        <w:tc>
          <w:tcPr>
            <w:tcW w:w="600" w:type="dxa"/>
            <w:vAlign w:val="center"/>
          </w:tcPr>
          <w:p w14:paraId="161E74B8">
            <w:pPr>
              <w:spacing w:line="360" w:lineRule="auto"/>
              <w:jc w:val="center"/>
              <w:rPr>
                <w:rFonts w:ascii="宋体" w:hAnsi="宋体"/>
                <w:szCs w:val="20"/>
                <w:highlight w:val="none"/>
              </w:rPr>
            </w:pPr>
          </w:p>
        </w:tc>
        <w:tc>
          <w:tcPr>
            <w:tcW w:w="1174" w:type="dxa"/>
            <w:vAlign w:val="center"/>
          </w:tcPr>
          <w:p w14:paraId="79BF22E2">
            <w:pPr>
              <w:spacing w:line="360" w:lineRule="auto"/>
              <w:jc w:val="center"/>
              <w:rPr>
                <w:rFonts w:ascii="宋体" w:hAnsi="宋体"/>
                <w:szCs w:val="20"/>
                <w:highlight w:val="none"/>
              </w:rPr>
            </w:pPr>
          </w:p>
        </w:tc>
      </w:tr>
      <w:tr w14:paraId="304494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889" w:type="dxa"/>
            <w:vAlign w:val="center"/>
          </w:tcPr>
          <w:p w14:paraId="31F78AE7">
            <w:pPr>
              <w:spacing w:line="360" w:lineRule="auto"/>
              <w:jc w:val="center"/>
              <w:rPr>
                <w:rFonts w:ascii="宋体" w:hAnsi="宋体"/>
                <w:szCs w:val="20"/>
                <w:highlight w:val="none"/>
              </w:rPr>
            </w:pPr>
          </w:p>
        </w:tc>
        <w:tc>
          <w:tcPr>
            <w:tcW w:w="1440" w:type="dxa"/>
            <w:vAlign w:val="center"/>
          </w:tcPr>
          <w:p w14:paraId="13D3D031">
            <w:pPr>
              <w:spacing w:line="360" w:lineRule="auto"/>
              <w:jc w:val="center"/>
              <w:rPr>
                <w:rFonts w:ascii="宋体" w:hAnsi="宋体"/>
                <w:szCs w:val="20"/>
                <w:highlight w:val="none"/>
              </w:rPr>
            </w:pPr>
          </w:p>
        </w:tc>
        <w:tc>
          <w:tcPr>
            <w:tcW w:w="3600" w:type="dxa"/>
            <w:vAlign w:val="center"/>
          </w:tcPr>
          <w:p w14:paraId="5D19CFEC">
            <w:pPr>
              <w:spacing w:line="360" w:lineRule="auto"/>
              <w:rPr>
                <w:rFonts w:ascii="宋体" w:hAnsi="宋体"/>
                <w:szCs w:val="20"/>
                <w:highlight w:val="none"/>
              </w:rPr>
            </w:pPr>
          </w:p>
        </w:tc>
        <w:tc>
          <w:tcPr>
            <w:tcW w:w="680" w:type="dxa"/>
            <w:vAlign w:val="center"/>
          </w:tcPr>
          <w:p w14:paraId="31A79F82">
            <w:pPr>
              <w:spacing w:line="360" w:lineRule="auto"/>
              <w:jc w:val="center"/>
              <w:rPr>
                <w:rFonts w:ascii="宋体" w:hAnsi="宋体"/>
                <w:szCs w:val="20"/>
                <w:highlight w:val="none"/>
              </w:rPr>
            </w:pPr>
          </w:p>
        </w:tc>
        <w:tc>
          <w:tcPr>
            <w:tcW w:w="600" w:type="dxa"/>
            <w:vAlign w:val="center"/>
          </w:tcPr>
          <w:p w14:paraId="09F5A958">
            <w:pPr>
              <w:spacing w:line="360" w:lineRule="auto"/>
              <w:jc w:val="center"/>
              <w:rPr>
                <w:rFonts w:ascii="宋体" w:hAnsi="宋体"/>
                <w:szCs w:val="20"/>
                <w:highlight w:val="none"/>
              </w:rPr>
            </w:pPr>
          </w:p>
        </w:tc>
        <w:tc>
          <w:tcPr>
            <w:tcW w:w="600" w:type="dxa"/>
            <w:vAlign w:val="center"/>
          </w:tcPr>
          <w:p w14:paraId="55A09ADF">
            <w:pPr>
              <w:spacing w:line="360" w:lineRule="auto"/>
              <w:jc w:val="center"/>
              <w:rPr>
                <w:rFonts w:ascii="宋体" w:hAnsi="宋体"/>
                <w:szCs w:val="20"/>
                <w:highlight w:val="none"/>
              </w:rPr>
            </w:pPr>
          </w:p>
        </w:tc>
        <w:tc>
          <w:tcPr>
            <w:tcW w:w="1174" w:type="dxa"/>
            <w:vAlign w:val="center"/>
          </w:tcPr>
          <w:p w14:paraId="35A40426">
            <w:pPr>
              <w:spacing w:line="360" w:lineRule="auto"/>
              <w:jc w:val="center"/>
              <w:rPr>
                <w:rFonts w:ascii="宋体" w:hAnsi="宋体"/>
                <w:szCs w:val="20"/>
                <w:highlight w:val="none"/>
              </w:rPr>
            </w:pPr>
          </w:p>
        </w:tc>
      </w:tr>
      <w:tr w14:paraId="0B38A7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8983" w:type="dxa"/>
            <w:gridSpan w:val="7"/>
            <w:vAlign w:val="center"/>
          </w:tcPr>
          <w:p w14:paraId="5DC0F568">
            <w:pPr>
              <w:spacing w:line="360" w:lineRule="auto"/>
              <w:rPr>
                <w:rFonts w:ascii="宋体" w:hAnsi="宋体"/>
                <w:szCs w:val="20"/>
                <w:highlight w:val="none"/>
              </w:rPr>
            </w:pPr>
            <w:r>
              <w:rPr>
                <w:rFonts w:hint="eastAsia" w:ascii="宋体" w:hAnsi="宋体"/>
                <w:szCs w:val="20"/>
                <w:highlight w:val="none"/>
              </w:rPr>
              <w:t>注：</w:t>
            </w:r>
            <w:r>
              <w:rPr>
                <w:rFonts w:ascii="宋体" w:hAnsi="宋体"/>
                <w:szCs w:val="20"/>
                <w:highlight w:val="none"/>
              </w:rPr>
              <w:t>H</w:t>
            </w:r>
            <w:r>
              <w:rPr>
                <w:rFonts w:hint="eastAsia" w:ascii="宋体" w:hAnsi="宋体"/>
                <w:szCs w:val="20"/>
                <w:highlight w:val="none"/>
              </w:rPr>
              <w:t>—停工待检，</w:t>
            </w:r>
            <w:r>
              <w:rPr>
                <w:rFonts w:ascii="宋体" w:hAnsi="宋体"/>
                <w:szCs w:val="20"/>
                <w:highlight w:val="none"/>
              </w:rPr>
              <w:t>W</w:t>
            </w:r>
            <w:r>
              <w:rPr>
                <w:rFonts w:hint="eastAsia" w:ascii="宋体" w:hAnsi="宋体"/>
                <w:szCs w:val="20"/>
                <w:highlight w:val="none"/>
              </w:rPr>
              <w:t>—现场见证，</w:t>
            </w:r>
            <w:r>
              <w:rPr>
                <w:rFonts w:ascii="宋体" w:hAnsi="宋体"/>
                <w:szCs w:val="20"/>
                <w:highlight w:val="none"/>
              </w:rPr>
              <w:t>R</w:t>
            </w:r>
            <w:r>
              <w:rPr>
                <w:rFonts w:hint="eastAsia" w:ascii="宋体" w:hAnsi="宋体"/>
                <w:szCs w:val="20"/>
                <w:highlight w:val="none"/>
              </w:rPr>
              <w:t>—文件见证</w:t>
            </w:r>
          </w:p>
        </w:tc>
      </w:tr>
    </w:tbl>
    <w:p w14:paraId="33CBEA20">
      <w:pPr>
        <w:spacing w:line="360" w:lineRule="auto"/>
        <w:rPr>
          <w:rFonts w:ascii="宋体" w:hAnsi="宋体"/>
          <w:szCs w:val="20"/>
          <w:highlight w:val="none"/>
        </w:rPr>
      </w:pPr>
      <w:r>
        <w:rPr>
          <w:rFonts w:hint="eastAsia" w:ascii="宋体" w:hAnsi="宋体"/>
          <w:szCs w:val="20"/>
          <w:highlight w:val="none"/>
        </w:rPr>
        <w:t>3.4  投标人配合监造的要求</w:t>
      </w:r>
    </w:p>
    <w:p w14:paraId="45A222E0">
      <w:pPr>
        <w:spacing w:line="360" w:lineRule="auto"/>
        <w:rPr>
          <w:rFonts w:ascii="宋体" w:hAnsi="宋体"/>
          <w:spacing w:val="5"/>
          <w:szCs w:val="20"/>
          <w:highlight w:val="none"/>
        </w:rPr>
      </w:pPr>
      <w:r>
        <w:rPr>
          <w:rFonts w:hint="eastAsia" w:ascii="宋体" w:hAnsi="宋体"/>
          <w:szCs w:val="20"/>
          <w:highlight w:val="none"/>
        </w:rPr>
        <w:t>投标人</w:t>
      </w:r>
      <w:r>
        <w:rPr>
          <w:rFonts w:hint="eastAsia" w:ascii="宋体" w:hAnsi="宋体"/>
          <w:spacing w:val="5"/>
          <w:szCs w:val="20"/>
          <w:highlight w:val="none"/>
        </w:rPr>
        <w:t>为招标人提供以下方便：</w:t>
      </w:r>
    </w:p>
    <w:p w14:paraId="2E39BA8E">
      <w:pPr>
        <w:spacing w:line="360" w:lineRule="auto"/>
        <w:rPr>
          <w:rFonts w:ascii="宋体" w:hAnsi="宋体"/>
          <w:szCs w:val="20"/>
          <w:highlight w:val="none"/>
        </w:rPr>
      </w:pPr>
      <w:r>
        <w:rPr>
          <w:rFonts w:hint="eastAsia" w:ascii="宋体" w:hAnsi="宋体"/>
          <w:szCs w:val="20"/>
          <w:highlight w:val="none"/>
        </w:rPr>
        <w:t xml:space="preserve"> (1)有配合招标人监造的义务，并及时提供相关资料，并不由此发生任何费用。</w:t>
      </w:r>
    </w:p>
    <w:p w14:paraId="38D6B621">
      <w:pPr>
        <w:spacing w:line="360" w:lineRule="auto"/>
        <w:rPr>
          <w:rFonts w:ascii="宋体" w:hAnsi="宋体"/>
          <w:szCs w:val="20"/>
          <w:highlight w:val="none"/>
        </w:rPr>
      </w:pPr>
      <w:r>
        <w:rPr>
          <w:rFonts w:hint="eastAsia" w:ascii="宋体" w:hAnsi="宋体"/>
          <w:szCs w:val="20"/>
          <w:highlight w:val="none"/>
        </w:rPr>
        <w:t xml:space="preserve"> (2)给招标人监造代表提供工作、生活方便。</w:t>
      </w:r>
    </w:p>
    <w:p w14:paraId="4B148F9B">
      <w:pPr>
        <w:spacing w:line="360" w:lineRule="auto"/>
        <w:rPr>
          <w:rFonts w:ascii="宋体" w:hAnsi="宋体"/>
          <w:spacing w:val="5"/>
          <w:szCs w:val="20"/>
          <w:highlight w:val="none"/>
        </w:rPr>
      </w:pPr>
      <w:r>
        <w:rPr>
          <w:rFonts w:hint="eastAsia" w:ascii="宋体" w:hAnsi="宋体"/>
          <w:spacing w:val="5"/>
          <w:szCs w:val="20"/>
          <w:highlight w:val="none"/>
        </w:rPr>
        <w:t>（3）提前10天将设备监造项目及检验时间通知招标人监造代表和招标人，监造项目和方式由</w:t>
      </w:r>
      <w:r>
        <w:rPr>
          <w:rFonts w:hint="eastAsia" w:ascii="宋体" w:hAnsi="宋体"/>
          <w:szCs w:val="20"/>
          <w:highlight w:val="none"/>
        </w:rPr>
        <w:t>投标人</w:t>
      </w:r>
      <w:r>
        <w:rPr>
          <w:rFonts w:hint="eastAsia" w:ascii="宋体" w:hAnsi="宋体"/>
          <w:spacing w:val="5"/>
          <w:szCs w:val="20"/>
          <w:highlight w:val="none"/>
        </w:rPr>
        <w:t>、招标人监造代表、招标人三方协商确定；</w:t>
      </w:r>
    </w:p>
    <w:p w14:paraId="1C1B3681">
      <w:pPr>
        <w:spacing w:line="360" w:lineRule="auto"/>
        <w:rPr>
          <w:rFonts w:ascii="宋体" w:hAnsi="宋体"/>
          <w:spacing w:val="5"/>
          <w:szCs w:val="20"/>
          <w:highlight w:val="none"/>
        </w:rPr>
      </w:pPr>
      <w:r>
        <w:rPr>
          <w:rFonts w:hint="eastAsia" w:ascii="宋体" w:hAnsi="宋体"/>
          <w:spacing w:val="5"/>
          <w:szCs w:val="20"/>
          <w:highlight w:val="none"/>
        </w:rPr>
        <w:t>（4）招标人</w:t>
      </w:r>
      <w:r>
        <w:rPr>
          <w:rFonts w:hint="eastAsia" w:ascii="宋体" w:hAnsi="宋体"/>
          <w:szCs w:val="20"/>
          <w:highlight w:val="none"/>
        </w:rPr>
        <w:t>或其</w:t>
      </w:r>
      <w:r>
        <w:rPr>
          <w:rFonts w:hint="eastAsia" w:ascii="宋体" w:hAnsi="宋体"/>
          <w:spacing w:val="5"/>
          <w:szCs w:val="20"/>
          <w:highlight w:val="none"/>
        </w:rPr>
        <w:t>监造代表有权通过</w:t>
      </w:r>
      <w:r>
        <w:rPr>
          <w:rFonts w:hint="eastAsia" w:ascii="宋体" w:hAnsi="宋体"/>
          <w:szCs w:val="20"/>
          <w:highlight w:val="none"/>
        </w:rPr>
        <w:t>投标人</w:t>
      </w:r>
      <w:r>
        <w:rPr>
          <w:rFonts w:hint="eastAsia" w:ascii="宋体" w:hAnsi="宋体"/>
          <w:spacing w:val="5"/>
          <w:szCs w:val="20"/>
          <w:highlight w:val="none"/>
        </w:rPr>
        <w:t>有关部门查（借）阅合同与标的物有关的标准、图纸、资料、工艺及检验记录（包括之间检验记录），如招标人</w:t>
      </w:r>
      <w:r>
        <w:rPr>
          <w:rFonts w:hint="eastAsia" w:ascii="宋体" w:hAnsi="宋体"/>
          <w:szCs w:val="20"/>
          <w:highlight w:val="none"/>
        </w:rPr>
        <w:t>或其监造代表</w:t>
      </w:r>
      <w:r>
        <w:rPr>
          <w:rFonts w:hint="eastAsia" w:ascii="宋体" w:hAnsi="宋体"/>
          <w:spacing w:val="5"/>
          <w:szCs w:val="20"/>
          <w:highlight w:val="none"/>
        </w:rPr>
        <w:t>认为有必要复印，</w:t>
      </w:r>
      <w:r>
        <w:rPr>
          <w:rFonts w:hint="eastAsia" w:ascii="宋体" w:hAnsi="宋体"/>
          <w:szCs w:val="20"/>
          <w:highlight w:val="none"/>
        </w:rPr>
        <w:t>投标人</w:t>
      </w:r>
      <w:r>
        <w:rPr>
          <w:rFonts w:hint="eastAsia" w:ascii="宋体" w:hAnsi="宋体"/>
          <w:spacing w:val="5"/>
          <w:szCs w:val="20"/>
          <w:highlight w:val="none"/>
        </w:rPr>
        <w:t>应提供方便。</w:t>
      </w:r>
    </w:p>
    <w:p w14:paraId="7E9771BC">
      <w:pPr>
        <w:spacing w:line="360" w:lineRule="auto"/>
        <w:rPr>
          <w:rFonts w:ascii="宋体" w:hAnsi="宋体"/>
          <w:spacing w:val="5"/>
          <w:szCs w:val="20"/>
          <w:highlight w:val="none"/>
        </w:rPr>
      </w:pPr>
      <w:r>
        <w:rPr>
          <w:rFonts w:hint="eastAsia" w:ascii="宋体" w:hAnsi="宋体"/>
          <w:spacing w:val="5"/>
          <w:szCs w:val="20"/>
          <w:highlight w:val="none"/>
        </w:rPr>
        <w:t>（5）招标人</w:t>
      </w:r>
      <w:r>
        <w:rPr>
          <w:rFonts w:hint="eastAsia" w:ascii="宋体" w:hAnsi="宋体"/>
          <w:szCs w:val="20"/>
          <w:highlight w:val="none"/>
        </w:rPr>
        <w:t>或其监造代表</w:t>
      </w:r>
      <w:r>
        <w:rPr>
          <w:rFonts w:hint="eastAsia" w:ascii="宋体" w:hAnsi="宋体"/>
          <w:spacing w:val="5"/>
          <w:szCs w:val="20"/>
          <w:highlight w:val="none"/>
        </w:rPr>
        <w:t>在监造过程中如发现设备和材料缺陷或不符合规定的标准要求时，有权提出意见，</w:t>
      </w:r>
      <w:r>
        <w:rPr>
          <w:rFonts w:hint="eastAsia" w:ascii="宋体" w:hAnsi="宋体"/>
          <w:szCs w:val="20"/>
          <w:highlight w:val="none"/>
        </w:rPr>
        <w:t>投标人</w:t>
      </w:r>
      <w:r>
        <w:rPr>
          <w:rFonts w:hint="eastAsia" w:ascii="宋体" w:hAnsi="宋体"/>
          <w:spacing w:val="5"/>
          <w:szCs w:val="20"/>
          <w:highlight w:val="none"/>
        </w:rPr>
        <w:t>应采取相应改进措施，以保证设备质量。无论招标人</w:t>
      </w:r>
      <w:r>
        <w:rPr>
          <w:rFonts w:hint="eastAsia" w:ascii="宋体" w:hAnsi="宋体"/>
          <w:szCs w:val="20"/>
          <w:highlight w:val="none"/>
        </w:rPr>
        <w:t>或其监造代表</w:t>
      </w:r>
      <w:r>
        <w:rPr>
          <w:rFonts w:hint="eastAsia" w:ascii="宋体" w:hAnsi="宋体"/>
          <w:spacing w:val="5"/>
          <w:szCs w:val="20"/>
          <w:highlight w:val="none"/>
        </w:rPr>
        <w:t>是否要求和知道，均应主动及时向招标人</w:t>
      </w:r>
      <w:r>
        <w:rPr>
          <w:rFonts w:hint="eastAsia" w:ascii="宋体" w:hAnsi="宋体"/>
          <w:szCs w:val="20"/>
          <w:highlight w:val="none"/>
        </w:rPr>
        <w:t>或其监造代表</w:t>
      </w:r>
      <w:r>
        <w:rPr>
          <w:rFonts w:hint="eastAsia" w:ascii="宋体" w:hAnsi="宋体"/>
          <w:spacing w:val="5"/>
          <w:szCs w:val="20"/>
          <w:highlight w:val="none"/>
        </w:rPr>
        <w:t>提供标的物制造过程中出现的较大的质量缺陷和问题，不得隐瞒。在招标人</w:t>
      </w:r>
      <w:r>
        <w:rPr>
          <w:rFonts w:hint="eastAsia" w:ascii="宋体" w:hAnsi="宋体"/>
          <w:szCs w:val="20"/>
          <w:highlight w:val="none"/>
        </w:rPr>
        <w:t>或其监造代表</w:t>
      </w:r>
      <w:r>
        <w:rPr>
          <w:rFonts w:hint="eastAsia" w:ascii="宋体" w:hAnsi="宋体"/>
          <w:spacing w:val="5"/>
          <w:szCs w:val="20"/>
          <w:highlight w:val="none"/>
        </w:rPr>
        <w:t>不知道的情况下不擅自处理。</w:t>
      </w:r>
    </w:p>
    <w:p w14:paraId="28A14435">
      <w:pPr>
        <w:spacing w:line="360" w:lineRule="auto"/>
        <w:rPr>
          <w:rFonts w:ascii="宋体" w:hAnsi="宋体"/>
          <w:spacing w:val="5"/>
          <w:szCs w:val="20"/>
          <w:highlight w:val="none"/>
        </w:rPr>
      </w:pPr>
      <w:r>
        <w:rPr>
          <w:rFonts w:hint="eastAsia" w:ascii="宋体" w:hAnsi="宋体"/>
          <w:spacing w:val="5"/>
          <w:szCs w:val="20"/>
          <w:highlight w:val="none"/>
        </w:rPr>
        <w:t>（6）招标人监造代表有权随时到车间检查设备生产及设备质量情况。</w:t>
      </w:r>
    </w:p>
    <w:p w14:paraId="0CE04BCB">
      <w:pPr>
        <w:spacing w:line="360" w:lineRule="auto"/>
        <w:rPr>
          <w:rFonts w:ascii="宋体" w:hAnsi="宋体"/>
          <w:spacing w:val="5"/>
          <w:szCs w:val="20"/>
          <w:highlight w:val="none"/>
        </w:rPr>
      </w:pPr>
      <w:r>
        <w:rPr>
          <w:rFonts w:hint="eastAsia" w:ascii="宋体" w:hAnsi="宋体"/>
          <w:szCs w:val="20"/>
          <w:highlight w:val="none"/>
        </w:rPr>
        <w:t xml:space="preserve"> (7)在见证后十天内将有关检查或试验记录或报告资料提供给招标人监造代表</w:t>
      </w:r>
      <w:r>
        <w:rPr>
          <w:rFonts w:hint="eastAsia" w:ascii="宋体" w:hAnsi="宋体"/>
          <w:spacing w:val="5"/>
          <w:szCs w:val="20"/>
          <w:highlight w:val="none"/>
        </w:rPr>
        <w:t>。</w:t>
      </w:r>
    </w:p>
    <w:p w14:paraId="0E5268F0">
      <w:pPr>
        <w:spacing w:line="360" w:lineRule="auto"/>
        <w:rPr>
          <w:rFonts w:ascii="宋体" w:hAnsi="宋体"/>
          <w:highlight w:val="none"/>
        </w:rPr>
      </w:pPr>
    </w:p>
    <w:p w14:paraId="51E43D20">
      <w:pPr>
        <w:spacing w:line="360" w:lineRule="auto"/>
        <w:rPr>
          <w:rFonts w:ascii="宋体" w:hAnsi="宋体"/>
          <w:highlight w:val="none"/>
        </w:rPr>
      </w:pPr>
      <w:r>
        <w:rPr>
          <w:rFonts w:hint="eastAsia" w:ascii="宋体" w:hAnsi="宋体"/>
          <w:highlight w:val="none"/>
        </w:rPr>
        <w:t>4 验收</w:t>
      </w:r>
    </w:p>
    <w:p w14:paraId="56200A0C">
      <w:pPr>
        <w:spacing w:line="360" w:lineRule="auto"/>
        <w:rPr>
          <w:rFonts w:ascii="宋体" w:hAnsi="宋体"/>
          <w:highlight w:val="none"/>
        </w:rPr>
      </w:pPr>
      <w:r>
        <w:rPr>
          <w:rFonts w:hint="eastAsia" w:ascii="宋体" w:hAnsi="宋体"/>
          <w:highlight w:val="none"/>
        </w:rPr>
        <w:t>4.1 材料试验</w:t>
      </w:r>
    </w:p>
    <w:p w14:paraId="4DCCBDAD">
      <w:pPr>
        <w:spacing w:line="360" w:lineRule="auto"/>
        <w:rPr>
          <w:rFonts w:ascii="宋体" w:hAnsi="宋体"/>
          <w:highlight w:val="none"/>
        </w:rPr>
      </w:pPr>
      <w:r>
        <w:rPr>
          <w:rFonts w:hint="eastAsia" w:ascii="宋体" w:hAnsi="宋体"/>
          <w:highlight w:val="none"/>
        </w:rPr>
        <w:t>招标人按标的物的属性填写材料试验内容或由投标人按其质量保证体系提出材料试验内容，招标人确认。</w:t>
      </w:r>
    </w:p>
    <w:p w14:paraId="1D5B30A4">
      <w:pPr>
        <w:spacing w:line="360" w:lineRule="auto"/>
        <w:rPr>
          <w:rFonts w:ascii="宋体" w:hAnsi="宋体"/>
          <w:highlight w:val="none"/>
        </w:rPr>
      </w:pPr>
      <w:r>
        <w:rPr>
          <w:rFonts w:hint="eastAsia" w:ascii="宋体" w:hAnsi="宋体"/>
          <w:highlight w:val="none"/>
        </w:rPr>
        <w:t>4.2  现场试验</w:t>
      </w:r>
    </w:p>
    <w:p w14:paraId="50954206">
      <w:pPr>
        <w:spacing w:line="360" w:lineRule="auto"/>
        <w:rPr>
          <w:rFonts w:ascii="宋体" w:hAnsi="宋体"/>
          <w:highlight w:val="none"/>
        </w:rPr>
      </w:pPr>
      <w:r>
        <w:rPr>
          <w:rFonts w:hint="eastAsia" w:ascii="宋体" w:hAnsi="宋体"/>
          <w:highlight w:val="none"/>
        </w:rPr>
        <w:t>4.2.1设备安装完毕后，招标人做试验来验证是否达到指定的性能。</w:t>
      </w:r>
    </w:p>
    <w:p w14:paraId="3EFB506F">
      <w:pPr>
        <w:spacing w:line="360" w:lineRule="auto"/>
        <w:rPr>
          <w:rFonts w:ascii="宋体" w:hAnsi="宋体"/>
          <w:highlight w:val="none"/>
        </w:rPr>
      </w:pPr>
      <w:r>
        <w:rPr>
          <w:rFonts w:hint="eastAsia" w:ascii="宋体" w:hAnsi="宋体"/>
          <w:highlight w:val="none"/>
        </w:rPr>
        <w:t>4.2.2在进行现场试验时，投标人安排技术人员参加验证，并协助完成这些试验。</w:t>
      </w:r>
    </w:p>
    <w:p w14:paraId="3E735A8D">
      <w:pPr>
        <w:spacing w:line="360" w:lineRule="auto"/>
        <w:rPr>
          <w:rFonts w:ascii="宋体" w:hAnsi="宋体"/>
          <w:highlight w:val="none"/>
        </w:rPr>
      </w:pPr>
    </w:p>
    <w:p w14:paraId="7C96C4D8">
      <w:pPr>
        <w:spacing w:line="360" w:lineRule="auto"/>
        <w:outlineLvl w:val="0"/>
        <w:rPr>
          <w:sz w:val="30"/>
          <w:szCs w:val="30"/>
          <w:highlight w:val="none"/>
        </w:rPr>
      </w:pPr>
      <w:r>
        <w:rPr>
          <w:rFonts w:ascii="宋体" w:hAnsi="宋体"/>
          <w:highlight w:val="none"/>
        </w:rPr>
        <w:br w:type="page"/>
      </w:r>
      <w:bookmarkStart w:id="156" w:name="_Toc488922627"/>
      <w:bookmarkStart w:id="157" w:name="_Toc515705620"/>
      <w:bookmarkStart w:id="158" w:name="_Toc515622054"/>
      <w:bookmarkStart w:id="159" w:name="_Toc515708315"/>
      <w:bookmarkStart w:id="160" w:name="_Toc286159474"/>
      <w:bookmarkStart w:id="161" w:name="_Toc515785184"/>
      <w:bookmarkStart w:id="162" w:name="_Toc515697899"/>
      <w:bookmarkStart w:id="163" w:name="_Toc515335072"/>
      <w:bookmarkStart w:id="164" w:name="_Toc515727599"/>
      <w:bookmarkStart w:id="165" w:name="_Toc515332013"/>
      <w:bookmarkStart w:id="166" w:name="_Toc19570"/>
      <w:r>
        <w:rPr>
          <w:rFonts w:hint="eastAsia" w:ascii="宋体"/>
          <w:b/>
          <w:kern w:val="44"/>
          <w:sz w:val="30"/>
          <w:szCs w:val="30"/>
          <w:highlight w:val="none"/>
        </w:rPr>
        <w:t>附件</w:t>
      </w:r>
      <w:bookmarkEnd w:id="156"/>
      <w:bookmarkStart w:id="167" w:name="_Hlt515349331"/>
      <w:bookmarkEnd w:id="167"/>
      <w:r>
        <w:rPr>
          <w:rFonts w:hint="eastAsia" w:ascii="宋体"/>
          <w:b/>
          <w:kern w:val="44"/>
          <w:sz w:val="30"/>
          <w:szCs w:val="30"/>
          <w:highlight w:val="none"/>
        </w:rPr>
        <w:t>6 技术服务和联络</w:t>
      </w:r>
      <w:bookmarkEnd w:id="157"/>
      <w:bookmarkEnd w:id="158"/>
      <w:bookmarkEnd w:id="159"/>
      <w:bookmarkEnd w:id="160"/>
      <w:bookmarkEnd w:id="161"/>
      <w:bookmarkEnd w:id="162"/>
      <w:bookmarkEnd w:id="163"/>
      <w:bookmarkEnd w:id="164"/>
      <w:bookmarkEnd w:id="165"/>
      <w:bookmarkEnd w:id="166"/>
      <w:bookmarkStart w:id="168" w:name="_Toc515697900"/>
      <w:bookmarkStart w:id="169" w:name="_Toc515705621"/>
      <w:bookmarkStart w:id="170" w:name="_Toc515785185"/>
      <w:bookmarkStart w:id="171" w:name="_Toc515708316"/>
      <w:bookmarkStart w:id="172" w:name="_Toc515727600"/>
    </w:p>
    <w:p w14:paraId="5B5CE41F">
      <w:pPr>
        <w:pStyle w:val="14"/>
        <w:snapToGrid w:val="0"/>
        <w:spacing w:line="500" w:lineRule="exact"/>
        <w:ind w:firstLine="0"/>
        <w:rPr>
          <w:rFonts w:hAnsi="宋体"/>
          <w:b/>
          <w:bCs/>
          <w:color w:val="auto"/>
          <w:sz w:val="28"/>
          <w:highlight w:val="none"/>
        </w:rPr>
      </w:pPr>
      <w:r>
        <w:rPr>
          <w:rFonts w:hAnsi="宋体"/>
          <w:b/>
          <w:bCs/>
          <w:color w:val="auto"/>
          <w:sz w:val="28"/>
          <w:highlight w:val="none"/>
        </w:rPr>
        <w:t>1.</w:t>
      </w:r>
      <w:r>
        <w:rPr>
          <w:rFonts w:hint="eastAsia" w:hAnsi="宋体"/>
          <w:b/>
          <w:bCs/>
          <w:color w:val="auto"/>
          <w:sz w:val="28"/>
          <w:highlight w:val="none"/>
        </w:rPr>
        <w:t xml:space="preserve"> 投标人现场技术服务</w:t>
      </w:r>
      <w:bookmarkEnd w:id="168"/>
      <w:bookmarkEnd w:id="169"/>
      <w:bookmarkEnd w:id="170"/>
      <w:bookmarkEnd w:id="171"/>
      <w:bookmarkEnd w:id="172"/>
    </w:p>
    <w:p w14:paraId="6C0DC8F8">
      <w:pPr>
        <w:spacing w:line="500" w:lineRule="exact"/>
        <w:rPr>
          <w:highlight w:val="none"/>
        </w:rPr>
      </w:pPr>
      <w:bookmarkStart w:id="173" w:name="_Toc515727601"/>
      <w:bookmarkStart w:id="174" w:name="_Toc515705622"/>
      <w:bookmarkStart w:id="175" w:name="_Toc515708317"/>
      <w:bookmarkStart w:id="176" w:name="_Toc515697901"/>
      <w:bookmarkStart w:id="177" w:name="_Toc515785186"/>
      <w:r>
        <w:rPr>
          <w:highlight w:val="none"/>
        </w:rPr>
        <w:t>1.1</w:t>
      </w:r>
      <w:r>
        <w:rPr>
          <w:highlight w:val="none"/>
        </w:rPr>
        <w:tab/>
      </w:r>
      <w:r>
        <w:rPr>
          <w:rFonts w:hint="eastAsia"/>
          <w:highlight w:val="none"/>
        </w:rPr>
        <w:t>投标人现场服务人员的目的是使所供设备安全、正常投运。投标人要派合格的现场服务人员。在投标阶段应提供包括服务人月数的现场服务计划表（见格式）。如果此人月数不能满足工程需要，投标人要追加人月数，但招标人无须为此支付任何额外费用。</w:t>
      </w:r>
    </w:p>
    <w:p w14:paraId="2378AE15">
      <w:pPr>
        <w:pStyle w:val="14"/>
        <w:snapToGrid w:val="0"/>
        <w:spacing w:line="500" w:lineRule="exact"/>
        <w:ind w:firstLineChars="200"/>
        <w:jc w:val="center"/>
        <w:rPr>
          <w:rFonts w:ascii="Times New Roman"/>
          <w:color w:val="auto"/>
          <w:highlight w:val="none"/>
        </w:rPr>
      </w:pPr>
      <w:r>
        <w:rPr>
          <w:rFonts w:hint="eastAsia" w:ascii="Times New Roman"/>
          <w:color w:val="auto"/>
          <w:highlight w:val="none"/>
        </w:rPr>
        <w:t>现场服务计划表（格式）</w:t>
      </w:r>
    </w:p>
    <w:tbl>
      <w:tblPr>
        <w:tblStyle w:val="25"/>
        <w:tblW w:w="0" w:type="auto"/>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60"/>
        <w:gridCol w:w="1800"/>
        <w:gridCol w:w="1560"/>
        <w:gridCol w:w="1440"/>
        <w:gridCol w:w="1440"/>
        <w:gridCol w:w="1200"/>
      </w:tblGrid>
      <w:tr w14:paraId="238ABF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960" w:type="dxa"/>
            <w:vMerge w:val="restart"/>
            <w:tcBorders>
              <w:top w:val="single" w:color="auto" w:sz="6" w:space="0"/>
              <w:left w:val="single" w:color="auto" w:sz="6" w:space="0"/>
              <w:bottom w:val="nil"/>
              <w:right w:val="single" w:color="auto" w:sz="6" w:space="0"/>
            </w:tcBorders>
            <w:vAlign w:val="center"/>
          </w:tcPr>
          <w:p w14:paraId="020B6520">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序号</w:t>
            </w:r>
          </w:p>
        </w:tc>
        <w:tc>
          <w:tcPr>
            <w:tcW w:w="1800" w:type="dxa"/>
            <w:vMerge w:val="restart"/>
            <w:tcBorders>
              <w:top w:val="single" w:color="auto" w:sz="6" w:space="0"/>
              <w:left w:val="nil"/>
              <w:bottom w:val="nil"/>
              <w:right w:val="single" w:color="auto" w:sz="6" w:space="0"/>
            </w:tcBorders>
            <w:vAlign w:val="center"/>
          </w:tcPr>
          <w:p w14:paraId="159CA1F2">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技术服务内容</w:t>
            </w:r>
          </w:p>
        </w:tc>
        <w:tc>
          <w:tcPr>
            <w:tcW w:w="1560" w:type="dxa"/>
            <w:vMerge w:val="restart"/>
            <w:tcBorders>
              <w:top w:val="single" w:color="auto" w:sz="6" w:space="0"/>
              <w:left w:val="nil"/>
              <w:bottom w:val="nil"/>
              <w:right w:val="single" w:color="auto" w:sz="6" w:space="0"/>
            </w:tcBorders>
            <w:vAlign w:val="center"/>
          </w:tcPr>
          <w:p w14:paraId="420652C2">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计划人月数</w:t>
            </w:r>
          </w:p>
        </w:tc>
        <w:tc>
          <w:tcPr>
            <w:tcW w:w="2880" w:type="dxa"/>
            <w:gridSpan w:val="2"/>
            <w:tcBorders>
              <w:top w:val="single" w:color="auto" w:sz="6" w:space="0"/>
              <w:left w:val="nil"/>
              <w:bottom w:val="single" w:color="auto" w:sz="6" w:space="0"/>
              <w:right w:val="nil"/>
            </w:tcBorders>
          </w:tcPr>
          <w:p w14:paraId="64800FEA">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派出人员构成</w:t>
            </w:r>
          </w:p>
        </w:tc>
        <w:tc>
          <w:tcPr>
            <w:tcW w:w="1200" w:type="dxa"/>
            <w:vMerge w:val="restart"/>
            <w:tcBorders>
              <w:top w:val="single" w:color="auto" w:sz="6" w:space="0"/>
              <w:left w:val="single" w:color="auto" w:sz="6" w:space="0"/>
              <w:bottom w:val="nil"/>
              <w:right w:val="single" w:color="auto" w:sz="6" w:space="0"/>
            </w:tcBorders>
            <w:vAlign w:val="center"/>
          </w:tcPr>
          <w:p w14:paraId="60C5045D">
            <w:pPr>
              <w:pStyle w:val="14"/>
              <w:snapToGrid w:val="0"/>
              <w:spacing w:line="500" w:lineRule="exact"/>
              <w:ind w:leftChars="-11" w:hanging="26" w:hangingChars="11"/>
              <w:jc w:val="center"/>
              <w:rPr>
                <w:rFonts w:ascii="Times New Roman"/>
                <w:color w:val="auto"/>
                <w:highlight w:val="none"/>
              </w:rPr>
            </w:pPr>
            <w:r>
              <w:rPr>
                <w:rFonts w:hint="eastAsia" w:ascii="Times New Roman"/>
                <w:color w:val="auto"/>
                <w:highlight w:val="none"/>
              </w:rPr>
              <w:t>备注</w:t>
            </w:r>
          </w:p>
        </w:tc>
      </w:tr>
      <w:tr w14:paraId="52E282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960" w:type="dxa"/>
            <w:vMerge w:val="continue"/>
            <w:tcBorders>
              <w:top w:val="nil"/>
              <w:left w:val="single" w:color="auto" w:sz="6" w:space="0"/>
              <w:bottom w:val="single" w:color="auto" w:sz="6" w:space="0"/>
              <w:right w:val="single" w:color="auto" w:sz="6" w:space="0"/>
            </w:tcBorders>
          </w:tcPr>
          <w:p w14:paraId="397E5E12">
            <w:pPr>
              <w:pStyle w:val="14"/>
              <w:snapToGrid w:val="0"/>
              <w:spacing w:line="500" w:lineRule="exact"/>
              <w:ind w:firstLineChars="200"/>
              <w:rPr>
                <w:rFonts w:ascii="Times New Roman"/>
                <w:color w:val="auto"/>
                <w:highlight w:val="none"/>
              </w:rPr>
            </w:pPr>
          </w:p>
        </w:tc>
        <w:tc>
          <w:tcPr>
            <w:tcW w:w="1800" w:type="dxa"/>
            <w:vMerge w:val="continue"/>
            <w:tcBorders>
              <w:top w:val="nil"/>
              <w:left w:val="nil"/>
              <w:bottom w:val="single" w:color="auto" w:sz="6" w:space="0"/>
              <w:right w:val="single" w:color="auto" w:sz="6" w:space="0"/>
            </w:tcBorders>
          </w:tcPr>
          <w:p w14:paraId="2D64722B">
            <w:pPr>
              <w:pStyle w:val="14"/>
              <w:snapToGrid w:val="0"/>
              <w:spacing w:line="500" w:lineRule="exact"/>
              <w:ind w:firstLineChars="200"/>
              <w:rPr>
                <w:rFonts w:ascii="Times New Roman"/>
                <w:color w:val="auto"/>
                <w:highlight w:val="none"/>
              </w:rPr>
            </w:pPr>
          </w:p>
        </w:tc>
        <w:tc>
          <w:tcPr>
            <w:tcW w:w="1560" w:type="dxa"/>
            <w:vMerge w:val="continue"/>
            <w:tcBorders>
              <w:top w:val="nil"/>
              <w:left w:val="nil"/>
              <w:bottom w:val="single" w:color="auto" w:sz="6" w:space="0"/>
              <w:right w:val="single" w:color="auto" w:sz="6" w:space="0"/>
            </w:tcBorders>
          </w:tcPr>
          <w:p w14:paraId="69574E7F">
            <w:pPr>
              <w:pStyle w:val="14"/>
              <w:snapToGrid w:val="0"/>
              <w:spacing w:line="500" w:lineRule="exact"/>
              <w:ind w:firstLineChars="200"/>
              <w:rPr>
                <w:rFonts w:ascii="Times New Roman"/>
                <w:color w:val="auto"/>
                <w:highlight w:val="none"/>
              </w:rPr>
            </w:pPr>
          </w:p>
        </w:tc>
        <w:tc>
          <w:tcPr>
            <w:tcW w:w="1440" w:type="dxa"/>
            <w:tcBorders>
              <w:top w:val="nil"/>
              <w:left w:val="nil"/>
            </w:tcBorders>
            <w:vAlign w:val="center"/>
          </w:tcPr>
          <w:p w14:paraId="78B6EE7E">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职称</w:t>
            </w:r>
          </w:p>
        </w:tc>
        <w:tc>
          <w:tcPr>
            <w:tcW w:w="1440" w:type="dxa"/>
            <w:tcBorders>
              <w:top w:val="nil"/>
              <w:right w:val="nil"/>
            </w:tcBorders>
          </w:tcPr>
          <w:p w14:paraId="36F64A6E">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人数</w:t>
            </w:r>
          </w:p>
        </w:tc>
        <w:tc>
          <w:tcPr>
            <w:tcW w:w="1200" w:type="dxa"/>
            <w:vMerge w:val="continue"/>
            <w:tcBorders>
              <w:top w:val="nil"/>
              <w:left w:val="single" w:color="auto" w:sz="6" w:space="0"/>
              <w:bottom w:val="single" w:color="auto" w:sz="6" w:space="0"/>
              <w:right w:val="single" w:color="auto" w:sz="6" w:space="0"/>
            </w:tcBorders>
          </w:tcPr>
          <w:p w14:paraId="18705767">
            <w:pPr>
              <w:pStyle w:val="14"/>
              <w:snapToGrid w:val="0"/>
              <w:spacing w:line="500" w:lineRule="exact"/>
              <w:ind w:firstLineChars="200"/>
              <w:rPr>
                <w:rFonts w:ascii="Times New Roman"/>
                <w:color w:val="auto"/>
                <w:highlight w:val="none"/>
              </w:rPr>
            </w:pPr>
          </w:p>
        </w:tc>
      </w:tr>
      <w:tr w14:paraId="2DBB72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6120ACAA">
            <w:pPr>
              <w:pStyle w:val="14"/>
              <w:snapToGrid w:val="0"/>
              <w:spacing w:line="500" w:lineRule="exact"/>
              <w:ind w:firstLineChars="200"/>
              <w:rPr>
                <w:rFonts w:ascii="Times New Roman"/>
                <w:color w:val="auto"/>
                <w:highlight w:val="none"/>
              </w:rPr>
            </w:pPr>
          </w:p>
        </w:tc>
        <w:tc>
          <w:tcPr>
            <w:tcW w:w="1800" w:type="dxa"/>
            <w:tcBorders>
              <w:top w:val="nil"/>
            </w:tcBorders>
          </w:tcPr>
          <w:p w14:paraId="431277BB">
            <w:pPr>
              <w:pStyle w:val="14"/>
              <w:snapToGrid w:val="0"/>
              <w:spacing w:line="500" w:lineRule="exact"/>
              <w:ind w:firstLineChars="200"/>
              <w:rPr>
                <w:rFonts w:ascii="Times New Roman"/>
                <w:color w:val="auto"/>
                <w:highlight w:val="none"/>
              </w:rPr>
            </w:pPr>
          </w:p>
        </w:tc>
        <w:tc>
          <w:tcPr>
            <w:tcW w:w="1560" w:type="dxa"/>
            <w:tcBorders>
              <w:top w:val="nil"/>
            </w:tcBorders>
          </w:tcPr>
          <w:p w14:paraId="278BBD98">
            <w:pPr>
              <w:pStyle w:val="14"/>
              <w:snapToGrid w:val="0"/>
              <w:spacing w:line="500" w:lineRule="exact"/>
              <w:ind w:firstLineChars="200"/>
              <w:rPr>
                <w:rFonts w:ascii="Times New Roman"/>
                <w:color w:val="auto"/>
                <w:highlight w:val="none"/>
              </w:rPr>
            </w:pPr>
          </w:p>
        </w:tc>
        <w:tc>
          <w:tcPr>
            <w:tcW w:w="1440" w:type="dxa"/>
          </w:tcPr>
          <w:p w14:paraId="5EB2E284">
            <w:pPr>
              <w:pStyle w:val="14"/>
              <w:snapToGrid w:val="0"/>
              <w:spacing w:line="500" w:lineRule="exact"/>
              <w:ind w:firstLineChars="200"/>
              <w:rPr>
                <w:rFonts w:ascii="Times New Roman"/>
                <w:color w:val="auto"/>
                <w:highlight w:val="none"/>
              </w:rPr>
            </w:pPr>
          </w:p>
        </w:tc>
        <w:tc>
          <w:tcPr>
            <w:tcW w:w="1440" w:type="dxa"/>
          </w:tcPr>
          <w:p w14:paraId="0C5CCABE">
            <w:pPr>
              <w:pStyle w:val="14"/>
              <w:snapToGrid w:val="0"/>
              <w:spacing w:line="500" w:lineRule="exact"/>
              <w:ind w:firstLineChars="200"/>
              <w:rPr>
                <w:rFonts w:ascii="Times New Roman"/>
                <w:color w:val="auto"/>
                <w:highlight w:val="none"/>
              </w:rPr>
            </w:pPr>
          </w:p>
        </w:tc>
        <w:tc>
          <w:tcPr>
            <w:tcW w:w="1200" w:type="dxa"/>
            <w:tcBorders>
              <w:top w:val="nil"/>
            </w:tcBorders>
          </w:tcPr>
          <w:p w14:paraId="68C94262">
            <w:pPr>
              <w:pStyle w:val="14"/>
              <w:snapToGrid w:val="0"/>
              <w:spacing w:line="500" w:lineRule="exact"/>
              <w:ind w:firstLineChars="200"/>
              <w:rPr>
                <w:rFonts w:ascii="Times New Roman"/>
                <w:color w:val="auto"/>
                <w:highlight w:val="none"/>
              </w:rPr>
            </w:pPr>
          </w:p>
        </w:tc>
      </w:tr>
      <w:tr w14:paraId="18A8DB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597C7806">
            <w:pPr>
              <w:pStyle w:val="14"/>
              <w:snapToGrid w:val="0"/>
              <w:spacing w:line="500" w:lineRule="exact"/>
              <w:ind w:firstLineChars="200"/>
              <w:rPr>
                <w:rFonts w:ascii="Times New Roman"/>
                <w:color w:val="auto"/>
                <w:highlight w:val="none"/>
              </w:rPr>
            </w:pPr>
          </w:p>
        </w:tc>
        <w:tc>
          <w:tcPr>
            <w:tcW w:w="1800" w:type="dxa"/>
            <w:tcBorders>
              <w:top w:val="nil"/>
            </w:tcBorders>
          </w:tcPr>
          <w:p w14:paraId="06478D2D">
            <w:pPr>
              <w:pStyle w:val="14"/>
              <w:snapToGrid w:val="0"/>
              <w:spacing w:line="500" w:lineRule="exact"/>
              <w:ind w:firstLineChars="200"/>
              <w:rPr>
                <w:rFonts w:ascii="Times New Roman"/>
                <w:color w:val="auto"/>
                <w:highlight w:val="none"/>
              </w:rPr>
            </w:pPr>
          </w:p>
        </w:tc>
        <w:tc>
          <w:tcPr>
            <w:tcW w:w="1560" w:type="dxa"/>
            <w:tcBorders>
              <w:top w:val="nil"/>
            </w:tcBorders>
          </w:tcPr>
          <w:p w14:paraId="159B68A6">
            <w:pPr>
              <w:pStyle w:val="14"/>
              <w:snapToGrid w:val="0"/>
              <w:spacing w:line="500" w:lineRule="exact"/>
              <w:ind w:firstLineChars="200"/>
              <w:rPr>
                <w:rFonts w:ascii="Times New Roman"/>
                <w:color w:val="auto"/>
                <w:highlight w:val="none"/>
              </w:rPr>
            </w:pPr>
          </w:p>
        </w:tc>
        <w:tc>
          <w:tcPr>
            <w:tcW w:w="1440" w:type="dxa"/>
          </w:tcPr>
          <w:p w14:paraId="2E028DC4">
            <w:pPr>
              <w:pStyle w:val="14"/>
              <w:snapToGrid w:val="0"/>
              <w:spacing w:line="500" w:lineRule="exact"/>
              <w:ind w:firstLineChars="200"/>
              <w:rPr>
                <w:rFonts w:ascii="Times New Roman"/>
                <w:color w:val="auto"/>
                <w:highlight w:val="none"/>
              </w:rPr>
            </w:pPr>
          </w:p>
        </w:tc>
        <w:tc>
          <w:tcPr>
            <w:tcW w:w="1440" w:type="dxa"/>
          </w:tcPr>
          <w:p w14:paraId="599C43D4">
            <w:pPr>
              <w:pStyle w:val="14"/>
              <w:snapToGrid w:val="0"/>
              <w:spacing w:line="500" w:lineRule="exact"/>
              <w:ind w:firstLineChars="200"/>
              <w:rPr>
                <w:rFonts w:ascii="Times New Roman"/>
                <w:color w:val="auto"/>
                <w:highlight w:val="none"/>
              </w:rPr>
            </w:pPr>
          </w:p>
        </w:tc>
        <w:tc>
          <w:tcPr>
            <w:tcW w:w="1200" w:type="dxa"/>
            <w:tcBorders>
              <w:top w:val="nil"/>
            </w:tcBorders>
          </w:tcPr>
          <w:p w14:paraId="40BDD729">
            <w:pPr>
              <w:pStyle w:val="14"/>
              <w:snapToGrid w:val="0"/>
              <w:spacing w:line="500" w:lineRule="exact"/>
              <w:ind w:firstLineChars="200"/>
              <w:rPr>
                <w:rFonts w:ascii="Times New Roman"/>
                <w:color w:val="auto"/>
                <w:highlight w:val="none"/>
              </w:rPr>
            </w:pPr>
          </w:p>
        </w:tc>
      </w:tr>
      <w:tr w14:paraId="31E00A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2EE68A45">
            <w:pPr>
              <w:pStyle w:val="14"/>
              <w:snapToGrid w:val="0"/>
              <w:spacing w:line="500" w:lineRule="exact"/>
              <w:ind w:firstLineChars="200"/>
              <w:rPr>
                <w:rFonts w:ascii="Times New Roman"/>
                <w:color w:val="auto"/>
                <w:highlight w:val="none"/>
              </w:rPr>
            </w:pPr>
          </w:p>
        </w:tc>
        <w:tc>
          <w:tcPr>
            <w:tcW w:w="1800" w:type="dxa"/>
            <w:tcBorders>
              <w:top w:val="nil"/>
            </w:tcBorders>
          </w:tcPr>
          <w:p w14:paraId="0533D68D">
            <w:pPr>
              <w:pStyle w:val="14"/>
              <w:snapToGrid w:val="0"/>
              <w:spacing w:line="500" w:lineRule="exact"/>
              <w:ind w:firstLineChars="200"/>
              <w:rPr>
                <w:rFonts w:ascii="Times New Roman"/>
                <w:color w:val="auto"/>
                <w:highlight w:val="none"/>
              </w:rPr>
            </w:pPr>
          </w:p>
        </w:tc>
        <w:tc>
          <w:tcPr>
            <w:tcW w:w="1560" w:type="dxa"/>
            <w:tcBorders>
              <w:top w:val="nil"/>
            </w:tcBorders>
          </w:tcPr>
          <w:p w14:paraId="1D1172A4">
            <w:pPr>
              <w:pStyle w:val="14"/>
              <w:snapToGrid w:val="0"/>
              <w:spacing w:line="500" w:lineRule="exact"/>
              <w:ind w:firstLineChars="200"/>
              <w:rPr>
                <w:rFonts w:ascii="Times New Roman"/>
                <w:color w:val="auto"/>
                <w:highlight w:val="none"/>
              </w:rPr>
            </w:pPr>
          </w:p>
        </w:tc>
        <w:tc>
          <w:tcPr>
            <w:tcW w:w="1440" w:type="dxa"/>
          </w:tcPr>
          <w:p w14:paraId="7952CA4E">
            <w:pPr>
              <w:pStyle w:val="14"/>
              <w:snapToGrid w:val="0"/>
              <w:spacing w:line="500" w:lineRule="exact"/>
              <w:ind w:firstLineChars="200"/>
              <w:rPr>
                <w:rFonts w:ascii="Times New Roman"/>
                <w:color w:val="auto"/>
                <w:highlight w:val="none"/>
              </w:rPr>
            </w:pPr>
          </w:p>
        </w:tc>
        <w:tc>
          <w:tcPr>
            <w:tcW w:w="1440" w:type="dxa"/>
          </w:tcPr>
          <w:p w14:paraId="2BB60124">
            <w:pPr>
              <w:pStyle w:val="14"/>
              <w:snapToGrid w:val="0"/>
              <w:spacing w:line="500" w:lineRule="exact"/>
              <w:ind w:firstLineChars="200"/>
              <w:rPr>
                <w:rFonts w:ascii="Times New Roman"/>
                <w:color w:val="auto"/>
                <w:highlight w:val="none"/>
              </w:rPr>
            </w:pPr>
          </w:p>
        </w:tc>
        <w:tc>
          <w:tcPr>
            <w:tcW w:w="1200" w:type="dxa"/>
            <w:tcBorders>
              <w:top w:val="nil"/>
            </w:tcBorders>
          </w:tcPr>
          <w:p w14:paraId="0F8B0EA8">
            <w:pPr>
              <w:pStyle w:val="14"/>
              <w:snapToGrid w:val="0"/>
              <w:spacing w:line="500" w:lineRule="exact"/>
              <w:ind w:firstLineChars="200"/>
              <w:rPr>
                <w:rFonts w:ascii="Times New Roman"/>
                <w:color w:val="auto"/>
                <w:highlight w:val="none"/>
              </w:rPr>
            </w:pPr>
          </w:p>
        </w:tc>
      </w:tr>
      <w:tr w14:paraId="3D2883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5A919E34">
            <w:pPr>
              <w:pStyle w:val="14"/>
              <w:snapToGrid w:val="0"/>
              <w:spacing w:line="500" w:lineRule="exact"/>
              <w:ind w:firstLineChars="200"/>
              <w:rPr>
                <w:rFonts w:ascii="Times New Roman"/>
                <w:color w:val="auto"/>
                <w:highlight w:val="none"/>
              </w:rPr>
            </w:pPr>
          </w:p>
        </w:tc>
        <w:tc>
          <w:tcPr>
            <w:tcW w:w="1800" w:type="dxa"/>
            <w:tcBorders>
              <w:top w:val="nil"/>
            </w:tcBorders>
          </w:tcPr>
          <w:p w14:paraId="175C467F">
            <w:pPr>
              <w:pStyle w:val="14"/>
              <w:snapToGrid w:val="0"/>
              <w:spacing w:line="500" w:lineRule="exact"/>
              <w:ind w:firstLineChars="200"/>
              <w:rPr>
                <w:rFonts w:ascii="Times New Roman"/>
                <w:color w:val="auto"/>
                <w:highlight w:val="none"/>
              </w:rPr>
            </w:pPr>
          </w:p>
        </w:tc>
        <w:tc>
          <w:tcPr>
            <w:tcW w:w="1560" w:type="dxa"/>
            <w:tcBorders>
              <w:top w:val="nil"/>
            </w:tcBorders>
          </w:tcPr>
          <w:p w14:paraId="7C6AC803">
            <w:pPr>
              <w:pStyle w:val="14"/>
              <w:snapToGrid w:val="0"/>
              <w:spacing w:line="500" w:lineRule="exact"/>
              <w:ind w:firstLineChars="200"/>
              <w:rPr>
                <w:rFonts w:ascii="Times New Roman"/>
                <w:color w:val="auto"/>
                <w:highlight w:val="none"/>
              </w:rPr>
            </w:pPr>
          </w:p>
        </w:tc>
        <w:tc>
          <w:tcPr>
            <w:tcW w:w="1440" w:type="dxa"/>
          </w:tcPr>
          <w:p w14:paraId="558141AB">
            <w:pPr>
              <w:pStyle w:val="14"/>
              <w:snapToGrid w:val="0"/>
              <w:spacing w:line="500" w:lineRule="exact"/>
              <w:ind w:firstLineChars="200"/>
              <w:rPr>
                <w:rFonts w:ascii="Times New Roman"/>
                <w:color w:val="auto"/>
                <w:highlight w:val="none"/>
              </w:rPr>
            </w:pPr>
          </w:p>
        </w:tc>
        <w:tc>
          <w:tcPr>
            <w:tcW w:w="1440" w:type="dxa"/>
          </w:tcPr>
          <w:p w14:paraId="73FD180D">
            <w:pPr>
              <w:pStyle w:val="14"/>
              <w:snapToGrid w:val="0"/>
              <w:spacing w:line="500" w:lineRule="exact"/>
              <w:ind w:firstLineChars="200"/>
              <w:rPr>
                <w:rFonts w:ascii="Times New Roman"/>
                <w:color w:val="auto"/>
                <w:highlight w:val="none"/>
              </w:rPr>
            </w:pPr>
          </w:p>
        </w:tc>
        <w:tc>
          <w:tcPr>
            <w:tcW w:w="1200" w:type="dxa"/>
            <w:tcBorders>
              <w:top w:val="nil"/>
            </w:tcBorders>
          </w:tcPr>
          <w:p w14:paraId="3A35EAB1">
            <w:pPr>
              <w:pStyle w:val="14"/>
              <w:snapToGrid w:val="0"/>
              <w:spacing w:line="500" w:lineRule="exact"/>
              <w:ind w:firstLineChars="200"/>
              <w:rPr>
                <w:rFonts w:ascii="Times New Roman"/>
                <w:color w:val="auto"/>
                <w:highlight w:val="none"/>
              </w:rPr>
            </w:pPr>
          </w:p>
        </w:tc>
      </w:tr>
    </w:tbl>
    <w:p w14:paraId="71601A33">
      <w:pPr>
        <w:spacing w:line="500" w:lineRule="exact"/>
        <w:ind w:firstLine="540" w:firstLineChars="225"/>
        <w:rPr>
          <w:highlight w:val="none"/>
        </w:rPr>
      </w:pPr>
      <w:r>
        <w:rPr>
          <w:highlight w:val="none"/>
        </w:rPr>
        <w:t>1.2</w:t>
      </w:r>
      <w:r>
        <w:rPr>
          <w:rFonts w:hint="eastAsia"/>
          <w:highlight w:val="none"/>
        </w:rPr>
        <w:tab/>
      </w:r>
      <w:r>
        <w:rPr>
          <w:rFonts w:hint="eastAsia"/>
          <w:highlight w:val="none"/>
        </w:rPr>
        <w:t>投标人现场服务人员应具有下列资格：</w:t>
      </w:r>
    </w:p>
    <w:p w14:paraId="59BC7174">
      <w:pPr>
        <w:spacing w:line="500" w:lineRule="exact"/>
        <w:ind w:firstLine="540" w:firstLineChars="225"/>
        <w:rPr>
          <w:highlight w:val="none"/>
        </w:rPr>
      </w:pPr>
      <w:r>
        <w:rPr>
          <w:highlight w:val="none"/>
        </w:rPr>
        <w:t>1.2.1</w:t>
      </w:r>
      <w:r>
        <w:rPr>
          <w:highlight w:val="none"/>
        </w:rPr>
        <w:tab/>
      </w:r>
      <w:r>
        <w:rPr>
          <w:rFonts w:hint="eastAsia"/>
          <w:highlight w:val="none"/>
        </w:rPr>
        <w:t>遵守法纪，遵守现场的各项规章和制度；</w:t>
      </w:r>
    </w:p>
    <w:p w14:paraId="5D5272C6">
      <w:pPr>
        <w:spacing w:line="500" w:lineRule="exact"/>
        <w:ind w:firstLine="540" w:firstLineChars="225"/>
        <w:rPr>
          <w:highlight w:val="none"/>
        </w:rPr>
      </w:pPr>
      <w:r>
        <w:rPr>
          <w:highlight w:val="none"/>
        </w:rPr>
        <w:t>1.2.2</w:t>
      </w:r>
      <w:r>
        <w:rPr>
          <w:highlight w:val="none"/>
        </w:rPr>
        <w:tab/>
      </w:r>
      <w:r>
        <w:rPr>
          <w:rFonts w:hint="eastAsia"/>
          <w:highlight w:val="none"/>
        </w:rPr>
        <w:t>有较强的责任感和事业心，按时到位；</w:t>
      </w:r>
    </w:p>
    <w:p w14:paraId="467C0F82">
      <w:pPr>
        <w:spacing w:line="500" w:lineRule="exact"/>
        <w:ind w:firstLine="540" w:firstLineChars="225"/>
        <w:rPr>
          <w:highlight w:val="none"/>
        </w:rPr>
      </w:pPr>
      <w:r>
        <w:rPr>
          <w:highlight w:val="none"/>
        </w:rPr>
        <w:t>1.2.3</w:t>
      </w:r>
      <w:r>
        <w:rPr>
          <w:highlight w:val="none"/>
        </w:rPr>
        <w:tab/>
      </w:r>
      <w:r>
        <w:rPr>
          <w:rFonts w:hint="eastAsia"/>
          <w:highlight w:val="none"/>
        </w:rPr>
        <w:t>了解合同设备的设计，熟悉其结构，有相同或相近机组的现场工作经验，能够正确地进行现场指导；</w:t>
      </w:r>
    </w:p>
    <w:p w14:paraId="697B6DE7">
      <w:pPr>
        <w:spacing w:line="500" w:lineRule="exact"/>
        <w:ind w:firstLine="540" w:firstLineChars="225"/>
        <w:rPr>
          <w:highlight w:val="none"/>
        </w:rPr>
      </w:pPr>
      <w:r>
        <w:rPr>
          <w:highlight w:val="none"/>
        </w:rPr>
        <w:t>1.2.4</w:t>
      </w:r>
      <w:r>
        <w:rPr>
          <w:rFonts w:hint="eastAsia"/>
          <w:highlight w:val="none"/>
        </w:rPr>
        <w:tab/>
      </w:r>
      <w:r>
        <w:rPr>
          <w:rFonts w:hint="eastAsia"/>
          <w:highlight w:val="none"/>
        </w:rPr>
        <w:t>身体健康，适应现场工作的条件；</w:t>
      </w:r>
    </w:p>
    <w:p w14:paraId="0A4FF8CD">
      <w:pPr>
        <w:spacing w:line="500" w:lineRule="exact"/>
        <w:ind w:firstLine="540" w:firstLineChars="225"/>
        <w:rPr>
          <w:highlight w:val="none"/>
        </w:rPr>
      </w:pPr>
      <w:r>
        <w:rPr>
          <w:highlight w:val="none"/>
        </w:rPr>
        <w:t>1.2.5</w:t>
      </w:r>
      <w:r>
        <w:rPr>
          <w:highlight w:val="none"/>
        </w:rPr>
        <w:tab/>
      </w:r>
      <w:r>
        <w:rPr>
          <w:rFonts w:hint="eastAsia"/>
          <w:highlight w:val="none"/>
        </w:rPr>
        <w:t>投标人须更换招标人认为不合格的投标人现场服务人员。</w:t>
      </w:r>
    </w:p>
    <w:p w14:paraId="189A4231">
      <w:pPr>
        <w:spacing w:line="500" w:lineRule="exact"/>
        <w:ind w:firstLine="540" w:firstLineChars="225"/>
        <w:rPr>
          <w:highlight w:val="none"/>
        </w:rPr>
      </w:pPr>
      <w:r>
        <w:rPr>
          <w:highlight w:val="none"/>
        </w:rPr>
        <w:t>1.3</w:t>
      </w:r>
      <w:r>
        <w:rPr>
          <w:highlight w:val="none"/>
        </w:rPr>
        <w:tab/>
      </w:r>
      <w:r>
        <w:rPr>
          <w:rFonts w:hint="eastAsia"/>
          <w:highlight w:val="none"/>
        </w:rPr>
        <w:t>投标人现场服务人员的职责</w:t>
      </w:r>
    </w:p>
    <w:p w14:paraId="08F7F3A9">
      <w:pPr>
        <w:spacing w:line="500" w:lineRule="exact"/>
        <w:ind w:firstLine="540" w:firstLineChars="225"/>
        <w:rPr>
          <w:highlight w:val="none"/>
        </w:rPr>
      </w:pPr>
      <w:r>
        <w:rPr>
          <w:highlight w:val="none"/>
        </w:rPr>
        <w:t>1.3.1</w:t>
      </w:r>
      <w:r>
        <w:rPr>
          <w:highlight w:val="none"/>
        </w:rPr>
        <w:tab/>
      </w:r>
      <w:r>
        <w:rPr>
          <w:rFonts w:hint="eastAsia"/>
          <w:highlight w:val="none"/>
        </w:rPr>
        <w:t>投标人现场服务人员的任务主要包括设备催交、货物的开箱检验、设备质量问题的处理、指导安装和调试、参加试运和性能验收试验。</w:t>
      </w:r>
    </w:p>
    <w:p w14:paraId="562B3DDC">
      <w:pPr>
        <w:spacing w:line="500" w:lineRule="exact"/>
        <w:ind w:firstLine="540" w:firstLineChars="225"/>
        <w:rPr>
          <w:highlight w:val="none"/>
        </w:rPr>
      </w:pPr>
      <w:r>
        <w:rPr>
          <w:rFonts w:hint="eastAsia"/>
          <w:highlight w:val="none"/>
        </w:rPr>
        <w:t>在安装和调试前，投标人技术服务人员应向招标人进行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14:paraId="5CEF5F8B">
      <w:pPr>
        <w:pStyle w:val="14"/>
        <w:snapToGrid w:val="0"/>
        <w:spacing w:line="500" w:lineRule="exact"/>
        <w:ind w:firstLineChars="200"/>
        <w:rPr>
          <w:rFonts w:ascii="Times New Roman"/>
          <w:color w:val="auto"/>
          <w:highlight w:val="none"/>
        </w:rPr>
      </w:pPr>
      <w:r>
        <w:rPr>
          <w:rFonts w:hint="eastAsia" w:ascii="Times New Roman"/>
          <w:color w:val="auto"/>
          <w:highlight w:val="none"/>
        </w:rPr>
        <w:t>投标人提供的安装、调试监督的工序表（投标人填写）</w:t>
      </w:r>
    </w:p>
    <w:tbl>
      <w:tblPr>
        <w:tblStyle w:val="25"/>
        <w:tblW w:w="0" w:type="auto"/>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40"/>
        <w:gridCol w:w="3060"/>
        <w:gridCol w:w="3060"/>
        <w:gridCol w:w="1440"/>
      </w:tblGrid>
      <w:tr w14:paraId="19B3A0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vAlign w:val="center"/>
          </w:tcPr>
          <w:p w14:paraId="6F2C6D5C">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序号</w:t>
            </w:r>
          </w:p>
        </w:tc>
        <w:tc>
          <w:tcPr>
            <w:tcW w:w="3060" w:type="dxa"/>
            <w:vAlign w:val="center"/>
          </w:tcPr>
          <w:p w14:paraId="1E422C93">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工序名称</w:t>
            </w:r>
          </w:p>
        </w:tc>
        <w:tc>
          <w:tcPr>
            <w:tcW w:w="3060" w:type="dxa"/>
            <w:vAlign w:val="center"/>
          </w:tcPr>
          <w:p w14:paraId="710D53A7">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工序主要内容</w:t>
            </w:r>
          </w:p>
        </w:tc>
        <w:tc>
          <w:tcPr>
            <w:tcW w:w="1440" w:type="dxa"/>
            <w:vAlign w:val="center"/>
          </w:tcPr>
          <w:p w14:paraId="6995F09B">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备注</w:t>
            </w:r>
          </w:p>
        </w:tc>
      </w:tr>
      <w:tr w14:paraId="2C1228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00642878">
            <w:pPr>
              <w:pStyle w:val="14"/>
              <w:snapToGrid w:val="0"/>
              <w:spacing w:line="500" w:lineRule="exact"/>
              <w:ind w:firstLineChars="200"/>
              <w:rPr>
                <w:rFonts w:ascii="Times New Roman"/>
                <w:color w:val="auto"/>
                <w:highlight w:val="none"/>
              </w:rPr>
            </w:pPr>
          </w:p>
        </w:tc>
        <w:tc>
          <w:tcPr>
            <w:tcW w:w="3060" w:type="dxa"/>
          </w:tcPr>
          <w:p w14:paraId="68EAD875">
            <w:pPr>
              <w:pStyle w:val="14"/>
              <w:snapToGrid w:val="0"/>
              <w:spacing w:line="500" w:lineRule="exact"/>
              <w:ind w:firstLineChars="200"/>
              <w:rPr>
                <w:rFonts w:ascii="Times New Roman"/>
                <w:color w:val="auto"/>
                <w:highlight w:val="none"/>
              </w:rPr>
            </w:pPr>
          </w:p>
        </w:tc>
        <w:tc>
          <w:tcPr>
            <w:tcW w:w="3060" w:type="dxa"/>
          </w:tcPr>
          <w:p w14:paraId="2D81C596">
            <w:pPr>
              <w:pStyle w:val="14"/>
              <w:snapToGrid w:val="0"/>
              <w:spacing w:line="500" w:lineRule="exact"/>
              <w:ind w:firstLineChars="200"/>
              <w:rPr>
                <w:rFonts w:ascii="Times New Roman"/>
                <w:color w:val="auto"/>
                <w:highlight w:val="none"/>
              </w:rPr>
            </w:pPr>
          </w:p>
        </w:tc>
        <w:tc>
          <w:tcPr>
            <w:tcW w:w="1440" w:type="dxa"/>
          </w:tcPr>
          <w:p w14:paraId="01C8683A">
            <w:pPr>
              <w:pStyle w:val="14"/>
              <w:snapToGrid w:val="0"/>
              <w:spacing w:line="500" w:lineRule="exact"/>
              <w:ind w:firstLineChars="200"/>
              <w:rPr>
                <w:rFonts w:ascii="Times New Roman"/>
                <w:color w:val="auto"/>
                <w:highlight w:val="none"/>
              </w:rPr>
            </w:pPr>
          </w:p>
        </w:tc>
      </w:tr>
      <w:tr w14:paraId="2408F5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78605A98">
            <w:pPr>
              <w:pStyle w:val="14"/>
              <w:snapToGrid w:val="0"/>
              <w:spacing w:line="500" w:lineRule="exact"/>
              <w:ind w:firstLineChars="200"/>
              <w:rPr>
                <w:rFonts w:ascii="Times New Roman"/>
                <w:color w:val="auto"/>
                <w:highlight w:val="none"/>
              </w:rPr>
            </w:pPr>
          </w:p>
        </w:tc>
        <w:tc>
          <w:tcPr>
            <w:tcW w:w="3060" w:type="dxa"/>
          </w:tcPr>
          <w:p w14:paraId="5A5CAFFE">
            <w:pPr>
              <w:pStyle w:val="14"/>
              <w:snapToGrid w:val="0"/>
              <w:spacing w:line="500" w:lineRule="exact"/>
              <w:ind w:firstLineChars="200"/>
              <w:rPr>
                <w:rFonts w:ascii="Times New Roman"/>
                <w:color w:val="auto"/>
                <w:highlight w:val="none"/>
              </w:rPr>
            </w:pPr>
          </w:p>
        </w:tc>
        <w:tc>
          <w:tcPr>
            <w:tcW w:w="3060" w:type="dxa"/>
          </w:tcPr>
          <w:p w14:paraId="30E167B8">
            <w:pPr>
              <w:pStyle w:val="14"/>
              <w:snapToGrid w:val="0"/>
              <w:spacing w:line="500" w:lineRule="exact"/>
              <w:ind w:firstLineChars="200"/>
              <w:rPr>
                <w:rFonts w:ascii="Times New Roman"/>
                <w:color w:val="auto"/>
                <w:highlight w:val="none"/>
              </w:rPr>
            </w:pPr>
          </w:p>
        </w:tc>
        <w:tc>
          <w:tcPr>
            <w:tcW w:w="1440" w:type="dxa"/>
          </w:tcPr>
          <w:p w14:paraId="2ABDC530">
            <w:pPr>
              <w:pStyle w:val="14"/>
              <w:snapToGrid w:val="0"/>
              <w:spacing w:line="500" w:lineRule="exact"/>
              <w:ind w:firstLineChars="200"/>
              <w:rPr>
                <w:rFonts w:ascii="Times New Roman"/>
                <w:color w:val="auto"/>
                <w:highlight w:val="none"/>
              </w:rPr>
            </w:pPr>
          </w:p>
        </w:tc>
      </w:tr>
      <w:tr w14:paraId="761A19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651787ED">
            <w:pPr>
              <w:pStyle w:val="14"/>
              <w:snapToGrid w:val="0"/>
              <w:spacing w:line="500" w:lineRule="exact"/>
              <w:ind w:firstLineChars="200"/>
              <w:rPr>
                <w:rFonts w:ascii="Times New Roman"/>
                <w:color w:val="auto"/>
                <w:highlight w:val="none"/>
              </w:rPr>
            </w:pPr>
          </w:p>
        </w:tc>
        <w:tc>
          <w:tcPr>
            <w:tcW w:w="3060" w:type="dxa"/>
          </w:tcPr>
          <w:p w14:paraId="6CE2D7C7">
            <w:pPr>
              <w:pStyle w:val="14"/>
              <w:snapToGrid w:val="0"/>
              <w:spacing w:line="500" w:lineRule="exact"/>
              <w:ind w:firstLineChars="200"/>
              <w:rPr>
                <w:rFonts w:ascii="Times New Roman"/>
                <w:color w:val="auto"/>
                <w:highlight w:val="none"/>
              </w:rPr>
            </w:pPr>
          </w:p>
        </w:tc>
        <w:tc>
          <w:tcPr>
            <w:tcW w:w="3060" w:type="dxa"/>
          </w:tcPr>
          <w:p w14:paraId="1CA5A341">
            <w:pPr>
              <w:pStyle w:val="14"/>
              <w:snapToGrid w:val="0"/>
              <w:spacing w:line="500" w:lineRule="exact"/>
              <w:ind w:firstLineChars="200"/>
              <w:rPr>
                <w:rFonts w:ascii="Times New Roman"/>
                <w:color w:val="auto"/>
                <w:highlight w:val="none"/>
              </w:rPr>
            </w:pPr>
          </w:p>
        </w:tc>
        <w:tc>
          <w:tcPr>
            <w:tcW w:w="1440" w:type="dxa"/>
          </w:tcPr>
          <w:p w14:paraId="323086F9">
            <w:pPr>
              <w:pStyle w:val="14"/>
              <w:snapToGrid w:val="0"/>
              <w:spacing w:line="500" w:lineRule="exact"/>
              <w:ind w:firstLineChars="200"/>
              <w:rPr>
                <w:rFonts w:ascii="Times New Roman"/>
                <w:color w:val="auto"/>
                <w:highlight w:val="none"/>
              </w:rPr>
            </w:pPr>
          </w:p>
        </w:tc>
      </w:tr>
    </w:tbl>
    <w:p w14:paraId="0A55C19B">
      <w:pPr>
        <w:spacing w:line="500" w:lineRule="exact"/>
        <w:ind w:firstLine="540" w:firstLineChars="225"/>
        <w:rPr>
          <w:highlight w:val="none"/>
        </w:rPr>
      </w:pPr>
      <w:r>
        <w:rPr>
          <w:highlight w:val="none"/>
        </w:rPr>
        <w:t>1.3.3</w:t>
      </w:r>
      <w:r>
        <w:rPr>
          <w:rFonts w:hint="eastAsia"/>
          <w:highlight w:val="none"/>
        </w:rPr>
        <w:tab/>
      </w:r>
      <w:r>
        <w:rPr>
          <w:rFonts w:hint="eastAsia"/>
          <w:highlight w:val="none"/>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14:paraId="69E2A5DC">
      <w:pPr>
        <w:spacing w:line="500" w:lineRule="exact"/>
        <w:ind w:firstLine="540" w:firstLineChars="225"/>
        <w:rPr>
          <w:highlight w:val="none"/>
        </w:rPr>
      </w:pPr>
      <w:r>
        <w:rPr>
          <w:highlight w:val="none"/>
        </w:rPr>
        <w:t>1.3.4</w:t>
      </w:r>
      <w:r>
        <w:rPr>
          <w:rFonts w:hint="eastAsia"/>
          <w:highlight w:val="none"/>
        </w:rPr>
        <w:tab/>
      </w:r>
      <w:r>
        <w:rPr>
          <w:rFonts w:hint="eastAsia"/>
          <w:highlight w:val="none"/>
        </w:rPr>
        <w:t>投标人对其现场服务人员的一切行为负全部责任。</w:t>
      </w:r>
    </w:p>
    <w:p w14:paraId="37F77FD3">
      <w:pPr>
        <w:spacing w:line="500" w:lineRule="exact"/>
        <w:ind w:firstLine="540" w:firstLineChars="225"/>
        <w:rPr>
          <w:highlight w:val="none"/>
        </w:rPr>
      </w:pPr>
      <w:r>
        <w:rPr>
          <w:highlight w:val="none"/>
        </w:rPr>
        <w:t>1.3.5</w:t>
      </w:r>
      <w:r>
        <w:rPr>
          <w:rFonts w:hint="eastAsia"/>
          <w:highlight w:val="none"/>
        </w:rPr>
        <w:tab/>
      </w:r>
      <w:r>
        <w:rPr>
          <w:rFonts w:hint="eastAsia"/>
          <w:highlight w:val="none"/>
        </w:rPr>
        <w:t>投标人现场服务人员的正常来去和更换应事先与招标人协商。</w:t>
      </w:r>
    </w:p>
    <w:p w14:paraId="4EDF109A">
      <w:pPr>
        <w:spacing w:line="500" w:lineRule="exact"/>
        <w:ind w:firstLine="540" w:firstLineChars="225"/>
        <w:rPr>
          <w:highlight w:val="none"/>
        </w:rPr>
      </w:pPr>
      <w:r>
        <w:rPr>
          <w:highlight w:val="none"/>
        </w:rPr>
        <w:t>1.4</w:t>
      </w:r>
      <w:r>
        <w:rPr>
          <w:highlight w:val="none"/>
        </w:rPr>
        <w:tab/>
      </w:r>
      <w:r>
        <w:rPr>
          <w:rFonts w:hint="eastAsia"/>
          <w:highlight w:val="none"/>
        </w:rPr>
        <w:t>招标人的义务</w:t>
      </w:r>
    </w:p>
    <w:p w14:paraId="198DEFB9">
      <w:pPr>
        <w:pStyle w:val="14"/>
        <w:snapToGrid w:val="0"/>
        <w:spacing w:line="500" w:lineRule="exact"/>
        <w:rPr>
          <w:rFonts w:hAnsi="宋体"/>
          <w:b/>
          <w:bCs/>
          <w:color w:val="auto"/>
          <w:sz w:val="28"/>
          <w:highlight w:val="none"/>
        </w:rPr>
      </w:pPr>
      <w:r>
        <w:rPr>
          <w:rFonts w:hint="eastAsia"/>
          <w:color w:val="auto"/>
          <w:highlight w:val="none"/>
        </w:rPr>
        <w:t>招标人要配合投标人现场服务人员的工作，并在生活、交通和通讯上提供方便。</w:t>
      </w:r>
    </w:p>
    <w:p w14:paraId="4A5A3D40">
      <w:pPr>
        <w:pStyle w:val="14"/>
        <w:snapToGrid w:val="0"/>
        <w:spacing w:line="500" w:lineRule="exact"/>
        <w:ind w:firstLine="0"/>
        <w:rPr>
          <w:rFonts w:hAnsi="宋体"/>
          <w:b/>
          <w:bCs/>
          <w:color w:val="auto"/>
          <w:sz w:val="28"/>
          <w:highlight w:val="none"/>
        </w:rPr>
      </w:pPr>
      <w:r>
        <w:rPr>
          <w:rFonts w:hAnsi="宋体"/>
          <w:b/>
          <w:bCs/>
          <w:color w:val="auto"/>
          <w:sz w:val="28"/>
          <w:highlight w:val="none"/>
        </w:rPr>
        <w:t>2.</w:t>
      </w:r>
      <w:r>
        <w:rPr>
          <w:rFonts w:hint="eastAsia" w:hAnsi="宋体"/>
          <w:b/>
          <w:bCs/>
          <w:color w:val="auto"/>
          <w:sz w:val="28"/>
          <w:highlight w:val="none"/>
        </w:rPr>
        <w:t xml:space="preserve"> 培训</w:t>
      </w:r>
      <w:bookmarkEnd w:id="173"/>
      <w:bookmarkEnd w:id="174"/>
      <w:bookmarkEnd w:id="175"/>
      <w:bookmarkEnd w:id="176"/>
      <w:bookmarkEnd w:id="177"/>
    </w:p>
    <w:p w14:paraId="02D082A3">
      <w:pPr>
        <w:spacing w:line="500" w:lineRule="exact"/>
        <w:ind w:firstLine="540" w:firstLineChars="225"/>
        <w:rPr>
          <w:highlight w:val="none"/>
        </w:rPr>
      </w:pPr>
      <w:r>
        <w:rPr>
          <w:highlight w:val="none"/>
        </w:rPr>
        <w:t>2.1</w:t>
      </w:r>
      <w:r>
        <w:rPr>
          <w:highlight w:val="none"/>
        </w:rPr>
        <w:tab/>
      </w:r>
      <w:r>
        <w:rPr>
          <w:rFonts w:hint="eastAsia"/>
          <w:highlight w:val="none"/>
        </w:rPr>
        <w:t>为使合同设备能正常安装、调试、运行、维护及检修，投标人有责任提供相应的技术培训。培训内容应与工程进度相一致。</w:t>
      </w:r>
    </w:p>
    <w:p w14:paraId="54960F39">
      <w:pPr>
        <w:spacing w:line="500" w:lineRule="exact"/>
        <w:ind w:firstLine="540" w:firstLineChars="225"/>
        <w:rPr>
          <w:highlight w:val="none"/>
        </w:rPr>
      </w:pPr>
      <w:r>
        <w:rPr>
          <w:highlight w:val="none"/>
        </w:rPr>
        <w:t>2.2</w:t>
      </w:r>
      <w:r>
        <w:rPr>
          <w:highlight w:val="none"/>
        </w:rPr>
        <w:tab/>
      </w:r>
      <w:r>
        <w:rPr>
          <w:rFonts w:hint="eastAsia"/>
          <w:highlight w:val="none"/>
        </w:rPr>
        <w:t>培训计划和内容由投标人在投标文件中列出（见格式）。</w:t>
      </w:r>
    </w:p>
    <w:tbl>
      <w:tblPr>
        <w:tblStyle w:val="25"/>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68"/>
        <w:gridCol w:w="1440"/>
        <w:gridCol w:w="1680"/>
        <w:gridCol w:w="1320"/>
        <w:gridCol w:w="1320"/>
        <w:gridCol w:w="960"/>
        <w:gridCol w:w="840"/>
      </w:tblGrid>
      <w:tr w14:paraId="051693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868" w:type="dxa"/>
            <w:vMerge w:val="restart"/>
            <w:tcBorders>
              <w:top w:val="single" w:color="auto" w:sz="6" w:space="0"/>
              <w:left w:val="single" w:color="auto" w:sz="6" w:space="0"/>
              <w:bottom w:val="nil"/>
              <w:right w:val="nil"/>
            </w:tcBorders>
            <w:vAlign w:val="center"/>
          </w:tcPr>
          <w:p w14:paraId="7E75179D">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序号</w:t>
            </w:r>
          </w:p>
        </w:tc>
        <w:tc>
          <w:tcPr>
            <w:tcW w:w="1440" w:type="dxa"/>
            <w:vMerge w:val="restart"/>
            <w:tcBorders>
              <w:top w:val="single" w:color="auto" w:sz="6" w:space="0"/>
              <w:left w:val="single" w:color="auto" w:sz="6" w:space="0"/>
              <w:bottom w:val="nil"/>
              <w:right w:val="nil"/>
            </w:tcBorders>
            <w:vAlign w:val="center"/>
          </w:tcPr>
          <w:p w14:paraId="160AAC65">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培训内容</w:t>
            </w:r>
          </w:p>
        </w:tc>
        <w:tc>
          <w:tcPr>
            <w:tcW w:w="1680" w:type="dxa"/>
            <w:vMerge w:val="restart"/>
            <w:tcBorders>
              <w:top w:val="single" w:color="auto" w:sz="6" w:space="0"/>
              <w:left w:val="single" w:color="auto" w:sz="6" w:space="0"/>
              <w:bottom w:val="nil"/>
              <w:right w:val="single" w:color="auto" w:sz="6" w:space="0"/>
            </w:tcBorders>
            <w:vAlign w:val="center"/>
          </w:tcPr>
          <w:p w14:paraId="7E09348F">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计划人月数</w:t>
            </w:r>
          </w:p>
        </w:tc>
        <w:tc>
          <w:tcPr>
            <w:tcW w:w="2640" w:type="dxa"/>
            <w:gridSpan w:val="2"/>
            <w:tcBorders>
              <w:top w:val="single" w:color="auto" w:sz="6" w:space="0"/>
              <w:left w:val="nil"/>
              <w:bottom w:val="single" w:color="auto" w:sz="6" w:space="0"/>
              <w:right w:val="nil"/>
            </w:tcBorders>
            <w:vAlign w:val="center"/>
          </w:tcPr>
          <w:p w14:paraId="0B06FC77">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培训教师构成</w:t>
            </w:r>
          </w:p>
        </w:tc>
        <w:tc>
          <w:tcPr>
            <w:tcW w:w="960" w:type="dxa"/>
            <w:vMerge w:val="restart"/>
            <w:tcBorders>
              <w:top w:val="single" w:color="auto" w:sz="6" w:space="0"/>
              <w:left w:val="single" w:color="auto" w:sz="6" w:space="0"/>
              <w:bottom w:val="nil"/>
              <w:right w:val="nil"/>
            </w:tcBorders>
            <w:vAlign w:val="center"/>
          </w:tcPr>
          <w:p w14:paraId="1D95F780">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地点</w:t>
            </w:r>
          </w:p>
        </w:tc>
        <w:tc>
          <w:tcPr>
            <w:tcW w:w="840" w:type="dxa"/>
            <w:vMerge w:val="restart"/>
            <w:tcBorders>
              <w:top w:val="single" w:color="auto" w:sz="6" w:space="0"/>
              <w:left w:val="single" w:color="auto" w:sz="6" w:space="0"/>
              <w:bottom w:val="nil"/>
              <w:right w:val="single" w:color="auto" w:sz="6" w:space="0"/>
            </w:tcBorders>
            <w:vAlign w:val="center"/>
          </w:tcPr>
          <w:p w14:paraId="6415432C">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备注</w:t>
            </w:r>
          </w:p>
        </w:tc>
      </w:tr>
      <w:tr w14:paraId="6923B3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868" w:type="dxa"/>
            <w:vMerge w:val="continue"/>
            <w:tcBorders>
              <w:top w:val="nil"/>
              <w:left w:val="single" w:color="auto" w:sz="6" w:space="0"/>
              <w:bottom w:val="single" w:color="auto" w:sz="6" w:space="0"/>
              <w:right w:val="nil"/>
            </w:tcBorders>
          </w:tcPr>
          <w:p w14:paraId="4E8EB596">
            <w:pPr>
              <w:pStyle w:val="14"/>
              <w:snapToGrid w:val="0"/>
              <w:spacing w:line="500" w:lineRule="exact"/>
              <w:ind w:firstLineChars="200"/>
              <w:rPr>
                <w:rFonts w:ascii="Times New Roman"/>
                <w:color w:val="auto"/>
                <w:highlight w:val="none"/>
              </w:rPr>
            </w:pPr>
          </w:p>
        </w:tc>
        <w:tc>
          <w:tcPr>
            <w:tcW w:w="1440" w:type="dxa"/>
            <w:vMerge w:val="continue"/>
            <w:tcBorders>
              <w:top w:val="nil"/>
              <w:left w:val="single" w:color="auto" w:sz="6" w:space="0"/>
              <w:bottom w:val="single" w:color="auto" w:sz="6" w:space="0"/>
              <w:right w:val="nil"/>
            </w:tcBorders>
          </w:tcPr>
          <w:p w14:paraId="5DDB041C">
            <w:pPr>
              <w:pStyle w:val="14"/>
              <w:snapToGrid w:val="0"/>
              <w:spacing w:line="500" w:lineRule="exact"/>
              <w:ind w:firstLineChars="200"/>
              <w:rPr>
                <w:rFonts w:ascii="Times New Roman"/>
                <w:color w:val="auto"/>
                <w:highlight w:val="none"/>
              </w:rPr>
            </w:pPr>
          </w:p>
        </w:tc>
        <w:tc>
          <w:tcPr>
            <w:tcW w:w="1680" w:type="dxa"/>
            <w:vMerge w:val="continue"/>
            <w:tcBorders>
              <w:top w:val="nil"/>
              <w:left w:val="single" w:color="auto" w:sz="6" w:space="0"/>
              <w:bottom w:val="single" w:color="auto" w:sz="6" w:space="0"/>
              <w:right w:val="single" w:color="auto" w:sz="6" w:space="0"/>
            </w:tcBorders>
          </w:tcPr>
          <w:p w14:paraId="451C1835">
            <w:pPr>
              <w:pStyle w:val="14"/>
              <w:snapToGrid w:val="0"/>
              <w:spacing w:line="500" w:lineRule="exact"/>
              <w:ind w:firstLineChars="200"/>
              <w:rPr>
                <w:rFonts w:ascii="Times New Roman"/>
                <w:color w:val="auto"/>
                <w:highlight w:val="none"/>
              </w:rPr>
            </w:pPr>
          </w:p>
        </w:tc>
        <w:tc>
          <w:tcPr>
            <w:tcW w:w="1320" w:type="dxa"/>
            <w:tcBorders>
              <w:top w:val="nil"/>
              <w:left w:val="nil"/>
            </w:tcBorders>
            <w:vAlign w:val="center"/>
          </w:tcPr>
          <w:p w14:paraId="2A414F5C">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职称</w:t>
            </w:r>
          </w:p>
        </w:tc>
        <w:tc>
          <w:tcPr>
            <w:tcW w:w="1320" w:type="dxa"/>
            <w:tcBorders>
              <w:top w:val="nil"/>
              <w:right w:val="nil"/>
            </w:tcBorders>
            <w:vAlign w:val="center"/>
          </w:tcPr>
          <w:p w14:paraId="4C42E0FE">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人数</w:t>
            </w:r>
          </w:p>
        </w:tc>
        <w:tc>
          <w:tcPr>
            <w:tcW w:w="960" w:type="dxa"/>
            <w:vMerge w:val="continue"/>
            <w:tcBorders>
              <w:top w:val="nil"/>
              <w:left w:val="single" w:color="auto" w:sz="6" w:space="0"/>
              <w:bottom w:val="single" w:color="auto" w:sz="6" w:space="0"/>
              <w:right w:val="nil"/>
            </w:tcBorders>
            <w:vAlign w:val="center"/>
          </w:tcPr>
          <w:p w14:paraId="251E2EBB">
            <w:pPr>
              <w:pStyle w:val="14"/>
              <w:snapToGrid w:val="0"/>
              <w:spacing w:line="500" w:lineRule="exact"/>
              <w:ind w:firstLineChars="200"/>
              <w:rPr>
                <w:rFonts w:ascii="Times New Roman"/>
                <w:color w:val="auto"/>
                <w:highlight w:val="none"/>
              </w:rPr>
            </w:pPr>
          </w:p>
        </w:tc>
        <w:tc>
          <w:tcPr>
            <w:tcW w:w="840" w:type="dxa"/>
            <w:vMerge w:val="continue"/>
            <w:tcBorders>
              <w:top w:val="nil"/>
              <w:left w:val="single" w:color="auto" w:sz="6" w:space="0"/>
              <w:bottom w:val="single" w:color="auto" w:sz="6" w:space="0"/>
              <w:right w:val="single" w:color="auto" w:sz="6" w:space="0"/>
            </w:tcBorders>
            <w:vAlign w:val="center"/>
          </w:tcPr>
          <w:p w14:paraId="52580FAD">
            <w:pPr>
              <w:pStyle w:val="14"/>
              <w:snapToGrid w:val="0"/>
              <w:spacing w:line="500" w:lineRule="exact"/>
              <w:ind w:firstLineChars="200"/>
              <w:rPr>
                <w:rFonts w:ascii="Times New Roman"/>
                <w:color w:val="auto"/>
                <w:highlight w:val="none"/>
              </w:rPr>
            </w:pPr>
          </w:p>
        </w:tc>
      </w:tr>
      <w:tr w14:paraId="4B1647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68" w:type="dxa"/>
            <w:tcBorders>
              <w:top w:val="nil"/>
            </w:tcBorders>
          </w:tcPr>
          <w:p w14:paraId="20BC139A">
            <w:pPr>
              <w:pStyle w:val="14"/>
              <w:snapToGrid w:val="0"/>
              <w:spacing w:line="500" w:lineRule="exact"/>
              <w:ind w:firstLine="0"/>
              <w:jc w:val="center"/>
              <w:rPr>
                <w:rFonts w:ascii="Times New Roman"/>
                <w:color w:val="auto"/>
                <w:highlight w:val="none"/>
              </w:rPr>
            </w:pPr>
          </w:p>
        </w:tc>
        <w:tc>
          <w:tcPr>
            <w:tcW w:w="1440" w:type="dxa"/>
            <w:tcBorders>
              <w:top w:val="nil"/>
            </w:tcBorders>
            <w:vAlign w:val="center"/>
          </w:tcPr>
          <w:p w14:paraId="1221A450">
            <w:pPr>
              <w:spacing w:line="360" w:lineRule="auto"/>
              <w:jc w:val="center"/>
              <w:rPr>
                <w:rFonts w:ascii="宋体" w:hAnsi="宋体"/>
                <w:highlight w:val="none"/>
              </w:rPr>
            </w:pPr>
          </w:p>
        </w:tc>
        <w:tc>
          <w:tcPr>
            <w:tcW w:w="1680" w:type="dxa"/>
            <w:tcBorders>
              <w:top w:val="nil"/>
            </w:tcBorders>
          </w:tcPr>
          <w:p w14:paraId="3C0EDFDD">
            <w:pPr>
              <w:pStyle w:val="14"/>
              <w:snapToGrid w:val="0"/>
              <w:spacing w:line="500" w:lineRule="exact"/>
              <w:ind w:firstLine="0"/>
              <w:jc w:val="center"/>
              <w:rPr>
                <w:rFonts w:ascii="Times New Roman"/>
                <w:color w:val="auto"/>
                <w:highlight w:val="none"/>
              </w:rPr>
            </w:pPr>
          </w:p>
        </w:tc>
        <w:tc>
          <w:tcPr>
            <w:tcW w:w="1320" w:type="dxa"/>
            <w:vAlign w:val="center"/>
          </w:tcPr>
          <w:p w14:paraId="610D67B6">
            <w:pPr>
              <w:pStyle w:val="14"/>
              <w:snapToGrid w:val="0"/>
              <w:spacing w:line="500" w:lineRule="exact"/>
              <w:ind w:firstLine="0"/>
              <w:jc w:val="center"/>
              <w:rPr>
                <w:rFonts w:ascii="Times New Roman"/>
                <w:color w:val="auto"/>
                <w:highlight w:val="none"/>
              </w:rPr>
            </w:pPr>
          </w:p>
        </w:tc>
        <w:tc>
          <w:tcPr>
            <w:tcW w:w="1320" w:type="dxa"/>
            <w:vAlign w:val="center"/>
          </w:tcPr>
          <w:p w14:paraId="21918DC4">
            <w:pPr>
              <w:pStyle w:val="14"/>
              <w:snapToGrid w:val="0"/>
              <w:spacing w:line="500" w:lineRule="exact"/>
              <w:ind w:firstLine="0"/>
              <w:jc w:val="center"/>
              <w:rPr>
                <w:rFonts w:ascii="Times New Roman"/>
                <w:color w:val="auto"/>
                <w:highlight w:val="none"/>
              </w:rPr>
            </w:pPr>
          </w:p>
        </w:tc>
        <w:tc>
          <w:tcPr>
            <w:tcW w:w="960" w:type="dxa"/>
            <w:tcBorders>
              <w:top w:val="nil"/>
            </w:tcBorders>
            <w:vAlign w:val="center"/>
          </w:tcPr>
          <w:p w14:paraId="0A8141C5">
            <w:pPr>
              <w:pStyle w:val="14"/>
              <w:snapToGrid w:val="0"/>
              <w:spacing w:line="500" w:lineRule="exact"/>
              <w:ind w:firstLine="0"/>
              <w:jc w:val="center"/>
              <w:rPr>
                <w:rFonts w:ascii="Times New Roman"/>
                <w:color w:val="auto"/>
                <w:highlight w:val="none"/>
              </w:rPr>
            </w:pPr>
          </w:p>
        </w:tc>
        <w:tc>
          <w:tcPr>
            <w:tcW w:w="840" w:type="dxa"/>
            <w:tcBorders>
              <w:top w:val="nil"/>
            </w:tcBorders>
            <w:vAlign w:val="center"/>
          </w:tcPr>
          <w:p w14:paraId="419AE1AE">
            <w:pPr>
              <w:pStyle w:val="14"/>
              <w:snapToGrid w:val="0"/>
              <w:spacing w:line="500" w:lineRule="exact"/>
              <w:ind w:firstLine="0"/>
              <w:jc w:val="center"/>
              <w:rPr>
                <w:rFonts w:ascii="Times New Roman"/>
                <w:color w:val="auto"/>
                <w:highlight w:val="none"/>
              </w:rPr>
            </w:pPr>
          </w:p>
        </w:tc>
      </w:tr>
      <w:tr w14:paraId="358341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68" w:type="dxa"/>
            <w:tcBorders>
              <w:top w:val="nil"/>
            </w:tcBorders>
          </w:tcPr>
          <w:p w14:paraId="3918B4BD">
            <w:pPr>
              <w:pStyle w:val="14"/>
              <w:snapToGrid w:val="0"/>
              <w:spacing w:line="500" w:lineRule="exact"/>
              <w:ind w:firstLine="0"/>
              <w:jc w:val="center"/>
              <w:rPr>
                <w:rFonts w:ascii="Times New Roman"/>
                <w:color w:val="auto"/>
                <w:highlight w:val="none"/>
              </w:rPr>
            </w:pPr>
          </w:p>
        </w:tc>
        <w:tc>
          <w:tcPr>
            <w:tcW w:w="1440" w:type="dxa"/>
            <w:tcBorders>
              <w:top w:val="nil"/>
            </w:tcBorders>
            <w:vAlign w:val="center"/>
          </w:tcPr>
          <w:p w14:paraId="69AE980A">
            <w:pPr>
              <w:spacing w:line="360" w:lineRule="auto"/>
              <w:jc w:val="center"/>
              <w:rPr>
                <w:rFonts w:ascii="宋体" w:hAnsi="宋体"/>
                <w:highlight w:val="none"/>
              </w:rPr>
            </w:pPr>
          </w:p>
        </w:tc>
        <w:tc>
          <w:tcPr>
            <w:tcW w:w="1680" w:type="dxa"/>
            <w:tcBorders>
              <w:top w:val="nil"/>
            </w:tcBorders>
          </w:tcPr>
          <w:p w14:paraId="5F4B4783">
            <w:pPr>
              <w:pStyle w:val="14"/>
              <w:snapToGrid w:val="0"/>
              <w:spacing w:line="500" w:lineRule="exact"/>
              <w:ind w:firstLine="0"/>
              <w:jc w:val="center"/>
              <w:rPr>
                <w:rFonts w:ascii="Times New Roman"/>
                <w:color w:val="auto"/>
                <w:highlight w:val="none"/>
              </w:rPr>
            </w:pPr>
          </w:p>
        </w:tc>
        <w:tc>
          <w:tcPr>
            <w:tcW w:w="1320" w:type="dxa"/>
            <w:vAlign w:val="center"/>
          </w:tcPr>
          <w:p w14:paraId="67DEB36C">
            <w:pPr>
              <w:pStyle w:val="14"/>
              <w:snapToGrid w:val="0"/>
              <w:spacing w:line="500" w:lineRule="exact"/>
              <w:ind w:firstLine="0"/>
              <w:jc w:val="center"/>
              <w:rPr>
                <w:rFonts w:ascii="Times New Roman"/>
                <w:color w:val="auto"/>
                <w:highlight w:val="none"/>
              </w:rPr>
            </w:pPr>
          </w:p>
        </w:tc>
        <w:tc>
          <w:tcPr>
            <w:tcW w:w="1320" w:type="dxa"/>
            <w:vAlign w:val="center"/>
          </w:tcPr>
          <w:p w14:paraId="2B28B720">
            <w:pPr>
              <w:pStyle w:val="14"/>
              <w:snapToGrid w:val="0"/>
              <w:spacing w:line="500" w:lineRule="exact"/>
              <w:ind w:firstLine="0"/>
              <w:jc w:val="center"/>
              <w:rPr>
                <w:rFonts w:ascii="Times New Roman"/>
                <w:color w:val="auto"/>
                <w:highlight w:val="none"/>
              </w:rPr>
            </w:pPr>
          </w:p>
        </w:tc>
        <w:tc>
          <w:tcPr>
            <w:tcW w:w="960" w:type="dxa"/>
            <w:tcBorders>
              <w:top w:val="nil"/>
            </w:tcBorders>
            <w:vAlign w:val="center"/>
          </w:tcPr>
          <w:p w14:paraId="077CF461">
            <w:pPr>
              <w:pStyle w:val="14"/>
              <w:snapToGrid w:val="0"/>
              <w:spacing w:line="500" w:lineRule="exact"/>
              <w:ind w:firstLine="0"/>
              <w:jc w:val="center"/>
              <w:rPr>
                <w:rFonts w:ascii="Times New Roman"/>
                <w:color w:val="auto"/>
                <w:highlight w:val="none"/>
              </w:rPr>
            </w:pPr>
          </w:p>
        </w:tc>
        <w:tc>
          <w:tcPr>
            <w:tcW w:w="840" w:type="dxa"/>
            <w:tcBorders>
              <w:top w:val="nil"/>
            </w:tcBorders>
            <w:vAlign w:val="center"/>
          </w:tcPr>
          <w:p w14:paraId="50E5EC29">
            <w:pPr>
              <w:pStyle w:val="14"/>
              <w:snapToGrid w:val="0"/>
              <w:spacing w:line="500" w:lineRule="exact"/>
              <w:ind w:firstLine="0"/>
              <w:jc w:val="center"/>
              <w:rPr>
                <w:rFonts w:ascii="Times New Roman"/>
                <w:color w:val="auto"/>
                <w:highlight w:val="none"/>
              </w:rPr>
            </w:pPr>
          </w:p>
        </w:tc>
      </w:tr>
      <w:tr w14:paraId="4E2A28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68" w:type="dxa"/>
          </w:tcPr>
          <w:p w14:paraId="02FAACDA">
            <w:pPr>
              <w:pStyle w:val="14"/>
              <w:snapToGrid w:val="0"/>
              <w:spacing w:line="500" w:lineRule="exact"/>
              <w:ind w:firstLine="0"/>
              <w:jc w:val="center"/>
              <w:rPr>
                <w:rFonts w:ascii="Times New Roman"/>
                <w:color w:val="auto"/>
                <w:highlight w:val="none"/>
              </w:rPr>
            </w:pPr>
          </w:p>
        </w:tc>
        <w:tc>
          <w:tcPr>
            <w:tcW w:w="1440" w:type="dxa"/>
          </w:tcPr>
          <w:p w14:paraId="6D54E69E">
            <w:pPr>
              <w:pStyle w:val="14"/>
              <w:snapToGrid w:val="0"/>
              <w:spacing w:line="500" w:lineRule="exact"/>
              <w:ind w:firstLine="0"/>
              <w:jc w:val="center"/>
              <w:rPr>
                <w:rFonts w:ascii="Times New Roman"/>
                <w:color w:val="auto"/>
                <w:highlight w:val="none"/>
              </w:rPr>
            </w:pPr>
          </w:p>
        </w:tc>
        <w:tc>
          <w:tcPr>
            <w:tcW w:w="1680" w:type="dxa"/>
          </w:tcPr>
          <w:p w14:paraId="42E3FA56">
            <w:pPr>
              <w:pStyle w:val="14"/>
              <w:snapToGrid w:val="0"/>
              <w:spacing w:line="500" w:lineRule="exact"/>
              <w:ind w:firstLine="0"/>
              <w:jc w:val="center"/>
              <w:rPr>
                <w:rFonts w:ascii="Times New Roman"/>
                <w:color w:val="auto"/>
                <w:highlight w:val="none"/>
              </w:rPr>
            </w:pPr>
          </w:p>
        </w:tc>
        <w:tc>
          <w:tcPr>
            <w:tcW w:w="1320" w:type="dxa"/>
            <w:vAlign w:val="center"/>
          </w:tcPr>
          <w:p w14:paraId="740F2C5B">
            <w:pPr>
              <w:pStyle w:val="14"/>
              <w:snapToGrid w:val="0"/>
              <w:spacing w:line="500" w:lineRule="exact"/>
              <w:ind w:firstLine="0"/>
              <w:jc w:val="center"/>
              <w:rPr>
                <w:rFonts w:ascii="Times New Roman"/>
                <w:color w:val="auto"/>
                <w:highlight w:val="none"/>
              </w:rPr>
            </w:pPr>
          </w:p>
        </w:tc>
        <w:tc>
          <w:tcPr>
            <w:tcW w:w="1320" w:type="dxa"/>
            <w:vAlign w:val="center"/>
          </w:tcPr>
          <w:p w14:paraId="7C4D1EEF">
            <w:pPr>
              <w:pStyle w:val="14"/>
              <w:snapToGrid w:val="0"/>
              <w:spacing w:line="500" w:lineRule="exact"/>
              <w:ind w:firstLine="0"/>
              <w:jc w:val="center"/>
              <w:rPr>
                <w:rFonts w:ascii="Times New Roman"/>
                <w:color w:val="auto"/>
                <w:highlight w:val="none"/>
              </w:rPr>
            </w:pPr>
          </w:p>
        </w:tc>
        <w:tc>
          <w:tcPr>
            <w:tcW w:w="960" w:type="dxa"/>
            <w:vAlign w:val="center"/>
          </w:tcPr>
          <w:p w14:paraId="31642E17">
            <w:pPr>
              <w:pStyle w:val="14"/>
              <w:snapToGrid w:val="0"/>
              <w:spacing w:line="500" w:lineRule="exact"/>
              <w:ind w:firstLine="0"/>
              <w:jc w:val="center"/>
              <w:rPr>
                <w:rFonts w:ascii="Times New Roman"/>
                <w:color w:val="auto"/>
                <w:highlight w:val="none"/>
              </w:rPr>
            </w:pPr>
          </w:p>
        </w:tc>
        <w:tc>
          <w:tcPr>
            <w:tcW w:w="840" w:type="dxa"/>
            <w:vAlign w:val="center"/>
          </w:tcPr>
          <w:p w14:paraId="22957A39">
            <w:pPr>
              <w:pStyle w:val="14"/>
              <w:snapToGrid w:val="0"/>
              <w:spacing w:line="500" w:lineRule="exact"/>
              <w:ind w:firstLine="0"/>
              <w:jc w:val="center"/>
              <w:rPr>
                <w:rFonts w:ascii="Times New Roman"/>
                <w:color w:val="auto"/>
                <w:highlight w:val="none"/>
              </w:rPr>
            </w:pPr>
          </w:p>
        </w:tc>
      </w:tr>
    </w:tbl>
    <w:p w14:paraId="432AD288">
      <w:pPr>
        <w:spacing w:line="500" w:lineRule="exact"/>
        <w:ind w:firstLine="540" w:firstLineChars="225"/>
        <w:rPr>
          <w:highlight w:val="none"/>
        </w:rPr>
      </w:pPr>
      <w:r>
        <w:rPr>
          <w:highlight w:val="none"/>
        </w:rPr>
        <w:t>2.3</w:t>
      </w:r>
      <w:r>
        <w:rPr>
          <w:highlight w:val="none"/>
        </w:rPr>
        <w:tab/>
      </w:r>
      <w:r>
        <w:rPr>
          <w:rFonts w:hint="eastAsia"/>
          <w:highlight w:val="none"/>
        </w:rPr>
        <w:t>培训的时间、人数、地点等具体内容由招投标双方商定。</w:t>
      </w:r>
    </w:p>
    <w:p w14:paraId="65FCC91D">
      <w:pPr>
        <w:pStyle w:val="14"/>
        <w:snapToGrid w:val="0"/>
        <w:spacing w:line="500" w:lineRule="exact"/>
        <w:rPr>
          <w:rFonts w:hAnsi="宋体"/>
          <w:color w:val="auto"/>
          <w:highlight w:val="none"/>
        </w:rPr>
      </w:pPr>
      <w:r>
        <w:rPr>
          <w:color w:val="auto"/>
          <w:highlight w:val="none"/>
        </w:rPr>
        <w:t>2.4</w:t>
      </w:r>
      <w:r>
        <w:rPr>
          <w:color w:val="auto"/>
          <w:highlight w:val="none"/>
        </w:rPr>
        <w:tab/>
      </w:r>
      <w:r>
        <w:rPr>
          <w:rFonts w:hint="eastAsia"/>
          <w:color w:val="auto"/>
          <w:highlight w:val="none"/>
        </w:rPr>
        <w:t>投标人为招标人培训人员提供设备、场地、资料等培训条件，并提供食宿和交通方便。</w:t>
      </w:r>
    </w:p>
    <w:p w14:paraId="73264C12">
      <w:pPr>
        <w:pStyle w:val="14"/>
        <w:snapToGrid w:val="0"/>
        <w:spacing w:line="500" w:lineRule="exact"/>
        <w:ind w:firstLine="0"/>
        <w:rPr>
          <w:rFonts w:hAnsi="宋体"/>
          <w:b/>
          <w:bCs/>
          <w:color w:val="auto"/>
          <w:sz w:val="28"/>
          <w:highlight w:val="none"/>
        </w:rPr>
      </w:pPr>
      <w:bookmarkStart w:id="178" w:name="_Toc515705623"/>
      <w:bookmarkStart w:id="179" w:name="_Toc515697902"/>
      <w:bookmarkStart w:id="180" w:name="_Toc515785187"/>
      <w:bookmarkStart w:id="181" w:name="_Toc515727602"/>
      <w:bookmarkStart w:id="182" w:name="_Toc515708318"/>
      <w:r>
        <w:rPr>
          <w:rFonts w:hAnsi="宋体"/>
          <w:b/>
          <w:bCs/>
          <w:color w:val="auto"/>
          <w:sz w:val="28"/>
          <w:highlight w:val="none"/>
        </w:rPr>
        <w:t>3.</w:t>
      </w:r>
      <w:r>
        <w:rPr>
          <w:rFonts w:hint="eastAsia" w:hAnsi="宋体"/>
          <w:b/>
          <w:bCs/>
          <w:color w:val="auto"/>
          <w:sz w:val="28"/>
          <w:highlight w:val="none"/>
        </w:rPr>
        <w:t xml:space="preserve"> 设计联络会</w:t>
      </w:r>
      <w:bookmarkEnd w:id="178"/>
      <w:bookmarkEnd w:id="179"/>
      <w:bookmarkEnd w:id="180"/>
      <w:bookmarkEnd w:id="181"/>
      <w:bookmarkEnd w:id="182"/>
      <w:bookmarkStart w:id="183" w:name="_Toc515335073"/>
      <w:bookmarkStart w:id="184" w:name="_Toc515622055"/>
      <w:bookmarkStart w:id="185" w:name="_Toc515697903"/>
      <w:bookmarkStart w:id="186" w:name="_Toc488922628"/>
      <w:bookmarkStart w:id="187" w:name="_Toc515332014"/>
    </w:p>
    <w:p w14:paraId="645BC00A">
      <w:pPr>
        <w:spacing w:line="500" w:lineRule="exact"/>
        <w:ind w:firstLine="420"/>
        <w:rPr>
          <w:highlight w:val="none"/>
        </w:rPr>
      </w:pPr>
      <w:r>
        <w:rPr>
          <w:rFonts w:hint="eastAsia"/>
          <w:highlight w:val="none"/>
        </w:rPr>
        <w:t>设计联络会安排二次，第一次会务组织及费用由投标人负责，第二次会务组织及费用招标人负责，但差旅费均各自理。有关设计联络的计划、时间、地点和内容要求由招标投标双方商定。</w:t>
      </w:r>
    </w:p>
    <w:p w14:paraId="19BED691">
      <w:pPr>
        <w:spacing w:line="500" w:lineRule="exact"/>
        <w:jc w:val="center"/>
        <w:rPr>
          <w:highlight w:val="none"/>
        </w:rPr>
      </w:pPr>
      <w:r>
        <w:rPr>
          <w:rFonts w:hint="eastAsia"/>
          <w:highlight w:val="none"/>
        </w:rPr>
        <w:t>设计联络计划表</w:t>
      </w:r>
    </w:p>
    <w:tbl>
      <w:tblPr>
        <w:tblStyle w:val="25"/>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17"/>
        <w:gridCol w:w="1818"/>
        <w:gridCol w:w="1968"/>
        <w:gridCol w:w="1378"/>
        <w:gridCol w:w="1722"/>
        <w:gridCol w:w="1128"/>
      </w:tblGrid>
      <w:tr w14:paraId="4CAF97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17" w:type="dxa"/>
          </w:tcPr>
          <w:p w14:paraId="0A28A2DF">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序号</w:t>
            </w:r>
          </w:p>
        </w:tc>
        <w:tc>
          <w:tcPr>
            <w:tcW w:w="1818" w:type="dxa"/>
          </w:tcPr>
          <w:p w14:paraId="06CBC2BC">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次数</w:t>
            </w:r>
          </w:p>
        </w:tc>
        <w:tc>
          <w:tcPr>
            <w:tcW w:w="1968" w:type="dxa"/>
          </w:tcPr>
          <w:p w14:paraId="4EB1F660">
            <w:pPr>
              <w:spacing w:line="500" w:lineRule="exact"/>
              <w:jc w:val="center"/>
              <w:rPr>
                <w:kern w:val="0"/>
                <w:szCs w:val="20"/>
                <w:highlight w:val="none"/>
              </w:rPr>
            </w:pPr>
            <w:r>
              <w:rPr>
                <w:rFonts w:hint="eastAsia"/>
                <w:kern w:val="0"/>
                <w:szCs w:val="20"/>
                <w:highlight w:val="none"/>
              </w:rPr>
              <w:t>内容</w:t>
            </w:r>
          </w:p>
        </w:tc>
        <w:tc>
          <w:tcPr>
            <w:tcW w:w="1378" w:type="dxa"/>
          </w:tcPr>
          <w:p w14:paraId="447CAA35">
            <w:pPr>
              <w:spacing w:line="500" w:lineRule="exact"/>
              <w:jc w:val="center"/>
              <w:rPr>
                <w:kern w:val="0"/>
                <w:szCs w:val="20"/>
                <w:highlight w:val="none"/>
              </w:rPr>
            </w:pPr>
            <w:r>
              <w:rPr>
                <w:rFonts w:hint="eastAsia"/>
                <w:kern w:val="0"/>
                <w:szCs w:val="20"/>
                <w:highlight w:val="none"/>
              </w:rPr>
              <w:t>时间</w:t>
            </w:r>
          </w:p>
        </w:tc>
        <w:tc>
          <w:tcPr>
            <w:tcW w:w="1722" w:type="dxa"/>
          </w:tcPr>
          <w:p w14:paraId="075A0A7E">
            <w:pPr>
              <w:spacing w:line="500" w:lineRule="exact"/>
              <w:jc w:val="center"/>
              <w:rPr>
                <w:kern w:val="0"/>
                <w:szCs w:val="20"/>
                <w:highlight w:val="none"/>
              </w:rPr>
            </w:pPr>
            <w:r>
              <w:rPr>
                <w:rFonts w:hint="eastAsia"/>
                <w:kern w:val="0"/>
                <w:szCs w:val="20"/>
                <w:highlight w:val="none"/>
              </w:rPr>
              <w:t>地点</w:t>
            </w:r>
          </w:p>
        </w:tc>
        <w:tc>
          <w:tcPr>
            <w:tcW w:w="1128" w:type="dxa"/>
          </w:tcPr>
          <w:p w14:paraId="19C1AC17">
            <w:pPr>
              <w:spacing w:line="500" w:lineRule="exact"/>
              <w:jc w:val="center"/>
              <w:rPr>
                <w:kern w:val="0"/>
                <w:szCs w:val="20"/>
                <w:highlight w:val="none"/>
              </w:rPr>
            </w:pPr>
            <w:r>
              <w:rPr>
                <w:rFonts w:hint="eastAsia"/>
                <w:kern w:val="0"/>
                <w:szCs w:val="20"/>
                <w:highlight w:val="none"/>
              </w:rPr>
              <w:t>人数</w:t>
            </w:r>
          </w:p>
        </w:tc>
      </w:tr>
      <w:tr w14:paraId="2D0E70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17" w:type="dxa"/>
          </w:tcPr>
          <w:p w14:paraId="247E9CDB">
            <w:pPr>
              <w:pStyle w:val="14"/>
              <w:snapToGrid w:val="0"/>
              <w:spacing w:line="500" w:lineRule="exact"/>
              <w:ind w:firstLine="0"/>
              <w:jc w:val="center"/>
              <w:rPr>
                <w:rFonts w:ascii="Times New Roman"/>
                <w:color w:val="auto"/>
                <w:highlight w:val="none"/>
              </w:rPr>
            </w:pPr>
          </w:p>
        </w:tc>
        <w:tc>
          <w:tcPr>
            <w:tcW w:w="1818" w:type="dxa"/>
          </w:tcPr>
          <w:p w14:paraId="57FFF788">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第一次</w:t>
            </w:r>
          </w:p>
        </w:tc>
        <w:tc>
          <w:tcPr>
            <w:tcW w:w="1968" w:type="dxa"/>
          </w:tcPr>
          <w:p w14:paraId="7848ED4D">
            <w:pPr>
              <w:pStyle w:val="14"/>
              <w:snapToGrid w:val="0"/>
              <w:spacing w:line="500" w:lineRule="exact"/>
              <w:ind w:firstLine="0"/>
              <w:jc w:val="center"/>
              <w:rPr>
                <w:rFonts w:ascii="Times New Roman"/>
                <w:color w:val="auto"/>
                <w:highlight w:val="none"/>
              </w:rPr>
            </w:pPr>
          </w:p>
        </w:tc>
        <w:tc>
          <w:tcPr>
            <w:tcW w:w="1378" w:type="dxa"/>
          </w:tcPr>
          <w:p w14:paraId="1BF08CCD">
            <w:pPr>
              <w:pStyle w:val="14"/>
              <w:snapToGrid w:val="0"/>
              <w:spacing w:line="500" w:lineRule="exact"/>
              <w:ind w:firstLine="0"/>
              <w:jc w:val="center"/>
              <w:rPr>
                <w:rFonts w:ascii="Times New Roman"/>
                <w:color w:val="auto"/>
                <w:highlight w:val="none"/>
              </w:rPr>
            </w:pPr>
          </w:p>
        </w:tc>
        <w:tc>
          <w:tcPr>
            <w:tcW w:w="1722" w:type="dxa"/>
          </w:tcPr>
          <w:p w14:paraId="2B207994">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投标人所在地</w:t>
            </w:r>
          </w:p>
        </w:tc>
        <w:tc>
          <w:tcPr>
            <w:tcW w:w="1128" w:type="dxa"/>
          </w:tcPr>
          <w:p w14:paraId="1A968C30">
            <w:pPr>
              <w:pStyle w:val="14"/>
              <w:snapToGrid w:val="0"/>
              <w:spacing w:line="500" w:lineRule="exact"/>
              <w:ind w:firstLine="0"/>
              <w:jc w:val="center"/>
              <w:rPr>
                <w:rFonts w:ascii="Times New Roman"/>
                <w:color w:val="auto"/>
                <w:highlight w:val="none"/>
              </w:rPr>
            </w:pPr>
          </w:p>
        </w:tc>
      </w:tr>
      <w:tr w14:paraId="485AB3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17" w:type="dxa"/>
          </w:tcPr>
          <w:p w14:paraId="46ED2D64">
            <w:pPr>
              <w:pStyle w:val="14"/>
              <w:snapToGrid w:val="0"/>
              <w:spacing w:line="500" w:lineRule="exact"/>
              <w:ind w:firstLine="0"/>
              <w:jc w:val="center"/>
              <w:rPr>
                <w:rFonts w:ascii="Times New Roman"/>
                <w:color w:val="auto"/>
                <w:highlight w:val="none"/>
              </w:rPr>
            </w:pPr>
          </w:p>
        </w:tc>
        <w:tc>
          <w:tcPr>
            <w:tcW w:w="1818" w:type="dxa"/>
          </w:tcPr>
          <w:p w14:paraId="75B87878">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第二次</w:t>
            </w:r>
          </w:p>
        </w:tc>
        <w:tc>
          <w:tcPr>
            <w:tcW w:w="1968" w:type="dxa"/>
          </w:tcPr>
          <w:p w14:paraId="1AF936A0">
            <w:pPr>
              <w:pStyle w:val="14"/>
              <w:snapToGrid w:val="0"/>
              <w:spacing w:line="500" w:lineRule="exact"/>
              <w:ind w:firstLine="0"/>
              <w:jc w:val="center"/>
              <w:rPr>
                <w:rFonts w:ascii="Times New Roman"/>
                <w:color w:val="auto"/>
                <w:highlight w:val="none"/>
              </w:rPr>
            </w:pPr>
          </w:p>
        </w:tc>
        <w:tc>
          <w:tcPr>
            <w:tcW w:w="1378" w:type="dxa"/>
          </w:tcPr>
          <w:p w14:paraId="68C35D70">
            <w:pPr>
              <w:pStyle w:val="14"/>
              <w:snapToGrid w:val="0"/>
              <w:spacing w:line="500" w:lineRule="exact"/>
              <w:ind w:firstLine="0"/>
              <w:jc w:val="center"/>
              <w:rPr>
                <w:rFonts w:ascii="Times New Roman"/>
                <w:color w:val="auto"/>
                <w:highlight w:val="none"/>
              </w:rPr>
            </w:pPr>
          </w:p>
        </w:tc>
        <w:tc>
          <w:tcPr>
            <w:tcW w:w="1722" w:type="dxa"/>
          </w:tcPr>
          <w:p w14:paraId="332E7614">
            <w:pPr>
              <w:pStyle w:val="14"/>
              <w:snapToGrid w:val="0"/>
              <w:spacing w:line="500" w:lineRule="exact"/>
              <w:ind w:firstLine="0"/>
              <w:jc w:val="center"/>
              <w:rPr>
                <w:rFonts w:ascii="Times New Roman"/>
                <w:color w:val="auto"/>
                <w:highlight w:val="none"/>
              </w:rPr>
            </w:pPr>
            <w:r>
              <w:rPr>
                <w:rFonts w:hint="eastAsia" w:ascii="Times New Roman"/>
                <w:color w:val="auto"/>
                <w:highlight w:val="none"/>
              </w:rPr>
              <w:t>招标人所在地</w:t>
            </w:r>
          </w:p>
        </w:tc>
        <w:tc>
          <w:tcPr>
            <w:tcW w:w="1128" w:type="dxa"/>
          </w:tcPr>
          <w:p w14:paraId="092E4922">
            <w:pPr>
              <w:pStyle w:val="14"/>
              <w:snapToGrid w:val="0"/>
              <w:spacing w:line="500" w:lineRule="exact"/>
              <w:ind w:firstLine="0"/>
              <w:jc w:val="center"/>
              <w:rPr>
                <w:rFonts w:ascii="Times New Roman"/>
                <w:color w:val="auto"/>
                <w:highlight w:val="none"/>
              </w:rPr>
            </w:pPr>
          </w:p>
        </w:tc>
      </w:tr>
    </w:tbl>
    <w:p w14:paraId="2AE2D314">
      <w:pPr>
        <w:pStyle w:val="14"/>
        <w:snapToGrid w:val="0"/>
        <w:spacing w:line="500" w:lineRule="exact"/>
        <w:ind w:firstLine="0"/>
        <w:rPr>
          <w:rFonts w:hAnsi="宋体"/>
          <w:b/>
          <w:bCs/>
          <w:color w:val="auto"/>
          <w:sz w:val="28"/>
          <w:highlight w:val="none"/>
        </w:rPr>
      </w:pPr>
      <w:r>
        <w:rPr>
          <w:rFonts w:hint="eastAsia" w:hAnsi="宋体"/>
          <w:b/>
          <w:bCs/>
          <w:color w:val="auto"/>
          <w:sz w:val="28"/>
          <w:highlight w:val="none"/>
        </w:rPr>
        <w:t>4</w:t>
      </w:r>
      <w:r>
        <w:rPr>
          <w:rFonts w:hAnsi="宋体"/>
          <w:b/>
          <w:bCs/>
          <w:color w:val="auto"/>
          <w:sz w:val="28"/>
          <w:highlight w:val="none"/>
        </w:rPr>
        <w:t>.</w:t>
      </w:r>
      <w:r>
        <w:rPr>
          <w:rFonts w:hint="eastAsia" w:hAnsi="宋体"/>
          <w:b/>
          <w:bCs/>
          <w:color w:val="auto"/>
          <w:sz w:val="28"/>
          <w:highlight w:val="none"/>
        </w:rPr>
        <w:t xml:space="preserve"> 技术联络人</w:t>
      </w:r>
    </w:p>
    <w:p w14:paraId="26473CC4">
      <w:pPr>
        <w:spacing w:line="360" w:lineRule="auto"/>
        <w:ind w:firstLine="420"/>
        <w:rPr>
          <w:highlight w:val="none"/>
        </w:rPr>
      </w:pPr>
      <w:r>
        <w:rPr>
          <w:rFonts w:hint="eastAsia"/>
          <w:highlight w:val="none"/>
        </w:rPr>
        <w:t>投标人应指定专人负责技术联络，具体联络方式：</w:t>
      </w:r>
    </w:p>
    <w:p w14:paraId="322BE376">
      <w:pPr>
        <w:spacing w:line="360" w:lineRule="auto"/>
        <w:ind w:firstLine="420"/>
        <w:rPr>
          <w:highlight w:val="none"/>
        </w:rPr>
      </w:pPr>
      <w:r>
        <w:rPr>
          <w:rFonts w:hint="eastAsia"/>
          <w:highlight w:val="none"/>
        </w:rPr>
        <w:t>姓名：</w:t>
      </w:r>
    </w:p>
    <w:p w14:paraId="61BA69D4">
      <w:pPr>
        <w:spacing w:line="360" w:lineRule="auto"/>
        <w:ind w:firstLine="420"/>
        <w:rPr>
          <w:highlight w:val="none"/>
        </w:rPr>
      </w:pPr>
      <w:r>
        <w:rPr>
          <w:rFonts w:hint="eastAsia"/>
          <w:highlight w:val="none"/>
        </w:rPr>
        <w:t>电话：</w:t>
      </w:r>
    </w:p>
    <w:p w14:paraId="7E0607B4">
      <w:pPr>
        <w:spacing w:line="360" w:lineRule="auto"/>
        <w:ind w:firstLine="420"/>
        <w:rPr>
          <w:highlight w:val="none"/>
        </w:rPr>
      </w:pPr>
      <w:r>
        <w:rPr>
          <w:rFonts w:hint="eastAsia"/>
          <w:highlight w:val="none"/>
        </w:rPr>
        <w:t>邮箱：</w:t>
      </w:r>
    </w:p>
    <w:p w14:paraId="1E0F4ADA">
      <w:pPr>
        <w:spacing w:line="360" w:lineRule="auto"/>
        <w:rPr>
          <w:highlight w:val="none"/>
        </w:rPr>
      </w:pPr>
    </w:p>
    <w:p w14:paraId="56C7E673">
      <w:pPr>
        <w:spacing w:line="500" w:lineRule="exact"/>
        <w:ind w:firstLine="420"/>
        <w:rPr>
          <w:rFonts w:ascii="宋体" w:hAnsi="宋体"/>
          <w:highlight w:val="none"/>
        </w:rPr>
        <w:sectPr>
          <w:endnotePr>
            <w:numFmt w:val="decimal"/>
          </w:endnotePr>
          <w:pgSz w:w="11907" w:h="16840"/>
          <w:pgMar w:top="1418" w:right="1531" w:bottom="1418" w:left="1701" w:header="851" w:footer="1021" w:gutter="0"/>
          <w:cols w:space="720" w:num="1"/>
          <w:docGrid w:linePitch="326" w:charSpace="0"/>
        </w:sectPr>
      </w:pPr>
    </w:p>
    <w:p w14:paraId="45D80833">
      <w:pPr>
        <w:pStyle w:val="2"/>
        <w:rPr>
          <w:sz w:val="30"/>
          <w:szCs w:val="30"/>
          <w:highlight w:val="none"/>
        </w:rPr>
      </w:pPr>
      <w:bookmarkStart w:id="188" w:name="_Toc286159475"/>
      <w:bookmarkStart w:id="189" w:name="_Toc28232"/>
      <w:r>
        <w:rPr>
          <w:rFonts w:hint="eastAsia"/>
          <w:sz w:val="30"/>
          <w:szCs w:val="30"/>
          <w:highlight w:val="none"/>
        </w:rPr>
        <w:t>附件7外购</w:t>
      </w:r>
      <w:bookmarkEnd w:id="188"/>
      <w:bookmarkEnd w:id="189"/>
    </w:p>
    <w:p w14:paraId="61B09905">
      <w:pPr>
        <w:spacing w:line="500" w:lineRule="exact"/>
        <w:ind w:firstLine="480" w:firstLineChars="200"/>
        <w:rPr>
          <w:bCs/>
          <w:highlight w:val="none"/>
        </w:rPr>
      </w:pPr>
      <w:r>
        <w:rPr>
          <w:bCs/>
          <w:highlight w:val="none"/>
        </w:rPr>
        <w:t>1、</w:t>
      </w:r>
      <w:r>
        <w:rPr>
          <w:rFonts w:hint="eastAsia"/>
          <w:bCs/>
          <w:highlight w:val="none"/>
        </w:rPr>
        <w:t>投标人应根据技术要求在下列表格中填写外购情况表。</w:t>
      </w:r>
    </w:p>
    <w:p w14:paraId="2D48B02B">
      <w:pPr>
        <w:spacing w:line="460" w:lineRule="exact"/>
        <w:ind w:firstLine="420" w:firstLineChars="175"/>
        <w:jc w:val="center"/>
        <w:rPr>
          <w:highlight w:val="none"/>
        </w:rPr>
      </w:pPr>
      <w:r>
        <w:rPr>
          <w:highlight w:val="none"/>
        </w:rPr>
        <w:t>外购情况表</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704"/>
        <w:gridCol w:w="1206"/>
        <w:gridCol w:w="805"/>
        <w:gridCol w:w="805"/>
        <w:gridCol w:w="794"/>
        <w:gridCol w:w="862"/>
        <w:gridCol w:w="1159"/>
        <w:gridCol w:w="1608"/>
        <w:gridCol w:w="902"/>
      </w:tblGrid>
      <w:tr w14:paraId="07B61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c>
          <w:tcPr>
            <w:tcW w:w="704" w:type="dxa"/>
            <w:vAlign w:val="center"/>
          </w:tcPr>
          <w:p w14:paraId="4F280A06">
            <w:pPr>
              <w:spacing w:line="360" w:lineRule="auto"/>
              <w:jc w:val="center"/>
              <w:rPr>
                <w:highlight w:val="none"/>
              </w:rPr>
            </w:pPr>
            <w:r>
              <w:rPr>
                <w:highlight w:val="none"/>
              </w:rPr>
              <w:t>序号</w:t>
            </w:r>
          </w:p>
        </w:tc>
        <w:tc>
          <w:tcPr>
            <w:tcW w:w="1206" w:type="dxa"/>
            <w:vAlign w:val="center"/>
          </w:tcPr>
          <w:p w14:paraId="5C91E5C8">
            <w:pPr>
              <w:spacing w:line="360" w:lineRule="auto"/>
              <w:jc w:val="center"/>
              <w:rPr>
                <w:highlight w:val="none"/>
              </w:rPr>
            </w:pPr>
            <w:r>
              <w:rPr>
                <w:highlight w:val="none"/>
              </w:rPr>
              <w:t>设备/部件</w:t>
            </w:r>
          </w:p>
        </w:tc>
        <w:tc>
          <w:tcPr>
            <w:tcW w:w="805" w:type="dxa"/>
            <w:vAlign w:val="center"/>
          </w:tcPr>
          <w:p w14:paraId="68B8C4F4">
            <w:pPr>
              <w:spacing w:line="360" w:lineRule="auto"/>
              <w:jc w:val="center"/>
              <w:rPr>
                <w:highlight w:val="none"/>
              </w:rPr>
            </w:pPr>
            <w:r>
              <w:rPr>
                <w:highlight w:val="none"/>
              </w:rPr>
              <w:t>型号</w:t>
            </w:r>
          </w:p>
        </w:tc>
        <w:tc>
          <w:tcPr>
            <w:tcW w:w="805" w:type="dxa"/>
            <w:vAlign w:val="center"/>
          </w:tcPr>
          <w:p w14:paraId="42CA5E1D">
            <w:pPr>
              <w:spacing w:line="360" w:lineRule="auto"/>
              <w:jc w:val="center"/>
              <w:rPr>
                <w:highlight w:val="none"/>
              </w:rPr>
            </w:pPr>
            <w:r>
              <w:rPr>
                <w:highlight w:val="none"/>
              </w:rPr>
              <w:t>单位</w:t>
            </w:r>
          </w:p>
        </w:tc>
        <w:tc>
          <w:tcPr>
            <w:tcW w:w="794" w:type="dxa"/>
            <w:vAlign w:val="center"/>
          </w:tcPr>
          <w:p w14:paraId="7797F1CD">
            <w:pPr>
              <w:spacing w:line="360" w:lineRule="auto"/>
              <w:jc w:val="center"/>
              <w:rPr>
                <w:highlight w:val="none"/>
              </w:rPr>
            </w:pPr>
            <w:r>
              <w:rPr>
                <w:highlight w:val="none"/>
              </w:rPr>
              <w:t>数量</w:t>
            </w:r>
          </w:p>
        </w:tc>
        <w:tc>
          <w:tcPr>
            <w:tcW w:w="862" w:type="dxa"/>
            <w:vAlign w:val="center"/>
          </w:tcPr>
          <w:p w14:paraId="70C3B8E1">
            <w:pPr>
              <w:spacing w:line="360" w:lineRule="auto"/>
              <w:jc w:val="center"/>
              <w:rPr>
                <w:highlight w:val="none"/>
              </w:rPr>
            </w:pPr>
            <w:r>
              <w:rPr>
                <w:highlight w:val="none"/>
              </w:rPr>
              <w:t>产地</w:t>
            </w:r>
          </w:p>
        </w:tc>
        <w:tc>
          <w:tcPr>
            <w:tcW w:w="1159" w:type="dxa"/>
            <w:vAlign w:val="center"/>
          </w:tcPr>
          <w:p w14:paraId="181D0F8C">
            <w:pPr>
              <w:spacing w:line="360" w:lineRule="auto"/>
              <w:jc w:val="center"/>
              <w:rPr>
                <w:highlight w:val="none"/>
              </w:rPr>
            </w:pPr>
            <w:r>
              <w:rPr>
                <w:highlight w:val="none"/>
              </w:rPr>
              <w:t>厂家名称</w:t>
            </w:r>
          </w:p>
        </w:tc>
        <w:tc>
          <w:tcPr>
            <w:tcW w:w="1608" w:type="dxa"/>
            <w:vAlign w:val="center"/>
          </w:tcPr>
          <w:p w14:paraId="79B1BE6D">
            <w:pPr>
              <w:spacing w:line="360" w:lineRule="auto"/>
              <w:jc w:val="center"/>
              <w:rPr>
                <w:highlight w:val="none"/>
              </w:rPr>
            </w:pPr>
            <w:r>
              <w:rPr>
                <w:highlight w:val="none"/>
              </w:rPr>
              <w:t>近两年同类型机组主要业绩</w:t>
            </w:r>
          </w:p>
        </w:tc>
        <w:tc>
          <w:tcPr>
            <w:tcW w:w="902" w:type="dxa"/>
            <w:vAlign w:val="center"/>
          </w:tcPr>
          <w:p w14:paraId="23F2EEED">
            <w:pPr>
              <w:spacing w:line="360" w:lineRule="auto"/>
              <w:jc w:val="center"/>
              <w:rPr>
                <w:highlight w:val="none"/>
              </w:rPr>
            </w:pPr>
            <w:r>
              <w:rPr>
                <w:highlight w:val="none"/>
              </w:rPr>
              <w:t>备注</w:t>
            </w:r>
          </w:p>
        </w:tc>
      </w:tr>
      <w:tr w14:paraId="693D8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Pr>
        <w:tc>
          <w:tcPr>
            <w:tcW w:w="704" w:type="dxa"/>
            <w:vMerge w:val="restart"/>
          </w:tcPr>
          <w:p w14:paraId="3500F715">
            <w:pPr>
              <w:spacing w:line="360" w:lineRule="auto"/>
              <w:rPr>
                <w:highlight w:val="none"/>
              </w:rPr>
            </w:pPr>
          </w:p>
        </w:tc>
        <w:tc>
          <w:tcPr>
            <w:tcW w:w="1206" w:type="dxa"/>
            <w:vMerge w:val="restart"/>
          </w:tcPr>
          <w:p w14:paraId="006665B7">
            <w:pPr>
              <w:pStyle w:val="49"/>
              <w:rPr>
                <w:highlight w:val="none"/>
              </w:rPr>
            </w:pPr>
          </w:p>
        </w:tc>
        <w:tc>
          <w:tcPr>
            <w:tcW w:w="805" w:type="dxa"/>
            <w:vMerge w:val="restart"/>
          </w:tcPr>
          <w:p w14:paraId="65F23E24">
            <w:pPr>
              <w:spacing w:line="360" w:lineRule="auto"/>
              <w:rPr>
                <w:highlight w:val="none"/>
              </w:rPr>
            </w:pPr>
          </w:p>
        </w:tc>
        <w:tc>
          <w:tcPr>
            <w:tcW w:w="805" w:type="dxa"/>
            <w:vMerge w:val="restart"/>
          </w:tcPr>
          <w:p w14:paraId="473E6B09">
            <w:pPr>
              <w:spacing w:line="360" w:lineRule="auto"/>
              <w:rPr>
                <w:highlight w:val="none"/>
              </w:rPr>
            </w:pPr>
          </w:p>
        </w:tc>
        <w:tc>
          <w:tcPr>
            <w:tcW w:w="794" w:type="dxa"/>
            <w:vMerge w:val="restart"/>
          </w:tcPr>
          <w:p w14:paraId="097F72F6">
            <w:pPr>
              <w:spacing w:line="360" w:lineRule="auto"/>
              <w:rPr>
                <w:highlight w:val="none"/>
              </w:rPr>
            </w:pPr>
          </w:p>
        </w:tc>
        <w:tc>
          <w:tcPr>
            <w:tcW w:w="862" w:type="dxa"/>
          </w:tcPr>
          <w:p w14:paraId="66C82398">
            <w:pPr>
              <w:spacing w:line="360" w:lineRule="auto"/>
              <w:rPr>
                <w:highlight w:val="none"/>
              </w:rPr>
            </w:pPr>
          </w:p>
        </w:tc>
        <w:tc>
          <w:tcPr>
            <w:tcW w:w="1159" w:type="dxa"/>
          </w:tcPr>
          <w:p w14:paraId="3E6DF8DA">
            <w:pPr>
              <w:spacing w:line="360" w:lineRule="auto"/>
              <w:rPr>
                <w:highlight w:val="none"/>
              </w:rPr>
            </w:pPr>
          </w:p>
        </w:tc>
        <w:tc>
          <w:tcPr>
            <w:tcW w:w="1608" w:type="dxa"/>
          </w:tcPr>
          <w:p w14:paraId="0CA8E8EF">
            <w:pPr>
              <w:spacing w:line="360" w:lineRule="auto"/>
              <w:rPr>
                <w:highlight w:val="none"/>
              </w:rPr>
            </w:pPr>
          </w:p>
        </w:tc>
        <w:tc>
          <w:tcPr>
            <w:tcW w:w="902" w:type="dxa"/>
          </w:tcPr>
          <w:p w14:paraId="58BF9CCE">
            <w:pPr>
              <w:spacing w:line="360" w:lineRule="auto"/>
              <w:rPr>
                <w:highlight w:val="none"/>
              </w:rPr>
            </w:pPr>
          </w:p>
        </w:tc>
      </w:tr>
      <w:tr w14:paraId="2D332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Pr>
        <w:tc>
          <w:tcPr>
            <w:tcW w:w="704" w:type="dxa"/>
            <w:vMerge w:val="continue"/>
          </w:tcPr>
          <w:p w14:paraId="44A185BA">
            <w:pPr>
              <w:spacing w:line="360" w:lineRule="auto"/>
              <w:rPr>
                <w:highlight w:val="none"/>
              </w:rPr>
            </w:pPr>
          </w:p>
        </w:tc>
        <w:tc>
          <w:tcPr>
            <w:tcW w:w="1206" w:type="dxa"/>
            <w:vMerge w:val="continue"/>
          </w:tcPr>
          <w:p w14:paraId="2D2FCEA3">
            <w:pPr>
              <w:spacing w:line="360" w:lineRule="auto"/>
              <w:rPr>
                <w:highlight w:val="none"/>
              </w:rPr>
            </w:pPr>
          </w:p>
        </w:tc>
        <w:tc>
          <w:tcPr>
            <w:tcW w:w="805" w:type="dxa"/>
            <w:vMerge w:val="continue"/>
          </w:tcPr>
          <w:p w14:paraId="6CD0533A">
            <w:pPr>
              <w:spacing w:line="360" w:lineRule="auto"/>
              <w:rPr>
                <w:highlight w:val="none"/>
              </w:rPr>
            </w:pPr>
          </w:p>
        </w:tc>
        <w:tc>
          <w:tcPr>
            <w:tcW w:w="805" w:type="dxa"/>
            <w:vMerge w:val="continue"/>
          </w:tcPr>
          <w:p w14:paraId="7CD049B5">
            <w:pPr>
              <w:spacing w:line="360" w:lineRule="auto"/>
              <w:rPr>
                <w:highlight w:val="none"/>
              </w:rPr>
            </w:pPr>
          </w:p>
        </w:tc>
        <w:tc>
          <w:tcPr>
            <w:tcW w:w="794" w:type="dxa"/>
            <w:vMerge w:val="continue"/>
          </w:tcPr>
          <w:p w14:paraId="07381F00">
            <w:pPr>
              <w:spacing w:line="360" w:lineRule="auto"/>
              <w:rPr>
                <w:highlight w:val="none"/>
              </w:rPr>
            </w:pPr>
          </w:p>
        </w:tc>
        <w:tc>
          <w:tcPr>
            <w:tcW w:w="862" w:type="dxa"/>
          </w:tcPr>
          <w:p w14:paraId="6714D187">
            <w:pPr>
              <w:spacing w:line="360" w:lineRule="auto"/>
              <w:rPr>
                <w:highlight w:val="none"/>
              </w:rPr>
            </w:pPr>
          </w:p>
        </w:tc>
        <w:tc>
          <w:tcPr>
            <w:tcW w:w="1159" w:type="dxa"/>
          </w:tcPr>
          <w:p w14:paraId="0441F002">
            <w:pPr>
              <w:spacing w:line="360" w:lineRule="auto"/>
              <w:rPr>
                <w:highlight w:val="none"/>
              </w:rPr>
            </w:pPr>
          </w:p>
        </w:tc>
        <w:tc>
          <w:tcPr>
            <w:tcW w:w="1608" w:type="dxa"/>
          </w:tcPr>
          <w:p w14:paraId="0C521247">
            <w:pPr>
              <w:spacing w:line="360" w:lineRule="auto"/>
              <w:rPr>
                <w:highlight w:val="none"/>
              </w:rPr>
            </w:pPr>
          </w:p>
        </w:tc>
        <w:tc>
          <w:tcPr>
            <w:tcW w:w="902" w:type="dxa"/>
          </w:tcPr>
          <w:p w14:paraId="72BF911D">
            <w:pPr>
              <w:spacing w:line="360" w:lineRule="auto"/>
              <w:rPr>
                <w:highlight w:val="none"/>
              </w:rPr>
            </w:pPr>
          </w:p>
        </w:tc>
      </w:tr>
      <w:tr w14:paraId="6E2D8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Pr>
        <w:tc>
          <w:tcPr>
            <w:tcW w:w="704" w:type="dxa"/>
            <w:vMerge w:val="continue"/>
          </w:tcPr>
          <w:p w14:paraId="30FB3701">
            <w:pPr>
              <w:spacing w:line="360" w:lineRule="auto"/>
              <w:rPr>
                <w:highlight w:val="none"/>
              </w:rPr>
            </w:pPr>
          </w:p>
        </w:tc>
        <w:tc>
          <w:tcPr>
            <w:tcW w:w="1206" w:type="dxa"/>
            <w:vMerge w:val="continue"/>
          </w:tcPr>
          <w:p w14:paraId="204660D6">
            <w:pPr>
              <w:spacing w:line="360" w:lineRule="auto"/>
              <w:rPr>
                <w:highlight w:val="none"/>
              </w:rPr>
            </w:pPr>
          </w:p>
        </w:tc>
        <w:tc>
          <w:tcPr>
            <w:tcW w:w="805" w:type="dxa"/>
            <w:vMerge w:val="continue"/>
          </w:tcPr>
          <w:p w14:paraId="24D61E41">
            <w:pPr>
              <w:spacing w:line="360" w:lineRule="auto"/>
              <w:rPr>
                <w:highlight w:val="none"/>
              </w:rPr>
            </w:pPr>
          </w:p>
        </w:tc>
        <w:tc>
          <w:tcPr>
            <w:tcW w:w="805" w:type="dxa"/>
            <w:vMerge w:val="continue"/>
          </w:tcPr>
          <w:p w14:paraId="4DC86A09">
            <w:pPr>
              <w:spacing w:line="360" w:lineRule="auto"/>
              <w:rPr>
                <w:highlight w:val="none"/>
              </w:rPr>
            </w:pPr>
          </w:p>
        </w:tc>
        <w:tc>
          <w:tcPr>
            <w:tcW w:w="794" w:type="dxa"/>
            <w:vMerge w:val="continue"/>
          </w:tcPr>
          <w:p w14:paraId="652BD4F1">
            <w:pPr>
              <w:spacing w:line="360" w:lineRule="auto"/>
              <w:rPr>
                <w:highlight w:val="none"/>
              </w:rPr>
            </w:pPr>
          </w:p>
        </w:tc>
        <w:tc>
          <w:tcPr>
            <w:tcW w:w="862" w:type="dxa"/>
          </w:tcPr>
          <w:p w14:paraId="16C27827">
            <w:pPr>
              <w:spacing w:line="360" w:lineRule="auto"/>
              <w:rPr>
                <w:highlight w:val="none"/>
              </w:rPr>
            </w:pPr>
          </w:p>
        </w:tc>
        <w:tc>
          <w:tcPr>
            <w:tcW w:w="1159" w:type="dxa"/>
          </w:tcPr>
          <w:p w14:paraId="237DAF6A">
            <w:pPr>
              <w:spacing w:line="360" w:lineRule="auto"/>
              <w:rPr>
                <w:highlight w:val="none"/>
              </w:rPr>
            </w:pPr>
          </w:p>
        </w:tc>
        <w:tc>
          <w:tcPr>
            <w:tcW w:w="1608" w:type="dxa"/>
          </w:tcPr>
          <w:p w14:paraId="60479A83">
            <w:pPr>
              <w:spacing w:line="360" w:lineRule="auto"/>
              <w:rPr>
                <w:highlight w:val="none"/>
              </w:rPr>
            </w:pPr>
          </w:p>
        </w:tc>
        <w:tc>
          <w:tcPr>
            <w:tcW w:w="902" w:type="dxa"/>
          </w:tcPr>
          <w:p w14:paraId="0DBB684F">
            <w:pPr>
              <w:spacing w:line="360" w:lineRule="auto"/>
              <w:rPr>
                <w:highlight w:val="none"/>
              </w:rPr>
            </w:pPr>
          </w:p>
        </w:tc>
      </w:tr>
      <w:tr w14:paraId="1CC10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Pr>
        <w:tc>
          <w:tcPr>
            <w:tcW w:w="704" w:type="dxa"/>
            <w:vMerge w:val="restart"/>
          </w:tcPr>
          <w:p w14:paraId="540941B7">
            <w:pPr>
              <w:spacing w:line="360" w:lineRule="auto"/>
              <w:rPr>
                <w:highlight w:val="none"/>
              </w:rPr>
            </w:pPr>
          </w:p>
        </w:tc>
        <w:tc>
          <w:tcPr>
            <w:tcW w:w="1206" w:type="dxa"/>
            <w:vMerge w:val="restart"/>
          </w:tcPr>
          <w:p w14:paraId="45152992">
            <w:pPr>
              <w:spacing w:line="360" w:lineRule="auto"/>
              <w:rPr>
                <w:highlight w:val="none"/>
              </w:rPr>
            </w:pPr>
          </w:p>
        </w:tc>
        <w:tc>
          <w:tcPr>
            <w:tcW w:w="805" w:type="dxa"/>
            <w:vMerge w:val="restart"/>
          </w:tcPr>
          <w:p w14:paraId="0FF84C65">
            <w:pPr>
              <w:spacing w:line="360" w:lineRule="auto"/>
              <w:rPr>
                <w:highlight w:val="none"/>
              </w:rPr>
            </w:pPr>
          </w:p>
        </w:tc>
        <w:tc>
          <w:tcPr>
            <w:tcW w:w="805" w:type="dxa"/>
            <w:vMerge w:val="restart"/>
          </w:tcPr>
          <w:p w14:paraId="387B0102">
            <w:pPr>
              <w:spacing w:line="360" w:lineRule="auto"/>
              <w:rPr>
                <w:highlight w:val="none"/>
              </w:rPr>
            </w:pPr>
          </w:p>
        </w:tc>
        <w:tc>
          <w:tcPr>
            <w:tcW w:w="794" w:type="dxa"/>
            <w:vMerge w:val="restart"/>
          </w:tcPr>
          <w:p w14:paraId="6E201764">
            <w:pPr>
              <w:spacing w:line="360" w:lineRule="auto"/>
              <w:rPr>
                <w:highlight w:val="none"/>
              </w:rPr>
            </w:pPr>
          </w:p>
        </w:tc>
        <w:tc>
          <w:tcPr>
            <w:tcW w:w="862" w:type="dxa"/>
          </w:tcPr>
          <w:p w14:paraId="04643603">
            <w:pPr>
              <w:spacing w:line="360" w:lineRule="auto"/>
              <w:rPr>
                <w:highlight w:val="none"/>
              </w:rPr>
            </w:pPr>
          </w:p>
        </w:tc>
        <w:tc>
          <w:tcPr>
            <w:tcW w:w="1159" w:type="dxa"/>
          </w:tcPr>
          <w:p w14:paraId="00B2F79B">
            <w:pPr>
              <w:spacing w:line="360" w:lineRule="auto"/>
              <w:rPr>
                <w:highlight w:val="none"/>
              </w:rPr>
            </w:pPr>
          </w:p>
        </w:tc>
        <w:tc>
          <w:tcPr>
            <w:tcW w:w="1608" w:type="dxa"/>
          </w:tcPr>
          <w:p w14:paraId="0FDD145E">
            <w:pPr>
              <w:spacing w:line="360" w:lineRule="auto"/>
              <w:rPr>
                <w:highlight w:val="none"/>
              </w:rPr>
            </w:pPr>
          </w:p>
        </w:tc>
        <w:tc>
          <w:tcPr>
            <w:tcW w:w="902" w:type="dxa"/>
          </w:tcPr>
          <w:p w14:paraId="29D71956">
            <w:pPr>
              <w:spacing w:line="360" w:lineRule="auto"/>
              <w:rPr>
                <w:highlight w:val="none"/>
              </w:rPr>
            </w:pPr>
          </w:p>
        </w:tc>
      </w:tr>
      <w:tr w14:paraId="25CAD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Pr>
        <w:tc>
          <w:tcPr>
            <w:tcW w:w="704" w:type="dxa"/>
            <w:vMerge w:val="continue"/>
          </w:tcPr>
          <w:p w14:paraId="6169278E">
            <w:pPr>
              <w:spacing w:line="360" w:lineRule="auto"/>
              <w:rPr>
                <w:highlight w:val="none"/>
              </w:rPr>
            </w:pPr>
          </w:p>
        </w:tc>
        <w:tc>
          <w:tcPr>
            <w:tcW w:w="1206" w:type="dxa"/>
            <w:vMerge w:val="continue"/>
          </w:tcPr>
          <w:p w14:paraId="05AC2A32">
            <w:pPr>
              <w:spacing w:line="360" w:lineRule="auto"/>
              <w:rPr>
                <w:highlight w:val="none"/>
              </w:rPr>
            </w:pPr>
          </w:p>
        </w:tc>
        <w:tc>
          <w:tcPr>
            <w:tcW w:w="805" w:type="dxa"/>
            <w:vMerge w:val="continue"/>
          </w:tcPr>
          <w:p w14:paraId="46A453CB">
            <w:pPr>
              <w:spacing w:line="360" w:lineRule="auto"/>
              <w:rPr>
                <w:highlight w:val="none"/>
              </w:rPr>
            </w:pPr>
          </w:p>
        </w:tc>
        <w:tc>
          <w:tcPr>
            <w:tcW w:w="805" w:type="dxa"/>
            <w:vMerge w:val="continue"/>
          </w:tcPr>
          <w:p w14:paraId="24D9A1DD">
            <w:pPr>
              <w:spacing w:line="360" w:lineRule="auto"/>
              <w:rPr>
                <w:highlight w:val="none"/>
              </w:rPr>
            </w:pPr>
          </w:p>
        </w:tc>
        <w:tc>
          <w:tcPr>
            <w:tcW w:w="794" w:type="dxa"/>
            <w:vMerge w:val="continue"/>
          </w:tcPr>
          <w:p w14:paraId="2A88264E">
            <w:pPr>
              <w:spacing w:line="360" w:lineRule="auto"/>
              <w:rPr>
                <w:highlight w:val="none"/>
              </w:rPr>
            </w:pPr>
          </w:p>
        </w:tc>
        <w:tc>
          <w:tcPr>
            <w:tcW w:w="862" w:type="dxa"/>
          </w:tcPr>
          <w:p w14:paraId="063132A0">
            <w:pPr>
              <w:spacing w:line="360" w:lineRule="auto"/>
              <w:rPr>
                <w:highlight w:val="none"/>
              </w:rPr>
            </w:pPr>
          </w:p>
        </w:tc>
        <w:tc>
          <w:tcPr>
            <w:tcW w:w="1159" w:type="dxa"/>
          </w:tcPr>
          <w:p w14:paraId="7E6F67F7">
            <w:pPr>
              <w:spacing w:line="360" w:lineRule="auto"/>
              <w:rPr>
                <w:highlight w:val="none"/>
              </w:rPr>
            </w:pPr>
          </w:p>
        </w:tc>
        <w:tc>
          <w:tcPr>
            <w:tcW w:w="1608" w:type="dxa"/>
          </w:tcPr>
          <w:p w14:paraId="75014334">
            <w:pPr>
              <w:spacing w:line="360" w:lineRule="auto"/>
              <w:rPr>
                <w:highlight w:val="none"/>
              </w:rPr>
            </w:pPr>
          </w:p>
        </w:tc>
        <w:tc>
          <w:tcPr>
            <w:tcW w:w="902" w:type="dxa"/>
          </w:tcPr>
          <w:p w14:paraId="68089641">
            <w:pPr>
              <w:spacing w:line="360" w:lineRule="auto"/>
              <w:rPr>
                <w:highlight w:val="none"/>
              </w:rPr>
            </w:pPr>
          </w:p>
        </w:tc>
      </w:tr>
      <w:tr w14:paraId="40203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Pr>
        <w:tc>
          <w:tcPr>
            <w:tcW w:w="704" w:type="dxa"/>
            <w:vMerge w:val="continue"/>
          </w:tcPr>
          <w:p w14:paraId="75311A34">
            <w:pPr>
              <w:spacing w:line="360" w:lineRule="auto"/>
              <w:rPr>
                <w:highlight w:val="none"/>
              </w:rPr>
            </w:pPr>
          </w:p>
        </w:tc>
        <w:tc>
          <w:tcPr>
            <w:tcW w:w="1206" w:type="dxa"/>
            <w:vMerge w:val="continue"/>
          </w:tcPr>
          <w:p w14:paraId="7BD0A44B">
            <w:pPr>
              <w:spacing w:line="360" w:lineRule="auto"/>
              <w:rPr>
                <w:highlight w:val="none"/>
              </w:rPr>
            </w:pPr>
          </w:p>
        </w:tc>
        <w:tc>
          <w:tcPr>
            <w:tcW w:w="805" w:type="dxa"/>
            <w:vMerge w:val="continue"/>
          </w:tcPr>
          <w:p w14:paraId="5D88A80B">
            <w:pPr>
              <w:spacing w:line="360" w:lineRule="auto"/>
              <w:rPr>
                <w:highlight w:val="none"/>
              </w:rPr>
            </w:pPr>
          </w:p>
        </w:tc>
        <w:tc>
          <w:tcPr>
            <w:tcW w:w="805" w:type="dxa"/>
            <w:vMerge w:val="continue"/>
          </w:tcPr>
          <w:p w14:paraId="212E5CA8">
            <w:pPr>
              <w:spacing w:line="360" w:lineRule="auto"/>
              <w:rPr>
                <w:highlight w:val="none"/>
              </w:rPr>
            </w:pPr>
          </w:p>
        </w:tc>
        <w:tc>
          <w:tcPr>
            <w:tcW w:w="794" w:type="dxa"/>
            <w:vMerge w:val="continue"/>
          </w:tcPr>
          <w:p w14:paraId="4FF20C52">
            <w:pPr>
              <w:spacing w:line="360" w:lineRule="auto"/>
              <w:rPr>
                <w:highlight w:val="none"/>
              </w:rPr>
            </w:pPr>
          </w:p>
        </w:tc>
        <w:tc>
          <w:tcPr>
            <w:tcW w:w="862" w:type="dxa"/>
          </w:tcPr>
          <w:p w14:paraId="5A3DD8FF">
            <w:pPr>
              <w:spacing w:line="360" w:lineRule="auto"/>
              <w:rPr>
                <w:highlight w:val="none"/>
              </w:rPr>
            </w:pPr>
          </w:p>
        </w:tc>
        <w:tc>
          <w:tcPr>
            <w:tcW w:w="1159" w:type="dxa"/>
          </w:tcPr>
          <w:p w14:paraId="75010774">
            <w:pPr>
              <w:spacing w:line="360" w:lineRule="auto"/>
              <w:rPr>
                <w:highlight w:val="none"/>
              </w:rPr>
            </w:pPr>
          </w:p>
        </w:tc>
        <w:tc>
          <w:tcPr>
            <w:tcW w:w="1608" w:type="dxa"/>
          </w:tcPr>
          <w:p w14:paraId="435CA359">
            <w:pPr>
              <w:spacing w:line="360" w:lineRule="auto"/>
              <w:rPr>
                <w:highlight w:val="none"/>
              </w:rPr>
            </w:pPr>
          </w:p>
        </w:tc>
        <w:tc>
          <w:tcPr>
            <w:tcW w:w="902" w:type="dxa"/>
          </w:tcPr>
          <w:p w14:paraId="000AC84F">
            <w:pPr>
              <w:spacing w:line="360" w:lineRule="auto"/>
              <w:rPr>
                <w:highlight w:val="none"/>
              </w:rPr>
            </w:pPr>
          </w:p>
        </w:tc>
      </w:tr>
    </w:tbl>
    <w:p w14:paraId="674C015F">
      <w:pPr>
        <w:spacing w:line="360" w:lineRule="auto"/>
        <w:rPr>
          <w:highlight w:val="none"/>
        </w:rPr>
      </w:pPr>
    </w:p>
    <w:p w14:paraId="75718855">
      <w:pPr>
        <w:spacing w:line="360" w:lineRule="auto"/>
        <w:ind w:firstLine="420"/>
        <w:rPr>
          <w:rFonts w:hAnsi="宋体"/>
          <w:highlight w:val="none"/>
        </w:rPr>
      </w:pPr>
      <w:r>
        <w:rPr>
          <w:rFonts w:hint="eastAsia"/>
          <w:bCs/>
          <w:highlight w:val="none"/>
        </w:rPr>
        <w:t>2、对外购件的质量管理内容情况说明。</w:t>
      </w:r>
    </w:p>
    <w:bookmarkEnd w:id="183"/>
    <w:bookmarkEnd w:id="184"/>
    <w:bookmarkEnd w:id="185"/>
    <w:bookmarkEnd w:id="186"/>
    <w:bookmarkEnd w:id="187"/>
    <w:p w14:paraId="1FBC36AA">
      <w:pPr>
        <w:spacing w:line="500" w:lineRule="exact"/>
        <w:ind w:firstLine="420"/>
        <w:rPr>
          <w:rFonts w:ascii="宋体" w:hAnsi="宋体"/>
          <w:highlight w:val="none"/>
        </w:rPr>
      </w:pPr>
    </w:p>
    <w:p w14:paraId="29FC8C0B">
      <w:pPr>
        <w:spacing w:line="500" w:lineRule="exact"/>
        <w:ind w:firstLine="420"/>
        <w:rPr>
          <w:rFonts w:ascii="宋体" w:hAnsi="宋体"/>
          <w:highlight w:val="none"/>
        </w:rPr>
        <w:sectPr>
          <w:endnotePr>
            <w:numFmt w:val="decimal"/>
          </w:endnotePr>
          <w:pgSz w:w="11907" w:h="16840"/>
          <w:pgMar w:top="1418" w:right="1531" w:bottom="1418" w:left="1701" w:header="851" w:footer="1021" w:gutter="0"/>
          <w:cols w:space="720" w:num="1"/>
          <w:docGrid w:linePitch="326" w:charSpace="0"/>
        </w:sectPr>
      </w:pPr>
    </w:p>
    <w:p w14:paraId="1B64AA3B">
      <w:pPr>
        <w:pStyle w:val="2"/>
        <w:rPr>
          <w:sz w:val="30"/>
          <w:szCs w:val="30"/>
          <w:highlight w:val="none"/>
        </w:rPr>
      </w:pPr>
      <w:bookmarkStart w:id="190" w:name="_Toc201065489"/>
      <w:bookmarkStart w:id="191" w:name="_Toc12024"/>
      <w:bookmarkStart w:id="192" w:name="_Toc286159476"/>
      <w:bookmarkStart w:id="193" w:name="_Toc501817581"/>
      <w:bookmarkStart w:id="194" w:name="_Toc517056034"/>
      <w:r>
        <w:rPr>
          <w:rFonts w:hint="eastAsia"/>
          <w:sz w:val="30"/>
          <w:szCs w:val="30"/>
          <w:highlight w:val="none"/>
        </w:rPr>
        <w:t>附件8 运行维护手册</w:t>
      </w:r>
      <w:bookmarkEnd w:id="190"/>
      <w:bookmarkEnd w:id="191"/>
      <w:bookmarkEnd w:id="192"/>
    </w:p>
    <w:p w14:paraId="5C68CF31">
      <w:pPr>
        <w:spacing w:line="500" w:lineRule="exact"/>
        <w:jc w:val="left"/>
        <w:rPr>
          <w:rFonts w:ascii="宋体" w:hAnsi="宋体"/>
          <w:b/>
          <w:bCs/>
          <w:highlight w:val="none"/>
        </w:rPr>
      </w:pPr>
      <w:r>
        <w:rPr>
          <w:rFonts w:hint="eastAsia" w:ascii="宋体" w:hAnsi="宋体"/>
          <w:b/>
          <w:bCs/>
          <w:highlight w:val="none"/>
        </w:rPr>
        <w:t>无</w:t>
      </w:r>
    </w:p>
    <w:bookmarkEnd w:id="193"/>
    <w:bookmarkEnd w:id="194"/>
    <w:p w14:paraId="04312246">
      <w:pPr>
        <w:spacing w:line="500" w:lineRule="exact"/>
        <w:ind w:firstLine="420"/>
        <w:rPr>
          <w:rFonts w:ascii="宋体" w:hAnsi="宋体"/>
          <w:highlight w:val="none"/>
        </w:rPr>
        <w:sectPr>
          <w:headerReference r:id="rId13" w:type="first"/>
          <w:footerReference r:id="rId14" w:type="first"/>
          <w:endnotePr>
            <w:numFmt w:val="decimal"/>
          </w:endnotePr>
          <w:pgSz w:w="11907" w:h="16840"/>
          <w:pgMar w:top="1418" w:right="1531" w:bottom="1418" w:left="1701" w:header="851" w:footer="1021" w:gutter="0"/>
          <w:cols w:space="720" w:num="1"/>
          <w:docGrid w:linePitch="326" w:charSpace="0"/>
        </w:sectPr>
      </w:pPr>
    </w:p>
    <w:p w14:paraId="2297577B">
      <w:pPr>
        <w:spacing w:line="500" w:lineRule="exact"/>
        <w:rPr>
          <w:rFonts w:ascii="宋体" w:hAnsi="宋体"/>
          <w:highlight w:val="none"/>
        </w:rPr>
      </w:pPr>
    </w:p>
    <w:p w14:paraId="4D09B439">
      <w:pPr>
        <w:pStyle w:val="2"/>
        <w:rPr>
          <w:sz w:val="30"/>
          <w:szCs w:val="30"/>
          <w:highlight w:val="none"/>
        </w:rPr>
      </w:pPr>
      <w:bookmarkStart w:id="195" w:name="_Toc286159477"/>
      <w:bookmarkStart w:id="196" w:name="_Toc3588"/>
      <w:r>
        <w:rPr>
          <w:rFonts w:hint="eastAsia"/>
          <w:sz w:val="30"/>
          <w:szCs w:val="30"/>
          <w:highlight w:val="none"/>
        </w:rPr>
        <w:t>附件</w:t>
      </w:r>
      <w:r>
        <w:rPr>
          <w:sz w:val="30"/>
          <w:szCs w:val="30"/>
          <w:highlight w:val="none"/>
        </w:rPr>
        <w:t xml:space="preserve">9 </w:t>
      </w:r>
      <w:r>
        <w:rPr>
          <w:rFonts w:hint="eastAsia"/>
          <w:sz w:val="30"/>
          <w:szCs w:val="30"/>
          <w:highlight w:val="none"/>
        </w:rPr>
        <w:t>大（部）件情况</w:t>
      </w:r>
      <w:bookmarkEnd w:id="195"/>
      <w:bookmarkEnd w:id="196"/>
    </w:p>
    <w:p w14:paraId="7E5B2DF3">
      <w:pPr>
        <w:spacing w:line="500" w:lineRule="exact"/>
        <w:ind w:firstLine="566"/>
        <w:rPr>
          <w:rFonts w:ascii="宋体" w:hAnsi="宋体"/>
          <w:highlight w:val="none"/>
        </w:rPr>
      </w:pPr>
      <w:r>
        <w:rPr>
          <w:rFonts w:hint="eastAsia" w:ascii="宋体" w:hAnsi="宋体"/>
          <w:highlight w:val="none"/>
        </w:rPr>
        <w:t>投标人应把超重超限的情况详细予以说明。</w:t>
      </w:r>
    </w:p>
    <w:tbl>
      <w:tblPr>
        <w:tblStyle w:val="25"/>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83"/>
        <w:gridCol w:w="710"/>
        <w:gridCol w:w="475"/>
        <w:gridCol w:w="620"/>
        <w:gridCol w:w="960"/>
        <w:gridCol w:w="600"/>
        <w:gridCol w:w="960"/>
        <w:gridCol w:w="1080"/>
        <w:gridCol w:w="1440"/>
        <w:gridCol w:w="1080"/>
        <w:gridCol w:w="960"/>
      </w:tblGrid>
      <w:tr w14:paraId="7086AF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restart"/>
            <w:tcBorders>
              <w:top w:val="single" w:color="auto" w:sz="6" w:space="0"/>
              <w:left w:val="single" w:color="auto" w:sz="6" w:space="0"/>
              <w:right w:val="single" w:color="auto" w:sz="6" w:space="0"/>
            </w:tcBorders>
            <w:vAlign w:val="center"/>
          </w:tcPr>
          <w:p w14:paraId="17E0D6CE">
            <w:pPr>
              <w:spacing w:line="500" w:lineRule="exact"/>
              <w:jc w:val="center"/>
              <w:rPr>
                <w:rFonts w:ascii="宋体" w:hAnsi="宋体"/>
                <w:highlight w:val="none"/>
              </w:rPr>
            </w:pPr>
            <w:r>
              <w:rPr>
                <w:rFonts w:hint="eastAsia" w:ascii="宋体" w:hAnsi="宋体"/>
                <w:highlight w:val="none"/>
              </w:rPr>
              <w:t>序</w:t>
            </w:r>
          </w:p>
          <w:p w14:paraId="1CCD9A0E">
            <w:pPr>
              <w:spacing w:line="500" w:lineRule="exact"/>
              <w:jc w:val="center"/>
              <w:rPr>
                <w:rFonts w:ascii="宋体" w:hAnsi="宋体"/>
                <w:highlight w:val="none"/>
              </w:rPr>
            </w:pPr>
            <w:r>
              <w:rPr>
                <w:rFonts w:hint="eastAsia" w:ascii="宋体" w:hAnsi="宋体"/>
                <w:highlight w:val="none"/>
              </w:rPr>
              <w:t>号</w:t>
            </w:r>
          </w:p>
        </w:tc>
        <w:tc>
          <w:tcPr>
            <w:tcW w:w="710" w:type="dxa"/>
            <w:vMerge w:val="restart"/>
            <w:tcBorders>
              <w:top w:val="single" w:color="auto" w:sz="6" w:space="0"/>
              <w:left w:val="nil"/>
              <w:right w:val="single" w:color="auto" w:sz="6" w:space="0"/>
            </w:tcBorders>
            <w:vAlign w:val="center"/>
          </w:tcPr>
          <w:p w14:paraId="74622BD1">
            <w:pPr>
              <w:spacing w:line="500" w:lineRule="exact"/>
              <w:jc w:val="center"/>
              <w:rPr>
                <w:rFonts w:ascii="宋体" w:hAnsi="宋体"/>
                <w:highlight w:val="none"/>
              </w:rPr>
            </w:pPr>
            <w:r>
              <w:rPr>
                <w:rFonts w:hint="eastAsia" w:ascii="宋体" w:hAnsi="宋体"/>
                <w:highlight w:val="none"/>
              </w:rPr>
              <w:t>部件名称</w:t>
            </w:r>
          </w:p>
        </w:tc>
        <w:tc>
          <w:tcPr>
            <w:tcW w:w="475" w:type="dxa"/>
            <w:vMerge w:val="restart"/>
            <w:tcBorders>
              <w:top w:val="single" w:color="auto" w:sz="6" w:space="0"/>
              <w:left w:val="nil"/>
              <w:right w:val="single" w:color="auto" w:sz="6" w:space="0"/>
            </w:tcBorders>
            <w:vAlign w:val="center"/>
          </w:tcPr>
          <w:p w14:paraId="5C41B763">
            <w:pPr>
              <w:spacing w:line="500" w:lineRule="exact"/>
              <w:jc w:val="center"/>
              <w:rPr>
                <w:rFonts w:ascii="宋体" w:hAnsi="宋体"/>
                <w:highlight w:val="none"/>
              </w:rPr>
            </w:pPr>
            <w:r>
              <w:rPr>
                <w:rFonts w:hint="eastAsia" w:ascii="宋体" w:hAnsi="宋体"/>
                <w:highlight w:val="none"/>
              </w:rPr>
              <w:t>数量</w:t>
            </w:r>
          </w:p>
        </w:tc>
        <w:tc>
          <w:tcPr>
            <w:tcW w:w="1580" w:type="dxa"/>
            <w:gridSpan w:val="2"/>
            <w:tcBorders>
              <w:top w:val="single" w:color="auto" w:sz="6" w:space="0"/>
              <w:left w:val="nil"/>
              <w:bottom w:val="single" w:color="auto" w:sz="6" w:space="0"/>
              <w:right w:val="nil"/>
            </w:tcBorders>
            <w:vAlign w:val="center"/>
          </w:tcPr>
          <w:p w14:paraId="6739498A">
            <w:pPr>
              <w:spacing w:line="500" w:lineRule="exact"/>
              <w:jc w:val="center"/>
              <w:rPr>
                <w:rFonts w:ascii="宋体" w:hAnsi="宋体"/>
                <w:highlight w:val="none"/>
              </w:rPr>
            </w:pPr>
            <w:r>
              <w:rPr>
                <w:rFonts w:hint="eastAsia" w:ascii="宋体" w:hAnsi="宋体"/>
                <w:highlight w:val="none"/>
              </w:rPr>
              <w:t>长</w:t>
            </w:r>
            <w:r>
              <w:rPr>
                <w:rFonts w:ascii="宋体" w:hAnsi="宋体"/>
                <w:highlight w:val="none"/>
              </w:rPr>
              <w:t>*</w:t>
            </w:r>
            <w:r>
              <w:rPr>
                <w:rFonts w:hint="eastAsia" w:ascii="宋体" w:hAnsi="宋体"/>
                <w:highlight w:val="none"/>
              </w:rPr>
              <w:t>宽</w:t>
            </w:r>
            <w:r>
              <w:rPr>
                <w:rFonts w:ascii="宋体" w:hAnsi="宋体"/>
                <w:highlight w:val="none"/>
              </w:rPr>
              <w:t>*</w:t>
            </w:r>
            <w:r>
              <w:rPr>
                <w:rFonts w:hint="eastAsia" w:ascii="宋体" w:hAnsi="宋体"/>
                <w:highlight w:val="none"/>
              </w:rPr>
              <w:t>高</w:t>
            </w:r>
          </w:p>
        </w:tc>
        <w:tc>
          <w:tcPr>
            <w:tcW w:w="1560" w:type="dxa"/>
            <w:gridSpan w:val="2"/>
            <w:tcBorders>
              <w:top w:val="single" w:color="auto" w:sz="6" w:space="0"/>
              <w:left w:val="single" w:color="auto" w:sz="6" w:space="0"/>
              <w:bottom w:val="single" w:color="auto" w:sz="6" w:space="0"/>
              <w:right w:val="nil"/>
            </w:tcBorders>
            <w:vAlign w:val="center"/>
          </w:tcPr>
          <w:p w14:paraId="2D6D15F0">
            <w:pPr>
              <w:spacing w:line="500" w:lineRule="exact"/>
              <w:jc w:val="center"/>
              <w:rPr>
                <w:rFonts w:ascii="宋体" w:hAnsi="宋体"/>
                <w:highlight w:val="none"/>
              </w:rPr>
            </w:pPr>
            <w:r>
              <w:rPr>
                <w:rFonts w:hint="eastAsia" w:ascii="宋体" w:hAnsi="宋体"/>
                <w:highlight w:val="none"/>
              </w:rPr>
              <w:t>重量</w:t>
            </w:r>
          </w:p>
        </w:tc>
        <w:tc>
          <w:tcPr>
            <w:tcW w:w="1080" w:type="dxa"/>
            <w:vMerge w:val="restart"/>
            <w:tcBorders>
              <w:top w:val="single" w:color="auto" w:sz="6" w:space="0"/>
              <w:left w:val="single" w:color="auto" w:sz="6" w:space="0"/>
              <w:right w:val="nil"/>
            </w:tcBorders>
            <w:vAlign w:val="center"/>
          </w:tcPr>
          <w:p w14:paraId="09E3A8C8">
            <w:pPr>
              <w:spacing w:line="500" w:lineRule="exact"/>
              <w:jc w:val="center"/>
              <w:rPr>
                <w:rFonts w:ascii="宋体" w:hAnsi="宋体"/>
                <w:highlight w:val="none"/>
              </w:rPr>
            </w:pPr>
            <w:r>
              <w:rPr>
                <w:rFonts w:hint="eastAsia" w:ascii="宋体" w:hAnsi="宋体"/>
                <w:highlight w:val="none"/>
              </w:rPr>
              <w:t>厂家</w:t>
            </w:r>
          </w:p>
          <w:p w14:paraId="1D917593">
            <w:pPr>
              <w:spacing w:line="500" w:lineRule="exact"/>
              <w:jc w:val="center"/>
              <w:rPr>
                <w:rFonts w:ascii="宋体" w:hAnsi="宋体"/>
                <w:highlight w:val="none"/>
              </w:rPr>
            </w:pPr>
            <w:r>
              <w:rPr>
                <w:rFonts w:hint="eastAsia" w:ascii="宋体" w:hAnsi="宋体"/>
                <w:highlight w:val="none"/>
              </w:rPr>
              <w:t>名称</w:t>
            </w:r>
          </w:p>
        </w:tc>
        <w:tc>
          <w:tcPr>
            <w:tcW w:w="1440" w:type="dxa"/>
            <w:vMerge w:val="restart"/>
            <w:tcBorders>
              <w:top w:val="single" w:color="auto" w:sz="6" w:space="0"/>
              <w:left w:val="single" w:color="auto" w:sz="6" w:space="0"/>
              <w:right w:val="nil"/>
            </w:tcBorders>
            <w:vAlign w:val="center"/>
          </w:tcPr>
          <w:p w14:paraId="5DE7BF72">
            <w:pPr>
              <w:spacing w:line="500" w:lineRule="exact"/>
              <w:jc w:val="center"/>
              <w:rPr>
                <w:rFonts w:ascii="宋体" w:hAnsi="宋体"/>
                <w:highlight w:val="none"/>
              </w:rPr>
            </w:pPr>
            <w:r>
              <w:rPr>
                <w:rFonts w:hint="eastAsia" w:ascii="宋体" w:hAnsi="宋体"/>
                <w:highlight w:val="none"/>
              </w:rPr>
              <w:t>货物发运</w:t>
            </w:r>
          </w:p>
          <w:p w14:paraId="551C332B">
            <w:pPr>
              <w:spacing w:line="500" w:lineRule="exact"/>
              <w:jc w:val="center"/>
              <w:rPr>
                <w:rFonts w:ascii="宋体" w:hAnsi="宋体"/>
                <w:highlight w:val="none"/>
              </w:rPr>
            </w:pPr>
            <w:r>
              <w:rPr>
                <w:rFonts w:hint="eastAsia" w:ascii="宋体" w:hAnsi="宋体"/>
                <w:highlight w:val="none"/>
              </w:rPr>
              <w:t>地点</w:t>
            </w:r>
          </w:p>
        </w:tc>
        <w:tc>
          <w:tcPr>
            <w:tcW w:w="1080" w:type="dxa"/>
            <w:vMerge w:val="restart"/>
            <w:tcBorders>
              <w:top w:val="single" w:color="auto" w:sz="6" w:space="0"/>
              <w:left w:val="single" w:color="auto" w:sz="6" w:space="0"/>
              <w:right w:val="nil"/>
            </w:tcBorders>
            <w:vAlign w:val="center"/>
          </w:tcPr>
          <w:p w14:paraId="645BBC8D">
            <w:pPr>
              <w:spacing w:line="500" w:lineRule="exact"/>
              <w:jc w:val="center"/>
              <w:rPr>
                <w:rFonts w:ascii="宋体" w:hAnsi="宋体"/>
                <w:highlight w:val="none"/>
              </w:rPr>
            </w:pPr>
            <w:r>
              <w:rPr>
                <w:rFonts w:hint="eastAsia" w:ascii="宋体" w:hAnsi="宋体"/>
                <w:highlight w:val="none"/>
              </w:rPr>
              <w:t>运输方式</w:t>
            </w:r>
          </w:p>
        </w:tc>
        <w:tc>
          <w:tcPr>
            <w:tcW w:w="960" w:type="dxa"/>
            <w:vMerge w:val="restart"/>
            <w:tcBorders>
              <w:top w:val="single" w:color="auto" w:sz="6" w:space="0"/>
              <w:left w:val="single" w:color="auto" w:sz="6" w:space="0"/>
              <w:right w:val="single" w:color="auto" w:sz="6" w:space="0"/>
            </w:tcBorders>
            <w:vAlign w:val="center"/>
          </w:tcPr>
          <w:p w14:paraId="6BB1A960">
            <w:pPr>
              <w:spacing w:line="500" w:lineRule="exact"/>
              <w:jc w:val="center"/>
              <w:rPr>
                <w:rFonts w:ascii="宋体" w:hAnsi="宋体"/>
                <w:highlight w:val="none"/>
              </w:rPr>
            </w:pPr>
            <w:r>
              <w:rPr>
                <w:rFonts w:hint="eastAsia" w:ascii="宋体" w:hAnsi="宋体"/>
                <w:highlight w:val="none"/>
              </w:rPr>
              <w:t>备注</w:t>
            </w:r>
          </w:p>
        </w:tc>
      </w:tr>
      <w:tr w14:paraId="2156FA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continue"/>
            <w:tcBorders>
              <w:left w:val="single" w:color="auto" w:sz="6" w:space="0"/>
              <w:bottom w:val="single" w:color="auto" w:sz="6" w:space="0"/>
              <w:right w:val="single" w:color="auto" w:sz="6" w:space="0"/>
            </w:tcBorders>
          </w:tcPr>
          <w:p w14:paraId="3629E5A6">
            <w:pPr>
              <w:spacing w:line="500" w:lineRule="exact"/>
              <w:jc w:val="center"/>
              <w:rPr>
                <w:rFonts w:ascii="宋体" w:hAnsi="宋体"/>
                <w:highlight w:val="none"/>
              </w:rPr>
            </w:pPr>
          </w:p>
        </w:tc>
        <w:tc>
          <w:tcPr>
            <w:tcW w:w="710" w:type="dxa"/>
            <w:vMerge w:val="continue"/>
            <w:tcBorders>
              <w:left w:val="nil"/>
              <w:bottom w:val="single" w:color="auto" w:sz="6" w:space="0"/>
              <w:right w:val="single" w:color="auto" w:sz="6" w:space="0"/>
            </w:tcBorders>
          </w:tcPr>
          <w:p w14:paraId="1BBF44A8">
            <w:pPr>
              <w:spacing w:line="500" w:lineRule="exact"/>
              <w:jc w:val="center"/>
              <w:rPr>
                <w:rFonts w:ascii="宋体" w:hAnsi="宋体"/>
                <w:highlight w:val="none"/>
              </w:rPr>
            </w:pPr>
          </w:p>
        </w:tc>
        <w:tc>
          <w:tcPr>
            <w:tcW w:w="475" w:type="dxa"/>
            <w:vMerge w:val="continue"/>
            <w:tcBorders>
              <w:left w:val="nil"/>
              <w:bottom w:val="single" w:color="auto" w:sz="6" w:space="0"/>
              <w:right w:val="single" w:color="auto" w:sz="6" w:space="0"/>
            </w:tcBorders>
          </w:tcPr>
          <w:p w14:paraId="3740CC12">
            <w:pPr>
              <w:spacing w:line="500" w:lineRule="exact"/>
              <w:jc w:val="center"/>
              <w:rPr>
                <w:rFonts w:ascii="宋体" w:hAnsi="宋体"/>
                <w:highlight w:val="none"/>
              </w:rPr>
            </w:pPr>
          </w:p>
        </w:tc>
        <w:tc>
          <w:tcPr>
            <w:tcW w:w="620" w:type="dxa"/>
            <w:tcBorders>
              <w:top w:val="nil"/>
              <w:left w:val="nil"/>
            </w:tcBorders>
          </w:tcPr>
          <w:p w14:paraId="7B2E9809">
            <w:pPr>
              <w:spacing w:line="500" w:lineRule="exact"/>
              <w:jc w:val="center"/>
              <w:rPr>
                <w:rFonts w:ascii="宋体" w:hAnsi="宋体"/>
                <w:highlight w:val="none"/>
              </w:rPr>
            </w:pPr>
            <w:r>
              <w:rPr>
                <w:rFonts w:hint="eastAsia" w:ascii="宋体" w:hAnsi="宋体"/>
                <w:highlight w:val="none"/>
              </w:rPr>
              <w:t>包装</w:t>
            </w:r>
          </w:p>
        </w:tc>
        <w:tc>
          <w:tcPr>
            <w:tcW w:w="960" w:type="dxa"/>
            <w:tcBorders>
              <w:top w:val="nil"/>
            </w:tcBorders>
          </w:tcPr>
          <w:p w14:paraId="1CAB261A">
            <w:pPr>
              <w:spacing w:line="500" w:lineRule="exact"/>
              <w:jc w:val="center"/>
              <w:rPr>
                <w:rFonts w:ascii="宋体" w:hAnsi="宋体"/>
                <w:highlight w:val="none"/>
              </w:rPr>
            </w:pPr>
            <w:r>
              <w:rPr>
                <w:rFonts w:hint="eastAsia" w:ascii="宋体" w:hAnsi="宋体"/>
                <w:highlight w:val="none"/>
              </w:rPr>
              <w:t>未包装</w:t>
            </w:r>
          </w:p>
        </w:tc>
        <w:tc>
          <w:tcPr>
            <w:tcW w:w="600" w:type="dxa"/>
            <w:tcBorders>
              <w:top w:val="nil"/>
            </w:tcBorders>
          </w:tcPr>
          <w:p w14:paraId="654F2E2D">
            <w:pPr>
              <w:spacing w:line="500" w:lineRule="exact"/>
              <w:jc w:val="center"/>
              <w:rPr>
                <w:rFonts w:ascii="宋体" w:hAnsi="宋体"/>
                <w:highlight w:val="none"/>
              </w:rPr>
            </w:pPr>
            <w:r>
              <w:rPr>
                <w:rFonts w:hint="eastAsia" w:ascii="宋体" w:hAnsi="宋体"/>
                <w:highlight w:val="none"/>
              </w:rPr>
              <w:t>包装</w:t>
            </w:r>
          </w:p>
        </w:tc>
        <w:tc>
          <w:tcPr>
            <w:tcW w:w="960" w:type="dxa"/>
            <w:tcBorders>
              <w:top w:val="nil"/>
              <w:right w:val="nil"/>
            </w:tcBorders>
          </w:tcPr>
          <w:p w14:paraId="0507B0D3">
            <w:pPr>
              <w:spacing w:line="500" w:lineRule="exact"/>
              <w:jc w:val="center"/>
              <w:rPr>
                <w:rFonts w:ascii="宋体" w:hAnsi="宋体"/>
                <w:highlight w:val="none"/>
              </w:rPr>
            </w:pPr>
            <w:r>
              <w:rPr>
                <w:rFonts w:hint="eastAsia" w:ascii="宋体" w:hAnsi="宋体"/>
                <w:highlight w:val="none"/>
              </w:rPr>
              <w:t>未包装</w:t>
            </w:r>
          </w:p>
        </w:tc>
        <w:tc>
          <w:tcPr>
            <w:tcW w:w="1080" w:type="dxa"/>
            <w:vMerge w:val="continue"/>
            <w:tcBorders>
              <w:left w:val="single" w:color="auto" w:sz="6" w:space="0"/>
              <w:bottom w:val="single" w:color="auto" w:sz="6" w:space="0"/>
              <w:right w:val="nil"/>
            </w:tcBorders>
          </w:tcPr>
          <w:p w14:paraId="6272A79F">
            <w:pPr>
              <w:spacing w:line="500" w:lineRule="exact"/>
              <w:jc w:val="center"/>
              <w:rPr>
                <w:rFonts w:ascii="宋体" w:hAnsi="宋体"/>
                <w:highlight w:val="none"/>
              </w:rPr>
            </w:pPr>
          </w:p>
        </w:tc>
        <w:tc>
          <w:tcPr>
            <w:tcW w:w="1440" w:type="dxa"/>
            <w:vMerge w:val="continue"/>
            <w:tcBorders>
              <w:left w:val="single" w:color="auto" w:sz="6" w:space="0"/>
              <w:bottom w:val="single" w:color="auto" w:sz="6" w:space="0"/>
              <w:right w:val="nil"/>
            </w:tcBorders>
          </w:tcPr>
          <w:p w14:paraId="2C744BF7">
            <w:pPr>
              <w:spacing w:line="500" w:lineRule="exact"/>
              <w:jc w:val="center"/>
              <w:rPr>
                <w:rFonts w:ascii="宋体" w:hAnsi="宋体"/>
                <w:highlight w:val="none"/>
              </w:rPr>
            </w:pPr>
          </w:p>
        </w:tc>
        <w:tc>
          <w:tcPr>
            <w:tcW w:w="1080" w:type="dxa"/>
            <w:vMerge w:val="continue"/>
            <w:tcBorders>
              <w:left w:val="single" w:color="auto" w:sz="6" w:space="0"/>
              <w:bottom w:val="single" w:color="auto" w:sz="6" w:space="0"/>
              <w:right w:val="nil"/>
            </w:tcBorders>
          </w:tcPr>
          <w:p w14:paraId="1BEC7CA2">
            <w:pPr>
              <w:spacing w:line="500" w:lineRule="exact"/>
              <w:jc w:val="center"/>
              <w:rPr>
                <w:rFonts w:ascii="宋体" w:hAnsi="宋体"/>
                <w:highlight w:val="none"/>
              </w:rPr>
            </w:pPr>
          </w:p>
        </w:tc>
        <w:tc>
          <w:tcPr>
            <w:tcW w:w="960" w:type="dxa"/>
            <w:vMerge w:val="continue"/>
            <w:tcBorders>
              <w:left w:val="single" w:color="auto" w:sz="6" w:space="0"/>
              <w:bottom w:val="single" w:color="auto" w:sz="6" w:space="0"/>
              <w:right w:val="single" w:color="auto" w:sz="6" w:space="0"/>
            </w:tcBorders>
          </w:tcPr>
          <w:p w14:paraId="3A13E50F">
            <w:pPr>
              <w:spacing w:line="500" w:lineRule="exact"/>
              <w:jc w:val="center"/>
              <w:rPr>
                <w:rFonts w:ascii="宋体" w:hAnsi="宋体"/>
                <w:highlight w:val="none"/>
              </w:rPr>
            </w:pPr>
          </w:p>
        </w:tc>
      </w:tr>
      <w:tr w14:paraId="2EA3E6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Borders>
              <w:top w:val="nil"/>
            </w:tcBorders>
          </w:tcPr>
          <w:p w14:paraId="17ECB9CD">
            <w:pPr>
              <w:spacing w:line="500" w:lineRule="exact"/>
              <w:rPr>
                <w:rFonts w:ascii="宋体" w:hAnsi="宋体"/>
                <w:highlight w:val="none"/>
              </w:rPr>
            </w:pPr>
          </w:p>
        </w:tc>
        <w:tc>
          <w:tcPr>
            <w:tcW w:w="710" w:type="dxa"/>
            <w:tcBorders>
              <w:top w:val="nil"/>
            </w:tcBorders>
          </w:tcPr>
          <w:p w14:paraId="2462F894">
            <w:pPr>
              <w:spacing w:line="500" w:lineRule="exact"/>
              <w:rPr>
                <w:rFonts w:ascii="宋体" w:hAnsi="宋体"/>
                <w:highlight w:val="none"/>
              </w:rPr>
            </w:pPr>
          </w:p>
        </w:tc>
        <w:tc>
          <w:tcPr>
            <w:tcW w:w="475" w:type="dxa"/>
            <w:tcBorders>
              <w:top w:val="nil"/>
            </w:tcBorders>
          </w:tcPr>
          <w:p w14:paraId="7D97DE08">
            <w:pPr>
              <w:spacing w:line="500" w:lineRule="exact"/>
              <w:rPr>
                <w:rFonts w:ascii="宋体" w:hAnsi="宋体"/>
                <w:highlight w:val="none"/>
              </w:rPr>
            </w:pPr>
          </w:p>
        </w:tc>
        <w:tc>
          <w:tcPr>
            <w:tcW w:w="620" w:type="dxa"/>
          </w:tcPr>
          <w:p w14:paraId="423EA687">
            <w:pPr>
              <w:spacing w:line="500" w:lineRule="exact"/>
              <w:rPr>
                <w:rFonts w:ascii="宋体" w:hAnsi="宋体"/>
                <w:highlight w:val="none"/>
              </w:rPr>
            </w:pPr>
          </w:p>
        </w:tc>
        <w:tc>
          <w:tcPr>
            <w:tcW w:w="960" w:type="dxa"/>
          </w:tcPr>
          <w:p w14:paraId="2A9E87BD">
            <w:pPr>
              <w:spacing w:line="500" w:lineRule="exact"/>
              <w:rPr>
                <w:rFonts w:ascii="宋体" w:hAnsi="宋体"/>
                <w:highlight w:val="none"/>
              </w:rPr>
            </w:pPr>
          </w:p>
        </w:tc>
        <w:tc>
          <w:tcPr>
            <w:tcW w:w="600" w:type="dxa"/>
          </w:tcPr>
          <w:p w14:paraId="7FFB07F2">
            <w:pPr>
              <w:spacing w:line="500" w:lineRule="exact"/>
              <w:rPr>
                <w:rFonts w:ascii="宋体" w:hAnsi="宋体"/>
                <w:highlight w:val="none"/>
              </w:rPr>
            </w:pPr>
          </w:p>
        </w:tc>
        <w:tc>
          <w:tcPr>
            <w:tcW w:w="960" w:type="dxa"/>
          </w:tcPr>
          <w:p w14:paraId="0E871F0E">
            <w:pPr>
              <w:spacing w:line="500" w:lineRule="exact"/>
              <w:rPr>
                <w:rFonts w:ascii="宋体" w:hAnsi="宋体"/>
                <w:highlight w:val="none"/>
              </w:rPr>
            </w:pPr>
          </w:p>
        </w:tc>
        <w:tc>
          <w:tcPr>
            <w:tcW w:w="1080" w:type="dxa"/>
            <w:tcBorders>
              <w:top w:val="nil"/>
            </w:tcBorders>
          </w:tcPr>
          <w:p w14:paraId="62DFBE04">
            <w:pPr>
              <w:spacing w:line="500" w:lineRule="exact"/>
              <w:rPr>
                <w:rFonts w:ascii="宋体" w:hAnsi="宋体"/>
                <w:highlight w:val="none"/>
              </w:rPr>
            </w:pPr>
          </w:p>
        </w:tc>
        <w:tc>
          <w:tcPr>
            <w:tcW w:w="1440" w:type="dxa"/>
            <w:tcBorders>
              <w:top w:val="nil"/>
            </w:tcBorders>
          </w:tcPr>
          <w:p w14:paraId="0C917EE7">
            <w:pPr>
              <w:spacing w:line="500" w:lineRule="exact"/>
              <w:rPr>
                <w:rFonts w:ascii="宋体" w:hAnsi="宋体"/>
                <w:highlight w:val="none"/>
              </w:rPr>
            </w:pPr>
          </w:p>
        </w:tc>
        <w:tc>
          <w:tcPr>
            <w:tcW w:w="1080" w:type="dxa"/>
            <w:tcBorders>
              <w:top w:val="nil"/>
            </w:tcBorders>
          </w:tcPr>
          <w:p w14:paraId="4DDEDA1F">
            <w:pPr>
              <w:spacing w:line="500" w:lineRule="exact"/>
              <w:rPr>
                <w:rFonts w:ascii="宋体" w:hAnsi="宋体"/>
                <w:highlight w:val="none"/>
              </w:rPr>
            </w:pPr>
          </w:p>
        </w:tc>
        <w:tc>
          <w:tcPr>
            <w:tcW w:w="960" w:type="dxa"/>
            <w:tcBorders>
              <w:top w:val="nil"/>
            </w:tcBorders>
          </w:tcPr>
          <w:p w14:paraId="50B21B61">
            <w:pPr>
              <w:spacing w:line="500" w:lineRule="exact"/>
              <w:rPr>
                <w:rFonts w:ascii="宋体" w:hAnsi="宋体"/>
                <w:highlight w:val="none"/>
              </w:rPr>
            </w:pPr>
          </w:p>
        </w:tc>
      </w:tr>
      <w:tr w14:paraId="4F5E21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5D274CDC">
            <w:pPr>
              <w:spacing w:line="500" w:lineRule="exact"/>
              <w:rPr>
                <w:rFonts w:ascii="宋体" w:hAnsi="宋体"/>
                <w:highlight w:val="none"/>
              </w:rPr>
            </w:pPr>
          </w:p>
        </w:tc>
        <w:tc>
          <w:tcPr>
            <w:tcW w:w="710" w:type="dxa"/>
          </w:tcPr>
          <w:p w14:paraId="53DD1447">
            <w:pPr>
              <w:spacing w:line="500" w:lineRule="exact"/>
              <w:rPr>
                <w:rFonts w:ascii="宋体" w:hAnsi="宋体"/>
                <w:highlight w:val="none"/>
              </w:rPr>
            </w:pPr>
          </w:p>
        </w:tc>
        <w:tc>
          <w:tcPr>
            <w:tcW w:w="475" w:type="dxa"/>
          </w:tcPr>
          <w:p w14:paraId="43CFB1D7">
            <w:pPr>
              <w:spacing w:line="500" w:lineRule="exact"/>
              <w:rPr>
                <w:rFonts w:ascii="宋体" w:hAnsi="宋体"/>
                <w:highlight w:val="none"/>
              </w:rPr>
            </w:pPr>
          </w:p>
        </w:tc>
        <w:tc>
          <w:tcPr>
            <w:tcW w:w="620" w:type="dxa"/>
          </w:tcPr>
          <w:p w14:paraId="74EC2857">
            <w:pPr>
              <w:spacing w:line="500" w:lineRule="exact"/>
              <w:rPr>
                <w:rFonts w:ascii="宋体" w:hAnsi="宋体"/>
                <w:highlight w:val="none"/>
              </w:rPr>
            </w:pPr>
          </w:p>
        </w:tc>
        <w:tc>
          <w:tcPr>
            <w:tcW w:w="960" w:type="dxa"/>
          </w:tcPr>
          <w:p w14:paraId="68DE0D4F">
            <w:pPr>
              <w:spacing w:line="500" w:lineRule="exact"/>
              <w:rPr>
                <w:rFonts w:ascii="宋体" w:hAnsi="宋体"/>
                <w:highlight w:val="none"/>
              </w:rPr>
            </w:pPr>
          </w:p>
        </w:tc>
        <w:tc>
          <w:tcPr>
            <w:tcW w:w="600" w:type="dxa"/>
          </w:tcPr>
          <w:p w14:paraId="56855C22">
            <w:pPr>
              <w:spacing w:line="500" w:lineRule="exact"/>
              <w:rPr>
                <w:rFonts w:ascii="宋体" w:hAnsi="宋体"/>
                <w:highlight w:val="none"/>
              </w:rPr>
            </w:pPr>
          </w:p>
        </w:tc>
        <w:tc>
          <w:tcPr>
            <w:tcW w:w="960" w:type="dxa"/>
          </w:tcPr>
          <w:p w14:paraId="690BBD8E">
            <w:pPr>
              <w:spacing w:line="500" w:lineRule="exact"/>
              <w:rPr>
                <w:rFonts w:ascii="宋体" w:hAnsi="宋体"/>
                <w:highlight w:val="none"/>
              </w:rPr>
            </w:pPr>
          </w:p>
        </w:tc>
        <w:tc>
          <w:tcPr>
            <w:tcW w:w="1080" w:type="dxa"/>
          </w:tcPr>
          <w:p w14:paraId="2A989FE7">
            <w:pPr>
              <w:spacing w:line="500" w:lineRule="exact"/>
              <w:rPr>
                <w:rFonts w:ascii="宋体" w:hAnsi="宋体"/>
                <w:highlight w:val="none"/>
              </w:rPr>
            </w:pPr>
          </w:p>
        </w:tc>
        <w:tc>
          <w:tcPr>
            <w:tcW w:w="1440" w:type="dxa"/>
          </w:tcPr>
          <w:p w14:paraId="288E8913">
            <w:pPr>
              <w:spacing w:line="500" w:lineRule="exact"/>
              <w:rPr>
                <w:rFonts w:ascii="宋体" w:hAnsi="宋体"/>
                <w:highlight w:val="none"/>
              </w:rPr>
            </w:pPr>
          </w:p>
        </w:tc>
        <w:tc>
          <w:tcPr>
            <w:tcW w:w="1080" w:type="dxa"/>
          </w:tcPr>
          <w:p w14:paraId="17F1EE3A">
            <w:pPr>
              <w:spacing w:line="500" w:lineRule="exact"/>
              <w:rPr>
                <w:rFonts w:ascii="宋体" w:hAnsi="宋体"/>
                <w:highlight w:val="none"/>
              </w:rPr>
            </w:pPr>
          </w:p>
        </w:tc>
        <w:tc>
          <w:tcPr>
            <w:tcW w:w="960" w:type="dxa"/>
          </w:tcPr>
          <w:p w14:paraId="12410FE6">
            <w:pPr>
              <w:spacing w:line="500" w:lineRule="exact"/>
              <w:rPr>
                <w:rFonts w:ascii="宋体" w:hAnsi="宋体"/>
                <w:highlight w:val="none"/>
              </w:rPr>
            </w:pPr>
          </w:p>
        </w:tc>
      </w:tr>
      <w:tr w14:paraId="50E81C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2C6B87F3">
            <w:pPr>
              <w:spacing w:line="500" w:lineRule="exact"/>
              <w:rPr>
                <w:rFonts w:ascii="宋体" w:hAnsi="宋体"/>
                <w:highlight w:val="none"/>
              </w:rPr>
            </w:pPr>
          </w:p>
        </w:tc>
        <w:tc>
          <w:tcPr>
            <w:tcW w:w="710" w:type="dxa"/>
          </w:tcPr>
          <w:p w14:paraId="50BC183F">
            <w:pPr>
              <w:spacing w:line="500" w:lineRule="exact"/>
              <w:rPr>
                <w:rFonts w:ascii="宋体" w:hAnsi="宋体"/>
                <w:highlight w:val="none"/>
              </w:rPr>
            </w:pPr>
          </w:p>
        </w:tc>
        <w:tc>
          <w:tcPr>
            <w:tcW w:w="475" w:type="dxa"/>
          </w:tcPr>
          <w:p w14:paraId="6655A677">
            <w:pPr>
              <w:spacing w:line="500" w:lineRule="exact"/>
              <w:rPr>
                <w:rFonts w:ascii="宋体" w:hAnsi="宋体"/>
                <w:highlight w:val="none"/>
              </w:rPr>
            </w:pPr>
          </w:p>
        </w:tc>
        <w:tc>
          <w:tcPr>
            <w:tcW w:w="620" w:type="dxa"/>
          </w:tcPr>
          <w:p w14:paraId="231F59A4">
            <w:pPr>
              <w:spacing w:line="500" w:lineRule="exact"/>
              <w:rPr>
                <w:rFonts w:ascii="宋体" w:hAnsi="宋体"/>
                <w:highlight w:val="none"/>
              </w:rPr>
            </w:pPr>
          </w:p>
        </w:tc>
        <w:tc>
          <w:tcPr>
            <w:tcW w:w="960" w:type="dxa"/>
          </w:tcPr>
          <w:p w14:paraId="3303769D">
            <w:pPr>
              <w:spacing w:line="500" w:lineRule="exact"/>
              <w:rPr>
                <w:rFonts w:ascii="宋体" w:hAnsi="宋体"/>
                <w:highlight w:val="none"/>
              </w:rPr>
            </w:pPr>
          </w:p>
        </w:tc>
        <w:tc>
          <w:tcPr>
            <w:tcW w:w="600" w:type="dxa"/>
          </w:tcPr>
          <w:p w14:paraId="3D1DD399">
            <w:pPr>
              <w:spacing w:line="500" w:lineRule="exact"/>
              <w:rPr>
                <w:rFonts w:ascii="宋体" w:hAnsi="宋体"/>
                <w:highlight w:val="none"/>
              </w:rPr>
            </w:pPr>
          </w:p>
        </w:tc>
        <w:tc>
          <w:tcPr>
            <w:tcW w:w="960" w:type="dxa"/>
          </w:tcPr>
          <w:p w14:paraId="13C237EB">
            <w:pPr>
              <w:spacing w:line="500" w:lineRule="exact"/>
              <w:rPr>
                <w:rFonts w:ascii="宋体" w:hAnsi="宋体"/>
                <w:highlight w:val="none"/>
              </w:rPr>
            </w:pPr>
          </w:p>
        </w:tc>
        <w:tc>
          <w:tcPr>
            <w:tcW w:w="1080" w:type="dxa"/>
          </w:tcPr>
          <w:p w14:paraId="017F7A46">
            <w:pPr>
              <w:spacing w:line="500" w:lineRule="exact"/>
              <w:rPr>
                <w:rFonts w:ascii="宋体" w:hAnsi="宋体"/>
                <w:highlight w:val="none"/>
              </w:rPr>
            </w:pPr>
          </w:p>
        </w:tc>
        <w:tc>
          <w:tcPr>
            <w:tcW w:w="1440" w:type="dxa"/>
          </w:tcPr>
          <w:p w14:paraId="6C92590D">
            <w:pPr>
              <w:spacing w:line="500" w:lineRule="exact"/>
              <w:rPr>
                <w:rFonts w:ascii="宋体" w:hAnsi="宋体"/>
                <w:highlight w:val="none"/>
              </w:rPr>
            </w:pPr>
          </w:p>
        </w:tc>
        <w:tc>
          <w:tcPr>
            <w:tcW w:w="1080" w:type="dxa"/>
          </w:tcPr>
          <w:p w14:paraId="3FA0E14A">
            <w:pPr>
              <w:spacing w:line="500" w:lineRule="exact"/>
              <w:rPr>
                <w:rFonts w:ascii="宋体" w:hAnsi="宋体"/>
                <w:highlight w:val="none"/>
              </w:rPr>
            </w:pPr>
          </w:p>
        </w:tc>
        <w:tc>
          <w:tcPr>
            <w:tcW w:w="960" w:type="dxa"/>
          </w:tcPr>
          <w:p w14:paraId="537CB0BA">
            <w:pPr>
              <w:spacing w:line="500" w:lineRule="exact"/>
              <w:rPr>
                <w:rFonts w:ascii="宋体" w:hAnsi="宋体"/>
                <w:highlight w:val="none"/>
              </w:rPr>
            </w:pPr>
          </w:p>
        </w:tc>
      </w:tr>
      <w:tr w14:paraId="525E16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6D5B9C89">
            <w:pPr>
              <w:spacing w:line="500" w:lineRule="exact"/>
              <w:rPr>
                <w:rFonts w:ascii="宋体" w:hAnsi="宋体"/>
                <w:highlight w:val="none"/>
              </w:rPr>
            </w:pPr>
          </w:p>
        </w:tc>
        <w:tc>
          <w:tcPr>
            <w:tcW w:w="710" w:type="dxa"/>
          </w:tcPr>
          <w:p w14:paraId="0F234A57">
            <w:pPr>
              <w:spacing w:line="500" w:lineRule="exact"/>
              <w:rPr>
                <w:rFonts w:ascii="宋体" w:hAnsi="宋体"/>
                <w:highlight w:val="none"/>
              </w:rPr>
            </w:pPr>
          </w:p>
        </w:tc>
        <w:tc>
          <w:tcPr>
            <w:tcW w:w="475" w:type="dxa"/>
          </w:tcPr>
          <w:p w14:paraId="50FCD049">
            <w:pPr>
              <w:spacing w:line="500" w:lineRule="exact"/>
              <w:rPr>
                <w:rFonts w:ascii="宋体" w:hAnsi="宋体"/>
                <w:highlight w:val="none"/>
              </w:rPr>
            </w:pPr>
          </w:p>
        </w:tc>
        <w:tc>
          <w:tcPr>
            <w:tcW w:w="620" w:type="dxa"/>
          </w:tcPr>
          <w:p w14:paraId="0B0F6FE6">
            <w:pPr>
              <w:spacing w:line="500" w:lineRule="exact"/>
              <w:rPr>
                <w:rFonts w:ascii="宋体" w:hAnsi="宋体"/>
                <w:highlight w:val="none"/>
              </w:rPr>
            </w:pPr>
          </w:p>
        </w:tc>
        <w:tc>
          <w:tcPr>
            <w:tcW w:w="960" w:type="dxa"/>
          </w:tcPr>
          <w:p w14:paraId="0361DC2E">
            <w:pPr>
              <w:spacing w:line="500" w:lineRule="exact"/>
              <w:rPr>
                <w:rFonts w:ascii="宋体" w:hAnsi="宋体"/>
                <w:highlight w:val="none"/>
              </w:rPr>
            </w:pPr>
          </w:p>
        </w:tc>
        <w:tc>
          <w:tcPr>
            <w:tcW w:w="600" w:type="dxa"/>
          </w:tcPr>
          <w:p w14:paraId="5EC606F5">
            <w:pPr>
              <w:spacing w:line="500" w:lineRule="exact"/>
              <w:rPr>
                <w:rFonts w:ascii="宋体" w:hAnsi="宋体"/>
                <w:highlight w:val="none"/>
              </w:rPr>
            </w:pPr>
          </w:p>
        </w:tc>
        <w:tc>
          <w:tcPr>
            <w:tcW w:w="960" w:type="dxa"/>
          </w:tcPr>
          <w:p w14:paraId="071A8331">
            <w:pPr>
              <w:spacing w:line="500" w:lineRule="exact"/>
              <w:rPr>
                <w:rFonts w:ascii="宋体" w:hAnsi="宋体"/>
                <w:highlight w:val="none"/>
              </w:rPr>
            </w:pPr>
          </w:p>
        </w:tc>
        <w:tc>
          <w:tcPr>
            <w:tcW w:w="1080" w:type="dxa"/>
          </w:tcPr>
          <w:p w14:paraId="464E84B2">
            <w:pPr>
              <w:spacing w:line="500" w:lineRule="exact"/>
              <w:rPr>
                <w:rFonts w:ascii="宋体" w:hAnsi="宋体"/>
                <w:highlight w:val="none"/>
              </w:rPr>
            </w:pPr>
          </w:p>
        </w:tc>
        <w:tc>
          <w:tcPr>
            <w:tcW w:w="1440" w:type="dxa"/>
          </w:tcPr>
          <w:p w14:paraId="4D569849">
            <w:pPr>
              <w:spacing w:line="500" w:lineRule="exact"/>
              <w:rPr>
                <w:rFonts w:ascii="宋体" w:hAnsi="宋体"/>
                <w:highlight w:val="none"/>
              </w:rPr>
            </w:pPr>
          </w:p>
        </w:tc>
        <w:tc>
          <w:tcPr>
            <w:tcW w:w="1080" w:type="dxa"/>
          </w:tcPr>
          <w:p w14:paraId="2E31916D">
            <w:pPr>
              <w:spacing w:line="500" w:lineRule="exact"/>
              <w:rPr>
                <w:rFonts w:ascii="宋体" w:hAnsi="宋体"/>
                <w:highlight w:val="none"/>
              </w:rPr>
            </w:pPr>
          </w:p>
        </w:tc>
        <w:tc>
          <w:tcPr>
            <w:tcW w:w="960" w:type="dxa"/>
          </w:tcPr>
          <w:p w14:paraId="23C31FE2">
            <w:pPr>
              <w:spacing w:line="500" w:lineRule="exact"/>
              <w:rPr>
                <w:rFonts w:ascii="宋体" w:hAnsi="宋体"/>
                <w:highlight w:val="none"/>
              </w:rPr>
            </w:pPr>
          </w:p>
        </w:tc>
      </w:tr>
    </w:tbl>
    <w:p w14:paraId="6C8480A2">
      <w:pPr>
        <w:spacing w:line="500" w:lineRule="exact"/>
        <w:rPr>
          <w:rFonts w:ascii="宋体" w:hAnsi="宋体"/>
          <w:highlight w:val="none"/>
        </w:rPr>
      </w:pPr>
    </w:p>
    <w:p w14:paraId="09575123">
      <w:pPr>
        <w:spacing w:line="500" w:lineRule="exact"/>
        <w:rPr>
          <w:rFonts w:ascii="宋体" w:hAnsi="宋体"/>
          <w:snapToGrid w:val="0"/>
          <w:highlight w:val="none"/>
        </w:rPr>
      </w:pPr>
      <w:r>
        <w:rPr>
          <w:rFonts w:hint="eastAsia" w:ascii="宋体" w:hAnsi="宋体"/>
          <w:snapToGrid w:val="0"/>
          <w:highlight w:val="none"/>
        </w:rPr>
        <w:t>说明：</w:t>
      </w:r>
    </w:p>
    <w:p w14:paraId="6424D874">
      <w:pPr>
        <w:spacing w:line="500" w:lineRule="exact"/>
        <w:ind w:firstLine="482"/>
        <w:rPr>
          <w:rFonts w:ascii="宋体" w:hAnsi="宋体"/>
          <w:snapToGrid w:val="0"/>
          <w:highlight w:val="none"/>
        </w:rPr>
      </w:pPr>
      <w:r>
        <w:rPr>
          <w:rFonts w:hint="eastAsia" w:ascii="宋体" w:hAnsi="宋体"/>
          <w:snapToGrid w:val="0"/>
          <w:highlight w:val="none"/>
        </w:rPr>
        <w:t>1.投标人应在投标文件中按附表要求提供设备各大件的运输尺寸（长*宽*高）、重量，并附运输外形尺寸图及其重心位置。</w:t>
      </w:r>
    </w:p>
    <w:p w14:paraId="77207D6B">
      <w:pPr>
        <w:spacing w:line="500" w:lineRule="exact"/>
        <w:ind w:firstLine="482"/>
        <w:rPr>
          <w:rFonts w:ascii="宋体" w:hAnsi="宋体"/>
          <w:snapToGrid w:val="0"/>
          <w:highlight w:val="none"/>
        </w:rPr>
      </w:pPr>
      <w:r>
        <w:rPr>
          <w:rFonts w:hint="eastAsia" w:ascii="宋体" w:hAnsi="宋体"/>
          <w:snapToGrid w:val="0"/>
          <w:highlight w:val="none"/>
        </w:rPr>
        <w:t>2.设备运输尺寸，指设备包装后的各部分尺寸。</w:t>
      </w:r>
    </w:p>
    <w:p w14:paraId="324304A6">
      <w:pPr>
        <w:spacing w:line="500" w:lineRule="exact"/>
        <w:ind w:firstLine="482"/>
        <w:rPr>
          <w:rFonts w:ascii="宋体" w:hAnsi="宋体"/>
          <w:snapToGrid w:val="0"/>
          <w:highlight w:val="none"/>
        </w:rPr>
      </w:pPr>
      <w:r>
        <w:rPr>
          <w:rFonts w:hint="eastAsia" w:ascii="宋体" w:hAnsi="宋体"/>
          <w:snapToGrid w:val="0"/>
          <w:highlight w:val="none"/>
        </w:rPr>
        <w:t>3.当采用铁路运输时，设备的运输外形尺寸，应考虑该设备拟采用的运输车辆装载面至轨面的高度要求。</w:t>
      </w:r>
    </w:p>
    <w:p w14:paraId="768AEB22">
      <w:pPr>
        <w:spacing w:line="500" w:lineRule="exact"/>
        <w:ind w:firstLine="482"/>
        <w:rPr>
          <w:rFonts w:ascii="宋体" w:hAnsi="宋体"/>
          <w:snapToGrid w:val="0"/>
          <w:highlight w:val="none"/>
        </w:rPr>
      </w:pPr>
      <w:r>
        <w:rPr>
          <w:rFonts w:hint="eastAsia" w:ascii="宋体" w:hAnsi="宋体"/>
          <w:snapToGrid w:val="0"/>
          <w:highlight w:val="none"/>
        </w:rPr>
        <w:t>4.投标人应根据大件运输的线路及运输方式，对沿途中所经过的涵洞、桥梁等构、建筑物进行充分的调查和论证，在投标文件中提出大件运输的方案，确保设备大件安全运至现场。</w:t>
      </w:r>
    </w:p>
    <w:p w14:paraId="482FDF5E">
      <w:pPr>
        <w:spacing w:line="500" w:lineRule="exact"/>
        <w:ind w:firstLine="482"/>
        <w:rPr>
          <w:rFonts w:ascii="宋体" w:hAnsi="宋体"/>
          <w:snapToGrid w:val="0"/>
          <w:highlight w:val="none"/>
        </w:rPr>
      </w:pPr>
      <w:r>
        <w:rPr>
          <w:rFonts w:hint="eastAsia" w:ascii="宋体" w:hAnsi="宋体"/>
          <w:snapToGrid w:val="0"/>
          <w:highlight w:val="none"/>
        </w:rPr>
        <w:t>5. 投标人还应在投标文件中说明所有其它设备的运输方案，包括车辆、船舶型号、数量、运输路线等。</w:t>
      </w:r>
    </w:p>
    <w:p w14:paraId="55FF592A">
      <w:pPr>
        <w:spacing w:line="500" w:lineRule="exact"/>
        <w:ind w:firstLine="420"/>
        <w:rPr>
          <w:rFonts w:ascii="宋体" w:hAnsi="宋体"/>
          <w:highlight w:val="none"/>
        </w:rPr>
      </w:pPr>
      <w:r>
        <w:rPr>
          <w:rFonts w:hint="eastAsia" w:ascii="宋体" w:hAnsi="宋体"/>
          <w:snapToGrid w:val="0"/>
          <w:highlight w:val="none"/>
        </w:rPr>
        <w:t>6. 当投标人设备的运输尺寸超出上述给定的铁路运输界限规定的界限要求时，投标人应承担由于采取必要措施进行运输而发生的费用。</w:t>
      </w:r>
    </w:p>
    <w:p w14:paraId="5AAC4F28">
      <w:pPr>
        <w:spacing w:line="500" w:lineRule="exact"/>
        <w:rPr>
          <w:rFonts w:ascii="宋体" w:hAnsi="宋体"/>
          <w:highlight w:val="none"/>
        </w:rPr>
        <w:sectPr>
          <w:endnotePr>
            <w:numFmt w:val="decimal"/>
          </w:endnotePr>
          <w:pgSz w:w="11907" w:h="16840"/>
          <w:pgMar w:top="1418" w:right="1531" w:bottom="1418" w:left="1701" w:header="851" w:footer="1021" w:gutter="0"/>
          <w:cols w:space="720" w:num="1"/>
          <w:docGrid w:linePitch="326" w:charSpace="0"/>
        </w:sectPr>
      </w:pPr>
    </w:p>
    <w:p w14:paraId="24BB030F">
      <w:pPr>
        <w:spacing w:line="500" w:lineRule="exact"/>
        <w:rPr>
          <w:rFonts w:ascii="宋体" w:hAnsi="宋体"/>
          <w:highlight w:val="none"/>
        </w:rPr>
      </w:pPr>
    </w:p>
    <w:p w14:paraId="4F5D96A1">
      <w:pPr>
        <w:pStyle w:val="2"/>
        <w:rPr>
          <w:sz w:val="30"/>
          <w:szCs w:val="30"/>
          <w:highlight w:val="none"/>
        </w:rPr>
      </w:pPr>
      <w:bookmarkStart w:id="197" w:name="_Toc397175925"/>
      <w:bookmarkStart w:id="198" w:name="_Toc517056038"/>
      <w:bookmarkStart w:id="199" w:name="_Toc286159478"/>
      <w:bookmarkStart w:id="200" w:name="_Toc4731"/>
      <w:bookmarkStart w:id="201" w:name="_Toc396990284"/>
      <w:bookmarkStart w:id="202" w:name="_Toc396527854"/>
      <w:bookmarkStart w:id="203" w:name="_Toc397131869"/>
      <w:bookmarkStart w:id="204" w:name="_Toc399318779"/>
      <w:bookmarkStart w:id="205" w:name="_Toc397174654"/>
      <w:bookmarkStart w:id="206" w:name="_Toc501940892"/>
      <w:bookmarkStart w:id="207" w:name="_Toc396529293"/>
      <w:bookmarkStart w:id="208" w:name="_Toc396988670"/>
      <w:bookmarkStart w:id="209" w:name="_Toc396528500"/>
      <w:bookmarkStart w:id="210" w:name="_Toc396528069"/>
      <w:bookmarkStart w:id="211" w:name="_Toc399326523"/>
      <w:r>
        <w:rPr>
          <w:rFonts w:hint="eastAsia"/>
          <w:sz w:val="30"/>
          <w:szCs w:val="30"/>
          <w:highlight w:val="none"/>
        </w:rPr>
        <w:t>附件</w:t>
      </w:r>
      <w:r>
        <w:rPr>
          <w:sz w:val="30"/>
          <w:szCs w:val="30"/>
          <w:highlight w:val="none"/>
        </w:rPr>
        <w:t>1</w:t>
      </w:r>
      <w:r>
        <w:rPr>
          <w:rFonts w:hint="eastAsia"/>
          <w:sz w:val="30"/>
          <w:szCs w:val="30"/>
          <w:highlight w:val="none"/>
        </w:rPr>
        <w:t>0技术差异表</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2369C93">
      <w:pPr>
        <w:spacing w:line="500" w:lineRule="exact"/>
        <w:ind w:left="425" w:firstLine="135"/>
        <w:rPr>
          <w:rFonts w:ascii="宋体" w:hAnsi="宋体"/>
          <w:highlight w:val="none"/>
        </w:rPr>
      </w:pPr>
    </w:p>
    <w:p w14:paraId="124B8744">
      <w:pPr>
        <w:spacing w:line="500" w:lineRule="exact"/>
        <w:ind w:firstLine="420"/>
        <w:rPr>
          <w:rFonts w:ascii="宋体" w:hAnsi="宋体"/>
          <w:highlight w:val="none"/>
        </w:rPr>
      </w:pPr>
      <w:r>
        <w:rPr>
          <w:rFonts w:hint="eastAsia" w:ascii="宋体" w:hAnsi="宋体"/>
          <w:highlight w:val="none"/>
        </w:rPr>
        <w:t>投标人要将投标文件和招标文件的差异之处汇集成表。技术部分和商务部分要单独列表。</w:t>
      </w:r>
    </w:p>
    <w:p w14:paraId="65C7B0C2">
      <w:pPr>
        <w:pStyle w:val="17"/>
        <w:spacing w:line="500" w:lineRule="exact"/>
        <w:rPr>
          <w:rFonts w:hAnsi="宋体"/>
          <w:highlight w:val="none"/>
        </w:rPr>
      </w:pPr>
    </w:p>
    <w:p w14:paraId="37EE09F2">
      <w:pPr>
        <w:spacing w:line="500" w:lineRule="exact"/>
        <w:jc w:val="center"/>
        <w:rPr>
          <w:rFonts w:ascii="宋体" w:hAnsi="宋体"/>
          <w:highlight w:val="none"/>
        </w:rPr>
      </w:pPr>
      <w:r>
        <w:rPr>
          <w:rFonts w:hint="eastAsia" w:ascii="宋体" w:hAnsi="宋体"/>
          <w:highlight w:val="none"/>
        </w:rPr>
        <w:t>差  异  表</w:t>
      </w:r>
    </w:p>
    <w:tbl>
      <w:tblPr>
        <w:tblStyle w:val="25"/>
        <w:tblW w:w="8640" w:type="dxa"/>
        <w:tblInd w:w="148" w:type="dxa"/>
        <w:tblLayout w:type="fixed"/>
        <w:tblCellMar>
          <w:top w:w="0" w:type="dxa"/>
          <w:left w:w="28" w:type="dxa"/>
          <w:bottom w:w="0" w:type="dxa"/>
          <w:right w:w="28" w:type="dxa"/>
        </w:tblCellMar>
      </w:tblPr>
      <w:tblGrid>
        <w:gridCol w:w="840"/>
        <w:gridCol w:w="965"/>
        <w:gridCol w:w="2995"/>
        <w:gridCol w:w="960"/>
        <w:gridCol w:w="2880"/>
      </w:tblGrid>
      <w:tr w14:paraId="7A5B54A3">
        <w:tblPrEx>
          <w:tblCellMar>
            <w:top w:w="0" w:type="dxa"/>
            <w:left w:w="28" w:type="dxa"/>
            <w:bottom w:w="0" w:type="dxa"/>
            <w:right w:w="28" w:type="dxa"/>
          </w:tblCellMar>
        </w:tblPrEx>
        <w:tc>
          <w:tcPr>
            <w:tcW w:w="840" w:type="dxa"/>
            <w:vMerge w:val="restart"/>
            <w:tcBorders>
              <w:top w:val="single" w:color="auto" w:sz="6" w:space="0"/>
              <w:left w:val="single" w:color="auto" w:sz="6" w:space="0"/>
              <w:right w:val="single" w:color="auto" w:sz="6" w:space="0"/>
            </w:tcBorders>
          </w:tcPr>
          <w:p w14:paraId="17C4CA61">
            <w:pPr>
              <w:spacing w:line="500" w:lineRule="exact"/>
              <w:rPr>
                <w:rFonts w:ascii="宋体" w:hAnsi="宋体"/>
                <w:highlight w:val="none"/>
              </w:rPr>
            </w:pPr>
            <w:r>
              <w:rPr>
                <w:rFonts w:hint="eastAsia" w:ascii="宋体" w:hAnsi="宋体"/>
                <w:highlight w:val="none"/>
              </w:rPr>
              <w:t>序号</w:t>
            </w:r>
          </w:p>
        </w:tc>
        <w:tc>
          <w:tcPr>
            <w:tcW w:w="3960" w:type="dxa"/>
            <w:gridSpan w:val="2"/>
            <w:tcBorders>
              <w:top w:val="single" w:color="auto" w:sz="6" w:space="0"/>
              <w:left w:val="nil"/>
              <w:right w:val="single" w:color="auto" w:sz="6" w:space="0"/>
            </w:tcBorders>
          </w:tcPr>
          <w:p w14:paraId="3473CA7F">
            <w:pPr>
              <w:spacing w:line="500" w:lineRule="exact"/>
              <w:jc w:val="center"/>
              <w:rPr>
                <w:rFonts w:ascii="宋体" w:hAnsi="宋体"/>
                <w:highlight w:val="none"/>
              </w:rPr>
            </w:pPr>
            <w:r>
              <w:rPr>
                <w:rFonts w:hint="eastAsia" w:ascii="宋体" w:hAnsi="宋体"/>
                <w:highlight w:val="none"/>
              </w:rPr>
              <w:t>招标文件</w:t>
            </w:r>
          </w:p>
        </w:tc>
        <w:tc>
          <w:tcPr>
            <w:tcW w:w="3840" w:type="dxa"/>
            <w:gridSpan w:val="2"/>
            <w:tcBorders>
              <w:top w:val="single" w:color="auto" w:sz="6" w:space="0"/>
              <w:left w:val="nil"/>
              <w:right w:val="single" w:color="auto" w:sz="6" w:space="0"/>
            </w:tcBorders>
          </w:tcPr>
          <w:p w14:paraId="1EDA967F">
            <w:pPr>
              <w:spacing w:line="500" w:lineRule="exact"/>
              <w:jc w:val="center"/>
              <w:rPr>
                <w:rFonts w:ascii="宋体" w:hAnsi="宋体"/>
                <w:highlight w:val="none"/>
              </w:rPr>
            </w:pPr>
            <w:r>
              <w:rPr>
                <w:rFonts w:hint="eastAsia" w:ascii="宋体" w:hAnsi="宋体"/>
                <w:highlight w:val="none"/>
              </w:rPr>
              <w:t>投标文件</w:t>
            </w:r>
          </w:p>
        </w:tc>
      </w:tr>
      <w:tr w14:paraId="6F6ECEF4">
        <w:tblPrEx>
          <w:tblCellMar>
            <w:top w:w="0" w:type="dxa"/>
            <w:left w:w="28" w:type="dxa"/>
            <w:bottom w:w="0" w:type="dxa"/>
            <w:right w:w="28" w:type="dxa"/>
          </w:tblCellMar>
        </w:tblPrEx>
        <w:tc>
          <w:tcPr>
            <w:tcW w:w="840" w:type="dxa"/>
            <w:vMerge w:val="continue"/>
            <w:tcBorders>
              <w:left w:val="single" w:color="auto" w:sz="6" w:space="0"/>
              <w:right w:val="single" w:color="auto" w:sz="6" w:space="0"/>
            </w:tcBorders>
          </w:tcPr>
          <w:p w14:paraId="61924BDF">
            <w:pPr>
              <w:spacing w:line="500" w:lineRule="exact"/>
              <w:rPr>
                <w:rFonts w:ascii="宋体" w:hAnsi="宋体"/>
                <w:highlight w:val="none"/>
              </w:rPr>
            </w:pPr>
          </w:p>
        </w:tc>
        <w:tc>
          <w:tcPr>
            <w:tcW w:w="965" w:type="dxa"/>
            <w:tcBorders>
              <w:top w:val="single" w:color="auto" w:sz="6" w:space="0"/>
              <w:left w:val="nil"/>
              <w:right w:val="single" w:color="auto" w:sz="6" w:space="0"/>
            </w:tcBorders>
          </w:tcPr>
          <w:p w14:paraId="241F0EEB">
            <w:pPr>
              <w:spacing w:line="500" w:lineRule="exact"/>
              <w:rPr>
                <w:rFonts w:ascii="宋体" w:hAnsi="宋体"/>
                <w:highlight w:val="none"/>
              </w:rPr>
            </w:pPr>
            <w:r>
              <w:rPr>
                <w:rFonts w:hint="eastAsia" w:ascii="宋体" w:hAnsi="宋体"/>
                <w:highlight w:val="none"/>
              </w:rPr>
              <w:t>条目</w:t>
            </w:r>
          </w:p>
        </w:tc>
        <w:tc>
          <w:tcPr>
            <w:tcW w:w="2995" w:type="dxa"/>
            <w:tcBorders>
              <w:top w:val="single" w:color="auto" w:sz="6" w:space="0"/>
              <w:left w:val="nil"/>
              <w:right w:val="single" w:color="auto" w:sz="6" w:space="0"/>
            </w:tcBorders>
          </w:tcPr>
          <w:p w14:paraId="4867880E">
            <w:pPr>
              <w:spacing w:line="500" w:lineRule="exact"/>
              <w:rPr>
                <w:rFonts w:ascii="宋体" w:hAnsi="宋体"/>
                <w:highlight w:val="none"/>
              </w:rPr>
            </w:pPr>
            <w:r>
              <w:rPr>
                <w:rFonts w:hint="eastAsia" w:ascii="宋体" w:hAnsi="宋体"/>
                <w:highlight w:val="none"/>
              </w:rPr>
              <w:t>简要内容</w:t>
            </w:r>
          </w:p>
        </w:tc>
        <w:tc>
          <w:tcPr>
            <w:tcW w:w="960" w:type="dxa"/>
            <w:tcBorders>
              <w:top w:val="single" w:color="auto" w:sz="6" w:space="0"/>
              <w:left w:val="nil"/>
              <w:right w:val="single" w:color="auto" w:sz="6" w:space="0"/>
            </w:tcBorders>
          </w:tcPr>
          <w:p w14:paraId="6FB7DFC0">
            <w:pPr>
              <w:spacing w:line="500" w:lineRule="exact"/>
              <w:rPr>
                <w:rFonts w:ascii="宋体" w:hAnsi="宋体"/>
                <w:highlight w:val="none"/>
              </w:rPr>
            </w:pPr>
            <w:r>
              <w:rPr>
                <w:rFonts w:hint="eastAsia" w:ascii="宋体" w:hAnsi="宋体"/>
                <w:highlight w:val="none"/>
              </w:rPr>
              <w:t>条目</w:t>
            </w:r>
          </w:p>
        </w:tc>
        <w:tc>
          <w:tcPr>
            <w:tcW w:w="2880" w:type="dxa"/>
            <w:tcBorders>
              <w:top w:val="single" w:color="auto" w:sz="6" w:space="0"/>
              <w:left w:val="nil"/>
              <w:right w:val="single" w:color="auto" w:sz="6" w:space="0"/>
            </w:tcBorders>
          </w:tcPr>
          <w:p w14:paraId="5D1FD061">
            <w:pPr>
              <w:spacing w:line="500" w:lineRule="exact"/>
              <w:rPr>
                <w:rFonts w:ascii="宋体" w:hAnsi="宋体"/>
                <w:highlight w:val="none"/>
              </w:rPr>
            </w:pPr>
            <w:r>
              <w:rPr>
                <w:rFonts w:hint="eastAsia" w:ascii="宋体" w:hAnsi="宋体"/>
                <w:highlight w:val="none"/>
              </w:rPr>
              <w:t>简要内容</w:t>
            </w:r>
          </w:p>
        </w:tc>
      </w:tr>
      <w:tr w14:paraId="176CEC78">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3FA52F2C">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12887D80">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459CA164">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7E32D2C9">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46177D2E">
            <w:pPr>
              <w:spacing w:line="500" w:lineRule="exact"/>
              <w:rPr>
                <w:rFonts w:ascii="宋体" w:hAnsi="宋体"/>
                <w:highlight w:val="none"/>
              </w:rPr>
            </w:pPr>
          </w:p>
        </w:tc>
      </w:tr>
      <w:tr w14:paraId="2F6C78C7">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539C995F">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331AF234">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5116205A">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3E8C8FAC">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1564BDBE">
            <w:pPr>
              <w:spacing w:line="500" w:lineRule="exact"/>
              <w:rPr>
                <w:rFonts w:ascii="宋体" w:hAnsi="宋体"/>
                <w:highlight w:val="none"/>
              </w:rPr>
            </w:pPr>
          </w:p>
        </w:tc>
      </w:tr>
      <w:tr w14:paraId="061BB5CE">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7681E842">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3F3CB47D">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5B1FFBC3">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45B1627A">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2F1F512E">
            <w:pPr>
              <w:spacing w:line="500" w:lineRule="exact"/>
              <w:rPr>
                <w:rFonts w:ascii="宋体" w:hAnsi="宋体"/>
                <w:highlight w:val="none"/>
              </w:rPr>
            </w:pPr>
          </w:p>
        </w:tc>
      </w:tr>
      <w:tr w14:paraId="143569BA">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21FFB605">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7445AC00">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1C729841">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322576E7">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142B4C17">
            <w:pPr>
              <w:spacing w:line="500" w:lineRule="exact"/>
              <w:rPr>
                <w:rFonts w:ascii="宋体" w:hAnsi="宋体"/>
                <w:highlight w:val="none"/>
              </w:rPr>
            </w:pPr>
          </w:p>
        </w:tc>
      </w:tr>
      <w:tr w14:paraId="70DC4C7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78C54F32">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51243BED">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7C76FD9C">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3CC6DA0A">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2BC6AFE1">
            <w:pPr>
              <w:spacing w:line="500" w:lineRule="exact"/>
              <w:rPr>
                <w:rFonts w:ascii="宋体" w:hAnsi="宋体"/>
                <w:highlight w:val="none"/>
              </w:rPr>
            </w:pPr>
          </w:p>
        </w:tc>
      </w:tr>
    </w:tbl>
    <w:p w14:paraId="3C9DDAE2">
      <w:pPr>
        <w:spacing w:line="500" w:lineRule="exact"/>
        <w:rPr>
          <w:rFonts w:ascii="宋体" w:hAnsi="宋体"/>
          <w:highlight w:val="none"/>
        </w:rPr>
      </w:pPr>
    </w:p>
    <w:p w14:paraId="237F21D4">
      <w:pPr>
        <w:spacing w:line="500" w:lineRule="exact"/>
        <w:ind w:firstLine="420"/>
        <w:rPr>
          <w:rFonts w:ascii="宋体" w:hAnsi="宋体"/>
          <w:highlight w:val="none"/>
        </w:rPr>
      </w:pPr>
    </w:p>
    <w:p w14:paraId="29F2A906">
      <w:pPr>
        <w:adjustRightInd w:val="0"/>
        <w:snapToGrid w:val="0"/>
        <w:spacing w:line="500" w:lineRule="exact"/>
        <w:rPr>
          <w:rFonts w:ascii="宋体" w:hAnsi="宋体"/>
          <w:highlight w:val="none"/>
        </w:rPr>
        <w:sectPr>
          <w:endnotePr>
            <w:numFmt w:val="decimal"/>
          </w:endnotePr>
          <w:pgSz w:w="11907" w:h="16840"/>
          <w:pgMar w:top="1418" w:right="1531" w:bottom="1418" w:left="1701" w:header="851" w:footer="1021" w:gutter="0"/>
          <w:cols w:space="720" w:num="1"/>
          <w:docGrid w:linePitch="326" w:charSpace="0"/>
        </w:sectPr>
      </w:pPr>
    </w:p>
    <w:p w14:paraId="2648895D">
      <w:pPr>
        <w:pStyle w:val="2"/>
        <w:rPr>
          <w:sz w:val="30"/>
          <w:szCs w:val="30"/>
          <w:highlight w:val="none"/>
        </w:rPr>
      </w:pPr>
      <w:bookmarkStart w:id="212" w:name="_Toc286159480"/>
      <w:bookmarkStart w:id="213" w:name="_Toc346199017"/>
      <w:bookmarkStart w:id="214" w:name="_Toc23510"/>
      <w:r>
        <w:rPr>
          <w:rFonts w:hint="eastAsia"/>
          <w:sz w:val="30"/>
          <w:szCs w:val="30"/>
          <w:highlight w:val="none"/>
        </w:rPr>
        <w:t>附件11 性能考核</w:t>
      </w:r>
      <w:bookmarkEnd w:id="212"/>
      <w:r>
        <w:rPr>
          <w:rFonts w:hint="eastAsia"/>
          <w:sz w:val="30"/>
          <w:szCs w:val="30"/>
          <w:highlight w:val="none"/>
        </w:rPr>
        <w:t>条款</w:t>
      </w:r>
      <w:bookmarkEnd w:id="213"/>
      <w:bookmarkEnd w:id="214"/>
    </w:p>
    <w:p w14:paraId="107A1284">
      <w:pPr>
        <w:spacing w:line="360" w:lineRule="auto"/>
        <w:jc w:val="left"/>
        <w:rPr>
          <w:rFonts w:ascii="宋体" w:hAnsi="宋体"/>
          <w:highlight w:val="none"/>
        </w:rPr>
      </w:pPr>
      <w:r>
        <w:rPr>
          <w:rFonts w:hint="eastAsia" w:ascii="宋体" w:hAnsi="宋体"/>
          <w:highlight w:val="none"/>
        </w:rPr>
        <w:t>12.1  经过改造后的设备及其部件在质保期内（质保期为</w:t>
      </w:r>
      <w:r>
        <w:rPr>
          <w:rFonts w:hint="eastAsia" w:ascii="宋体" w:hAnsi="宋体" w:cs="宋体"/>
          <w:sz w:val="24"/>
          <w:szCs w:val="24"/>
          <w:highlight w:val="none"/>
          <w:lang w:val="en-US" w:eastAsia="zh-CN"/>
        </w:rPr>
        <w:t>货到验收合格后</w:t>
      </w:r>
      <w:r>
        <w:rPr>
          <w:rFonts w:hint="eastAsia" w:ascii="宋体" w:hAnsi="宋体" w:cs="宋体"/>
          <w:sz w:val="24"/>
          <w:szCs w:val="24"/>
          <w:highlight w:val="none"/>
        </w:rPr>
        <w:t>三年</w:t>
      </w:r>
      <w:r>
        <w:rPr>
          <w:rFonts w:hint="eastAsia" w:ascii="宋体" w:hAnsi="宋体"/>
          <w:highlight w:val="none"/>
        </w:rPr>
        <w:t xml:space="preserve">）不允许发生因设备及其部件原因而导致的强迫停机，同时在要求的设备设计寿命期内也不因改造设备原因发生强迫停运，否则，投标人应采取措施消除存在的问题，并按每发生一次，扣除合同总价的 5 </w:t>
      </w:r>
      <w:r>
        <w:rPr>
          <w:rFonts w:ascii="宋体" w:hAnsi="宋体"/>
          <w:highlight w:val="none"/>
        </w:rPr>
        <w:t>%</w:t>
      </w:r>
      <w:r>
        <w:rPr>
          <w:rFonts w:hint="eastAsia" w:ascii="宋体" w:hAnsi="宋体"/>
          <w:highlight w:val="none"/>
        </w:rPr>
        <w:t xml:space="preserve"> 。</w:t>
      </w:r>
    </w:p>
    <w:p w14:paraId="35AD138E">
      <w:pPr>
        <w:spacing w:line="360" w:lineRule="auto"/>
        <w:jc w:val="left"/>
        <w:rPr>
          <w:rFonts w:ascii="宋体" w:hAnsi="宋体"/>
          <w:highlight w:val="none"/>
        </w:rPr>
      </w:pPr>
      <w:r>
        <w:rPr>
          <w:rFonts w:hint="eastAsia" w:ascii="宋体" w:hAnsi="宋体"/>
          <w:highlight w:val="none"/>
        </w:rPr>
        <w:t xml:space="preserve">12.2由于投标人原因延迟合同规定的交货工期时，招标人有权按每延迟一周扣除合同总价的 5 </w:t>
      </w:r>
      <w:r>
        <w:rPr>
          <w:rFonts w:ascii="宋体" w:hAnsi="宋体"/>
          <w:highlight w:val="none"/>
        </w:rPr>
        <w:t>%</w:t>
      </w:r>
      <w:r>
        <w:rPr>
          <w:rFonts w:hint="eastAsia" w:ascii="宋体" w:hAnsi="宋体"/>
          <w:highlight w:val="none"/>
        </w:rPr>
        <w:t xml:space="preserve"> 。</w:t>
      </w:r>
    </w:p>
    <w:p w14:paraId="40B083F1">
      <w:pPr>
        <w:spacing w:line="360" w:lineRule="auto"/>
        <w:jc w:val="left"/>
        <w:rPr>
          <w:rFonts w:ascii="宋体" w:hAnsi="宋体"/>
          <w:highlight w:val="none"/>
        </w:rPr>
      </w:pPr>
      <w:r>
        <w:rPr>
          <w:rFonts w:hint="eastAsia" w:ascii="宋体" w:hAnsi="宋体"/>
          <w:highlight w:val="none"/>
        </w:rPr>
        <w:t>12.3由于投标人原因未按时交付合同规定的经双方确认属严重影响施工的关键技术资料和图纸时，则每延迟一周，招标人有权扣除投标人 3  万元/件 。</w:t>
      </w:r>
    </w:p>
    <w:p w14:paraId="679280E1">
      <w:pPr>
        <w:spacing w:line="360" w:lineRule="auto"/>
        <w:jc w:val="left"/>
        <w:rPr>
          <w:rFonts w:ascii="宋体" w:hAnsi="宋体"/>
          <w:highlight w:val="none"/>
        </w:rPr>
        <w:sectPr>
          <w:headerReference r:id="rId15" w:type="default"/>
          <w:footerReference r:id="rId16" w:type="default"/>
          <w:pgSz w:w="11906" w:h="16838"/>
          <w:pgMar w:top="1418" w:right="1418" w:bottom="1418" w:left="1418" w:header="851" w:footer="567" w:gutter="0"/>
          <w:cols w:space="720" w:num="1"/>
          <w:docGrid w:type="lines" w:linePitch="312" w:charSpace="0"/>
        </w:sectPr>
      </w:pPr>
      <w:r>
        <w:rPr>
          <w:rFonts w:hint="eastAsia" w:ascii="宋体" w:hAnsi="宋体"/>
          <w:highlight w:val="none"/>
        </w:rPr>
        <w:t>12.4 投标人扣除违约金后，仍有义务向招标人提供技术帮助，采取各种措施以使设备达到各项经济指标。</w:t>
      </w:r>
    </w:p>
    <w:p w14:paraId="7A19E6E6">
      <w:pPr>
        <w:rPr>
          <w:highlight w:val="none"/>
        </w:rPr>
      </w:pPr>
    </w:p>
    <w:p w14:paraId="5D6D64C6">
      <w:pPr>
        <w:pStyle w:val="2"/>
        <w:rPr>
          <w:sz w:val="30"/>
          <w:szCs w:val="30"/>
          <w:highlight w:val="none"/>
        </w:rPr>
      </w:pPr>
      <w:bookmarkStart w:id="215" w:name="_Toc8565"/>
      <w:bookmarkStart w:id="216" w:name="_Toc346199018"/>
      <w:r>
        <w:rPr>
          <w:sz w:val="30"/>
          <w:szCs w:val="30"/>
          <w:highlight w:val="none"/>
        </w:rPr>
        <w:t>附件1</w:t>
      </w:r>
      <w:r>
        <w:rPr>
          <w:rFonts w:hint="eastAsia"/>
          <w:sz w:val="30"/>
          <w:szCs w:val="30"/>
          <w:highlight w:val="none"/>
        </w:rPr>
        <w:t>3 投标人需要说明的其他问题</w:t>
      </w:r>
      <w:bookmarkEnd w:id="215"/>
    </w:p>
    <w:p w14:paraId="7CF842A5">
      <w:pPr>
        <w:pStyle w:val="17"/>
        <w:ind w:firstLine="0" w:firstLineChars="0"/>
        <w:rPr>
          <w:highlight w:val="none"/>
        </w:rPr>
      </w:pPr>
    </w:p>
    <w:p w14:paraId="1761A227">
      <w:pPr>
        <w:pStyle w:val="17"/>
        <w:rPr>
          <w:highlight w:val="none"/>
        </w:rPr>
      </w:pPr>
      <w:r>
        <w:rPr>
          <w:rFonts w:hint="eastAsia"/>
          <w:highlight w:val="none"/>
        </w:rPr>
        <w:t>投标人技术特点、质保体系及售后服务承诺等</w:t>
      </w:r>
    </w:p>
    <w:p w14:paraId="411EC15B">
      <w:pPr>
        <w:pStyle w:val="17"/>
        <w:rPr>
          <w:highlight w:val="none"/>
        </w:rPr>
      </w:pPr>
      <w:r>
        <w:rPr>
          <w:rFonts w:hint="eastAsia"/>
          <w:highlight w:val="none"/>
        </w:rPr>
        <w:t>投标人提供</w:t>
      </w:r>
      <w:r>
        <w:rPr>
          <w:highlight w:val="none"/>
        </w:rPr>
        <w:t>在专业技术、设备设施、人员组织、业绩经验等方面具有设计、制造、质量控制、经营管理的相应的资格和能力</w:t>
      </w:r>
      <w:r>
        <w:rPr>
          <w:rFonts w:hint="eastAsia"/>
          <w:highlight w:val="none"/>
        </w:rPr>
        <w:t>的资料</w:t>
      </w:r>
      <w:r>
        <w:rPr>
          <w:highlight w:val="none"/>
        </w:rPr>
        <w:t>。</w:t>
      </w:r>
    </w:p>
    <w:p w14:paraId="0DDAC6BA">
      <w:pPr>
        <w:pStyle w:val="17"/>
        <w:rPr>
          <w:highlight w:val="none"/>
        </w:rPr>
      </w:pPr>
    </w:p>
    <w:p w14:paraId="6BFE67D5">
      <w:pPr>
        <w:pStyle w:val="2"/>
        <w:rPr>
          <w:sz w:val="30"/>
          <w:szCs w:val="30"/>
          <w:highlight w:val="none"/>
        </w:rPr>
      </w:pPr>
      <w:r>
        <w:rPr>
          <w:sz w:val="30"/>
          <w:szCs w:val="30"/>
          <w:highlight w:val="none"/>
        </w:rPr>
        <w:br w:type="page"/>
      </w:r>
      <w:bookmarkStart w:id="217" w:name="_Toc12863"/>
      <w:r>
        <w:rPr>
          <w:rFonts w:hint="eastAsia"/>
          <w:sz w:val="30"/>
          <w:szCs w:val="30"/>
          <w:highlight w:val="none"/>
        </w:rPr>
        <w:t>附件14业绩及用户评价</w:t>
      </w:r>
      <w:bookmarkEnd w:id="217"/>
    </w:p>
    <w:p w14:paraId="1021C917">
      <w:pPr>
        <w:spacing w:line="360" w:lineRule="auto"/>
        <w:ind w:firstLine="420"/>
        <w:rPr>
          <w:rFonts w:hAnsi="宋体"/>
          <w:snapToGrid w:val="0"/>
          <w:highlight w:val="none"/>
        </w:rPr>
      </w:pPr>
      <w:r>
        <w:rPr>
          <w:rFonts w:hint="eastAsia" w:hAnsi="宋体"/>
          <w:snapToGrid w:val="0"/>
          <w:highlight w:val="none"/>
        </w:rPr>
        <w:t>1、业绩（同类型五年内投运的设备业绩）</w:t>
      </w:r>
    </w:p>
    <w:p w14:paraId="056174CB">
      <w:pPr>
        <w:spacing w:line="360" w:lineRule="auto"/>
        <w:rPr>
          <w:rFonts w:hAnsi="宋体"/>
          <w:snapToGrid w:val="0"/>
          <w:highlight w:val="none"/>
        </w:rPr>
      </w:pPr>
    </w:p>
    <w:p w14:paraId="5605BD12">
      <w:pPr>
        <w:spacing w:line="360" w:lineRule="auto"/>
        <w:ind w:firstLine="420"/>
        <w:rPr>
          <w:rFonts w:hAnsi="宋体"/>
          <w:snapToGrid w:val="0"/>
          <w:highlight w:val="none"/>
        </w:rPr>
        <w:sectPr>
          <w:headerReference r:id="rId17" w:type="default"/>
          <w:footerReference r:id="rId18" w:type="default"/>
          <w:endnotePr>
            <w:numFmt w:val="decimal"/>
          </w:endnotePr>
          <w:pgSz w:w="11907" w:h="16840"/>
          <w:pgMar w:top="1418" w:right="1531" w:bottom="1418" w:left="1701" w:header="851" w:footer="1021" w:gutter="0"/>
          <w:cols w:space="720" w:num="1"/>
          <w:docGrid w:linePitch="326" w:charSpace="0"/>
        </w:sectPr>
      </w:pPr>
      <w:r>
        <w:rPr>
          <w:rFonts w:hint="eastAsia" w:hAnsi="宋体"/>
          <w:snapToGrid w:val="0"/>
          <w:highlight w:val="none"/>
        </w:rPr>
        <w:t>2、用户评价</w:t>
      </w:r>
    </w:p>
    <w:p w14:paraId="66FB82BA">
      <w:pPr>
        <w:pStyle w:val="2"/>
        <w:rPr>
          <w:rFonts w:hAnsi="宋体"/>
          <w:sz w:val="30"/>
          <w:szCs w:val="30"/>
          <w:highlight w:val="none"/>
        </w:rPr>
      </w:pPr>
      <w:bookmarkStart w:id="218" w:name="_Toc27422"/>
      <w:r>
        <w:rPr>
          <w:sz w:val="30"/>
          <w:szCs w:val="30"/>
          <w:highlight w:val="none"/>
        </w:rPr>
        <w:t>附件1</w:t>
      </w:r>
      <w:r>
        <w:rPr>
          <w:rFonts w:hint="eastAsia"/>
          <w:sz w:val="30"/>
          <w:szCs w:val="30"/>
          <w:highlight w:val="none"/>
        </w:rPr>
        <w:t>5订货情况及排产计划说明</w:t>
      </w:r>
      <w:bookmarkEnd w:id="216"/>
      <w:bookmarkEnd w:id="218"/>
    </w:p>
    <w:p w14:paraId="1320C239">
      <w:pPr>
        <w:spacing w:line="500" w:lineRule="exact"/>
        <w:ind w:firstLine="420"/>
        <w:rPr>
          <w:rFonts w:ascii="宋体" w:hAnsi="宋体"/>
          <w:highlight w:val="none"/>
        </w:rPr>
      </w:pPr>
    </w:p>
    <w:p w14:paraId="4957643E">
      <w:pPr>
        <w:spacing w:line="500" w:lineRule="exact"/>
        <w:ind w:firstLine="420"/>
        <w:rPr>
          <w:rFonts w:ascii="宋体" w:hAnsi="宋体"/>
          <w:highlight w:val="none"/>
        </w:rPr>
      </w:pPr>
    </w:p>
    <w:p w14:paraId="3D71493A">
      <w:pPr>
        <w:spacing w:line="500" w:lineRule="exact"/>
        <w:ind w:firstLine="420"/>
        <w:rPr>
          <w:rFonts w:ascii="宋体" w:hAnsi="宋体"/>
          <w:highlight w:val="none"/>
        </w:rPr>
      </w:pPr>
    </w:p>
    <w:p w14:paraId="4A8483FA">
      <w:pPr>
        <w:spacing w:line="500" w:lineRule="exact"/>
        <w:rPr>
          <w:rFonts w:ascii="宋体" w:hAnsi="宋体"/>
          <w:highlight w:val="none"/>
        </w:rPr>
      </w:pPr>
    </w:p>
    <w:sectPr>
      <w:endnotePr>
        <w:numFmt w:val="decimal"/>
      </w:endnotePr>
      <w:pgSz w:w="11907" w:h="16840"/>
      <w:pgMar w:top="1418" w:right="1531" w:bottom="1418" w:left="1701" w:header="851" w:footer="102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小标宋">
    <w:altName w:val="宋体"/>
    <w:panose1 w:val="00000000000000000000"/>
    <w:charset w:val="86"/>
    <w:family w:val="modern"/>
    <w:pitch w:val="default"/>
    <w:sig w:usb0="00000000" w:usb1="00000000" w:usb2="00000010" w:usb3="00000000" w:csb0="00040000" w:csb1="00000000"/>
  </w:font>
  <w:font w:name="华文行楷">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EAB33">
    <w:pPr>
      <w:pStyle w:val="19"/>
      <w:spacing w:before="120" w:after="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EDB0F">
    <w:pPr>
      <w:pStyle w:val="19"/>
      <w:framePr w:wrap="around" w:vAnchor="text" w:hAnchor="margin" w:xAlign="right" w:y="1"/>
      <w:spacing w:before="120" w:after="120"/>
      <w:rPr>
        <w:rStyle w:val="28"/>
      </w:rPr>
    </w:pPr>
    <w:r>
      <w:fldChar w:fldCharType="begin"/>
    </w:r>
    <w:r>
      <w:rPr>
        <w:rStyle w:val="28"/>
      </w:rPr>
      <w:instrText xml:space="preserve">PAGE  </w:instrText>
    </w:r>
    <w:r>
      <w:fldChar w:fldCharType="end"/>
    </w:r>
  </w:p>
  <w:p w14:paraId="7BE50E35">
    <w:pPr>
      <w:pStyle w:val="19"/>
      <w:spacing w:before="120" w:after="12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24AC3">
    <w:pPr>
      <w:pStyle w:val="19"/>
      <w:spacing w:before="120" w:after="120"/>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3E705">
    <w:pPr>
      <w:pStyle w:val="19"/>
      <w:spacing w:before="120" w:after="12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D0B94">
    <w:pPr>
      <w:pStyle w:val="19"/>
      <w:jc w:val="center"/>
    </w:pPr>
    <w:r>
      <w:rPr>
        <w:lang w:val="zh-CN"/>
      </w:rPr>
      <w:fldChar w:fldCharType="begin"/>
    </w:r>
    <w:r>
      <w:rPr>
        <w:lang w:val="zh-CN"/>
      </w:rPr>
      <w:instrText xml:space="preserve"> PAGE   \* MERGEFORMAT </w:instrText>
    </w:r>
    <w:r>
      <w:rPr>
        <w:lang w:val="zh-CN"/>
      </w:rPr>
      <w:fldChar w:fldCharType="separate"/>
    </w:r>
    <w:r>
      <w:rPr>
        <w:lang w:val="zh-CN"/>
      </w:rPr>
      <w:t>10</w:t>
    </w:r>
    <w:r>
      <w:rPr>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2571B">
    <w:pPr>
      <w:pStyle w:val="19"/>
      <w:jc w:val="center"/>
    </w:pPr>
    <w:r>
      <w:rPr>
        <w:lang w:val="zh-CN"/>
      </w:rPr>
      <w:fldChar w:fldCharType="begin"/>
    </w:r>
    <w:r>
      <w:rPr>
        <w:lang w:val="zh-CN"/>
      </w:rPr>
      <w:instrText xml:space="preserve"> PAGE   \* MERGEFORMAT </w:instrText>
    </w:r>
    <w:r>
      <w:rPr>
        <w:lang w:val="zh-CN"/>
      </w:rPr>
      <w:fldChar w:fldCharType="separate"/>
    </w:r>
    <w:r>
      <w:rPr>
        <w:lang w:val="zh-CN"/>
      </w:rPr>
      <w:t>20</w:t>
    </w:r>
    <w:r>
      <w:rPr>
        <w:lang w:val="zh-C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F35AA">
    <w:pPr>
      <w:pStyle w:val="19"/>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F1F0C">
    <w:pPr>
      <w:pStyle w:val="19"/>
      <w:jc w:val="center"/>
    </w:pPr>
    <w:r>
      <w:rPr>
        <w:lang w:val="zh-CN"/>
      </w:rPr>
      <w:fldChar w:fldCharType="begin"/>
    </w:r>
    <w:r>
      <w:rPr>
        <w:lang w:val="zh-CN"/>
      </w:rPr>
      <w:instrText xml:space="preserve"> PAGE   \* MERGEFORMAT </w:instrText>
    </w:r>
    <w:r>
      <w:rPr>
        <w:lang w:val="zh-CN"/>
      </w:rPr>
      <w:fldChar w:fldCharType="separate"/>
    </w:r>
    <w:r>
      <w:rPr>
        <w:lang w:val="zh-CN"/>
      </w:rPr>
      <w:t>37</w:t>
    </w:r>
    <w:r>
      <w:rPr>
        <w:lang w:val="zh-CN"/>
      </w:rPr>
      <w:fldChar w:fldCharType="end"/>
    </w:r>
  </w:p>
  <w:p w14:paraId="73F0BA3A">
    <w:pPr>
      <w:pStyle w:val="19"/>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7DB9E">
    <w:pPr>
      <w:pStyle w:val="19"/>
      <w:jc w:val="center"/>
    </w:pPr>
    <w:r>
      <w:rPr>
        <w:lang w:val="zh-CN"/>
      </w:rPr>
      <w:fldChar w:fldCharType="begin"/>
    </w:r>
    <w:r>
      <w:rPr>
        <w:lang w:val="zh-CN"/>
      </w:rPr>
      <w:instrText xml:space="preserve"> PAGE   \* MERGEFORMAT </w:instrText>
    </w:r>
    <w:r>
      <w:rPr>
        <w:lang w:val="zh-CN"/>
      </w:rPr>
      <w:fldChar w:fldCharType="separate"/>
    </w:r>
    <w:r>
      <w:rPr>
        <w:lang w:val="zh-CN"/>
      </w:rPr>
      <w:t>40</w:t>
    </w:r>
    <w:r>
      <w:rPr>
        <w:lang w:val="zh-CN"/>
      </w:rPr>
      <w:fldChar w:fldCharType="end"/>
    </w:r>
  </w:p>
  <w:p w14:paraId="0E9EBD24">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04BD3">
    <w:pPr>
      <w:pStyle w:val="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1D8F2">
    <w:pPr>
      <w:pStyle w:val="20"/>
      <w:pBdr>
        <w:bottom w:val="single" w:color="auto" w:sz="4" w:space="1"/>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A2BE8">
    <w:pPr>
      <w:pStyle w:val="20"/>
      <w:jc w:val="right"/>
    </w:pPr>
    <w:r>
      <w:rPr>
        <w:rFonts w:hint="eastAsia"/>
      </w:rPr>
      <w:t>水冷壁中部散管管屏技术规范书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57F00">
    <w:pPr>
      <w:pStyle w:val="20"/>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37FEE">
    <w:pPr>
      <w:pStyle w:val="2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105A3">
    <w:pPr>
      <w:pStyle w:val="20"/>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24CD5">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00000011"/>
    <w:multiLevelType w:val="multilevel"/>
    <w:tmpl w:val="0000001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0000012"/>
    <w:multiLevelType w:val="multilevel"/>
    <w:tmpl w:val="00000012"/>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8A87B9C"/>
    <w:multiLevelType w:val="multilevel"/>
    <w:tmpl w:val="58A87B9C"/>
    <w:lvl w:ilvl="0" w:tentative="0">
      <w:start w:val="1"/>
      <w:numFmt w:val="decimal"/>
      <w:suff w:val="nothing"/>
      <w:lvlText w:val="%1."/>
      <w:lvlJc w:val="left"/>
      <w:rPr>
        <w:rFonts w:hint="eastAsia"/>
      </w:rPr>
    </w:lvl>
    <w:lvl w:ilvl="1" w:tentative="0">
      <w:start w:val="1"/>
      <w:numFmt w:val="decimal"/>
      <w:suff w:val="nothing"/>
      <w:lvlText w:val="%1.%2"/>
      <w:lvlJc w:val="left"/>
      <w:rPr>
        <w:rFonts w:hint="eastAsia"/>
      </w:rPr>
    </w:lvl>
    <w:lvl w:ilvl="2" w:tentative="0">
      <w:start w:val="1"/>
      <w:numFmt w:val="chineseCountingThousand"/>
      <w:suff w:val="nothing"/>
      <w:lvlText w:val="附件%3："/>
      <w:lvlJc w:val="left"/>
      <w:rPr>
        <w:rFonts w:hint="eastAsia"/>
      </w:rPr>
    </w:lvl>
    <w:lvl w:ilvl="3" w:tentative="0">
      <w:start w:val="1"/>
      <w:numFmt w:val="decimal"/>
      <w:suff w:val="nothing"/>
      <w:lvlText w:val="%4."/>
      <w:lvlJc w:val="left"/>
      <w:rPr>
        <w:rFonts w:hint="eastAsia"/>
      </w:rPr>
    </w:lvl>
    <w:lvl w:ilvl="4" w:tentative="0">
      <w:start w:val="1"/>
      <w:numFmt w:val="decimal"/>
      <w:pStyle w:val="6"/>
      <w:suff w:val="nothing"/>
      <w:lvlText w:val="%4.%5"/>
      <w:lvlJc w:val="left"/>
      <w:rPr>
        <w:rFonts w:hint="eastAsia"/>
      </w:rPr>
    </w:lvl>
    <w:lvl w:ilvl="5" w:tentative="0">
      <w:start w:val="1"/>
      <w:numFmt w:val="none"/>
      <w:pStyle w:val="7"/>
      <w:suff w:val="nothing"/>
      <w:lvlText w:val=""/>
      <w:lvlJc w:val="left"/>
      <w:rPr>
        <w:rFonts w:hint="eastAsia"/>
      </w:rPr>
    </w:lvl>
    <w:lvl w:ilvl="6" w:tentative="0">
      <w:start w:val="1"/>
      <w:numFmt w:val="none"/>
      <w:pStyle w:val="8"/>
      <w:suff w:val="nothing"/>
      <w:lvlText w:val=""/>
      <w:lvlJc w:val="left"/>
      <w:rPr>
        <w:rFonts w:hint="eastAsia"/>
      </w:rPr>
    </w:lvl>
    <w:lvl w:ilvl="7" w:tentative="0">
      <w:start w:val="1"/>
      <w:numFmt w:val="none"/>
      <w:pStyle w:val="9"/>
      <w:suff w:val="nothing"/>
      <w:lvlText w:val=""/>
      <w:lvlJc w:val="left"/>
      <w:rPr>
        <w:rFonts w:hint="eastAsia"/>
      </w:rPr>
    </w:lvl>
    <w:lvl w:ilvl="8" w:tentative="0">
      <w:start w:val="1"/>
      <w:numFmt w:val="none"/>
      <w:pStyle w:val="10"/>
      <w:suff w:val="nothing"/>
      <w:lvlText w:val=""/>
      <w:lvlJc w:val="left"/>
      <w:rPr>
        <w:rFonts w:hint="eastAsia"/>
      </w:rPr>
    </w:lvl>
  </w:abstractNum>
  <w:abstractNum w:abstractNumId="4">
    <w:nsid w:val="5B4C3DD1"/>
    <w:multiLevelType w:val="multilevel"/>
    <w:tmpl w:val="5B4C3DD1"/>
    <w:lvl w:ilvl="0" w:tentative="0">
      <w:start w:val="2"/>
      <w:numFmt w:val="decimal"/>
      <w:lvlText w:val="%1"/>
      <w:lvlJc w:val="left"/>
      <w:pPr>
        <w:tabs>
          <w:tab w:val="left" w:pos="540"/>
        </w:tabs>
        <w:ind w:left="540" w:hanging="540"/>
      </w:pPr>
      <w:rPr>
        <w:rFonts w:hint="default"/>
      </w:rPr>
    </w:lvl>
    <w:lvl w:ilvl="1" w:tentative="0">
      <w:start w:val="1"/>
      <w:numFmt w:val="decimal"/>
      <w:lvlText w:val="%1.%2"/>
      <w:lvlJc w:val="left"/>
      <w:pPr>
        <w:tabs>
          <w:tab w:val="left" w:pos="540"/>
        </w:tabs>
        <w:ind w:left="540" w:hanging="54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6BA44A86"/>
    <w:multiLevelType w:val="multilevel"/>
    <w:tmpl w:val="6BA44A86"/>
    <w:lvl w:ilvl="0" w:tentative="0">
      <w:start w:val="1"/>
      <w:numFmt w:val="decimal"/>
      <w:lvlText w:val="%1"/>
      <w:lvlJc w:val="left"/>
      <w:pPr>
        <w:ind w:left="430" w:hanging="43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4F53DD4"/>
    <w:multiLevelType w:val="multilevel"/>
    <w:tmpl w:val="74F53DD4"/>
    <w:lvl w:ilvl="0" w:tentative="0">
      <w:start w:val="0"/>
      <w:numFmt w:val="decimal"/>
      <w:pStyle w:val="5"/>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6"/>
  </w:num>
  <w:num w:numId="2">
    <w:abstractNumId w:val="3"/>
  </w:num>
  <w:num w:numId="3">
    <w:abstractNumId w:val="2"/>
  </w:num>
  <w:num w:numId="4">
    <w:abstractNumId w:val="5"/>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236C4"/>
    <w:rsid w:val="000017D5"/>
    <w:rsid w:val="000020A0"/>
    <w:rsid w:val="000047D3"/>
    <w:rsid w:val="00004A21"/>
    <w:rsid w:val="000119CB"/>
    <w:rsid w:val="00011A5A"/>
    <w:rsid w:val="00011B0E"/>
    <w:rsid w:val="00012156"/>
    <w:rsid w:val="000145ED"/>
    <w:rsid w:val="00014B8F"/>
    <w:rsid w:val="00015253"/>
    <w:rsid w:val="000158EF"/>
    <w:rsid w:val="000166D0"/>
    <w:rsid w:val="00016FE8"/>
    <w:rsid w:val="000203CF"/>
    <w:rsid w:val="000217A5"/>
    <w:rsid w:val="00024565"/>
    <w:rsid w:val="00024621"/>
    <w:rsid w:val="00026EEF"/>
    <w:rsid w:val="0003481A"/>
    <w:rsid w:val="00035107"/>
    <w:rsid w:val="000400CE"/>
    <w:rsid w:val="0004066C"/>
    <w:rsid w:val="00040A22"/>
    <w:rsid w:val="00041CDD"/>
    <w:rsid w:val="00042A86"/>
    <w:rsid w:val="00042DBB"/>
    <w:rsid w:val="00046180"/>
    <w:rsid w:val="00050E75"/>
    <w:rsid w:val="00051F61"/>
    <w:rsid w:val="00052217"/>
    <w:rsid w:val="000546ED"/>
    <w:rsid w:val="000549B4"/>
    <w:rsid w:val="0005571F"/>
    <w:rsid w:val="00056BF9"/>
    <w:rsid w:val="000579B0"/>
    <w:rsid w:val="00057E48"/>
    <w:rsid w:val="00060728"/>
    <w:rsid w:val="00061D89"/>
    <w:rsid w:val="000620F2"/>
    <w:rsid w:val="00062212"/>
    <w:rsid w:val="00062D69"/>
    <w:rsid w:val="00063612"/>
    <w:rsid w:val="00066F20"/>
    <w:rsid w:val="0007072C"/>
    <w:rsid w:val="00070B36"/>
    <w:rsid w:val="00072E09"/>
    <w:rsid w:val="000770CB"/>
    <w:rsid w:val="00077FFB"/>
    <w:rsid w:val="0008090A"/>
    <w:rsid w:val="00081E3E"/>
    <w:rsid w:val="00084070"/>
    <w:rsid w:val="00084B04"/>
    <w:rsid w:val="00085B53"/>
    <w:rsid w:val="00090F69"/>
    <w:rsid w:val="00091F7C"/>
    <w:rsid w:val="000932CA"/>
    <w:rsid w:val="0009341A"/>
    <w:rsid w:val="000965E6"/>
    <w:rsid w:val="0009798E"/>
    <w:rsid w:val="000A2F03"/>
    <w:rsid w:val="000A32B8"/>
    <w:rsid w:val="000A41C5"/>
    <w:rsid w:val="000A51C7"/>
    <w:rsid w:val="000A52E4"/>
    <w:rsid w:val="000A5A5C"/>
    <w:rsid w:val="000A5BEA"/>
    <w:rsid w:val="000A6703"/>
    <w:rsid w:val="000B105C"/>
    <w:rsid w:val="000B6D95"/>
    <w:rsid w:val="000B6F65"/>
    <w:rsid w:val="000C02F1"/>
    <w:rsid w:val="000C1B44"/>
    <w:rsid w:val="000C282C"/>
    <w:rsid w:val="000C50FA"/>
    <w:rsid w:val="000D161F"/>
    <w:rsid w:val="000D3DA4"/>
    <w:rsid w:val="000E023B"/>
    <w:rsid w:val="000E0539"/>
    <w:rsid w:val="000E0562"/>
    <w:rsid w:val="000E07F5"/>
    <w:rsid w:val="000E11A9"/>
    <w:rsid w:val="000E1AF9"/>
    <w:rsid w:val="000E2A38"/>
    <w:rsid w:val="000E40B6"/>
    <w:rsid w:val="000E4523"/>
    <w:rsid w:val="000E6306"/>
    <w:rsid w:val="000E7738"/>
    <w:rsid w:val="000E79E7"/>
    <w:rsid w:val="000F06AC"/>
    <w:rsid w:val="000F090E"/>
    <w:rsid w:val="000F0FA5"/>
    <w:rsid w:val="000F1857"/>
    <w:rsid w:val="000F1CA7"/>
    <w:rsid w:val="000F2078"/>
    <w:rsid w:val="000F46C5"/>
    <w:rsid w:val="000F6F87"/>
    <w:rsid w:val="001004D7"/>
    <w:rsid w:val="0010195A"/>
    <w:rsid w:val="00104298"/>
    <w:rsid w:val="00104736"/>
    <w:rsid w:val="00106A25"/>
    <w:rsid w:val="00107E4C"/>
    <w:rsid w:val="0011264E"/>
    <w:rsid w:val="00113E97"/>
    <w:rsid w:val="00114100"/>
    <w:rsid w:val="00114886"/>
    <w:rsid w:val="00116614"/>
    <w:rsid w:val="00117040"/>
    <w:rsid w:val="00117BFA"/>
    <w:rsid w:val="00120A9C"/>
    <w:rsid w:val="0012229F"/>
    <w:rsid w:val="0012391E"/>
    <w:rsid w:val="001243C1"/>
    <w:rsid w:val="00124EE0"/>
    <w:rsid w:val="00130654"/>
    <w:rsid w:val="001311D5"/>
    <w:rsid w:val="00131CE4"/>
    <w:rsid w:val="001340C4"/>
    <w:rsid w:val="00134599"/>
    <w:rsid w:val="001347FA"/>
    <w:rsid w:val="0013726A"/>
    <w:rsid w:val="00137299"/>
    <w:rsid w:val="00144862"/>
    <w:rsid w:val="00145076"/>
    <w:rsid w:val="001454B3"/>
    <w:rsid w:val="00145685"/>
    <w:rsid w:val="00145B37"/>
    <w:rsid w:val="0014640E"/>
    <w:rsid w:val="00152348"/>
    <w:rsid w:val="00153C79"/>
    <w:rsid w:val="00154A50"/>
    <w:rsid w:val="00156FDB"/>
    <w:rsid w:val="00160E90"/>
    <w:rsid w:val="001622AF"/>
    <w:rsid w:val="001641F4"/>
    <w:rsid w:val="001651BC"/>
    <w:rsid w:val="00165BBB"/>
    <w:rsid w:val="001738C9"/>
    <w:rsid w:val="00173BFC"/>
    <w:rsid w:val="001776DD"/>
    <w:rsid w:val="001813D6"/>
    <w:rsid w:val="00181550"/>
    <w:rsid w:val="001831BA"/>
    <w:rsid w:val="001925B5"/>
    <w:rsid w:val="00193E6E"/>
    <w:rsid w:val="00193EE7"/>
    <w:rsid w:val="00194CBD"/>
    <w:rsid w:val="00195CE8"/>
    <w:rsid w:val="00197210"/>
    <w:rsid w:val="001A0F5F"/>
    <w:rsid w:val="001A49AD"/>
    <w:rsid w:val="001A5258"/>
    <w:rsid w:val="001A5B4B"/>
    <w:rsid w:val="001B2BB3"/>
    <w:rsid w:val="001B408F"/>
    <w:rsid w:val="001B5699"/>
    <w:rsid w:val="001C0015"/>
    <w:rsid w:val="001C088C"/>
    <w:rsid w:val="001C52AB"/>
    <w:rsid w:val="001C5A8A"/>
    <w:rsid w:val="001C5D55"/>
    <w:rsid w:val="001C6929"/>
    <w:rsid w:val="001C7C19"/>
    <w:rsid w:val="001D074D"/>
    <w:rsid w:val="001D2338"/>
    <w:rsid w:val="001D55E5"/>
    <w:rsid w:val="001D5B35"/>
    <w:rsid w:val="001D5B7B"/>
    <w:rsid w:val="001D5E29"/>
    <w:rsid w:val="001D6888"/>
    <w:rsid w:val="001E3196"/>
    <w:rsid w:val="001E330B"/>
    <w:rsid w:val="001E3F67"/>
    <w:rsid w:val="001F078E"/>
    <w:rsid w:val="001F40B0"/>
    <w:rsid w:val="001F5FC6"/>
    <w:rsid w:val="001F61B3"/>
    <w:rsid w:val="001F7A1B"/>
    <w:rsid w:val="00202B6C"/>
    <w:rsid w:val="00202E5C"/>
    <w:rsid w:val="00207C5C"/>
    <w:rsid w:val="002113CC"/>
    <w:rsid w:val="00212FAC"/>
    <w:rsid w:val="00213766"/>
    <w:rsid w:val="00216371"/>
    <w:rsid w:val="002165AE"/>
    <w:rsid w:val="00216FB7"/>
    <w:rsid w:val="00217994"/>
    <w:rsid w:val="00221F17"/>
    <w:rsid w:val="00221F1F"/>
    <w:rsid w:val="00224F05"/>
    <w:rsid w:val="002271BC"/>
    <w:rsid w:val="00231881"/>
    <w:rsid w:val="002322E5"/>
    <w:rsid w:val="00232B9B"/>
    <w:rsid w:val="00232E31"/>
    <w:rsid w:val="00233A2C"/>
    <w:rsid w:val="00233B74"/>
    <w:rsid w:val="00236D77"/>
    <w:rsid w:val="0024010F"/>
    <w:rsid w:val="00240C03"/>
    <w:rsid w:val="00243FF4"/>
    <w:rsid w:val="002454DF"/>
    <w:rsid w:val="002500A7"/>
    <w:rsid w:val="00252C1C"/>
    <w:rsid w:val="002530D9"/>
    <w:rsid w:val="0025503D"/>
    <w:rsid w:val="002552B1"/>
    <w:rsid w:val="00255397"/>
    <w:rsid w:val="00256D20"/>
    <w:rsid w:val="00266B83"/>
    <w:rsid w:val="00267485"/>
    <w:rsid w:val="00271071"/>
    <w:rsid w:val="00271440"/>
    <w:rsid w:val="002730E0"/>
    <w:rsid w:val="002734CE"/>
    <w:rsid w:val="00274524"/>
    <w:rsid w:val="002751EB"/>
    <w:rsid w:val="00280856"/>
    <w:rsid w:val="002823A5"/>
    <w:rsid w:val="00282E2C"/>
    <w:rsid w:val="002841DF"/>
    <w:rsid w:val="00286EB8"/>
    <w:rsid w:val="0029245C"/>
    <w:rsid w:val="00297207"/>
    <w:rsid w:val="0029760E"/>
    <w:rsid w:val="002A119D"/>
    <w:rsid w:val="002A13E3"/>
    <w:rsid w:val="002A25D3"/>
    <w:rsid w:val="002A290D"/>
    <w:rsid w:val="002A4DE0"/>
    <w:rsid w:val="002A5C5F"/>
    <w:rsid w:val="002B1347"/>
    <w:rsid w:val="002B1897"/>
    <w:rsid w:val="002B20FB"/>
    <w:rsid w:val="002B3B13"/>
    <w:rsid w:val="002B3CB4"/>
    <w:rsid w:val="002B40B9"/>
    <w:rsid w:val="002B7159"/>
    <w:rsid w:val="002C045C"/>
    <w:rsid w:val="002C1A45"/>
    <w:rsid w:val="002C307E"/>
    <w:rsid w:val="002C4913"/>
    <w:rsid w:val="002C6115"/>
    <w:rsid w:val="002D047C"/>
    <w:rsid w:val="002D18D1"/>
    <w:rsid w:val="002D2578"/>
    <w:rsid w:val="002D2AA0"/>
    <w:rsid w:val="002D342F"/>
    <w:rsid w:val="002D367E"/>
    <w:rsid w:val="002D4A69"/>
    <w:rsid w:val="002D4DDA"/>
    <w:rsid w:val="002D67CC"/>
    <w:rsid w:val="002E168C"/>
    <w:rsid w:val="002E2487"/>
    <w:rsid w:val="002E49F4"/>
    <w:rsid w:val="002E6A41"/>
    <w:rsid w:val="002E7739"/>
    <w:rsid w:val="002F1C93"/>
    <w:rsid w:val="002F232B"/>
    <w:rsid w:val="002F2EEF"/>
    <w:rsid w:val="002F372F"/>
    <w:rsid w:val="002F3AB1"/>
    <w:rsid w:val="002F3D00"/>
    <w:rsid w:val="002F4B5E"/>
    <w:rsid w:val="002F7728"/>
    <w:rsid w:val="00300D04"/>
    <w:rsid w:val="003017FC"/>
    <w:rsid w:val="00302246"/>
    <w:rsid w:val="00304561"/>
    <w:rsid w:val="00304FC6"/>
    <w:rsid w:val="00306AC6"/>
    <w:rsid w:val="00310424"/>
    <w:rsid w:val="003114DE"/>
    <w:rsid w:val="00311672"/>
    <w:rsid w:val="0031646A"/>
    <w:rsid w:val="00317A88"/>
    <w:rsid w:val="00320317"/>
    <w:rsid w:val="00320F53"/>
    <w:rsid w:val="003235E0"/>
    <w:rsid w:val="003243DA"/>
    <w:rsid w:val="00324922"/>
    <w:rsid w:val="00325BC5"/>
    <w:rsid w:val="003302FB"/>
    <w:rsid w:val="00330ED2"/>
    <w:rsid w:val="00333B50"/>
    <w:rsid w:val="00336B65"/>
    <w:rsid w:val="00336CE7"/>
    <w:rsid w:val="00340F6D"/>
    <w:rsid w:val="00342249"/>
    <w:rsid w:val="00342925"/>
    <w:rsid w:val="00345FA7"/>
    <w:rsid w:val="00346CDC"/>
    <w:rsid w:val="00352241"/>
    <w:rsid w:val="0035268A"/>
    <w:rsid w:val="003527B9"/>
    <w:rsid w:val="003528E4"/>
    <w:rsid w:val="0035486A"/>
    <w:rsid w:val="00356251"/>
    <w:rsid w:val="00357114"/>
    <w:rsid w:val="00357438"/>
    <w:rsid w:val="00360712"/>
    <w:rsid w:val="00362AA8"/>
    <w:rsid w:val="00363D25"/>
    <w:rsid w:val="003675BE"/>
    <w:rsid w:val="003677EC"/>
    <w:rsid w:val="00367C13"/>
    <w:rsid w:val="00373303"/>
    <w:rsid w:val="00373B4E"/>
    <w:rsid w:val="003740ED"/>
    <w:rsid w:val="00376129"/>
    <w:rsid w:val="00376464"/>
    <w:rsid w:val="00376CD5"/>
    <w:rsid w:val="0038506E"/>
    <w:rsid w:val="003850D9"/>
    <w:rsid w:val="00385C9B"/>
    <w:rsid w:val="00386664"/>
    <w:rsid w:val="003875DB"/>
    <w:rsid w:val="00387F48"/>
    <w:rsid w:val="00393D4C"/>
    <w:rsid w:val="0039506D"/>
    <w:rsid w:val="00395B62"/>
    <w:rsid w:val="00397157"/>
    <w:rsid w:val="00397608"/>
    <w:rsid w:val="003979D7"/>
    <w:rsid w:val="003A028E"/>
    <w:rsid w:val="003A109E"/>
    <w:rsid w:val="003A2AB6"/>
    <w:rsid w:val="003A2BC9"/>
    <w:rsid w:val="003A3E07"/>
    <w:rsid w:val="003A56EF"/>
    <w:rsid w:val="003A5C06"/>
    <w:rsid w:val="003A5C77"/>
    <w:rsid w:val="003B0480"/>
    <w:rsid w:val="003B0BE5"/>
    <w:rsid w:val="003B42C2"/>
    <w:rsid w:val="003B446A"/>
    <w:rsid w:val="003C11F7"/>
    <w:rsid w:val="003C13D6"/>
    <w:rsid w:val="003C2B03"/>
    <w:rsid w:val="003C6E3D"/>
    <w:rsid w:val="003C71B1"/>
    <w:rsid w:val="003D1B36"/>
    <w:rsid w:val="003D37F3"/>
    <w:rsid w:val="003D786C"/>
    <w:rsid w:val="003D78EA"/>
    <w:rsid w:val="003E0664"/>
    <w:rsid w:val="003E0842"/>
    <w:rsid w:val="003E1734"/>
    <w:rsid w:val="003E2B09"/>
    <w:rsid w:val="003E2D81"/>
    <w:rsid w:val="003E2DFC"/>
    <w:rsid w:val="003E31B8"/>
    <w:rsid w:val="003E3453"/>
    <w:rsid w:val="003E3A35"/>
    <w:rsid w:val="003E5F90"/>
    <w:rsid w:val="003E75F1"/>
    <w:rsid w:val="003E780A"/>
    <w:rsid w:val="003E7F1C"/>
    <w:rsid w:val="003F0B14"/>
    <w:rsid w:val="003F149A"/>
    <w:rsid w:val="003F45BA"/>
    <w:rsid w:val="003F4BF5"/>
    <w:rsid w:val="003F5C56"/>
    <w:rsid w:val="00400DE9"/>
    <w:rsid w:val="0040313F"/>
    <w:rsid w:val="0040623B"/>
    <w:rsid w:val="0041370E"/>
    <w:rsid w:val="00413A10"/>
    <w:rsid w:val="00416087"/>
    <w:rsid w:val="00416EF5"/>
    <w:rsid w:val="00420A4E"/>
    <w:rsid w:val="00421BC1"/>
    <w:rsid w:val="00423A62"/>
    <w:rsid w:val="004257A0"/>
    <w:rsid w:val="00425DDA"/>
    <w:rsid w:val="0042675E"/>
    <w:rsid w:val="00427059"/>
    <w:rsid w:val="0042748F"/>
    <w:rsid w:val="00427CE8"/>
    <w:rsid w:val="0043128B"/>
    <w:rsid w:val="004338D5"/>
    <w:rsid w:val="004341BE"/>
    <w:rsid w:val="00434C16"/>
    <w:rsid w:val="00435757"/>
    <w:rsid w:val="004369A9"/>
    <w:rsid w:val="0044017D"/>
    <w:rsid w:val="004407AD"/>
    <w:rsid w:val="00441D41"/>
    <w:rsid w:val="00441FBF"/>
    <w:rsid w:val="00442B84"/>
    <w:rsid w:val="00443981"/>
    <w:rsid w:val="00445465"/>
    <w:rsid w:val="00447E2B"/>
    <w:rsid w:val="00447F50"/>
    <w:rsid w:val="00453383"/>
    <w:rsid w:val="00453F9B"/>
    <w:rsid w:val="004569CE"/>
    <w:rsid w:val="00456B0C"/>
    <w:rsid w:val="004573D9"/>
    <w:rsid w:val="00460DB3"/>
    <w:rsid w:val="00462C40"/>
    <w:rsid w:val="0046380B"/>
    <w:rsid w:val="004638ED"/>
    <w:rsid w:val="0046399E"/>
    <w:rsid w:val="00463A9F"/>
    <w:rsid w:val="00464095"/>
    <w:rsid w:val="00467F59"/>
    <w:rsid w:val="004728C6"/>
    <w:rsid w:val="0047522B"/>
    <w:rsid w:val="004758C1"/>
    <w:rsid w:val="00480EA4"/>
    <w:rsid w:val="004846CF"/>
    <w:rsid w:val="004850F0"/>
    <w:rsid w:val="00485AFE"/>
    <w:rsid w:val="00486127"/>
    <w:rsid w:val="0048640D"/>
    <w:rsid w:val="00490A72"/>
    <w:rsid w:val="00491E3B"/>
    <w:rsid w:val="00493181"/>
    <w:rsid w:val="004954C4"/>
    <w:rsid w:val="004975AB"/>
    <w:rsid w:val="00497690"/>
    <w:rsid w:val="00497BCE"/>
    <w:rsid w:val="004A6310"/>
    <w:rsid w:val="004A6A2C"/>
    <w:rsid w:val="004A747A"/>
    <w:rsid w:val="004B08AA"/>
    <w:rsid w:val="004B0BC5"/>
    <w:rsid w:val="004B0C3B"/>
    <w:rsid w:val="004B1ECA"/>
    <w:rsid w:val="004B2B8B"/>
    <w:rsid w:val="004B5275"/>
    <w:rsid w:val="004B5707"/>
    <w:rsid w:val="004B69F5"/>
    <w:rsid w:val="004C012A"/>
    <w:rsid w:val="004C2020"/>
    <w:rsid w:val="004C25F6"/>
    <w:rsid w:val="004C575D"/>
    <w:rsid w:val="004C7DE3"/>
    <w:rsid w:val="004D1F87"/>
    <w:rsid w:val="004D5706"/>
    <w:rsid w:val="004D7325"/>
    <w:rsid w:val="004D7C33"/>
    <w:rsid w:val="004E1770"/>
    <w:rsid w:val="004E2D34"/>
    <w:rsid w:val="004E3103"/>
    <w:rsid w:val="004E52CC"/>
    <w:rsid w:val="004E5F8A"/>
    <w:rsid w:val="004E610C"/>
    <w:rsid w:val="004E64D5"/>
    <w:rsid w:val="004F6D1A"/>
    <w:rsid w:val="00501F9F"/>
    <w:rsid w:val="0050362A"/>
    <w:rsid w:val="00503724"/>
    <w:rsid w:val="005042F4"/>
    <w:rsid w:val="00504942"/>
    <w:rsid w:val="00506F25"/>
    <w:rsid w:val="00506FDC"/>
    <w:rsid w:val="005073A9"/>
    <w:rsid w:val="0051324D"/>
    <w:rsid w:val="005134C0"/>
    <w:rsid w:val="00513C58"/>
    <w:rsid w:val="00513CC4"/>
    <w:rsid w:val="005175AF"/>
    <w:rsid w:val="005241FA"/>
    <w:rsid w:val="0052435F"/>
    <w:rsid w:val="005269D4"/>
    <w:rsid w:val="00526D7B"/>
    <w:rsid w:val="005276AA"/>
    <w:rsid w:val="00527D5E"/>
    <w:rsid w:val="00534C25"/>
    <w:rsid w:val="005361F8"/>
    <w:rsid w:val="00540513"/>
    <w:rsid w:val="00540B5B"/>
    <w:rsid w:val="00541E95"/>
    <w:rsid w:val="00541EAC"/>
    <w:rsid w:val="00542B58"/>
    <w:rsid w:val="00543510"/>
    <w:rsid w:val="005437BC"/>
    <w:rsid w:val="00543949"/>
    <w:rsid w:val="0054600D"/>
    <w:rsid w:val="00550C03"/>
    <w:rsid w:val="00553A8A"/>
    <w:rsid w:val="00553EF4"/>
    <w:rsid w:val="00557C51"/>
    <w:rsid w:val="005615BC"/>
    <w:rsid w:val="00562724"/>
    <w:rsid w:val="0056584A"/>
    <w:rsid w:val="00570F28"/>
    <w:rsid w:val="005715DA"/>
    <w:rsid w:val="005738D9"/>
    <w:rsid w:val="0057447B"/>
    <w:rsid w:val="005752A9"/>
    <w:rsid w:val="005760B9"/>
    <w:rsid w:val="005762E8"/>
    <w:rsid w:val="00576F02"/>
    <w:rsid w:val="00583084"/>
    <w:rsid w:val="00583F7D"/>
    <w:rsid w:val="00584130"/>
    <w:rsid w:val="00584FEF"/>
    <w:rsid w:val="00587B6E"/>
    <w:rsid w:val="005959DC"/>
    <w:rsid w:val="00597E42"/>
    <w:rsid w:val="005A0872"/>
    <w:rsid w:val="005A3854"/>
    <w:rsid w:val="005A3A55"/>
    <w:rsid w:val="005A3BE6"/>
    <w:rsid w:val="005A663F"/>
    <w:rsid w:val="005A72A6"/>
    <w:rsid w:val="005B2FED"/>
    <w:rsid w:val="005B3B77"/>
    <w:rsid w:val="005B4AFB"/>
    <w:rsid w:val="005B78BB"/>
    <w:rsid w:val="005B7F36"/>
    <w:rsid w:val="005C2E95"/>
    <w:rsid w:val="005D1097"/>
    <w:rsid w:val="005D2454"/>
    <w:rsid w:val="005D456D"/>
    <w:rsid w:val="005D6786"/>
    <w:rsid w:val="005D6EBF"/>
    <w:rsid w:val="005D7AD9"/>
    <w:rsid w:val="005D7AE1"/>
    <w:rsid w:val="005E1ACA"/>
    <w:rsid w:val="005E3DC0"/>
    <w:rsid w:val="005F1B74"/>
    <w:rsid w:val="005F513F"/>
    <w:rsid w:val="005F7844"/>
    <w:rsid w:val="00601205"/>
    <w:rsid w:val="00602317"/>
    <w:rsid w:val="006040D4"/>
    <w:rsid w:val="00610456"/>
    <w:rsid w:val="00611391"/>
    <w:rsid w:val="0061280C"/>
    <w:rsid w:val="006179A3"/>
    <w:rsid w:val="00617BEC"/>
    <w:rsid w:val="00617DC9"/>
    <w:rsid w:val="00623B2E"/>
    <w:rsid w:val="00624365"/>
    <w:rsid w:val="006266FA"/>
    <w:rsid w:val="00632EEE"/>
    <w:rsid w:val="0063370A"/>
    <w:rsid w:val="00634350"/>
    <w:rsid w:val="00635703"/>
    <w:rsid w:val="006359CD"/>
    <w:rsid w:val="006418A6"/>
    <w:rsid w:val="0064243B"/>
    <w:rsid w:val="00643364"/>
    <w:rsid w:val="00650455"/>
    <w:rsid w:val="00651257"/>
    <w:rsid w:val="00653908"/>
    <w:rsid w:val="006539CA"/>
    <w:rsid w:val="006545B8"/>
    <w:rsid w:val="00654BE6"/>
    <w:rsid w:val="00654CC0"/>
    <w:rsid w:val="00655DA8"/>
    <w:rsid w:val="00660C2C"/>
    <w:rsid w:val="00663F20"/>
    <w:rsid w:val="00663F33"/>
    <w:rsid w:val="00664728"/>
    <w:rsid w:val="006649C4"/>
    <w:rsid w:val="00664D67"/>
    <w:rsid w:val="0066515A"/>
    <w:rsid w:val="006662B7"/>
    <w:rsid w:val="00670E9C"/>
    <w:rsid w:val="00673D42"/>
    <w:rsid w:val="00674785"/>
    <w:rsid w:val="00682EBE"/>
    <w:rsid w:val="00683356"/>
    <w:rsid w:val="00683AE4"/>
    <w:rsid w:val="006913A2"/>
    <w:rsid w:val="0069211C"/>
    <w:rsid w:val="00692205"/>
    <w:rsid w:val="00693404"/>
    <w:rsid w:val="0069412F"/>
    <w:rsid w:val="00697874"/>
    <w:rsid w:val="006A4991"/>
    <w:rsid w:val="006A5B3F"/>
    <w:rsid w:val="006A68E0"/>
    <w:rsid w:val="006B0871"/>
    <w:rsid w:val="006B10B1"/>
    <w:rsid w:val="006B42C2"/>
    <w:rsid w:val="006B5B22"/>
    <w:rsid w:val="006B6540"/>
    <w:rsid w:val="006B7B42"/>
    <w:rsid w:val="006C0B06"/>
    <w:rsid w:val="006C1BFB"/>
    <w:rsid w:val="006C767C"/>
    <w:rsid w:val="006D2F49"/>
    <w:rsid w:val="006D3A9F"/>
    <w:rsid w:val="006D517E"/>
    <w:rsid w:val="006D623C"/>
    <w:rsid w:val="006D677B"/>
    <w:rsid w:val="006D6FA7"/>
    <w:rsid w:val="006E1CDB"/>
    <w:rsid w:val="006E5ADD"/>
    <w:rsid w:val="006E5D49"/>
    <w:rsid w:val="006E73CD"/>
    <w:rsid w:val="006F13F9"/>
    <w:rsid w:val="006F403C"/>
    <w:rsid w:val="006F4FFF"/>
    <w:rsid w:val="007002B8"/>
    <w:rsid w:val="00700DAC"/>
    <w:rsid w:val="00701A7E"/>
    <w:rsid w:val="00701BB2"/>
    <w:rsid w:val="00701C10"/>
    <w:rsid w:val="00702178"/>
    <w:rsid w:val="007045CF"/>
    <w:rsid w:val="0070489C"/>
    <w:rsid w:val="007057C2"/>
    <w:rsid w:val="0070729F"/>
    <w:rsid w:val="00712958"/>
    <w:rsid w:val="007170C5"/>
    <w:rsid w:val="00720431"/>
    <w:rsid w:val="00721FB2"/>
    <w:rsid w:val="00724159"/>
    <w:rsid w:val="0072558C"/>
    <w:rsid w:val="0072790A"/>
    <w:rsid w:val="007323C4"/>
    <w:rsid w:val="00732851"/>
    <w:rsid w:val="00732A6D"/>
    <w:rsid w:val="00732C6E"/>
    <w:rsid w:val="007367DC"/>
    <w:rsid w:val="00737D71"/>
    <w:rsid w:val="00740A6D"/>
    <w:rsid w:val="00742686"/>
    <w:rsid w:val="007433D9"/>
    <w:rsid w:val="00744952"/>
    <w:rsid w:val="00746021"/>
    <w:rsid w:val="00746E47"/>
    <w:rsid w:val="00746E83"/>
    <w:rsid w:val="00751BC7"/>
    <w:rsid w:val="00752372"/>
    <w:rsid w:val="007531A5"/>
    <w:rsid w:val="00753910"/>
    <w:rsid w:val="00754228"/>
    <w:rsid w:val="007552C9"/>
    <w:rsid w:val="007555AA"/>
    <w:rsid w:val="00757F4A"/>
    <w:rsid w:val="00760F5A"/>
    <w:rsid w:val="007623F0"/>
    <w:rsid w:val="007625C0"/>
    <w:rsid w:val="0076318B"/>
    <w:rsid w:val="007636E6"/>
    <w:rsid w:val="0076604F"/>
    <w:rsid w:val="00766227"/>
    <w:rsid w:val="0077008D"/>
    <w:rsid w:val="007703E0"/>
    <w:rsid w:val="0077313F"/>
    <w:rsid w:val="0077724A"/>
    <w:rsid w:val="00780EAC"/>
    <w:rsid w:val="007844F1"/>
    <w:rsid w:val="007910D3"/>
    <w:rsid w:val="00791C23"/>
    <w:rsid w:val="00792D84"/>
    <w:rsid w:val="007944B0"/>
    <w:rsid w:val="00794742"/>
    <w:rsid w:val="00797105"/>
    <w:rsid w:val="007A0538"/>
    <w:rsid w:val="007A1698"/>
    <w:rsid w:val="007A1B1A"/>
    <w:rsid w:val="007A2351"/>
    <w:rsid w:val="007A283F"/>
    <w:rsid w:val="007A3C66"/>
    <w:rsid w:val="007A484E"/>
    <w:rsid w:val="007A693F"/>
    <w:rsid w:val="007B018E"/>
    <w:rsid w:val="007B1881"/>
    <w:rsid w:val="007B1FB2"/>
    <w:rsid w:val="007B2C91"/>
    <w:rsid w:val="007B3DE0"/>
    <w:rsid w:val="007C1FC0"/>
    <w:rsid w:val="007C741F"/>
    <w:rsid w:val="007C75D3"/>
    <w:rsid w:val="007D2FA8"/>
    <w:rsid w:val="007D7107"/>
    <w:rsid w:val="007D736B"/>
    <w:rsid w:val="007E2F8B"/>
    <w:rsid w:val="007E4B05"/>
    <w:rsid w:val="007E63FD"/>
    <w:rsid w:val="007E651D"/>
    <w:rsid w:val="007E67AB"/>
    <w:rsid w:val="007E7EDC"/>
    <w:rsid w:val="007F0157"/>
    <w:rsid w:val="007F35B2"/>
    <w:rsid w:val="007F4DFB"/>
    <w:rsid w:val="007F7439"/>
    <w:rsid w:val="00801A68"/>
    <w:rsid w:val="00801F63"/>
    <w:rsid w:val="00805299"/>
    <w:rsid w:val="00805790"/>
    <w:rsid w:val="00806462"/>
    <w:rsid w:val="008065A8"/>
    <w:rsid w:val="0081117B"/>
    <w:rsid w:val="00811F79"/>
    <w:rsid w:val="0081282E"/>
    <w:rsid w:val="00814B7C"/>
    <w:rsid w:val="00816352"/>
    <w:rsid w:val="008163D5"/>
    <w:rsid w:val="008176B8"/>
    <w:rsid w:val="00817E14"/>
    <w:rsid w:val="0082015D"/>
    <w:rsid w:val="00820A9D"/>
    <w:rsid w:val="00830B92"/>
    <w:rsid w:val="00831380"/>
    <w:rsid w:val="008323A9"/>
    <w:rsid w:val="00835A7D"/>
    <w:rsid w:val="00835DE6"/>
    <w:rsid w:val="00843315"/>
    <w:rsid w:val="008453E8"/>
    <w:rsid w:val="00846D1B"/>
    <w:rsid w:val="00846FC2"/>
    <w:rsid w:val="00847D4D"/>
    <w:rsid w:val="00850E65"/>
    <w:rsid w:val="00852C10"/>
    <w:rsid w:val="0085412F"/>
    <w:rsid w:val="0085444F"/>
    <w:rsid w:val="008560E6"/>
    <w:rsid w:val="008569CF"/>
    <w:rsid w:val="00857766"/>
    <w:rsid w:val="00857B50"/>
    <w:rsid w:val="00857CF4"/>
    <w:rsid w:val="00864D93"/>
    <w:rsid w:val="00866F59"/>
    <w:rsid w:val="00867531"/>
    <w:rsid w:val="00867739"/>
    <w:rsid w:val="00870C58"/>
    <w:rsid w:val="008710E6"/>
    <w:rsid w:val="00871C81"/>
    <w:rsid w:val="00872C15"/>
    <w:rsid w:val="00873A9B"/>
    <w:rsid w:val="00873ED6"/>
    <w:rsid w:val="00875E80"/>
    <w:rsid w:val="0088725E"/>
    <w:rsid w:val="00887CA5"/>
    <w:rsid w:val="0089151E"/>
    <w:rsid w:val="00891BD1"/>
    <w:rsid w:val="00892D75"/>
    <w:rsid w:val="008944A1"/>
    <w:rsid w:val="00894E59"/>
    <w:rsid w:val="00894E5E"/>
    <w:rsid w:val="008960E6"/>
    <w:rsid w:val="00896A5B"/>
    <w:rsid w:val="0089712E"/>
    <w:rsid w:val="008973C3"/>
    <w:rsid w:val="008A0D08"/>
    <w:rsid w:val="008A1431"/>
    <w:rsid w:val="008A59FF"/>
    <w:rsid w:val="008A5B36"/>
    <w:rsid w:val="008A6FCE"/>
    <w:rsid w:val="008B00DF"/>
    <w:rsid w:val="008B0E7D"/>
    <w:rsid w:val="008B506A"/>
    <w:rsid w:val="008B5832"/>
    <w:rsid w:val="008B78F1"/>
    <w:rsid w:val="008B798E"/>
    <w:rsid w:val="008C0955"/>
    <w:rsid w:val="008C0F02"/>
    <w:rsid w:val="008C20AA"/>
    <w:rsid w:val="008C2133"/>
    <w:rsid w:val="008C2ED2"/>
    <w:rsid w:val="008C324F"/>
    <w:rsid w:val="008C5617"/>
    <w:rsid w:val="008C7D3C"/>
    <w:rsid w:val="008D2B0B"/>
    <w:rsid w:val="008D322C"/>
    <w:rsid w:val="008D5198"/>
    <w:rsid w:val="008D773E"/>
    <w:rsid w:val="008E23DE"/>
    <w:rsid w:val="008E260E"/>
    <w:rsid w:val="008E3244"/>
    <w:rsid w:val="008E60D4"/>
    <w:rsid w:val="008F58C9"/>
    <w:rsid w:val="008F5D50"/>
    <w:rsid w:val="00901A73"/>
    <w:rsid w:val="00901DF6"/>
    <w:rsid w:val="00903793"/>
    <w:rsid w:val="00907C6C"/>
    <w:rsid w:val="00907CA0"/>
    <w:rsid w:val="00907D5E"/>
    <w:rsid w:val="0091177A"/>
    <w:rsid w:val="00911BB4"/>
    <w:rsid w:val="00913499"/>
    <w:rsid w:val="0091362A"/>
    <w:rsid w:val="00914699"/>
    <w:rsid w:val="00915F69"/>
    <w:rsid w:val="0091669E"/>
    <w:rsid w:val="0091754A"/>
    <w:rsid w:val="00920AD1"/>
    <w:rsid w:val="00920B74"/>
    <w:rsid w:val="00920E82"/>
    <w:rsid w:val="00921CC9"/>
    <w:rsid w:val="00921D76"/>
    <w:rsid w:val="00922C2E"/>
    <w:rsid w:val="009236C4"/>
    <w:rsid w:val="009246AE"/>
    <w:rsid w:val="009272DF"/>
    <w:rsid w:val="00927FE2"/>
    <w:rsid w:val="009304AB"/>
    <w:rsid w:val="00935B87"/>
    <w:rsid w:val="009426FF"/>
    <w:rsid w:val="00942D34"/>
    <w:rsid w:val="009450E2"/>
    <w:rsid w:val="0094602A"/>
    <w:rsid w:val="00950013"/>
    <w:rsid w:val="0095012E"/>
    <w:rsid w:val="00951CA1"/>
    <w:rsid w:val="0095629B"/>
    <w:rsid w:val="009562D1"/>
    <w:rsid w:val="0095695B"/>
    <w:rsid w:val="00956D9F"/>
    <w:rsid w:val="00962A9B"/>
    <w:rsid w:val="009669AE"/>
    <w:rsid w:val="00967320"/>
    <w:rsid w:val="00970C4B"/>
    <w:rsid w:val="009714A6"/>
    <w:rsid w:val="00971D1F"/>
    <w:rsid w:val="00972229"/>
    <w:rsid w:val="00972B67"/>
    <w:rsid w:val="00973230"/>
    <w:rsid w:val="009732BB"/>
    <w:rsid w:val="00973303"/>
    <w:rsid w:val="00973AF6"/>
    <w:rsid w:val="009744D7"/>
    <w:rsid w:val="009745C2"/>
    <w:rsid w:val="00976AD5"/>
    <w:rsid w:val="0098090D"/>
    <w:rsid w:val="00982DB4"/>
    <w:rsid w:val="00986A98"/>
    <w:rsid w:val="00986D5E"/>
    <w:rsid w:val="00986DB0"/>
    <w:rsid w:val="00987904"/>
    <w:rsid w:val="00987B83"/>
    <w:rsid w:val="00993AB9"/>
    <w:rsid w:val="00995053"/>
    <w:rsid w:val="0099595E"/>
    <w:rsid w:val="00995E23"/>
    <w:rsid w:val="00997D5B"/>
    <w:rsid w:val="009A0802"/>
    <w:rsid w:val="009A5A86"/>
    <w:rsid w:val="009A6B55"/>
    <w:rsid w:val="009A6C98"/>
    <w:rsid w:val="009B02C7"/>
    <w:rsid w:val="009B1E55"/>
    <w:rsid w:val="009B2200"/>
    <w:rsid w:val="009B2A1C"/>
    <w:rsid w:val="009B4319"/>
    <w:rsid w:val="009B541A"/>
    <w:rsid w:val="009B5651"/>
    <w:rsid w:val="009B75D4"/>
    <w:rsid w:val="009B7908"/>
    <w:rsid w:val="009C0323"/>
    <w:rsid w:val="009C1025"/>
    <w:rsid w:val="009C19CB"/>
    <w:rsid w:val="009C1C4C"/>
    <w:rsid w:val="009C2201"/>
    <w:rsid w:val="009C2D1A"/>
    <w:rsid w:val="009C318C"/>
    <w:rsid w:val="009C4443"/>
    <w:rsid w:val="009C5EEE"/>
    <w:rsid w:val="009C64EC"/>
    <w:rsid w:val="009D063B"/>
    <w:rsid w:val="009D408C"/>
    <w:rsid w:val="009E1E0B"/>
    <w:rsid w:val="009E2BA0"/>
    <w:rsid w:val="009E2C5D"/>
    <w:rsid w:val="009E4293"/>
    <w:rsid w:val="009E4C68"/>
    <w:rsid w:val="009E5773"/>
    <w:rsid w:val="009E6DBC"/>
    <w:rsid w:val="009E7CDC"/>
    <w:rsid w:val="009E7D3F"/>
    <w:rsid w:val="009E7E2B"/>
    <w:rsid w:val="009F1F3A"/>
    <w:rsid w:val="009F22AB"/>
    <w:rsid w:val="009F41F7"/>
    <w:rsid w:val="009F4806"/>
    <w:rsid w:val="009F4D90"/>
    <w:rsid w:val="009F70B1"/>
    <w:rsid w:val="00A01182"/>
    <w:rsid w:val="00A030E2"/>
    <w:rsid w:val="00A04109"/>
    <w:rsid w:val="00A06DF0"/>
    <w:rsid w:val="00A10F49"/>
    <w:rsid w:val="00A117D8"/>
    <w:rsid w:val="00A11AFC"/>
    <w:rsid w:val="00A12550"/>
    <w:rsid w:val="00A12DDB"/>
    <w:rsid w:val="00A13173"/>
    <w:rsid w:val="00A14DB1"/>
    <w:rsid w:val="00A14DC9"/>
    <w:rsid w:val="00A1543B"/>
    <w:rsid w:val="00A16C1C"/>
    <w:rsid w:val="00A170DF"/>
    <w:rsid w:val="00A20434"/>
    <w:rsid w:val="00A20798"/>
    <w:rsid w:val="00A21708"/>
    <w:rsid w:val="00A21B3F"/>
    <w:rsid w:val="00A37802"/>
    <w:rsid w:val="00A55FC8"/>
    <w:rsid w:val="00A57BE2"/>
    <w:rsid w:val="00A60783"/>
    <w:rsid w:val="00A60CFC"/>
    <w:rsid w:val="00A61637"/>
    <w:rsid w:val="00A62353"/>
    <w:rsid w:val="00A6340B"/>
    <w:rsid w:val="00A655E2"/>
    <w:rsid w:val="00A65D4E"/>
    <w:rsid w:val="00A664ED"/>
    <w:rsid w:val="00A672D2"/>
    <w:rsid w:val="00A74BC7"/>
    <w:rsid w:val="00A76C06"/>
    <w:rsid w:val="00A7749A"/>
    <w:rsid w:val="00A817D6"/>
    <w:rsid w:val="00A821A7"/>
    <w:rsid w:val="00A82F95"/>
    <w:rsid w:val="00A831DE"/>
    <w:rsid w:val="00A83450"/>
    <w:rsid w:val="00A845E8"/>
    <w:rsid w:val="00A86D68"/>
    <w:rsid w:val="00A90A4E"/>
    <w:rsid w:val="00A93CD1"/>
    <w:rsid w:val="00A94F6C"/>
    <w:rsid w:val="00A96E58"/>
    <w:rsid w:val="00AA22E6"/>
    <w:rsid w:val="00AA693C"/>
    <w:rsid w:val="00AA6E75"/>
    <w:rsid w:val="00AA7A9A"/>
    <w:rsid w:val="00AB2C33"/>
    <w:rsid w:val="00AB5991"/>
    <w:rsid w:val="00AC0230"/>
    <w:rsid w:val="00AC0C81"/>
    <w:rsid w:val="00AC0FAF"/>
    <w:rsid w:val="00AC38C1"/>
    <w:rsid w:val="00AC52A2"/>
    <w:rsid w:val="00AC5C62"/>
    <w:rsid w:val="00AC6037"/>
    <w:rsid w:val="00AC6BDE"/>
    <w:rsid w:val="00AC6FAA"/>
    <w:rsid w:val="00AC755B"/>
    <w:rsid w:val="00AD08BC"/>
    <w:rsid w:val="00AD19D4"/>
    <w:rsid w:val="00AD20D3"/>
    <w:rsid w:val="00AD3633"/>
    <w:rsid w:val="00AD4157"/>
    <w:rsid w:val="00AD4643"/>
    <w:rsid w:val="00AD47EC"/>
    <w:rsid w:val="00AD6D1D"/>
    <w:rsid w:val="00AE2212"/>
    <w:rsid w:val="00AE5238"/>
    <w:rsid w:val="00AE7739"/>
    <w:rsid w:val="00AE78C2"/>
    <w:rsid w:val="00AF5911"/>
    <w:rsid w:val="00AF6328"/>
    <w:rsid w:val="00AF63E1"/>
    <w:rsid w:val="00AF66EB"/>
    <w:rsid w:val="00AF6A01"/>
    <w:rsid w:val="00AF6A2A"/>
    <w:rsid w:val="00B008C3"/>
    <w:rsid w:val="00B01055"/>
    <w:rsid w:val="00B029B5"/>
    <w:rsid w:val="00B03396"/>
    <w:rsid w:val="00B03794"/>
    <w:rsid w:val="00B04058"/>
    <w:rsid w:val="00B06AD8"/>
    <w:rsid w:val="00B10854"/>
    <w:rsid w:val="00B11607"/>
    <w:rsid w:val="00B12D33"/>
    <w:rsid w:val="00B12E36"/>
    <w:rsid w:val="00B139DE"/>
    <w:rsid w:val="00B13CE3"/>
    <w:rsid w:val="00B13E43"/>
    <w:rsid w:val="00B13FF2"/>
    <w:rsid w:val="00B15E77"/>
    <w:rsid w:val="00B2104D"/>
    <w:rsid w:val="00B215E5"/>
    <w:rsid w:val="00B22C80"/>
    <w:rsid w:val="00B2448A"/>
    <w:rsid w:val="00B2449B"/>
    <w:rsid w:val="00B24D9A"/>
    <w:rsid w:val="00B265CE"/>
    <w:rsid w:val="00B2709C"/>
    <w:rsid w:val="00B312D5"/>
    <w:rsid w:val="00B315FD"/>
    <w:rsid w:val="00B337CF"/>
    <w:rsid w:val="00B3423B"/>
    <w:rsid w:val="00B407CF"/>
    <w:rsid w:val="00B40EE9"/>
    <w:rsid w:val="00B4133C"/>
    <w:rsid w:val="00B42E41"/>
    <w:rsid w:val="00B42F58"/>
    <w:rsid w:val="00B43ED5"/>
    <w:rsid w:val="00B44130"/>
    <w:rsid w:val="00B5107F"/>
    <w:rsid w:val="00B52DFB"/>
    <w:rsid w:val="00B53047"/>
    <w:rsid w:val="00B53F64"/>
    <w:rsid w:val="00B542B5"/>
    <w:rsid w:val="00B5693B"/>
    <w:rsid w:val="00B57C4D"/>
    <w:rsid w:val="00B621D6"/>
    <w:rsid w:val="00B633CC"/>
    <w:rsid w:val="00B64523"/>
    <w:rsid w:val="00B70403"/>
    <w:rsid w:val="00B713C1"/>
    <w:rsid w:val="00B73A18"/>
    <w:rsid w:val="00B75CB7"/>
    <w:rsid w:val="00B75E6D"/>
    <w:rsid w:val="00B75FCF"/>
    <w:rsid w:val="00B7653C"/>
    <w:rsid w:val="00B77B93"/>
    <w:rsid w:val="00B817C9"/>
    <w:rsid w:val="00B838EA"/>
    <w:rsid w:val="00B83FE8"/>
    <w:rsid w:val="00B84C99"/>
    <w:rsid w:val="00B86558"/>
    <w:rsid w:val="00B9183A"/>
    <w:rsid w:val="00B919FE"/>
    <w:rsid w:val="00B927D5"/>
    <w:rsid w:val="00BA158F"/>
    <w:rsid w:val="00BA2EA1"/>
    <w:rsid w:val="00BA58B6"/>
    <w:rsid w:val="00BA61EB"/>
    <w:rsid w:val="00BB0719"/>
    <w:rsid w:val="00BB17D3"/>
    <w:rsid w:val="00BB2C41"/>
    <w:rsid w:val="00BB31A6"/>
    <w:rsid w:val="00BB5B60"/>
    <w:rsid w:val="00BC1AC5"/>
    <w:rsid w:val="00BC20FA"/>
    <w:rsid w:val="00BC2318"/>
    <w:rsid w:val="00BC4715"/>
    <w:rsid w:val="00BC75D9"/>
    <w:rsid w:val="00BD18F8"/>
    <w:rsid w:val="00BD27A5"/>
    <w:rsid w:val="00BD28C0"/>
    <w:rsid w:val="00BD2EB1"/>
    <w:rsid w:val="00BD34F3"/>
    <w:rsid w:val="00BD3D5C"/>
    <w:rsid w:val="00BD616D"/>
    <w:rsid w:val="00BE2F50"/>
    <w:rsid w:val="00BE55AA"/>
    <w:rsid w:val="00BE7E2E"/>
    <w:rsid w:val="00BF5FB9"/>
    <w:rsid w:val="00BF6076"/>
    <w:rsid w:val="00C00A95"/>
    <w:rsid w:val="00C0106B"/>
    <w:rsid w:val="00C02516"/>
    <w:rsid w:val="00C0600A"/>
    <w:rsid w:val="00C06469"/>
    <w:rsid w:val="00C07961"/>
    <w:rsid w:val="00C12517"/>
    <w:rsid w:val="00C135BC"/>
    <w:rsid w:val="00C14406"/>
    <w:rsid w:val="00C16119"/>
    <w:rsid w:val="00C1690D"/>
    <w:rsid w:val="00C21E57"/>
    <w:rsid w:val="00C22F14"/>
    <w:rsid w:val="00C27D64"/>
    <w:rsid w:val="00C310D3"/>
    <w:rsid w:val="00C31886"/>
    <w:rsid w:val="00C31DB4"/>
    <w:rsid w:val="00C32B80"/>
    <w:rsid w:val="00C3435C"/>
    <w:rsid w:val="00C348E6"/>
    <w:rsid w:val="00C34D5A"/>
    <w:rsid w:val="00C36956"/>
    <w:rsid w:val="00C370FE"/>
    <w:rsid w:val="00C40852"/>
    <w:rsid w:val="00C40BE6"/>
    <w:rsid w:val="00C41413"/>
    <w:rsid w:val="00C4190D"/>
    <w:rsid w:val="00C4296C"/>
    <w:rsid w:val="00C43CCA"/>
    <w:rsid w:val="00C4503E"/>
    <w:rsid w:val="00C455D4"/>
    <w:rsid w:val="00C46850"/>
    <w:rsid w:val="00C50CCE"/>
    <w:rsid w:val="00C51565"/>
    <w:rsid w:val="00C51E46"/>
    <w:rsid w:val="00C53047"/>
    <w:rsid w:val="00C532E3"/>
    <w:rsid w:val="00C625EB"/>
    <w:rsid w:val="00C65BDD"/>
    <w:rsid w:val="00C66297"/>
    <w:rsid w:val="00C675CA"/>
    <w:rsid w:val="00C67C9E"/>
    <w:rsid w:val="00C70F71"/>
    <w:rsid w:val="00C7577C"/>
    <w:rsid w:val="00C76170"/>
    <w:rsid w:val="00C762D8"/>
    <w:rsid w:val="00C763E3"/>
    <w:rsid w:val="00C81D1E"/>
    <w:rsid w:val="00C84342"/>
    <w:rsid w:val="00C84B6C"/>
    <w:rsid w:val="00C8541C"/>
    <w:rsid w:val="00C85527"/>
    <w:rsid w:val="00C866A8"/>
    <w:rsid w:val="00C87844"/>
    <w:rsid w:val="00C90559"/>
    <w:rsid w:val="00C9099C"/>
    <w:rsid w:val="00C90BAD"/>
    <w:rsid w:val="00C913E1"/>
    <w:rsid w:val="00C92815"/>
    <w:rsid w:val="00C93C62"/>
    <w:rsid w:val="00C93CFB"/>
    <w:rsid w:val="00C96175"/>
    <w:rsid w:val="00C96AB9"/>
    <w:rsid w:val="00C97382"/>
    <w:rsid w:val="00CB2AD6"/>
    <w:rsid w:val="00CB30E4"/>
    <w:rsid w:val="00CB35E2"/>
    <w:rsid w:val="00CB485F"/>
    <w:rsid w:val="00CB489A"/>
    <w:rsid w:val="00CC0CB2"/>
    <w:rsid w:val="00CC1072"/>
    <w:rsid w:val="00CC267B"/>
    <w:rsid w:val="00CC2970"/>
    <w:rsid w:val="00CC523E"/>
    <w:rsid w:val="00CC5C93"/>
    <w:rsid w:val="00CC6BCE"/>
    <w:rsid w:val="00CD0ACB"/>
    <w:rsid w:val="00CD2141"/>
    <w:rsid w:val="00CD3770"/>
    <w:rsid w:val="00CD4E85"/>
    <w:rsid w:val="00CD664E"/>
    <w:rsid w:val="00CD6F13"/>
    <w:rsid w:val="00CD738A"/>
    <w:rsid w:val="00CE1A86"/>
    <w:rsid w:val="00CE450F"/>
    <w:rsid w:val="00CE4991"/>
    <w:rsid w:val="00CE7534"/>
    <w:rsid w:val="00CF05C0"/>
    <w:rsid w:val="00CF293E"/>
    <w:rsid w:val="00CF3527"/>
    <w:rsid w:val="00CF4B28"/>
    <w:rsid w:val="00CF71D1"/>
    <w:rsid w:val="00D00E15"/>
    <w:rsid w:val="00D0137A"/>
    <w:rsid w:val="00D04F29"/>
    <w:rsid w:val="00D0695E"/>
    <w:rsid w:val="00D0708B"/>
    <w:rsid w:val="00D07398"/>
    <w:rsid w:val="00D0740E"/>
    <w:rsid w:val="00D10F86"/>
    <w:rsid w:val="00D127E5"/>
    <w:rsid w:val="00D133A7"/>
    <w:rsid w:val="00D14E4F"/>
    <w:rsid w:val="00D15415"/>
    <w:rsid w:val="00D1689D"/>
    <w:rsid w:val="00D2017F"/>
    <w:rsid w:val="00D22E56"/>
    <w:rsid w:val="00D22ED9"/>
    <w:rsid w:val="00D23FA5"/>
    <w:rsid w:val="00D25167"/>
    <w:rsid w:val="00D267B3"/>
    <w:rsid w:val="00D304D2"/>
    <w:rsid w:val="00D32901"/>
    <w:rsid w:val="00D34536"/>
    <w:rsid w:val="00D34EB5"/>
    <w:rsid w:val="00D3507E"/>
    <w:rsid w:val="00D37C89"/>
    <w:rsid w:val="00D40199"/>
    <w:rsid w:val="00D410BA"/>
    <w:rsid w:val="00D42C75"/>
    <w:rsid w:val="00D43D3B"/>
    <w:rsid w:val="00D4454A"/>
    <w:rsid w:val="00D44C1C"/>
    <w:rsid w:val="00D45A6D"/>
    <w:rsid w:val="00D463FD"/>
    <w:rsid w:val="00D46C7A"/>
    <w:rsid w:val="00D50605"/>
    <w:rsid w:val="00D52983"/>
    <w:rsid w:val="00D544E6"/>
    <w:rsid w:val="00D56FC2"/>
    <w:rsid w:val="00D57D9E"/>
    <w:rsid w:val="00D609A3"/>
    <w:rsid w:val="00D61625"/>
    <w:rsid w:val="00D636C2"/>
    <w:rsid w:val="00D63764"/>
    <w:rsid w:val="00D651C4"/>
    <w:rsid w:val="00D65931"/>
    <w:rsid w:val="00D66866"/>
    <w:rsid w:val="00D66893"/>
    <w:rsid w:val="00D7055F"/>
    <w:rsid w:val="00D70D11"/>
    <w:rsid w:val="00D73B93"/>
    <w:rsid w:val="00D74F38"/>
    <w:rsid w:val="00D77775"/>
    <w:rsid w:val="00D83809"/>
    <w:rsid w:val="00D85BFB"/>
    <w:rsid w:val="00D85FD1"/>
    <w:rsid w:val="00D873EB"/>
    <w:rsid w:val="00D91483"/>
    <w:rsid w:val="00D94950"/>
    <w:rsid w:val="00D94A3D"/>
    <w:rsid w:val="00D957B3"/>
    <w:rsid w:val="00DA0F57"/>
    <w:rsid w:val="00DA1FC8"/>
    <w:rsid w:val="00DA2255"/>
    <w:rsid w:val="00DA597A"/>
    <w:rsid w:val="00DA6546"/>
    <w:rsid w:val="00DB1105"/>
    <w:rsid w:val="00DB5E7A"/>
    <w:rsid w:val="00DC0F3A"/>
    <w:rsid w:val="00DC270F"/>
    <w:rsid w:val="00DC5121"/>
    <w:rsid w:val="00DC74EA"/>
    <w:rsid w:val="00DD2DD0"/>
    <w:rsid w:val="00DD4675"/>
    <w:rsid w:val="00DD5821"/>
    <w:rsid w:val="00DD5CF5"/>
    <w:rsid w:val="00DD5F7F"/>
    <w:rsid w:val="00DE0037"/>
    <w:rsid w:val="00DE1D07"/>
    <w:rsid w:val="00DE52EC"/>
    <w:rsid w:val="00DE6CE0"/>
    <w:rsid w:val="00DE6FCB"/>
    <w:rsid w:val="00DF0A38"/>
    <w:rsid w:val="00DF3C3C"/>
    <w:rsid w:val="00DF66F9"/>
    <w:rsid w:val="00DF775E"/>
    <w:rsid w:val="00DF7BF2"/>
    <w:rsid w:val="00DF7F46"/>
    <w:rsid w:val="00E011A2"/>
    <w:rsid w:val="00E0293A"/>
    <w:rsid w:val="00E0361A"/>
    <w:rsid w:val="00E06B70"/>
    <w:rsid w:val="00E0751C"/>
    <w:rsid w:val="00E14F22"/>
    <w:rsid w:val="00E161B5"/>
    <w:rsid w:val="00E16944"/>
    <w:rsid w:val="00E17B95"/>
    <w:rsid w:val="00E206F3"/>
    <w:rsid w:val="00E21CA4"/>
    <w:rsid w:val="00E22082"/>
    <w:rsid w:val="00E24686"/>
    <w:rsid w:val="00E30A61"/>
    <w:rsid w:val="00E31CC8"/>
    <w:rsid w:val="00E3709E"/>
    <w:rsid w:val="00E376CB"/>
    <w:rsid w:val="00E37F2D"/>
    <w:rsid w:val="00E40626"/>
    <w:rsid w:val="00E40FF6"/>
    <w:rsid w:val="00E42E2E"/>
    <w:rsid w:val="00E44532"/>
    <w:rsid w:val="00E45822"/>
    <w:rsid w:val="00E45B4A"/>
    <w:rsid w:val="00E479D0"/>
    <w:rsid w:val="00E50C89"/>
    <w:rsid w:val="00E5694C"/>
    <w:rsid w:val="00E60DAF"/>
    <w:rsid w:val="00E6243B"/>
    <w:rsid w:val="00E6275F"/>
    <w:rsid w:val="00E630A7"/>
    <w:rsid w:val="00E63903"/>
    <w:rsid w:val="00E6674E"/>
    <w:rsid w:val="00E701A1"/>
    <w:rsid w:val="00E70389"/>
    <w:rsid w:val="00E71B52"/>
    <w:rsid w:val="00E77BAF"/>
    <w:rsid w:val="00E81BE9"/>
    <w:rsid w:val="00E8242C"/>
    <w:rsid w:val="00E83C26"/>
    <w:rsid w:val="00E85CA3"/>
    <w:rsid w:val="00E878ED"/>
    <w:rsid w:val="00E879BB"/>
    <w:rsid w:val="00E922C7"/>
    <w:rsid w:val="00EA2BC5"/>
    <w:rsid w:val="00EA333C"/>
    <w:rsid w:val="00EA3FAD"/>
    <w:rsid w:val="00EB0BD8"/>
    <w:rsid w:val="00EB0F94"/>
    <w:rsid w:val="00EB524F"/>
    <w:rsid w:val="00EB6808"/>
    <w:rsid w:val="00EB72D1"/>
    <w:rsid w:val="00EC1E2A"/>
    <w:rsid w:val="00EC3DF1"/>
    <w:rsid w:val="00EC4269"/>
    <w:rsid w:val="00EC5525"/>
    <w:rsid w:val="00EC6F81"/>
    <w:rsid w:val="00EC756E"/>
    <w:rsid w:val="00EC7F30"/>
    <w:rsid w:val="00ED0CB2"/>
    <w:rsid w:val="00ED18E1"/>
    <w:rsid w:val="00ED57E1"/>
    <w:rsid w:val="00ED6A33"/>
    <w:rsid w:val="00ED6A42"/>
    <w:rsid w:val="00ED6AAE"/>
    <w:rsid w:val="00ED6F81"/>
    <w:rsid w:val="00ED7BFA"/>
    <w:rsid w:val="00EE0A7F"/>
    <w:rsid w:val="00EE204E"/>
    <w:rsid w:val="00EE299A"/>
    <w:rsid w:val="00EE4765"/>
    <w:rsid w:val="00EE4C97"/>
    <w:rsid w:val="00EE59DD"/>
    <w:rsid w:val="00EE600D"/>
    <w:rsid w:val="00EE6C5D"/>
    <w:rsid w:val="00EE700D"/>
    <w:rsid w:val="00EE73E2"/>
    <w:rsid w:val="00EE7704"/>
    <w:rsid w:val="00EF106A"/>
    <w:rsid w:val="00EF1362"/>
    <w:rsid w:val="00EF2078"/>
    <w:rsid w:val="00EF277B"/>
    <w:rsid w:val="00EF2D21"/>
    <w:rsid w:val="00EF4918"/>
    <w:rsid w:val="00EF4C1C"/>
    <w:rsid w:val="00EF5F02"/>
    <w:rsid w:val="00EF6037"/>
    <w:rsid w:val="00EF6AE8"/>
    <w:rsid w:val="00EF6D17"/>
    <w:rsid w:val="00F017D8"/>
    <w:rsid w:val="00F0303F"/>
    <w:rsid w:val="00F07683"/>
    <w:rsid w:val="00F07DCF"/>
    <w:rsid w:val="00F152F3"/>
    <w:rsid w:val="00F20361"/>
    <w:rsid w:val="00F20E85"/>
    <w:rsid w:val="00F21BAA"/>
    <w:rsid w:val="00F22CAF"/>
    <w:rsid w:val="00F23F08"/>
    <w:rsid w:val="00F24794"/>
    <w:rsid w:val="00F27C42"/>
    <w:rsid w:val="00F30420"/>
    <w:rsid w:val="00F34EF8"/>
    <w:rsid w:val="00F3529E"/>
    <w:rsid w:val="00F37655"/>
    <w:rsid w:val="00F4030C"/>
    <w:rsid w:val="00F437C0"/>
    <w:rsid w:val="00F43954"/>
    <w:rsid w:val="00F46B74"/>
    <w:rsid w:val="00F470ED"/>
    <w:rsid w:val="00F52802"/>
    <w:rsid w:val="00F52BA4"/>
    <w:rsid w:val="00F54869"/>
    <w:rsid w:val="00F55495"/>
    <w:rsid w:val="00F57B75"/>
    <w:rsid w:val="00F60A82"/>
    <w:rsid w:val="00F611F0"/>
    <w:rsid w:val="00F61359"/>
    <w:rsid w:val="00F62557"/>
    <w:rsid w:val="00F63F7F"/>
    <w:rsid w:val="00F63F9D"/>
    <w:rsid w:val="00F64E01"/>
    <w:rsid w:val="00F64F86"/>
    <w:rsid w:val="00F67A7D"/>
    <w:rsid w:val="00F72D7C"/>
    <w:rsid w:val="00F8412E"/>
    <w:rsid w:val="00F85D9C"/>
    <w:rsid w:val="00F87C44"/>
    <w:rsid w:val="00F919B9"/>
    <w:rsid w:val="00F925A8"/>
    <w:rsid w:val="00F930D5"/>
    <w:rsid w:val="00F93C53"/>
    <w:rsid w:val="00F93CA5"/>
    <w:rsid w:val="00F94993"/>
    <w:rsid w:val="00F9591D"/>
    <w:rsid w:val="00F95EFC"/>
    <w:rsid w:val="00F9712F"/>
    <w:rsid w:val="00FA1059"/>
    <w:rsid w:val="00FA11EC"/>
    <w:rsid w:val="00FA1BB5"/>
    <w:rsid w:val="00FA20B2"/>
    <w:rsid w:val="00FA2D50"/>
    <w:rsid w:val="00FA42E9"/>
    <w:rsid w:val="00FA7902"/>
    <w:rsid w:val="00FB624D"/>
    <w:rsid w:val="00FB700D"/>
    <w:rsid w:val="00FB7DEC"/>
    <w:rsid w:val="00FC0A99"/>
    <w:rsid w:val="00FC1071"/>
    <w:rsid w:val="00FC250F"/>
    <w:rsid w:val="00FC6458"/>
    <w:rsid w:val="00FC7084"/>
    <w:rsid w:val="00FD050F"/>
    <w:rsid w:val="00FD3007"/>
    <w:rsid w:val="00FD34EE"/>
    <w:rsid w:val="00FD55A0"/>
    <w:rsid w:val="00FD7517"/>
    <w:rsid w:val="00FD7EE7"/>
    <w:rsid w:val="00FE36CD"/>
    <w:rsid w:val="00FE3FD0"/>
    <w:rsid w:val="00FE4686"/>
    <w:rsid w:val="00FE6B15"/>
    <w:rsid w:val="00FF0508"/>
    <w:rsid w:val="00FF1822"/>
    <w:rsid w:val="00FF2273"/>
    <w:rsid w:val="00FF264E"/>
    <w:rsid w:val="00FF27C5"/>
    <w:rsid w:val="00FF3B87"/>
    <w:rsid w:val="00FF4C71"/>
    <w:rsid w:val="00FF5423"/>
    <w:rsid w:val="00FF5FAF"/>
    <w:rsid w:val="00FF69D0"/>
    <w:rsid w:val="02624C54"/>
    <w:rsid w:val="06EB694D"/>
    <w:rsid w:val="0817768F"/>
    <w:rsid w:val="085164C2"/>
    <w:rsid w:val="0C122633"/>
    <w:rsid w:val="0E9A7A18"/>
    <w:rsid w:val="0ECE3C57"/>
    <w:rsid w:val="136B568B"/>
    <w:rsid w:val="13BB71EA"/>
    <w:rsid w:val="13F33347"/>
    <w:rsid w:val="16677A61"/>
    <w:rsid w:val="20796B9B"/>
    <w:rsid w:val="23403101"/>
    <w:rsid w:val="237568FD"/>
    <w:rsid w:val="254C6954"/>
    <w:rsid w:val="27C72545"/>
    <w:rsid w:val="2AB07C0E"/>
    <w:rsid w:val="2DAB331D"/>
    <w:rsid w:val="2FB85C5B"/>
    <w:rsid w:val="2FDA3728"/>
    <w:rsid w:val="30620B67"/>
    <w:rsid w:val="31A7408F"/>
    <w:rsid w:val="38686793"/>
    <w:rsid w:val="3B440AB9"/>
    <w:rsid w:val="3D7538BF"/>
    <w:rsid w:val="3D7B39E9"/>
    <w:rsid w:val="3DEE395A"/>
    <w:rsid w:val="42F35F6C"/>
    <w:rsid w:val="43221D07"/>
    <w:rsid w:val="488F3134"/>
    <w:rsid w:val="494649AB"/>
    <w:rsid w:val="49E354C5"/>
    <w:rsid w:val="4A9B55D3"/>
    <w:rsid w:val="4FA70600"/>
    <w:rsid w:val="50835091"/>
    <w:rsid w:val="518B4B62"/>
    <w:rsid w:val="52033EC7"/>
    <w:rsid w:val="55BA24A0"/>
    <w:rsid w:val="59AB7575"/>
    <w:rsid w:val="5AD97513"/>
    <w:rsid w:val="5BF907F8"/>
    <w:rsid w:val="5C0131B2"/>
    <w:rsid w:val="5C7A2AD6"/>
    <w:rsid w:val="5D8F7541"/>
    <w:rsid w:val="5EE42C3D"/>
    <w:rsid w:val="63450A02"/>
    <w:rsid w:val="64C83A87"/>
    <w:rsid w:val="69767187"/>
    <w:rsid w:val="6FFA18AB"/>
    <w:rsid w:val="731C4473"/>
    <w:rsid w:val="74D76ED7"/>
    <w:rsid w:val="75FE1A92"/>
    <w:rsid w:val="776A4D1D"/>
    <w:rsid w:val="782D3927"/>
    <w:rsid w:val="7A732019"/>
    <w:rsid w:val="7B303E4D"/>
    <w:rsid w:val="7BAE697C"/>
    <w:rsid w:val="7C2B42DC"/>
    <w:rsid w:val="7E0819B3"/>
    <w:rsid w:val="7E6A36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35"/>
    <w:qFormat/>
    <w:uiPriority w:val="0"/>
    <w:pPr>
      <w:keepNext/>
      <w:keepLines/>
      <w:adjustRightInd w:val="0"/>
      <w:spacing w:line="360" w:lineRule="auto"/>
      <w:textAlignment w:val="baseline"/>
      <w:outlineLvl w:val="0"/>
    </w:pPr>
    <w:rPr>
      <w:rFonts w:ascii="宋体"/>
      <w:b/>
      <w:kern w:val="44"/>
      <w:sz w:val="32"/>
      <w:szCs w:val="20"/>
    </w:rPr>
  </w:style>
  <w:style w:type="paragraph" w:styleId="3">
    <w:name w:val="heading 2"/>
    <w:basedOn w:val="1"/>
    <w:next w:val="4"/>
    <w:qFormat/>
    <w:uiPriority w:val="0"/>
    <w:pPr>
      <w:keepNext/>
      <w:keepLines/>
      <w:adjustRightInd w:val="0"/>
      <w:spacing w:before="260" w:after="260" w:line="416" w:lineRule="atLeast"/>
      <w:textAlignment w:val="baseline"/>
      <w:outlineLvl w:val="1"/>
    </w:pPr>
    <w:rPr>
      <w:rFonts w:ascii="宋体"/>
      <w:b/>
      <w:kern w:val="44"/>
      <w:sz w:val="28"/>
      <w:szCs w:val="20"/>
    </w:rPr>
  </w:style>
  <w:style w:type="paragraph" w:styleId="5">
    <w:name w:val="heading 4"/>
    <w:basedOn w:val="1"/>
    <w:next w:val="4"/>
    <w:qFormat/>
    <w:uiPriority w:val="0"/>
    <w:pPr>
      <w:keepNext/>
      <w:numPr>
        <w:ilvl w:val="0"/>
        <w:numId w:val="1"/>
      </w:numPr>
      <w:adjustRightInd w:val="0"/>
      <w:spacing w:line="360" w:lineRule="auto"/>
      <w:ind w:left="454"/>
      <w:jc w:val="left"/>
      <w:textAlignment w:val="baseline"/>
      <w:outlineLvl w:val="3"/>
    </w:pPr>
    <w:rPr>
      <w:rFonts w:ascii="宋体"/>
      <w:i/>
      <w:kern w:val="0"/>
      <w:szCs w:val="20"/>
    </w:rPr>
  </w:style>
  <w:style w:type="paragraph" w:styleId="6">
    <w:name w:val="heading 5"/>
    <w:basedOn w:val="1"/>
    <w:next w:val="4"/>
    <w:qFormat/>
    <w:uiPriority w:val="0"/>
    <w:pPr>
      <w:keepNext/>
      <w:keepLines/>
      <w:numPr>
        <w:ilvl w:val="4"/>
        <w:numId w:val="2"/>
      </w:numPr>
      <w:spacing w:before="120" w:after="120"/>
      <w:outlineLvl w:val="4"/>
    </w:pPr>
    <w:rPr>
      <w:rFonts w:ascii="小标宋"/>
      <w:szCs w:val="20"/>
    </w:rPr>
  </w:style>
  <w:style w:type="paragraph" w:styleId="7">
    <w:name w:val="heading 6"/>
    <w:basedOn w:val="1"/>
    <w:next w:val="4"/>
    <w:qFormat/>
    <w:uiPriority w:val="0"/>
    <w:pPr>
      <w:keepNext/>
      <w:keepLines/>
      <w:numPr>
        <w:ilvl w:val="5"/>
        <w:numId w:val="2"/>
      </w:numPr>
      <w:spacing w:before="240" w:after="64" w:line="320" w:lineRule="auto"/>
      <w:outlineLvl w:val="5"/>
    </w:pPr>
    <w:rPr>
      <w:rFonts w:ascii="Arial" w:hAnsi="Arial" w:eastAsia="黑体"/>
      <w:szCs w:val="20"/>
    </w:rPr>
  </w:style>
  <w:style w:type="paragraph" w:styleId="8">
    <w:name w:val="heading 7"/>
    <w:basedOn w:val="1"/>
    <w:next w:val="4"/>
    <w:qFormat/>
    <w:uiPriority w:val="0"/>
    <w:pPr>
      <w:keepNext/>
      <w:keepLines/>
      <w:numPr>
        <w:ilvl w:val="6"/>
        <w:numId w:val="2"/>
      </w:numPr>
      <w:spacing w:before="240" w:after="64" w:line="320" w:lineRule="auto"/>
      <w:outlineLvl w:val="6"/>
    </w:pPr>
    <w:rPr>
      <w:rFonts w:ascii="宋体"/>
      <w:szCs w:val="20"/>
    </w:rPr>
  </w:style>
  <w:style w:type="paragraph" w:styleId="9">
    <w:name w:val="heading 8"/>
    <w:basedOn w:val="1"/>
    <w:next w:val="4"/>
    <w:qFormat/>
    <w:uiPriority w:val="0"/>
    <w:pPr>
      <w:keepNext/>
      <w:keepLines/>
      <w:numPr>
        <w:ilvl w:val="7"/>
        <w:numId w:val="2"/>
      </w:numPr>
      <w:spacing w:before="240" w:after="64" w:line="320" w:lineRule="auto"/>
      <w:outlineLvl w:val="7"/>
    </w:pPr>
    <w:rPr>
      <w:rFonts w:ascii="Arial" w:hAnsi="Arial" w:eastAsia="黑体"/>
      <w:b/>
      <w:szCs w:val="20"/>
    </w:rPr>
  </w:style>
  <w:style w:type="paragraph" w:styleId="10">
    <w:name w:val="heading 9"/>
    <w:basedOn w:val="1"/>
    <w:next w:val="4"/>
    <w:qFormat/>
    <w:uiPriority w:val="0"/>
    <w:pPr>
      <w:keepNext/>
      <w:keepLines/>
      <w:numPr>
        <w:ilvl w:val="8"/>
        <w:numId w:val="2"/>
      </w:numPr>
      <w:spacing w:before="240" w:after="64" w:line="320" w:lineRule="auto"/>
      <w:outlineLvl w:val="8"/>
    </w:pPr>
    <w:rPr>
      <w:rFonts w:ascii="Arial" w:hAnsi="Arial" w:eastAsia="黑体"/>
      <w:b/>
      <w:szCs w:val="20"/>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adjustRightInd w:val="0"/>
      <w:spacing w:line="360" w:lineRule="atLeast"/>
      <w:ind w:firstLine="420"/>
      <w:jc w:val="left"/>
      <w:textAlignment w:val="baseline"/>
    </w:pPr>
    <w:rPr>
      <w:kern w:val="0"/>
      <w:szCs w:val="20"/>
    </w:rPr>
  </w:style>
  <w:style w:type="paragraph" w:styleId="11">
    <w:name w:val="Document Map"/>
    <w:basedOn w:val="1"/>
    <w:semiHidden/>
    <w:qFormat/>
    <w:uiPriority w:val="0"/>
    <w:pPr>
      <w:shd w:val="clear" w:color="auto" w:fill="000080"/>
    </w:pPr>
  </w:style>
  <w:style w:type="paragraph" w:styleId="12">
    <w:name w:val="annotation text"/>
    <w:basedOn w:val="1"/>
    <w:semiHidden/>
    <w:qFormat/>
    <w:uiPriority w:val="0"/>
    <w:pPr>
      <w:jc w:val="left"/>
    </w:pPr>
  </w:style>
  <w:style w:type="paragraph" w:styleId="13">
    <w:name w:val="Body Text"/>
    <w:basedOn w:val="1"/>
    <w:qFormat/>
    <w:uiPriority w:val="0"/>
    <w:pPr>
      <w:spacing w:after="120"/>
    </w:pPr>
  </w:style>
  <w:style w:type="paragraph" w:styleId="14">
    <w:name w:val="Body Text Indent"/>
    <w:basedOn w:val="1"/>
    <w:qFormat/>
    <w:uiPriority w:val="0"/>
    <w:pPr>
      <w:adjustRightInd w:val="0"/>
      <w:spacing w:line="360" w:lineRule="auto"/>
      <w:ind w:firstLine="480"/>
      <w:jc w:val="left"/>
      <w:textAlignment w:val="baseline"/>
    </w:pPr>
    <w:rPr>
      <w:rFonts w:ascii="宋体"/>
      <w:color w:val="0000FF"/>
      <w:kern w:val="0"/>
      <w:szCs w:val="20"/>
    </w:rPr>
  </w:style>
  <w:style w:type="paragraph" w:styleId="15">
    <w:name w:val="Plain Text"/>
    <w:basedOn w:val="1"/>
    <w:qFormat/>
    <w:uiPriority w:val="0"/>
    <w:rPr>
      <w:rFonts w:ascii="宋体" w:hAnsi="Courier New"/>
      <w:szCs w:val="20"/>
    </w:rPr>
  </w:style>
  <w:style w:type="paragraph" w:styleId="16">
    <w:name w:val="Date"/>
    <w:basedOn w:val="1"/>
    <w:next w:val="1"/>
    <w:qFormat/>
    <w:uiPriority w:val="0"/>
    <w:pPr>
      <w:adjustRightInd w:val="0"/>
      <w:spacing w:line="360" w:lineRule="atLeast"/>
      <w:textAlignment w:val="baseline"/>
    </w:pPr>
    <w:rPr>
      <w:rFonts w:ascii="宋体"/>
      <w:kern w:val="0"/>
      <w:sz w:val="28"/>
      <w:szCs w:val="20"/>
    </w:rPr>
  </w:style>
  <w:style w:type="paragraph" w:styleId="17">
    <w:name w:val="Body Text Indent 2"/>
    <w:basedOn w:val="1"/>
    <w:qFormat/>
    <w:uiPriority w:val="0"/>
    <w:pPr>
      <w:adjustRightInd w:val="0"/>
      <w:spacing w:line="0" w:lineRule="atLeast"/>
      <w:ind w:right="202" w:firstLine="630" w:firstLineChars="225"/>
      <w:jc w:val="left"/>
      <w:textAlignment w:val="baseline"/>
    </w:pPr>
    <w:rPr>
      <w:rFonts w:ascii="宋体"/>
      <w:spacing w:val="20"/>
      <w:kern w:val="0"/>
      <w:position w:val="20"/>
      <w:szCs w:val="20"/>
    </w:rPr>
  </w:style>
  <w:style w:type="paragraph" w:styleId="18">
    <w:name w:val="Balloon Text"/>
    <w:basedOn w:val="1"/>
    <w:semiHidden/>
    <w:qFormat/>
    <w:uiPriority w:val="0"/>
    <w:rPr>
      <w:sz w:val="18"/>
      <w:szCs w:val="18"/>
    </w:rPr>
  </w:style>
  <w:style w:type="paragraph" w:styleId="19">
    <w:name w:val="footer"/>
    <w:basedOn w:val="1"/>
    <w:link w:val="34"/>
    <w:qFormat/>
    <w:uiPriority w:val="99"/>
    <w:pPr>
      <w:tabs>
        <w:tab w:val="center" w:pos="4153"/>
        <w:tab w:val="right" w:pos="8306"/>
      </w:tabs>
      <w:adjustRightInd w:val="0"/>
      <w:spacing w:line="240" w:lineRule="atLeast"/>
      <w:jc w:val="left"/>
      <w:textAlignment w:val="baseline"/>
    </w:pPr>
    <w:rPr>
      <w:kern w:val="0"/>
      <w:sz w:val="18"/>
      <w:szCs w:val="20"/>
    </w:rPr>
  </w:style>
  <w:style w:type="paragraph" w:styleId="20">
    <w:name w:val="header"/>
    <w:basedOn w:val="1"/>
    <w:link w:val="65"/>
    <w:qFormat/>
    <w:uiPriority w:val="0"/>
    <w:pPr>
      <w:pBdr>
        <w:bottom w:val="single" w:color="auto" w:sz="6" w:space="1"/>
      </w:pBdr>
      <w:tabs>
        <w:tab w:val="center" w:pos="4153"/>
        <w:tab w:val="right" w:pos="8306"/>
      </w:tabs>
      <w:adjustRightInd w:val="0"/>
      <w:snapToGrid w:val="0"/>
      <w:spacing w:line="240" w:lineRule="atLeast"/>
      <w:jc w:val="center"/>
      <w:textAlignment w:val="baseline"/>
    </w:pPr>
    <w:rPr>
      <w:kern w:val="0"/>
      <w:sz w:val="18"/>
      <w:szCs w:val="20"/>
    </w:rPr>
  </w:style>
  <w:style w:type="paragraph" w:styleId="21">
    <w:name w:val="toc 1"/>
    <w:basedOn w:val="1"/>
    <w:next w:val="1"/>
    <w:semiHidden/>
    <w:unhideWhenUsed/>
    <w:qFormat/>
    <w:uiPriority w:val="39"/>
  </w:style>
  <w:style w:type="paragraph" w:styleId="22">
    <w:name w:val="Body Text Indent 3"/>
    <w:basedOn w:val="1"/>
    <w:qFormat/>
    <w:uiPriority w:val="0"/>
    <w:pPr>
      <w:adjustRightInd w:val="0"/>
      <w:spacing w:line="360" w:lineRule="auto"/>
      <w:ind w:firstLine="780" w:firstLineChars="300"/>
      <w:jc w:val="left"/>
      <w:textAlignment w:val="baseline"/>
    </w:pPr>
    <w:rPr>
      <w:color w:val="FF0000"/>
      <w:spacing w:val="10"/>
      <w:kern w:val="0"/>
      <w:szCs w:val="20"/>
      <w:u w:val="single"/>
    </w:rPr>
  </w:style>
  <w:style w:type="paragraph" w:styleId="23">
    <w:name w:val="Normal (Web)"/>
    <w:basedOn w:val="1"/>
    <w:unhideWhenUsed/>
    <w:qFormat/>
    <w:uiPriority w:val="0"/>
    <w:pPr>
      <w:widowControl/>
      <w:spacing w:before="100" w:beforeAutospacing="1" w:after="100" w:afterAutospacing="1"/>
      <w:jc w:val="left"/>
    </w:pPr>
    <w:rPr>
      <w:rFonts w:ascii="宋体" w:hAnsi="宋体" w:cs="宋体"/>
      <w:kern w:val="0"/>
    </w:rPr>
  </w:style>
  <w:style w:type="paragraph" w:styleId="24">
    <w:name w:val="annotation subject"/>
    <w:basedOn w:val="12"/>
    <w:next w:val="12"/>
    <w:semiHidden/>
    <w:qFormat/>
    <w:uiPriority w:val="0"/>
    <w:rPr>
      <w:b/>
      <w:bCs/>
    </w:r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page number"/>
    <w:basedOn w:val="27"/>
    <w:qFormat/>
    <w:uiPriority w:val="0"/>
  </w:style>
  <w:style w:type="character" w:styleId="29">
    <w:name w:val="FollowedHyperlink"/>
    <w:basedOn w:val="27"/>
    <w:semiHidden/>
    <w:unhideWhenUsed/>
    <w:qFormat/>
    <w:uiPriority w:val="0"/>
    <w:rPr>
      <w:color w:val="800080" w:themeColor="followedHyperlink"/>
      <w:u w:val="single"/>
    </w:rPr>
  </w:style>
  <w:style w:type="character" w:styleId="30">
    <w:name w:val="Hyperlink"/>
    <w:qFormat/>
    <w:uiPriority w:val="99"/>
    <w:rPr>
      <w:color w:val="0000FF"/>
      <w:u w:val="single"/>
    </w:rPr>
  </w:style>
  <w:style w:type="character" w:styleId="31">
    <w:name w:val="annotation reference"/>
    <w:semiHidden/>
    <w:qFormat/>
    <w:uiPriority w:val="0"/>
    <w:rPr>
      <w:sz w:val="21"/>
      <w:szCs w:val="21"/>
    </w:rPr>
  </w:style>
  <w:style w:type="paragraph" w:customStyle="1" w:styleId="32">
    <w:name w:val="样式2"/>
    <w:basedOn w:val="1"/>
    <w:next w:val="1"/>
    <w:qFormat/>
    <w:uiPriority w:val="0"/>
    <w:pPr>
      <w:spacing w:line="360" w:lineRule="auto"/>
    </w:pPr>
    <w:rPr>
      <w:kern w:val="0"/>
      <w:sz w:val="28"/>
      <w:szCs w:val="20"/>
    </w:rPr>
  </w:style>
  <w:style w:type="character" w:customStyle="1" w:styleId="33">
    <w:name w:val="访问过的超链接1"/>
    <w:qFormat/>
    <w:uiPriority w:val="0"/>
    <w:rPr>
      <w:color w:val="800080"/>
      <w:u w:val="single"/>
    </w:rPr>
  </w:style>
  <w:style w:type="character" w:customStyle="1" w:styleId="34">
    <w:name w:val="页脚 Char"/>
    <w:link w:val="19"/>
    <w:qFormat/>
    <w:uiPriority w:val="99"/>
    <w:rPr>
      <w:sz w:val="18"/>
    </w:rPr>
  </w:style>
  <w:style w:type="character" w:customStyle="1" w:styleId="35">
    <w:name w:val="标题 1 Char"/>
    <w:link w:val="2"/>
    <w:qFormat/>
    <w:uiPriority w:val="0"/>
    <w:rPr>
      <w:rFonts w:ascii="宋体" w:eastAsia="宋体"/>
      <w:b/>
      <w:kern w:val="44"/>
      <w:sz w:val="32"/>
      <w:lang w:val="en-US" w:eastAsia="zh-CN" w:bidi="ar-SA"/>
    </w:rPr>
  </w:style>
  <w:style w:type="paragraph" w:customStyle="1" w:styleId="36">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37">
    <w:name w:val="Char Char Char Char"/>
    <w:basedOn w:val="1"/>
    <w:qFormat/>
    <w:uiPriority w:val="0"/>
    <w:rPr>
      <w:sz w:val="21"/>
    </w:rPr>
  </w:style>
  <w:style w:type="paragraph" w:customStyle="1" w:styleId="38">
    <w:name w:val="Char Char Char Char1"/>
    <w:basedOn w:val="1"/>
    <w:qFormat/>
    <w:uiPriority w:val="0"/>
    <w:pPr>
      <w:spacing w:line="360" w:lineRule="auto"/>
      <w:ind w:firstLine="200" w:firstLineChars="200"/>
    </w:pPr>
    <w:rPr>
      <w:rFonts w:ascii="宋体" w:hAnsi="宋体" w:cs="宋体"/>
    </w:rPr>
  </w:style>
  <w:style w:type="paragraph" w:customStyle="1" w:styleId="39">
    <w:name w:val="样式1"/>
    <w:basedOn w:val="1"/>
    <w:qFormat/>
    <w:uiPriority w:val="0"/>
    <w:pPr>
      <w:adjustRightInd w:val="0"/>
      <w:spacing w:line="420" w:lineRule="auto"/>
      <w:jc w:val="center"/>
      <w:textAlignment w:val="baseline"/>
    </w:pPr>
    <w:rPr>
      <w:rFonts w:ascii="宋体"/>
      <w:kern w:val="0"/>
      <w:szCs w:val="20"/>
    </w:rPr>
  </w:style>
  <w:style w:type="paragraph" w:customStyle="1" w:styleId="40">
    <w:name w:val="Char Char Char Char1 Char Char Char Char Char Char Char"/>
    <w:basedOn w:val="1"/>
    <w:qFormat/>
    <w:uiPriority w:val="0"/>
    <w:pPr>
      <w:spacing w:line="360" w:lineRule="auto"/>
      <w:ind w:firstLine="200" w:firstLineChars="200"/>
    </w:pPr>
    <w:rPr>
      <w:rFonts w:ascii="宋体" w:hAnsi="宋体" w:cs="宋体"/>
    </w:rPr>
  </w:style>
  <w:style w:type="paragraph" w:customStyle="1" w:styleId="41">
    <w:name w:val="Char Char Char Char1 Char Char Char"/>
    <w:basedOn w:val="1"/>
    <w:qFormat/>
    <w:uiPriority w:val="0"/>
    <w:pPr>
      <w:spacing w:line="360" w:lineRule="auto"/>
      <w:ind w:firstLine="200" w:firstLineChars="200"/>
    </w:pPr>
    <w:rPr>
      <w:rFonts w:ascii="宋体" w:hAnsi="宋体" w:cs="宋体"/>
    </w:rPr>
  </w:style>
  <w:style w:type="paragraph" w:customStyle="1" w:styleId="42">
    <w:name w:val="正文文本 31"/>
    <w:basedOn w:val="1"/>
    <w:qFormat/>
    <w:uiPriority w:val="0"/>
    <w:pPr>
      <w:adjustRightInd w:val="0"/>
      <w:spacing w:line="360" w:lineRule="auto"/>
      <w:jc w:val="center"/>
      <w:textAlignment w:val="baseline"/>
    </w:pPr>
    <w:rPr>
      <w:rFonts w:ascii="宋体"/>
      <w:b/>
      <w:color w:val="FF0000"/>
      <w:kern w:val="0"/>
      <w:szCs w:val="20"/>
      <w:u w:val="single"/>
    </w:rPr>
  </w:style>
  <w:style w:type="paragraph" w:customStyle="1" w:styleId="43">
    <w:name w:val="正文1"/>
    <w:basedOn w:val="1"/>
    <w:qFormat/>
    <w:uiPriority w:val="0"/>
    <w:pPr>
      <w:adjustRightInd w:val="0"/>
      <w:spacing w:line="360" w:lineRule="atLeast"/>
      <w:jc w:val="left"/>
      <w:textAlignment w:val="baseline"/>
    </w:pPr>
    <w:rPr>
      <w:rFonts w:ascii="宋体"/>
      <w:kern w:val="0"/>
      <w:szCs w:val="20"/>
    </w:rPr>
  </w:style>
  <w:style w:type="paragraph" w:customStyle="1" w:styleId="44">
    <w:name w:val="TOC 21"/>
    <w:basedOn w:val="1"/>
    <w:next w:val="1"/>
    <w:semiHidden/>
    <w:qFormat/>
    <w:uiPriority w:val="0"/>
    <w:pPr>
      <w:tabs>
        <w:tab w:val="right" w:leader="dot" w:pos="9000"/>
      </w:tabs>
      <w:adjustRightInd w:val="0"/>
      <w:spacing w:line="360" w:lineRule="atLeast"/>
      <w:ind w:left="420"/>
      <w:jc w:val="left"/>
      <w:textAlignment w:val="baseline"/>
    </w:pPr>
    <w:rPr>
      <w:smallCaps/>
      <w:kern w:val="0"/>
      <w:sz w:val="20"/>
      <w:szCs w:val="20"/>
    </w:rPr>
  </w:style>
  <w:style w:type="paragraph" w:customStyle="1" w:styleId="45">
    <w:name w:val="默认段落字体 Para Char Char Char Char"/>
    <w:basedOn w:val="1"/>
    <w:qFormat/>
    <w:uiPriority w:val="0"/>
    <w:rPr>
      <w:sz w:val="21"/>
    </w:rPr>
  </w:style>
  <w:style w:type="paragraph" w:customStyle="1" w:styleId="46">
    <w:name w:val="Char Char1"/>
    <w:basedOn w:val="1"/>
    <w:qFormat/>
    <w:uiPriority w:val="0"/>
    <w:pPr>
      <w:adjustRightInd w:val="0"/>
      <w:spacing w:line="360" w:lineRule="atLeast"/>
      <w:jc w:val="left"/>
      <w:textAlignment w:val="baseline"/>
    </w:pPr>
    <w:rPr>
      <w:kern w:val="0"/>
    </w:rPr>
  </w:style>
  <w:style w:type="paragraph" w:customStyle="1" w:styleId="47">
    <w:name w:val="Char Char Char"/>
    <w:basedOn w:val="1"/>
    <w:qFormat/>
    <w:uiPriority w:val="0"/>
    <w:pPr>
      <w:spacing w:line="360" w:lineRule="auto"/>
      <w:ind w:firstLine="200" w:firstLineChars="200"/>
    </w:pPr>
    <w:rPr>
      <w:rFonts w:ascii="宋体" w:hAnsi="宋体" w:cs="宋体"/>
    </w:rPr>
  </w:style>
  <w:style w:type="paragraph" w:customStyle="1" w:styleId="48">
    <w:name w:val="Char1"/>
    <w:basedOn w:val="1"/>
    <w:qFormat/>
    <w:uiPriority w:val="0"/>
  </w:style>
  <w:style w:type="paragraph" w:customStyle="1" w:styleId="49">
    <w:name w:val="TOC 11"/>
    <w:basedOn w:val="1"/>
    <w:next w:val="1"/>
    <w:qFormat/>
    <w:uiPriority w:val="39"/>
    <w:pPr>
      <w:tabs>
        <w:tab w:val="right" w:leader="dot" w:pos="8820"/>
      </w:tabs>
      <w:adjustRightInd w:val="0"/>
      <w:spacing w:line="360" w:lineRule="auto"/>
      <w:jc w:val="left"/>
      <w:textAlignment w:val="baseline"/>
    </w:pPr>
    <w:rPr>
      <w:rFonts w:ascii="宋体" w:hAnsi="宋体"/>
      <w:b/>
      <w:kern w:val="0"/>
      <w:sz w:val="30"/>
      <w:szCs w:val="30"/>
    </w:rPr>
  </w:style>
  <w:style w:type="paragraph" w:customStyle="1" w:styleId="50">
    <w:name w:val="Char1 Char"/>
    <w:basedOn w:val="1"/>
    <w:qFormat/>
    <w:uiPriority w:val="0"/>
    <w:pPr>
      <w:adjustRightInd w:val="0"/>
      <w:spacing w:line="360" w:lineRule="atLeast"/>
      <w:jc w:val="left"/>
      <w:textAlignment w:val="baseline"/>
    </w:pPr>
    <w:rPr>
      <w:kern w:val="0"/>
    </w:rPr>
  </w:style>
  <w:style w:type="paragraph" w:customStyle="1" w:styleId="51">
    <w:name w:val="默认段落字体 Para Char Char Char Char Char Char Char Char Char Char"/>
    <w:basedOn w:val="1"/>
    <w:qFormat/>
    <w:uiPriority w:val="0"/>
    <w:rPr>
      <w:sz w:val="21"/>
    </w:rPr>
  </w:style>
  <w:style w:type="paragraph" w:customStyle="1" w:styleId="5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3">
    <w:name w:val="表名"/>
    <w:basedOn w:val="1"/>
    <w:qFormat/>
    <w:uiPriority w:val="0"/>
    <w:pPr>
      <w:overflowPunct w:val="0"/>
      <w:spacing w:before="120"/>
      <w:jc w:val="center"/>
      <w:textAlignment w:val="baseline"/>
    </w:pPr>
    <w:rPr>
      <w:rFonts w:ascii="Arial" w:hAnsi="Arial" w:eastAsia="黑体"/>
      <w:sz w:val="21"/>
      <w:szCs w:val="21"/>
    </w:rPr>
  </w:style>
  <w:style w:type="paragraph" w:customStyle="1" w:styleId="54">
    <w:name w:val="Char1 Char Char Char Char Char Char Char Char Char"/>
    <w:basedOn w:val="1"/>
    <w:qFormat/>
    <w:uiPriority w:val="0"/>
    <w:rPr>
      <w:sz w:val="21"/>
    </w:rPr>
  </w:style>
  <w:style w:type="paragraph" w:customStyle="1" w:styleId="55">
    <w:name w:val="Char Char1 Char Char Char"/>
    <w:basedOn w:val="1"/>
    <w:semiHidden/>
    <w:qFormat/>
    <w:uiPriority w:val="0"/>
    <w:rPr>
      <w:sz w:val="21"/>
    </w:rPr>
  </w:style>
  <w:style w:type="paragraph" w:customStyle="1" w:styleId="56">
    <w:name w:val="Char Char Char Char2"/>
    <w:basedOn w:val="1"/>
    <w:qFormat/>
    <w:uiPriority w:val="0"/>
    <w:pPr>
      <w:adjustRightInd w:val="0"/>
      <w:spacing w:line="360" w:lineRule="auto"/>
    </w:pPr>
    <w:rPr>
      <w:kern w:val="0"/>
      <w:szCs w:val="20"/>
    </w:rPr>
  </w:style>
  <w:style w:type="paragraph" w:customStyle="1" w:styleId="57">
    <w:name w:val="修订1"/>
    <w:semiHidden/>
    <w:qFormat/>
    <w:uiPriority w:val="99"/>
    <w:rPr>
      <w:rFonts w:ascii="Times New Roman" w:hAnsi="Times New Roman" w:eastAsia="宋体" w:cs="Times New Roman"/>
      <w:kern w:val="2"/>
      <w:sz w:val="24"/>
      <w:szCs w:val="24"/>
      <w:lang w:val="en-US" w:eastAsia="zh-CN" w:bidi="ar-SA"/>
    </w:rPr>
  </w:style>
  <w:style w:type="paragraph" w:customStyle="1" w:styleId="58">
    <w:name w:val="A"/>
    <w:basedOn w:val="1"/>
    <w:qFormat/>
    <w:uiPriority w:val="0"/>
    <w:pPr>
      <w:adjustRightInd w:val="0"/>
      <w:spacing w:line="480" w:lineRule="atLeast"/>
      <w:jc w:val="center"/>
      <w:textAlignment w:val="baseline"/>
    </w:pPr>
    <w:rPr>
      <w:rFonts w:ascii="宋体"/>
      <w:kern w:val="0"/>
      <w:sz w:val="32"/>
      <w:szCs w:val="20"/>
    </w:rPr>
  </w:style>
  <w:style w:type="paragraph" w:customStyle="1" w:styleId="59">
    <w:name w:val="Char"/>
    <w:basedOn w:val="1"/>
    <w:qFormat/>
    <w:uiPriority w:val="0"/>
    <w:pPr>
      <w:adjustRightInd w:val="0"/>
      <w:spacing w:line="360" w:lineRule="auto"/>
    </w:pPr>
    <w:rPr>
      <w:kern w:val="0"/>
    </w:rPr>
  </w:style>
  <w:style w:type="paragraph" w:customStyle="1" w:styleId="60">
    <w:name w:val="Char Char11"/>
    <w:basedOn w:val="1"/>
    <w:qFormat/>
    <w:uiPriority w:val="0"/>
    <w:rPr>
      <w:sz w:val="21"/>
    </w:rPr>
  </w:style>
  <w:style w:type="paragraph" w:customStyle="1" w:styleId="61">
    <w:name w:val="正文报告"/>
    <w:basedOn w:val="1"/>
    <w:qFormat/>
    <w:uiPriority w:val="0"/>
    <w:pPr>
      <w:tabs>
        <w:tab w:val="left" w:pos="510"/>
      </w:tabs>
      <w:adjustRightInd w:val="0"/>
      <w:spacing w:line="460" w:lineRule="exact"/>
      <w:ind w:firstLine="482"/>
      <w:textAlignment w:val="baseline"/>
    </w:pPr>
    <w:rPr>
      <w:kern w:val="0"/>
      <w:szCs w:val="20"/>
    </w:rPr>
  </w:style>
  <w:style w:type="paragraph" w:customStyle="1" w:styleId="62">
    <w:name w:val="Char Char1 Char Char Char Char Char Char Char Char Char"/>
    <w:basedOn w:val="1"/>
    <w:semiHidden/>
    <w:qFormat/>
    <w:uiPriority w:val="0"/>
    <w:rPr>
      <w:sz w:val="21"/>
    </w:rPr>
  </w:style>
  <w:style w:type="paragraph" w:customStyle="1" w:styleId="63">
    <w:name w:val="Char Char"/>
    <w:basedOn w:val="1"/>
    <w:qFormat/>
    <w:uiPriority w:val="0"/>
    <w:pPr>
      <w:adjustRightInd w:val="0"/>
      <w:spacing w:line="360" w:lineRule="atLeast"/>
      <w:jc w:val="left"/>
      <w:textAlignment w:val="baseline"/>
    </w:pPr>
    <w:rPr>
      <w:kern w:val="0"/>
    </w:rPr>
  </w:style>
  <w:style w:type="paragraph" w:customStyle="1" w:styleId="64">
    <w:name w:val="1"/>
    <w:basedOn w:val="1"/>
    <w:qFormat/>
    <w:uiPriority w:val="0"/>
    <w:pPr>
      <w:adjustRightInd w:val="0"/>
      <w:spacing w:line="360" w:lineRule="atLeast"/>
      <w:jc w:val="left"/>
      <w:textAlignment w:val="baseline"/>
    </w:pPr>
    <w:rPr>
      <w:kern w:val="0"/>
    </w:rPr>
  </w:style>
  <w:style w:type="character" w:customStyle="1" w:styleId="65">
    <w:name w:val="页眉 Char"/>
    <w:link w:val="20"/>
    <w:qFormat/>
    <w:uiPriority w:val="0"/>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emf"/><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7"/>
    <customShpInfo spid="_x0000_s1028"/>
    <customShpInfo spid="_x0000_s1029"/>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88E4F2-8E9D-41B4-9A04-AE0B23713F41}">
  <ds:schemaRefs/>
</ds:datastoreItem>
</file>

<file path=docProps/app.xml><?xml version="1.0" encoding="utf-8"?>
<Properties xmlns="http://schemas.openxmlformats.org/officeDocument/2006/extended-properties" xmlns:vt="http://schemas.openxmlformats.org/officeDocument/2006/docPropsVTypes">
  <Template>Normal.dotm</Template>
  <Company>zepc</Company>
  <Pages>42</Pages>
  <Words>11986</Words>
  <Characters>13628</Characters>
  <Lines>163</Lines>
  <Paragraphs>45</Paragraphs>
  <TotalTime>20</TotalTime>
  <ScaleCrop>false</ScaleCrop>
  <LinksUpToDate>false</LinksUpToDate>
  <CharactersWithSpaces>14054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2018-10-18T06:57:00Z</dcterms:created>
  <dc:creator>鱼</dc:creator>
  <cp:lastModifiedBy>陈涌顺</cp:lastModifiedBy>
  <cp:lastPrinted>2025-07-28T02:50:00Z</cp:lastPrinted>
  <dcterms:modified xsi:type="dcterms:W3CDTF">2025-10-21T01:53:00Z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eyJoZGlkIjoiN2Y4MTI2M2FmY2YyZDkwYTZlZjEzMGUxMWIwM2Y3MzIiLCJ1c2VySWQiOiIxNjI0Mzk3NTQ3In0=</vt:lpwstr>
  </property>
  <property fmtid="{D5CDD505-2E9C-101B-9397-08002B2CF9AE}" pid="4" name="ICV">
    <vt:lpwstr>71880D07D4D047C1A3237AD7EE0BAA2D_12</vt:lpwstr>
  </property>
</Properties>
</file>