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57D256B">
      <w:pPr>
        <w:jc w:val="center"/>
        <w:rPr>
          <w:rFonts w:ascii="宋体" w:hAnsi="宋体" w:eastAsia="宋体"/>
          <w:color w:val="auto"/>
          <w:highlight w:val="none"/>
        </w:rPr>
      </w:pPr>
      <w:bookmarkStart w:id="0" w:name="_Toc217998491"/>
    </w:p>
    <w:bookmarkEnd w:id="0"/>
    <w:p w14:paraId="23B7E701">
      <w:pPr>
        <w:spacing w:line="360" w:lineRule="auto"/>
        <w:jc w:val="center"/>
        <w:rPr>
          <w:rFonts w:hint="eastAsia" w:ascii="宋体" w:hAnsi="宋体" w:cs="宋体"/>
          <w:b/>
          <w:bCs/>
          <w:color w:val="auto"/>
          <w:sz w:val="24"/>
          <w:highlight w:val="none"/>
        </w:rPr>
      </w:pPr>
      <w:bookmarkStart w:id="1" w:name="_Toc10999"/>
      <w:r>
        <w:rPr>
          <w:rFonts w:ascii="宋体" w:hAnsi="宋体" w:cs="宋体"/>
          <w:b/>
          <w:bCs/>
          <w:color w:val="auto"/>
          <w:sz w:val="24"/>
          <w:highlight w:val="none"/>
        </w:rPr>
        <w:t>浙能伊犁新天煤化工有限责任公司</w:t>
      </w:r>
      <w:r>
        <w:rPr>
          <w:rFonts w:hint="eastAsia" w:ascii="宋体" w:hAnsi="宋体" w:cs="宋体"/>
          <w:b/>
          <w:bCs/>
          <w:color w:val="auto"/>
          <w:sz w:val="24"/>
          <w:highlight w:val="none"/>
        </w:rPr>
        <w:t>回收和净化装置呼吸阀升级改造项目</w:t>
      </w:r>
    </w:p>
    <w:p w14:paraId="1CFB9BAA">
      <w:pPr>
        <w:spacing w:line="360" w:lineRule="auto"/>
        <w:jc w:val="center"/>
        <w:rPr>
          <w:rFonts w:hint="default" w:ascii="宋体" w:hAnsi="宋体" w:cs="宋体" w:eastAsiaTheme="minorEastAsia"/>
          <w:b/>
          <w:bCs/>
          <w:color w:val="auto"/>
          <w:sz w:val="24"/>
          <w:highlight w:val="none"/>
          <w:lang w:val="en-US" w:eastAsia="zh-CN"/>
        </w:rPr>
      </w:pPr>
      <w:r>
        <w:rPr>
          <w:rFonts w:hint="eastAsia" w:ascii="宋体" w:hAnsi="宋体" w:cs="宋体"/>
          <w:b/>
          <w:bCs/>
          <w:color w:val="auto"/>
          <w:sz w:val="24"/>
          <w:highlight w:val="none"/>
          <w:lang w:val="en-US" w:eastAsia="zh-CN"/>
        </w:rPr>
        <w:t>技术规范书</w:t>
      </w:r>
    </w:p>
    <w:p w14:paraId="50CC47C9">
      <w:pPr>
        <w:pStyle w:val="4"/>
        <w:snapToGrid w:val="0"/>
        <w:spacing w:before="156" w:beforeLines="50" w:after="156" w:afterLines="50" w:line="360" w:lineRule="auto"/>
        <w:outlineLvl w:val="0"/>
        <w:rPr>
          <w:rFonts w:ascii="Times New Roman" w:hAnsi="Times New Roman"/>
          <w:b/>
          <w:color w:val="auto"/>
          <w:sz w:val="28"/>
          <w:szCs w:val="28"/>
          <w:highlight w:val="none"/>
        </w:rPr>
      </w:pPr>
      <w:r>
        <w:rPr>
          <w:rFonts w:hint="eastAsia" w:ascii="Times New Roman" w:hAnsi="Times New Roman"/>
          <w:b/>
          <w:color w:val="auto"/>
          <w:sz w:val="28"/>
          <w:szCs w:val="28"/>
          <w:highlight w:val="none"/>
        </w:rPr>
        <w:t>1、</w:t>
      </w:r>
      <w:r>
        <w:rPr>
          <w:rFonts w:ascii="Times New Roman" w:hAnsi="Times New Roman"/>
          <w:b/>
          <w:color w:val="auto"/>
          <w:sz w:val="28"/>
          <w:szCs w:val="28"/>
          <w:highlight w:val="none"/>
        </w:rPr>
        <w:t>总则</w:t>
      </w:r>
      <w:bookmarkEnd w:id="1"/>
    </w:p>
    <w:p w14:paraId="444800BC">
      <w:pPr>
        <w:pStyle w:val="4"/>
        <w:spacing w:line="360" w:lineRule="auto"/>
        <w:rPr>
          <w:rFonts w:ascii="宋体" w:hAnsi="宋体" w:cs="宋体"/>
          <w:color w:val="auto"/>
          <w:sz w:val="24"/>
          <w:highlight w:val="none"/>
        </w:rPr>
      </w:pPr>
      <w:bookmarkStart w:id="2" w:name="_Toc27376"/>
      <w:bookmarkStart w:id="3" w:name="_Toc25440"/>
      <w:bookmarkStart w:id="4" w:name="_Toc217998492"/>
      <w:bookmarkStart w:id="5" w:name="_Toc24299"/>
      <w:bookmarkStart w:id="6" w:name="_Toc31063"/>
      <w:bookmarkStart w:id="7" w:name="_Toc19386"/>
      <w:bookmarkStart w:id="8" w:name="_Toc24341750"/>
      <w:bookmarkStart w:id="9" w:name="_Toc166409835"/>
      <w:r>
        <w:rPr>
          <w:rFonts w:ascii="宋体" w:hAnsi="宋体" w:cs="宋体"/>
          <w:color w:val="auto"/>
          <w:sz w:val="24"/>
          <w:highlight w:val="none"/>
        </w:rPr>
        <w:t>1.1本技术规范适用于浙能伊犁新天煤化工有限责任公司</w:t>
      </w:r>
      <w:r>
        <w:rPr>
          <w:rFonts w:hint="eastAsia" w:ascii="宋体" w:hAnsi="宋体" w:cs="宋体"/>
          <w:color w:val="auto"/>
          <w:sz w:val="24"/>
          <w:highlight w:val="none"/>
        </w:rPr>
        <w:t>回收和净化装置呼吸阀升级改造项目</w:t>
      </w:r>
      <w:r>
        <w:rPr>
          <w:rFonts w:ascii="宋体" w:hAnsi="宋体" w:cs="宋体"/>
          <w:color w:val="auto"/>
          <w:sz w:val="24"/>
          <w:highlight w:val="none"/>
        </w:rPr>
        <w:t>所需</w:t>
      </w:r>
      <w:r>
        <w:rPr>
          <w:rFonts w:hint="eastAsia" w:ascii="宋体" w:hAnsi="宋体" w:cs="宋体"/>
          <w:color w:val="auto"/>
          <w:sz w:val="24"/>
          <w:highlight w:val="none"/>
        </w:rPr>
        <w:t>低泄漏</w:t>
      </w:r>
      <w:r>
        <w:rPr>
          <w:rFonts w:hint="eastAsia" w:ascii="宋体" w:hAnsi="宋体"/>
          <w:color w:val="auto"/>
          <w:sz w:val="24"/>
          <w:highlight w:val="none"/>
        </w:rPr>
        <w:t>呼吸阀、阻火器、紧急泄放阀的选型、制造、检验、包装、运输的一般要求。</w:t>
      </w:r>
      <w:r>
        <w:rPr>
          <w:rFonts w:hint="eastAsia" w:ascii="宋体" w:hAnsi="宋体" w:cs="宋体"/>
          <w:color w:val="auto"/>
          <w:sz w:val="24"/>
          <w:highlight w:val="none"/>
        </w:rPr>
        <w:t xml:space="preserve"> </w:t>
      </w:r>
    </w:p>
    <w:p w14:paraId="155D3DB8">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1.2本技术规范提出了对</w:t>
      </w:r>
      <w:r>
        <w:rPr>
          <w:rFonts w:hint="eastAsia" w:ascii="宋体" w:hAnsi="宋体" w:cs="宋体"/>
          <w:color w:val="auto"/>
          <w:sz w:val="24"/>
          <w:highlight w:val="none"/>
        </w:rPr>
        <w:t>呼吸阀</w:t>
      </w:r>
      <w:r>
        <w:rPr>
          <w:rFonts w:ascii="宋体" w:hAnsi="宋体" w:cs="宋体"/>
          <w:color w:val="auto"/>
          <w:sz w:val="24"/>
          <w:highlight w:val="none"/>
        </w:rPr>
        <w:t>本体的功能设计、</w:t>
      </w:r>
      <w:r>
        <w:rPr>
          <w:rFonts w:hint="eastAsia" w:ascii="宋体" w:hAnsi="宋体" w:cs="宋体"/>
          <w:color w:val="auto"/>
          <w:sz w:val="24"/>
          <w:highlight w:val="none"/>
        </w:rPr>
        <w:t>结构、性能、指导安装调试、检验、试验、包装、运输、验收等方面的技术要求。</w:t>
      </w:r>
    </w:p>
    <w:p w14:paraId="595C9DB0">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1.3本技术规范的技术要求及附件是设备设计和制造的最低要求，并未规定所有的技术要求和适用的标准，投标人应提供一套满足本技术协议和所列标准要求的高质量产品及其相应服务。对国家有关安全、环保等强制性标准，必须满足其要求。</w:t>
      </w:r>
    </w:p>
    <w:p w14:paraId="09069825">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1.4如果投标人没有以书面的形式对本规范书的条文提出异议，则意味着投标人完全响应本规范书的要求；如有差异，不管差异多么微小，都应在投标文件差异表中加以详细说明。</w:t>
      </w:r>
    </w:p>
    <w:p w14:paraId="66065681">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1.5遵循本技术规范的任一条款均不能认为可以解除投标人对所供货物应承担的责任。</w:t>
      </w:r>
    </w:p>
    <w:p w14:paraId="20BB8378">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1.6所有图纸资料必须采用中文编制,文件和图纸资料及测量仪表中所使用单位须为国际单位（SI）。</w:t>
      </w:r>
    </w:p>
    <w:p w14:paraId="18F62228">
      <w:pPr>
        <w:pStyle w:val="4"/>
        <w:snapToGrid w:val="0"/>
        <w:spacing w:line="360" w:lineRule="auto"/>
        <w:ind w:left="480" w:right="105" w:rightChars="50" w:hanging="480" w:hangingChars="200"/>
        <w:rPr>
          <w:rFonts w:ascii="宋体" w:hAnsi="宋体" w:cs="宋体"/>
          <w:color w:val="auto"/>
          <w:sz w:val="24"/>
          <w:highlight w:val="none"/>
        </w:rPr>
      </w:pPr>
      <w:r>
        <w:rPr>
          <w:rFonts w:ascii="宋体" w:hAnsi="宋体" w:cs="宋体"/>
          <w:color w:val="auto"/>
          <w:sz w:val="24"/>
          <w:highlight w:val="none"/>
        </w:rPr>
        <w:t>1.7投标人对所供整套设备负有全责，包括外购件。</w:t>
      </w:r>
    </w:p>
    <w:p w14:paraId="681CA24D">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1.8本技术规范书所使用的标准若与投标人所执行的标准发生矛盾时，按较严格准标准执行。</w:t>
      </w:r>
    </w:p>
    <w:p w14:paraId="2F5A94E9">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1.9设备采用的专利涉及到的全部费用均被认为已包含在设备报价中，投标人应保证招标人不承担有关设备专利的一切责任。</w:t>
      </w:r>
    </w:p>
    <w:p w14:paraId="6BD4C6B1">
      <w:pPr>
        <w:pStyle w:val="4"/>
        <w:snapToGrid w:val="0"/>
        <w:spacing w:line="360" w:lineRule="auto"/>
        <w:ind w:right="105" w:rightChars="50"/>
        <w:rPr>
          <w:rFonts w:hint="eastAsia" w:ascii="宋体" w:hAnsi="宋体" w:cs="宋体"/>
          <w:color w:val="auto"/>
          <w:sz w:val="24"/>
          <w:highlight w:val="none"/>
        </w:rPr>
      </w:pPr>
      <w:r>
        <w:rPr>
          <w:rFonts w:ascii="宋体" w:hAnsi="宋体" w:cs="宋体"/>
          <w:color w:val="auto"/>
          <w:sz w:val="24"/>
          <w:highlight w:val="none"/>
        </w:rPr>
        <w:t>1.10在合同签订后，招标人有权提出因规范、标准、规程发生变化而产生的一些补充要求，部分设备的型号根据设计将进行相应变更，投标人应满足这些要求，而无价格因素。具体项目由</w:t>
      </w:r>
      <w:r>
        <w:rPr>
          <w:rFonts w:hint="eastAsia" w:ascii="宋体" w:hAnsi="宋体" w:cs="宋体"/>
          <w:color w:val="auto"/>
          <w:sz w:val="24"/>
          <w:highlight w:val="none"/>
        </w:rPr>
        <w:t>双方共同商定。</w:t>
      </w:r>
      <w:bookmarkEnd w:id="2"/>
      <w:bookmarkEnd w:id="3"/>
      <w:bookmarkEnd w:id="4"/>
      <w:bookmarkEnd w:id="5"/>
      <w:bookmarkEnd w:id="6"/>
      <w:bookmarkEnd w:id="7"/>
    </w:p>
    <w:p w14:paraId="2B1C8B7B">
      <w:pPr>
        <w:pStyle w:val="3"/>
        <w:rPr>
          <w:rFonts w:hint="eastAsia" w:ascii="宋体" w:hAnsi="宋体" w:eastAsia="宋体" w:cs="宋体"/>
          <w:b w:val="0"/>
          <w:color w:val="auto"/>
          <w:kern w:val="2"/>
          <w:sz w:val="24"/>
          <w:szCs w:val="24"/>
          <w:highlight w:val="none"/>
          <w:lang w:val="en-US" w:eastAsia="zh-CN" w:bidi="ar-SA"/>
        </w:rPr>
      </w:pPr>
      <w:r>
        <w:rPr>
          <w:rFonts w:hint="eastAsia" w:ascii="宋体" w:hAnsi="宋体" w:eastAsia="宋体" w:cs="宋体"/>
          <w:b w:val="0"/>
          <w:color w:val="auto"/>
          <w:kern w:val="2"/>
          <w:sz w:val="24"/>
          <w:szCs w:val="24"/>
          <w:highlight w:val="none"/>
          <w:lang w:val="en-US" w:eastAsia="zh-CN" w:bidi="ar-SA"/>
        </w:rPr>
        <w:t>1.11项目背景</w:t>
      </w:r>
    </w:p>
    <w:p w14:paraId="6BF80E9A">
      <w:pPr>
        <w:pStyle w:val="3"/>
        <w:rPr>
          <w:rFonts w:hint="eastAsia" w:ascii="宋体" w:eastAsia="宋体" w:cs="宋体"/>
          <w:b w:val="0"/>
          <w:color w:val="auto"/>
          <w:kern w:val="2"/>
          <w:sz w:val="24"/>
          <w:szCs w:val="24"/>
          <w:highlight w:val="none"/>
          <w:lang w:val="en-US" w:eastAsia="zh-CN" w:bidi="ar-SA"/>
        </w:rPr>
      </w:pPr>
      <w:r>
        <w:rPr>
          <w:rFonts w:hint="eastAsia" w:ascii="宋体" w:eastAsia="宋体" w:cs="宋体"/>
          <w:b w:val="0"/>
          <w:color w:val="auto"/>
          <w:kern w:val="2"/>
          <w:sz w:val="24"/>
          <w:szCs w:val="24"/>
          <w:highlight w:val="none"/>
          <w:lang w:val="en-US" w:eastAsia="zh-CN" w:bidi="ar-SA"/>
        </w:rPr>
        <w:t>1.11.1回收装置共有132台呼吸阀，现有呼吸阀是非低泄漏呼吸阀，达不到泄漏标准，回收装置储罐呼出气中含有腐蚀性气体，且现有呼吸阀运行已经8年，长期腐蚀，导致呼吸阀正压阀盘、负压阀盘、密封件等腐蚀较为严重，存在泄漏问题；储罐呼出气中含有油、尘，导致呼吸阀阻火网堵塞，储罐超压的情况下，呼吸阀无法正常泄压，存在瘪罐问题。为提高设备可靠性，保证煤气水装置工艺稳定运行，避免因呼吸阀故障而导致储罐出现超压泄漏、负压闪爆的情况，对回收装置132台呼吸阀进行升级改造，将回收装置132台呼吸阀更换为超低排放呼吸阀，以解决此问题。</w:t>
      </w:r>
    </w:p>
    <w:p w14:paraId="46F30FF7">
      <w:pPr>
        <w:pStyle w:val="3"/>
        <w:rPr>
          <w:rFonts w:hint="eastAsia" w:ascii="宋体" w:eastAsia="宋体" w:cs="宋体"/>
          <w:b w:val="0"/>
          <w:color w:val="auto"/>
          <w:kern w:val="2"/>
          <w:sz w:val="24"/>
          <w:szCs w:val="24"/>
          <w:highlight w:val="none"/>
          <w:lang w:val="en-US" w:eastAsia="zh-CN" w:bidi="ar-SA"/>
        </w:rPr>
      </w:pPr>
      <w:r>
        <w:rPr>
          <w:rFonts w:hint="eastAsia" w:ascii="宋体" w:eastAsia="宋体" w:cs="宋体"/>
          <w:b w:val="0"/>
          <w:color w:val="auto"/>
          <w:kern w:val="2"/>
          <w:sz w:val="24"/>
          <w:szCs w:val="24"/>
          <w:highlight w:val="none"/>
          <w:lang w:val="en-US" w:eastAsia="zh-CN" w:bidi="ar-SA"/>
        </w:rPr>
        <w:t>1.11.2净化车间辖设综合罐区和储运罐区2个储罐区，综合罐区内设置常压立式储罐10座，分别为5000m</w:t>
      </w:r>
      <w:r>
        <w:rPr>
          <w:rFonts w:hint="eastAsia" w:ascii="宋体" w:eastAsia="宋体" w:cs="宋体"/>
          <w:b w:val="0"/>
          <w:color w:val="auto"/>
          <w:kern w:val="2"/>
          <w:sz w:val="24"/>
          <w:szCs w:val="24"/>
          <w:highlight w:val="none"/>
          <w:vertAlign w:val="superscript"/>
          <w:lang w:val="en-US" w:eastAsia="zh-CN" w:bidi="ar-SA"/>
        </w:rPr>
        <w:t>3</w:t>
      </w:r>
      <w:r>
        <w:rPr>
          <w:rFonts w:hint="eastAsia" w:ascii="宋体" w:eastAsia="宋体" w:cs="宋体"/>
          <w:b w:val="0"/>
          <w:color w:val="auto"/>
          <w:kern w:val="2"/>
          <w:sz w:val="24"/>
          <w:szCs w:val="24"/>
          <w:highlight w:val="none"/>
          <w:lang w:val="en-US" w:eastAsia="zh-CN" w:bidi="ar-SA"/>
        </w:rPr>
        <w:t>重芳烃储罐2座、5000</w:t>
      </w:r>
      <w:r>
        <w:rPr>
          <w:rFonts w:hint="eastAsia" w:ascii="宋体" w:eastAsia="宋体" w:cs="宋体"/>
          <w:b w:val="0"/>
          <w:color w:val="auto"/>
          <w:kern w:val="2"/>
          <w:sz w:val="24"/>
          <w:szCs w:val="24"/>
          <w:highlight w:val="none"/>
          <w:lang w:val="en-US" w:eastAsia="zh-CN" w:bidi="ar-SA"/>
        </w:rPr>
        <w:t>m</w:t>
      </w:r>
      <w:r>
        <w:rPr>
          <w:rFonts w:hint="eastAsia" w:ascii="宋体" w:eastAsia="宋体" w:cs="宋体"/>
          <w:b w:val="0"/>
          <w:color w:val="auto"/>
          <w:kern w:val="2"/>
          <w:sz w:val="24"/>
          <w:szCs w:val="24"/>
          <w:highlight w:val="none"/>
          <w:vertAlign w:val="superscript"/>
          <w:lang w:val="en-US" w:eastAsia="zh-CN" w:bidi="ar-SA"/>
        </w:rPr>
        <w:t>3</w:t>
      </w:r>
      <w:r>
        <w:rPr>
          <w:rFonts w:hint="eastAsia" w:ascii="宋体" w:eastAsia="宋体" w:cs="宋体"/>
          <w:b w:val="0"/>
          <w:color w:val="auto"/>
          <w:kern w:val="2"/>
          <w:sz w:val="24"/>
          <w:szCs w:val="24"/>
          <w:highlight w:val="none"/>
          <w:lang w:val="en-US" w:eastAsia="zh-CN" w:bidi="ar-SA"/>
        </w:rPr>
        <w:t>多元烃储罐2座、1000m</w:t>
      </w:r>
      <w:r>
        <w:rPr>
          <w:rFonts w:hint="eastAsia" w:ascii="宋体" w:eastAsia="宋体" w:cs="宋体"/>
          <w:b w:val="0"/>
          <w:color w:val="auto"/>
          <w:kern w:val="2"/>
          <w:sz w:val="24"/>
          <w:szCs w:val="24"/>
          <w:highlight w:val="none"/>
          <w:vertAlign w:val="superscript"/>
          <w:lang w:val="en-US" w:eastAsia="zh-CN" w:bidi="ar-SA"/>
        </w:rPr>
        <w:t>3</w:t>
      </w:r>
      <w:r>
        <w:rPr>
          <w:rFonts w:hint="eastAsia" w:ascii="宋体" w:eastAsia="宋体" w:cs="宋体"/>
          <w:b w:val="0"/>
          <w:color w:val="auto"/>
          <w:kern w:val="2"/>
          <w:sz w:val="24"/>
          <w:szCs w:val="24"/>
          <w:highlight w:val="none"/>
          <w:lang w:val="en-US" w:eastAsia="zh-CN" w:bidi="ar-SA"/>
        </w:rPr>
        <w:t>混合酚储罐2座、2500m</w:t>
      </w:r>
      <w:r>
        <w:rPr>
          <w:rFonts w:hint="eastAsia" w:ascii="宋体" w:eastAsia="宋体" w:cs="宋体"/>
          <w:b w:val="0"/>
          <w:color w:val="auto"/>
          <w:kern w:val="2"/>
          <w:sz w:val="24"/>
          <w:szCs w:val="24"/>
          <w:highlight w:val="none"/>
          <w:vertAlign w:val="superscript"/>
          <w:lang w:val="en-US" w:eastAsia="zh-CN" w:bidi="ar-SA"/>
        </w:rPr>
        <w:t>3</w:t>
      </w:r>
      <w:r>
        <w:rPr>
          <w:rFonts w:hint="eastAsia" w:ascii="宋体" w:eastAsia="宋体" w:cs="宋体"/>
          <w:b w:val="0"/>
          <w:color w:val="auto"/>
          <w:kern w:val="2"/>
          <w:sz w:val="24"/>
          <w:szCs w:val="24"/>
          <w:highlight w:val="none"/>
          <w:lang w:val="en-US" w:eastAsia="zh-CN" w:bidi="ar-SA"/>
        </w:rPr>
        <w:t>轻烃储罐2座、2500m</w:t>
      </w:r>
      <w:r>
        <w:rPr>
          <w:rFonts w:hint="eastAsia" w:ascii="宋体" w:eastAsia="宋体" w:cs="宋体"/>
          <w:b w:val="0"/>
          <w:color w:val="auto"/>
          <w:kern w:val="2"/>
          <w:sz w:val="24"/>
          <w:szCs w:val="24"/>
          <w:highlight w:val="none"/>
          <w:vertAlign w:val="superscript"/>
          <w:lang w:val="en-US" w:eastAsia="zh-CN" w:bidi="ar-SA"/>
        </w:rPr>
        <w:t>3</w:t>
      </w:r>
      <w:r>
        <w:rPr>
          <w:rFonts w:hint="eastAsia" w:ascii="宋体" w:eastAsia="宋体" w:cs="宋体"/>
          <w:b w:val="0"/>
          <w:color w:val="auto"/>
          <w:kern w:val="2"/>
          <w:sz w:val="24"/>
          <w:szCs w:val="24"/>
          <w:highlight w:val="none"/>
          <w:lang w:val="en-US" w:eastAsia="zh-CN" w:bidi="ar-SA"/>
        </w:rPr>
        <w:t>甲醇储罐2座；储运罐区设置常压立式储罐12座，分别为500m</w:t>
      </w:r>
      <w:r>
        <w:rPr>
          <w:rFonts w:hint="eastAsia" w:ascii="宋体" w:eastAsia="宋体" w:cs="宋体"/>
          <w:b w:val="0"/>
          <w:color w:val="auto"/>
          <w:kern w:val="2"/>
          <w:sz w:val="24"/>
          <w:szCs w:val="24"/>
          <w:highlight w:val="none"/>
          <w:vertAlign w:val="superscript"/>
          <w:lang w:val="en-US" w:eastAsia="zh-CN" w:bidi="ar-SA"/>
        </w:rPr>
        <w:t>3</w:t>
      </w:r>
      <w:r>
        <w:rPr>
          <w:rFonts w:hint="eastAsia" w:ascii="宋体" w:eastAsia="宋体" w:cs="宋体"/>
          <w:b w:val="0"/>
          <w:color w:val="auto"/>
          <w:kern w:val="2"/>
          <w:sz w:val="24"/>
          <w:szCs w:val="24"/>
          <w:highlight w:val="none"/>
          <w:lang w:val="en-US" w:eastAsia="zh-CN" w:bidi="ar-SA"/>
        </w:rPr>
        <w:t>煤沥青储罐2座、1000m</w:t>
      </w:r>
      <w:r>
        <w:rPr>
          <w:rFonts w:hint="eastAsia" w:ascii="宋体" w:eastAsia="宋体" w:cs="宋体"/>
          <w:b w:val="0"/>
          <w:color w:val="auto"/>
          <w:kern w:val="2"/>
          <w:sz w:val="24"/>
          <w:szCs w:val="24"/>
          <w:highlight w:val="none"/>
          <w:vertAlign w:val="superscript"/>
          <w:lang w:val="en-US" w:eastAsia="zh-CN" w:bidi="ar-SA"/>
        </w:rPr>
        <w:t>3</w:t>
      </w:r>
      <w:r>
        <w:rPr>
          <w:rFonts w:hint="eastAsia" w:ascii="宋体" w:eastAsia="宋体" w:cs="宋体"/>
          <w:b w:val="0"/>
          <w:color w:val="auto"/>
          <w:kern w:val="2"/>
          <w:sz w:val="24"/>
          <w:szCs w:val="24"/>
          <w:highlight w:val="none"/>
          <w:lang w:val="en-US" w:eastAsia="zh-CN" w:bidi="ar-SA"/>
        </w:rPr>
        <w:t>轻烃2储罐2座、2000m</w:t>
      </w:r>
      <w:r>
        <w:rPr>
          <w:rFonts w:hint="eastAsia" w:ascii="宋体" w:eastAsia="宋体" w:cs="宋体"/>
          <w:b w:val="0"/>
          <w:color w:val="auto"/>
          <w:kern w:val="2"/>
          <w:sz w:val="24"/>
          <w:szCs w:val="24"/>
          <w:highlight w:val="none"/>
          <w:vertAlign w:val="superscript"/>
          <w:lang w:val="en-US" w:eastAsia="zh-CN" w:bidi="ar-SA"/>
        </w:rPr>
        <w:t>3</w:t>
      </w:r>
      <w:r>
        <w:rPr>
          <w:rFonts w:hint="eastAsia" w:ascii="宋体" w:eastAsia="宋体" w:cs="宋体"/>
          <w:b w:val="0"/>
          <w:color w:val="auto"/>
          <w:kern w:val="2"/>
          <w:sz w:val="24"/>
          <w:szCs w:val="24"/>
          <w:highlight w:val="none"/>
          <w:lang w:val="en-US" w:eastAsia="zh-CN" w:bidi="ar-SA"/>
        </w:rPr>
        <w:t>含酚油储罐2座、2000m</w:t>
      </w:r>
      <w:r>
        <w:rPr>
          <w:rFonts w:hint="eastAsia" w:ascii="宋体" w:eastAsia="宋体" w:cs="宋体"/>
          <w:b w:val="0"/>
          <w:color w:val="auto"/>
          <w:kern w:val="2"/>
          <w:sz w:val="24"/>
          <w:szCs w:val="24"/>
          <w:highlight w:val="none"/>
          <w:vertAlign w:val="superscript"/>
          <w:lang w:val="en-US" w:eastAsia="zh-CN" w:bidi="ar-SA"/>
        </w:rPr>
        <w:t>3</w:t>
      </w:r>
      <w:r>
        <w:rPr>
          <w:rFonts w:hint="eastAsia" w:ascii="宋体" w:eastAsia="宋体" w:cs="宋体"/>
          <w:b w:val="0"/>
          <w:color w:val="auto"/>
          <w:kern w:val="2"/>
          <w:sz w:val="24"/>
          <w:szCs w:val="24"/>
          <w:highlight w:val="none"/>
          <w:lang w:val="en-US" w:eastAsia="zh-CN" w:bidi="ar-SA"/>
        </w:rPr>
        <w:t>洗油储罐2座、3000m</w:t>
      </w:r>
      <w:r>
        <w:rPr>
          <w:rFonts w:hint="eastAsia" w:ascii="宋体" w:eastAsia="宋体" w:cs="宋体"/>
          <w:b w:val="0"/>
          <w:color w:val="auto"/>
          <w:kern w:val="2"/>
          <w:sz w:val="24"/>
          <w:szCs w:val="24"/>
          <w:highlight w:val="none"/>
          <w:vertAlign w:val="superscript"/>
          <w:lang w:val="en-US" w:eastAsia="zh-CN" w:bidi="ar-SA"/>
        </w:rPr>
        <w:t>3</w:t>
      </w:r>
      <w:r>
        <w:rPr>
          <w:rFonts w:hint="eastAsia" w:ascii="宋体" w:eastAsia="宋体" w:cs="宋体"/>
          <w:b w:val="0"/>
          <w:color w:val="auto"/>
          <w:kern w:val="2"/>
          <w:sz w:val="24"/>
          <w:szCs w:val="24"/>
          <w:highlight w:val="none"/>
          <w:lang w:val="en-US" w:eastAsia="zh-CN" w:bidi="ar-SA"/>
        </w:rPr>
        <w:t>蒽油储罐2座、1000m</w:t>
      </w:r>
      <w:r>
        <w:rPr>
          <w:rFonts w:hint="eastAsia" w:ascii="宋体" w:eastAsia="宋体" w:cs="宋体"/>
          <w:b w:val="0"/>
          <w:color w:val="auto"/>
          <w:kern w:val="2"/>
          <w:sz w:val="24"/>
          <w:szCs w:val="24"/>
          <w:highlight w:val="none"/>
          <w:vertAlign w:val="superscript"/>
          <w:lang w:val="en-US" w:eastAsia="zh-CN" w:bidi="ar-SA"/>
        </w:rPr>
        <w:t>3</w:t>
      </w:r>
      <w:r>
        <w:rPr>
          <w:rFonts w:hint="eastAsia" w:ascii="宋体" w:eastAsia="宋体" w:cs="宋体"/>
          <w:b w:val="0"/>
          <w:color w:val="auto"/>
          <w:kern w:val="2"/>
          <w:sz w:val="24"/>
          <w:szCs w:val="24"/>
          <w:highlight w:val="none"/>
          <w:lang w:val="en-US" w:eastAsia="zh-CN" w:bidi="ar-SA"/>
        </w:rPr>
        <w:t>粗酚储罐2座，其中当前在用的煤沥青储罐、轻烃2储罐将于2025年停用，粗酚储罐将改造为轻烃2储罐、将另建造2台煤沥青储罐投入使用。</w:t>
      </w:r>
    </w:p>
    <w:p w14:paraId="46EE4C04">
      <w:pPr>
        <w:pStyle w:val="3"/>
        <w:ind w:firstLine="480" w:firstLineChars="200"/>
        <w:rPr>
          <w:rFonts w:hint="eastAsia" w:ascii="宋体" w:eastAsia="宋体" w:cs="宋体"/>
          <w:b w:val="0"/>
          <w:color w:val="auto"/>
          <w:kern w:val="2"/>
          <w:sz w:val="24"/>
          <w:szCs w:val="24"/>
          <w:highlight w:val="none"/>
          <w:lang w:val="en-US" w:eastAsia="zh-CN" w:bidi="ar-SA"/>
        </w:rPr>
      </w:pPr>
      <w:r>
        <w:rPr>
          <w:rFonts w:hint="eastAsia" w:ascii="宋体" w:eastAsia="宋体" w:cs="宋体"/>
          <w:b w:val="0"/>
          <w:color w:val="auto"/>
          <w:kern w:val="2"/>
          <w:sz w:val="24"/>
          <w:szCs w:val="24"/>
          <w:highlight w:val="none"/>
          <w:lang w:val="en-US" w:eastAsia="zh-CN" w:bidi="ar-SA"/>
        </w:rPr>
        <w:t>储罐区各常压储罐均设置有自力式调节阀组用于维持储罐压力，设置有油气收集管线回收处理储罐呼出的有机废气，在油气回收处理设施不能及时收集处置储罐油气时，储罐压力超出呼吸阀呼气压力时将对空排放有机废气，各储罐均设置有事故泄压设备（呼吸人孔）用于异常或事故状态下的储罐“呼吸”。</w:t>
      </w:r>
    </w:p>
    <w:p w14:paraId="03ECB553">
      <w:pPr>
        <w:pStyle w:val="3"/>
        <w:ind w:firstLine="480" w:firstLineChars="200"/>
        <w:rPr>
          <w:rFonts w:hint="eastAsia" w:ascii="宋体" w:eastAsia="宋体" w:cs="宋体"/>
          <w:b w:val="0"/>
          <w:color w:val="auto"/>
          <w:kern w:val="2"/>
          <w:sz w:val="24"/>
          <w:szCs w:val="24"/>
          <w:highlight w:val="none"/>
          <w:lang w:val="en-US" w:eastAsia="zh-CN" w:bidi="ar-SA"/>
        </w:rPr>
      </w:pPr>
      <w:r>
        <w:rPr>
          <w:rFonts w:hint="eastAsia" w:ascii="宋体" w:eastAsia="宋体" w:cs="宋体"/>
          <w:b w:val="0"/>
          <w:color w:val="auto"/>
          <w:kern w:val="2"/>
          <w:sz w:val="24"/>
          <w:szCs w:val="24"/>
          <w:highlight w:val="none"/>
          <w:lang w:val="en-US" w:eastAsia="zh-CN" w:bidi="ar-SA"/>
        </w:rPr>
        <w:t>为提高净化储运罐区各储罐的安全性能，本项目对储罐的呼吸系统进行安全性改造：（1）取消储罐阻火式单呼阀的设置，替换为罐口设置的耐烧型阻火器，或替换与储罐呼气需求相匹配的阻火式单呼阀。（运行实际反应，当前正在使用的阻火式单呼阀通气量小，不能及时排出储罐内超量的油气。）（2）更换各常压立式储罐呼吸阀为低泄漏呼吸阀。（3）更换各常压立式储罐呼吸人孔，已满足泄漏率要求。（4）储运罐区各常压立式储罐油气管线上增设稳定爆轰型阻火器。</w:t>
      </w:r>
    </w:p>
    <w:p w14:paraId="020209E3">
      <w:pPr>
        <w:pStyle w:val="3"/>
        <w:ind w:firstLine="480" w:firstLineChars="200"/>
        <w:rPr>
          <w:rFonts w:hint="default" w:ascii="宋体" w:eastAsia="宋体" w:cs="宋体"/>
          <w:b w:val="0"/>
          <w:color w:val="auto"/>
          <w:kern w:val="2"/>
          <w:sz w:val="24"/>
          <w:szCs w:val="24"/>
          <w:highlight w:val="none"/>
          <w:lang w:val="en-US" w:eastAsia="zh-CN" w:bidi="ar-SA"/>
        </w:rPr>
      </w:pPr>
      <w:r>
        <w:rPr>
          <w:rFonts w:hint="eastAsia" w:ascii="宋体" w:eastAsia="宋体" w:cs="宋体"/>
          <w:b w:val="0"/>
          <w:color w:val="auto"/>
          <w:kern w:val="2"/>
          <w:sz w:val="24"/>
          <w:szCs w:val="24"/>
          <w:highlight w:val="none"/>
          <w:lang w:val="en-US" w:eastAsia="zh-CN" w:bidi="ar-SA"/>
        </w:rPr>
        <w:t>综上所述，净化车间需采购33台低泄漏呼吸阀、11台阻火器、20台紧急泄放阀，以解决此问题。</w:t>
      </w:r>
    </w:p>
    <w:p w14:paraId="634A129E">
      <w:pPr>
        <w:pStyle w:val="4"/>
        <w:snapToGrid w:val="0"/>
        <w:spacing w:line="360" w:lineRule="auto"/>
        <w:ind w:right="105" w:rightChars="50"/>
        <w:rPr>
          <w:rFonts w:ascii="宋体" w:hAnsi="宋体" w:cs="宋体"/>
          <w:color w:val="auto"/>
          <w:sz w:val="24"/>
          <w:highlight w:val="none"/>
        </w:rPr>
      </w:pPr>
      <w:r>
        <w:rPr>
          <w:rFonts w:hint="eastAsia" w:ascii="宋体" w:hAnsi="宋体" w:cs="宋体"/>
          <w:color w:val="auto"/>
          <w:sz w:val="24"/>
          <w:highlight w:val="none"/>
        </w:rPr>
        <w:t>1.</w:t>
      </w:r>
      <w:r>
        <w:rPr>
          <w:rFonts w:hint="eastAsia" w:ascii="宋体" w:hAnsi="宋体" w:cs="宋体"/>
          <w:color w:val="auto"/>
          <w:sz w:val="24"/>
          <w:highlight w:val="none"/>
          <w:lang w:val="en-US" w:eastAsia="zh-CN"/>
        </w:rPr>
        <w:t>12</w:t>
      </w:r>
      <w:r>
        <w:rPr>
          <w:rFonts w:hint="eastAsia" w:ascii="宋体" w:hAnsi="宋体" w:cs="宋体"/>
          <w:color w:val="auto"/>
          <w:sz w:val="24"/>
          <w:highlight w:val="none"/>
        </w:rPr>
        <w:t>运行条件</w:t>
      </w:r>
    </w:p>
    <w:p w14:paraId="1365944B">
      <w:pPr>
        <w:pStyle w:val="4"/>
        <w:snapToGrid w:val="0"/>
        <w:spacing w:line="360" w:lineRule="auto"/>
        <w:ind w:right="105" w:rightChars="50"/>
        <w:rPr>
          <w:rFonts w:ascii="宋体" w:hAnsi="宋体" w:cs="宋体"/>
          <w:color w:val="auto"/>
          <w:sz w:val="24"/>
          <w:highlight w:val="none"/>
        </w:rPr>
      </w:pPr>
      <w:r>
        <w:rPr>
          <w:rFonts w:hint="eastAsia" w:ascii="宋体" w:hAnsi="宋体" w:cs="宋体"/>
          <w:color w:val="auto"/>
          <w:sz w:val="24"/>
          <w:highlight w:val="none"/>
        </w:rPr>
        <w:t>1.1</w:t>
      </w:r>
      <w:r>
        <w:rPr>
          <w:rFonts w:hint="eastAsia" w:ascii="宋体" w:hAnsi="宋体" w:cs="宋体"/>
          <w:color w:val="auto"/>
          <w:sz w:val="24"/>
          <w:highlight w:val="none"/>
          <w:lang w:val="en-US" w:eastAsia="zh-CN"/>
        </w:rPr>
        <w:t>2</w:t>
      </w:r>
      <w:r>
        <w:rPr>
          <w:rFonts w:hint="eastAsia" w:ascii="宋体" w:hAnsi="宋体" w:cs="宋体"/>
          <w:color w:val="auto"/>
          <w:sz w:val="24"/>
          <w:highlight w:val="none"/>
        </w:rPr>
        <w:t>.1</w:t>
      </w:r>
      <w:r>
        <w:rPr>
          <w:rFonts w:ascii="宋体" w:hAnsi="宋体" w:cs="宋体"/>
          <w:color w:val="auto"/>
          <w:sz w:val="24"/>
          <w:highlight w:val="none"/>
        </w:rPr>
        <w:t>正常运行条件</w:t>
      </w:r>
    </w:p>
    <w:p w14:paraId="1BA52D09">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 xml:space="preserve">平均气温                 9.2℃ </w:t>
      </w:r>
    </w:p>
    <w:p w14:paraId="50FEA7E0">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 xml:space="preserve">七月最高气温             38.7℃ </w:t>
      </w:r>
    </w:p>
    <w:p w14:paraId="124A4EE5">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一月最低气温             -40.4℃</w:t>
      </w:r>
    </w:p>
    <w:p w14:paraId="20985058">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 xml:space="preserve">年平均蒸发量             1631mm </w:t>
      </w:r>
    </w:p>
    <w:p w14:paraId="3FB467A1">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 xml:space="preserve">年平均降水量             264mm </w:t>
      </w:r>
    </w:p>
    <w:p w14:paraId="0D025DDC">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 xml:space="preserve">最大年份                 470.5mm </w:t>
      </w:r>
    </w:p>
    <w:p w14:paraId="6249AC7C">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 xml:space="preserve">最小年份                  137.6mm </w:t>
      </w:r>
    </w:p>
    <w:p w14:paraId="1FB958C3">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 xml:space="preserve">30年一遇最大日降水量     35.7mm </w:t>
      </w:r>
    </w:p>
    <w:p w14:paraId="67CC5579">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 xml:space="preserve">年平均日降水量大于        10mm日数为4天 </w:t>
      </w:r>
    </w:p>
    <w:p w14:paraId="06342797">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 xml:space="preserve">空气平均相对湿度为        65% </w:t>
      </w:r>
    </w:p>
    <w:p w14:paraId="1B489D96">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 xml:space="preserve">最大积雪厚度              89cm </w:t>
      </w:r>
    </w:p>
    <w:p w14:paraId="53A1C0F3">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 xml:space="preserve">最大冻土层厚度            120cm </w:t>
      </w:r>
    </w:p>
    <w:p w14:paraId="5AB32F44">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 xml:space="preserve">基本雪压为                1.15kN/m 。 </w:t>
      </w:r>
    </w:p>
    <w:p w14:paraId="7E0E4AD7">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 xml:space="preserve">常年主导风向              东风和偏西风 </w:t>
      </w:r>
    </w:p>
    <w:p w14:paraId="70BCA639">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 xml:space="preserve">极端最大风速              40m/s </w:t>
      </w:r>
    </w:p>
    <w:p w14:paraId="0457CD4B">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基本风压                  0.7kN/m</w:t>
      </w:r>
    </w:p>
    <w:p w14:paraId="14DE28E7">
      <w:pPr>
        <w:pStyle w:val="4"/>
        <w:snapToGrid w:val="0"/>
        <w:spacing w:line="360" w:lineRule="auto"/>
        <w:ind w:right="105" w:rightChars="50"/>
        <w:rPr>
          <w:rFonts w:ascii="宋体" w:hAnsi="宋体" w:cs="宋体"/>
          <w:color w:val="auto"/>
          <w:sz w:val="24"/>
          <w:highlight w:val="none"/>
        </w:rPr>
      </w:pPr>
      <w:r>
        <w:rPr>
          <w:rFonts w:hint="eastAsia" w:ascii="宋体" w:hAnsi="宋体" w:cs="宋体"/>
          <w:color w:val="auto"/>
          <w:sz w:val="24"/>
          <w:highlight w:val="none"/>
        </w:rPr>
        <w:t>1.1</w:t>
      </w:r>
      <w:r>
        <w:rPr>
          <w:rFonts w:hint="eastAsia" w:ascii="宋体" w:hAnsi="宋体" w:cs="宋体"/>
          <w:color w:val="auto"/>
          <w:sz w:val="24"/>
          <w:highlight w:val="none"/>
          <w:lang w:val="en-US" w:eastAsia="zh-CN"/>
        </w:rPr>
        <w:t>2</w:t>
      </w:r>
      <w:r>
        <w:rPr>
          <w:rFonts w:ascii="宋体" w:hAnsi="宋体" w:cs="宋体"/>
          <w:color w:val="auto"/>
          <w:sz w:val="24"/>
          <w:highlight w:val="none"/>
        </w:rPr>
        <w:t>.2其他运行条件</w:t>
      </w:r>
    </w:p>
    <w:p w14:paraId="48B449DE">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年平均温度： 9.0℃</w:t>
      </w:r>
    </w:p>
    <w:p w14:paraId="01F96926">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极端最高温度： 39.2℃</w:t>
      </w:r>
    </w:p>
    <w:p w14:paraId="051EAD52">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极端最低温度： -36℃</w:t>
      </w:r>
    </w:p>
    <w:p w14:paraId="2A39627F">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月平均最低气温最低值： -16.5℃</w:t>
      </w:r>
    </w:p>
    <w:p w14:paraId="720DE33D">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最冷日的平均温度： -21.7℃</w:t>
      </w:r>
    </w:p>
    <w:p w14:paraId="6945DBBA">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气压年平均： 941.7hPa</w:t>
      </w:r>
    </w:p>
    <w:p w14:paraId="15CF1087">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雪压： 1.0kPa</w:t>
      </w:r>
    </w:p>
    <w:p w14:paraId="64FF83C5">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风： 0.6kPa</w:t>
      </w:r>
    </w:p>
    <w:p w14:paraId="3BEE2F33">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地震裂度： 7 度（里氏）</w:t>
      </w:r>
    </w:p>
    <w:p w14:paraId="1D60D122">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场地土类型： Ⅱ类（一区），Ⅲ类（二区）</w:t>
      </w:r>
    </w:p>
    <w:p w14:paraId="3BDF2F65">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地震分组： 第三组</w:t>
      </w:r>
    </w:p>
    <w:p w14:paraId="5A9D08D6">
      <w:pPr>
        <w:pStyle w:val="4"/>
        <w:snapToGrid w:val="0"/>
        <w:spacing w:line="360" w:lineRule="auto"/>
        <w:ind w:right="105" w:rightChars="50"/>
        <w:rPr>
          <w:rFonts w:ascii="宋体" w:hAnsi="宋体" w:cs="宋体"/>
          <w:color w:val="auto"/>
          <w:sz w:val="24"/>
          <w:highlight w:val="none"/>
        </w:rPr>
      </w:pPr>
      <w:r>
        <w:rPr>
          <w:rFonts w:ascii="宋体" w:hAnsi="宋体" w:cs="宋体"/>
          <w:color w:val="auto"/>
          <w:sz w:val="24"/>
          <w:highlight w:val="none"/>
        </w:rPr>
        <w:t>地震加速度： 0.15g</w:t>
      </w:r>
      <w:bookmarkEnd w:id="8"/>
      <w:bookmarkEnd w:id="9"/>
    </w:p>
    <w:p w14:paraId="6F505F30">
      <w:pPr>
        <w:pStyle w:val="3"/>
        <w:rPr>
          <w:rFonts w:hint="default" w:ascii="宋体" w:hAnsi="宋体" w:eastAsia="宋体" w:cs="宋体"/>
          <w:b w:val="0"/>
          <w:color w:val="auto"/>
          <w:kern w:val="2"/>
          <w:sz w:val="24"/>
          <w:szCs w:val="24"/>
          <w:highlight w:val="none"/>
          <w:lang w:val="en-US" w:eastAsia="zh-CN" w:bidi="ar-SA"/>
        </w:rPr>
      </w:pPr>
      <w:r>
        <w:rPr>
          <w:rFonts w:hint="eastAsia" w:ascii="宋体" w:hAnsi="宋体" w:eastAsia="宋体" w:cs="宋体"/>
          <w:b w:val="0"/>
          <w:color w:val="auto"/>
          <w:kern w:val="2"/>
          <w:sz w:val="24"/>
          <w:szCs w:val="24"/>
          <w:highlight w:val="none"/>
          <w:lang w:val="en-US" w:eastAsia="zh-CN" w:bidi="ar-SA"/>
        </w:rPr>
        <w:t xml:space="preserve">1.12.3 </w:t>
      </w:r>
      <w:r>
        <w:rPr>
          <w:rFonts w:hint="eastAsia" w:ascii="宋体" w:eastAsia="宋体" w:cs="宋体"/>
          <w:b w:val="0"/>
          <w:color w:val="auto"/>
          <w:kern w:val="2"/>
          <w:sz w:val="24"/>
          <w:szCs w:val="24"/>
          <w:highlight w:val="none"/>
          <w:lang w:val="en-US" w:eastAsia="zh-CN" w:bidi="ar-SA"/>
        </w:rPr>
        <w:t>呼吸阀、阻火器、紧急泄放阀工艺运行参数详见数据表</w:t>
      </w:r>
    </w:p>
    <w:p w14:paraId="45AF5FB6">
      <w:pPr>
        <w:pStyle w:val="4"/>
        <w:spacing w:line="360" w:lineRule="auto"/>
        <w:jc w:val="left"/>
        <w:outlineLvl w:val="0"/>
        <w:rPr>
          <w:b/>
          <w:color w:val="auto"/>
          <w:sz w:val="30"/>
          <w:szCs w:val="30"/>
          <w:highlight w:val="none"/>
        </w:rPr>
      </w:pPr>
      <w:bookmarkStart w:id="10" w:name="_Toc6676"/>
      <w:r>
        <w:rPr>
          <w:rFonts w:hint="eastAsia" w:ascii="宋体" w:hAnsi="宋体" w:cs="宋体"/>
          <w:b/>
          <w:color w:val="auto"/>
          <w:sz w:val="32"/>
          <w:szCs w:val="32"/>
          <w:highlight w:val="none"/>
        </w:rPr>
        <w:t>2 、</w:t>
      </w:r>
      <w:r>
        <w:rPr>
          <w:rFonts w:hint="eastAsia"/>
          <w:b/>
          <w:color w:val="auto"/>
          <w:sz w:val="30"/>
          <w:szCs w:val="30"/>
          <w:highlight w:val="none"/>
        </w:rPr>
        <w:t>产品</w:t>
      </w:r>
      <w:r>
        <w:rPr>
          <w:b/>
          <w:color w:val="auto"/>
          <w:sz w:val="30"/>
          <w:szCs w:val="30"/>
          <w:highlight w:val="none"/>
        </w:rPr>
        <w:t>设计、制造、检验</w:t>
      </w:r>
      <w:r>
        <w:rPr>
          <w:rFonts w:hint="eastAsia"/>
          <w:b/>
          <w:color w:val="auto"/>
          <w:sz w:val="30"/>
          <w:szCs w:val="30"/>
          <w:highlight w:val="none"/>
        </w:rPr>
        <w:t>和验收标准</w:t>
      </w:r>
      <w:bookmarkEnd w:id="10"/>
    </w:p>
    <w:p w14:paraId="516DEDF9">
      <w:pPr>
        <w:pStyle w:val="4"/>
        <w:spacing w:line="360" w:lineRule="auto"/>
        <w:ind w:firstLine="480" w:firstLineChars="200"/>
        <w:rPr>
          <w:rFonts w:ascii="宋体" w:hAnsi="宋体"/>
          <w:color w:val="auto"/>
          <w:sz w:val="24"/>
          <w:highlight w:val="none"/>
        </w:rPr>
      </w:pPr>
      <w:r>
        <w:rPr>
          <w:rFonts w:hint="eastAsia" w:ascii="宋体" w:hAnsi="宋体"/>
          <w:color w:val="auto"/>
          <w:sz w:val="24"/>
          <w:highlight w:val="none"/>
        </w:rPr>
        <w:t>呼吸阀、阻火器、紧急泄放阀设计、制造、检验和试验应按照下列标准及规范的最新版本执行，但不限于下列标准和规范，包括它们的附件。</w:t>
      </w:r>
    </w:p>
    <w:p w14:paraId="0585E2CD">
      <w:pPr>
        <w:pStyle w:val="4"/>
        <w:spacing w:line="360" w:lineRule="auto"/>
        <w:rPr>
          <w:rFonts w:ascii="宋体" w:hAnsi="宋体"/>
          <w:color w:val="auto"/>
          <w:sz w:val="24"/>
          <w:highlight w:val="none"/>
        </w:rPr>
      </w:pPr>
      <w:r>
        <w:rPr>
          <w:rFonts w:hint="eastAsia" w:ascii="宋体" w:hAnsi="宋体"/>
          <w:color w:val="auto"/>
          <w:sz w:val="24"/>
          <w:highlight w:val="none"/>
        </w:rPr>
        <w:t>GB/T50759  油气回收处理设施技术标准</w:t>
      </w:r>
    </w:p>
    <w:p w14:paraId="49E7424E">
      <w:pPr>
        <w:pStyle w:val="4"/>
        <w:spacing w:line="360" w:lineRule="auto"/>
        <w:rPr>
          <w:rFonts w:ascii="宋体" w:hAnsi="宋体"/>
          <w:color w:val="auto"/>
          <w:sz w:val="24"/>
          <w:highlight w:val="none"/>
        </w:rPr>
      </w:pPr>
      <w:r>
        <w:rPr>
          <w:rFonts w:hint="eastAsia" w:ascii="宋体" w:hAnsi="宋体"/>
          <w:color w:val="auto"/>
          <w:sz w:val="24"/>
          <w:highlight w:val="none"/>
        </w:rPr>
        <w:t>Directive 2014/34/EU(ATEX)  应用于爆炸环境中的保护系统/设备指令要求</w:t>
      </w:r>
    </w:p>
    <w:p w14:paraId="77FC4AAE">
      <w:pPr>
        <w:pStyle w:val="4"/>
        <w:spacing w:line="360" w:lineRule="auto"/>
        <w:rPr>
          <w:rFonts w:ascii="宋体" w:hAnsi="宋体"/>
          <w:color w:val="auto"/>
          <w:sz w:val="24"/>
          <w:highlight w:val="none"/>
        </w:rPr>
      </w:pPr>
      <w:r>
        <w:rPr>
          <w:rFonts w:hint="eastAsia" w:ascii="宋体" w:hAnsi="宋体"/>
          <w:color w:val="auto"/>
          <w:sz w:val="24"/>
          <w:highlight w:val="none"/>
        </w:rPr>
        <w:t>ISO16852</w:t>
      </w:r>
      <w:r>
        <w:rPr>
          <w:rFonts w:ascii="宋体" w:hAnsi="宋体"/>
          <w:color w:val="auto"/>
          <w:sz w:val="24"/>
          <w:highlight w:val="none"/>
        </w:rPr>
        <w:t xml:space="preserve"> </w:t>
      </w:r>
      <w:r>
        <w:rPr>
          <w:rFonts w:hint="eastAsia" w:ascii="宋体" w:hAnsi="宋体"/>
          <w:color w:val="auto"/>
          <w:sz w:val="24"/>
          <w:highlight w:val="none"/>
        </w:rPr>
        <w:t>阻火器的性能要求、测试方法和使用限制</w:t>
      </w:r>
    </w:p>
    <w:p w14:paraId="12F6D5B1">
      <w:pPr>
        <w:pStyle w:val="4"/>
        <w:spacing w:line="360" w:lineRule="auto"/>
        <w:rPr>
          <w:rFonts w:ascii="宋体" w:hAnsi="宋体"/>
          <w:color w:val="auto"/>
          <w:sz w:val="24"/>
          <w:highlight w:val="none"/>
        </w:rPr>
      </w:pPr>
      <w:r>
        <w:rPr>
          <w:rFonts w:hint="eastAsia" w:ascii="宋体" w:hAnsi="宋体"/>
          <w:color w:val="auto"/>
          <w:sz w:val="24"/>
          <w:highlight w:val="none"/>
        </w:rPr>
        <w:t>ISO28300  石油、石化和天然气行业常压和低压储罐的通风</w:t>
      </w:r>
    </w:p>
    <w:p w14:paraId="0E8991CC">
      <w:pPr>
        <w:pStyle w:val="4"/>
        <w:spacing w:line="360" w:lineRule="auto"/>
        <w:rPr>
          <w:rFonts w:ascii="宋体" w:hAnsi="宋体"/>
          <w:color w:val="auto"/>
          <w:sz w:val="24"/>
          <w:highlight w:val="none"/>
        </w:rPr>
      </w:pPr>
      <w:r>
        <w:rPr>
          <w:rFonts w:hint="eastAsia" w:ascii="宋体" w:hAnsi="宋体"/>
          <w:color w:val="auto"/>
          <w:sz w:val="24"/>
          <w:highlight w:val="none"/>
        </w:rPr>
        <w:t>API2000 常压和低压储罐的排放</w:t>
      </w:r>
    </w:p>
    <w:p w14:paraId="2569DE3E">
      <w:pPr>
        <w:pStyle w:val="4"/>
        <w:spacing w:line="360" w:lineRule="auto"/>
        <w:rPr>
          <w:rFonts w:ascii="宋体" w:hAnsi="宋体"/>
          <w:color w:val="auto"/>
          <w:sz w:val="24"/>
          <w:highlight w:val="none"/>
        </w:rPr>
      </w:pPr>
      <w:r>
        <w:rPr>
          <w:rFonts w:hint="eastAsia" w:ascii="宋体" w:hAnsi="宋体"/>
          <w:color w:val="auto"/>
          <w:sz w:val="24"/>
          <w:highlight w:val="none"/>
        </w:rPr>
        <w:t>PD CEN/TR 16793阻火器的选型、应用和使用指南</w:t>
      </w:r>
    </w:p>
    <w:p w14:paraId="07C96896">
      <w:pPr>
        <w:pStyle w:val="4"/>
        <w:spacing w:line="360" w:lineRule="auto"/>
        <w:rPr>
          <w:rFonts w:ascii="宋体" w:hAnsi="宋体"/>
          <w:color w:val="auto"/>
          <w:sz w:val="24"/>
          <w:highlight w:val="none"/>
        </w:rPr>
      </w:pPr>
      <w:r>
        <w:rPr>
          <w:rFonts w:hint="eastAsia" w:ascii="宋体" w:hAnsi="宋体"/>
          <w:color w:val="auto"/>
          <w:sz w:val="24"/>
          <w:highlight w:val="none"/>
        </w:rPr>
        <w:t>IEC60079  爆炸性气体环境中的电力设备</w:t>
      </w:r>
    </w:p>
    <w:p w14:paraId="2409B3AD">
      <w:pPr>
        <w:pStyle w:val="4"/>
        <w:spacing w:line="360" w:lineRule="auto"/>
        <w:rPr>
          <w:rFonts w:ascii="宋体" w:hAnsi="宋体"/>
          <w:color w:val="auto"/>
          <w:sz w:val="24"/>
          <w:highlight w:val="none"/>
        </w:rPr>
      </w:pPr>
      <w:r>
        <w:rPr>
          <w:rFonts w:hint="eastAsia" w:ascii="宋体" w:hAnsi="宋体"/>
          <w:color w:val="auto"/>
          <w:sz w:val="24"/>
          <w:highlight w:val="none"/>
        </w:rPr>
        <w:t>SH3413  石油化工石油气管道阻火器选用、检验及验收标准</w:t>
      </w:r>
    </w:p>
    <w:p w14:paraId="5E068F45">
      <w:pPr>
        <w:pStyle w:val="4"/>
        <w:spacing w:line="360" w:lineRule="auto"/>
        <w:rPr>
          <w:rFonts w:ascii="宋体" w:hAnsi="宋体"/>
          <w:color w:val="auto"/>
          <w:sz w:val="24"/>
          <w:highlight w:val="none"/>
        </w:rPr>
      </w:pPr>
      <w:r>
        <w:rPr>
          <w:rFonts w:hint="eastAsia" w:ascii="宋体" w:hAnsi="宋体"/>
          <w:color w:val="auto"/>
          <w:sz w:val="24"/>
          <w:highlight w:val="none"/>
        </w:rPr>
        <w:t>GB/T 20801.6 压力管道规范 工业管道 第6部分：安全防护</w:t>
      </w:r>
    </w:p>
    <w:p w14:paraId="4FDAFED1">
      <w:pPr>
        <w:pStyle w:val="4"/>
        <w:spacing w:line="360" w:lineRule="auto"/>
        <w:rPr>
          <w:rFonts w:ascii="宋体" w:hAnsi="宋体"/>
          <w:color w:val="auto"/>
          <w:sz w:val="24"/>
          <w:highlight w:val="none"/>
        </w:rPr>
      </w:pPr>
      <w:r>
        <w:rPr>
          <w:rFonts w:hint="eastAsia" w:ascii="宋体" w:hAnsi="宋体"/>
          <w:color w:val="auto"/>
          <w:sz w:val="24"/>
          <w:highlight w:val="none"/>
        </w:rPr>
        <w:t>SH/T3007 石油化工储运系统罐区设计规范</w:t>
      </w:r>
    </w:p>
    <w:p w14:paraId="0C055AC1">
      <w:pPr>
        <w:pStyle w:val="4"/>
        <w:spacing w:line="360" w:lineRule="auto"/>
        <w:rPr>
          <w:rFonts w:ascii="宋体" w:hAnsi="宋体"/>
          <w:color w:val="auto"/>
          <w:sz w:val="24"/>
          <w:highlight w:val="none"/>
        </w:rPr>
      </w:pPr>
      <w:r>
        <w:rPr>
          <w:rFonts w:hint="eastAsia" w:ascii="宋体" w:hAnsi="宋体"/>
          <w:color w:val="auto"/>
          <w:sz w:val="24"/>
          <w:highlight w:val="none"/>
        </w:rPr>
        <w:t>GB37822 挥发性有机物无组织排放控制标准</w:t>
      </w:r>
    </w:p>
    <w:p w14:paraId="66795CDB">
      <w:pPr>
        <w:pStyle w:val="4"/>
        <w:spacing w:line="360" w:lineRule="auto"/>
        <w:rPr>
          <w:rFonts w:ascii="宋体" w:hAnsi="宋体"/>
          <w:color w:val="auto"/>
          <w:sz w:val="24"/>
          <w:highlight w:val="none"/>
        </w:rPr>
      </w:pPr>
      <w:r>
        <w:rPr>
          <w:rFonts w:hint="eastAsia" w:ascii="宋体" w:hAnsi="宋体"/>
          <w:color w:val="auto"/>
          <w:sz w:val="24"/>
          <w:highlight w:val="none"/>
        </w:rPr>
        <w:t>GB50058  爆炸危险环境电力装置设计规范</w:t>
      </w:r>
    </w:p>
    <w:p w14:paraId="03013C57">
      <w:pPr>
        <w:pStyle w:val="4"/>
        <w:spacing w:line="360" w:lineRule="auto"/>
        <w:rPr>
          <w:rFonts w:ascii="宋体" w:hAnsi="宋体"/>
          <w:color w:val="auto"/>
          <w:sz w:val="24"/>
          <w:highlight w:val="none"/>
        </w:rPr>
      </w:pPr>
      <w:r>
        <w:rPr>
          <w:rFonts w:hint="eastAsia" w:ascii="宋体" w:hAnsi="宋体"/>
          <w:color w:val="auto"/>
          <w:sz w:val="24"/>
          <w:highlight w:val="none"/>
        </w:rPr>
        <w:t>SY/T0511 立式圆筒形钢制焊接储罐附件</w:t>
      </w:r>
    </w:p>
    <w:p w14:paraId="3C5BC16D">
      <w:pPr>
        <w:pStyle w:val="4"/>
        <w:spacing w:line="360" w:lineRule="auto"/>
        <w:rPr>
          <w:rFonts w:ascii="宋体" w:hAnsi="宋体"/>
          <w:color w:val="auto"/>
          <w:sz w:val="24"/>
          <w:highlight w:val="none"/>
        </w:rPr>
      </w:pPr>
      <w:r>
        <w:rPr>
          <w:rFonts w:hint="eastAsia" w:ascii="宋体" w:hAnsi="宋体"/>
          <w:color w:val="auto"/>
          <w:sz w:val="24"/>
          <w:highlight w:val="none"/>
        </w:rPr>
        <w:t>SH/T3406 石油化工钢制管法兰</w:t>
      </w:r>
      <w:r>
        <w:rPr>
          <w:rFonts w:hint="eastAsia" w:ascii="宋体" w:hAnsi="宋体"/>
          <w:color w:val="auto"/>
          <w:sz w:val="24"/>
          <w:highlight w:val="none"/>
        </w:rPr>
        <w:t>技术规范</w:t>
      </w:r>
    </w:p>
    <w:p w14:paraId="4CCBA9AD">
      <w:pPr>
        <w:pStyle w:val="4"/>
        <w:spacing w:line="360" w:lineRule="auto"/>
        <w:ind w:left="0" w:firstLine="0" w:firstLineChars="0"/>
        <w:rPr>
          <w:rFonts w:hint="eastAsia" w:ascii="宋体" w:hAnsi="宋体" w:cs="Times New Roman"/>
          <w:color w:val="auto"/>
          <w:sz w:val="24"/>
          <w:highlight w:val="none"/>
        </w:rPr>
      </w:pPr>
      <w:r>
        <w:rPr>
          <w:rFonts w:hint="eastAsia" w:ascii="宋体" w:hAnsi="宋体" w:cs="Times New Roman"/>
          <w:color w:val="auto"/>
          <w:sz w:val="24"/>
          <w:highlight w:val="none"/>
        </w:rPr>
        <w:t>GB/T3836.28爆炸性环境 第28部分：爆炸性环境用非电气设备 基本方法和要求</w:t>
      </w:r>
    </w:p>
    <w:p w14:paraId="142BFBBE">
      <w:pPr>
        <w:pStyle w:val="4"/>
        <w:spacing w:line="360" w:lineRule="auto"/>
        <w:ind w:left="0" w:firstLine="0" w:firstLineChars="0"/>
        <w:rPr>
          <w:rFonts w:hint="eastAsia" w:ascii="宋体" w:hAnsi="宋体" w:cs="Times New Roman"/>
          <w:color w:val="auto"/>
          <w:sz w:val="24"/>
          <w:highlight w:val="none"/>
        </w:rPr>
      </w:pPr>
      <w:r>
        <w:rPr>
          <w:rFonts w:hint="eastAsia" w:ascii="宋体" w:hAnsi="宋体" w:cs="Times New Roman"/>
          <w:color w:val="auto"/>
          <w:sz w:val="24"/>
          <w:highlight w:val="none"/>
        </w:rPr>
        <w:t>GB/T3836.29 爆炸性环境 第29部分：爆炸性环境用非电气设备 结构安全型“c”、控制点燃源型“b”、液浸型“k”</w:t>
      </w:r>
    </w:p>
    <w:p w14:paraId="50533703">
      <w:pPr>
        <w:pStyle w:val="4"/>
        <w:spacing w:line="360" w:lineRule="auto"/>
        <w:jc w:val="left"/>
        <w:rPr>
          <w:rFonts w:ascii="宋体" w:hAnsi="宋体"/>
          <w:color w:val="auto"/>
          <w:sz w:val="24"/>
          <w:highlight w:val="none"/>
        </w:rPr>
      </w:pPr>
      <w:r>
        <w:rPr>
          <w:rFonts w:hint="eastAsia" w:ascii="宋体" w:hAnsi="宋体"/>
          <w:color w:val="auto"/>
          <w:sz w:val="24"/>
          <w:highlight w:val="none"/>
        </w:rPr>
        <w:t>GB/T35077 机械安全 局部排气通风系统安全要求</w:t>
      </w:r>
    </w:p>
    <w:p w14:paraId="573B5C4F">
      <w:pPr>
        <w:pStyle w:val="4"/>
        <w:spacing w:line="360" w:lineRule="auto"/>
        <w:rPr>
          <w:rFonts w:hint="eastAsia" w:eastAsia="宋体"/>
          <w:color w:val="auto"/>
          <w:highlight w:val="none"/>
          <w:lang w:val="en-US" w:eastAsia="zh-CN"/>
        </w:rPr>
      </w:pPr>
      <w:r>
        <w:rPr>
          <w:rFonts w:hint="eastAsia" w:ascii="宋体" w:hAnsi="宋体"/>
          <w:color w:val="auto"/>
          <w:sz w:val="24"/>
          <w:highlight w:val="none"/>
        </w:rPr>
        <w:t>HG/T 20592</w:t>
      </w:r>
      <w:r>
        <w:rPr>
          <w:rFonts w:hint="eastAsia" w:ascii="宋体" w:hAnsi="宋体"/>
          <w:color w:val="auto"/>
          <w:sz w:val="24"/>
          <w:highlight w:val="none"/>
          <w:lang w:eastAsia="zh-CN"/>
        </w:rPr>
        <w:t>～</w:t>
      </w:r>
      <w:r>
        <w:rPr>
          <w:rFonts w:hint="eastAsia" w:ascii="宋体" w:hAnsi="宋体"/>
          <w:color w:val="auto"/>
          <w:sz w:val="24"/>
          <w:highlight w:val="none"/>
        </w:rPr>
        <w:t>20635</w:t>
      </w:r>
      <w:r>
        <w:rPr>
          <w:rFonts w:hint="eastAsia" w:ascii="宋体" w:hAnsi="宋体"/>
          <w:color w:val="auto"/>
          <w:sz w:val="24"/>
          <w:highlight w:val="none"/>
          <w:lang w:val="en-US" w:eastAsia="zh-CN"/>
        </w:rPr>
        <w:t xml:space="preserve"> 钢制管法兰.垫片.紧固件</w:t>
      </w:r>
    </w:p>
    <w:p w14:paraId="1BEB3C5E">
      <w:pPr>
        <w:pStyle w:val="4"/>
        <w:spacing w:line="360" w:lineRule="auto"/>
        <w:outlineLvl w:val="0"/>
        <w:rPr>
          <w:rFonts w:ascii="宋体" w:hAnsi="宋体" w:cs="宋体"/>
          <w:b/>
          <w:caps/>
          <w:color w:val="auto"/>
          <w:sz w:val="32"/>
          <w:szCs w:val="32"/>
          <w:highlight w:val="none"/>
        </w:rPr>
      </w:pPr>
      <w:bookmarkStart w:id="11" w:name="_Toc398"/>
      <w:r>
        <w:rPr>
          <w:rFonts w:hint="eastAsia" w:ascii="宋体" w:hAnsi="宋体" w:cs="宋体"/>
          <w:b/>
          <w:caps/>
          <w:color w:val="auto"/>
          <w:sz w:val="32"/>
          <w:szCs w:val="32"/>
          <w:highlight w:val="none"/>
        </w:rPr>
        <w:t>3、技术要求</w:t>
      </w:r>
      <w:bookmarkEnd w:id="11"/>
    </w:p>
    <w:p w14:paraId="3D2F3902">
      <w:pPr>
        <w:pStyle w:val="4"/>
        <w:widowControl/>
        <w:snapToGrid w:val="0"/>
        <w:spacing w:line="360" w:lineRule="auto"/>
        <w:rPr>
          <w:rFonts w:hint="eastAsia" w:ascii="宋体" w:hAnsi="宋体" w:eastAsia="宋体" w:cs="宋体"/>
          <w:color w:val="auto"/>
          <w:kern w:val="0"/>
          <w:sz w:val="24"/>
          <w:highlight w:val="none"/>
          <w:lang w:val="en-US" w:eastAsia="zh-CN"/>
        </w:rPr>
      </w:pPr>
      <w:r>
        <w:rPr>
          <w:rFonts w:hint="eastAsia" w:ascii="宋体" w:hAnsi="宋体" w:cs="宋体"/>
          <w:color w:val="auto"/>
          <w:kern w:val="0"/>
          <w:sz w:val="24"/>
          <w:highlight w:val="none"/>
        </w:rPr>
        <w:t>3.1投标人应提供整套的呼吸阀、阻火器、紧急泄放阀图纸（应有主要尺寸、接口条件和安装尺寸），呼吸阀</w:t>
      </w:r>
      <w:r>
        <w:rPr>
          <w:rFonts w:hint="eastAsia" w:ascii="宋体" w:hAnsi="宋体" w:cs="宋体"/>
          <w:color w:val="auto"/>
          <w:kern w:val="0"/>
          <w:sz w:val="24"/>
          <w:highlight w:val="none"/>
          <w:lang w:eastAsia="zh-CN"/>
        </w:rPr>
        <w:t>技术性能参数须</w:t>
      </w:r>
      <w:r>
        <w:rPr>
          <w:rFonts w:hint="eastAsia" w:ascii="宋体" w:hAnsi="宋体" w:cs="宋体"/>
          <w:color w:val="auto"/>
          <w:kern w:val="0"/>
          <w:sz w:val="24"/>
          <w:highlight w:val="none"/>
        </w:rPr>
        <w:t>符合</w:t>
      </w:r>
      <w:r>
        <w:rPr>
          <w:rFonts w:hint="eastAsia" w:ascii="宋体" w:hAnsi="宋体" w:cs="宋体"/>
          <w:color w:val="auto"/>
          <w:kern w:val="0"/>
          <w:sz w:val="24"/>
          <w:highlight w:val="none"/>
          <w:lang w:val="en-US" w:eastAsia="zh-CN"/>
        </w:rPr>
        <w:t>本</w:t>
      </w:r>
      <w:r>
        <w:rPr>
          <w:rFonts w:hint="eastAsia" w:ascii="宋体" w:hAnsi="宋体" w:cs="宋体"/>
          <w:color w:val="auto"/>
          <w:kern w:val="0"/>
          <w:sz w:val="24"/>
          <w:highlight w:val="none"/>
          <w:lang w:eastAsia="zh-CN"/>
        </w:rPr>
        <w:t>规范及所附</w:t>
      </w:r>
      <w:r>
        <w:rPr>
          <w:rFonts w:hint="eastAsia" w:ascii="宋体" w:hAnsi="宋体" w:cs="宋体"/>
          <w:color w:val="auto"/>
          <w:kern w:val="0"/>
          <w:sz w:val="24"/>
          <w:highlight w:val="none"/>
        </w:rPr>
        <w:t>数据表要求。</w:t>
      </w:r>
    </w:p>
    <w:p w14:paraId="0E5D48F7">
      <w:pPr>
        <w:pStyle w:val="4"/>
        <w:widowControl/>
        <w:snapToGrid w:val="0"/>
        <w:spacing w:line="360" w:lineRule="auto"/>
        <w:rPr>
          <w:rFonts w:ascii="宋体" w:hAnsi="宋体" w:cs="宋体"/>
          <w:b/>
          <w:bCs/>
          <w:color w:val="auto"/>
          <w:kern w:val="0"/>
          <w:sz w:val="24"/>
          <w:highlight w:val="none"/>
        </w:rPr>
      </w:pPr>
      <w:r>
        <w:rPr>
          <w:rFonts w:hint="eastAsia" w:ascii="宋体" w:hAnsi="宋体" w:cs="宋体"/>
          <w:b/>
          <w:bCs/>
          <w:color w:val="auto"/>
          <w:kern w:val="0"/>
          <w:sz w:val="24"/>
          <w:highlight w:val="none"/>
        </w:rPr>
        <w:t>3.2一体式阻火呼吸阀技术要求：</w:t>
      </w:r>
    </w:p>
    <w:p w14:paraId="00C88856">
      <w:pPr>
        <w:pStyle w:val="4"/>
        <w:widowControl/>
        <w:snapToGrid w:val="0"/>
        <w:spacing w:line="360" w:lineRule="auto"/>
        <w:rPr>
          <w:rFonts w:ascii="宋体" w:hAnsi="宋体" w:cs="宋体"/>
          <w:b/>
          <w:bCs/>
          <w:color w:val="auto"/>
          <w:kern w:val="0"/>
          <w:sz w:val="24"/>
          <w:highlight w:val="none"/>
        </w:rPr>
      </w:pPr>
      <w:r>
        <w:rPr>
          <w:rFonts w:hint="eastAsia" w:ascii="宋体" w:hAnsi="宋体" w:cs="宋体"/>
          <w:color w:val="auto"/>
          <w:kern w:val="0"/>
          <w:sz w:val="24"/>
          <w:highlight w:val="none"/>
        </w:rPr>
        <w:t>3.2.1阻火呼吸阀应为同轴或并列一体式，阻火盘应设置在呼吸阀的大气侧。</w:t>
      </w:r>
      <w:r>
        <w:rPr>
          <w:rFonts w:hint="eastAsia" w:ascii="宋体" w:hAnsi="宋体" w:cs="宋体"/>
          <w:b/>
          <w:bCs/>
          <w:color w:val="auto"/>
          <w:kern w:val="0"/>
          <w:sz w:val="24"/>
          <w:highlight w:val="none"/>
        </w:rPr>
        <w:t>阻火芯应采用金属波纹钢带板式，不得采用金属丝网式或压环式。</w:t>
      </w:r>
    </w:p>
    <w:p w14:paraId="05FBD7D3">
      <w:pPr>
        <w:pStyle w:val="4"/>
        <w:widowControl/>
        <w:snapToGrid w:val="0"/>
        <w:spacing w:line="360" w:lineRule="auto"/>
        <w:rPr>
          <w:rFonts w:hint="eastAsia" w:ascii="宋体" w:hAnsi="宋体" w:cs="宋体"/>
          <w:color w:val="auto"/>
          <w:kern w:val="0"/>
          <w:sz w:val="24"/>
          <w:highlight w:val="none"/>
        </w:rPr>
      </w:pPr>
      <w:r>
        <w:rPr>
          <w:rFonts w:hint="eastAsia" w:ascii="宋体" w:hAnsi="宋体" w:cs="宋体"/>
          <w:color w:val="auto"/>
          <w:kern w:val="0"/>
          <w:sz w:val="24"/>
          <w:highlight w:val="none"/>
        </w:rPr>
        <w:t>3.2.2一体式阻火呼吸阀产品和应用应符合ISO16852、PD CEN/TR16793、GB/T50759，应按照ISO16852标准整体进行阻火性能测试，呼吸阀阻火器应为耐烧大气爆燃型。</w:t>
      </w:r>
    </w:p>
    <w:p w14:paraId="44C63438">
      <w:pPr>
        <w:pStyle w:val="4"/>
        <w:widowControl/>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3.2.3一体式阻火呼吸阀应为满足GB/T35077《机械安全 局部排气通风系统安全要求》附录C中的低泄漏要求。在设定压力的85%时测定阀门的泄漏量，最大允许的泄漏量值为：阀门尺寸小于等于DN150：最大泄漏量为0.0017</w:t>
      </w:r>
      <w:r>
        <w:rPr>
          <w:rFonts w:hint="eastAsia" w:ascii="宋体" w:eastAsia="宋体" w:cs="宋体"/>
          <w:b w:val="0"/>
          <w:color w:val="auto"/>
          <w:kern w:val="2"/>
          <w:sz w:val="24"/>
          <w:szCs w:val="24"/>
          <w:highlight w:val="none"/>
          <w:lang w:val="en-US" w:eastAsia="zh-CN" w:bidi="ar-SA"/>
        </w:rPr>
        <w:t>m</w:t>
      </w:r>
      <w:r>
        <w:rPr>
          <w:rFonts w:hint="eastAsia" w:ascii="宋体" w:eastAsia="宋体" w:cs="宋体"/>
          <w:b w:val="0"/>
          <w:color w:val="auto"/>
          <w:kern w:val="2"/>
          <w:sz w:val="24"/>
          <w:szCs w:val="24"/>
          <w:highlight w:val="none"/>
          <w:vertAlign w:val="superscript"/>
          <w:lang w:val="en-US" w:eastAsia="zh-CN" w:bidi="ar-SA"/>
        </w:rPr>
        <w:t>3</w:t>
      </w:r>
      <w:r>
        <w:rPr>
          <w:rFonts w:hint="eastAsia" w:ascii="宋体" w:hAnsi="宋体" w:cs="宋体"/>
          <w:color w:val="auto"/>
          <w:kern w:val="0"/>
          <w:sz w:val="24"/>
          <w:highlight w:val="none"/>
        </w:rPr>
        <w:t>/h; 阀门尺寸DN200-DN400：最大泄漏量为0.0030</w:t>
      </w:r>
      <w:r>
        <w:rPr>
          <w:rFonts w:hint="eastAsia" w:ascii="宋体" w:eastAsia="宋体" w:cs="宋体"/>
          <w:b w:val="0"/>
          <w:color w:val="auto"/>
          <w:kern w:val="2"/>
          <w:sz w:val="24"/>
          <w:szCs w:val="24"/>
          <w:highlight w:val="none"/>
          <w:lang w:val="en-US" w:eastAsia="zh-CN" w:bidi="ar-SA"/>
        </w:rPr>
        <w:t>m</w:t>
      </w:r>
      <w:r>
        <w:rPr>
          <w:rFonts w:hint="eastAsia" w:ascii="宋体" w:eastAsia="宋体" w:cs="宋体"/>
          <w:b w:val="0"/>
          <w:color w:val="auto"/>
          <w:kern w:val="2"/>
          <w:sz w:val="24"/>
          <w:szCs w:val="24"/>
          <w:highlight w:val="none"/>
          <w:vertAlign w:val="superscript"/>
          <w:lang w:val="en-US" w:eastAsia="zh-CN" w:bidi="ar-SA"/>
        </w:rPr>
        <w:t>3</w:t>
      </w:r>
      <w:r>
        <w:rPr>
          <w:rFonts w:hint="eastAsia" w:ascii="宋体" w:hAnsi="宋体" w:cs="宋体"/>
          <w:color w:val="auto"/>
          <w:kern w:val="0"/>
          <w:sz w:val="24"/>
          <w:highlight w:val="none"/>
        </w:rPr>
        <w:t xml:space="preserve">/h; </w:t>
      </w:r>
      <w:r>
        <w:rPr>
          <w:rFonts w:hint="eastAsia" w:ascii="宋体" w:hAnsi="宋体" w:cs="宋体"/>
          <w:color w:val="auto"/>
          <w:kern w:val="0"/>
          <w:sz w:val="24"/>
          <w:highlight w:val="none"/>
        </w:rPr>
        <w:t>投标人</w:t>
      </w:r>
      <w:r>
        <w:rPr>
          <w:rFonts w:hint="eastAsia" w:ascii="宋体" w:hAnsi="宋体" w:cs="宋体"/>
          <w:color w:val="auto"/>
          <w:kern w:val="0"/>
          <w:sz w:val="24"/>
          <w:highlight w:val="none"/>
          <w:lang w:val="en-US" w:eastAsia="zh-CN"/>
        </w:rPr>
        <w:t>供货时</w:t>
      </w:r>
      <w:r>
        <w:rPr>
          <w:rFonts w:hint="eastAsia" w:ascii="宋体" w:hAnsi="宋体" w:cs="宋体"/>
          <w:color w:val="auto"/>
          <w:kern w:val="0"/>
          <w:sz w:val="24"/>
          <w:highlight w:val="none"/>
        </w:rPr>
        <w:t>应出具泄漏量测试仪器照片等信息及</w:t>
      </w:r>
      <w:r>
        <w:rPr>
          <w:rFonts w:hint="eastAsia" w:ascii="宋体" w:hAnsi="宋体" w:cs="宋体"/>
          <w:color w:val="auto"/>
          <w:kern w:val="0"/>
          <w:sz w:val="24"/>
          <w:highlight w:val="none"/>
          <w:lang w:val="en-US" w:eastAsia="zh-CN"/>
        </w:rPr>
        <w:t>由取得CNAS或CMA认证的实验室机构出具的</w:t>
      </w:r>
      <w:r>
        <w:rPr>
          <w:rFonts w:hint="eastAsia" w:ascii="宋体" w:hAnsi="宋体" w:cs="宋体"/>
          <w:color w:val="auto"/>
          <w:kern w:val="0"/>
          <w:sz w:val="24"/>
          <w:highlight w:val="none"/>
        </w:rPr>
        <w:t>泄漏量测试报告。</w:t>
      </w:r>
    </w:p>
    <w:p w14:paraId="23E472C8">
      <w:pPr>
        <w:pStyle w:val="4"/>
        <w:widowControl/>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3.2.4呼吸阀阀座、导向杆、导向衬套、阀杆衬套应采用316材质；阀盘应316材质。阀盘和阀座密封</w:t>
      </w:r>
      <w:r>
        <w:rPr>
          <w:rFonts w:hint="eastAsia" w:ascii="宋体" w:hAnsi="宋体" w:cs="宋体"/>
          <w:color w:val="auto"/>
          <w:kern w:val="0"/>
          <w:sz w:val="24"/>
          <w:highlight w:val="none"/>
          <w:lang w:eastAsia="zh-CN"/>
        </w:rPr>
        <w:t>面的</w:t>
      </w:r>
      <w:r>
        <w:rPr>
          <w:rFonts w:hint="eastAsia" w:ascii="宋体" w:hAnsi="宋体" w:cs="宋体"/>
          <w:color w:val="auto"/>
          <w:kern w:val="0"/>
          <w:sz w:val="24"/>
          <w:highlight w:val="none"/>
          <w:lang w:val="en-US" w:eastAsia="zh-CN"/>
        </w:rPr>
        <w:t>材质</w:t>
      </w:r>
      <w:r>
        <w:rPr>
          <w:rFonts w:hint="eastAsia" w:ascii="宋体" w:hAnsi="宋体" w:cs="宋体"/>
          <w:color w:val="auto"/>
          <w:kern w:val="0"/>
          <w:sz w:val="24"/>
          <w:highlight w:val="none"/>
        </w:rPr>
        <w:t>，投标人根据设定压力情况采用不锈钢或聚全氟乙丙烯（FEP），</w:t>
      </w:r>
      <w:r>
        <w:rPr>
          <w:rFonts w:hint="eastAsia" w:ascii="宋体" w:hAnsi="宋体" w:cs="宋体"/>
          <w:b/>
          <w:bCs/>
          <w:color w:val="auto"/>
          <w:kern w:val="0"/>
          <w:sz w:val="24"/>
          <w:highlight w:val="none"/>
          <w:lang w:eastAsia="zh-CN"/>
        </w:rPr>
        <w:t>本项目选择的是</w:t>
      </w:r>
      <w:r>
        <w:rPr>
          <w:rFonts w:hint="eastAsia" w:ascii="宋体" w:hAnsi="宋体" w:cs="宋体"/>
          <w:b/>
          <w:bCs/>
          <w:color w:val="auto"/>
          <w:kern w:val="0"/>
          <w:sz w:val="24"/>
          <w:highlight w:val="none"/>
          <w:u w:val="single"/>
          <w:lang w:val="en-US" w:eastAsia="zh-CN"/>
        </w:rPr>
        <w:t xml:space="preserve">                 （投标人填写）</w:t>
      </w:r>
      <w:r>
        <w:rPr>
          <w:rFonts w:hint="eastAsia" w:ascii="宋体" w:hAnsi="宋体" w:cs="宋体"/>
          <w:color w:val="auto"/>
          <w:kern w:val="0"/>
          <w:sz w:val="24"/>
          <w:highlight w:val="none"/>
        </w:rPr>
        <w:t>。</w:t>
      </w:r>
    </w:p>
    <w:p w14:paraId="1BF97572">
      <w:pPr>
        <w:pStyle w:val="4"/>
        <w:widowControl/>
        <w:snapToGrid w:val="0"/>
        <w:spacing w:line="360" w:lineRule="auto"/>
        <w:rPr>
          <w:rFonts w:hint="eastAsia" w:ascii="宋体" w:hAnsi="宋体" w:eastAsia="宋体" w:cs="宋体"/>
          <w:color w:val="auto"/>
          <w:kern w:val="0"/>
          <w:sz w:val="24"/>
          <w:highlight w:val="none"/>
          <w:lang w:eastAsia="zh-CN"/>
        </w:rPr>
      </w:pPr>
      <w:r>
        <w:rPr>
          <w:rFonts w:hint="eastAsia" w:ascii="宋体" w:hAnsi="宋体" w:cs="宋体"/>
          <w:color w:val="auto"/>
          <w:kern w:val="0"/>
          <w:sz w:val="24"/>
          <w:highlight w:val="none"/>
        </w:rPr>
        <w:t>3.2.5呼吸阀全开压力不应大于1.1倍的整定压力，即超压值不大于10%。提供技术说明文件</w:t>
      </w:r>
      <w:r>
        <w:rPr>
          <w:rFonts w:hint="eastAsia" w:ascii="宋体" w:hAnsi="宋体" w:cs="宋体"/>
          <w:color w:val="auto"/>
          <w:kern w:val="0"/>
          <w:sz w:val="24"/>
          <w:highlight w:val="none"/>
          <w:lang w:eastAsia="zh-CN"/>
        </w:rPr>
        <w:t>，</w:t>
      </w:r>
      <w:r>
        <w:rPr>
          <w:rFonts w:hint="eastAsia" w:ascii="宋体" w:hAnsi="宋体" w:cs="宋体"/>
          <w:b/>
          <w:bCs/>
          <w:color w:val="auto"/>
          <w:kern w:val="0"/>
          <w:sz w:val="24"/>
          <w:highlight w:val="none"/>
          <w:lang w:eastAsia="zh-CN"/>
        </w:rPr>
        <w:t>投标人所投产品超压值</w:t>
      </w:r>
      <w:r>
        <w:rPr>
          <w:rFonts w:hint="eastAsia" w:ascii="宋体" w:hAnsi="宋体" w:cs="宋体"/>
          <w:b/>
          <w:bCs/>
          <w:color w:val="auto"/>
          <w:kern w:val="0"/>
          <w:sz w:val="24"/>
          <w:highlight w:val="none"/>
        </w:rPr>
        <w:t>不大于</w:t>
      </w:r>
      <w:r>
        <w:rPr>
          <w:rFonts w:hint="eastAsia" w:ascii="宋体" w:hAnsi="宋体" w:cs="宋体"/>
          <w:b/>
          <w:bCs/>
          <w:color w:val="auto"/>
          <w:kern w:val="0"/>
          <w:sz w:val="24"/>
          <w:highlight w:val="none"/>
          <w:u w:val="single"/>
          <w:lang w:val="en-US" w:eastAsia="zh-CN"/>
        </w:rPr>
        <w:t xml:space="preserve">      </w:t>
      </w:r>
      <w:r>
        <w:rPr>
          <w:rFonts w:hint="eastAsia" w:ascii="宋体" w:hAnsi="宋体" w:cs="宋体"/>
          <w:b/>
          <w:bCs/>
          <w:color w:val="auto"/>
          <w:kern w:val="0"/>
          <w:sz w:val="24"/>
          <w:highlight w:val="none"/>
          <w:u w:val="single"/>
        </w:rPr>
        <w:t>%</w:t>
      </w:r>
      <w:r>
        <w:rPr>
          <w:rFonts w:hint="eastAsia" w:ascii="宋体" w:hAnsi="宋体" w:cs="宋体"/>
          <w:b/>
          <w:bCs/>
          <w:color w:val="auto"/>
          <w:kern w:val="0"/>
          <w:sz w:val="24"/>
          <w:highlight w:val="none"/>
          <w:u w:val="single"/>
          <w:lang w:val="en-US" w:eastAsia="zh-CN"/>
        </w:rPr>
        <w:t>（投标人填写）</w:t>
      </w:r>
      <w:r>
        <w:rPr>
          <w:rFonts w:hint="eastAsia" w:ascii="宋体" w:hAnsi="宋体" w:cs="宋体"/>
          <w:color w:val="auto"/>
          <w:kern w:val="0"/>
          <w:sz w:val="24"/>
          <w:highlight w:val="none"/>
          <w:lang w:eastAsia="zh-CN"/>
        </w:rPr>
        <w:t>。</w:t>
      </w:r>
    </w:p>
    <w:p w14:paraId="5DA4A58E">
      <w:pPr>
        <w:pStyle w:val="4"/>
        <w:widowControl/>
        <w:snapToGrid w:val="0"/>
        <w:spacing w:line="360" w:lineRule="auto"/>
        <w:rPr>
          <w:rFonts w:hint="eastAsia" w:ascii="宋体" w:hAnsi="宋体" w:cs="宋体"/>
          <w:color w:val="auto"/>
          <w:kern w:val="0"/>
          <w:sz w:val="24"/>
          <w:highlight w:val="none"/>
        </w:rPr>
      </w:pPr>
      <w:r>
        <w:rPr>
          <w:rFonts w:hint="eastAsia" w:ascii="宋体" w:hAnsi="宋体" w:cs="宋体"/>
          <w:color w:val="auto"/>
          <w:kern w:val="0"/>
          <w:sz w:val="24"/>
          <w:highlight w:val="none"/>
        </w:rPr>
        <w:t>3.2.6一体式阻火呼吸阀的最大排放量应经过实际测量，并根据实际测量值绘制流量图</w:t>
      </w:r>
      <w:r>
        <w:rPr>
          <w:rFonts w:hint="eastAsia" w:ascii="宋体" w:hAnsi="宋体" w:cs="宋体"/>
          <w:color w:val="auto"/>
          <w:kern w:val="0"/>
          <w:sz w:val="24"/>
          <w:highlight w:val="none"/>
          <w:lang w:eastAsia="zh-CN"/>
        </w:rPr>
        <w:t>，</w:t>
      </w:r>
      <w:r>
        <w:rPr>
          <w:rFonts w:hint="eastAsia" w:ascii="宋体" w:hAnsi="宋体" w:cs="宋体"/>
          <w:color w:val="auto"/>
          <w:kern w:val="0"/>
          <w:sz w:val="24"/>
          <w:highlight w:val="none"/>
        </w:rPr>
        <w:t>流量图应包含阀门尺寸、全开启压力和最大流量（实测值）等参数。</w:t>
      </w:r>
    </w:p>
    <w:p w14:paraId="6B9B2E0C">
      <w:pPr>
        <w:pStyle w:val="4"/>
        <w:widowControl/>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3.2.7开启压力低于6.9kPa(G)时采用重力加载式，开启压力大于等于6.9kPa(G)时应采用弹簧加载式。</w:t>
      </w:r>
    </w:p>
    <w:p w14:paraId="337CC68B">
      <w:pPr>
        <w:pStyle w:val="4"/>
        <w:widowControl/>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3.2.8呼吸阀工作温度覆盖-40.4℃至80℃，采用防冻型，在极端气温-40.4℃环境下仍能正常启闭。</w:t>
      </w:r>
    </w:p>
    <w:p w14:paraId="5162DD89">
      <w:pPr>
        <w:pStyle w:val="4"/>
        <w:widowControl/>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3.2.9法兰垫片，紧固件由投标人提供。</w:t>
      </w:r>
    </w:p>
    <w:p w14:paraId="266BB8E5">
      <w:pPr>
        <w:pStyle w:val="4"/>
        <w:widowControl/>
        <w:snapToGrid w:val="0"/>
        <w:spacing w:line="360" w:lineRule="auto"/>
        <w:rPr>
          <w:rFonts w:ascii="宋体" w:hAnsi="宋体" w:cs="宋体"/>
          <w:b/>
          <w:bCs/>
          <w:color w:val="auto"/>
          <w:kern w:val="0"/>
          <w:sz w:val="24"/>
          <w:highlight w:val="none"/>
        </w:rPr>
      </w:pPr>
      <w:r>
        <w:rPr>
          <w:rFonts w:hint="eastAsia" w:ascii="宋体" w:hAnsi="宋体" w:cs="宋体"/>
          <w:b/>
          <w:bCs/>
          <w:color w:val="auto"/>
          <w:kern w:val="0"/>
          <w:sz w:val="24"/>
          <w:highlight w:val="none"/>
        </w:rPr>
        <w:t>3.3管道阻爆轰阻火器技术要求</w:t>
      </w:r>
    </w:p>
    <w:p w14:paraId="774FF688">
      <w:pPr>
        <w:pStyle w:val="4"/>
        <w:widowControl/>
        <w:snapToGrid w:val="0"/>
        <w:spacing w:line="360" w:lineRule="auto"/>
        <w:rPr>
          <w:rFonts w:hint="eastAsia" w:ascii="宋体" w:hAnsi="宋体" w:cs="宋体"/>
          <w:color w:val="auto"/>
          <w:kern w:val="0"/>
          <w:sz w:val="24"/>
          <w:highlight w:val="none"/>
        </w:rPr>
      </w:pPr>
      <w:r>
        <w:rPr>
          <w:rFonts w:hint="eastAsia" w:ascii="宋体" w:hAnsi="宋体" w:cs="宋体"/>
          <w:color w:val="auto"/>
          <w:kern w:val="0"/>
          <w:sz w:val="24"/>
          <w:highlight w:val="none"/>
        </w:rPr>
        <w:t>3.3.1</w:t>
      </w:r>
      <w:r>
        <w:rPr>
          <w:rFonts w:hint="eastAsia" w:ascii="宋体" w:hAnsi="宋体" w:cs="宋体"/>
          <w:color w:val="auto"/>
          <w:kern w:val="0"/>
          <w:sz w:val="24"/>
          <w:highlight w:val="none"/>
        </w:rPr>
        <w:t>阻火器</w:t>
      </w:r>
      <w:r>
        <w:rPr>
          <w:rFonts w:hint="eastAsia" w:ascii="宋体" w:hAnsi="宋体" w:cs="宋体"/>
          <w:color w:val="auto"/>
          <w:kern w:val="0"/>
          <w:sz w:val="24"/>
          <w:highlight w:val="none"/>
          <w:lang w:val="en-US" w:eastAsia="zh-CN"/>
        </w:rPr>
        <w:t>应为阻爆轰型阻火器，</w:t>
      </w:r>
      <w:r>
        <w:rPr>
          <w:rFonts w:hint="eastAsia" w:ascii="宋体" w:hAnsi="宋体" w:cs="宋体"/>
          <w:color w:val="auto"/>
          <w:kern w:val="0"/>
          <w:sz w:val="24"/>
          <w:highlight w:val="none"/>
        </w:rPr>
        <w:t>产品和应用应符合ISO16852、PD CEN/TR16793，阻爆轰阻火器应按ISO16852标准进行阻爆轰、阻爆燃、短时间耐烧测试。</w:t>
      </w:r>
    </w:p>
    <w:p w14:paraId="6FDF9F86">
      <w:pPr>
        <w:pStyle w:val="4"/>
        <w:widowControl/>
        <w:snapToGrid w:val="0"/>
        <w:spacing w:line="360" w:lineRule="auto"/>
        <w:rPr>
          <w:rFonts w:hint="eastAsia" w:ascii="宋体" w:hAnsi="宋体" w:cs="宋体"/>
          <w:color w:val="auto"/>
          <w:kern w:val="0"/>
          <w:sz w:val="24"/>
          <w:highlight w:val="none"/>
        </w:rPr>
      </w:pPr>
      <w:r>
        <w:rPr>
          <w:rFonts w:hint="eastAsia" w:ascii="宋体" w:hAnsi="宋体" w:cs="宋体"/>
          <w:color w:val="auto"/>
          <w:kern w:val="0"/>
          <w:sz w:val="24"/>
          <w:highlight w:val="none"/>
        </w:rPr>
        <w:t>3.3.2阻火盘边缘和壳体之间的间隙不能大于阻火盘的阻火缝隙，阻火盘厚度（width）和阻火缝隙宽度（height of triangular channel）应执行GB/T 35077-2025附录C.1，且数值应满足以下要求：</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4"/>
        <w:gridCol w:w="3800"/>
        <w:gridCol w:w="1664"/>
        <w:gridCol w:w="1594"/>
        <w:gridCol w:w="790"/>
      </w:tblGrid>
      <w:tr w14:paraId="49206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74" w:type="dxa"/>
            <w:vAlign w:val="center"/>
          </w:tcPr>
          <w:p w14:paraId="425929B9">
            <w:pPr>
              <w:pStyle w:val="4"/>
              <w:widowControl/>
              <w:snapToGrid w:val="0"/>
              <w:spacing w:line="360" w:lineRule="auto"/>
              <w:jc w:val="center"/>
              <w:rPr>
                <w:rFonts w:hint="eastAsia" w:ascii="宋体" w:hAnsi="宋体" w:eastAsia="宋体" w:cs="宋体"/>
                <w:color w:val="auto"/>
                <w:kern w:val="0"/>
                <w:sz w:val="21"/>
                <w:szCs w:val="21"/>
                <w:highlight w:val="none"/>
                <w:vertAlign w:val="baseline"/>
                <w:lang w:eastAsia="zh-CN"/>
              </w:rPr>
            </w:pPr>
            <w:r>
              <w:rPr>
                <w:rFonts w:hint="eastAsia" w:ascii="宋体" w:hAnsi="宋体" w:cs="宋体"/>
                <w:color w:val="auto"/>
                <w:kern w:val="0"/>
                <w:sz w:val="21"/>
                <w:szCs w:val="21"/>
                <w:highlight w:val="none"/>
                <w:vertAlign w:val="baseline"/>
                <w:lang w:eastAsia="zh-CN"/>
              </w:rPr>
              <w:t>序号</w:t>
            </w:r>
          </w:p>
        </w:tc>
        <w:tc>
          <w:tcPr>
            <w:tcW w:w="3800" w:type="dxa"/>
            <w:vAlign w:val="center"/>
          </w:tcPr>
          <w:p w14:paraId="3CC21E76">
            <w:pPr>
              <w:pStyle w:val="4"/>
              <w:widowControl/>
              <w:snapToGrid w:val="0"/>
              <w:spacing w:line="360" w:lineRule="auto"/>
              <w:jc w:val="center"/>
              <w:rPr>
                <w:rFonts w:hint="eastAsia" w:ascii="宋体" w:hAnsi="宋体" w:eastAsia="宋体" w:cs="宋体"/>
                <w:color w:val="auto"/>
                <w:kern w:val="0"/>
                <w:sz w:val="21"/>
                <w:szCs w:val="21"/>
                <w:highlight w:val="none"/>
                <w:vertAlign w:val="baseline"/>
                <w:lang w:eastAsia="zh-CN"/>
              </w:rPr>
            </w:pPr>
            <w:r>
              <w:rPr>
                <w:rFonts w:hint="eastAsia" w:ascii="宋体" w:hAnsi="宋体" w:cs="宋体"/>
                <w:color w:val="auto"/>
                <w:kern w:val="0"/>
                <w:sz w:val="21"/>
                <w:szCs w:val="21"/>
                <w:highlight w:val="none"/>
                <w:vertAlign w:val="baseline"/>
                <w:lang w:eastAsia="zh-CN"/>
              </w:rPr>
              <w:t>名称</w:t>
            </w:r>
          </w:p>
        </w:tc>
        <w:tc>
          <w:tcPr>
            <w:tcW w:w="1664" w:type="dxa"/>
            <w:vAlign w:val="center"/>
          </w:tcPr>
          <w:p w14:paraId="1D79D410">
            <w:pPr>
              <w:pStyle w:val="4"/>
              <w:widowControl/>
              <w:snapToGrid w:val="0"/>
              <w:spacing w:line="360" w:lineRule="auto"/>
              <w:jc w:val="center"/>
              <w:rPr>
                <w:rFonts w:hint="eastAsia" w:ascii="宋体" w:hAnsi="宋体" w:eastAsia="宋体" w:cs="宋体"/>
                <w:color w:val="auto"/>
                <w:kern w:val="0"/>
                <w:sz w:val="21"/>
                <w:szCs w:val="21"/>
                <w:highlight w:val="none"/>
                <w:vertAlign w:val="baseline"/>
                <w:lang w:eastAsia="zh-CN"/>
              </w:rPr>
            </w:pPr>
            <w:r>
              <w:rPr>
                <w:rFonts w:hint="eastAsia" w:ascii="宋体" w:hAnsi="宋体" w:cs="宋体"/>
                <w:color w:val="auto"/>
                <w:kern w:val="0"/>
                <w:sz w:val="21"/>
                <w:szCs w:val="21"/>
                <w:highlight w:val="none"/>
                <w:vertAlign w:val="baseline"/>
                <w:lang w:val="en-US" w:eastAsia="zh-CN"/>
              </w:rPr>
              <w:t>招标人要求</w:t>
            </w:r>
          </w:p>
        </w:tc>
        <w:tc>
          <w:tcPr>
            <w:tcW w:w="1594" w:type="dxa"/>
            <w:vAlign w:val="center"/>
          </w:tcPr>
          <w:p w14:paraId="1E47AADD">
            <w:pPr>
              <w:pStyle w:val="4"/>
              <w:widowControl/>
              <w:snapToGrid w:val="0"/>
              <w:spacing w:line="360" w:lineRule="auto"/>
              <w:jc w:val="center"/>
              <w:rPr>
                <w:rFonts w:hint="eastAsia" w:ascii="宋体" w:hAnsi="宋体" w:eastAsia="宋体" w:cs="宋体"/>
                <w:color w:val="auto"/>
                <w:kern w:val="0"/>
                <w:sz w:val="21"/>
                <w:szCs w:val="21"/>
                <w:highlight w:val="none"/>
                <w:vertAlign w:val="baseline"/>
                <w:lang w:eastAsia="zh-CN"/>
              </w:rPr>
            </w:pPr>
            <w:r>
              <w:rPr>
                <w:rFonts w:hint="eastAsia" w:ascii="宋体" w:hAnsi="宋体" w:cs="宋体"/>
                <w:color w:val="auto"/>
                <w:kern w:val="0"/>
                <w:sz w:val="21"/>
                <w:szCs w:val="21"/>
                <w:highlight w:val="none"/>
                <w:vertAlign w:val="baseline"/>
                <w:lang w:eastAsia="zh-CN"/>
              </w:rPr>
              <w:t>投标人填写</w:t>
            </w:r>
          </w:p>
        </w:tc>
        <w:tc>
          <w:tcPr>
            <w:tcW w:w="790" w:type="dxa"/>
            <w:vAlign w:val="center"/>
          </w:tcPr>
          <w:p w14:paraId="016B8DC9">
            <w:pPr>
              <w:pStyle w:val="4"/>
              <w:widowControl/>
              <w:snapToGrid w:val="0"/>
              <w:spacing w:line="360" w:lineRule="auto"/>
              <w:jc w:val="center"/>
              <w:rPr>
                <w:rFonts w:hint="eastAsia" w:ascii="宋体" w:hAnsi="宋体" w:eastAsia="宋体" w:cs="宋体"/>
                <w:color w:val="auto"/>
                <w:kern w:val="0"/>
                <w:sz w:val="21"/>
                <w:szCs w:val="21"/>
                <w:highlight w:val="none"/>
                <w:vertAlign w:val="baseline"/>
                <w:lang w:eastAsia="zh-CN"/>
              </w:rPr>
            </w:pPr>
            <w:r>
              <w:rPr>
                <w:rFonts w:hint="eastAsia" w:ascii="宋体" w:hAnsi="宋体" w:cs="宋体"/>
                <w:color w:val="auto"/>
                <w:kern w:val="0"/>
                <w:sz w:val="21"/>
                <w:szCs w:val="21"/>
                <w:highlight w:val="none"/>
                <w:vertAlign w:val="baseline"/>
                <w:lang w:eastAsia="zh-CN"/>
              </w:rPr>
              <w:t>备注</w:t>
            </w:r>
          </w:p>
        </w:tc>
      </w:tr>
      <w:tr w14:paraId="5DF98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74" w:type="dxa"/>
            <w:vAlign w:val="center"/>
          </w:tcPr>
          <w:p w14:paraId="0083C352">
            <w:pPr>
              <w:pStyle w:val="4"/>
              <w:widowControl/>
              <w:snapToGrid w:val="0"/>
              <w:spacing w:line="360" w:lineRule="auto"/>
              <w:jc w:val="center"/>
              <w:rPr>
                <w:rFonts w:hint="eastAsia" w:ascii="宋体" w:hAnsi="宋体" w:eastAsia="宋体" w:cs="宋体"/>
                <w:color w:val="auto"/>
                <w:kern w:val="0"/>
                <w:sz w:val="21"/>
                <w:szCs w:val="21"/>
                <w:highlight w:val="none"/>
                <w:vertAlign w:val="baseline"/>
                <w:lang w:val="en-US" w:eastAsia="zh-CN"/>
              </w:rPr>
            </w:pPr>
            <w:r>
              <w:rPr>
                <w:rFonts w:hint="eastAsia" w:ascii="宋体" w:hAnsi="宋体" w:cs="宋体"/>
                <w:color w:val="auto"/>
                <w:kern w:val="0"/>
                <w:sz w:val="21"/>
                <w:szCs w:val="21"/>
                <w:highlight w:val="none"/>
                <w:vertAlign w:val="baseline"/>
                <w:lang w:val="en-US" w:eastAsia="zh-CN"/>
              </w:rPr>
              <w:t>1</w:t>
            </w:r>
          </w:p>
        </w:tc>
        <w:tc>
          <w:tcPr>
            <w:tcW w:w="3800" w:type="dxa"/>
            <w:vAlign w:val="center"/>
          </w:tcPr>
          <w:p w14:paraId="4D65D156">
            <w:pPr>
              <w:pStyle w:val="4"/>
              <w:widowControl/>
              <w:snapToGrid w:val="0"/>
              <w:spacing w:line="360" w:lineRule="auto"/>
              <w:jc w:val="center"/>
              <w:rPr>
                <w:rFonts w:hint="eastAsia" w:ascii="宋体" w:hAnsi="宋体" w:cs="宋体"/>
                <w:color w:val="auto"/>
                <w:kern w:val="0"/>
                <w:sz w:val="21"/>
                <w:szCs w:val="21"/>
                <w:highlight w:val="none"/>
                <w:vertAlign w:val="baseline"/>
              </w:rPr>
            </w:pPr>
            <w:r>
              <w:rPr>
                <w:rFonts w:hint="eastAsia" w:ascii="宋体" w:hAnsi="宋体" w:cs="宋体"/>
                <w:color w:val="auto"/>
                <w:kern w:val="0"/>
                <w:sz w:val="21"/>
                <w:szCs w:val="21"/>
                <w:highlight w:val="none"/>
              </w:rPr>
              <w:t>IIA1和IIA</w:t>
            </w:r>
            <w:r>
              <w:rPr>
                <w:rFonts w:hint="eastAsia" w:ascii="宋体" w:hAnsi="宋体" w:cs="宋体"/>
                <w:color w:val="auto"/>
                <w:kern w:val="0"/>
                <w:sz w:val="21"/>
                <w:szCs w:val="21"/>
                <w:highlight w:val="none"/>
                <w:lang w:val="en-US" w:eastAsia="zh-CN"/>
              </w:rPr>
              <w:t>类</w:t>
            </w:r>
            <w:r>
              <w:rPr>
                <w:rFonts w:hint="eastAsia" w:ascii="宋体" w:hAnsi="宋体" w:cs="宋体"/>
                <w:color w:val="auto"/>
                <w:kern w:val="0"/>
                <w:sz w:val="21"/>
                <w:szCs w:val="21"/>
                <w:highlight w:val="none"/>
              </w:rPr>
              <w:t>厚度</w:t>
            </w:r>
          </w:p>
        </w:tc>
        <w:tc>
          <w:tcPr>
            <w:tcW w:w="1664" w:type="dxa"/>
            <w:vAlign w:val="center"/>
          </w:tcPr>
          <w:p w14:paraId="25B99EB0">
            <w:pPr>
              <w:pStyle w:val="4"/>
              <w:widowControl/>
              <w:snapToGrid w:val="0"/>
              <w:spacing w:line="360" w:lineRule="auto"/>
              <w:jc w:val="center"/>
              <w:rPr>
                <w:rFonts w:hint="default" w:ascii="宋体" w:hAnsi="宋体" w:cs="宋体"/>
                <w:color w:val="auto"/>
                <w:kern w:val="0"/>
                <w:sz w:val="21"/>
                <w:szCs w:val="21"/>
                <w:highlight w:val="none"/>
                <w:vertAlign w:val="baseline"/>
              </w:rPr>
            </w:pPr>
            <w:r>
              <w:rPr>
                <w:rFonts w:hint="eastAsia" w:ascii="宋体" w:hAnsi="宋体" w:cs="宋体"/>
                <w:color w:val="auto"/>
                <w:kern w:val="0"/>
                <w:sz w:val="21"/>
                <w:szCs w:val="21"/>
                <w:highlight w:val="none"/>
                <w:vertAlign w:val="baseline"/>
                <w:lang w:val="en-US" w:eastAsia="zh-CN"/>
              </w:rPr>
              <w:t>≤30mm</w:t>
            </w:r>
          </w:p>
        </w:tc>
        <w:tc>
          <w:tcPr>
            <w:tcW w:w="1594" w:type="dxa"/>
            <w:vAlign w:val="center"/>
          </w:tcPr>
          <w:p w14:paraId="4AB39491">
            <w:pPr>
              <w:pStyle w:val="4"/>
              <w:widowControl/>
              <w:snapToGrid w:val="0"/>
              <w:spacing w:line="360" w:lineRule="auto"/>
              <w:jc w:val="center"/>
              <w:rPr>
                <w:rFonts w:hint="eastAsia" w:ascii="宋体" w:hAnsi="宋体" w:cs="宋体"/>
                <w:color w:val="auto"/>
                <w:kern w:val="0"/>
                <w:sz w:val="21"/>
                <w:szCs w:val="21"/>
                <w:highlight w:val="none"/>
                <w:vertAlign w:val="baseline"/>
              </w:rPr>
            </w:pPr>
          </w:p>
        </w:tc>
        <w:tc>
          <w:tcPr>
            <w:tcW w:w="790" w:type="dxa"/>
            <w:vAlign w:val="center"/>
          </w:tcPr>
          <w:p w14:paraId="5388064F">
            <w:pPr>
              <w:pStyle w:val="4"/>
              <w:widowControl/>
              <w:snapToGrid w:val="0"/>
              <w:spacing w:line="360" w:lineRule="auto"/>
              <w:jc w:val="center"/>
              <w:rPr>
                <w:rFonts w:hint="eastAsia" w:ascii="宋体" w:hAnsi="宋体" w:cs="宋体"/>
                <w:color w:val="auto"/>
                <w:kern w:val="0"/>
                <w:sz w:val="21"/>
                <w:szCs w:val="21"/>
                <w:highlight w:val="none"/>
                <w:vertAlign w:val="baseline"/>
              </w:rPr>
            </w:pPr>
          </w:p>
        </w:tc>
      </w:tr>
      <w:tr w14:paraId="615D1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74" w:type="dxa"/>
            <w:shd w:val="clear" w:color="auto" w:fill="auto"/>
            <w:vAlign w:val="center"/>
          </w:tcPr>
          <w:p w14:paraId="05831E0A">
            <w:pPr>
              <w:pStyle w:val="4"/>
              <w:widowControl/>
              <w:snapToGrid w:val="0"/>
              <w:spacing w:line="360" w:lineRule="auto"/>
              <w:jc w:val="center"/>
              <w:rPr>
                <w:rFonts w:hint="eastAsia" w:ascii="宋体" w:hAnsi="宋体" w:eastAsia="宋体" w:cs="宋体"/>
                <w:color w:val="auto"/>
                <w:kern w:val="0"/>
                <w:sz w:val="21"/>
                <w:szCs w:val="21"/>
                <w:highlight w:val="none"/>
                <w:vertAlign w:val="baseline"/>
                <w:lang w:val="en-US" w:eastAsia="zh-CN" w:bidi="ar-SA"/>
              </w:rPr>
            </w:pPr>
            <w:r>
              <w:rPr>
                <w:rFonts w:hint="eastAsia" w:ascii="宋体" w:hAnsi="宋体" w:cs="宋体"/>
                <w:color w:val="auto"/>
                <w:kern w:val="0"/>
                <w:sz w:val="21"/>
                <w:szCs w:val="21"/>
                <w:highlight w:val="none"/>
                <w:vertAlign w:val="baseline"/>
                <w:lang w:val="en-US" w:eastAsia="zh-CN"/>
              </w:rPr>
              <w:t>2</w:t>
            </w:r>
          </w:p>
        </w:tc>
        <w:tc>
          <w:tcPr>
            <w:tcW w:w="3800" w:type="dxa"/>
            <w:vAlign w:val="center"/>
          </w:tcPr>
          <w:p w14:paraId="5385282E">
            <w:pPr>
              <w:pStyle w:val="4"/>
              <w:widowControl/>
              <w:snapToGrid w:val="0"/>
              <w:spacing w:line="360" w:lineRule="auto"/>
              <w:jc w:val="center"/>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IIA1和IIA</w:t>
            </w:r>
            <w:r>
              <w:rPr>
                <w:rFonts w:hint="eastAsia" w:ascii="宋体" w:hAnsi="宋体" w:cs="宋体"/>
                <w:color w:val="auto"/>
                <w:kern w:val="0"/>
                <w:sz w:val="21"/>
                <w:szCs w:val="21"/>
                <w:highlight w:val="none"/>
                <w:lang w:val="en-US" w:eastAsia="zh-CN"/>
              </w:rPr>
              <w:t>类</w:t>
            </w:r>
            <w:r>
              <w:rPr>
                <w:rFonts w:hint="eastAsia" w:ascii="宋体" w:hAnsi="宋体" w:cs="宋体"/>
                <w:color w:val="auto"/>
                <w:kern w:val="0"/>
                <w:sz w:val="21"/>
                <w:szCs w:val="21"/>
                <w:highlight w:val="none"/>
              </w:rPr>
              <w:t>宽度</w:t>
            </w:r>
          </w:p>
        </w:tc>
        <w:tc>
          <w:tcPr>
            <w:tcW w:w="1664" w:type="dxa"/>
            <w:vAlign w:val="center"/>
          </w:tcPr>
          <w:p w14:paraId="3EC19C3D">
            <w:pPr>
              <w:pStyle w:val="4"/>
              <w:widowControl/>
              <w:snapToGrid w:val="0"/>
              <w:spacing w:line="360" w:lineRule="auto"/>
              <w:jc w:val="center"/>
              <w:rPr>
                <w:rFonts w:hint="default" w:ascii="宋体" w:hAnsi="宋体" w:cs="宋体"/>
                <w:color w:val="auto"/>
                <w:kern w:val="0"/>
                <w:sz w:val="21"/>
                <w:szCs w:val="21"/>
                <w:highlight w:val="none"/>
                <w:vertAlign w:val="baseline"/>
              </w:rPr>
            </w:pPr>
            <w:r>
              <w:rPr>
                <w:rFonts w:hint="eastAsia" w:ascii="宋体" w:hAnsi="宋体" w:cs="宋体"/>
                <w:color w:val="auto"/>
                <w:kern w:val="0"/>
                <w:sz w:val="21"/>
                <w:szCs w:val="21"/>
                <w:highlight w:val="none"/>
                <w:vertAlign w:val="baseline"/>
                <w:lang w:val="en-US" w:eastAsia="zh-CN"/>
              </w:rPr>
              <w:t>≥0.5mm</w:t>
            </w:r>
          </w:p>
        </w:tc>
        <w:tc>
          <w:tcPr>
            <w:tcW w:w="1594" w:type="dxa"/>
            <w:vAlign w:val="center"/>
          </w:tcPr>
          <w:p w14:paraId="46F51523">
            <w:pPr>
              <w:pStyle w:val="4"/>
              <w:widowControl/>
              <w:snapToGrid w:val="0"/>
              <w:spacing w:line="360" w:lineRule="auto"/>
              <w:jc w:val="center"/>
              <w:rPr>
                <w:rFonts w:hint="eastAsia" w:ascii="宋体" w:hAnsi="宋体" w:cs="宋体"/>
                <w:color w:val="auto"/>
                <w:kern w:val="0"/>
                <w:sz w:val="21"/>
                <w:szCs w:val="21"/>
                <w:highlight w:val="none"/>
                <w:vertAlign w:val="baseline"/>
              </w:rPr>
            </w:pPr>
          </w:p>
        </w:tc>
        <w:tc>
          <w:tcPr>
            <w:tcW w:w="790" w:type="dxa"/>
            <w:vAlign w:val="center"/>
          </w:tcPr>
          <w:p w14:paraId="31EF6D9D">
            <w:pPr>
              <w:pStyle w:val="4"/>
              <w:widowControl/>
              <w:snapToGrid w:val="0"/>
              <w:spacing w:line="360" w:lineRule="auto"/>
              <w:jc w:val="center"/>
              <w:rPr>
                <w:rFonts w:hint="eastAsia" w:ascii="宋体" w:hAnsi="宋体" w:cs="宋体"/>
                <w:color w:val="auto"/>
                <w:kern w:val="0"/>
                <w:sz w:val="21"/>
                <w:szCs w:val="21"/>
                <w:highlight w:val="none"/>
                <w:vertAlign w:val="baseline"/>
              </w:rPr>
            </w:pPr>
          </w:p>
        </w:tc>
      </w:tr>
      <w:tr w14:paraId="5BF5F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74" w:type="dxa"/>
            <w:vAlign w:val="center"/>
          </w:tcPr>
          <w:p w14:paraId="4E072945">
            <w:pPr>
              <w:pStyle w:val="4"/>
              <w:widowControl/>
              <w:snapToGrid w:val="0"/>
              <w:spacing w:line="360" w:lineRule="auto"/>
              <w:jc w:val="center"/>
              <w:rPr>
                <w:rFonts w:hint="eastAsia" w:ascii="宋体" w:hAnsi="宋体" w:eastAsia="宋体" w:cs="宋体"/>
                <w:color w:val="auto"/>
                <w:kern w:val="0"/>
                <w:sz w:val="21"/>
                <w:szCs w:val="21"/>
                <w:highlight w:val="none"/>
                <w:vertAlign w:val="baseline"/>
                <w:lang w:val="en-US" w:eastAsia="zh-CN"/>
              </w:rPr>
            </w:pPr>
            <w:r>
              <w:rPr>
                <w:rFonts w:hint="eastAsia" w:ascii="宋体" w:hAnsi="宋体" w:cs="宋体"/>
                <w:color w:val="auto"/>
                <w:kern w:val="0"/>
                <w:sz w:val="21"/>
                <w:szCs w:val="21"/>
                <w:highlight w:val="none"/>
                <w:vertAlign w:val="baseline"/>
                <w:lang w:val="en-US" w:eastAsia="zh-CN"/>
              </w:rPr>
              <w:t>3</w:t>
            </w:r>
          </w:p>
        </w:tc>
        <w:tc>
          <w:tcPr>
            <w:tcW w:w="3800" w:type="dxa"/>
            <w:vAlign w:val="center"/>
          </w:tcPr>
          <w:p w14:paraId="00A91DF1">
            <w:pPr>
              <w:pStyle w:val="4"/>
              <w:widowControl/>
              <w:snapToGrid w:val="0"/>
              <w:spacing w:line="360" w:lineRule="auto"/>
              <w:jc w:val="center"/>
              <w:rPr>
                <w:rFonts w:hint="eastAsia" w:ascii="宋体" w:hAnsi="宋体" w:eastAsia="宋体" w:cs="宋体"/>
                <w:color w:val="auto"/>
                <w:kern w:val="0"/>
                <w:sz w:val="21"/>
                <w:szCs w:val="21"/>
                <w:highlight w:val="none"/>
                <w:vertAlign w:val="baseline"/>
                <w:lang w:eastAsia="zh-CN"/>
              </w:rPr>
            </w:pPr>
            <w:r>
              <w:rPr>
                <w:rFonts w:hint="eastAsia" w:ascii="宋体" w:hAnsi="宋体" w:cs="宋体"/>
                <w:color w:val="auto"/>
                <w:kern w:val="0"/>
                <w:sz w:val="21"/>
                <w:szCs w:val="21"/>
                <w:highlight w:val="none"/>
              </w:rPr>
              <w:t>IIB1、IIB2和IIB3</w:t>
            </w:r>
            <w:r>
              <w:rPr>
                <w:rFonts w:hint="eastAsia" w:ascii="宋体" w:hAnsi="宋体" w:cs="宋体"/>
                <w:color w:val="auto"/>
                <w:kern w:val="0"/>
                <w:sz w:val="21"/>
                <w:szCs w:val="21"/>
                <w:highlight w:val="none"/>
                <w:lang w:eastAsia="zh-CN"/>
              </w:rPr>
              <w:t>类</w:t>
            </w:r>
            <w:r>
              <w:rPr>
                <w:rFonts w:hint="eastAsia" w:ascii="宋体" w:hAnsi="宋体" w:cs="宋体"/>
                <w:color w:val="auto"/>
                <w:kern w:val="0"/>
                <w:sz w:val="21"/>
                <w:szCs w:val="21"/>
                <w:highlight w:val="none"/>
              </w:rPr>
              <w:t>厚度</w:t>
            </w:r>
          </w:p>
        </w:tc>
        <w:tc>
          <w:tcPr>
            <w:tcW w:w="1664" w:type="dxa"/>
            <w:shd w:val="clear" w:color="auto" w:fill="auto"/>
            <w:vAlign w:val="center"/>
          </w:tcPr>
          <w:p w14:paraId="1DBFC40E">
            <w:pPr>
              <w:pStyle w:val="4"/>
              <w:widowControl/>
              <w:snapToGrid w:val="0"/>
              <w:spacing w:line="360" w:lineRule="auto"/>
              <w:jc w:val="center"/>
              <w:rPr>
                <w:rFonts w:hint="default" w:ascii="宋体" w:hAnsi="宋体" w:cs="宋体"/>
                <w:color w:val="auto"/>
                <w:kern w:val="0"/>
                <w:sz w:val="21"/>
                <w:szCs w:val="21"/>
                <w:highlight w:val="none"/>
                <w:vertAlign w:val="baseline"/>
              </w:rPr>
            </w:pPr>
            <w:r>
              <w:rPr>
                <w:rFonts w:hint="eastAsia" w:ascii="宋体" w:hAnsi="宋体" w:cs="宋体"/>
                <w:color w:val="auto"/>
                <w:kern w:val="0"/>
                <w:sz w:val="21"/>
                <w:szCs w:val="21"/>
                <w:highlight w:val="none"/>
                <w:vertAlign w:val="baseline"/>
                <w:lang w:val="en-US" w:eastAsia="zh-CN"/>
              </w:rPr>
              <w:t>≤</w:t>
            </w:r>
            <w:r>
              <w:rPr>
                <w:rFonts w:hint="eastAsia" w:ascii="宋体" w:hAnsi="宋体" w:cs="宋体"/>
                <w:color w:val="auto"/>
                <w:kern w:val="0"/>
                <w:sz w:val="21"/>
                <w:szCs w:val="21"/>
                <w:highlight w:val="none"/>
                <w:vertAlign w:val="baseline"/>
                <w:lang w:val="en-US" w:eastAsia="zh-CN"/>
              </w:rPr>
              <w:t>20</w:t>
            </w:r>
            <w:r>
              <w:rPr>
                <w:rFonts w:hint="eastAsia" w:ascii="宋体" w:hAnsi="宋体" w:cs="宋体"/>
                <w:color w:val="auto"/>
                <w:kern w:val="0"/>
                <w:sz w:val="21"/>
                <w:szCs w:val="21"/>
                <w:highlight w:val="none"/>
                <w:vertAlign w:val="baseline"/>
                <w:lang w:val="en-US" w:eastAsia="zh-CN"/>
              </w:rPr>
              <w:t>mm</w:t>
            </w:r>
          </w:p>
        </w:tc>
        <w:tc>
          <w:tcPr>
            <w:tcW w:w="1594" w:type="dxa"/>
            <w:vAlign w:val="center"/>
          </w:tcPr>
          <w:p w14:paraId="3A4DFD79">
            <w:pPr>
              <w:pStyle w:val="4"/>
              <w:widowControl/>
              <w:snapToGrid w:val="0"/>
              <w:spacing w:line="360" w:lineRule="auto"/>
              <w:jc w:val="center"/>
              <w:rPr>
                <w:rFonts w:hint="eastAsia" w:ascii="宋体" w:hAnsi="宋体" w:cs="宋体"/>
                <w:color w:val="auto"/>
                <w:kern w:val="0"/>
                <w:sz w:val="21"/>
                <w:szCs w:val="21"/>
                <w:highlight w:val="none"/>
                <w:vertAlign w:val="baseline"/>
              </w:rPr>
            </w:pPr>
          </w:p>
        </w:tc>
        <w:tc>
          <w:tcPr>
            <w:tcW w:w="790" w:type="dxa"/>
            <w:vAlign w:val="center"/>
          </w:tcPr>
          <w:p w14:paraId="5BE7DDAF">
            <w:pPr>
              <w:pStyle w:val="4"/>
              <w:widowControl/>
              <w:snapToGrid w:val="0"/>
              <w:spacing w:line="360" w:lineRule="auto"/>
              <w:jc w:val="center"/>
              <w:rPr>
                <w:rFonts w:hint="eastAsia" w:ascii="宋体" w:hAnsi="宋体" w:cs="宋体"/>
                <w:color w:val="auto"/>
                <w:kern w:val="0"/>
                <w:sz w:val="21"/>
                <w:szCs w:val="21"/>
                <w:highlight w:val="none"/>
                <w:vertAlign w:val="baseline"/>
              </w:rPr>
            </w:pPr>
          </w:p>
        </w:tc>
      </w:tr>
      <w:tr w14:paraId="099A7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74" w:type="dxa"/>
            <w:vAlign w:val="center"/>
          </w:tcPr>
          <w:p w14:paraId="618AEFB4">
            <w:pPr>
              <w:pStyle w:val="4"/>
              <w:widowControl/>
              <w:snapToGrid w:val="0"/>
              <w:spacing w:line="360" w:lineRule="auto"/>
              <w:jc w:val="center"/>
              <w:rPr>
                <w:rFonts w:hint="default" w:ascii="宋体" w:hAnsi="宋体" w:cs="宋体"/>
                <w:color w:val="auto"/>
                <w:kern w:val="0"/>
                <w:sz w:val="21"/>
                <w:szCs w:val="21"/>
                <w:highlight w:val="none"/>
                <w:vertAlign w:val="baseline"/>
                <w:lang w:val="en-US" w:eastAsia="zh-CN"/>
              </w:rPr>
            </w:pPr>
            <w:r>
              <w:rPr>
                <w:rFonts w:hint="eastAsia" w:ascii="宋体" w:hAnsi="宋体" w:cs="宋体"/>
                <w:color w:val="auto"/>
                <w:kern w:val="0"/>
                <w:sz w:val="21"/>
                <w:szCs w:val="21"/>
                <w:highlight w:val="none"/>
                <w:vertAlign w:val="baseline"/>
                <w:lang w:val="en-US" w:eastAsia="zh-CN"/>
              </w:rPr>
              <w:t>4</w:t>
            </w:r>
          </w:p>
        </w:tc>
        <w:tc>
          <w:tcPr>
            <w:tcW w:w="3800" w:type="dxa"/>
            <w:vAlign w:val="center"/>
          </w:tcPr>
          <w:p w14:paraId="3897D5A6">
            <w:pPr>
              <w:pStyle w:val="4"/>
              <w:widowControl/>
              <w:snapToGrid w:val="0"/>
              <w:spacing w:line="360" w:lineRule="auto"/>
              <w:jc w:val="center"/>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IIB1、IIB2和IIB3</w:t>
            </w:r>
            <w:r>
              <w:rPr>
                <w:rFonts w:hint="eastAsia" w:ascii="宋体" w:hAnsi="宋体" w:cs="宋体"/>
                <w:color w:val="auto"/>
                <w:kern w:val="0"/>
                <w:sz w:val="21"/>
                <w:szCs w:val="21"/>
                <w:highlight w:val="none"/>
                <w:lang w:eastAsia="zh-CN"/>
              </w:rPr>
              <w:t>类</w:t>
            </w:r>
            <w:r>
              <w:rPr>
                <w:rFonts w:hint="eastAsia" w:ascii="宋体" w:hAnsi="宋体" w:cs="宋体"/>
                <w:color w:val="auto"/>
                <w:kern w:val="0"/>
                <w:sz w:val="21"/>
                <w:szCs w:val="21"/>
                <w:highlight w:val="none"/>
              </w:rPr>
              <w:t>宽度</w:t>
            </w:r>
          </w:p>
        </w:tc>
        <w:tc>
          <w:tcPr>
            <w:tcW w:w="1664" w:type="dxa"/>
            <w:shd w:val="clear" w:color="auto" w:fill="auto"/>
            <w:vAlign w:val="center"/>
          </w:tcPr>
          <w:p w14:paraId="6D01F62E">
            <w:pPr>
              <w:pStyle w:val="4"/>
              <w:widowControl/>
              <w:snapToGrid w:val="0"/>
              <w:spacing w:line="360" w:lineRule="auto"/>
              <w:jc w:val="center"/>
              <w:rPr>
                <w:rFonts w:hint="default" w:ascii="宋体" w:hAnsi="宋体" w:cs="宋体"/>
                <w:color w:val="auto"/>
                <w:kern w:val="0"/>
                <w:sz w:val="21"/>
                <w:szCs w:val="21"/>
                <w:highlight w:val="none"/>
                <w:vertAlign w:val="baseline"/>
              </w:rPr>
            </w:pPr>
            <w:r>
              <w:rPr>
                <w:rFonts w:hint="eastAsia" w:ascii="宋体" w:hAnsi="宋体" w:cs="宋体"/>
                <w:color w:val="auto"/>
                <w:kern w:val="0"/>
                <w:sz w:val="21"/>
                <w:szCs w:val="21"/>
                <w:highlight w:val="none"/>
                <w:vertAlign w:val="baseline"/>
                <w:lang w:val="en-US" w:eastAsia="zh-CN"/>
              </w:rPr>
              <w:t>≥0.3mm</w:t>
            </w:r>
          </w:p>
        </w:tc>
        <w:tc>
          <w:tcPr>
            <w:tcW w:w="1594" w:type="dxa"/>
            <w:vAlign w:val="center"/>
          </w:tcPr>
          <w:p w14:paraId="509A8D5F">
            <w:pPr>
              <w:pStyle w:val="4"/>
              <w:widowControl/>
              <w:snapToGrid w:val="0"/>
              <w:spacing w:line="360" w:lineRule="auto"/>
              <w:jc w:val="center"/>
              <w:rPr>
                <w:rFonts w:hint="eastAsia" w:ascii="宋体" w:hAnsi="宋体" w:cs="宋体"/>
                <w:color w:val="auto"/>
                <w:kern w:val="0"/>
                <w:sz w:val="21"/>
                <w:szCs w:val="21"/>
                <w:highlight w:val="none"/>
                <w:vertAlign w:val="baseline"/>
              </w:rPr>
            </w:pPr>
          </w:p>
        </w:tc>
        <w:tc>
          <w:tcPr>
            <w:tcW w:w="790" w:type="dxa"/>
            <w:vAlign w:val="center"/>
          </w:tcPr>
          <w:p w14:paraId="33CB1E5A">
            <w:pPr>
              <w:pStyle w:val="4"/>
              <w:widowControl/>
              <w:snapToGrid w:val="0"/>
              <w:spacing w:line="360" w:lineRule="auto"/>
              <w:jc w:val="center"/>
              <w:rPr>
                <w:rFonts w:hint="eastAsia" w:ascii="宋体" w:hAnsi="宋体" w:cs="宋体"/>
                <w:color w:val="auto"/>
                <w:kern w:val="0"/>
                <w:sz w:val="21"/>
                <w:szCs w:val="21"/>
                <w:highlight w:val="none"/>
                <w:vertAlign w:val="baseline"/>
              </w:rPr>
            </w:pPr>
          </w:p>
        </w:tc>
      </w:tr>
      <w:tr w14:paraId="0D508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74" w:type="dxa"/>
            <w:vAlign w:val="center"/>
          </w:tcPr>
          <w:p w14:paraId="43546522">
            <w:pPr>
              <w:pStyle w:val="4"/>
              <w:widowControl/>
              <w:snapToGrid w:val="0"/>
              <w:spacing w:line="360" w:lineRule="auto"/>
              <w:jc w:val="center"/>
              <w:rPr>
                <w:rFonts w:hint="default" w:ascii="宋体" w:hAnsi="宋体" w:eastAsia="宋体" w:cs="宋体"/>
                <w:color w:val="auto"/>
                <w:kern w:val="0"/>
                <w:sz w:val="21"/>
                <w:szCs w:val="21"/>
                <w:highlight w:val="none"/>
                <w:vertAlign w:val="baseline"/>
                <w:lang w:val="en-US" w:eastAsia="zh-CN"/>
              </w:rPr>
            </w:pPr>
            <w:r>
              <w:rPr>
                <w:rFonts w:hint="eastAsia" w:ascii="宋体" w:hAnsi="宋体" w:cs="宋体"/>
                <w:color w:val="auto"/>
                <w:kern w:val="0"/>
                <w:sz w:val="21"/>
                <w:szCs w:val="21"/>
                <w:highlight w:val="none"/>
                <w:vertAlign w:val="baseline"/>
                <w:lang w:val="en-US" w:eastAsia="zh-CN"/>
              </w:rPr>
              <w:t>5</w:t>
            </w:r>
          </w:p>
        </w:tc>
        <w:tc>
          <w:tcPr>
            <w:tcW w:w="3800" w:type="dxa"/>
            <w:vAlign w:val="center"/>
          </w:tcPr>
          <w:p w14:paraId="3990654F">
            <w:pPr>
              <w:pStyle w:val="4"/>
              <w:widowControl/>
              <w:snapToGrid w:val="0"/>
              <w:spacing w:line="360" w:lineRule="auto"/>
              <w:jc w:val="center"/>
              <w:rPr>
                <w:rFonts w:hint="eastAsia" w:ascii="宋体" w:hAnsi="宋体" w:cs="宋体"/>
                <w:color w:val="auto"/>
                <w:kern w:val="0"/>
                <w:sz w:val="21"/>
                <w:szCs w:val="21"/>
                <w:highlight w:val="none"/>
                <w:vertAlign w:val="baseline"/>
              </w:rPr>
            </w:pPr>
            <w:r>
              <w:rPr>
                <w:rFonts w:hint="eastAsia" w:ascii="宋体" w:hAnsi="宋体" w:cs="宋体"/>
                <w:color w:val="auto"/>
                <w:kern w:val="0"/>
                <w:sz w:val="21"/>
                <w:szCs w:val="21"/>
                <w:highlight w:val="none"/>
              </w:rPr>
              <w:t>IIB和IIC类厚度</w:t>
            </w:r>
          </w:p>
        </w:tc>
        <w:tc>
          <w:tcPr>
            <w:tcW w:w="1664" w:type="dxa"/>
            <w:shd w:val="clear" w:color="auto" w:fill="auto"/>
            <w:vAlign w:val="center"/>
          </w:tcPr>
          <w:p w14:paraId="24F9235E">
            <w:pPr>
              <w:pStyle w:val="4"/>
              <w:widowControl/>
              <w:snapToGrid w:val="0"/>
              <w:spacing w:line="360" w:lineRule="auto"/>
              <w:jc w:val="center"/>
              <w:rPr>
                <w:rFonts w:hint="default" w:ascii="宋体" w:hAnsi="宋体" w:cs="宋体"/>
                <w:color w:val="auto"/>
                <w:kern w:val="0"/>
                <w:sz w:val="21"/>
                <w:szCs w:val="21"/>
                <w:highlight w:val="none"/>
                <w:vertAlign w:val="baseline"/>
              </w:rPr>
            </w:pPr>
            <w:r>
              <w:rPr>
                <w:rFonts w:hint="eastAsia" w:ascii="宋体" w:hAnsi="宋体" w:cs="宋体"/>
                <w:color w:val="auto"/>
                <w:kern w:val="0"/>
                <w:sz w:val="21"/>
                <w:szCs w:val="21"/>
                <w:highlight w:val="none"/>
                <w:vertAlign w:val="baseline"/>
                <w:lang w:val="en-US" w:eastAsia="zh-CN"/>
              </w:rPr>
              <w:t>≤</w:t>
            </w:r>
            <w:r>
              <w:rPr>
                <w:rFonts w:hint="eastAsia" w:ascii="宋体" w:hAnsi="宋体" w:cs="宋体"/>
                <w:color w:val="auto"/>
                <w:kern w:val="0"/>
                <w:sz w:val="21"/>
                <w:szCs w:val="21"/>
                <w:highlight w:val="none"/>
                <w:vertAlign w:val="baseline"/>
                <w:lang w:val="en-US" w:eastAsia="zh-CN"/>
              </w:rPr>
              <w:t>15</w:t>
            </w:r>
            <w:r>
              <w:rPr>
                <w:rFonts w:hint="eastAsia" w:ascii="宋体" w:hAnsi="宋体" w:cs="宋体"/>
                <w:color w:val="auto"/>
                <w:kern w:val="0"/>
                <w:sz w:val="21"/>
                <w:szCs w:val="21"/>
                <w:highlight w:val="none"/>
                <w:vertAlign w:val="baseline"/>
                <w:lang w:val="en-US" w:eastAsia="zh-CN"/>
              </w:rPr>
              <w:t>mm</w:t>
            </w:r>
          </w:p>
        </w:tc>
        <w:tc>
          <w:tcPr>
            <w:tcW w:w="1594" w:type="dxa"/>
            <w:vAlign w:val="center"/>
          </w:tcPr>
          <w:p w14:paraId="19AD311D">
            <w:pPr>
              <w:pStyle w:val="4"/>
              <w:widowControl/>
              <w:snapToGrid w:val="0"/>
              <w:spacing w:line="360" w:lineRule="auto"/>
              <w:jc w:val="center"/>
              <w:rPr>
                <w:rFonts w:hint="eastAsia" w:ascii="宋体" w:hAnsi="宋体" w:cs="宋体"/>
                <w:color w:val="auto"/>
                <w:kern w:val="0"/>
                <w:sz w:val="21"/>
                <w:szCs w:val="21"/>
                <w:highlight w:val="none"/>
                <w:vertAlign w:val="baseline"/>
              </w:rPr>
            </w:pPr>
          </w:p>
        </w:tc>
        <w:tc>
          <w:tcPr>
            <w:tcW w:w="790" w:type="dxa"/>
            <w:vAlign w:val="center"/>
          </w:tcPr>
          <w:p w14:paraId="424BEACA">
            <w:pPr>
              <w:pStyle w:val="4"/>
              <w:widowControl/>
              <w:snapToGrid w:val="0"/>
              <w:spacing w:line="360" w:lineRule="auto"/>
              <w:jc w:val="center"/>
              <w:rPr>
                <w:rFonts w:hint="eastAsia" w:ascii="宋体" w:hAnsi="宋体" w:cs="宋体"/>
                <w:color w:val="auto"/>
                <w:kern w:val="0"/>
                <w:sz w:val="21"/>
                <w:szCs w:val="21"/>
                <w:highlight w:val="none"/>
                <w:vertAlign w:val="baseline"/>
              </w:rPr>
            </w:pPr>
          </w:p>
        </w:tc>
      </w:tr>
      <w:tr w14:paraId="2BE23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74" w:type="dxa"/>
            <w:vAlign w:val="center"/>
          </w:tcPr>
          <w:p w14:paraId="3B8CAD38">
            <w:pPr>
              <w:pStyle w:val="4"/>
              <w:widowControl/>
              <w:snapToGrid w:val="0"/>
              <w:spacing w:line="360" w:lineRule="auto"/>
              <w:jc w:val="center"/>
              <w:rPr>
                <w:rFonts w:hint="default" w:ascii="宋体" w:hAnsi="宋体" w:cs="宋体"/>
                <w:color w:val="auto"/>
                <w:kern w:val="0"/>
                <w:sz w:val="21"/>
                <w:szCs w:val="21"/>
                <w:highlight w:val="none"/>
                <w:vertAlign w:val="baseline"/>
                <w:lang w:val="en-US" w:eastAsia="zh-CN"/>
              </w:rPr>
            </w:pPr>
            <w:r>
              <w:rPr>
                <w:rFonts w:hint="eastAsia" w:ascii="宋体" w:hAnsi="宋体" w:cs="宋体"/>
                <w:color w:val="auto"/>
                <w:kern w:val="0"/>
                <w:sz w:val="21"/>
                <w:szCs w:val="21"/>
                <w:highlight w:val="none"/>
                <w:vertAlign w:val="baseline"/>
                <w:lang w:val="en-US" w:eastAsia="zh-CN"/>
              </w:rPr>
              <w:t>6</w:t>
            </w:r>
          </w:p>
        </w:tc>
        <w:tc>
          <w:tcPr>
            <w:tcW w:w="3800" w:type="dxa"/>
            <w:vAlign w:val="center"/>
          </w:tcPr>
          <w:p w14:paraId="08A6A906">
            <w:pPr>
              <w:pStyle w:val="4"/>
              <w:widowControl/>
              <w:snapToGrid w:val="0"/>
              <w:spacing w:line="360" w:lineRule="auto"/>
              <w:jc w:val="center"/>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IIB和IIC类宽度</w:t>
            </w:r>
          </w:p>
        </w:tc>
        <w:tc>
          <w:tcPr>
            <w:tcW w:w="1664" w:type="dxa"/>
            <w:shd w:val="clear" w:color="auto" w:fill="auto"/>
            <w:vAlign w:val="center"/>
          </w:tcPr>
          <w:p w14:paraId="2E3CF9DF">
            <w:pPr>
              <w:pStyle w:val="4"/>
              <w:widowControl/>
              <w:snapToGrid w:val="0"/>
              <w:spacing w:line="360" w:lineRule="auto"/>
              <w:jc w:val="center"/>
              <w:rPr>
                <w:rFonts w:hint="default" w:ascii="宋体" w:hAnsi="宋体" w:cs="宋体"/>
                <w:color w:val="auto"/>
                <w:kern w:val="0"/>
                <w:sz w:val="21"/>
                <w:szCs w:val="21"/>
                <w:highlight w:val="none"/>
                <w:vertAlign w:val="baseline"/>
              </w:rPr>
            </w:pPr>
            <w:r>
              <w:rPr>
                <w:rFonts w:hint="eastAsia" w:ascii="宋体" w:hAnsi="宋体" w:cs="宋体"/>
                <w:color w:val="auto"/>
                <w:kern w:val="0"/>
                <w:sz w:val="21"/>
                <w:szCs w:val="21"/>
                <w:highlight w:val="none"/>
                <w:vertAlign w:val="baseline"/>
                <w:lang w:val="en-US" w:eastAsia="zh-CN"/>
              </w:rPr>
              <w:t>≥0.2mm</w:t>
            </w:r>
          </w:p>
        </w:tc>
        <w:tc>
          <w:tcPr>
            <w:tcW w:w="1594" w:type="dxa"/>
            <w:vAlign w:val="center"/>
          </w:tcPr>
          <w:p w14:paraId="4B7CD739">
            <w:pPr>
              <w:pStyle w:val="4"/>
              <w:widowControl/>
              <w:snapToGrid w:val="0"/>
              <w:spacing w:line="360" w:lineRule="auto"/>
              <w:jc w:val="center"/>
              <w:rPr>
                <w:rFonts w:hint="eastAsia" w:ascii="宋体" w:hAnsi="宋体" w:cs="宋体"/>
                <w:color w:val="auto"/>
                <w:kern w:val="0"/>
                <w:sz w:val="21"/>
                <w:szCs w:val="21"/>
                <w:highlight w:val="none"/>
                <w:vertAlign w:val="baseline"/>
              </w:rPr>
            </w:pPr>
          </w:p>
        </w:tc>
        <w:tc>
          <w:tcPr>
            <w:tcW w:w="790" w:type="dxa"/>
            <w:vAlign w:val="center"/>
          </w:tcPr>
          <w:p w14:paraId="7B503EBA">
            <w:pPr>
              <w:pStyle w:val="4"/>
              <w:widowControl/>
              <w:snapToGrid w:val="0"/>
              <w:spacing w:line="360" w:lineRule="auto"/>
              <w:jc w:val="center"/>
              <w:rPr>
                <w:rFonts w:hint="eastAsia" w:ascii="宋体" w:hAnsi="宋体" w:cs="宋体"/>
                <w:color w:val="auto"/>
                <w:kern w:val="0"/>
                <w:sz w:val="21"/>
                <w:szCs w:val="21"/>
                <w:highlight w:val="none"/>
                <w:vertAlign w:val="baseline"/>
              </w:rPr>
            </w:pPr>
          </w:p>
        </w:tc>
      </w:tr>
    </w:tbl>
    <w:p w14:paraId="04C47721">
      <w:pPr>
        <w:pStyle w:val="4"/>
        <w:widowControl/>
        <w:snapToGrid w:val="0"/>
        <w:spacing w:line="360" w:lineRule="auto"/>
        <w:rPr>
          <w:rFonts w:hint="eastAsia" w:ascii="宋体" w:hAnsi="宋体" w:cs="宋体"/>
          <w:color w:val="auto"/>
          <w:kern w:val="0"/>
          <w:sz w:val="24"/>
          <w:highlight w:val="none"/>
        </w:rPr>
      </w:pPr>
    </w:p>
    <w:p w14:paraId="4D8EE7AD">
      <w:pPr>
        <w:pStyle w:val="4"/>
        <w:widowControl/>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3.3.3阻火器的压降需要经过实际测量形成压降图，压降图包含阻火器尺寸、爆炸组级别。</w:t>
      </w:r>
    </w:p>
    <w:p w14:paraId="3EE6DDBA">
      <w:pPr>
        <w:pStyle w:val="4"/>
        <w:widowControl/>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3.3.4阻爆轰阻火器应为双向型，结构型式采用同心式或偏心式，采用同心式的应有排凝接口。</w:t>
      </w:r>
    </w:p>
    <w:p w14:paraId="46379D10">
      <w:pPr>
        <w:pStyle w:val="4"/>
        <w:widowControl/>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3.3.5设计压力为2</w:t>
      </w:r>
      <w:r>
        <w:rPr>
          <w:rFonts w:hint="eastAsia" w:ascii="宋体" w:hAnsi="宋体" w:cs="宋体"/>
          <w:color w:val="auto"/>
          <w:kern w:val="0"/>
          <w:sz w:val="24"/>
          <w:highlight w:val="none"/>
          <w:lang w:val="en-US" w:eastAsia="zh-CN"/>
        </w:rPr>
        <w:t>k</w:t>
      </w:r>
      <w:r>
        <w:rPr>
          <w:rFonts w:hint="eastAsia" w:ascii="宋体" w:hAnsi="宋体" w:cs="宋体"/>
          <w:color w:val="auto"/>
          <w:kern w:val="0"/>
          <w:sz w:val="24"/>
          <w:highlight w:val="none"/>
        </w:rPr>
        <w:t>Pa的储罐到抽气设备之间的管道阻火器在设计工况下的压降不应大于0.3</w:t>
      </w:r>
      <w:r>
        <w:rPr>
          <w:rFonts w:hint="eastAsia" w:ascii="宋体" w:hAnsi="宋体" w:cs="宋体"/>
          <w:color w:val="auto"/>
          <w:kern w:val="0"/>
          <w:sz w:val="24"/>
          <w:highlight w:val="none"/>
          <w:lang w:val="en-US" w:eastAsia="zh-CN"/>
        </w:rPr>
        <w:t>k</w:t>
      </w:r>
      <w:r>
        <w:rPr>
          <w:rFonts w:hint="eastAsia" w:ascii="宋体" w:hAnsi="宋体" w:cs="宋体"/>
          <w:color w:val="auto"/>
          <w:kern w:val="0"/>
          <w:sz w:val="24"/>
          <w:highlight w:val="none"/>
        </w:rPr>
        <w:t>Pa。其余阻火器在未规定允许压降时，其最大压降不应超过10</w:t>
      </w:r>
      <w:r>
        <w:rPr>
          <w:rFonts w:hint="eastAsia" w:ascii="宋体" w:hAnsi="宋体" w:cs="宋体"/>
          <w:color w:val="auto"/>
          <w:kern w:val="0"/>
          <w:sz w:val="24"/>
          <w:highlight w:val="none"/>
          <w:lang w:val="en-US" w:eastAsia="zh-CN"/>
        </w:rPr>
        <w:t>k</w:t>
      </w:r>
      <w:r>
        <w:rPr>
          <w:rFonts w:hint="eastAsia" w:ascii="宋体" w:hAnsi="宋体" w:cs="宋体"/>
          <w:color w:val="auto"/>
          <w:kern w:val="0"/>
          <w:sz w:val="24"/>
          <w:highlight w:val="none"/>
        </w:rPr>
        <w:t>Pa。</w:t>
      </w:r>
    </w:p>
    <w:p w14:paraId="2A92A806">
      <w:pPr>
        <w:pStyle w:val="4"/>
        <w:widowControl/>
        <w:snapToGrid w:val="0"/>
        <w:spacing w:line="360" w:lineRule="auto"/>
        <w:rPr>
          <w:rFonts w:hint="eastAsia" w:ascii="宋体" w:hAnsi="宋体" w:cs="宋体"/>
          <w:color w:val="auto"/>
          <w:kern w:val="0"/>
          <w:sz w:val="24"/>
          <w:highlight w:val="none"/>
        </w:rPr>
      </w:pPr>
      <w:r>
        <w:rPr>
          <w:rFonts w:hint="eastAsia" w:ascii="宋体" w:hAnsi="宋体" w:cs="宋体"/>
          <w:color w:val="auto"/>
          <w:kern w:val="0"/>
          <w:sz w:val="24"/>
          <w:highlight w:val="none"/>
        </w:rPr>
        <w:t>3.3.6阻火盘应为金属波纹钢带板式，</w:t>
      </w:r>
      <w:r>
        <w:rPr>
          <w:rFonts w:hint="eastAsia" w:ascii="宋体" w:hAnsi="宋体" w:cs="宋体"/>
          <w:b/>
          <w:bCs/>
          <w:color w:val="auto"/>
          <w:kern w:val="0"/>
          <w:sz w:val="24"/>
          <w:highlight w:val="none"/>
        </w:rPr>
        <w:t>不得采用丝网、压环等结构</w:t>
      </w:r>
      <w:r>
        <w:rPr>
          <w:rFonts w:hint="eastAsia" w:ascii="宋体" w:hAnsi="宋体" w:cs="宋体"/>
          <w:color w:val="auto"/>
          <w:kern w:val="0"/>
          <w:sz w:val="24"/>
          <w:highlight w:val="none"/>
        </w:rPr>
        <w:t>。</w:t>
      </w:r>
    </w:p>
    <w:p w14:paraId="4526184B">
      <w:pPr>
        <w:pStyle w:val="4"/>
        <w:widowControl/>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3.3.7法兰垫片、紧固件由投标人提供。</w:t>
      </w:r>
    </w:p>
    <w:p w14:paraId="5A052393">
      <w:pPr>
        <w:pStyle w:val="4"/>
        <w:widowControl/>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3.3.8阻火器压降不大于1kPa。</w:t>
      </w:r>
    </w:p>
    <w:p w14:paraId="5A52A887">
      <w:pPr>
        <w:pStyle w:val="4"/>
        <w:widowControl/>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3.3.9阻火器介质组别为IIA，最大安全试验间隙MESG大于0.9。</w:t>
      </w:r>
    </w:p>
    <w:p w14:paraId="51D8D642">
      <w:pPr>
        <w:pStyle w:val="4"/>
        <w:widowControl/>
        <w:snapToGrid w:val="0"/>
        <w:spacing w:line="360" w:lineRule="auto"/>
        <w:rPr>
          <w:rFonts w:ascii="宋体" w:hAnsi="宋体" w:cs="宋体"/>
          <w:b/>
          <w:bCs/>
          <w:color w:val="auto"/>
          <w:kern w:val="0"/>
          <w:sz w:val="24"/>
          <w:highlight w:val="none"/>
        </w:rPr>
      </w:pPr>
      <w:r>
        <w:rPr>
          <w:rFonts w:hint="eastAsia" w:ascii="宋体" w:hAnsi="宋体" w:cs="宋体"/>
          <w:b/>
          <w:bCs/>
          <w:color w:val="auto"/>
          <w:kern w:val="0"/>
          <w:sz w:val="24"/>
          <w:highlight w:val="none"/>
        </w:rPr>
        <w:t>3.4</w:t>
      </w:r>
      <w:r>
        <w:rPr>
          <w:rFonts w:hint="eastAsia" w:ascii="宋体" w:hAnsi="宋体" w:cs="宋体"/>
          <w:b/>
          <w:bCs/>
          <w:color w:val="auto"/>
          <w:kern w:val="0"/>
          <w:sz w:val="24"/>
          <w:highlight w:val="none"/>
          <w:lang w:eastAsia="zh-CN"/>
        </w:rPr>
        <w:t>紧急泄放阀</w:t>
      </w:r>
      <w:r>
        <w:rPr>
          <w:rFonts w:hint="eastAsia" w:ascii="宋体" w:hAnsi="宋体" w:cs="宋体"/>
          <w:b/>
          <w:bCs/>
          <w:color w:val="auto"/>
          <w:kern w:val="0"/>
          <w:sz w:val="24"/>
          <w:highlight w:val="none"/>
        </w:rPr>
        <w:t>技术要求</w:t>
      </w:r>
    </w:p>
    <w:p w14:paraId="12E1DBC0">
      <w:pPr>
        <w:pStyle w:val="4"/>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3.4.1</w:t>
      </w:r>
      <w:r>
        <w:rPr>
          <w:rFonts w:hint="eastAsia" w:ascii="宋体" w:hAnsi="宋体" w:cs="宋体"/>
          <w:color w:val="auto"/>
          <w:kern w:val="0"/>
          <w:sz w:val="24"/>
          <w:highlight w:val="none"/>
          <w:lang w:eastAsia="zh-CN"/>
        </w:rPr>
        <w:t>紧急泄放阀</w:t>
      </w:r>
      <w:r>
        <w:rPr>
          <w:rFonts w:hint="eastAsia" w:ascii="宋体" w:hAnsi="宋体" w:cs="宋体"/>
          <w:color w:val="auto"/>
          <w:kern w:val="0"/>
          <w:sz w:val="24"/>
          <w:highlight w:val="none"/>
        </w:rPr>
        <w:t>为满足GB/T35077《机械安全 局部排气通风系统安全要求》附录C中的低泄漏要求。在设定压力的85%时测定阀门的泄漏量，最大允许的泄漏量值为：0.1</w:t>
      </w:r>
      <w:r>
        <w:rPr>
          <w:rFonts w:hint="eastAsia" w:ascii="宋体" w:eastAsia="宋体" w:cs="宋体"/>
          <w:b w:val="0"/>
          <w:color w:val="auto"/>
          <w:kern w:val="2"/>
          <w:sz w:val="24"/>
          <w:szCs w:val="24"/>
          <w:highlight w:val="none"/>
          <w:lang w:val="en-US" w:eastAsia="zh-CN" w:bidi="ar-SA"/>
        </w:rPr>
        <w:t>m</w:t>
      </w:r>
      <w:r>
        <w:rPr>
          <w:rFonts w:hint="eastAsia" w:ascii="宋体" w:eastAsia="宋体" w:cs="宋体"/>
          <w:b w:val="0"/>
          <w:color w:val="auto"/>
          <w:kern w:val="2"/>
          <w:sz w:val="24"/>
          <w:szCs w:val="24"/>
          <w:highlight w:val="none"/>
          <w:vertAlign w:val="superscript"/>
          <w:lang w:val="en-US" w:eastAsia="zh-CN" w:bidi="ar-SA"/>
        </w:rPr>
        <w:t>3</w:t>
      </w:r>
      <w:r>
        <w:rPr>
          <w:rFonts w:hint="eastAsia" w:ascii="宋体" w:hAnsi="宋体" w:cs="宋体"/>
          <w:color w:val="auto"/>
          <w:kern w:val="0"/>
          <w:sz w:val="24"/>
          <w:highlight w:val="none"/>
        </w:rPr>
        <w:t>/h。投标人</w:t>
      </w:r>
      <w:r>
        <w:rPr>
          <w:rFonts w:hint="eastAsia" w:ascii="宋体" w:hAnsi="宋体" w:cs="宋体"/>
          <w:color w:val="auto"/>
          <w:kern w:val="0"/>
          <w:sz w:val="24"/>
          <w:highlight w:val="none"/>
          <w:lang w:val="en-US" w:eastAsia="zh-CN"/>
        </w:rPr>
        <w:t>供货时</w:t>
      </w:r>
      <w:r>
        <w:rPr>
          <w:rFonts w:hint="eastAsia" w:ascii="宋体" w:hAnsi="宋体" w:cs="宋体"/>
          <w:color w:val="auto"/>
          <w:kern w:val="0"/>
          <w:sz w:val="24"/>
          <w:highlight w:val="none"/>
        </w:rPr>
        <w:t>应出具泄漏量测试仪器照片等信息及</w:t>
      </w:r>
      <w:r>
        <w:rPr>
          <w:rFonts w:hint="eastAsia" w:ascii="宋体" w:hAnsi="宋体" w:cs="宋体"/>
          <w:color w:val="auto"/>
          <w:kern w:val="0"/>
          <w:sz w:val="24"/>
          <w:highlight w:val="none"/>
          <w:lang w:val="en-US" w:eastAsia="zh-CN"/>
        </w:rPr>
        <w:t>由取得CNAS或CMA认证的实验室机构出具的</w:t>
      </w:r>
      <w:r>
        <w:rPr>
          <w:rFonts w:hint="eastAsia" w:ascii="宋体" w:hAnsi="宋体" w:cs="宋体"/>
          <w:color w:val="auto"/>
          <w:kern w:val="0"/>
          <w:sz w:val="24"/>
          <w:highlight w:val="none"/>
        </w:rPr>
        <w:t>泄漏量测试报告。</w:t>
      </w:r>
    </w:p>
    <w:p w14:paraId="1A538CEF">
      <w:pPr>
        <w:pStyle w:val="4"/>
        <w:widowControl/>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3.4.2</w:t>
      </w:r>
      <w:r>
        <w:rPr>
          <w:rFonts w:hint="eastAsia" w:ascii="宋体" w:hAnsi="宋体" w:cs="宋体"/>
          <w:color w:val="auto"/>
          <w:kern w:val="0"/>
          <w:sz w:val="24"/>
          <w:highlight w:val="none"/>
          <w:lang w:eastAsia="zh-CN"/>
        </w:rPr>
        <w:t>紧急泄放阀</w:t>
      </w:r>
      <w:r>
        <w:rPr>
          <w:rFonts w:hint="eastAsia" w:ascii="宋体" w:hAnsi="宋体" w:cs="宋体"/>
          <w:color w:val="auto"/>
          <w:kern w:val="0"/>
          <w:sz w:val="24"/>
          <w:highlight w:val="none"/>
        </w:rPr>
        <w:t>在开启时应动作灵活且具有防飞脱措施。</w:t>
      </w:r>
    </w:p>
    <w:p w14:paraId="41AC1F09">
      <w:pPr>
        <w:pStyle w:val="4"/>
        <w:widowControl/>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3.4.3</w:t>
      </w:r>
      <w:r>
        <w:rPr>
          <w:rFonts w:hint="eastAsia" w:ascii="宋体" w:hAnsi="宋体" w:cs="宋体"/>
          <w:color w:val="auto"/>
          <w:kern w:val="0"/>
          <w:sz w:val="24"/>
          <w:highlight w:val="none"/>
          <w:lang w:eastAsia="zh-CN"/>
        </w:rPr>
        <w:t>紧急泄放阀</w:t>
      </w:r>
      <w:r>
        <w:rPr>
          <w:rFonts w:hint="eastAsia" w:ascii="宋体" w:hAnsi="宋体" w:cs="宋体"/>
          <w:color w:val="auto"/>
          <w:kern w:val="0"/>
          <w:sz w:val="24"/>
          <w:highlight w:val="none"/>
        </w:rPr>
        <w:t>阀座应采用316材质；密封</w:t>
      </w:r>
      <w:r>
        <w:rPr>
          <w:rFonts w:hint="eastAsia" w:ascii="宋体" w:hAnsi="宋体" w:cs="宋体"/>
          <w:color w:val="auto"/>
          <w:kern w:val="0"/>
          <w:sz w:val="24"/>
          <w:highlight w:val="none"/>
          <w:lang w:val="en-US" w:eastAsia="zh-CN"/>
        </w:rPr>
        <w:t>面材质</w:t>
      </w:r>
      <w:r>
        <w:rPr>
          <w:rFonts w:hint="eastAsia" w:ascii="宋体" w:hAnsi="宋体" w:cs="宋体"/>
          <w:color w:val="auto"/>
          <w:kern w:val="0"/>
          <w:sz w:val="24"/>
          <w:highlight w:val="none"/>
        </w:rPr>
        <w:t>根据设定压力情况，采用不锈钢或聚全氟乙丙烯（FEP），</w:t>
      </w:r>
      <w:r>
        <w:rPr>
          <w:rFonts w:hint="eastAsia" w:ascii="宋体" w:hAnsi="宋体" w:cs="宋体"/>
          <w:b/>
          <w:bCs/>
          <w:color w:val="auto"/>
          <w:kern w:val="0"/>
          <w:sz w:val="24"/>
          <w:highlight w:val="none"/>
          <w:lang w:eastAsia="zh-CN"/>
        </w:rPr>
        <w:t>本项目选择的是</w:t>
      </w:r>
      <w:r>
        <w:rPr>
          <w:rFonts w:hint="eastAsia" w:ascii="宋体" w:hAnsi="宋体" w:cs="宋体"/>
          <w:b/>
          <w:bCs/>
          <w:color w:val="auto"/>
          <w:kern w:val="0"/>
          <w:sz w:val="24"/>
          <w:highlight w:val="none"/>
          <w:u w:val="single"/>
          <w:lang w:val="en-US" w:eastAsia="zh-CN"/>
        </w:rPr>
        <w:t xml:space="preserve">                 （投标人填写）</w:t>
      </w:r>
      <w:r>
        <w:rPr>
          <w:rFonts w:hint="eastAsia" w:ascii="宋体" w:hAnsi="宋体" w:cs="宋体"/>
          <w:color w:val="auto"/>
          <w:kern w:val="0"/>
          <w:sz w:val="24"/>
          <w:highlight w:val="none"/>
        </w:rPr>
        <w:t>。</w:t>
      </w:r>
    </w:p>
    <w:p w14:paraId="25B3FC71">
      <w:pPr>
        <w:pStyle w:val="4"/>
        <w:widowControl/>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3.4.4</w:t>
      </w:r>
      <w:r>
        <w:rPr>
          <w:rFonts w:hint="eastAsia" w:ascii="宋体" w:hAnsi="宋体" w:cs="宋体"/>
          <w:color w:val="auto"/>
          <w:kern w:val="0"/>
          <w:sz w:val="24"/>
          <w:highlight w:val="none"/>
          <w:lang w:eastAsia="zh-CN"/>
        </w:rPr>
        <w:t>紧急泄放阀</w:t>
      </w:r>
      <w:r>
        <w:rPr>
          <w:rFonts w:hint="eastAsia" w:ascii="宋体" w:hAnsi="宋体" w:cs="宋体"/>
          <w:color w:val="auto"/>
          <w:kern w:val="0"/>
          <w:sz w:val="24"/>
          <w:highlight w:val="none"/>
        </w:rPr>
        <w:t>全开压力不应大于1.1倍的整定压力，即超压值不大于10%。提供技术说明文件</w:t>
      </w:r>
      <w:r>
        <w:rPr>
          <w:rFonts w:hint="eastAsia" w:ascii="宋体" w:hAnsi="宋体" w:cs="宋体"/>
          <w:color w:val="auto"/>
          <w:kern w:val="0"/>
          <w:sz w:val="24"/>
          <w:highlight w:val="none"/>
          <w:lang w:eastAsia="zh-CN"/>
        </w:rPr>
        <w:t>，</w:t>
      </w:r>
      <w:r>
        <w:rPr>
          <w:rFonts w:hint="eastAsia" w:ascii="宋体" w:hAnsi="宋体" w:cs="宋体"/>
          <w:b/>
          <w:bCs/>
          <w:color w:val="auto"/>
          <w:kern w:val="0"/>
          <w:sz w:val="24"/>
          <w:highlight w:val="none"/>
          <w:lang w:eastAsia="zh-CN"/>
        </w:rPr>
        <w:t>投标人所投产品超压值</w:t>
      </w:r>
      <w:r>
        <w:rPr>
          <w:rFonts w:hint="eastAsia" w:ascii="宋体" w:hAnsi="宋体" w:cs="宋体"/>
          <w:b/>
          <w:bCs/>
          <w:color w:val="auto"/>
          <w:kern w:val="0"/>
          <w:sz w:val="24"/>
          <w:highlight w:val="none"/>
        </w:rPr>
        <w:t>不大于</w:t>
      </w:r>
      <w:r>
        <w:rPr>
          <w:rFonts w:hint="eastAsia" w:ascii="宋体" w:hAnsi="宋体" w:cs="宋体"/>
          <w:b/>
          <w:bCs/>
          <w:color w:val="auto"/>
          <w:kern w:val="0"/>
          <w:sz w:val="24"/>
          <w:highlight w:val="none"/>
          <w:u w:val="single"/>
          <w:lang w:val="en-US" w:eastAsia="zh-CN"/>
        </w:rPr>
        <w:t xml:space="preserve">      </w:t>
      </w:r>
      <w:r>
        <w:rPr>
          <w:rFonts w:hint="eastAsia" w:ascii="宋体" w:hAnsi="宋体" w:cs="宋体"/>
          <w:b/>
          <w:bCs/>
          <w:color w:val="auto"/>
          <w:kern w:val="0"/>
          <w:sz w:val="24"/>
          <w:highlight w:val="none"/>
          <w:u w:val="single"/>
        </w:rPr>
        <w:t>%</w:t>
      </w:r>
      <w:r>
        <w:rPr>
          <w:rFonts w:hint="eastAsia" w:ascii="宋体" w:hAnsi="宋体" w:cs="宋体"/>
          <w:b/>
          <w:bCs/>
          <w:color w:val="auto"/>
          <w:kern w:val="0"/>
          <w:sz w:val="24"/>
          <w:highlight w:val="none"/>
          <w:u w:val="single"/>
          <w:lang w:val="en-US" w:eastAsia="zh-CN"/>
        </w:rPr>
        <w:t>（投标人填写）</w:t>
      </w:r>
      <w:r>
        <w:rPr>
          <w:rFonts w:hint="eastAsia" w:ascii="宋体" w:hAnsi="宋体" w:cs="宋体"/>
          <w:color w:val="auto"/>
          <w:kern w:val="0"/>
          <w:sz w:val="24"/>
          <w:highlight w:val="none"/>
        </w:rPr>
        <w:t>。</w:t>
      </w:r>
    </w:p>
    <w:p w14:paraId="371183DE">
      <w:pPr>
        <w:pStyle w:val="4"/>
        <w:widowControl/>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3.4.5</w:t>
      </w:r>
      <w:r>
        <w:rPr>
          <w:rFonts w:hint="eastAsia" w:ascii="宋体" w:hAnsi="宋体" w:cs="宋体"/>
          <w:color w:val="auto"/>
          <w:kern w:val="0"/>
          <w:sz w:val="24"/>
          <w:highlight w:val="none"/>
          <w:lang w:eastAsia="zh-CN"/>
        </w:rPr>
        <w:t>紧急泄放阀</w:t>
      </w:r>
      <w:r>
        <w:rPr>
          <w:rFonts w:hint="eastAsia" w:ascii="宋体" w:hAnsi="宋体" w:cs="宋体"/>
          <w:color w:val="auto"/>
          <w:kern w:val="0"/>
          <w:sz w:val="24"/>
          <w:highlight w:val="none"/>
        </w:rPr>
        <w:t>的最大排放量应经过实际测量，并根据实际测量值绘制流量图。流量图应包含阀门尺寸、全开启压力和最大流量等参数。</w:t>
      </w:r>
    </w:p>
    <w:p w14:paraId="44FFD0CB">
      <w:pPr>
        <w:pStyle w:val="4"/>
        <w:widowControl/>
        <w:snapToGrid w:val="0"/>
        <w:spacing w:line="360" w:lineRule="auto"/>
        <w:rPr>
          <w:rFonts w:hint="eastAsia" w:ascii="宋体" w:hAnsi="宋体" w:eastAsia="宋体" w:cs="宋体"/>
          <w:color w:val="auto"/>
          <w:kern w:val="0"/>
          <w:sz w:val="24"/>
          <w:highlight w:val="none"/>
          <w:lang w:eastAsia="zh-CN"/>
        </w:rPr>
      </w:pPr>
      <w:r>
        <w:rPr>
          <w:rFonts w:hint="eastAsia" w:ascii="宋体" w:hAnsi="宋体" w:cs="宋体"/>
          <w:color w:val="auto"/>
          <w:kern w:val="0"/>
          <w:sz w:val="24"/>
          <w:highlight w:val="none"/>
        </w:rPr>
        <w:t>3.4.6</w:t>
      </w:r>
      <w:r>
        <w:rPr>
          <w:rFonts w:hint="eastAsia" w:ascii="宋体" w:hAnsi="宋体" w:cs="宋体"/>
          <w:color w:val="auto"/>
          <w:kern w:val="0"/>
          <w:sz w:val="24"/>
          <w:highlight w:val="none"/>
          <w:lang w:eastAsia="zh-CN"/>
        </w:rPr>
        <w:t>紧急泄放阀</w:t>
      </w:r>
      <w:r>
        <w:rPr>
          <w:rFonts w:hint="eastAsia" w:ascii="宋体" w:hAnsi="宋体" w:cs="宋体"/>
          <w:color w:val="auto"/>
          <w:kern w:val="0"/>
          <w:sz w:val="24"/>
          <w:highlight w:val="none"/>
        </w:rPr>
        <w:t>法兰厚度不得小于设备本体接口法兰厚度</w:t>
      </w:r>
      <w:r>
        <w:rPr>
          <w:rFonts w:hint="eastAsia" w:ascii="宋体" w:hAnsi="宋体" w:cs="宋体"/>
          <w:color w:val="auto"/>
          <w:kern w:val="0"/>
          <w:sz w:val="24"/>
          <w:highlight w:val="none"/>
          <w:lang w:eastAsia="zh-CN"/>
        </w:rPr>
        <w:t>（</w:t>
      </w:r>
      <w:r>
        <w:rPr>
          <w:rFonts w:hint="eastAsia" w:ascii="宋体" w:hAnsi="宋体" w:cs="宋体"/>
          <w:color w:val="auto"/>
          <w:kern w:val="0"/>
          <w:sz w:val="24"/>
          <w:highlight w:val="none"/>
          <w:lang w:val="en-US" w:eastAsia="zh-CN"/>
        </w:rPr>
        <w:t>投标人中标后须在一周内现场核实，并办理签证手续</w:t>
      </w:r>
      <w:r>
        <w:rPr>
          <w:rFonts w:hint="eastAsia" w:ascii="宋体" w:hAnsi="宋体" w:cs="宋体"/>
          <w:color w:val="auto"/>
          <w:kern w:val="0"/>
          <w:sz w:val="24"/>
          <w:highlight w:val="none"/>
          <w:lang w:eastAsia="zh-CN"/>
        </w:rPr>
        <w:t>）</w:t>
      </w:r>
      <w:r>
        <w:rPr>
          <w:rFonts w:hint="eastAsia" w:ascii="宋体" w:hAnsi="宋体" w:cs="宋体"/>
          <w:color w:val="auto"/>
          <w:kern w:val="0"/>
          <w:sz w:val="24"/>
          <w:highlight w:val="none"/>
        </w:rPr>
        <w:t>。</w:t>
      </w:r>
    </w:p>
    <w:p w14:paraId="14D456D3">
      <w:pPr>
        <w:pStyle w:val="3"/>
        <w:rPr>
          <w:rFonts w:ascii="宋体" w:cs="宋体"/>
          <w:bCs/>
          <w:color w:val="auto"/>
          <w:kern w:val="0"/>
          <w:sz w:val="24"/>
          <w:highlight w:val="none"/>
        </w:rPr>
      </w:pPr>
      <w:r>
        <w:rPr>
          <w:rFonts w:hint="eastAsia" w:ascii="宋体" w:eastAsia="宋体" w:cs="宋体"/>
          <w:b w:val="0"/>
          <w:color w:val="auto"/>
          <w:kern w:val="0"/>
          <w:sz w:val="24"/>
          <w:highlight w:val="none"/>
          <w:lang w:val="en-US" w:eastAsia="zh-CN"/>
        </w:rPr>
        <w:t>3.4.</w:t>
      </w:r>
      <w:r>
        <w:rPr>
          <w:rFonts w:hint="eastAsia" w:ascii="宋体" w:eastAsia="宋体" w:cs="宋体"/>
          <w:b w:val="0"/>
          <w:color w:val="auto"/>
          <w:kern w:val="0"/>
          <w:sz w:val="24"/>
          <w:highlight w:val="none"/>
          <w:lang w:val="en-US" w:eastAsia="zh-CN"/>
        </w:rPr>
        <w:t>7</w:t>
      </w:r>
      <w:r>
        <w:rPr>
          <w:rFonts w:hint="eastAsia" w:ascii="宋体" w:eastAsia="宋体" w:cs="宋体"/>
          <w:b w:val="0"/>
          <w:color w:val="auto"/>
          <w:kern w:val="0"/>
          <w:sz w:val="24"/>
          <w:highlight w:val="none"/>
        </w:rPr>
        <w:t xml:space="preserve"> 法兰垫片、紧固件由投标人提供。</w:t>
      </w:r>
      <w:r>
        <w:rPr>
          <w:rFonts w:hint="eastAsia" w:ascii="宋体" w:cs="宋体"/>
          <w:b w:val="0"/>
          <w:color w:val="auto"/>
          <w:kern w:val="0"/>
          <w:sz w:val="24"/>
          <w:highlight w:val="none"/>
        </w:rPr>
        <w:t xml:space="preserve">                                                      </w:t>
      </w:r>
    </w:p>
    <w:p w14:paraId="333819C8">
      <w:pPr>
        <w:pStyle w:val="4"/>
        <w:widowControl/>
        <w:snapToGrid w:val="0"/>
        <w:spacing w:line="360" w:lineRule="auto"/>
        <w:rPr>
          <w:rFonts w:hint="eastAsia" w:ascii="宋体" w:hAnsi="宋体" w:cs="宋体"/>
          <w:b/>
          <w:bCs/>
          <w:color w:val="auto"/>
          <w:kern w:val="0"/>
          <w:sz w:val="24"/>
          <w:highlight w:val="none"/>
        </w:rPr>
      </w:pPr>
      <w:r>
        <w:rPr>
          <w:rFonts w:hint="eastAsia" w:ascii="宋体" w:hAnsi="宋体" w:cs="宋体"/>
          <w:b/>
          <w:bCs/>
          <w:color w:val="auto"/>
          <w:kern w:val="0"/>
          <w:sz w:val="24"/>
          <w:highlight w:val="none"/>
        </w:rPr>
        <w:t>3.5材料要求</w:t>
      </w:r>
    </w:p>
    <w:p w14:paraId="1D65400F">
      <w:pPr>
        <w:pStyle w:val="4"/>
        <w:widowControl/>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3.5.1材料尺寸和偏差必须符合相应标准的规定；</w:t>
      </w:r>
    </w:p>
    <w:p w14:paraId="44FAE9F2">
      <w:pPr>
        <w:pStyle w:val="4"/>
        <w:widowControl/>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3.5.2 投标人必须提供产品制造材料的质量检验合格证书、产地、化学成分、物理性能等相关资料；</w:t>
      </w:r>
    </w:p>
    <w:p w14:paraId="21D10D69">
      <w:pPr>
        <w:pStyle w:val="4"/>
        <w:widowControl/>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3.6在呼吸阀、阻火器、紧急泄放阀的明显部位装设铭牌，铭牌内容包括但不限于产品名称、产品型号、</w:t>
      </w:r>
      <w:r>
        <w:rPr>
          <w:rFonts w:hint="eastAsia" w:ascii="宋体" w:hAnsi="宋体" w:cs="宋体"/>
          <w:color w:val="auto"/>
          <w:kern w:val="0"/>
          <w:sz w:val="24"/>
          <w:highlight w:val="none"/>
          <w:lang w:val="en-US" w:eastAsia="zh-CN"/>
        </w:rPr>
        <w:t>设备位号、</w:t>
      </w:r>
      <w:r>
        <w:rPr>
          <w:rFonts w:hint="eastAsia" w:ascii="宋体" w:hAnsi="宋体" w:cs="宋体"/>
          <w:color w:val="auto"/>
          <w:kern w:val="0"/>
          <w:sz w:val="24"/>
          <w:highlight w:val="none"/>
        </w:rPr>
        <w:t>公称尺寸、压力等级、最高工作压力、产品制造厂名称和制造厂产品编号等参数；</w:t>
      </w:r>
    </w:p>
    <w:p w14:paraId="29945579">
      <w:pPr>
        <w:pStyle w:val="4"/>
        <w:widowControl/>
        <w:autoSpaceDE w:val="0"/>
        <w:autoSpaceDN w:val="0"/>
        <w:adjustRightInd w:val="0"/>
        <w:snapToGrid w:val="0"/>
        <w:spacing w:line="360" w:lineRule="auto"/>
        <w:jc w:val="left"/>
        <w:rPr>
          <w:rFonts w:ascii="宋体" w:hAnsi="宋体" w:cs="宋体"/>
          <w:color w:val="auto"/>
          <w:kern w:val="0"/>
          <w:sz w:val="24"/>
          <w:highlight w:val="none"/>
        </w:rPr>
      </w:pPr>
      <w:r>
        <w:rPr>
          <w:rFonts w:hint="eastAsia" w:ascii="宋体" w:hAnsi="宋体" w:cs="宋体"/>
          <w:color w:val="auto"/>
          <w:kern w:val="0"/>
          <w:sz w:val="24"/>
          <w:highlight w:val="none"/>
        </w:rPr>
        <w:t>3.7呼吸阀、阻火器、紧急泄放阀的主要零部件的设计寿命</w:t>
      </w:r>
      <w:r>
        <w:rPr>
          <w:rFonts w:hint="eastAsia" w:ascii="宋体" w:hAnsi="宋体" w:cs="宋体"/>
          <w:color w:val="auto"/>
          <w:kern w:val="0"/>
          <w:sz w:val="24"/>
          <w:highlight w:val="none"/>
          <w:lang w:eastAsia="zh-CN"/>
        </w:rPr>
        <w:t>不少于</w:t>
      </w:r>
      <w:r>
        <w:rPr>
          <w:rFonts w:hint="eastAsia" w:ascii="宋体" w:hAnsi="宋体" w:cs="宋体"/>
          <w:color w:val="auto"/>
          <w:kern w:val="0"/>
          <w:sz w:val="24"/>
          <w:highlight w:val="none"/>
          <w:lang w:val="en-US" w:eastAsia="zh-CN"/>
        </w:rPr>
        <w:t>10年</w:t>
      </w:r>
      <w:r>
        <w:rPr>
          <w:rFonts w:hint="eastAsia" w:ascii="宋体" w:hAnsi="宋体" w:cs="宋体"/>
          <w:color w:val="auto"/>
          <w:kern w:val="0"/>
          <w:sz w:val="24"/>
          <w:highlight w:val="none"/>
        </w:rPr>
        <w:t>，在设计条件下连续工作时间8000h/年；</w:t>
      </w:r>
    </w:p>
    <w:p w14:paraId="1C07F458">
      <w:pPr>
        <w:pStyle w:val="4"/>
        <w:spacing w:line="360" w:lineRule="auto"/>
        <w:outlineLvl w:val="0"/>
        <w:rPr>
          <w:rFonts w:ascii="宋体" w:hAnsi="宋体" w:cs="宋体"/>
          <w:b/>
          <w:caps/>
          <w:color w:val="auto"/>
          <w:sz w:val="32"/>
          <w:szCs w:val="32"/>
          <w:highlight w:val="none"/>
        </w:rPr>
      </w:pPr>
      <w:bookmarkStart w:id="12" w:name="_Toc20507"/>
      <w:r>
        <w:rPr>
          <w:rFonts w:hint="eastAsia" w:ascii="宋体" w:hAnsi="宋体" w:cs="宋体"/>
          <w:b/>
          <w:caps/>
          <w:color w:val="auto"/>
          <w:sz w:val="32"/>
          <w:szCs w:val="32"/>
          <w:highlight w:val="none"/>
        </w:rPr>
        <w:t>4、供货范围</w:t>
      </w:r>
      <w:bookmarkEnd w:id="12"/>
    </w:p>
    <w:p w14:paraId="64A77742">
      <w:pPr>
        <w:pStyle w:val="4"/>
        <w:spacing w:line="360" w:lineRule="auto"/>
        <w:ind w:firstLine="480" w:firstLineChars="200"/>
        <w:jc w:val="left"/>
        <w:rPr>
          <w:rFonts w:ascii="宋体" w:hAnsi="宋体" w:cs="宋体"/>
          <w:color w:val="auto"/>
          <w:kern w:val="0"/>
          <w:sz w:val="24"/>
          <w:highlight w:val="none"/>
        </w:rPr>
      </w:pPr>
      <w:r>
        <w:rPr>
          <w:rFonts w:hint="eastAsia" w:ascii="宋体" w:hAnsi="宋体" w:cs="宋体"/>
          <w:color w:val="auto"/>
          <w:kern w:val="0"/>
          <w:sz w:val="24"/>
          <w:highlight w:val="none"/>
        </w:rPr>
        <w:t>投标人按招标人提供的呼吸阀、阻火器、紧急泄放阀参数表要求进行设计、加工供货，且所供产品是全新的、完整的、安全可靠的、技术成熟的、各项性能指标完全满足招标人使用要求的合格产品。</w:t>
      </w:r>
    </w:p>
    <w:p w14:paraId="02DA7D87">
      <w:pPr>
        <w:pStyle w:val="4"/>
        <w:spacing w:line="360" w:lineRule="auto"/>
        <w:jc w:val="left"/>
        <w:rPr>
          <w:rFonts w:ascii="宋体" w:hAnsi="宋体" w:cs="宋体"/>
          <w:color w:val="auto"/>
          <w:kern w:val="0"/>
          <w:sz w:val="24"/>
          <w:highlight w:val="none"/>
        </w:rPr>
      </w:pPr>
      <w:r>
        <w:rPr>
          <w:rFonts w:hint="eastAsia" w:ascii="宋体" w:hAnsi="宋体" w:cs="宋体"/>
          <w:color w:val="auto"/>
          <w:kern w:val="0"/>
          <w:sz w:val="24"/>
          <w:highlight w:val="none"/>
        </w:rPr>
        <w:t>4.1供货范围</w:t>
      </w:r>
    </w:p>
    <w:p w14:paraId="1AD16B0E">
      <w:pPr>
        <w:pStyle w:val="4"/>
        <w:spacing w:line="360" w:lineRule="auto"/>
        <w:jc w:val="left"/>
        <w:rPr>
          <w:rFonts w:hint="eastAsia" w:ascii="宋体" w:hAnsi="宋体" w:cs="宋体"/>
          <w:color w:val="auto"/>
          <w:kern w:val="0"/>
          <w:sz w:val="24"/>
          <w:highlight w:val="none"/>
          <w:lang w:eastAsia="zh-CN"/>
        </w:rPr>
      </w:pPr>
      <w:r>
        <w:rPr>
          <w:rFonts w:hint="eastAsia" w:ascii="宋体" w:hAnsi="宋体" w:cs="宋体"/>
          <w:color w:val="auto"/>
          <w:kern w:val="0"/>
          <w:sz w:val="24"/>
          <w:highlight w:val="none"/>
        </w:rPr>
        <w:t>4.1.1阀门清单</w:t>
      </w:r>
      <w:r>
        <w:rPr>
          <w:rFonts w:hint="eastAsia" w:ascii="宋体" w:hAnsi="宋体" w:cs="宋体"/>
          <w:color w:val="auto"/>
          <w:kern w:val="0"/>
          <w:sz w:val="24"/>
          <w:highlight w:val="none"/>
          <w:lang w:eastAsia="zh-CN"/>
        </w:rPr>
        <w:t>（</w:t>
      </w:r>
      <w:r>
        <w:rPr>
          <w:rFonts w:hint="eastAsia" w:ascii="宋体" w:hAnsi="宋体" w:cs="宋体"/>
          <w:color w:val="auto"/>
          <w:kern w:val="0"/>
          <w:sz w:val="24"/>
          <w:highlight w:val="none"/>
          <w:lang w:val="en-US" w:eastAsia="zh-CN"/>
        </w:rPr>
        <w:t>设备参数详见技术参数附件，法兰紧垫片、紧固件由投标人提供</w:t>
      </w:r>
      <w:r>
        <w:rPr>
          <w:rFonts w:hint="eastAsia" w:ascii="宋体" w:hAnsi="宋体" w:cs="宋体"/>
          <w:color w:val="auto"/>
          <w:kern w:val="0"/>
          <w:sz w:val="24"/>
          <w:highlight w:val="none"/>
          <w:lang w:eastAsia="zh-CN"/>
        </w:rPr>
        <w:t>）</w:t>
      </w:r>
    </w:p>
    <w:p w14:paraId="6BEC015A">
      <w:pPr>
        <w:pStyle w:val="4"/>
        <w:spacing w:line="360" w:lineRule="auto"/>
        <w:jc w:val="left"/>
        <w:rPr>
          <w:rFonts w:hint="default" w:ascii="宋体" w:hAnsi="宋体" w:eastAsia="宋体" w:cs="宋体"/>
          <w:color w:val="auto"/>
          <w:kern w:val="0"/>
          <w:sz w:val="24"/>
          <w:highlight w:val="none"/>
          <w:lang w:val="en-US" w:eastAsia="zh-CN"/>
        </w:rPr>
      </w:pPr>
      <w:r>
        <w:rPr>
          <w:rFonts w:hint="eastAsia" w:ascii="宋体" w:hAnsi="宋体" w:cs="宋体"/>
          <w:color w:val="auto"/>
          <w:kern w:val="0"/>
          <w:sz w:val="24"/>
          <w:highlight w:val="none"/>
          <w:lang w:val="en-US" w:eastAsia="zh-CN"/>
        </w:rPr>
        <w:t>阻火</w:t>
      </w:r>
      <w:r>
        <w:rPr>
          <w:rFonts w:hint="eastAsia" w:ascii="宋体" w:hAnsi="宋体" w:cs="宋体"/>
          <w:color w:val="auto"/>
          <w:kern w:val="0"/>
          <w:sz w:val="24"/>
          <w:highlight w:val="none"/>
          <w:lang w:val="en-US" w:eastAsia="zh-CN"/>
        </w:rPr>
        <w:t>呼吸阀：</w:t>
      </w:r>
    </w:p>
    <w:tbl>
      <w:tblPr>
        <w:tblStyle w:val="7"/>
        <w:tblW w:w="536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4"/>
        <w:gridCol w:w="1693"/>
        <w:gridCol w:w="1750"/>
        <w:gridCol w:w="1600"/>
        <w:gridCol w:w="763"/>
        <w:gridCol w:w="1631"/>
        <w:gridCol w:w="1208"/>
      </w:tblGrid>
      <w:tr w14:paraId="51C1C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270" w:type="pct"/>
            <w:vAlign w:val="center"/>
          </w:tcPr>
          <w:p w14:paraId="188228AD">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序号</w:t>
            </w:r>
          </w:p>
        </w:tc>
        <w:tc>
          <w:tcPr>
            <w:tcW w:w="926" w:type="pct"/>
            <w:vAlign w:val="center"/>
          </w:tcPr>
          <w:p w14:paraId="30F76EE8">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设备名称</w:t>
            </w:r>
          </w:p>
        </w:tc>
        <w:tc>
          <w:tcPr>
            <w:tcW w:w="957" w:type="pct"/>
            <w:vAlign w:val="center"/>
          </w:tcPr>
          <w:p w14:paraId="294DE6E4">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规格型号</w:t>
            </w:r>
          </w:p>
        </w:tc>
        <w:tc>
          <w:tcPr>
            <w:tcW w:w="875" w:type="pct"/>
            <w:vAlign w:val="center"/>
          </w:tcPr>
          <w:p w14:paraId="66AD9558">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材质</w:t>
            </w:r>
          </w:p>
        </w:tc>
        <w:tc>
          <w:tcPr>
            <w:tcW w:w="417" w:type="pct"/>
            <w:vAlign w:val="center"/>
          </w:tcPr>
          <w:p w14:paraId="0B520F7F">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数量</w:t>
            </w:r>
          </w:p>
        </w:tc>
        <w:tc>
          <w:tcPr>
            <w:tcW w:w="892" w:type="pct"/>
            <w:vAlign w:val="center"/>
          </w:tcPr>
          <w:p w14:paraId="17EDD756">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lang w:val="en-US" w:eastAsia="zh-CN"/>
              </w:rPr>
            </w:pPr>
            <w:r>
              <w:rPr>
                <w:rFonts w:hint="eastAsia" w:ascii="华文楷体" w:hAnsi="华文楷体" w:eastAsia="华文楷体" w:cs="宋体"/>
                <w:color w:val="auto"/>
                <w:sz w:val="21"/>
                <w:szCs w:val="21"/>
                <w:highlight w:val="none"/>
                <w:lang w:val="en-US" w:eastAsia="zh-CN"/>
              </w:rPr>
              <w:t>单台重量</w:t>
            </w:r>
          </w:p>
          <w:p w14:paraId="751A1D5D">
            <w:pPr>
              <w:keepNext w:val="0"/>
              <w:keepLines w:val="0"/>
              <w:pageBreakBefore w:val="0"/>
              <w:widowControl w:val="0"/>
              <w:kinsoku/>
              <w:wordWrap/>
              <w:overflowPunct/>
              <w:topLinePunct w:val="0"/>
              <w:autoSpaceDE/>
              <w:autoSpaceDN/>
              <w:bidi w:val="0"/>
              <w:adjustRightInd/>
              <w:snapToGrid/>
              <w:jc w:val="both"/>
              <w:textAlignment w:val="auto"/>
              <w:rPr>
                <w:rFonts w:hint="eastAsia" w:ascii="华文楷体" w:hAnsi="华文楷体" w:eastAsia="华文楷体" w:cs="宋体"/>
                <w:color w:val="auto"/>
                <w:sz w:val="21"/>
                <w:szCs w:val="21"/>
                <w:highlight w:val="none"/>
                <w:lang w:val="en-US" w:eastAsia="zh-CN"/>
              </w:rPr>
            </w:pPr>
            <w:r>
              <w:rPr>
                <w:rFonts w:hint="eastAsia" w:ascii="华文楷体" w:hAnsi="华文楷体" w:eastAsia="华文楷体" w:cs="宋体"/>
                <w:b/>
                <w:bCs/>
                <w:color w:val="auto"/>
                <w:sz w:val="21"/>
                <w:szCs w:val="21"/>
                <w:highlight w:val="none"/>
                <w:lang w:val="en-US" w:eastAsia="zh-CN"/>
              </w:rPr>
              <w:t>（投标人填写）</w:t>
            </w:r>
          </w:p>
        </w:tc>
        <w:tc>
          <w:tcPr>
            <w:tcW w:w="660" w:type="pct"/>
            <w:vAlign w:val="center"/>
          </w:tcPr>
          <w:p w14:paraId="6238A8CC">
            <w:pPr>
              <w:keepNext w:val="0"/>
              <w:keepLines w:val="0"/>
              <w:pageBreakBefore w:val="0"/>
              <w:widowControl w:val="0"/>
              <w:kinsoku/>
              <w:wordWrap/>
              <w:overflowPunct/>
              <w:topLinePunct w:val="0"/>
              <w:autoSpaceDE/>
              <w:autoSpaceDN/>
              <w:bidi w:val="0"/>
              <w:adjustRightInd/>
              <w:snapToGrid/>
              <w:jc w:val="center"/>
              <w:textAlignment w:val="auto"/>
              <w:rPr>
                <w:rFonts w:hint="default" w:ascii="华文楷体" w:hAnsi="华文楷体" w:eastAsia="华文楷体" w:cs="宋体"/>
                <w:color w:val="auto"/>
                <w:sz w:val="21"/>
                <w:szCs w:val="21"/>
                <w:highlight w:val="none"/>
                <w:lang w:val="en-US" w:eastAsia="zh-CN"/>
              </w:rPr>
            </w:pPr>
            <w:r>
              <w:rPr>
                <w:rFonts w:hint="eastAsia" w:ascii="华文楷体" w:hAnsi="华文楷体" w:eastAsia="华文楷体" w:cs="宋体"/>
                <w:color w:val="auto"/>
                <w:sz w:val="21"/>
                <w:szCs w:val="21"/>
                <w:highlight w:val="none"/>
                <w:lang w:val="en-US" w:eastAsia="zh-CN"/>
              </w:rPr>
              <w:t>供货批次要求</w:t>
            </w:r>
          </w:p>
        </w:tc>
      </w:tr>
      <w:tr w14:paraId="6C7C7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270" w:type="pct"/>
            <w:vAlign w:val="center"/>
          </w:tcPr>
          <w:p w14:paraId="590AAC5C">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ascii="华文楷体" w:hAnsi="华文楷体" w:eastAsia="华文楷体" w:cs="宋体"/>
                <w:color w:val="auto"/>
                <w:sz w:val="21"/>
                <w:szCs w:val="21"/>
                <w:highlight w:val="none"/>
              </w:rPr>
              <w:t>1</w:t>
            </w:r>
          </w:p>
        </w:tc>
        <w:tc>
          <w:tcPr>
            <w:tcW w:w="926" w:type="pct"/>
            <w:vAlign w:val="center"/>
          </w:tcPr>
          <w:p w14:paraId="5E90022E">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阻火呼吸阀</w:t>
            </w:r>
          </w:p>
          <w:p w14:paraId="01BC03FC">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kern w:val="0"/>
                <w:sz w:val="21"/>
                <w:szCs w:val="21"/>
                <w:highlight w:val="none"/>
              </w:rPr>
            </w:pPr>
            <w:r>
              <w:rPr>
                <w:rFonts w:hint="eastAsia" w:ascii="华文楷体" w:hAnsi="华文楷体" w:eastAsia="华文楷体" w:cs="宋体"/>
                <w:color w:val="auto"/>
                <w:sz w:val="21"/>
                <w:szCs w:val="21"/>
                <w:highlight w:val="none"/>
              </w:rPr>
              <w:t>物资编码（1000655143）</w:t>
            </w:r>
          </w:p>
        </w:tc>
        <w:tc>
          <w:tcPr>
            <w:tcW w:w="957" w:type="pct"/>
            <w:vAlign w:val="center"/>
          </w:tcPr>
          <w:p w14:paraId="197F2E35">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D</w:t>
            </w:r>
            <w:r>
              <w:rPr>
                <w:rFonts w:ascii="华文楷体" w:hAnsi="华文楷体" w:eastAsia="华文楷体" w:cs="宋体"/>
                <w:color w:val="auto"/>
                <w:sz w:val="21"/>
                <w:szCs w:val="21"/>
                <w:highlight w:val="none"/>
              </w:rPr>
              <w:t>N</w:t>
            </w:r>
            <w:r>
              <w:rPr>
                <w:rFonts w:hint="eastAsia" w:ascii="华文楷体" w:hAnsi="华文楷体" w:eastAsia="华文楷体" w:cs="宋体"/>
                <w:color w:val="auto"/>
                <w:sz w:val="21"/>
                <w:szCs w:val="21"/>
                <w:highlight w:val="none"/>
              </w:rPr>
              <w:t>50</w:t>
            </w:r>
            <w:r>
              <w:rPr>
                <w:rFonts w:ascii="华文楷体" w:hAnsi="华文楷体" w:eastAsia="华文楷体" w:cs="宋体"/>
                <w:color w:val="auto"/>
                <w:sz w:val="21"/>
                <w:szCs w:val="21"/>
                <w:highlight w:val="none"/>
              </w:rPr>
              <w:t>/150Lb</w:t>
            </w:r>
          </w:p>
        </w:tc>
        <w:tc>
          <w:tcPr>
            <w:tcW w:w="875" w:type="pct"/>
            <w:vAlign w:val="center"/>
          </w:tcPr>
          <w:p w14:paraId="1EAEE479">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阀体：316</w:t>
            </w:r>
          </w:p>
          <w:p w14:paraId="0B6460F0">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阀盘：</w:t>
            </w:r>
            <w:r>
              <w:rPr>
                <w:rFonts w:ascii="华文楷体" w:hAnsi="华文楷体" w:eastAsia="华文楷体" w:cs="宋体"/>
                <w:color w:val="auto"/>
                <w:sz w:val="21"/>
                <w:szCs w:val="21"/>
                <w:highlight w:val="none"/>
              </w:rPr>
              <w:t>316</w:t>
            </w:r>
          </w:p>
          <w:p w14:paraId="608765DC">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阀座：316</w:t>
            </w:r>
          </w:p>
          <w:p w14:paraId="3F86988B">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导向杆：316</w:t>
            </w:r>
          </w:p>
          <w:p w14:paraId="5EF0FE9E">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导向衬套:316</w:t>
            </w:r>
          </w:p>
          <w:p w14:paraId="589953E4">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阀杆衬套:316</w:t>
            </w:r>
          </w:p>
          <w:p w14:paraId="64705D91">
            <w:pPr>
              <w:keepNext w:val="0"/>
              <w:keepLines w:val="0"/>
              <w:pageBreakBefore w:val="0"/>
              <w:widowControl w:val="0"/>
              <w:kinsoku/>
              <w:wordWrap/>
              <w:overflowPunct/>
              <w:topLinePunct w:val="0"/>
              <w:autoSpaceDE/>
              <w:autoSpaceDN/>
              <w:bidi w:val="0"/>
              <w:adjustRightInd/>
              <w:snapToGrid/>
              <w:jc w:val="left"/>
              <w:textAlignment w:val="auto"/>
              <w:rPr>
                <w:rFonts w:hint="eastAsia" w:ascii="华文楷体" w:hAnsi="华文楷体" w:eastAsia="华文楷体" w:cs="宋体"/>
                <w:color w:val="auto"/>
                <w:sz w:val="21"/>
                <w:szCs w:val="21"/>
                <w:highlight w:val="none"/>
                <w:lang w:eastAsia="zh-CN"/>
              </w:rPr>
            </w:pPr>
            <w:r>
              <w:rPr>
                <w:rFonts w:hint="eastAsia" w:ascii="华文楷体" w:hAnsi="华文楷体" w:eastAsia="华文楷体" w:cs="宋体"/>
                <w:color w:val="auto"/>
                <w:sz w:val="21"/>
                <w:szCs w:val="21"/>
                <w:highlight w:val="none"/>
              </w:rPr>
              <w:t>密封：</w:t>
            </w:r>
            <w:r>
              <w:rPr>
                <w:rFonts w:hint="eastAsia" w:ascii="华文楷体" w:hAnsi="华文楷体" w:eastAsia="华文楷体" w:cs="宋体"/>
                <w:color w:val="auto"/>
                <w:sz w:val="21"/>
                <w:szCs w:val="21"/>
                <w:highlight w:val="none"/>
                <w:lang w:val="en-US" w:eastAsia="zh-CN"/>
              </w:rPr>
              <w:t xml:space="preserve">    （</w:t>
            </w:r>
            <w:r>
              <w:rPr>
                <w:rFonts w:hint="eastAsia" w:ascii="华文楷体" w:hAnsi="华文楷体" w:eastAsia="华文楷体" w:cs="宋体"/>
                <w:color w:val="auto"/>
                <w:sz w:val="21"/>
                <w:szCs w:val="21"/>
                <w:highlight w:val="none"/>
              </w:rPr>
              <w:t>投标人</w:t>
            </w:r>
            <w:r>
              <w:rPr>
                <w:rFonts w:hint="eastAsia" w:ascii="华文楷体" w:hAnsi="华文楷体" w:eastAsia="华文楷体" w:cs="宋体"/>
                <w:color w:val="auto"/>
                <w:sz w:val="21"/>
                <w:szCs w:val="21"/>
                <w:highlight w:val="none"/>
                <w:lang w:val="en-US" w:eastAsia="zh-CN"/>
              </w:rPr>
              <w:t>填写）</w:t>
            </w:r>
          </w:p>
        </w:tc>
        <w:tc>
          <w:tcPr>
            <w:tcW w:w="417" w:type="pct"/>
            <w:vAlign w:val="center"/>
          </w:tcPr>
          <w:p w14:paraId="5B247046">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15台</w:t>
            </w:r>
          </w:p>
        </w:tc>
        <w:tc>
          <w:tcPr>
            <w:tcW w:w="892" w:type="pct"/>
            <w:vAlign w:val="center"/>
          </w:tcPr>
          <w:p w14:paraId="4410A94A">
            <w:pPr>
              <w:keepNext w:val="0"/>
              <w:keepLines w:val="0"/>
              <w:pageBreakBefore w:val="0"/>
              <w:widowControl w:val="0"/>
              <w:kinsoku/>
              <w:wordWrap/>
              <w:overflowPunct/>
              <w:topLinePunct w:val="0"/>
              <w:autoSpaceDE/>
              <w:autoSpaceDN/>
              <w:bidi w:val="0"/>
              <w:adjustRightInd/>
              <w:snapToGrid/>
              <w:jc w:val="center"/>
              <w:textAlignment w:val="auto"/>
              <w:rPr>
                <w:rFonts w:hint="default" w:ascii="华文楷体" w:hAnsi="华文楷体" w:eastAsia="华文楷体" w:cs="宋体"/>
                <w:color w:val="auto"/>
                <w:sz w:val="21"/>
                <w:szCs w:val="21"/>
                <w:highlight w:val="none"/>
                <w:lang w:val="en-US" w:eastAsia="zh-CN"/>
              </w:rPr>
            </w:pPr>
          </w:p>
        </w:tc>
        <w:tc>
          <w:tcPr>
            <w:tcW w:w="660" w:type="pct"/>
            <w:vAlign w:val="center"/>
          </w:tcPr>
          <w:p w14:paraId="69D67B83">
            <w:pPr>
              <w:keepNext w:val="0"/>
              <w:keepLines w:val="0"/>
              <w:pageBreakBefore w:val="0"/>
              <w:widowControl w:val="0"/>
              <w:kinsoku/>
              <w:wordWrap/>
              <w:overflowPunct/>
              <w:topLinePunct w:val="0"/>
              <w:autoSpaceDE/>
              <w:autoSpaceDN/>
              <w:bidi w:val="0"/>
              <w:adjustRightInd/>
              <w:snapToGrid/>
              <w:jc w:val="center"/>
              <w:textAlignment w:val="auto"/>
              <w:rPr>
                <w:rFonts w:hint="default" w:ascii="华文楷体" w:hAnsi="华文楷体" w:eastAsia="华文楷体" w:cs="宋体"/>
                <w:color w:val="auto"/>
                <w:sz w:val="21"/>
                <w:szCs w:val="21"/>
                <w:highlight w:val="none"/>
                <w:lang w:val="en-US" w:eastAsia="zh-CN"/>
              </w:rPr>
            </w:pPr>
            <w:r>
              <w:rPr>
                <w:rFonts w:hint="eastAsia" w:ascii="华文楷体" w:hAnsi="华文楷体" w:eastAsia="华文楷体" w:cs="宋体"/>
                <w:color w:val="auto"/>
                <w:sz w:val="21"/>
                <w:szCs w:val="21"/>
                <w:highlight w:val="none"/>
                <w:lang w:val="en-US" w:eastAsia="zh-CN"/>
              </w:rPr>
              <w:t>第一批次：15台</w:t>
            </w:r>
          </w:p>
        </w:tc>
      </w:tr>
      <w:tr w14:paraId="4C6E8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270" w:type="pct"/>
            <w:vAlign w:val="center"/>
          </w:tcPr>
          <w:p w14:paraId="6FEC412D">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ascii="华文楷体" w:hAnsi="华文楷体" w:eastAsia="华文楷体" w:cs="宋体"/>
                <w:color w:val="auto"/>
                <w:sz w:val="21"/>
                <w:szCs w:val="21"/>
                <w:highlight w:val="none"/>
              </w:rPr>
              <w:t>2</w:t>
            </w:r>
          </w:p>
        </w:tc>
        <w:tc>
          <w:tcPr>
            <w:tcW w:w="926" w:type="pct"/>
            <w:vAlign w:val="center"/>
          </w:tcPr>
          <w:p w14:paraId="179B5B8E">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阻火呼吸阀</w:t>
            </w:r>
          </w:p>
          <w:p w14:paraId="38CDD39F">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物资编码（1000655123）</w:t>
            </w:r>
          </w:p>
        </w:tc>
        <w:tc>
          <w:tcPr>
            <w:tcW w:w="957" w:type="pct"/>
            <w:vAlign w:val="center"/>
          </w:tcPr>
          <w:p w14:paraId="06B4A4C4">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D</w:t>
            </w:r>
            <w:r>
              <w:rPr>
                <w:rFonts w:ascii="华文楷体" w:hAnsi="华文楷体" w:eastAsia="华文楷体" w:cs="宋体"/>
                <w:color w:val="auto"/>
                <w:sz w:val="21"/>
                <w:szCs w:val="21"/>
                <w:highlight w:val="none"/>
              </w:rPr>
              <w:t>N</w:t>
            </w:r>
            <w:r>
              <w:rPr>
                <w:rFonts w:hint="eastAsia" w:ascii="华文楷体" w:hAnsi="华文楷体" w:eastAsia="华文楷体" w:cs="宋体"/>
                <w:color w:val="auto"/>
                <w:sz w:val="21"/>
                <w:szCs w:val="21"/>
                <w:highlight w:val="none"/>
              </w:rPr>
              <w:t>150</w:t>
            </w:r>
            <w:r>
              <w:rPr>
                <w:rFonts w:ascii="华文楷体" w:hAnsi="华文楷体" w:eastAsia="华文楷体" w:cs="宋体"/>
                <w:color w:val="auto"/>
                <w:sz w:val="21"/>
                <w:szCs w:val="21"/>
                <w:highlight w:val="none"/>
              </w:rPr>
              <w:t>/150Lb</w:t>
            </w:r>
          </w:p>
        </w:tc>
        <w:tc>
          <w:tcPr>
            <w:tcW w:w="875" w:type="pct"/>
            <w:vAlign w:val="center"/>
          </w:tcPr>
          <w:p w14:paraId="4DBF3DC9">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阀体：316</w:t>
            </w:r>
          </w:p>
          <w:p w14:paraId="004F8FBD">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阀盘：</w:t>
            </w:r>
            <w:r>
              <w:rPr>
                <w:rFonts w:ascii="华文楷体" w:hAnsi="华文楷体" w:eastAsia="华文楷体" w:cs="宋体"/>
                <w:color w:val="auto"/>
                <w:sz w:val="21"/>
                <w:szCs w:val="21"/>
                <w:highlight w:val="none"/>
              </w:rPr>
              <w:t>316</w:t>
            </w:r>
          </w:p>
          <w:p w14:paraId="43707A41">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阀座：316</w:t>
            </w:r>
          </w:p>
          <w:p w14:paraId="51995547">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导向杆：316</w:t>
            </w:r>
          </w:p>
          <w:p w14:paraId="1F7899F0">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导向衬套:316</w:t>
            </w:r>
          </w:p>
          <w:p w14:paraId="0E44E322">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阀杆衬套:316</w:t>
            </w:r>
          </w:p>
          <w:p w14:paraId="4792B80A">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密封：</w:t>
            </w:r>
            <w:r>
              <w:rPr>
                <w:rFonts w:hint="eastAsia" w:ascii="华文楷体" w:hAnsi="华文楷体" w:eastAsia="华文楷体" w:cs="宋体"/>
                <w:color w:val="auto"/>
                <w:sz w:val="21"/>
                <w:szCs w:val="21"/>
                <w:highlight w:val="none"/>
                <w:lang w:val="en-US" w:eastAsia="zh-CN"/>
              </w:rPr>
              <w:t xml:space="preserve">    （</w:t>
            </w:r>
            <w:r>
              <w:rPr>
                <w:rFonts w:hint="eastAsia" w:ascii="华文楷体" w:hAnsi="华文楷体" w:eastAsia="华文楷体" w:cs="宋体"/>
                <w:color w:val="auto"/>
                <w:sz w:val="21"/>
                <w:szCs w:val="21"/>
                <w:highlight w:val="none"/>
              </w:rPr>
              <w:t>投标人</w:t>
            </w:r>
            <w:r>
              <w:rPr>
                <w:rFonts w:hint="eastAsia" w:ascii="华文楷体" w:hAnsi="华文楷体" w:eastAsia="华文楷体" w:cs="宋体"/>
                <w:color w:val="auto"/>
                <w:sz w:val="21"/>
                <w:szCs w:val="21"/>
                <w:highlight w:val="none"/>
                <w:lang w:val="en-US" w:eastAsia="zh-CN"/>
              </w:rPr>
              <w:t>填写）</w:t>
            </w:r>
          </w:p>
        </w:tc>
        <w:tc>
          <w:tcPr>
            <w:tcW w:w="417" w:type="pct"/>
            <w:vAlign w:val="center"/>
          </w:tcPr>
          <w:p w14:paraId="274CE725">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3台</w:t>
            </w:r>
          </w:p>
        </w:tc>
        <w:tc>
          <w:tcPr>
            <w:tcW w:w="892" w:type="pct"/>
            <w:vAlign w:val="center"/>
          </w:tcPr>
          <w:p w14:paraId="30B9C336">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p>
        </w:tc>
        <w:tc>
          <w:tcPr>
            <w:tcW w:w="660" w:type="pct"/>
            <w:vAlign w:val="center"/>
          </w:tcPr>
          <w:p w14:paraId="54752288">
            <w:pPr>
              <w:keepNext w:val="0"/>
              <w:keepLines w:val="0"/>
              <w:pageBreakBefore w:val="0"/>
              <w:widowControl w:val="0"/>
              <w:kinsoku/>
              <w:wordWrap/>
              <w:overflowPunct/>
              <w:topLinePunct w:val="0"/>
              <w:autoSpaceDE/>
              <w:autoSpaceDN/>
              <w:bidi w:val="0"/>
              <w:adjustRightInd/>
              <w:snapToGrid/>
              <w:jc w:val="center"/>
              <w:textAlignment w:val="auto"/>
              <w:rPr>
                <w:rFonts w:hint="default" w:ascii="华文楷体" w:hAnsi="华文楷体" w:eastAsia="华文楷体" w:cs="宋体"/>
                <w:color w:val="auto"/>
                <w:sz w:val="21"/>
                <w:szCs w:val="21"/>
                <w:highlight w:val="none"/>
                <w:lang w:val="en-US" w:eastAsia="zh-CN"/>
              </w:rPr>
            </w:pPr>
            <w:r>
              <w:rPr>
                <w:rFonts w:hint="eastAsia" w:ascii="华文楷体" w:hAnsi="华文楷体" w:eastAsia="华文楷体" w:cs="宋体"/>
                <w:color w:val="auto"/>
                <w:sz w:val="21"/>
                <w:szCs w:val="21"/>
                <w:highlight w:val="none"/>
                <w:lang w:val="en-US" w:eastAsia="zh-CN"/>
              </w:rPr>
              <w:t>第一批次：3台</w:t>
            </w:r>
          </w:p>
        </w:tc>
      </w:tr>
      <w:tr w14:paraId="3C0DE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270" w:type="pct"/>
            <w:shd w:val="clear" w:color="auto" w:fill="auto"/>
            <w:vAlign w:val="center"/>
          </w:tcPr>
          <w:p w14:paraId="4753E3F2">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3</w:t>
            </w:r>
          </w:p>
        </w:tc>
        <w:tc>
          <w:tcPr>
            <w:tcW w:w="926" w:type="pct"/>
            <w:shd w:val="clear" w:color="auto" w:fill="auto"/>
            <w:vAlign w:val="center"/>
          </w:tcPr>
          <w:p w14:paraId="47E16B2D">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阻火呼吸阀</w:t>
            </w:r>
          </w:p>
          <w:p w14:paraId="1CED9E04">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物资编码（1000655148）</w:t>
            </w:r>
          </w:p>
        </w:tc>
        <w:tc>
          <w:tcPr>
            <w:tcW w:w="957" w:type="pct"/>
            <w:shd w:val="clear" w:color="auto" w:fill="auto"/>
            <w:vAlign w:val="center"/>
          </w:tcPr>
          <w:p w14:paraId="35153E79">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D</w:t>
            </w:r>
            <w:r>
              <w:rPr>
                <w:rFonts w:ascii="华文楷体" w:hAnsi="华文楷体" w:eastAsia="华文楷体" w:cs="宋体"/>
                <w:color w:val="auto"/>
                <w:sz w:val="21"/>
                <w:szCs w:val="21"/>
                <w:highlight w:val="none"/>
              </w:rPr>
              <w:t>N</w:t>
            </w:r>
            <w:r>
              <w:rPr>
                <w:rFonts w:hint="eastAsia" w:ascii="华文楷体" w:hAnsi="华文楷体" w:eastAsia="华文楷体" w:cs="宋体"/>
                <w:color w:val="auto"/>
                <w:sz w:val="21"/>
                <w:szCs w:val="21"/>
                <w:highlight w:val="none"/>
              </w:rPr>
              <w:t>200</w:t>
            </w:r>
            <w:r>
              <w:rPr>
                <w:rFonts w:ascii="华文楷体" w:hAnsi="华文楷体" w:eastAsia="华文楷体" w:cs="宋体"/>
                <w:color w:val="auto"/>
                <w:sz w:val="21"/>
                <w:szCs w:val="21"/>
                <w:highlight w:val="none"/>
              </w:rPr>
              <w:t>/150Lb</w:t>
            </w:r>
          </w:p>
        </w:tc>
        <w:tc>
          <w:tcPr>
            <w:tcW w:w="875" w:type="pct"/>
            <w:shd w:val="clear" w:color="auto" w:fill="auto"/>
            <w:vAlign w:val="center"/>
          </w:tcPr>
          <w:p w14:paraId="6938D27C">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阀体：316</w:t>
            </w:r>
          </w:p>
          <w:p w14:paraId="4F1AC371">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阀盘：</w:t>
            </w:r>
            <w:r>
              <w:rPr>
                <w:rFonts w:ascii="华文楷体" w:hAnsi="华文楷体" w:eastAsia="华文楷体" w:cs="宋体"/>
                <w:color w:val="auto"/>
                <w:sz w:val="21"/>
                <w:szCs w:val="21"/>
                <w:highlight w:val="none"/>
              </w:rPr>
              <w:t>316</w:t>
            </w:r>
          </w:p>
          <w:p w14:paraId="423E512D">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阀座：316</w:t>
            </w:r>
          </w:p>
          <w:p w14:paraId="4F9C9FCA">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导向杆：316</w:t>
            </w:r>
          </w:p>
          <w:p w14:paraId="09853102">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导向衬套:316</w:t>
            </w:r>
          </w:p>
          <w:p w14:paraId="408484B5">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阀杆衬套:316</w:t>
            </w:r>
          </w:p>
          <w:p w14:paraId="4AB98C03">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密封：</w:t>
            </w:r>
            <w:r>
              <w:rPr>
                <w:rFonts w:hint="eastAsia" w:ascii="华文楷体" w:hAnsi="华文楷体" w:eastAsia="华文楷体" w:cs="宋体"/>
                <w:color w:val="auto"/>
                <w:sz w:val="21"/>
                <w:szCs w:val="21"/>
                <w:highlight w:val="none"/>
                <w:lang w:val="en-US" w:eastAsia="zh-CN"/>
              </w:rPr>
              <w:t xml:space="preserve">    （</w:t>
            </w:r>
            <w:r>
              <w:rPr>
                <w:rFonts w:hint="eastAsia" w:ascii="华文楷体" w:hAnsi="华文楷体" w:eastAsia="华文楷体" w:cs="宋体"/>
                <w:color w:val="auto"/>
                <w:sz w:val="21"/>
                <w:szCs w:val="21"/>
                <w:highlight w:val="none"/>
              </w:rPr>
              <w:t>投标人</w:t>
            </w:r>
            <w:r>
              <w:rPr>
                <w:rFonts w:hint="eastAsia" w:ascii="华文楷体" w:hAnsi="华文楷体" w:eastAsia="华文楷体" w:cs="宋体"/>
                <w:color w:val="auto"/>
                <w:sz w:val="21"/>
                <w:szCs w:val="21"/>
                <w:highlight w:val="none"/>
                <w:lang w:val="en-US" w:eastAsia="zh-CN"/>
              </w:rPr>
              <w:t>填写）</w:t>
            </w:r>
          </w:p>
        </w:tc>
        <w:tc>
          <w:tcPr>
            <w:tcW w:w="417" w:type="pct"/>
            <w:shd w:val="clear" w:color="auto" w:fill="auto"/>
            <w:vAlign w:val="center"/>
          </w:tcPr>
          <w:p w14:paraId="75C8A48C">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64台</w:t>
            </w:r>
          </w:p>
        </w:tc>
        <w:tc>
          <w:tcPr>
            <w:tcW w:w="892" w:type="pct"/>
            <w:shd w:val="clear" w:color="auto" w:fill="auto"/>
            <w:vAlign w:val="center"/>
          </w:tcPr>
          <w:p w14:paraId="09CF4187">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p>
        </w:tc>
        <w:tc>
          <w:tcPr>
            <w:tcW w:w="660" w:type="pct"/>
            <w:shd w:val="clear" w:color="auto" w:fill="auto"/>
            <w:vAlign w:val="center"/>
          </w:tcPr>
          <w:p w14:paraId="5FB853D8">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lang w:val="en-US" w:eastAsia="zh-CN"/>
              </w:rPr>
              <w:t>第一批次：10台；   第二批次：54台</w:t>
            </w:r>
          </w:p>
        </w:tc>
      </w:tr>
      <w:tr w14:paraId="00787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270" w:type="pct"/>
            <w:shd w:val="clear" w:color="auto" w:fill="auto"/>
            <w:vAlign w:val="center"/>
          </w:tcPr>
          <w:p w14:paraId="395820EF">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4</w:t>
            </w:r>
          </w:p>
        </w:tc>
        <w:tc>
          <w:tcPr>
            <w:tcW w:w="926" w:type="pct"/>
            <w:shd w:val="clear" w:color="auto" w:fill="auto"/>
            <w:vAlign w:val="center"/>
          </w:tcPr>
          <w:p w14:paraId="62A152CD">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阻火呼吸阀</w:t>
            </w:r>
          </w:p>
          <w:p w14:paraId="182B5544">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物资编码（1000655147）</w:t>
            </w:r>
          </w:p>
        </w:tc>
        <w:tc>
          <w:tcPr>
            <w:tcW w:w="957" w:type="pct"/>
            <w:shd w:val="clear" w:color="auto" w:fill="auto"/>
            <w:vAlign w:val="center"/>
          </w:tcPr>
          <w:p w14:paraId="03A698CA">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D</w:t>
            </w:r>
            <w:r>
              <w:rPr>
                <w:rFonts w:ascii="华文楷体" w:hAnsi="华文楷体" w:eastAsia="华文楷体" w:cs="宋体"/>
                <w:color w:val="auto"/>
                <w:sz w:val="21"/>
                <w:szCs w:val="21"/>
                <w:highlight w:val="none"/>
              </w:rPr>
              <w:t>N250/150Lb</w:t>
            </w:r>
          </w:p>
        </w:tc>
        <w:tc>
          <w:tcPr>
            <w:tcW w:w="875" w:type="pct"/>
            <w:shd w:val="clear" w:color="auto" w:fill="auto"/>
            <w:vAlign w:val="center"/>
          </w:tcPr>
          <w:p w14:paraId="273E6761">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阀体：316</w:t>
            </w:r>
          </w:p>
          <w:p w14:paraId="5C893556">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阀盘：</w:t>
            </w:r>
            <w:r>
              <w:rPr>
                <w:rFonts w:ascii="华文楷体" w:hAnsi="华文楷体" w:eastAsia="华文楷体" w:cs="宋体"/>
                <w:color w:val="auto"/>
                <w:sz w:val="21"/>
                <w:szCs w:val="21"/>
                <w:highlight w:val="none"/>
              </w:rPr>
              <w:t>316</w:t>
            </w:r>
          </w:p>
          <w:p w14:paraId="01F2EF9C">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阀座：316</w:t>
            </w:r>
          </w:p>
          <w:p w14:paraId="569747DE">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导向杆：316</w:t>
            </w:r>
          </w:p>
          <w:p w14:paraId="0C4163E7">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导向衬套:316</w:t>
            </w:r>
          </w:p>
          <w:p w14:paraId="6A5B47CD">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阀杆衬套:316</w:t>
            </w:r>
          </w:p>
          <w:p w14:paraId="10F09DE5">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密封：</w:t>
            </w:r>
            <w:r>
              <w:rPr>
                <w:rFonts w:hint="eastAsia" w:ascii="华文楷体" w:hAnsi="华文楷体" w:eastAsia="华文楷体" w:cs="宋体"/>
                <w:color w:val="auto"/>
                <w:sz w:val="21"/>
                <w:szCs w:val="21"/>
                <w:highlight w:val="none"/>
                <w:lang w:val="en-US" w:eastAsia="zh-CN"/>
              </w:rPr>
              <w:t xml:space="preserve">    （</w:t>
            </w:r>
            <w:r>
              <w:rPr>
                <w:rFonts w:hint="eastAsia" w:ascii="华文楷体" w:hAnsi="华文楷体" w:eastAsia="华文楷体" w:cs="宋体"/>
                <w:color w:val="auto"/>
                <w:sz w:val="21"/>
                <w:szCs w:val="21"/>
                <w:highlight w:val="none"/>
              </w:rPr>
              <w:t>投标人</w:t>
            </w:r>
            <w:r>
              <w:rPr>
                <w:rFonts w:hint="eastAsia" w:ascii="华文楷体" w:hAnsi="华文楷体" w:eastAsia="华文楷体" w:cs="宋体"/>
                <w:color w:val="auto"/>
                <w:sz w:val="21"/>
                <w:szCs w:val="21"/>
                <w:highlight w:val="none"/>
                <w:lang w:val="en-US" w:eastAsia="zh-CN"/>
              </w:rPr>
              <w:t>填写）</w:t>
            </w:r>
          </w:p>
        </w:tc>
        <w:tc>
          <w:tcPr>
            <w:tcW w:w="417" w:type="pct"/>
            <w:shd w:val="clear" w:color="auto" w:fill="auto"/>
            <w:vAlign w:val="center"/>
          </w:tcPr>
          <w:p w14:paraId="2FE5982C">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14台</w:t>
            </w:r>
          </w:p>
        </w:tc>
        <w:tc>
          <w:tcPr>
            <w:tcW w:w="892" w:type="pct"/>
            <w:shd w:val="clear" w:color="auto" w:fill="auto"/>
            <w:vAlign w:val="center"/>
          </w:tcPr>
          <w:p w14:paraId="0C89E53A">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p>
        </w:tc>
        <w:tc>
          <w:tcPr>
            <w:tcW w:w="660" w:type="pct"/>
            <w:shd w:val="clear" w:color="auto" w:fill="auto"/>
            <w:vAlign w:val="center"/>
          </w:tcPr>
          <w:p w14:paraId="100DCD2C">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lang w:val="en-US" w:eastAsia="zh-CN"/>
              </w:rPr>
              <w:t>第一批次：2台；    第二批次：12台</w:t>
            </w:r>
          </w:p>
        </w:tc>
      </w:tr>
      <w:tr w14:paraId="1797D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270" w:type="pct"/>
            <w:shd w:val="clear" w:color="auto" w:fill="auto"/>
            <w:vAlign w:val="center"/>
          </w:tcPr>
          <w:p w14:paraId="1377B176">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5</w:t>
            </w:r>
          </w:p>
        </w:tc>
        <w:tc>
          <w:tcPr>
            <w:tcW w:w="926" w:type="pct"/>
            <w:shd w:val="clear" w:color="auto" w:fill="auto"/>
            <w:vAlign w:val="center"/>
          </w:tcPr>
          <w:p w14:paraId="5815CF94">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阻火呼吸阀</w:t>
            </w:r>
          </w:p>
          <w:p w14:paraId="7192942D">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物资编码（1000655146）</w:t>
            </w:r>
          </w:p>
        </w:tc>
        <w:tc>
          <w:tcPr>
            <w:tcW w:w="957" w:type="pct"/>
            <w:shd w:val="clear" w:color="auto" w:fill="auto"/>
            <w:vAlign w:val="center"/>
          </w:tcPr>
          <w:p w14:paraId="0A5AB3E7">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D</w:t>
            </w:r>
            <w:r>
              <w:rPr>
                <w:rFonts w:ascii="华文楷体" w:hAnsi="华文楷体" w:eastAsia="华文楷体" w:cs="宋体"/>
                <w:color w:val="auto"/>
                <w:sz w:val="21"/>
                <w:szCs w:val="21"/>
                <w:highlight w:val="none"/>
              </w:rPr>
              <w:t>N</w:t>
            </w:r>
            <w:r>
              <w:rPr>
                <w:rFonts w:hint="eastAsia" w:ascii="华文楷体" w:hAnsi="华文楷体" w:eastAsia="华文楷体" w:cs="宋体"/>
                <w:color w:val="auto"/>
                <w:sz w:val="21"/>
                <w:szCs w:val="21"/>
                <w:highlight w:val="none"/>
              </w:rPr>
              <w:t>300</w:t>
            </w:r>
            <w:r>
              <w:rPr>
                <w:rFonts w:ascii="华文楷体" w:hAnsi="华文楷体" w:eastAsia="华文楷体" w:cs="宋体"/>
                <w:color w:val="auto"/>
                <w:sz w:val="21"/>
                <w:szCs w:val="21"/>
                <w:highlight w:val="none"/>
              </w:rPr>
              <w:t>/150Lb</w:t>
            </w:r>
          </w:p>
        </w:tc>
        <w:tc>
          <w:tcPr>
            <w:tcW w:w="875" w:type="pct"/>
            <w:shd w:val="clear" w:color="auto" w:fill="auto"/>
            <w:vAlign w:val="center"/>
          </w:tcPr>
          <w:p w14:paraId="07A343CC">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阀体：316</w:t>
            </w:r>
          </w:p>
          <w:p w14:paraId="0B410F25">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阀盘：</w:t>
            </w:r>
            <w:r>
              <w:rPr>
                <w:rFonts w:ascii="华文楷体" w:hAnsi="华文楷体" w:eastAsia="华文楷体" w:cs="宋体"/>
                <w:color w:val="auto"/>
                <w:sz w:val="21"/>
                <w:szCs w:val="21"/>
                <w:highlight w:val="none"/>
              </w:rPr>
              <w:t>316</w:t>
            </w:r>
          </w:p>
          <w:p w14:paraId="2B6DB7D4">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阀座：316</w:t>
            </w:r>
          </w:p>
          <w:p w14:paraId="0B9FE0D8">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导向杆：316</w:t>
            </w:r>
          </w:p>
          <w:p w14:paraId="5A66276C">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导向衬套:316</w:t>
            </w:r>
          </w:p>
          <w:p w14:paraId="73A5C3A8">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阀杆衬套:316</w:t>
            </w:r>
          </w:p>
          <w:p w14:paraId="6BC50C1E">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密封：</w:t>
            </w:r>
            <w:r>
              <w:rPr>
                <w:rFonts w:hint="eastAsia" w:ascii="华文楷体" w:hAnsi="华文楷体" w:eastAsia="华文楷体" w:cs="宋体"/>
                <w:color w:val="auto"/>
                <w:sz w:val="21"/>
                <w:szCs w:val="21"/>
                <w:highlight w:val="none"/>
                <w:lang w:val="en-US" w:eastAsia="zh-CN"/>
              </w:rPr>
              <w:t xml:space="preserve">    （</w:t>
            </w:r>
            <w:r>
              <w:rPr>
                <w:rFonts w:hint="eastAsia" w:ascii="华文楷体" w:hAnsi="华文楷体" w:eastAsia="华文楷体" w:cs="宋体"/>
                <w:color w:val="auto"/>
                <w:sz w:val="21"/>
                <w:szCs w:val="21"/>
                <w:highlight w:val="none"/>
              </w:rPr>
              <w:t>投标人</w:t>
            </w:r>
            <w:r>
              <w:rPr>
                <w:rFonts w:hint="eastAsia" w:ascii="华文楷体" w:hAnsi="华文楷体" w:eastAsia="华文楷体" w:cs="宋体"/>
                <w:color w:val="auto"/>
                <w:sz w:val="21"/>
                <w:szCs w:val="21"/>
                <w:highlight w:val="none"/>
                <w:lang w:val="en-US" w:eastAsia="zh-CN"/>
              </w:rPr>
              <w:t>填写）</w:t>
            </w:r>
          </w:p>
        </w:tc>
        <w:tc>
          <w:tcPr>
            <w:tcW w:w="417" w:type="pct"/>
            <w:shd w:val="clear" w:color="auto" w:fill="auto"/>
            <w:vAlign w:val="center"/>
          </w:tcPr>
          <w:p w14:paraId="0371758B">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6台</w:t>
            </w:r>
          </w:p>
        </w:tc>
        <w:tc>
          <w:tcPr>
            <w:tcW w:w="892" w:type="pct"/>
            <w:shd w:val="clear" w:color="auto" w:fill="auto"/>
            <w:vAlign w:val="center"/>
          </w:tcPr>
          <w:p w14:paraId="2455112C">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p>
        </w:tc>
        <w:tc>
          <w:tcPr>
            <w:tcW w:w="660" w:type="pct"/>
            <w:shd w:val="clear" w:color="auto" w:fill="auto"/>
            <w:vAlign w:val="center"/>
          </w:tcPr>
          <w:p w14:paraId="7E523A0A">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lang w:val="en-US" w:eastAsia="zh-CN"/>
              </w:rPr>
              <w:t>第一批次：1台；    第二批次：5台</w:t>
            </w:r>
          </w:p>
        </w:tc>
      </w:tr>
      <w:tr w14:paraId="74B31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270" w:type="pct"/>
            <w:shd w:val="clear" w:color="auto" w:fill="auto"/>
            <w:vAlign w:val="center"/>
          </w:tcPr>
          <w:p w14:paraId="425FD7DE">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6</w:t>
            </w:r>
          </w:p>
        </w:tc>
        <w:tc>
          <w:tcPr>
            <w:tcW w:w="926" w:type="pct"/>
            <w:shd w:val="clear" w:color="auto" w:fill="auto"/>
            <w:vAlign w:val="center"/>
          </w:tcPr>
          <w:p w14:paraId="1F898209">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阻火呼吸阀</w:t>
            </w:r>
          </w:p>
          <w:p w14:paraId="42FBF386">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物资编码（1000655145）</w:t>
            </w:r>
          </w:p>
        </w:tc>
        <w:tc>
          <w:tcPr>
            <w:tcW w:w="957" w:type="pct"/>
            <w:shd w:val="clear" w:color="auto" w:fill="auto"/>
            <w:vAlign w:val="center"/>
          </w:tcPr>
          <w:p w14:paraId="68A1DF44">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D</w:t>
            </w:r>
            <w:r>
              <w:rPr>
                <w:rFonts w:ascii="华文楷体" w:hAnsi="华文楷体" w:eastAsia="华文楷体" w:cs="宋体"/>
                <w:color w:val="auto"/>
                <w:sz w:val="21"/>
                <w:szCs w:val="21"/>
                <w:highlight w:val="none"/>
              </w:rPr>
              <w:t>N</w:t>
            </w:r>
            <w:r>
              <w:rPr>
                <w:rFonts w:hint="eastAsia" w:ascii="华文楷体" w:hAnsi="华文楷体" w:eastAsia="华文楷体" w:cs="宋体"/>
                <w:color w:val="auto"/>
                <w:sz w:val="21"/>
                <w:szCs w:val="21"/>
                <w:highlight w:val="none"/>
              </w:rPr>
              <w:t>400</w:t>
            </w:r>
            <w:r>
              <w:rPr>
                <w:rFonts w:ascii="华文楷体" w:hAnsi="华文楷体" w:eastAsia="华文楷体" w:cs="宋体"/>
                <w:color w:val="auto"/>
                <w:sz w:val="21"/>
                <w:szCs w:val="21"/>
                <w:highlight w:val="none"/>
              </w:rPr>
              <w:t>/150Lb</w:t>
            </w:r>
          </w:p>
        </w:tc>
        <w:tc>
          <w:tcPr>
            <w:tcW w:w="875" w:type="pct"/>
            <w:shd w:val="clear" w:color="auto" w:fill="auto"/>
            <w:vAlign w:val="center"/>
          </w:tcPr>
          <w:p w14:paraId="5BD59C2F">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阀体：316</w:t>
            </w:r>
          </w:p>
          <w:p w14:paraId="710269CD">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阀盘：</w:t>
            </w:r>
            <w:r>
              <w:rPr>
                <w:rFonts w:ascii="华文楷体" w:hAnsi="华文楷体" w:eastAsia="华文楷体" w:cs="宋体"/>
                <w:color w:val="auto"/>
                <w:sz w:val="21"/>
                <w:szCs w:val="21"/>
                <w:highlight w:val="none"/>
              </w:rPr>
              <w:t>316</w:t>
            </w:r>
          </w:p>
          <w:p w14:paraId="1E3EF128">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阀座：316</w:t>
            </w:r>
          </w:p>
          <w:p w14:paraId="4508A0E1">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导向杆：316</w:t>
            </w:r>
          </w:p>
          <w:p w14:paraId="02BAB383">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导向衬套:316</w:t>
            </w:r>
          </w:p>
          <w:p w14:paraId="1A6E161D">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阀杆衬套:316</w:t>
            </w:r>
          </w:p>
          <w:p w14:paraId="37E0E546">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密封：</w:t>
            </w:r>
            <w:r>
              <w:rPr>
                <w:rFonts w:hint="eastAsia" w:ascii="华文楷体" w:hAnsi="华文楷体" w:eastAsia="华文楷体" w:cs="宋体"/>
                <w:color w:val="auto"/>
                <w:sz w:val="21"/>
                <w:szCs w:val="21"/>
                <w:highlight w:val="none"/>
                <w:lang w:val="en-US" w:eastAsia="zh-CN"/>
              </w:rPr>
              <w:t xml:space="preserve">    （</w:t>
            </w:r>
            <w:r>
              <w:rPr>
                <w:rFonts w:hint="eastAsia" w:ascii="华文楷体" w:hAnsi="华文楷体" w:eastAsia="华文楷体" w:cs="宋体"/>
                <w:color w:val="auto"/>
                <w:sz w:val="21"/>
                <w:szCs w:val="21"/>
                <w:highlight w:val="none"/>
              </w:rPr>
              <w:t>投标人</w:t>
            </w:r>
            <w:r>
              <w:rPr>
                <w:rFonts w:hint="eastAsia" w:ascii="华文楷体" w:hAnsi="华文楷体" w:eastAsia="华文楷体" w:cs="宋体"/>
                <w:color w:val="auto"/>
                <w:sz w:val="21"/>
                <w:szCs w:val="21"/>
                <w:highlight w:val="none"/>
                <w:lang w:val="en-US" w:eastAsia="zh-CN"/>
              </w:rPr>
              <w:t>填写）</w:t>
            </w:r>
          </w:p>
        </w:tc>
        <w:tc>
          <w:tcPr>
            <w:tcW w:w="417" w:type="pct"/>
            <w:shd w:val="clear" w:color="auto" w:fill="auto"/>
            <w:vAlign w:val="center"/>
          </w:tcPr>
          <w:p w14:paraId="5EA32D70">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30台</w:t>
            </w:r>
          </w:p>
        </w:tc>
        <w:tc>
          <w:tcPr>
            <w:tcW w:w="892" w:type="pct"/>
            <w:shd w:val="clear" w:color="auto" w:fill="auto"/>
            <w:vAlign w:val="center"/>
          </w:tcPr>
          <w:p w14:paraId="21038219">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p>
        </w:tc>
        <w:tc>
          <w:tcPr>
            <w:tcW w:w="660" w:type="pct"/>
            <w:shd w:val="clear" w:color="auto" w:fill="auto"/>
            <w:vAlign w:val="center"/>
          </w:tcPr>
          <w:p w14:paraId="5BC1CC93">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lang w:val="en-US" w:eastAsia="zh-CN"/>
              </w:rPr>
              <w:t>第一批次：5台；    第二批次：25台</w:t>
            </w:r>
          </w:p>
        </w:tc>
      </w:tr>
      <w:tr w14:paraId="75317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270" w:type="pct"/>
            <w:shd w:val="clear" w:color="auto" w:fill="auto"/>
            <w:vAlign w:val="center"/>
          </w:tcPr>
          <w:p w14:paraId="513D781F">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7</w:t>
            </w:r>
          </w:p>
        </w:tc>
        <w:tc>
          <w:tcPr>
            <w:tcW w:w="926" w:type="pct"/>
            <w:shd w:val="clear" w:color="auto" w:fill="auto"/>
            <w:vAlign w:val="center"/>
          </w:tcPr>
          <w:p w14:paraId="305405A9">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阻火呼吸阀</w:t>
            </w:r>
          </w:p>
          <w:p w14:paraId="3E50EBA6">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物资编码（1000655282）</w:t>
            </w:r>
          </w:p>
        </w:tc>
        <w:tc>
          <w:tcPr>
            <w:tcW w:w="957" w:type="pct"/>
            <w:shd w:val="clear" w:color="auto" w:fill="auto"/>
            <w:vAlign w:val="center"/>
          </w:tcPr>
          <w:p w14:paraId="2EA489D4">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ascii="华文楷体" w:hAnsi="华文楷体" w:eastAsia="华文楷体" w:cs="宋体"/>
                <w:color w:val="auto"/>
                <w:sz w:val="21"/>
                <w:szCs w:val="21"/>
                <w:highlight w:val="none"/>
              </w:rPr>
              <w:t>DN100/150L</w:t>
            </w:r>
            <w:r>
              <w:rPr>
                <w:rFonts w:hint="eastAsia" w:ascii="华文楷体" w:hAnsi="华文楷体" w:eastAsia="华文楷体" w:cs="宋体"/>
                <w:color w:val="auto"/>
                <w:sz w:val="21"/>
                <w:szCs w:val="21"/>
                <w:highlight w:val="none"/>
              </w:rPr>
              <w:t>b</w:t>
            </w:r>
          </w:p>
        </w:tc>
        <w:tc>
          <w:tcPr>
            <w:tcW w:w="875" w:type="pct"/>
            <w:shd w:val="clear" w:color="auto" w:fill="auto"/>
            <w:vAlign w:val="center"/>
          </w:tcPr>
          <w:p w14:paraId="0F0CAB7A">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阀体：</w:t>
            </w:r>
            <w:r>
              <w:rPr>
                <w:rFonts w:ascii="华文楷体" w:hAnsi="华文楷体" w:eastAsia="华文楷体" w:cs="宋体"/>
                <w:color w:val="auto"/>
                <w:sz w:val="21"/>
                <w:szCs w:val="21"/>
                <w:highlight w:val="none"/>
              </w:rPr>
              <w:t>WCB</w:t>
            </w:r>
          </w:p>
          <w:p w14:paraId="45D8DBA0">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阀盘：</w:t>
            </w:r>
            <w:r>
              <w:rPr>
                <w:rFonts w:ascii="华文楷体" w:hAnsi="华文楷体" w:eastAsia="华文楷体" w:cs="宋体"/>
                <w:color w:val="auto"/>
                <w:sz w:val="21"/>
                <w:szCs w:val="21"/>
                <w:highlight w:val="none"/>
              </w:rPr>
              <w:t>304</w:t>
            </w:r>
          </w:p>
          <w:p w14:paraId="5C6DD608">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阀座：</w:t>
            </w:r>
            <w:r>
              <w:rPr>
                <w:rFonts w:ascii="华文楷体" w:hAnsi="华文楷体" w:eastAsia="华文楷体" w:cs="宋体"/>
                <w:color w:val="auto"/>
                <w:sz w:val="21"/>
                <w:szCs w:val="21"/>
                <w:highlight w:val="none"/>
              </w:rPr>
              <w:t>304</w:t>
            </w:r>
          </w:p>
          <w:p w14:paraId="5784E40E">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导向杆：</w:t>
            </w:r>
            <w:r>
              <w:rPr>
                <w:rFonts w:ascii="华文楷体" w:hAnsi="华文楷体" w:eastAsia="华文楷体" w:cs="宋体"/>
                <w:color w:val="auto"/>
                <w:sz w:val="21"/>
                <w:szCs w:val="21"/>
                <w:highlight w:val="none"/>
              </w:rPr>
              <w:t>304</w:t>
            </w:r>
          </w:p>
          <w:p w14:paraId="3B560C8F">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导向衬套:</w:t>
            </w:r>
            <w:r>
              <w:rPr>
                <w:rFonts w:ascii="华文楷体" w:hAnsi="华文楷体" w:eastAsia="华文楷体" w:cs="宋体"/>
                <w:color w:val="auto"/>
                <w:sz w:val="21"/>
                <w:szCs w:val="21"/>
                <w:highlight w:val="none"/>
              </w:rPr>
              <w:t>304</w:t>
            </w:r>
          </w:p>
          <w:p w14:paraId="3427FC82">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阀杆衬套:</w:t>
            </w:r>
            <w:r>
              <w:rPr>
                <w:rFonts w:ascii="华文楷体" w:hAnsi="华文楷体" w:eastAsia="华文楷体" w:cs="宋体"/>
                <w:color w:val="auto"/>
                <w:sz w:val="21"/>
                <w:szCs w:val="21"/>
                <w:highlight w:val="none"/>
              </w:rPr>
              <w:t>304</w:t>
            </w:r>
          </w:p>
          <w:p w14:paraId="3D0176BB">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密封：</w:t>
            </w:r>
            <w:r>
              <w:rPr>
                <w:rFonts w:hint="eastAsia" w:ascii="华文楷体" w:hAnsi="华文楷体" w:eastAsia="华文楷体" w:cs="宋体"/>
                <w:color w:val="auto"/>
                <w:sz w:val="21"/>
                <w:szCs w:val="21"/>
                <w:highlight w:val="none"/>
                <w:lang w:val="en-US" w:eastAsia="zh-CN"/>
              </w:rPr>
              <w:t xml:space="preserve">    （</w:t>
            </w:r>
            <w:r>
              <w:rPr>
                <w:rFonts w:hint="eastAsia" w:ascii="华文楷体" w:hAnsi="华文楷体" w:eastAsia="华文楷体" w:cs="宋体"/>
                <w:color w:val="auto"/>
                <w:sz w:val="21"/>
                <w:szCs w:val="21"/>
                <w:highlight w:val="none"/>
              </w:rPr>
              <w:t>投标人</w:t>
            </w:r>
            <w:r>
              <w:rPr>
                <w:rFonts w:hint="eastAsia" w:ascii="华文楷体" w:hAnsi="华文楷体" w:eastAsia="华文楷体" w:cs="宋体"/>
                <w:color w:val="auto"/>
                <w:sz w:val="21"/>
                <w:szCs w:val="21"/>
                <w:highlight w:val="none"/>
                <w:lang w:val="en-US" w:eastAsia="zh-CN"/>
              </w:rPr>
              <w:t>填写）</w:t>
            </w:r>
          </w:p>
        </w:tc>
        <w:tc>
          <w:tcPr>
            <w:tcW w:w="417" w:type="pct"/>
            <w:shd w:val="clear" w:color="auto" w:fill="auto"/>
            <w:vAlign w:val="center"/>
          </w:tcPr>
          <w:p w14:paraId="66D3F876">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ascii="华文楷体" w:hAnsi="华文楷体" w:eastAsia="华文楷体" w:cs="宋体"/>
                <w:color w:val="auto"/>
                <w:sz w:val="21"/>
                <w:szCs w:val="21"/>
                <w:highlight w:val="none"/>
              </w:rPr>
              <w:t>4</w:t>
            </w:r>
            <w:r>
              <w:rPr>
                <w:rFonts w:hint="eastAsia" w:ascii="华文楷体" w:hAnsi="华文楷体" w:eastAsia="华文楷体" w:cs="宋体"/>
                <w:color w:val="auto"/>
                <w:sz w:val="21"/>
                <w:szCs w:val="21"/>
                <w:highlight w:val="none"/>
              </w:rPr>
              <w:t>台</w:t>
            </w:r>
          </w:p>
        </w:tc>
        <w:tc>
          <w:tcPr>
            <w:tcW w:w="892" w:type="pct"/>
            <w:shd w:val="clear" w:color="auto" w:fill="auto"/>
            <w:vAlign w:val="center"/>
          </w:tcPr>
          <w:p w14:paraId="2F877738">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p>
        </w:tc>
        <w:tc>
          <w:tcPr>
            <w:tcW w:w="660" w:type="pct"/>
            <w:shd w:val="clear" w:color="auto" w:fill="auto"/>
            <w:vAlign w:val="center"/>
          </w:tcPr>
          <w:p w14:paraId="118DC2FE">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lang w:val="en-US" w:eastAsia="zh-CN"/>
              </w:rPr>
              <w:t>第一批次：4台</w:t>
            </w:r>
          </w:p>
        </w:tc>
      </w:tr>
      <w:tr w14:paraId="6D874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7" w:hRule="atLeast"/>
        </w:trPr>
        <w:tc>
          <w:tcPr>
            <w:tcW w:w="270" w:type="pct"/>
            <w:shd w:val="clear" w:color="auto" w:fill="auto"/>
            <w:vAlign w:val="center"/>
          </w:tcPr>
          <w:p w14:paraId="7BFCE44C">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8</w:t>
            </w:r>
          </w:p>
        </w:tc>
        <w:tc>
          <w:tcPr>
            <w:tcW w:w="926" w:type="pct"/>
            <w:shd w:val="clear" w:color="auto" w:fill="auto"/>
            <w:vAlign w:val="center"/>
          </w:tcPr>
          <w:p w14:paraId="296949D2">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阻火呼吸阀</w:t>
            </w:r>
          </w:p>
          <w:p w14:paraId="66E3E766">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物资编码（1000655283）</w:t>
            </w:r>
          </w:p>
        </w:tc>
        <w:tc>
          <w:tcPr>
            <w:tcW w:w="957" w:type="pct"/>
            <w:shd w:val="clear" w:color="auto" w:fill="auto"/>
            <w:vAlign w:val="center"/>
          </w:tcPr>
          <w:p w14:paraId="0EB48DD0">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ascii="华文楷体" w:hAnsi="华文楷体" w:eastAsia="华文楷体" w:cs="宋体"/>
                <w:color w:val="auto"/>
                <w:sz w:val="21"/>
                <w:szCs w:val="21"/>
                <w:highlight w:val="none"/>
              </w:rPr>
              <w:t>DN80/150L</w:t>
            </w:r>
            <w:r>
              <w:rPr>
                <w:rFonts w:hint="eastAsia" w:ascii="华文楷体" w:hAnsi="华文楷体" w:eastAsia="华文楷体" w:cs="宋体"/>
                <w:color w:val="auto"/>
                <w:sz w:val="21"/>
                <w:szCs w:val="21"/>
                <w:highlight w:val="none"/>
              </w:rPr>
              <w:t>b</w:t>
            </w:r>
          </w:p>
        </w:tc>
        <w:tc>
          <w:tcPr>
            <w:tcW w:w="875" w:type="pct"/>
            <w:shd w:val="clear" w:color="auto" w:fill="auto"/>
            <w:vAlign w:val="center"/>
          </w:tcPr>
          <w:p w14:paraId="3BFE0DD4">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阀体：</w:t>
            </w:r>
            <w:r>
              <w:rPr>
                <w:rFonts w:ascii="华文楷体" w:hAnsi="华文楷体" w:eastAsia="华文楷体" w:cs="宋体"/>
                <w:color w:val="auto"/>
                <w:sz w:val="21"/>
                <w:szCs w:val="21"/>
                <w:highlight w:val="none"/>
              </w:rPr>
              <w:t>CF8</w:t>
            </w:r>
          </w:p>
          <w:p w14:paraId="4C464F10">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阀盘：</w:t>
            </w:r>
            <w:r>
              <w:rPr>
                <w:rFonts w:ascii="华文楷体" w:hAnsi="华文楷体" w:eastAsia="华文楷体" w:cs="宋体"/>
                <w:color w:val="auto"/>
                <w:sz w:val="21"/>
                <w:szCs w:val="21"/>
                <w:highlight w:val="none"/>
              </w:rPr>
              <w:t>304</w:t>
            </w:r>
          </w:p>
          <w:p w14:paraId="5EFBEF88">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阀座：</w:t>
            </w:r>
            <w:r>
              <w:rPr>
                <w:rFonts w:ascii="华文楷体" w:hAnsi="华文楷体" w:eastAsia="华文楷体" w:cs="宋体"/>
                <w:color w:val="auto"/>
                <w:sz w:val="21"/>
                <w:szCs w:val="21"/>
                <w:highlight w:val="none"/>
              </w:rPr>
              <w:t>304</w:t>
            </w:r>
          </w:p>
          <w:p w14:paraId="0EF87DD4">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导向杆：</w:t>
            </w:r>
            <w:r>
              <w:rPr>
                <w:rFonts w:ascii="华文楷体" w:hAnsi="华文楷体" w:eastAsia="华文楷体" w:cs="宋体"/>
                <w:color w:val="auto"/>
                <w:sz w:val="21"/>
                <w:szCs w:val="21"/>
                <w:highlight w:val="none"/>
              </w:rPr>
              <w:t>304</w:t>
            </w:r>
          </w:p>
          <w:p w14:paraId="0A13C009">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导向衬套:</w:t>
            </w:r>
            <w:r>
              <w:rPr>
                <w:rFonts w:ascii="华文楷体" w:hAnsi="华文楷体" w:eastAsia="华文楷体" w:cs="宋体"/>
                <w:color w:val="auto"/>
                <w:sz w:val="21"/>
                <w:szCs w:val="21"/>
                <w:highlight w:val="none"/>
              </w:rPr>
              <w:t>304</w:t>
            </w:r>
          </w:p>
          <w:p w14:paraId="1361F641">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阀杆衬套:</w:t>
            </w:r>
            <w:r>
              <w:rPr>
                <w:rFonts w:ascii="华文楷体" w:hAnsi="华文楷体" w:eastAsia="华文楷体" w:cs="宋体"/>
                <w:color w:val="auto"/>
                <w:sz w:val="21"/>
                <w:szCs w:val="21"/>
                <w:highlight w:val="none"/>
              </w:rPr>
              <w:t>304</w:t>
            </w:r>
          </w:p>
          <w:p w14:paraId="2F565B35">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密封：</w:t>
            </w:r>
            <w:r>
              <w:rPr>
                <w:rFonts w:hint="eastAsia" w:ascii="华文楷体" w:hAnsi="华文楷体" w:eastAsia="华文楷体" w:cs="宋体"/>
                <w:color w:val="auto"/>
                <w:sz w:val="21"/>
                <w:szCs w:val="21"/>
                <w:highlight w:val="none"/>
                <w:lang w:val="en-US" w:eastAsia="zh-CN"/>
              </w:rPr>
              <w:t xml:space="preserve">    （</w:t>
            </w:r>
            <w:r>
              <w:rPr>
                <w:rFonts w:hint="eastAsia" w:ascii="华文楷体" w:hAnsi="华文楷体" w:eastAsia="华文楷体" w:cs="宋体"/>
                <w:color w:val="auto"/>
                <w:sz w:val="21"/>
                <w:szCs w:val="21"/>
                <w:highlight w:val="none"/>
              </w:rPr>
              <w:t>投标人</w:t>
            </w:r>
            <w:r>
              <w:rPr>
                <w:rFonts w:hint="eastAsia" w:ascii="华文楷体" w:hAnsi="华文楷体" w:eastAsia="华文楷体" w:cs="宋体"/>
                <w:color w:val="auto"/>
                <w:sz w:val="21"/>
                <w:szCs w:val="21"/>
                <w:highlight w:val="none"/>
                <w:lang w:val="en-US" w:eastAsia="zh-CN"/>
              </w:rPr>
              <w:t>填写）</w:t>
            </w:r>
          </w:p>
        </w:tc>
        <w:tc>
          <w:tcPr>
            <w:tcW w:w="417" w:type="pct"/>
            <w:shd w:val="clear" w:color="auto" w:fill="auto"/>
            <w:vAlign w:val="center"/>
          </w:tcPr>
          <w:p w14:paraId="74439A89">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ascii="华文楷体" w:hAnsi="华文楷体" w:eastAsia="华文楷体" w:cs="宋体"/>
                <w:color w:val="auto"/>
                <w:sz w:val="21"/>
                <w:szCs w:val="21"/>
                <w:highlight w:val="none"/>
              </w:rPr>
              <w:t>2</w:t>
            </w:r>
            <w:r>
              <w:rPr>
                <w:rFonts w:hint="eastAsia" w:ascii="华文楷体" w:hAnsi="华文楷体" w:eastAsia="华文楷体" w:cs="宋体"/>
                <w:color w:val="auto"/>
                <w:sz w:val="21"/>
                <w:szCs w:val="21"/>
                <w:highlight w:val="none"/>
              </w:rPr>
              <w:t>台</w:t>
            </w:r>
          </w:p>
        </w:tc>
        <w:tc>
          <w:tcPr>
            <w:tcW w:w="892" w:type="pct"/>
            <w:shd w:val="clear" w:color="auto" w:fill="auto"/>
            <w:vAlign w:val="center"/>
          </w:tcPr>
          <w:p w14:paraId="1A9C2485">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p>
        </w:tc>
        <w:tc>
          <w:tcPr>
            <w:tcW w:w="660" w:type="pct"/>
            <w:shd w:val="clear" w:color="auto" w:fill="auto"/>
            <w:vAlign w:val="center"/>
          </w:tcPr>
          <w:p w14:paraId="20454D9C">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lang w:val="en-US" w:eastAsia="zh-CN"/>
              </w:rPr>
              <w:t>第一批次：2台</w:t>
            </w:r>
          </w:p>
        </w:tc>
      </w:tr>
      <w:tr w14:paraId="2C50E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270" w:type="pct"/>
            <w:shd w:val="clear" w:color="auto" w:fill="auto"/>
            <w:vAlign w:val="center"/>
          </w:tcPr>
          <w:p w14:paraId="70128744">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9</w:t>
            </w:r>
          </w:p>
        </w:tc>
        <w:tc>
          <w:tcPr>
            <w:tcW w:w="926" w:type="pct"/>
            <w:shd w:val="clear" w:color="auto" w:fill="auto"/>
            <w:vAlign w:val="center"/>
          </w:tcPr>
          <w:p w14:paraId="5258897B">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阻火呼吸阀</w:t>
            </w:r>
          </w:p>
          <w:p w14:paraId="7E31E6DA">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物资编码（1000655279）</w:t>
            </w:r>
          </w:p>
        </w:tc>
        <w:tc>
          <w:tcPr>
            <w:tcW w:w="957" w:type="pct"/>
            <w:shd w:val="clear" w:color="auto" w:fill="auto"/>
            <w:vAlign w:val="center"/>
          </w:tcPr>
          <w:p w14:paraId="6AE519A5">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ascii="华文楷体" w:hAnsi="华文楷体" w:eastAsia="华文楷体" w:cs="宋体"/>
                <w:color w:val="auto"/>
                <w:sz w:val="21"/>
                <w:szCs w:val="21"/>
                <w:highlight w:val="none"/>
              </w:rPr>
              <w:t>DN150/150L</w:t>
            </w:r>
            <w:r>
              <w:rPr>
                <w:rFonts w:hint="eastAsia" w:ascii="华文楷体" w:hAnsi="华文楷体" w:eastAsia="华文楷体" w:cs="宋体"/>
                <w:color w:val="auto"/>
                <w:sz w:val="21"/>
                <w:szCs w:val="21"/>
                <w:highlight w:val="none"/>
              </w:rPr>
              <w:t>b</w:t>
            </w:r>
          </w:p>
        </w:tc>
        <w:tc>
          <w:tcPr>
            <w:tcW w:w="875" w:type="pct"/>
            <w:shd w:val="clear" w:color="auto" w:fill="auto"/>
            <w:vAlign w:val="center"/>
          </w:tcPr>
          <w:p w14:paraId="728DE72B">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阀体：</w:t>
            </w:r>
            <w:r>
              <w:rPr>
                <w:rFonts w:ascii="华文楷体" w:hAnsi="华文楷体" w:eastAsia="华文楷体" w:cs="宋体"/>
                <w:color w:val="auto"/>
                <w:sz w:val="21"/>
                <w:szCs w:val="21"/>
                <w:highlight w:val="none"/>
              </w:rPr>
              <w:t>WCB</w:t>
            </w:r>
          </w:p>
          <w:p w14:paraId="5331F838">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阀盘：</w:t>
            </w:r>
            <w:r>
              <w:rPr>
                <w:rFonts w:ascii="华文楷体" w:hAnsi="华文楷体" w:eastAsia="华文楷体" w:cs="宋体"/>
                <w:color w:val="auto"/>
                <w:sz w:val="21"/>
                <w:szCs w:val="21"/>
                <w:highlight w:val="none"/>
              </w:rPr>
              <w:t>304</w:t>
            </w:r>
          </w:p>
          <w:p w14:paraId="35B96A0D">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阀座：</w:t>
            </w:r>
            <w:r>
              <w:rPr>
                <w:rFonts w:ascii="华文楷体" w:hAnsi="华文楷体" w:eastAsia="华文楷体" w:cs="宋体"/>
                <w:color w:val="auto"/>
                <w:sz w:val="21"/>
                <w:szCs w:val="21"/>
                <w:highlight w:val="none"/>
              </w:rPr>
              <w:t>304</w:t>
            </w:r>
          </w:p>
          <w:p w14:paraId="07052768">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导向杆：</w:t>
            </w:r>
            <w:r>
              <w:rPr>
                <w:rFonts w:ascii="华文楷体" w:hAnsi="华文楷体" w:eastAsia="华文楷体" w:cs="宋体"/>
                <w:color w:val="auto"/>
                <w:sz w:val="21"/>
                <w:szCs w:val="21"/>
                <w:highlight w:val="none"/>
              </w:rPr>
              <w:t>304</w:t>
            </w:r>
          </w:p>
          <w:p w14:paraId="251F9997">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导向衬套:</w:t>
            </w:r>
            <w:r>
              <w:rPr>
                <w:rFonts w:ascii="华文楷体" w:hAnsi="华文楷体" w:eastAsia="华文楷体" w:cs="宋体"/>
                <w:color w:val="auto"/>
                <w:sz w:val="21"/>
                <w:szCs w:val="21"/>
                <w:highlight w:val="none"/>
              </w:rPr>
              <w:t>304</w:t>
            </w:r>
          </w:p>
          <w:p w14:paraId="121158E8">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阀杆衬套:</w:t>
            </w:r>
            <w:r>
              <w:rPr>
                <w:rFonts w:ascii="华文楷体" w:hAnsi="华文楷体" w:eastAsia="华文楷体" w:cs="宋体"/>
                <w:color w:val="auto"/>
                <w:sz w:val="21"/>
                <w:szCs w:val="21"/>
                <w:highlight w:val="none"/>
              </w:rPr>
              <w:t>304</w:t>
            </w:r>
          </w:p>
          <w:p w14:paraId="79D22BF0">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密封：</w:t>
            </w:r>
            <w:r>
              <w:rPr>
                <w:rFonts w:hint="eastAsia" w:ascii="华文楷体" w:hAnsi="华文楷体" w:eastAsia="华文楷体" w:cs="宋体"/>
                <w:color w:val="auto"/>
                <w:sz w:val="21"/>
                <w:szCs w:val="21"/>
                <w:highlight w:val="none"/>
                <w:lang w:val="en-US" w:eastAsia="zh-CN"/>
              </w:rPr>
              <w:t xml:space="preserve">    （</w:t>
            </w:r>
            <w:r>
              <w:rPr>
                <w:rFonts w:hint="eastAsia" w:ascii="华文楷体" w:hAnsi="华文楷体" w:eastAsia="华文楷体" w:cs="宋体"/>
                <w:color w:val="auto"/>
                <w:sz w:val="21"/>
                <w:szCs w:val="21"/>
                <w:highlight w:val="none"/>
              </w:rPr>
              <w:t>投标人</w:t>
            </w:r>
            <w:r>
              <w:rPr>
                <w:rFonts w:hint="eastAsia" w:ascii="华文楷体" w:hAnsi="华文楷体" w:eastAsia="华文楷体" w:cs="宋体"/>
                <w:color w:val="auto"/>
                <w:sz w:val="21"/>
                <w:szCs w:val="21"/>
                <w:highlight w:val="none"/>
                <w:lang w:val="en-US" w:eastAsia="zh-CN"/>
              </w:rPr>
              <w:t>填写）</w:t>
            </w:r>
          </w:p>
        </w:tc>
        <w:tc>
          <w:tcPr>
            <w:tcW w:w="417" w:type="pct"/>
            <w:shd w:val="clear" w:color="auto" w:fill="auto"/>
            <w:vAlign w:val="center"/>
          </w:tcPr>
          <w:p w14:paraId="769309A3">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ascii="华文楷体" w:hAnsi="华文楷体" w:eastAsia="华文楷体" w:cs="宋体"/>
                <w:color w:val="auto"/>
                <w:sz w:val="21"/>
                <w:szCs w:val="21"/>
                <w:highlight w:val="none"/>
              </w:rPr>
              <w:t>14</w:t>
            </w:r>
            <w:r>
              <w:rPr>
                <w:rFonts w:hint="eastAsia" w:ascii="华文楷体" w:hAnsi="华文楷体" w:eastAsia="华文楷体" w:cs="宋体"/>
                <w:color w:val="auto"/>
                <w:sz w:val="21"/>
                <w:szCs w:val="21"/>
                <w:highlight w:val="none"/>
              </w:rPr>
              <w:t>台</w:t>
            </w:r>
          </w:p>
        </w:tc>
        <w:tc>
          <w:tcPr>
            <w:tcW w:w="892" w:type="pct"/>
            <w:shd w:val="clear" w:color="auto" w:fill="auto"/>
            <w:vAlign w:val="center"/>
          </w:tcPr>
          <w:p w14:paraId="5D60D068">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p>
        </w:tc>
        <w:tc>
          <w:tcPr>
            <w:tcW w:w="660" w:type="pct"/>
            <w:shd w:val="clear" w:color="auto" w:fill="auto"/>
            <w:vAlign w:val="center"/>
          </w:tcPr>
          <w:p w14:paraId="6206F1F2">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lang w:val="en-US" w:eastAsia="zh-CN"/>
              </w:rPr>
              <w:t>第一批次：14台</w:t>
            </w:r>
          </w:p>
        </w:tc>
      </w:tr>
      <w:tr w14:paraId="2056E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270" w:type="pct"/>
            <w:shd w:val="clear" w:color="auto" w:fill="auto"/>
            <w:vAlign w:val="center"/>
          </w:tcPr>
          <w:p w14:paraId="21025DBE">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1</w:t>
            </w:r>
            <w:r>
              <w:rPr>
                <w:rFonts w:ascii="华文楷体" w:hAnsi="华文楷体" w:eastAsia="华文楷体" w:cs="宋体"/>
                <w:color w:val="auto"/>
                <w:sz w:val="21"/>
                <w:szCs w:val="21"/>
                <w:highlight w:val="none"/>
              </w:rPr>
              <w:t>0</w:t>
            </w:r>
          </w:p>
        </w:tc>
        <w:tc>
          <w:tcPr>
            <w:tcW w:w="926" w:type="pct"/>
            <w:shd w:val="clear" w:color="auto" w:fill="auto"/>
            <w:vAlign w:val="center"/>
          </w:tcPr>
          <w:p w14:paraId="0C5636D4">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阻火呼吸阀</w:t>
            </w:r>
          </w:p>
          <w:p w14:paraId="21F401AC">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物资编码（1000655281）</w:t>
            </w:r>
          </w:p>
        </w:tc>
        <w:tc>
          <w:tcPr>
            <w:tcW w:w="957" w:type="pct"/>
            <w:shd w:val="clear" w:color="auto" w:fill="auto"/>
            <w:vAlign w:val="center"/>
          </w:tcPr>
          <w:p w14:paraId="34722117">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ascii="华文楷体" w:hAnsi="华文楷体" w:eastAsia="华文楷体" w:cs="宋体"/>
                <w:color w:val="auto"/>
                <w:sz w:val="21"/>
                <w:szCs w:val="21"/>
                <w:highlight w:val="none"/>
              </w:rPr>
              <w:t>DN200/150L</w:t>
            </w:r>
            <w:r>
              <w:rPr>
                <w:rFonts w:hint="eastAsia" w:ascii="华文楷体" w:hAnsi="华文楷体" w:eastAsia="华文楷体" w:cs="宋体"/>
                <w:color w:val="auto"/>
                <w:sz w:val="21"/>
                <w:szCs w:val="21"/>
                <w:highlight w:val="none"/>
              </w:rPr>
              <w:t>b</w:t>
            </w:r>
          </w:p>
        </w:tc>
        <w:tc>
          <w:tcPr>
            <w:tcW w:w="875" w:type="pct"/>
            <w:shd w:val="clear" w:color="auto" w:fill="auto"/>
            <w:vAlign w:val="center"/>
          </w:tcPr>
          <w:p w14:paraId="752F5010">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阀体：</w:t>
            </w:r>
            <w:r>
              <w:rPr>
                <w:rFonts w:ascii="华文楷体" w:hAnsi="华文楷体" w:eastAsia="华文楷体" w:cs="宋体"/>
                <w:color w:val="auto"/>
                <w:sz w:val="21"/>
                <w:szCs w:val="21"/>
                <w:highlight w:val="none"/>
              </w:rPr>
              <w:t>WCB</w:t>
            </w:r>
          </w:p>
          <w:p w14:paraId="03DA7F81">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阀盘：</w:t>
            </w:r>
            <w:r>
              <w:rPr>
                <w:rFonts w:ascii="华文楷体" w:hAnsi="华文楷体" w:eastAsia="华文楷体" w:cs="宋体"/>
                <w:color w:val="auto"/>
                <w:sz w:val="21"/>
                <w:szCs w:val="21"/>
                <w:highlight w:val="none"/>
              </w:rPr>
              <w:t>304</w:t>
            </w:r>
          </w:p>
          <w:p w14:paraId="50079259">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阀座：</w:t>
            </w:r>
            <w:r>
              <w:rPr>
                <w:rFonts w:ascii="华文楷体" w:hAnsi="华文楷体" w:eastAsia="华文楷体" w:cs="宋体"/>
                <w:color w:val="auto"/>
                <w:sz w:val="21"/>
                <w:szCs w:val="21"/>
                <w:highlight w:val="none"/>
              </w:rPr>
              <w:t>304</w:t>
            </w:r>
          </w:p>
          <w:p w14:paraId="376A7B56">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导向杆：</w:t>
            </w:r>
            <w:r>
              <w:rPr>
                <w:rFonts w:ascii="华文楷体" w:hAnsi="华文楷体" w:eastAsia="华文楷体" w:cs="宋体"/>
                <w:color w:val="auto"/>
                <w:sz w:val="21"/>
                <w:szCs w:val="21"/>
                <w:highlight w:val="none"/>
              </w:rPr>
              <w:t>304</w:t>
            </w:r>
          </w:p>
          <w:p w14:paraId="519FF96E">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导向衬套:</w:t>
            </w:r>
            <w:r>
              <w:rPr>
                <w:rFonts w:ascii="华文楷体" w:hAnsi="华文楷体" w:eastAsia="华文楷体" w:cs="宋体"/>
                <w:color w:val="auto"/>
                <w:sz w:val="21"/>
                <w:szCs w:val="21"/>
                <w:highlight w:val="none"/>
              </w:rPr>
              <w:t>304</w:t>
            </w:r>
          </w:p>
          <w:p w14:paraId="028CAC43">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阀杆衬套:</w:t>
            </w:r>
            <w:r>
              <w:rPr>
                <w:rFonts w:ascii="华文楷体" w:hAnsi="华文楷体" w:eastAsia="华文楷体" w:cs="宋体"/>
                <w:color w:val="auto"/>
                <w:sz w:val="21"/>
                <w:szCs w:val="21"/>
                <w:highlight w:val="none"/>
              </w:rPr>
              <w:t>304</w:t>
            </w:r>
          </w:p>
          <w:p w14:paraId="3B4E913D">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密封：</w:t>
            </w:r>
            <w:r>
              <w:rPr>
                <w:rFonts w:hint="eastAsia" w:ascii="华文楷体" w:hAnsi="华文楷体" w:eastAsia="华文楷体" w:cs="宋体"/>
                <w:color w:val="auto"/>
                <w:sz w:val="21"/>
                <w:szCs w:val="21"/>
                <w:highlight w:val="none"/>
                <w:lang w:val="en-US" w:eastAsia="zh-CN"/>
              </w:rPr>
              <w:t xml:space="preserve">    （</w:t>
            </w:r>
            <w:r>
              <w:rPr>
                <w:rFonts w:hint="eastAsia" w:ascii="华文楷体" w:hAnsi="华文楷体" w:eastAsia="华文楷体" w:cs="宋体"/>
                <w:color w:val="auto"/>
                <w:sz w:val="21"/>
                <w:szCs w:val="21"/>
                <w:highlight w:val="none"/>
              </w:rPr>
              <w:t>投标人</w:t>
            </w:r>
            <w:r>
              <w:rPr>
                <w:rFonts w:hint="eastAsia" w:ascii="华文楷体" w:hAnsi="华文楷体" w:eastAsia="华文楷体" w:cs="宋体"/>
                <w:color w:val="auto"/>
                <w:sz w:val="21"/>
                <w:szCs w:val="21"/>
                <w:highlight w:val="none"/>
                <w:lang w:val="en-US" w:eastAsia="zh-CN"/>
              </w:rPr>
              <w:t>填写）</w:t>
            </w:r>
          </w:p>
        </w:tc>
        <w:tc>
          <w:tcPr>
            <w:tcW w:w="417" w:type="pct"/>
            <w:shd w:val="clear" w:color="auto" w:fill="auto"/>
            <w:vAlign w:val="center"/>
          </w:tcPr>
          <w:p w14:paraId="158927E5">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ascii="华文楷体" w:hAnsi="华文楷体" w:eastAsia="华文楷体" w:cs="宋体"/>
                <w:color w:val="auto"/>
                <w:sz w:val="21"/>
                <w:szCs w:val="21"/>
                <w:highlight w:val="none"/>
              </w:rPr>
              <w:t>8</w:t>
            </w:r>
            <w:r>
              <w:rPr>
                <w:rFonts w:hint="eastAsia" w:ascii="华文楷体" w:hAnsi="华文楷体" w:eastAsia="华文楷体" w:cs="宋体"/>
                <w:color w:val="auto"/>
                <w:sz w:val="21"/>
                <w:szCs w:val="21"/>
                <w:highlight w:val="none"/>
              </w:rPr>
              <w:t>台</w:t>
            </w:r>
          </w:p>
        </w:tc>
        <w:tc>
          <w:tcPr>
            <w:tcW w:w="892" w:type="pct"/>
            <w:shd w:val="clear" w:color="auto" w:fill="auto"/>
            <w:vAlign w:val="center"/>
          </w:tcPr>
          <w:p w14:paraId="5A5BA7F5">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p>
        </w:tc>
        <w:tc>
          <w:tcPr>
            <w:tcW w:w="660" w:type="pct"/>
            <w:shd w:val="clear" w:color="auto" w:fill="auto"/>
            <w:vAlign w:val="center"/>
          </w:tcPr>
          <w:p w14:paraId="778D07BD">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lang w:val="en-US" w:eastAsia="zh-CN"/>
              </w:rPr>
              <w:t>第一批次：8台</w:t>
            </w:r>
          </w:p>
        </w:tc>
      </w:tr>
      <w:tr w14:paraId="2B41A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270" w:type="pct"/>
            <w:shd w:val="clear" w:color="auto" w:fill="auto"/>
            <w:vAlign w:val="center"/>
          </w:tcPr>
          <w:p w14:paraId="6D3D10DB">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1</w:t>
            </w:r>
            <w:r>
              <w:rPr>
                <w:rFonts w:ascii="华文楷体" w:hAnsi="华文楷体" w:eastAsia="华文楷体" w:cs="宋体"/>
                <w:color w:val="auto"/>
                <w:sz w:val="21"/>
                <w:szCs w:val="21"/>
                <w:highlight w:val="none"/>
              </w:rPr>
              <w:t>1</w:t>
            </w:r>
          </w:p>
        </w:tc>
        <w:tc>
          <w:tcPr>
            <w:tcW w:w="926" w:type="pct"/>
            <w:shd w:val="clear" w:color="auto" w:fill="auto"/>
            <w:vAlign w:val="center"/>
          </w:tcPr>
          <w:p w14:paraId="28D16E43">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阻火呼吸阀</w:t>
            </w:r>
          </w:p>
          <w:p w14:paraId="3781FB9A">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物资编码（1000655280）</w:t>
            </w:r>
          </w:p>
        </w:tc>
        <w:tc>
          <w:tcPr>
            <w:tcW w:w="957" w:type="pct"/>
            <w:shd w:val="clear" w:color="auto" w:fill="auto"/>
            <w:vAlign w:val="center"/>
          </w:tcPr>
          <w:p w14:paraId="40D331EB">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ascii="华文楷体" w:hAnsi="华文楷体" w:eastAsia="华文楷体" w:cs="宋体"/>
                <w:color w:val="auto"/>
                <w:sz w:val="21"/>
                <w:szCs w:val="21"/>
                <w:highlight w:val="none"/>
              </w:rPr>
              <w:t>DN50/150L</w:t>
            </w:r>
            <w:r>
              <w:rPr>
                <w:rFonts w:hint="eastAsia" w:ascii="华文楷体" w:hAnsi="华文楷体" w:eastAsia="华文楷体" w:cs="宋体"/>
                <w:color w:val="auto"/>
                <w:sz w:val="21"/>
                <w:szCs w:val="21"/>
                <w:highlight w:val="none"/>
              </w:rPr>
              <w:t>b</w:t>
            </w:r>
          </w:p>
        </w:tc>
        <w:tc>
          <w:tcPr>
            <w:tcW w:w="875" w:type="pct"/>
            <w:shd w:val="clear" w:color="auto" w:fill="auto"/>
            <w:vAlign w:val="center"/>
          </w:tcPr>
          <w:p w14:paraId="5E070888">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阀体：</w:t>
            </w:r>
            <w:r>
              <w:rPr>
                <w:rFonts w:ascii="华文楷体" w:hAnsi="华文楷体" w:eastAsia="华文楷体" w:cs="宋体"/>
                <w:color w:val="auto"/>
                <w:sz w:val="21"/>
                <w:szCs w:val="21"/>
                <w:highlight w:val="none"/>
              </w:rPr>
              <w:t>WCB</w:t>
            </w:r>
          </w:p>
          <w:p w14:paraId="2FB58445">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阀盘：</w:t>
            </w:r>
            <w:r>
              <w:rPr>
                <w:rFonts w:ascii="华文楷体" w:hAnsi="华文楷体" w:eastAsia="华文楷体" w:cs="宋体"/>
                <w:color w:val="auto"/>
                <w:sz w:val="21"/>
                <w:szCs w:val="21"/>
                <w:highlight w:val="none"/>
              </w:rPr>
              <w:t>304</w:t>
            </w:r>
          </w:p>
          <w:p w14:paraId="611BD0A7">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阀座：</w:t>
            </w:r>
            <w:r>
              <w:rPr>
                <w:rFonts w:ascii="华文楷体" w:hAnsi="华文楷体" w:eastAsia="华文楷体" w:cs="宋体"/>
                <w:color w:val="auto"/>
                <w:sz w:val="21"/>
                <w:szCs w:val="21"/>
                <w:highlight w:val="none"/>
              </w:rPr>
              <w:t>304</w:t>
            </w:r>
          </w:p>
          <w:p w14:paraId="0BB43458">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导向杆：</w:t>
            </w:r>
            <w:r>
              <w:rPr>
                <w:rFonts w:ascii="华文楷体" w:hAnsi="华文楷体" w:eastAsia="华文楷体" w:cs="宋体"/>
                <w:color w:val="auto"/>
                <w:sz w:val="21"/>
                <w:szCs w:val="21"/>
                <w:highlight w:val="none"/>
              </w:rPr>
              <w:t>304</w:t>
            </w:r>
          </w:p>
          <w:p w14:paraId="1698BE95">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导向衬套:</w:t>
            </w:r>
            <w:r>
              <w:rPr>
                <w:rFonts w:ascii="华文楷体" w:hAnsi="华文楷体" w:eastAsia="华文楷体" w:cs="宋体"/>
                <w:color w:val="auto"/>
                <w:sz w:val="21"/>
                <w:szCs w:val="21"/>
                <w:highlight w:val="none"/>
              </w:rPr>
              <w:t>304</w:t>
            </w:r>
          </w:p>
          <w:p w14:paraId="4774F494">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阀杆衬套:</w:t>
            </w:r>
            <w:r>
              <w:rPr>
                <w:rFonts w:ascii="华文楷体" w:hAnsi="华文楷体" w:eastAsia="华文楷体" w:cs="宋体"/>
                <w:color w:val="auto"/>
                <w:sz w:val="21"/>
                <w:szCs w:val="21"/>
                <w:highlight w:val="none"/>
              </w:rPr>
              <w:t>304</w:t>
            </w:r>
          </w:p>
          <w:p w14:paraId="66A44C14">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密封：</w:t>
            </w:r>
            <w:r>
              <w:rPr>
                <w:rFonts w:hint="eastAsia" w:ascii="华文楷体" w:hAnsi="华文楷体" w:eastAsia="华文楷体" w:cs="宋体"/>
                <w:color w:val="auto"/>
                <w:sz w:val="21"/>
                <w:szCs w:val="21"/>
                <w:highlight w:val="none"/>
                <w:lang w:val="en-US" w:eastAsia="zh-CN"/>
              </w:rPr>
              <w:t xml:space="preserve">    （</w:t>
            </w:r>
            <w:r>
              <w:rPr>
                <w:rFonts w:hint="eastAsia" w:ascii="华文楷体" w:hAnsi="华文楷体" w:eastAsia="华文楷体" w:cs="宋体"/>
                <w:color w:val="auto"/>
                <w:sz w:val="21"/>
                <w:szCs w:val="21"/>
                <w:highlight w:val="none"/>
              </w:rPr>
              <w:t>投标人</w:t>
            </w:r>
            <w:r>
              <w:rPr>
                <w:rFonts w:hint="eastAsia" w:ascii="华文楷体" w:hAnsi="华文楷体" w:eastAsia="华文楷体" w:cs="宋体"/>
                <w:color w:val="auto"/>
                <w:sz w:val="21"/>
                <w:szCs w:val="21"/>
                <w:highlight w:val="none"/>
                <w:lang w:val="en-US" w:eastAsia="zh-CN"/>
              </w:rPr>
              <w:t>填写）</w:t>
            </w:r>
          </w:p>
        </w:tc>
        <w:tc>
          <w:tcPr>
            <w:tcW w:w="417" w:type="pct"/>
            <w:shd w:val="clear" w:color="auto" w:fill="auto"/>
            <w:vAlign w:val="center"/>
          </w:tcPr>
          <w:p w14:paraId="431911BB">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ascii="华文楷体" w:hAnsi="华文楷体" w:eastAsia="华文楷体" w:cs="宋体"/>
                <w:color w:val="auto"/>
                <w:sz w:val="21"/>
                <w:szCs w:val="21"/>
                <w:highlight w:val="none"/>
              </w:rPr>
              <w:t>3</w:t>
            </w:r>
            <w:r>
              <w:rPr>
                <w:rFonts w:hint="eastAsia" w:ascii="华文楷体" w:hAnsi="华文楷体" w:eastAsia="华文楷体" w:cs="宋体"/>
                <w:color w:val="auto"/>
                <w:sz w:val="21"/>
                <w:szCs w:val="21"/>
                <w:highlight w:val="none"/>
              </w:rPr>
              <w:t>台</w:t>
            </w:r>
          </w:p>
        </w:tc>
        <w:tc>
          <w:tcPr>
            <w:tcW w:w="892" w:type="pct"/>
            <w:shd w:val="clear" w:color="auto" w:fill="auto"/>
            <w:vAlign w:val="center"/>
          </w:tcPr>
          <w:p w14:paraId="2F3C7A29">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p>
        </w:tc>
        <w:tc>
          <w:tcPr>
            <w:tcW w:w="660" w:type="pct"/>
            <w:shd w:val="clear" w:color="auto" w:fill="auto"/>
            <w:vAlign w:val="center"/>
          </w:tcPr>
          <w:p w14:paraId="376AAD32">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lang w:val="en-US" w:eastAsia="zh-CN"/>
              </w:rPr>
              <w:t>第一批次：3台</w:t>
            </w:r>
          </w:p>
        </w:tc>
      </w:tr>
      <w:tr w14:paraId="63794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270" w:type="pct"/>
            <w:shd w:val="clear" w:color="auto" w:fill="auto"/>
            <w:vAlign w:val="center"/>
          </w:tcPr>
          <w:p w14:paraId="60ED93B1">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1</w:t>
            </w:r>
            <w:r>
              <w:rPr>
                <w:rFonts w:ascii="华文楷体" w:hAnsi="华文楷体" w:eastAsia="华文楷体" w:cs="宋体"/>
                <w:color w:val="auto"/>
                <w:sz w:val="21"/>
                <w:szCs w:val="21"/>
                <w:highlight w:val="none"/>
              </w:rPr>
              <w:t>2</w:t>
            </w:r>
          </w:p>
        </w:tc>
        <w:tc>
          <w:tcPr>
            <w:tcW w:w="926" w:type="pct"/>
            <w:shd w:val="clear" w:color="auto" w:fill="auto"/>
            <w:vAlign w:val="center"/>
          </w:tcPr>
          <w:p w14:paraId="6DFAA690">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阻火呼吸阀</w:t>
            </w:r>
          </w:p>
          <w:p w14:paraId="7129A35B">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物资编码（1000655278）</w:t>
            </w:r>
          </w:p>
        </w:tc>
        <w:tc>
          <w:tcPr>
            <w:tcW w:w="957" w:type="pct"/>
            <w:shd w:val="clear" w:color="auto" w:fill="auto"/>
            <w:vAlign w:val="center"/>
          </w:tcPr>
          <w:p w14:paraId="54BF593D">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ascii="华文楷体" w:hAnsi="华文楷体" w:eastAsia="华文楷体" w:cs="宋体"/>
                <w:color w:val="auto"/>
                <w:sz w:val="21"/>
                <w:szCs w:val="21"/>
                <w:highlight w:val="none"/>
              </w:rPr>
              <w:t>DN150/150L</w:t>
            </w:r>
            <w:r>
              <w:rPr>
                <w:rFonts w:hint="eastAsia" w:ascii="华文楷体" w:hAnsi="华文楷体" w:eastAsia="华文楷体" w:cs="宋体"/>
                <w:color w:val="auto"/>
                <w:sz w:val="21"/>
                <w:szCs w:val="21"/>
                <w:highlight w:val="none"/>
              </w:rPr>
              <w:t>b</w:t>
            </w:r>
          </w:p>
        </w:tc>
        <w:tc>
          <w:tcPr>
            <w:tcW w:w="875" w:type="pct"/>
            <w:shd w:val="clear" w:color="auto" w:fill="auto"/>
            <w:vAlign w:val="center"/>
          </w:tcPr>
          <w:p w14:paraId="1B83DDC7">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阀体：316</w:t>
            </w:r>
            <w:r>
              <w:rPr>
                <w:rFonts w:ascii="华文楷体" w:hAnsi="华文楷体" w:eastAsia="华文楷体" w:cs="宋体"/>
                <w:color w:val="auto"/>
                <w:sz w:val="21"/>
                <w:szCs w:val="21"/>
                <w:highlight w:val="none"/>
              </w:rPr>
              <w:t>L</w:t>
            </w:r>
          </w:p>
          <w:p w14:paraId="65D753AF">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阀盘：</w:t>
            </w:r>
            <w:r>
              <w:rPr>
                <w:rFonts w:ascii="华文楷体" w:hAnsi="华文楷体" w:eastAsia="华文楷体" w:cs="宋体"/>
                <w:color w:val="auto"/>
                <w:sz w:val="21"/>
                <w:szCs w:val="21"/>
                <w:highlight w:val="none"/>
              </w:rPr>
              <w:t>316L</w:t>
            </w:r>
          </w:p>
          <w:p w14:paraId="6A76A347">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阀座：316</w:t>
            </w:r>
            <w:r>
              <w:rPr>
                <w:rFonts w:ascii="华文楷体" w:hAnsi="华文楷体" w:eastAsia="华文楷体" w:cs="宋体"/>
                <w:color w:val="auto"/>
                <w:sz w:val="21"/>
                <w:szCs w:val="21"/>
                <w:highlight w:val="none"/>
              </w:rPr>
              <w:t>L</w:t>
            </w:r>
          </w:p>
          <w:p w14:paraId="5FC82510">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导向杆：316</w:t>
            </w:r>
            <w:r>
              <w:rPr>
                <w:rFonts w:ascii="华文楷体" w:hAnsi="华文楷体" w:eastAsia="华文楷体" w:cs="宋体"/>
                <w:color w:val="auto"/>
                <w:sz w:val="21"/>
                <w:szCs w:val="21"/>
                <w:highlight w:val="none"/>
              </w:rPr>
              <w:t>L</w:t>
            </w:r>
          </w:p>
          <w:p w14:paraId="77C5C61A">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导向衬套:316</w:t>
            </w:r>
            <w:r>
              <w:rPr>
                <w:rFonts w:ascii="华文楷体" w:hAnsi="华文楷体" w:eastAsia="华文楷体" w:cs="宋体"/>
                <w:color w:val="auto"/>
                <w:sz w:val="21"/>
                <w:szCs w:val="21"/>
                <w:highlight w:val="none"/>
              </w:rPr>
              <w:t>L</w:t>
            </w:r>
          </w:p>
          <w:p w14:paraId="6FB6C456">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阀杆衬套:316</w:t>
            </w:r>
            <w:r>
              <w:rPr>
                <w:rFonts w:ascii="华文楷体" w:hAnsi="华文楷体" w:eastAsia="华文楷体" w:cs="宋体"/>
                <w:color w:val="auto"/>
                <w:sz w:val="21"/>
                <w:szCs w:val="21"/>
                <w:highlight w:val="none"/>
              </w:rPr>
              <w:t>L</w:t>
            </w:r>
          </w:p>
          <w:p w14:paraId="01B76CFC">
            <w:pPr>
              <w:keepNext w:val="0"/>
              <w:keepLines w:val="0"/>
              <w:pageBreakBefore w:val="0"/>
              <w:widowControl w:val="0"/>
              <w:kinsoku/>
              <w:wordWrap/>
              <w:overflowPunct/>
              <w:topLinePunct w:val="0"/>
              <w:autoSpaceDE/>
              <w:autoSpaceDN/>
              <w:bidi w:val="0"/>
              <w:adjustRightInd/>
              <w:snapToGrid/>
              <w:jc w:val="left"/>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密封：</w:t>
            </w:r>
            <w:r>
              <w:rPr>
                <w:rFonts w:hint="eastAsia" w:ascii="华文楷体" w:hAnsi="华文楷体" w:eastAsia="华文楷体" w:cs="宋体"/>
                <w:color w:val="auto"/>
                <w:sz w:val="21"/>
                <w:szCs w:val="21"/>
                <w:highlight w:val="none"/>
                <w:lang w:val="en-US" w:eastAsia="zh-CN"/>
              </w:rPr>
              <w:t xml:space="preserve">    （</w:t>
            </w:r>
            <w:r>
              <w:rPr>
                <w:rFonts w:hint="eastAsia" w:ascii="华文楷体" w:hAnsi="华文楷体" w:eastAsia="华文楷体" w:cs="宋体"/>
                <w:color w:val="auto"/>
                <w:sz w:val="21"/>
                <w:szCs w:val="21"/>
                <w:highlight w:val="none"/>
              </w:rPr>
              <w:t>投标人</w:t>
            </w:r>
            <w:r>
              <w:rPr>
                <w:rFonts w:hint="eastAsia" w:ascii="华文楷体" w:hAnsi="华文楷体" w:eastAsia="华文楷体" w:cs="宋体"/>
                <w:color w:val="auto"/>
                <w:sz w:val="21"/>
                <w:szCs w:val="21"/>
                <w:highlight w:val="none"/>
                <w:lang w:val="en-US" w:eastAsia="zh-CN"/>
              </w:rPr>
              <w:t>填写）</w:t>
            </w:r>
          </w:p>
        </w:tc>
        <w:tc>
          <w:tcPr>
            <w:tcW w:w="417" w:type="pct"/>
            <w:shd w:val="clear" w:color="auto" w:fill="auto"/>
            <w:vAlign w:val="center"/>
          </w:tcPr>
          <w:p w14:paraId="2DEA1869">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ascii="华文楷体" w:hAnsi="华文楷体" w:eastAsia="华文楷体" w:cs="宋体"/>
                <w:color w:val="auto"/>
                <w:sz w:val="21"/>
                <w:szCs w:val="21"/>
                <w:highlight w:val="none"/>
              </w:rPr>
              <w:t>2</w:t>
            </w:r>
            <w:r>
              <w:rPr>
                <w:rFonts w:hint="eastAsia" w:ascii="华文楷体" w:hAnsi="华文楷体" w:eastAsia="华文楷体" w:cs="宋体"/>
                <w:color w:val="auto"/>
                <w:sz w:val="21"/>
                <w:szCs w:val="21"/>
                <w:highlight w:val="none"/>
              </w:rPr>
              <w:t>台</w:t>
            </w:r>
          </w:p>
        </w:tc>
        <w:tc>
          <w:tcPr>
            <w:tcW w:w="892" w:type="pct"/>
            <w:shd w:val="clear" w:color="auto" w:fill="auto"/>
            <w:vAlign w:val="center"/>
          </w:tcPr>
          <w:p w14:paraId="606748F4">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p>
        </w:tc>
        <w:tc>
          <w:tcPr>
            <w:tcW w:w="660" w:type="pct"/>
            <w:shd w:val="clear" w:color="auto" w:fill="auto"/>
            <w:vAlign w:val="center"/>
          </w:tcPr>
          <w:p w14:paraId="7D7C81EA">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lang w:val="en-US" w:eastAsia="zh-CN"/>
              </w:rPr>
              <w:t>第一批次：2台</w:t>
            </w:r>
          </w:p>
        </w:tc>
      </w:tr>
    </w:tbl>
    <w:p w14:paraId="2D924C3D">
      <w:pPr>
        <w:pStyle w:val="4"/>
        <w:spacing w:line="360" w:lineRule="auto"/>
        <w:jc w:val="left"/>
        <w:rPr>
          <w:rFonts w:hint="eastAsia" w:ascii="宋体" w:hAnsi="宋体" w:cs="宋体"/>
          <w:color w:val="auto"/>
          <w:kern w:val="0"/>
          <w:sz w:val="24"/>
          <w:highlight w:val="none"/>
          <w:lang w:val="en-US" w:eastAsia="zh-CN"/>
        </w:rPr>
      </w:pPr>
      <w:bookmarkStart w:id="13" w:name="_Toc373327981"/>
      <w:bookmarkStart w:id="14" w:name="_Toc10044"/>
      <w:bookmarkStart w:id="15" w:name="_Toc11064"/>
      <w:r>
        <w:rPr>
          <w:rFonts w:hint="eastAsia" w:ascii="宋体" w:hAnsi="宋体" w:cs="宋体"/>
          <w:color w:val="auto"/>
          <w:kern w:val="0"/>
          <w:sz w:val="24"/>
          <w:highlight w:val="none"/>
          <w:lang w:val="en-US" w:eastAsia="zh-CN"/>
        </w:rPr>
        <w:t>紧急泄放阀：</w:t>
      </w:r>
    </w:p>
    <w:tbl>
      <w:tblPr>
        <w:tblStyle w:val="7"/>
        <w:tblW w:w="536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4"/>
        <w:gridCol w:w="1706"/>
        <w:gridCol w:w="1575"/>
        <w:gridCol w:w="1662"/>
        <w:gridCol w:w="850"/>
        <w:gridCol w:w="1644"/>
        <w:gridCol w:w="1208"/>
      </w:tblGrid>
      <w:tr w14:paraId="3AA1D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7" w:hRule="atLeast"/>
        </w:trPr>
        <w:tc>
          <w:tcPr>
            <w:tcW w:w="270" w:type="pct"/>
            <w:vAlign w:val="center"/>
          </w:tcPr>
          <w:p w14:paraId="0AC80F04">
            <w:pPr>
              <w:jc w:val="left"/>
              <w:rPr>
                <w:rFonts w:ascii="华文楷体" w:hAnsi="华文楷体" w:eastAsia="华文楷体" w:cs="宋体"/>
                <w:color w:val="auto"/>
                <w:sz w:val="22"/>
                <w:szCs w:val="36"/>
                <w:highlight w:val="none"/>
              </w:rPr>
            </w:pPr>
            <w:r>
              <w:rPr>
                <w:rFonts w:hint="eastAsia" w:ascii="华文楷体" w:hAnsi="华文楷体" w:eastAsia="华文楷体" w:cs="宋体"/>
                <w:color w:val="auto"/>
                <w:szCs w:val="32"/>
                <w:highlight w:val="none"/>
              </w:rPr>
              <w:t>序号</w:t>
            </w:r>
          </w:p>
        </w:tc>
        <w:tc>
          <w:tcPr>
            <w:tcW w:w="933" w:type="pct"/>
            <w:vAlign w:val="center"/>
          </w:tcPr>
          <w:p w14:paraId="7EAD69C3">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2"/>
                <w:szCs w:val="36"/>
                <w:highlight w:val="none"/>
              </w:rPr>
            </w:pPr>
            <w:r>
              <w:rPr>
                <w:rFonts w:hint="eastAsia" w:ascii="华文楷体" w:hAnsi="华文楷体" w:eastAsia="华文楷体" w:cs="宋体"/>
                <w:color w:val="auto"/>
                <w:sz w:val="22"/>
                <w:szCs w:val="36"/>
                <w:highlight w:val="none"/>
              </w:rPr>
              <w:t>设备名称</w:t>
            </w:r>
          </w:p>
        </w:tc>
        <w:tc>
          <w:tcPr>
            <w:tcW w:w="861" w:type="pct"/>
            <w:vAlign w:val="center"/>
          </w:tcPr>
          <w:p w14:paraId="633B24A9">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2"/>
                <w:szCs w:val="36"/>
                <w:highlight w:val="none"/>
              </w:rPr>
            </w:pPr>
            <w:r>
              <w:rPr>
                <w:rFonts w:hint="eastAsia" w:ascii="华文楷体" w:hAnsi="华文楷体" w:eastAsia="华文楷体" w:cs="宋体"/>
                <w:color w:val="auto"/>
                <w:sz w:val="22"/>
                <w:szCs w:val="36"/>
                <w:highlight w:val="none"/>
              </w:rPr>
              <w:t>规格型号</w:t>
            </w:r>
          </w:p>
        </w:tc>
        <w:tc>
          <w:tcPr>
            <w:tcW w:w="909" w:type="pct"/>
            <w:vAlign w:val="center"/>
          </w:tcPr>
          <w:p w14:paraId="16785CA9">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2"/>
                <w:szCs w:val="36"/>
                <w:highlight w:val="none"/>
              </w:rPr>
            </w:pPr>
            <w:r>
              <w:rPr>
                <w:rFonts w:hint="eastAsia" w:ascii="华文楷体" w:hAnsi="华文楷体" w:eastAsia="华文楷体" w:cs="宋体"/>
                <w:color w:val="auto"/>
                <w:sz w:val="22"/>
                <w:szCs w:val="36"/>
                <w:highlight w:val="none"/>
              </w:rPr>
              <w:t>材质</w:t>
            </w:r>
          </w:p>
        </w:tc>
        <w:tc>
          <w:tcPr>
            <w:tcW w:w="465" w:type="pct"/>
            <w:vAlign w:val="center"/>
          </w:tcPr>
          <w:p w14:paraId="35C64F6E">
            <w:pPr>
              <w:keepNext w:val="0"/>
              <w:keepLines w:val="0"/>
              <w:pageBreakBefore w:val="0"/>
              <w:widowControl w:val="0"/>
              <w:kinsoku/>
              <w:wordWrap/>
              <w:overflowPunct/>
              <w:topLinePunct w:val="0"/>
              <w:autoSpaceDE/>
              <w:autoSpaceDN/>
              <w:bidi w:val="0"/>
              <w:adjustRightInd/>
              <w:snapToGrid/>
              <w:jc w:val="center"/>
              <w:textAlignment w:val="auto"/>
              <w:rPr>
                <w:rFonts w:ascii="华文楷体" w:hAnsi="华文楷体" w:eastAsia="华文楷体" w:cs="宋体"/>
                <w:color w:val="auto"/>
                <w:sz w:val="22"/>
                <w:szCs w:val="36"/>
                <w:highlight w:val="none"/>
              </w:rPr>
            </w:pPr>
            <w:r>
              <w:rPr>
                <w:rFonts w:hint="eastAsia" w:ascii="华文楷体" w:hAnsi="华文楷体" w:eastAsia="华文楷体" w:cs="宋体"/>
                <w:color w:val="auto"/>
                <w:sz w:val="22"/>
                <w:szCs w:val="36"/>
                <w:highlight w:val="none"/>
              </w:rPr>
              <w:t>数量</w:t>
            </w:r>
          </w:p>
        </w:tc>
        <w:tc>
          <w:tcPr>
            <w:tcW w:w="899" w:type="pct"/>
            <w:vAlign w:val="center"/>
          </w:tcPr>
          <w:p w14:paraId="3160E93B">
            <w:pPr>
              <w:jc w:val="center"/>
              <w:rPr>
                <w:rFonts w:hint="eastAsia" w:ascii="华文楷体" w:hAnsi="华文楷体" w:eastAsia="华文楷体" w:cs="宋体"/>
                <w:color w:val="auto"/>
                <w:szCs w:val="32"/>
                <w:highlight w:val="none"/>
                <w:lang w:val="en-US" w:eastAsia="zh-CN"/>
              </w:rPr>
            </w:pPr>
            <w:r>
              <w:rPr>
                <w:rFonts w:hint="eastAsia" w:ascii="华文楷体" w:hAnsi="华文楷体" w:eastAsia="华文楷体" w:cs="宋体"/>
                <w:color w:val="auto"/>
                <w:szCs w:val="32"/>
                <w:highlight w:val="none"/>
                <w:lang w:val="en-US" w:eastAsia="zh-CN"/>
              </w:rPr>
              <w:t>单台重量</w:t>
            </w:r>
          </w:p>
          <w:p w14:paraId="03E31C68">
            <w:pPr>
              <w:jc w:val="center"/>
              <w:rPr>
                <w:rFonts w:hint="eastAsia" w:ascii="华文楷体" w:hAnsi="华文楷体" w:eastAsia="华文楷体" w:cs="宋体"/>
                <w:color w:val="auto"/>
                <w:sz w:val="22"/>
                <w:szCs w:val="36"/>
                <w:highlight w:val="none"/>
                <w:lang w:val="en-US" w:eastAsia="zh-CN"/>
              </w:rPr>
            </w:pPr>
            <w:r>
              <w:rPr>
                <w:rFonts w:hint="eastAsia" w:ascii="华文楷体" w:hAnsi="华文楷体" w:eastAsia="华文楷体" w:cs="宋体"/>
                <w:b/>
                <w:bCs/>
                <w:color w:val="auto"/>
                <w:szCs w:val="32"/>
                <w:highlight w:val="none"/>
                <w:lang w:val="en-US" w:eastAsia="zh-CN"/>
              </w:rPr>
              <w:t>（投标人填写）</w:t>
            </w:r>
          </w:p>
        </w:tc>
        <w:tc>
          <w:tcPr>
            <w:tcW w:w="660" w:type="pct"/>
            <w:vAlign w:val="center"/>
          </w:tcPr>
          <w:p w14:paraId="5D581D42">
            <w:pPr>
              <w:keepNext w:val="0"/>
              <w:keepLines w:val="0"/>
              <w:pageBreakBefore w:val="0"/>
              <w:widowControl/>
              <w:kinsoku/>
              <w:wordWrap/>
              <w:overflowPunct/>
              <w:topLinePunct w:val="0"/>
              <w:autoSpaceDE/>
              <w:autoSpaceDN/>
              <w:bidi w:val="0"/>
              <w:adjustRightInd/>
              <w:snapToGrid/>
              <w:jc w:val="center"/>
              <w:textAlignment w:val="auto"/>
              <w:rPr>
                <w:rFonts w:ascii="华文楷体" w:hAnsi="华文楷体" w:eastAsia="华文楷体" w:cs="宋体"/>
                <w:color w:val="auto"/>
                <w:sz w:val="22"/>
                <w:szCs w:val="36"/>
                <w:highlight w:val="none"/>
              </w:rPr>
            </w:pPr>
            <w:r>
              <w:rPr>
                <w:rFonts w:hint="eastAsia" w:ascii="华文楷体" w:hAnsi="华文楷体" w:eastAsia="华文楷体" w:cs="宋体"/>
                <w:color w:val="auto"/>
                <w:sz w:val="21"/>
                <w:szCs w:val="21"/>
                <w:highlight w:val="none"/>
                <w:lang w:eastAsia="zh-CN"/>
              </w:rPr>
              <w:t>供货批次要求</w:t>
            </w:r>
          </w:p>
        </w:tc>
      </w:tr>
      <w:tr w14:paraId="7A63F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0" w:hRule="atLeast"/>
        </w:trPr>
        <w:tc>
          <w:tcPr>
            <w:tcW w:w="270" w:type="pct"/>
            <w:shd w:val="clear" w:color="auto" w:fill="auto"/>
            <w:vAlign w:val="center"/>
          </w:tcPr>
          <w:p w14:paraId="56113C92">
            <w:pPr>
              <w:jc w:val="center"/>
              <w:rPr>
                <w:rFonts w:hint="eastAsia" w:ascii="华文楷体" w:hAnsi="华文楷体" w:eastAsia="华文楷体" w:cs="宋体"/>
                <w:color w:val="auto"/>
                <w:szCs w:val="32"/>
                <w:highlight w:val="none"/>
                <w:lang w:eastAsia="zh-CN"/>
              </w:rPr>
            </w:pPr>
            <w:r>
              <w:rPr>
                <w:rFonts w:hint="eastAsia" w:ascii="华文楷体" w:hAnsi="华文楷体" w:eastAsia="华文楷体" w:cs="宋体"/>
                <w:color w:val="auto"/>
                <w:szCs w:val="32"/>
                <w:highlight w:val="none"/>
                <w:lang w:val="en-US" w:eastAsia="zh-CN"/>
              </w:rPr>
              <w:t>1</w:t>
            </w:r>
          </w:p>
        </w:tc>
        <w:tc>
          <w:tcPr>
            <w:tcW w:w="933" w:type="pct"/>
            <w:shd w:val="clear" w:color="auto" w:fill="auto"/>
            <w:vAlign w:val="center"/>
          </w:tcPr>
          <w:p w14:paraId="38D29033">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lang w:eastAsia="zh-CN"/>
              </w:rPr>
            </w:pPr>
            <w:r>
              <w:rPr>
                <w:rFonts w:hint="eastAsia" w:ascii="华文楷体" w:hAnsi="华文楷体" w:eastAsia="华文楷体" w:cs="宋体"/>
                <w:color w:val="auto"/>
                <w:sz w:val="21"/>
                <w:szCs w:val="21"/>
                <w:highlight w:val="none"/>
                <w:lang w:eastAsia="zh-CN"/>
              </w:rPr>
              <w:t>紧急泄放阀</w:t>
            </w:r>
          </w:p>
          <w:p w14:paraId="008FC78A">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物资编码（1000655320）</w:t>
            </w:r>
          </w:p>
        </w:tc>
        <w:tc>
          <w:tcPr>
            <w:tcW w:w="861" w:type="pct"/>
            <w:shd w:val="clear" w:color="auto" w:fill="auto"/>
            <w:vAlign w:val="center"/>
          </w:tcPr>
          <w:p w14:paraId="573F0856">
            <w:pPr>
              <w:jc w:val="center"/>
              <w:rPr>
                <w:rFonts w:ascii="华文楷体" w:hAnsi="华文楷体" w:eastAsia="华文楷体" w:cs="宋体"/>
                <w:color w:val="auto"/>
                <w:szCs w:val="32"/>
                <w:highlight w:val="none"/>
              </w:rPr>
            </w:pPr>
            <w:r>
              <w:rPr>
                <w:rFonts w:hint="eastAsia" w:ascii="华文楷体" w:hAnsi="华文楷体" w:eastAsia="华文楷体" w:cs="宋体"/>
                <w:color w:val="auto"/>
                <w:szCs w:val="32"/>
                <w:highlight w:val="none"/>
              </w:rPr>
              <w:t>D</w:t>
            </w:r>
            <w:r>
              <w:rPr>
                <w:rFonts w:ascii="华文楷体" w:hAnsi="华文楷体" w:eastAsia="华文楷体" w:cs="宋体"/>
                <w:color w:val="auto"/>
                <w:szCs w:val="32"/>
                <w:highlight w:val="none"/>
              </w:rPr>
              <w:t>N500/150Lb</w:t>
            </w:r>
          </w:p>
        </w:tc>
        <w:tc>
          <w:tcPr>
            <w:tcW w:w="909" w:type="pct"/>
            <w:shd w:val="clear" w:color="auto" w:fill="auto"/>
            <w:vAlign w:val="center"/>
          </w:tcPr>
          <w:p w14:paraId="1729D35C">
            <w:pPr>
              <w:jc w:val="left"/>
              <w:rPr>
                <w:rFonts w:ascii="华文楷体" w:hAnsi="华文楷体" w:eastAsia="华文楷体" w:cs="宋体"/>
                <w:color w:val="auto"/>
                <w:szCs w:val="32"/>
                <w:highlight w:val="none"/>
              </w:rPr>
            </w:pPr>
            <w:r>
              <w:rPr>
                <w:rFonts w:hint="eastAsia" w:ascii="华文楷体" w:hAnsi="华文楷体" w:eastAsia="华文楷体" w:cs="宋体"/>
                <w:color w:val="auto"/>
                <w:szCs w:val="32"/>
                <w:highlight w:val="none"/>
              </w:rPr>
              <w:t>阀体：W</w:t>
            </w:r>
            <w:r>
              <w:rPr>
                <w:rFonts w:ascii="华文楷体" w:hAnsi="华文楷体" w:eastAsia="华文楷体" w:cs="宋体"/>
                <w:color w:val="auto"/>
                <w:szCs w:val="32"/>
                <w:highlight w:val="none"/>
              </w:rPr>
              <w:t>CB</w:t>
            </w:r>
          </w:p>
          <w:p w14:paraId="3E84D9CB">
            <w:pPr>
              <w:jc w:val="left"/>
              <w:rPr>
                <w:rFonts w:ascii="华文楷体" w:hAnsi="华文楷体" w:eastAsia="华文楷体" w:cs="宋体"/>
                <w:color w:val="auto"/>
                <w:szCs w:val="32"/>
                <w:highlight w:val="none"/>
              </w:rPr>
            </w:pPr>
            <w:r>
              <w:rPr>
                <w:rFonts w:ascii="华文楷体" w:hAnsi="华文楷体" w:eastAsia="华文楷体" w:cs="宋体"/>
                <w:color w:val="auto"/>
                <w:szCs w:val="32"/>
                <w:highlight w:val="none"/>
              </w:rPr>
              <w:t>阀座</w:t>
            </w:r>
            <w:r>
              <w:rPr>
                <w:rFonts w:hint="eastAsia" w:ascii="华文楷体" w:hAnsi="华文楷体" w:eastAsia="华文楷体" w:cs="宋体"/>
                <w:color w:val="auto"/>
                <w:szCs w:val="32"/>
                <w:highlight w:val="none"/>
              </w:rPr>
              <w:t>：3</w:t>
            </w:r>
            <w:r>
              <w:rPr>
                <w:rFonts w:ascii="华文楷体" w:hAnsi="华文楷体" w:eastAsia="华文楷体" w:cs="宋体"/>
                <w:color w:val="auto"/>
                <w:szCs w:val="32"/>
                <w:highlight w:val="none"/>
              </w:rPr>
              <w:t>04</w:t>
            </w:r>
          </w:p>
          <w:p w14:paraId="173D057B">
            <w:pPr>
              <w:jc w:val="left"/>
              <w:rPr>
                <w:rFonts w:ascii="华文楷体" w:hAnsi="华文楷体" w:eastAsia="华文楷体" w:cs="宋体"/>
                <w:color w:val="auto"/>
                <w:szCs w:val="32"/>
                <w:highlight w:val="none"/>
              </w:rPr>
            </w:pPr>
            <w:r>
              <w:rPr>
                <w:rFonts w:ascii="华文楷体" w:hAnsi="华文楷体" w:eastAsia="华文楷体" w:cs="宋体"/>
                <w:color w:val="auto"/>
                <w:szCs w:val="32"/>
                <w:highlight w:val="none"/>
              </w:rPr>
              <w:t>阀盘</w:t>
            </w:r>
            <w:r>
              <w:rPr>
                <w:rFonts w:hint="eastAsia" w:ascii="华文楷体" w:hAnsi="华文楷体" w:eastAsia="华文楷体" w:cs="宋体"/>
                <w:color w:val="auto"/>
                <w:szCs w:val="32"/>
                <w:highlight w:val="none"/>
              </w:rPr>
              <w:t>：3</w:t>
            </w:r>
            <w:r>
              <w:rPr>
                <w:rFonts w:ascii="华文楷体" w:hAnsi="华文楷体" w:eastAsia="华文楷体" w:cs="宋体"/>
                <w:color w:val="auto"/>
                <w:szCs w:val="32"/>
                <w:highlight w:val="none"/>
              </w:rPr>
              <w:t>04</w:t>
            </w:r>
          </w:p>
          <w:p w14:paraId="77C4F9C3">
            <w:pPr>
              <w:jc w:val="left"/>
              <w:rPr>
                <w:rFonts w:ascii="华文楷体" w:hAnsi="华文楷体" w:eastAsia="华文楷体" w:cs="宋体"/>
                <w:color w:val="auto"/>
                <w:szCs w:val="32"/>
                <w:highlight w:val="none"/>
              </w:rPr>
            </w:pPr>
            <w:r>
              <w:rPr>
                <w:rFonts w:ascii="华文楷体" w:hAnsi="华文楷体" w:eastAsia="华文楷体" w:cs="宋体"/>
                <w:color w:val="auto"/>
                <w:szCs w:val="32"/>
                <w:highlight w:val="none"/>
              </w:rPr>
              <w:t>滤网</w:t>
            </w:r>
            <w:r>
              <w:rPr>
                <w:rFonts w:hint="eastAsia" w:ascii="华文楷体" w:hAnsi="华文楷体" w:eastAsia="华文楷体" w:cs="宋体"/>
                <w:color w:val="auto"/>
                <w:szCs w:val="32"/>
                <w:highlight w:val="none"/>
              </w:rPr>
              <w:t>：3</w:t>
            </w:r>
            <w:r>
              <w:rPr>
                <w:rFonts w:ascii="华文楷体" w:hAnsi="华文楷体" w:eastAsia="华文楷体" w:cs="宋体"/>
                <w:color w:val="auto"/>
                <w:szCs w:val="32"/>
                <w:highlight w:val="none"/>
              </w:rPr>
              <w:t>04</w:t>
            </w:r>
          </w:p>
        </w:tc>
        <w:tc>
          <w:tcPr>
            <w:tcW w:w="465" w:type="pct"/>
            <w:shd w:val="clear" w:color="auto" w:fill="auto"/>
            <w:vAlign w:val="center"/>
          </w:tcPr>
          <w:p w14:paraId="6EC100CE">
            <w:pPr>
              <w:jc w:val="center"/>
              <w:rPr>
                <w:rFonts w:ascii="华文楷体" w:hAnsi="华文楷体" w:eastAsia="华文楷体" w:cs="宋体"/>
                <w:color w:val="auto"/>
                <w:szCs w:val="32"/>
                <w:highlight w:val="none"/>
              </w:rPr>
            </w:pPr>
            <w:r>
              <w:rPr>
                <w:rFonts w:ascii="华文楷体" w:hAnsi="华文楷体" w:eastAsia="华文楷体" w:cs="宋体"/>
                <w:color w:val="auto"/>
                <w:szCs w:val="32"/>
                <w:highlight w:val="none"/>
              </w:rPr>
              <w:t>14</w:t>
            </w:r>
            <w:r>
              <w:rPr>
                <w:rFonts w:hint="eastAsia" w:ascii="华文楷体" w:hAnsi="华文楷体" w:eastAsia="华文楷体" w:cs="宋体"/>
                <w:color w:val="auto"/>
                <w:szCs w:val="32"/>
                <w:highlight w:val="none"/>
              </w:rPr>
              <w:t>台</w:t>
            </w:r>
          </w:p>
        </w:tc>
        <w:tc>
          <w:tcPr>
            <w:tcW w:w="899" w:type="pct"/>
            <w:shd w:val="clear" w:color="auto" w:fill="auto"/>
            <w:vAlign w:val="center"/>
          </w:tcPr>
          <w:p w14:paraId="659D0671">
            <w:pPr>
              <w:jc w:val="left"/>
              <w:rPr>
                <w:rFonts w:ascii="华文楷体" w:hAnsi="华文楷体" w:eastAsia="华文楷体" w:cs="宋体"/>
                <w:color w:val="auto"/>
                <w:szCs w:val="32"/>
                <w:highlight w:val="none"/>
              </w:rPr>
            </w:pPr>
          </w:p>
        </w:tc>
        <w:tc>
          <w:tcPr>
            <w:tcW w:w="660" w:type="pct"/>
            <w:shd w:val="clear" w:color="auto" w:fill="auto"/>
            <w:vAlign w:val="center"/>
          </w:tcPr>
          <w:p w14:paraId="6505DAD6">
            <w:pPr>
              <w:jc w:val="center"/>
              <w:rPr>
                <w:rFonts w:ascii="华文楷体" w:hAnsi="华文楷体" w:eastAsia="华文楷体" w:cs="宋体"/>
                <w:color w:val="auto"/>
                <w:szCs w:val="32"/>
                <w:highlight w:val="none"/>
              </w:rPr>
            </w:pPr>
            <w:r>
              <w:rPr>
                <w:rFonts w:hint="eastAsia" w:ascii="华文楷体" w:hAnsi="华文楷体" w:eastAsia="华文楷体" w:cs="宋体"/>
                <w:color w:val="auto"/>
                <w:sz w:val="21"/>
                <w:szCs w:val="21"/>
                <w:highlight w:val="none"/>
                <w:lang w:val="en-US" w:eastAsia="zh-CN"/>
              </w:rPr>
              <w:t>第一批次：14台</w:t>
            </w:r>
          </w:p>
        </w:tc>
      </w:tr>
      <w:tr w14:paraId="76C58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0" w:type="pct"/>
            <w:shd w:val="clear" w:color="auto" w:fill="auto"/>
            <w:vAlign w:val="center"/>
          </w:tcPr>
          <w:p w14:paraId="78E9EA13">
            <w:pPr>
              <w:jc w:val="center"/>
              <w:rPr>
                <w:rFonts w:hint="eastAsia" w:ascii="华文楷体" w:hAnsi="华文楷体" w:eastAsia="华文楷体" w:cs="宋体"/>
                <w:color w:val="auto"/>
                <w:szCs w:val="32"/>
                <w:highlight w:val="none"/>
                <w:lang w:eastAsia="zh-CN"/>
              </w:rPr>
            </w:pPr>
            <w:r>
              <w:rPr>
                <w:rFonts w:hint="eastAsia" w:ascii="华文楷体" w:hAnsi="华文楷体" w:eastAsia="华文楷体" w:cs="宋体"/>
                <w:color w:val="auto"/>
                <w:szCs w:val="32"/>
                <w:highlight w:val="none"/>
                <w:lang w:val="en-US" w:eastAsia="zh-CN"/>
              </w:rPr>
              <w:t>2</w:t>
            </w:r>
          </w:p>
        </w:tc>
        <w:tc>
          <w:tcPr>
            <w:tcW w:w="933" w:type="pct"/>
            <w:shd w:val="clear" w:color="auto" w:fill="auto"/>
            <w:vAlign w:val="center"/>
          </w:tcPr>
          <w:p w14:paraId="50D03810">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lang w:eastAsia="zh-CN"/>
              </w:rPr>
            </w:pPr>
            <w:r>
              <w:rPr>
                <w:rFonts w:hint="eastAsia" w:ascii="华文楷体" w:hAnsi="华文楷体" w:eastAsia="华文楷体" w:cs="宋体"/>
                <w:color w:val="auto"/>
                <w:sz w:val="21"/>
                <w:szCs w:val="21"/>
                <w:highlight w:val="none"/>
                <w:lang w:eastAsia="zh-CN"/>
              </w:rPr>
              <w:t>紧急泄放阀</w:t>
            </w:r>
          </w:p>
          <w:p w14:paraId="7D4E2353">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物资编码（1000655319）</w:t>
            </w:r>
          </w:p>
        </w:tc>
        <w:tc>
          <w:tcPr>
            <w:tcW w:w="861" w:type="pct"/>
            <w:shd w:val="clear" w:color="auto" w:fill="auto"/>
            <w:vAlign w:val="center"/>
          </w:tcPr>
          <w:p w14:paraId="1E5DE41B">
            <w:pPr>
              <w:jc w:val="center"/>
              <w:rPr>
                <w:rFonts w:ascii="华文楷体" w:hAnsi="华文楷体" w:eastAsia="华文楷体" w:cs="宋体"/>
                <w:color w:val="auto"/>
                <w:szCs w:val="32"/>
                <w:highlight w:val="none"/>
              </w:rPr>
            </w:pPr>
            <w:r>
              <w:rPr>
                <w:rFonts w:hint="eastAsia" w:ascii="华文楷体" w:hAnsi="华文楷体" w:eastAsia="华文楷体" w:cs="宋体"/>
                <w:color w:val="auto"/>
                <w:szCs w:val="32"/>
                <w:highlight w:val="none"/>
              </w:rPr>
              <w:t>D</w:t>
            </w:r>
            <w:r>
              <w:rPr>
                <w:rFonts w:ascii="华文楷体" w:hAnsi="华文楷体" w:eastAsia="华文楷体" w:cs="宋体"/>
                <w:color w:val="auto"/>
                <w:szCs w:val="32"/>
                <w:highlight w:val="none"/>
              </w:rPr>
              <w:t>N500/150Lb</w:t>
            </w:r>
          </w:p>
        </w:tc>
        <w:tc>
          <w:tcPr>
            <w:tcW w:w="909" w:type="pct"/>
            <w:shd w:val="clear" w:color="auto" w:fill="auto"/>
            <w:vAlign w:val="center"/>
          </w:tcPr>
          <w:p w14:paraId="2DE9ADA6">
            <w:pPr>
              <w:jc w:val="left"/>
              <w:rPr>
                <w:rFonts w:ascii="华文楷体" w:hAnsi="华文楷体" w:eastAsia="华文楷体" w:cs="宋体"/>
                <w:color w:val="auto"/>
                <w:szCs w:val="32"/>
                <w:highlight w:val="none"/>
              </w:rPr>
            </w:pPr>
            <w:r>
              <w:rPr>
                <w:rFonts w:hint="eastAsia" w:ascii="华文楷体" w:hAnsi="华文楷体" w:eastAsia="华文楷体" w:cs="宋体"/>
                <w:color w:val="auto"/>
                <w:szCs w:val="32"/>
                <w:highlight w:val="none"/>
              </w:rPr>
              <w:t>阀体：</w:t>
            </w:r>
            <w:r>
              <w:rPr>
                <w:rFonts w:ascii="华文楷体" w:hAnsi="华文楷体" w:eastAsia="华文楷体" w:cs="宋体"/>
                <w:color w:val="auto"/>
                <w:szCs w:val="32"/>
                <w:highlight w:val="none"/>
              </w:rPr>
              <w:t>304</w:t>
            </w:r>
          </w:p>
          <w:p w14:paraId="749C7127">
            <w:pPr>
              <w:jc w:val="left"/>
              <w:rPr>
                <w:rFonts w:ascii="华文楷体" w:hAnsi="华文楷体" w:eastAsia="华文楷体" w:cs="宋体"/>
                <w:color w:val="auto"/>
                <w:szCs w:val="32"/>
                <w:highlight w:val="none"/>
              </w:rPr>
            </w:pPr>
            <w:r>
              <w:rPr>
                <w:rFonts w:ascii="华文楷体" w:hAnsi="华文楷体" w:eastAsia="华文楷体" w:cs="宋体"/>
                <w:color w:val="auto"/>
                <w:szCs w:val="32"/>
                <w:highlight w:val="none"/>
              </w:rPr>
              <w:t>阀座</w:t>
            </w:r>
            <w:r>
              <w:rPr>
                <w:rFonts w:hint="eastAsia" w:ascii="华文楷体" w:hAnsi="华文楷体" w:eastAsia="华文楷体" w:cs="宋体"/>
                <w:color w:val="auto"/>
                <w:szCs w:val="32"/>
                <w:highlight w:val="none"/>
              </w:rPr>
              <w:t>：3</w:t>
            </w:r>
            <w:r>
              <w:rPr>
                <w:rFonts w:ascii="华文楷体" w:hAnsi="华文楷体" w:eastAsia="华文楷体" w:cs="宋体"/>
                <w:color w:val="auto"/>
                <w:szCs w:val="32"/>
                <w:highlight w:val="none"/>
              </w:rPr>
              <w:t>04</w:t>
            </w:r>
          </w:p>
          <w:p w14:paraId="62F5D229">
            <w:pPr>
              <w:jc w:val="left"/>
              <w:rPr>
                <w:rFonts w:ascii="华文楷体" w:hAnsi="华文楷体" w:eastAsia="华文楷体" w:cs="宋体"/>
                <w:color w:val="auto"/>
                <w:szCs w:val="32"/>
                <w:highlight w:val="none"/>
              </w:rPr>
            </w:pPr>
            <w:r>
              <w:rPr>
                <w:rFonts w:ascii="华文楷体" w:hAnsi="华文楷体" w:eastAsia="华文楷体" w:cs="宋体"/>
                <w:color w:val="auto"/>
                <w:szCs w:val="32"/>
                <w:highlight w:val="none"/>
              </w:rPr>
              <w:t>阀盘</w:t>
            </w:r>
            <w:r>
              <w:rPr>
                <w:rFonts w:hint="eastAsia" w:ascii="华文楷体" w:hAnsi="华文楷体" w:eastAsia="华文楷体" w:cs="宋体"/>
                <w:color w:val="auto"/>
                <w:szCs w:val="32"/>
                <w:highlight w:val="none"/>
              </w:rPr>
              <w:t>：3</w:t>
            </w:r>
            <w:r>
              <w:rPr>
                <w:rFonts w:ascii="华文楷体" w:hAnsi="华文楷体" w:eastAsia="华文楷体" w:cs="宋体"/>
                <w:color w:val="auto"/>
                <w:szCs w:val="32"/>
                <w:highlight w:val="none"/>
              </w:rPr>
              <w:t>04</w:t>
            </w:r>
          </w:p>
          <w:p w14:paraId="0DB2086A">
            <w:pPr>
              <w:jc w:val="left"/>
              <w:rPr>
                <w:rFonts w:ascii="华文楷体" w:hAnsi="华文楷体" w:eastAsia="华文楷体" w:cs="宋体"/>
                <w:color w:val="auto"/>
                <w:szCs w:val="32"/>
                <w:highlight w:val="none"/>
              </w:rPr>
            </w:pPr>
            <w:r>
              <w:rPr>
                <w:rFonts w:ascii="华文楷体" w:hAnsi="华文楷体" w:eastAsia="华文楷体" w:cs="宋体"/>
                <w:color w:val="auto"/>
                <w:szCs w:val="32"/>
                <w:highlight w:val="none"/>
              </w:rPr>
              <w:t>滤网</w:t>
            </w:r>
            <w:r>
              <w:rPr>
                <w:rFonts w:hint="eastAsia" w:ascii="华文楷体" w:hAnsi="华文楷体" w:eastAsia="华文楷体" w:cs="宋体"/>
                <w:color w:val="auto"/>
                <w:szCs w:val="32"/>
                <w:highlight w:val="none"/>
              </w:rPr>
              <w:t>：3</w:t>
            </w:r>
            <w:r>
              <w:rPr>
                <w:rFonts w:ascii="华文楷体" w:hAnsi="华文楷体" w:eastAsia="华文楷体" w:cs="宋体"/>
                <w:color w:val="auto"/>
                <w:szCs w:val="32"/>
                <w:highlight w:val="none"/>
              </w:rPr>
              <w:t>04</w:t>
            </w:r>
          </w:p>
        </w:tc>
        <w:tc>
          <w:tcPr>
            <w:tcW w:w="465" w:type="pct"/>
            <w:shd w:val="clear" w:color="auto" w:fill="auto"/>
            <w:vAlign w:val="center"/>
          </w:tcPr>
          <w:p w14:paraId="2DBA0360">
            <w:pPr>
              <w:jc w:val="center"/>
              <w:rPr>
                <w:rFonts w:ascii="华文楷体" w:hAnsi="华文楷体" w:eastAsia="华文楷体" w:cs="宋体"/>
                <w:color w:val="auto"/>
                <w:szCs w:val="32"/>
                <w:highlight w:val="none"/>
              </w:rPr>
            </w:pPr>
            <w:r>
              <w:rPr>
                <w:rFonts w:ascii="华文楷体" w:hAnsi="华文楷体" w:eastAsia="华文楷体" w:cs="宋体"/>
                <w:color w:val="auto"/>
                <w:szCs w:val="32"/>
                <w:highlight w:val="none"/>
              </w:rPr>
              <w:t>4</w:t>
            </w:r>
            <w:r>
              <w:rPr>
                <w:rFonts w:hint="eastAsia" w:ascii="华文楷体" w:hAnsi="华文楷体" w:eastAsia="华文楷体" w:cs="宋体"/>
                <w:color w:val="auto"/>
                <w:szCs w:val="32"/>
                <w:highlight w:val="none"/>
              </w:rPr>
              <w:t>台</w:t>
            </w:r>
          </w:p>
        </w:tc>
        <w:tc>
          <w:tcPr>
            <w:tcW w:w="899" w:type="pct"/>
            <w:shd w:val="clear" w:color="auto" w:fill="auto"/>
            <w:vAlign w:val="center"/>
          </w:tcPr>
          <w:p w14:paraId="2B9B21B5">
            <w:pPr>
              <w:jc w:val="center"/>
              <w:rPr>
                <w:rFonts w:ascii="华文楷体" w:hAnsi="华文楷体" w:eastAsia="华文楷体" w:cs="宋体"/>
                <w:color w:val="auto"/>
                <w:szCs w:val="32"/>
                <w:highlight w:val="none"/>
              </w:rPr>
            </w:pPr>
          </w:p>
        </w:tc>
        <w:tc>
          <w:tcPr>
            <w:tcW w:w="660" w:type="pct"/>
            <w:shd w:val="clear" w:color="auto" w:fill="auto"/>
            <w:vAlign w:val="center"/>
          </w:tcPr>
          <w:p w14:paraId="6BCFD7C7">
            <w:pPr>
              <w:jc w:val="center"/>
              <w:rPr>
                <w:rFonts w:ascii="华文楷体" w:hAnsi="华文楷体" w:eastAsia="华文楷体" w:cs="宋体"/>
                <w:color w:val="auto"/>
                <w:szCs w:val="32"/>
                <w:highlight w:val="none"/>
              </w:rPr>
            </w:pPr>
            <w:r>
              <w:rPr>
                <w:rFonts w:hint="eastAsia" w:ascii="华文楷体" w:hAnsi="华文楷体" w:eastAsia="华文楷体" w:cs="宋体"/>
                <w:color w:val="auto"/>
                <w:sz w:val="21"/>
                <w:szCs w:val="21"/>
                <w:highlight w:val="none"/>
                <w:lang w:val="en-US" w:eastAsia="zh-CN"/>
              </w:rPr>
              <w:t>第一批次：4台</w:t>
            </w:r>
          </w:p>
        </w:tc>
      </w:tr>
      <w:tr w14:paraId="63645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0" w:type="pct"/>
            <w:shd w:val="clear" w:color="auto" w:fill="auto"/>
            <w:vAlign w:val="center"/>
          </w:tcPr>
          <w:p w14:paraId="1C0CC3F2">
            <w:pPr>
              <w:jc w:val="center"/>
              <w:rPr>
                <w:rFonts w:hint="eastAsia" w:ascii="华文楷体" w:hAnsi="华文楷体" w:eastAsia="华文楷体" w:cs="宋体"/>
                <w:color w:val="auto"/>
                <w:szCs w:val="32"/>
                <w:highlight w:val="none"/>
                <w:lang w:eastAsia="zh-CN"/>
              </w:rPr>
            </w:pPr>
            <w:r>
              <w:rPr>
                <w:rFonts w:hint="eastAsia" w:ascii="华文楷体" w:hAnsi="华文楷体" w:eastAsia="华文楷体" w:cs="宋体"/>
                <w:color w:val="auto"/>
                <w:szCs w:val="32"/>
                <w:highlight w:val="none"/>
                <w:lang w:val="en-US" w:eastAsia="zh-CN"/>
              </w:rPr>
              <w:t>3</w:t>
            </w:r>
          </w:p>
        </w:tc>
        <w:tc>
          <w:tcPr>
            <w:tcW w:w="933" w:type="pct"/>
            <w:shd w:val="clear" w:color="auto" w:fill="auto"/>
            <w:vAlign w:val="center"/>
          </w:tcPr>
          <w:p w14:paraId="3E14706D">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lang w:eastAsia="zh-CN"/>
              </w:rPr>
            </w:pPr>
            <w:r>
              <w:rPr>
                <w:rFonts w:hint="eastAsia" w:ascii="华文楷体" w:hAnsi="华文楷体" w:eastAsia="华文楷体" w:cs="宋体"/>
                <w:color w:val="auto"/>
                <w:sz w:val="21"/>
                <w:szCs w:val="21"/>
                <w:highlight w:val="none"/>
                <w:lang w:eastAsia="zh-CN"/>
              </w:rPr>
              <w:t>紧急泄放阀</w:t>
            </w:r>
          </w:p>
          <w:p w14:paraId="402304ED">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物资编码（1000639853）</w:t>
            </w:r>
          </w:p>
        </w:tc>
        <w:tc>
          <w:tcPr>
            <w:tcW w:w="861" w:type="pct"/>
            <w:shd w:val="clear" w:color="auto" w:fill="auto"/>
            <w:vAlign w:val="center"/>
          </w:tcPr>
          <w:p w14:paraId="0BF0A62E">
            <w:pPr>
              <w:jc w:val="center"/>
              <w:rPr>
                <w:rFonts w:ascii="华文楷体" w:hAnsi="华文楷体" w:eastAsia="华文楷体" w:cs="宋体"/>
                <w:color w:val="auto"/>
                <w:szCs w:val="32"/>
                <w:highlight w:val="none"/>
              </w:rPr>
            </w:pPr>
            <w:r>
              <w:rPr>
                <w:rFonts w:hint="eastAsia" w:ascii="华文楷体" w:hAnsi="华文楷体" w:eastAsia="华文楷体" w:cs="宋体"/>
                <w:color w:val="auto"/>
                <w:szCs w:val="32"/>
                <w:highlight w:val="none"/>
              </w:rPr>
              <w:t>D</w:t>
            </w:r>
            <w:r>
              <w:rPr>
                <w:rFonts w:ascii="华文楷体" w:hAnsi="华文楷体" w:eastAsia="华文楷体" w:cs="宋体"/>
                <w:color w:val="auto"/>
                <w:szCs w:val="32"/>
                <w:highlight w:val="none"/>
              </w:rPr>
              <w:t>N500/150Lb</w:t>
            </w:r>
          </w:p>
        </w:tc>
        <w:tc>
          <w:tcPr>
            <w:tcW w:w="909" w:type="pct"/>
            <w:shd w:val="clear" w:color="auto" w:fill="auto"/>
            <w:vAlign w:val="center"/>
          </w:tcPr>
          <w:p w14:paraId="7483786C">
            <w:pPr>
              <w:jc w:val="left"/>
              <w:rPr>
                <w:rFonts w:ascii="华文楷体" w:hAnsi="华文楷体" w:eastAsia="华文楷体" w:cs="宋体"/>
                <w:color w:val="auto"/>
                <w:szCs w:val="32"/>
                <w:highlight w:val="none"/>
              </w:rPr>
            </w:pPr>
            <w:r>
              <w:rPr>
                <w:rFonts w:hint="eastAsia" w:ascii="华文楷体" w:hAnsi="华文楷体" w:eastAsia="华文楷体" w:cs="宋体"/>
                <w:color w:val="auto"/>
                <w:szCs w:val="32"/>
                <w:highlight w:val="none"/>
              </w:rPr>
              <w:t>阀体：</w:t>
            </w:r>
            <w:r>
              <w:rPr>
                <w:rFonts w:ascii="华文楷体" w:hAnsi="华文楷体" w:eastAsia="华文楷体" w:cs="宋体"/>
                <w:color w:val="auto"/>
                <w:szCs w:val="32"/>
                <w:highlight w:val="none"/>
              </w:rPr>
              <w:t>316L</w:t>
            </w:r>
          </w:p>
          <w:p w14:paraId="1BDDACBB">
            <w:pPr>
              <w:jc w:val="left"/>
              <w:rPr>
                <w:rFonts w:ascii="华文楷体" w:hAnsi="华文楷体" w:eastAsia="华文楷体" w:cs="宋体"/>
                <w:color w:val="auto"/>
                <w:szCs w:val="32"/>
                <w:highlight w:val="none"/>
              </w:rPr>
            </w:pPr>
            <w:r>
              <w:rPr>
                <w:rFonts w:ascii="华文楷体" w:hAnsi="华文楷体" w:eastAsia="华文楷体" w:cs="宋体"/>
                <w:color w:val="auto"/>
                <w:szCs w:val="32"/>
                <w:highlight w:val="none"/>
              </w:rPr>
              <w:t>阀座</w:t>
            </w:r>
            <w:r>
              <w:rPr>
                <w:rFonts w:hint="eastAsia" w:ascii="华文楷体" w:hAnsi="华文楷体" w:eastAsia="华文楷体" w:cs="宋体"/>
                <w:color w:val="auto"/>
                <w:szCs w:val="32"/>
                <w:highlight w:val="none"/>
              </w:rPr>
              <w:t>：</w:t>
            </w:r>
            <w:r>
              <w:rPr>
                <w:rFonts w:ascii="华文楷体" w:hAnsi="华文楷体" w:eastAsia="华文楷体" w:cs="宋体"/>
                <w:color w:val="auto"/>
                <w:szCs w:val="32"/>
                <w:highlight w:val="none"/>
              </w:rPr>
              <w:t>316L</w:t>
            </w:r>
          </w:p>
          <w:p w14:paraId="6F22A02E">
            <w:pPr>
              <w:jc w:val="left"/>
              <w:rPr>
                <w:rFonts w:ascii="华文楷体" w:hAnsi="华文楷体" w:eastAsia="华文楷体" w:cs="宋体"/>
                <w:color w:val="auto"/>
                <w:szCs w:val="32"/>
                <w:highlight w:val="none"/>
              </w:rPr>
            </w:pPr>
            <w:r>
              <w:rPr>
                <w:rFonts w:ascii="华文楷体" w:hAnsi="华文楷体" w:eastAsia="华文楷体" w:cs="宋体"/>
                <w:color w:val="auto"/>
                <w:szCs w:val="32"/>
                <w:highlight w:val="none"/>
              </w:rPr>
              <w:t>阀盘</w:t>
            </w:r>
            <w:r>
              <w:rPr>
                <w:rFonts w:hint="eastAsia" w:ascii="华文楷体" w:hAnsi="华文楷体" w:eastAsia="华文楷体" w:cs="宋体"/>
                <w:color w:val="auto"/>
                <w:szCs w:val="32"/>
                <w:highlight w:val="none"/>
              </w:rPr>
              <w:t>：</w:t>
            </w:r>
            <w:r>
              <w:rPr>
                <w:rFonts w:ascii="华文楷体" w:hAnsi="华文楷体" w:eastAsia="华文楷体" w:cs="宋体"/>
                <w:color w:val="auto"/>
                <w:szCs w:val="32"/>
                <w:highlight w:val="none"/>
              </w:rPr>
              <w:t>316L</w:t>
            </w:r>
          </w:p>
          <w:p w14:paraId="33456E43">
            <w:pPr>
              <w:jc w:val="left"/>
              <w:rPr>
                <w:rFonts w:ascii="华文楷体" w:hAnsi="华文楷体" w:eastAsia="华文楷体" w:cs="宋体"/>
                <w:color w:val="auto"/>
                <w:szCs w:val="32"/>
                <w:highlight w:val="none"/>
              </w:rPr>
            </w:pPr>
            <w:r>
              <w:rPr>
                <w:rFonts w:ascii="华文楷体" w:hAnsi="华文楷体" w:eastAsia="华文楷体" w:cs="宋体"/>
                <w:color w:val="auto"/>
                <w:szCs w:val="32"/>
                <w:highlight w:val="none"/>
              </w:rPr>
              <w:t>滤网</w:t>
            </w:r>
            <w:r>
              <w:rPr>
                <w:rFonts w:hint="eastAsia" w:ascii="华文楷体" w:hAnsi="华文楷体" w:eastAsia="华文楷体" w:cs="宋体"/>
                <w:color w:val="auto"/>
                <w:szCs w:val="32"/>
                <w:highlight w:val="none"/>
              </w:rPr>
              <w:t>：</w:t>
            </w:r>
            <w:r>
              <w:rPr>
                <w:rFonts w:ascii="华文楷体" w:hAnsi="华文楷体" w:eastAsia="华文楷体" w:cs="宋体"/>
                <w:color w:val="auto"/>
                <w:szCs w:val="32"/>
                <w:highlight w:val="none"/>
              </w:rPr>
              <w:t>316L</w:t>
            </w:r>
          </w:p>
        </w:tc>
        <w:tc>
          <w:tcPr>
            <w:tcW w:w="465" w:type="pct"/>
            <w:shd w:val="clear" w:color="auto" w:fill="auto"/>
            <w:vAlign w:val="center"/>
          </w:tcPr>
          <w:p w14:paraId="51B9D8C0">
            <w:pPr>
              <w:jc w:val="center"/>
              <w:rPr>
                <w:rFonts w:ascii="华文楷体" w:hAnsi="华文楷体" w:eastAsia="华文楷体" w:cs="宋体"/>
                <w:color w:val="auto"/>
                <w:szCs w:val="32"/>
                <w:highlight w:val="none"/>
              </w:rPr>
            </w:pPr>
            <w:r>
              <w:rPr>
                <w:rFonts w:ascii="华文楷体" w:hAnsi="华文楷体" w:eastAsia="华文楷体" w:cs="宋体"/>
                <w:color w:val="auto"/>
                <w:szCs w:val="32"/>
                <w:highlight w:val="none"/>
              </w:rPr>
              <w:t>2</w:t>
            </w:r>
            <w:r>
              <w:rPr>
                <w:rFonts w:hint="eastAsia" w:ascii="华文楷体" w:hAnsi="华文楷体" w:eastAsia="华文楷体" w:cs="宋体"/>
                <w:color w:val="auto"/>
                <w:szCs w:val="32"/>
                <w:highlight w:val="none"/>
              </w:rPr>
              <w:t>台</w:t>
            </w:r>
          </w:p>
        </w:tc>
        <w:tc>
          <w:tcPr>
            <w:tcW w:w="899" w:type="pct"/>
            <w:shd w:val="clear" w:color="auto" w:fill="auto"/>
            <w:vAlign w:val="center"/>
          </w:tcPr>
          <w:p w14:paraId="696E2AB9">
            <w:pPr>
              <w:jc w:val="center"/>
              <w:rPr>
                <w:rFonts w:ascii="华文楷体" w:hAnsi="华文楷体" w:eastAsia="华文楷体" w:cs="宋体"/>
                <w:color w:val="auto"/>
                <w:szCs w:val="32"/>
                <w:highlight w:val="none"/>
              </w:rPr>
            </w:pPr>
          </w:p>
        </w:tc>
        <w:tc>
          <w:tcPr>
            <w:tcW w:w="660" w:type="pct"/>
            <w:shd w:val="clear" w:color="auto" w:fill="auto"/>
            <w:vAlign w:val="center"/>
          </w:tcPr>
          <w:p w14:paraId="1E389CF7">
            <w:pPr>
              <w:jc w:val="center"/>
              <w:rPr>
                <w:rFonts w:ascii="华文楷体" w:hAnsi="华文楷体" w:eastAsia="华文楷体" w:cs="宋体"/>
                <w:color w:val="auto"/>
                <w:szCs w:val="32"/>
                <w:highlight w:val="none"/>
              </w:rPr>
            </w:pPr>
            <w:r>
              <w:rPr>
                <w:rFonts w:hint="eastAsia" w:ascii="华文楷体" w:hAnsi="华文楷体" w:eastAsia="华文楷体" w:cs="宋体"/>
                <w:color w:val="auto"/>
                <w:sz w:val="21"/>
                <w:szCs w:val="21"/>
                <w:highlight w:val="none"/>
                <w:lang w:val="en-US" w:eastAsia="zh-CN"/>
              </w:rPr>
              <w:t>第一批次：2台</w:t>
            </w:r>
          </w:p>
        </w:tc>
      </w:tr>
    </w:tbl>
    <w:p w14:paraId="713299D3">
      <w:pPr>
        <w:pStyle w:val="4"/>
        <w:spacing w:line="360" w:lineRule="auto"/>
        <w:jc w:val="left"/>
        <w:rPr>
          <w:rFonts w:hint="eastAsia" w:ascii="宋体" w:hAnsi="宋体" w:cs="宋体"/>
          <w:color w:val="auto"/>
          <w:kern w:val="0"/>
          <w:sz w:val="24"/>
          <w:highlight w:val="none"/>
          <w:lang w:val="en-US" w:eastAsia="zh-CN"/>
        </w:rPr>
      </w:pPr>
      <w:r>
        <w:rPr>
          <w:rFonts w:hint="eastAsia" w:ascii="宋体" w:hAnsi="宋体" w:cs="宋体"/>
          <w:color w:val="auto"/>
          <w:kern w:val="0"/>
          <w:sz w:val="24"/>
          <w:highlight w:val="none"/>
          <w:lang w:val="en-US" w:eastAsia="zh-CN"/>
        </w:rPr>
        <w:t>阻火器：</w:t>
      </w:r>
    </w:p>
    <w:tbl>
      <w:tblPr>
        <w:tblStyle w:val="7"/>
        <w:tblW w:w="536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4"/>
        <w:gridCol w:w="1743"/>
        <w:gridCol w:w="1538"/>
        <w:gridCol w:w="1625"/>
        <w:gridCol w:w="900"/>
        <w:gridCol w:w="1631"/>
        <w:gridCol w:w="1208"/>
      </w:tblGrid>
      <w:tr w14:paraId="39B5E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70" w:type="pct"/>
            <w:vAlign w:val="center"/>
          </w:tcPr>
          <w:p w14:paraId="32A9171E">
            <w:pPr>
              <w:jc w:val="center"/>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序号</w:t>
            </w:r>
          </w:p>
        </w:tc>
        <w:tc>
          <w:tcPr>
            <w:tcW w:w="953" w:type="pct"/>
            <w:vAlign w:val="center"/>
          </w:tcPr>
          <w:p w14:paraId="3C85733A">
            <w:pPr>
              <w:jc w:val="center"/>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设备名称</w:t>
            </w:r>
          </w:p>
        </w:tc>
        <w:tc>
          <w:tcPr>
            <w:tcW w:w="841" w:type="pct"/>
            <w:vAlign w:val="center"/>
          </w:tcPr>
          <w:p w14:paraId="29F1BF40">
            <w:pPr>
              <w:jc w:val="center"/>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规格型号</w:t>
            </w:r>
          </w:p>
        </w:tc>
        <w:tc>
          <w:tcPr>
            <w:tcW w:w="889" w:type="pct"/>
            <w:vAlign w:val="center"/>
          </w:tcPr>
          <w:p w14:paraId="21574388">
            <w:pPr>
              <w:jc w:val="center"/>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材质</w:t>
            </w:r>
          </w:p>
        </w:tc>
        <w:tc>
          <w:tcPr>
            <w:tcW w:w="492" w:type="pct"/>
            <w:vAlign w:val="center"/>
          </w:tcPr>
          <w:p w14:paraId="56F31592">
            <w:pPr>
              <w:jc w:val="center"/>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数量</w:t>
            </w:r>
          </w:p>
        </w:tc>
        <w:tc>
          <w:tcPr>
            <w:tcW w:w="892" w:type="pct"/>
            <w:vAlign w:val="center"/>
          </w:tcPr>
          <w:p w14:paraId="48F0EFB3">
            <w:pPr>
              <w:jc w:val="center"/>
              <w:rPr>
                <w:rFonts w:hint="eastAsia" w:ascii="华文楷体" w:hAnsi="华文楷体" w:eastAsia="华文楷体" w:cs="宋体"/>
                <w:color w:val="auto"/>
                <w:sz w:val="21"/>
                <w:szCs w:val="21"/>
                <w:highlight w:val="none"/>
                <w:lang w:val="en-US" w:eastAsia="zh-CN"/>
              </w:rPr>
            </w:pPr>
            <w:r>
              <w:rPr>
                <w:rFonts w:hint="eastAsia" w:ascii="华文楷体" w:hAnsi="华文楷体" w:eastAsia="华文楷体" w:cs="宋体"/>
                <w:color w:val="auto"/>
                <w:sz w:val="21"/>
                <w:szCs w:val="21"/>
                <w:highlight w:val="none"/>
                <w:lang w:val="en-US" w:eastAsia="zh-CN"/>
              </w:rPr>
              <w:t>阻火器压降</w:t>
            </w:r>
          </w:p>
          <w:p w14:paraId="62590755">
            <w:pPr>
              <w:jc w:val="center"/>
              <w:rPr>
                <w:rFonts w:hint="default" w:ascii="华文楷体" w:hAnsi="华文楷体" w:eastAsia="华文楷体" w:cs="宋体"/>
                <w:color w:val="auto"/>
                <w:sz w:val="21"/>
                <w:szCs w:val="21"/>
                <w:highlight w:val="none"/>
                <w:lang w:val="en-US" w:eastAsia="zh-CN"/>
              </w:rPr>
            </w:pPr>
            <w:r>
              <w:rPr>
                <w:rFonts w:hint="eastAsia" w:ascii="华文楷体" w:hAnsi="华文楷体" w:eastAsia="华文楷体" w:cs="宋体"/>
                <w:b/>
                <w:bCs/>
                <w:color w:val="auto"/>
                <w:sz w:val="21"/>
                <w:szCs w:val="21"/>
                <w:highlight w:val="none"/>
                <w:lang w:val="en-US" w:eastAsia="zh-CN"/>
              </w:rPr>
              <w:t>（投标人填写）</w:t>
            </w:r>
          </w:p>
        </w:tc>
        <w:tc>
          <w:tcPr>
            <w:tcW w:w="660" w:type="pct"/>
            <w:shd w:val="clear" w:color="auto" w:fill="auto"/>
            <w:vAlign w:val="center"/>
          </w:tcPr>
          <w:p w14:paraId="4A85AB1C">
            <w:pPr>
              <w:keepNext w:val="0"/>
              <w:keepLines w:val="0"/>
              <w:pageBreakBefore w:val="0"/>
              <w:widowControl/>
              <w:kinsoku/>
              <w:wordWrap/>
              <w:overflowPunct/>
              <w:topLinePunct w:val="0"/>
              <w:autoSpaceDE/>
              <w:autoSpaceDN/>
              <w:bidi w:val="0"/>
              <w:adjustRightInd/>
              <w:snapToGrid/>
              <w:jc w:val="center"/>
              <w:textAlignment w:val="auto"/>
              <w:rPr>
                <w:rFonts w:ascii="华文楷体" w:hAnsi="华文楷体" w:eastAsia="华文楷体" w:cs="宋体"/>
                <w:color w:val="auto"/>
                <w:kern w:val="2"/>
                <w:sz w:val="22"/>
                <w:szCs w:val="36"/>
                <w:highlight w:val="none"/>
                <w:lang w:val="en-US" w:eastAsia="zh-CN" w:bidi="ar-SA"/>
              </w:rPr>
            </w:pPr>
            <w:r>
              <w:rPr>
                <w:rFonts w:hint="eastAsia" w:ascii="华文楷体" w:hAnsi="华文楷体" w:eastAsia="华文楷体" w:cs="宋体"/>
                <w:color w:val="auto"/>
                <w:sz w:val="21"/>
                <w:szCs w:val="21"/>
                <w:highlight w:val="none"/>
                <w:lang w:eastAsia="zh-CN"/>
              </w:rPr>
              <w:t>供货批次要求</w:t>
            </w:r>
          </w:p>
        </w:tc>
      </w:tr>
      <w:tr w14:paraId="71C06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70" w:type="pct"/>
            <w:shd w:val="clear" w:color="auto" w:fill="auto"/>
            <w:vAlign w:val="center"/>
          </w:tcPr>
          <w:p w14:paraId="5B60FAB1">
            <w:pPr>
              <w:jc w:val="center"/>
              <w:rPr>
                <w:rFonts w:hint="eastAsia" w:ascii="华文楷体" w:hAnsi="华文楷体" w:eastAsia="华文楷体" w:cs="宋体"/>
                <w:color w:val="auto"/>
                <w:sz w:val="21"/>
                <w:szCs w:val="21"/>
                <w:highlight w:val="none"/>
                <w:lang w:eastAsia="zh-CN"/>
              </w:rPr>
            </w:pPr>
            <w:r>
              <w:rPr>
                <w:rFonts w:hint="eastAsia" w:ascii="华文楷体" w:hAnsi="华文楷体" w:eastAsia="华文楷体" w:cs="宋体"/>
                <w:color w:val="auto"/>
                <w:sz w:val="21"/>
                <w:szCs w:val="21"/>
                <w:highlight w:val="none"/>
                <w:lang w:val="en-US" w:eastAsia="zh-CN"/>
              </w:rPr>
              <w:t>1</w:t>
            </w:r>
          </w:p>
        </w:tc>
        <w:tc>
          <w:tcPr>
            <w:tcW w:w="953" w:type="pct"/>
            <w:shd w:val="clear" w:color="auto" w:fill="auto"/>
            <w:vAlign w:val="center"/>
          </w:tcPr>
          <w:p w14:paraId="568742FC">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阻火器</w:t>
            </w:r>
          </w:p>
          <w:p w14:paraId="43612840">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物资编码（1000352769）</w:t>
            </w:r>
          </w:p>
        </w:tc>
        <w:tc>
          <w:tcPr>
            <w:tcW w:w="841" w:type="pct"/>
            <w:shd w:val="clear" w:color="auto" w:fill="auto"/>
            <w:vAlign w:val="center"/>
          </w:tcPr>
          <w:p w14:paraId="7539C539">
            <w:pPr>
              <w:jc w:val="center"/>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D</w:t>
            </w:r>
            <w:r>
              <w:rPr>
                <w:rFonts w:ascii="华文楷体" w:hAnsi="华文楷体" w:eastAsia="华文楷体" w:cs="宋体"/>
                <w:color w:val="auto"/>
                <w:sz w:val="21"/>
                <w:szCs w:val="21"/>
                <w:highlight w:val="none"/>
              </w:rPr>
              <w:t>N80/150Lb</w:t>
            </w:r>
          </w:p>
        </w:tc>
        <w:tc>
          <w:tcPr>
            <w:tcW w:w="889" w:type="pct"/>
            <w:shd w:val="clear" w:color="auto" w:fill="auto"/>
            <w:vAlign w:val="center"/>
          </w:tcPr>
          <w:p w14:paraId="4BD32C92">
            <w:pPr>
              <w:jc w:val="center"/>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壳体：C</w:t>
            </w:r>
            <w:r>
              <w:rPr>
                <w:rFonts w:ascii="华文楷体" w:hAnsi="华文楷体" w:eastAsia="华文楷体" w:cs="宋体"/>
                <w:color w:val="auto"/>
                <w:sz w:val="21"/>
                <w:szCs w:val="21"/>
                <w:highlight w:val="none"/>
              </w:rPr>
              <w:t>S</w:t>
            </w:r>
          </w:p>
          <w:p w14:paraId="41BE1A18">
            <w:pPr>
              <w:jc w:val="center"/>
              <w:rPr>
                <w:rFonts w:ascii="华文楷体" w:hAnsi="华文楷体" w:eastAsia="华文楷体" w:cs="宋体"/>
                <w:color w:val="auto"/>
                <w:sz w:val="21"/>
                <w:szCs w:val="21"/>
                <w:highlight w:val="none"/>
              </w:rPr>
            </w:pPr>
            <w:r>
              <w:rPr>
                <w:rFonts w:ascii="华文楷体" w:hAnsi="华文楷体" w:eastAsia="华文楷体" w:cs="宋体"/>
                <w:color w:val="auto"/>
                <w:sz w:val="21"/>
                <w:szCs w:val="21"/>
                <w:highlight w:val="none"/>
              </w:rPr>
              <w:t>内件</w:t>
            </w:r>
            <w:r>
              <w:rPr>
                <w:rFonts w:hint="eastAsia" w:ascii="华文楷体" w:hAnsi="华文楷体" w:eastAsia="华文楷体" w:cs="宋体"/>
                <w:color w:val="auto"/>
                <w:sz w:val="21"/>
                <w:szCs w:val="21"/>
                <w:highlight w:val="none"/>
              </w:rPr>
              <w:t>：3</w:t>
            </w:r>
            <w:r>
              <w:rPr>
                <w:rFonts w:ascii="华文楷体" w:hAnsi="华文楷体" w:eastAsia="华文楷体" w:cs="宋体"/>
                <w:color w:val="auto"/>
                <w:sz w:val="21"/>
                <w:szCs w:val="21"/>
                <w:highlight w:val="none"/>
              </w:rPr>
              <w:t>04</w:t>
            </w:r>
          </w:p>
        </w:tc>
        <w:tc>
          <w:tcPr>
            <w:tcW w:w="492" w:type="pct"/>
            <w:shd w:val="clear" w:color="auto" w:fill="auto"/>
            <w:vAlign w:val="center"/>
          </w:tcPr>
          <w:p w14:paraId="6E659F29">
            <w:pPr>
              <w:jc w:val="center"/>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8台</w:t>
            </w:r>
          </w:p>
        </w:tc>
        <w:tc>
          <w:tcPr>
            <w:tcW w:w="892" w:type="pct"/>
            <w:shd w:val="clear" w:color="auto" w:fill="auto"/>
            <w:vAlign w:val="center"/>
          </w:tcPr>
          <w:p w14:paraId="5F78E8B8">
            <w:pPr>
              <w:jc w:val="center"/>
              <w:rPr>
                <w:rFonts w:ascii="华文楷体" w:hAnsi="华文楷体" w:eastAsia="华文楷体" w:cs="宋体"/>
                <w:color w:val="auto"/>
                <w:sz w:val="21"/>
                <w:szCs w:val="21"/>
                <w:highlight w:val="none"/>
              </w:rPr>
            </w:pPr>
          </w:p>
        </w:tc>
        <w:tc>
          <w:tcPr>
            <w:tcW w:w="660" w:type="pct"/>
            <w:shd w:val="clear" w:color="auto" w:fill="auto"/>
            <w:vAlign w:val="center"/>
          </w:tcPr>
          <w:p w14:paraId="2A022F45">
            <w:pPr>
              <w:jc w:val="center"/>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lang w:val="en-US" w:eastAsia="zh-CN"/>
              </w:rPr>
              <w:t>第一批次：8台</w:t>
            </w:r>
          </w:p>
        </w:tc>
      </w:tr>
      <w:tr w14:paraId="34E2A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70" w:type="pct"/>
            <w:shd w:val="clear" w:color="auto" w:fill="auto"/>
            <w:vAlign w:val="center"/>
          </w:tcPr>
          <w:p w14:paraId="77C44528">
            <w:pPr>
              <w:jc w:val="center"/>
              <w:rPr>
                <w:rFonts w:hint="eastAsia" w:ascii="华文楷体" w:hAnsi="华文楷体" w:eastAsia="华文楷体" w:cs="宋体"/>
                <w:color w:val="auto"/>
                <w:sz w:val="21"/>
                <w:szCs w:val="21"/>
                <w:highlight w:val="none"/>
                <w:lang w:eastAsia="zh-CN"/>
              </w:rPr>
            </w:pPr>
            <w:r>
              <w:rPr>
                <w:rFonts w:hint="eastAsia" w:ascii="华文楷体" w:hAnsi="华文楷体" w:eastAsia="华文楷体" w:cs="宋体"/>
                <w:color w:val="auto"/>
                <w:sz w:val="21"/>
                <w:szCs w:val="21"/>
                <w:highlight w:val="none"/>
                <w:lang w:val="en-US" w:eastAsia="zh-CN"/>
              </w:rPr>
              <w:t>2</w:t>
            </w:r>
          </w:p>
        </w:tc>
        <w:tc>
          <w:tcPr>
            <w:tcW w:w="953" w:type="pct"/>
            <w:shd w:val="clear" w:color="auto" w:fill="auto"/>
            <w:vAlign w:val="center"/>
          </w:tcPr>
          <w:p w14:paraId="6F815EBF">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阻火器</w:t>
            </w:r>
          </w:p>
          <w:p w14:paraId="2F040A02">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物资编码（1000655543）</w:t>
            </w:r>
          </w:p>
        </w:tc>
        <w:tc>
          <w:tcPr>
            <w:tcW w:w="841" w:type="pct"/>
            <w:shd w:val="clear" w:color="auto" w:fill="auto"/>
            <w:vAlign w:val="center"/>
          </w:tcPr>
          <w:p w14:paraId="2F455266">
            <w:pPr>
              <w:jc w:val="center"/>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D</w:t>
            </w:r>
            <w:r>
              <w:rPr>
                <w:rFonts w:ascii="华文楷体" w:hAnsi="华文楷体" w:eastAsia="华文楷体" w:cs="宋体"/>
                <w:color w:val="auto"/>
                <w:sz w:val="21"/>
                <w:szCs w:val="21"/>
                <w:highlight w:val="none"/>
              </w:rPr>
              <w:t>N80/150Lb</w:t>
            </w:r>
          </w:p>
        </w:tc>
        <w:tc>
          <w:tcPr>
            <w:tcW w:w="889" w:type="pct"/>
            <w:shd w:val="clear" w:color="auto" w:fill="auto"/>
            <w:vAlign w:val="center"/>
          </w:tcPr>
          <w:p w14:paraId="1C9E2DE0">
            <w:pPr>
              <w:jc w:val="center"/>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壳体：</w:t>
            </w:r>
            <w:r>
              <w:rPr>
                <w:rFonts w:ascii="华文楷体" w:hAnsi="华文楷体" w:eastAsia="华文楷体" w:cs="宋体"/>
                <w:color w:val="auto"/>
                <w:sz w:val="21"/>
                <w:szCs w:val="21"/>
                <w:highlight w:val="none"/>
              </w:rPr>
              <w:t>316L</w:t>
            </w:r>
          </w:p>
          <w:p w14:paraId="3943D45B">
            <w:pPr>
              <w:jc w:val="center"/>
              <w:rPr>
                <w:rFonts w:ascii="华文楷体" w:hAnsi="华文楷体" w:eastAsia="华文楷体" w:cs="宋体"/>
                <w:color w:val="auto"/>
                <w:sz w:val="21"/>
                <w:szCs w:val="21"/>
                <w:highlight w:val="none"/>
              </w:rPr>
            </w:pPr>
            <w:r>
              <w:rPr>
                <w:rFonts w:ascii="华文楷体" w:hAnsi="华文楷体" w:eastAsia="华文楷体" w:cs="宋体"/>
                <w:color w:val="auto"/>
                <w:sz w:val="21"/>
                <w:szCs w:val="21"/>
                <w:highlight w:val="none"/>
              </w:rPr>
              <w:t>内件</w:t>
            </w:r>
            <w:r>
              <w:rPr>
                <w:rFonts w:hint="eastAsia" w:ascii="华文楷体" w:hAnsi="华文楷体" w:eastAsia="华文楷体" w:cs="宋体"/>
                <w:color w:val="auto"/>
                <w:sz w:val="21"/>
                <w:szCs w:val="21"/>
                <w:highlight w:val="none"/>
              </w:rPr>
              <w:t>：3</w:t>
            </w:r>
            <w:r>
              <w:rPr>
                <w:rFonts w:ascii="华文楷体" w:hAnsi="华文楷体" w:eastAsia="华文楷体" w:cs="宋体"/>
                <w:color w:val="auto"/>
                <w:sz w:val="21"/>
                <w:szCs w:val="21"/>
                <w:highlight w:val="none"/>
              </w:rPr>
              <w:t>16L</w:t>
            </w:r>
          </w:p>
        </w:tc>
        <w:tc>
          <w:tcPr>
            <w:tcW w:w="492" w:type="pct"/>
            <w:shd w:val="clear" w:color="auto" w:fill="auto"/>
            <w:vAlign w:val="center"/>
          </w:tcPr>
          <w:p w14:paraId="532DEF7A">
            <w:pPr>
              <w:jc w:val="center"/>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2台</w:t>
            </w:r>
          </w:p>
        </w:tc>
        <w:tc>
          <w:tcPr>
            <w:tcW w:w="892" w:type="pct"/>
            <w:shd w:val="clear" w:color="auto" w:fill="auto"/>
            <w:vAlign w:val="center"/>
          </w:tcPr>
          <w:p w14:paraId="48F6D377">
            <w:pPr>
              <w:jc w:val="center"/>
              <w:rPr>
                <w:rFonts w:ascii="华文楷体" w:hAnsi="华文楷体" w:eastAsia="华文楷体" w:cs="宋体"/>
                <w:color w:val="auto"/>
                <w:sz w:val="21"/>
                <w:szCs w:val="21"/>
                <w:highlight w:val="none"/>
              </w:rPr>
            </w:pPr>
          </w:p>
        </w:tc>
        <w:tc>
          <w:tcPr>
            <w:tcW w:w="660" w:type="pct"/>
            <w:shd w:val="clear" w:color="auto" w:fill="auto"/>
            <w:vAlign w:val="center"/>
          </w:tcPr>
          <w:p w14:paraId="65B58030">
            <w:pPr>
              <w:jc w:val="center"/>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lang w:val="en-US" w:eastAsia="zh-CN"/>
              </w:rPr>
              <w:t>第一批次：2台</w:t>
            </w:r>
          </w:p>
        </w:tc>
      </w:tr>
      <w:tr w14:paraId="1B1BE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70" w:type="pct"/>
            <w:shd w:val="clear" w:color="auto" w:fill="auto"/>
            <w:vAlign w:val="center"/>
          </w:tcPr>
          <w:p w14:paraId="2266C7D4">
            <w:pPr>
              <w:jc w:val="center"/>
              <w:rPr>
                <w:rFonts w:hint="eastAsia" w:ascii="华文楷体" w:hAnsi="华文楷体" w:eastAsia="华文楷体" w:cs="宋体"/>
                <w:color w:val="auto"/>
                <w:sz w:val="21"/>
                <w:szCs w:val="21"/>
                <w:highlight w:val="none"/>
                <w:lang w:eastAsia="zh-CN"/>
              </w:rPr>
            </w:pPr>
            <w:r>
              <w:rPr>
                <w:rFonts w:hint="eastAsia" w:ascii="华文楷体" w:hAnsi="华文楷体" w:eastAsia="华文楷体" w:cs="宋体"/>
                <w:color w:val="auto"/>
                <w:sz w:val="21"/>
                <w:szCs w:val="21"/>
                <w:highlight w:val="none"/>
                <w:lang w:val="en-US" w:eastAsia="zh-CN"/>
              </w:rPr>
              <w:t>3</w:t>
            </w:r>
          </w:p>
        </w:tc>
        <w:tc>
          <w:tcPr>
            <w:tcW w:w="953" w:type="pct"/>
            <w:shd w:val="clear" w:color="auto" w:fill="auto"/>
            <w:vAlign w:val="center"/>
          </w:tcPr>
          <w:p w14:paraId="4610AA0F">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阻火器</w:t>
            </w:r>
          </w:p>
          <w:p w14:paraId="683EC917">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物资编码（1000352767）</w:t>
            </w:r>
          </w:p>
        </w:tc>
        <w:tc>
          <w:tcPr>
            <w:tcW w:w="841" w:type="pct"/>
            <w:shd w:val="clear" w:color="auto" w:fill="auto"/>
            <w:vAlign w:val="center"/>
          </w:tcPr>
          <w:p w14:paraId="14B805C1">
            <w:pPr>
              <w:jc w:val="center"/>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D</w:t>
            </w:r>
            <w:r>
              <w:rPr>
                <w:rFonts w:ascii="华文楷体" w:hAnsi="华文楷体" w:eastAsia="华文楷体" w:cs="宋体"/>
                <w:color w:val="auto"/>
                <w:sz w:val="21"/>
                <w:szCs w:val="21"/>
                <w:highlight w:val="none"/>
              </w:rPr>
              <w:t>N50/150Lb</w:t>
            </w:r>
          </w:p>
        </w:tc>
        <w:tc>
          <w:tcPr>
            <w:tcW w:w="889" w:type="pct"/>
            <w:shd w:val="clear" w:color="auto" w:fill="auto"/>
            <w:vAlign w:val="center"/>
          </w:tcPr>
          <w:p w14:paraId="507D7D90">
            <w:pPr>
              <w:jc w:val="center"/>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壳体：C</w:t>
            </w:r>
            <w:r>
              <w:rPr>
                <w:rFonts w:ascii="华文楷体" w:hAnsi="华文楷体" w:eastAsia="华文楷体" w:cs="宋体"/>
                <w:color w:val="auto"/>
                <w:sz w:val="21"/>
                <w:szCs w:val="21"/>
                <w:highlight w:val="none"/>
              </w:rPr>
              <w:t>S</w:t>
            </w:r>
          </w:p>
          <w:p w14:paraId="298CEBCE">
            <w:pPr>
              <w:jc w:val="center"/>
              <w:rPr>
                <w:rFonts w:ascii="华文楷体" w:hAnsi="华文楷体" w:eastAsia="华文楷体" w:cs="宋体"/>
                <w:color w:val="auto"/>
                <w:sz w:val="21"/>
                <w:szCs w:val="21"/>
                <w:highlight w:val="none"/>
              </w:rPr>
            </w:pPr>
            <w:r>
              <w:rPr>
                <w:rFonts w:ascii="华文楷体" w:hAnsi="华文楷体" w:eastAsia="华文楷体" w:cs="宋体"/>
                <w:color w:val="auto"/>
                <w:sz w:val="21"/>
                <w:szCs w:val="21"/>
                <w:highlight w:val="none"/>
              </w:rPr>
              <w:t>内件</w:t>
            </w:r>
            <w:r>
              <w:rPr>
                <w:rFonts w:hint="eastAsia" w:ascii="华文楷体" w:hAnsi="华文楷体" w:eastAsia="华文楷体" w:cs="宋体"/>
                <w:color w:val="auto"/>
                <w:sz w:val="21"/>
                <w:szCs w:val="21"/>
                <w:highlight w:val="none"/>
              </w:rPr>
              <w:t>：3</w:t>
            </w:r>
            <w:r>
              <w:rPr>
                <w:rFonts w:ascii="华文楷体" w:hAnsi="华文楷体" w:eastAsia="华文楷体" w:cs="宋体"/>
                <w:color w:val="auto"/>
                <w:sz w:val="21"/>
                <w:szCs w:val="21"/>
                <w:highlight w:val="none"/>
              </w:rPr>
              <w:t>04</w:t>
            </w:r>
          </w:p>
        </w:tc>
        <w:tc>
          <w:tcPr>
            <w:tcW w:w="492" w:type="pct"/>
            <w:shd w:val="clear" w:color="auto" w:fill="auto"/>
            <w:vAlign w:val="center"/>
          </w:tcPr>
          <w:p w14:paraId="11C6811A">
            <w:pPr>
              <w:jc w:val="center"/>
              <w:rPr>
                <w:rFonts w:ascii="华文楷体" w:hAnsi="华文楷体" w:eastAsia="华文楷体" w:cs="宋体"/>
                <w:color w:val="auto"/>
                <w:sz w:val="21"/>
                <w:szCs w:val="21"/>
                <w:highlight w:val="none"/>
              </w:rPr>
            </w:pPr>
            <w:r>
              <w:rPr>
                <w:rFonts w:ascii="华文楷体" w:hAnsi="华文楷体" w:eastAsia="华文楷体" w:cs="宋体"/>
                <w:color w:val="auto"/>
                <w:sz w:val="21"/>
                <w:szCs w:val="21"/>
                <w:highlight w:val="none"/>
              </w:rPr>
              <w:t>1</w:t>
            </w:r>
            <w:r>
              <w:rPr>
                <w:rFonts w:hint="eastAsia" w:ascii="华文楷体" w:hAnsi="华文楷体" w:eastAsia="华文楷体" w:cs="宋体"/>
                <w:color w:val="auto"/>
                <w:sz w:val="21"/>
                <w:szCs w:val="21"/>
                <w:highlight w:val="none"/>
              </w:rPr>
              <w:t>台</w:t>
            </w:r>
          </w:p>
        </w:tc>
        <w:tc>
          <w:tcPr>
            <w:tcW w:w="892" w:type="pct"/>
            <w:shd w:val="clear" w:color="auto" w:fill="auto"/>
            <w:vAlign w:val="center"/>
          </w:tcPr>
          <w:p w14:paraId="5467693E">
            <w:pPr>
              <w:jc w:val="center"/>
              <w:rPr>
                <w:rFonts w:ascii="华文楷体" w:hAnsi="华文楷体" w:eastAsia="华文楷体" w:cs="宋体"/>
                <w:color w:val="auto"/>
                <w:sz w:val="21"/>
                <w:szCs w:val="21"/>
                <w:highlight w:val="none"/>
              </w:rPr>
            </w:pPr>
          </w:p>
        </w:tc>
        <w:tc>
          <w:tcPr>
            <w:tcW w:w="660" w:type="pct"/>
            <w:shd w:val="clear" w:color="auto" w:fill="auto"/>
            <w:vAlign w:val="center"/>
          </w:tcPr>
          <w:p w14:paraId="2F768D96">
            <w:pPr>
              <w:jc w:val="center"/>
              <w:rPr>
                <w:rFonts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lang w:val="en-US" w:eastAsia="zh-CN"/>
              </w:rPr>
              <w:t>第一批次：1台</w:t>
            </w:r>
          </w:p>
        </w:tc>
      </w:tr>
    </w:tbl>
    <w:p w14:paraId="55BB62A4">
      <w:pPr>
        <w:pStyle w:val="4"/>
        <w:widowControl/>
        <w:snapToGrid w:val="0"/>
        <w:spacing w:line="360" w:lineRule="auto"/>
        <w:outlineLvl w:val="9"/>
        <w:rPr>
          <w:rFonts w:hint="eastAsia" w:ascii="宋体" w:hAnsi="宋体" w:cs="宋体"/>
          <w:b/>
          <w:caps/>
          <w:color w:val="auto"/>
          <w:sz w:val="32"/>
          <w:szCs w:val="32"/>
          <w:highlight w:val="none"/>
        </w:rPr>
      </w:pPr>
    </w:p>
    <w:p w14:paraId="191824EC">
      <w:pPr>
        <w:pStyle w:val="4"/>
        <w:widowControl/>
        <w:snapToGrid w:val="0"/>
        <w:spacing w:line="360" w:lineRule="auto"/>
        <w:outlineLvl w:val="9"/>
        <w:rPr>
          <w:rFonts w:hint="eastAsia" w:ascii="宋体" w:hAnsi="宋体" w:cs="宋体"/>
          <w:b/>
          <w:bCs/>
          <w:color w:val="auto"/>
          <w:kern w:val="0"/>
          <w:sz w:val="24"/>
          <w:highlight w:val="none"/>
          <w:lang w:eastAsia="zh-CN"/>
        </w:rPr>
      </w:pPr>
      <w:r>
        <w:rPr>
          <w:rFonts w:hint="eastAsia" w:ascii="宋体" w:hAnsi="宋体" w:cs="宋体"/>
          <w:b/>
          <w:bCs/>
          <w:color w:val="auto"/>
          <w:kern w:val="0"/>
          <w:sz w:val="24"/>
          <w:highlight w:val="none"/>
          <w:lang w:eastAsia="zh-CN"/>
        </w:rPr>
        <w:t>4.1.2备品备件清单（计入总价）。</w:t>
      </w:r>
    </w:p>
    <w:p w14:paraId="67A9512B">
      <w:pPr>
        <w:pStyle w:val="3"/>
        <w:spacing w:line="360" w:lineRule="auto"/>
        <w:outlineLvl w:val="0"/>
        <w:rPr>
          <w:rFonts w:hint="eastAsia" w:ascii="宋体" w:hAnsi="宋体" w:eastAsia="宋体" w:cs="Times New Roman"/>
          <w:b w:val="0"/>
          <w:bCs w:val="0"/>
          <w:color w:val="auto"/>
          <w:kern w:val="2"/>
          <w:sz w:val="24"/>
          <w:highlight w:val="none"/>
          <w:lang w:eastAsia="zh-CN"/>
        </w:rPr>
      </w:pPr>
      <w:r>
        <w:rPr>
          <w:rFonts w:hint="eastAsia" w:ascii="宋体" w:hAnsi="宋体" w:eastAsia="宋体" w:cs="Times New Roman"/>
          <w:b w:val="0"/>
          <w:bCs w:val="0"/>
          <w:color w:val="auto"/>
          <w:kern w:val="2"/>
          <w:sz w:val="24"/>
          <w:highlight w:val="none"/>
          <w:lang w:val="en-US" w:eastAsia="zh-CN"/>
        </w:rPr>
        <w:t>4.1.2.1</w:t>
      </w:r>
      <w:r>
        <w:rPr>
          <w:rFonts w:hint="eastAsia" w:ascii="宋体" w:eastAsia="宋体" w:cs="Times New Roman"/>
          <w:b w:val="0"/>
          <w:bCs w:val="0"/>
          <w:color w:val="auto"/>
          <w:kern w:val="2"/>
          <w:sz w:val="24"/>
          <w:highlight w:val="none"/>
          <w:lang w:val="en-US" w:eastAsia="zh-CN"/>
        </w:rPr>
        <w:t>阻火</w:t>
      </w:r>
      <w:r>
        <w:rPr>
          <w:rFonts w:hint="eastAsia" w:ascii="宋体" w:hAnsi="宋体" w:eastAsia="宋体" w:cs="Times New Roman"/>
          <w:b w:val="0"/>
          <w:bCs w:val="0"/>
          <w:color w:val="auto"/>
          <w:kern w:val="2"/>
          <w:sz w:val="24"/>
          <w:highlight w:val="none"/>
        </w:rPr>
        <w:t>呼吸阀</w:t>
      </w:r>
      <w:r>
        <w:rPr>
          <w:rFonts w:hint="eastAsia" w:ascii="宋体" w:hAnsi="宋体" w:eastAsia="宋体" w:cs="Times New Roman"/>
          <w:b w:val="0"/>
          <w:bCs w:val="0"/>
          <w:color w:val="auto"/>
          <w:kern w:val="2"/>
          <w:sz w:val="24"/>
          <w:highlight w:val="none"/>
          <w:lang w:eastAsia="zh-CN"/>
        </w:rPr>
        <w:t>密封面（圈）</w:t>
      </w:r>
      <w:r>
        <w:rPr>
          <w:rFonts w:hint="eastAsia" w:ascii="宋体" w:hAnsi="宋体" w:eastAsia="宋体" w:cs="Times New Roman"/>
          <w:b w:val="0"/>
          <w:bCs w:val="0"/>
          <w:color w:val="auto"/>
          <w:kern w:val="2"/>
          <w:sz w:val="24"/>
          <w:highlight w:val="none"/>
          <w:lang w:val="en-US" w:eastAsia="zh-CN"/>
        </w:rPr>
        <w:t>若采用聚全氟乙丙烯（FEP）</w:t>
      </w:r>
      <w:r>
        <w:rPr>
          <w:rFonts w:hint="eastAsia" w:ascii="宋体" w:eastAsia="宋体" w:cs="Times New Roman"/>
          <w:b w:val="0"/>
          <w:bCs w:val="0"/>
          <w:color w:val="auto"/>
          <w:kern w:val="2"/>
          <w:sz w:val="24"/>
          <w:highlight w:val="none"/>
          <w:lang w:val="en-US" w:eastAsia="zh-CN"/>
        </w:rPr>
        <w:t>,则提供以下备品</w:t>
      </w:r>
      <w:r>
        <w:rPr>
          <w:rFonts w:hint="eastAsia" w:ascii="宋体" w:hAnsi="宋体" w:eastAsia="宋体" w:cs="Times New Roman"/>
          <w:b w:val="0"/>
          <w:bCs w:val="0"/>
          <w:color w:val="auto"/>
          <w:kern w:val="2"/>
          <w:sz w:val="24"/>
          <w:highlight w:val="none"/>
          <w:lang w:eastAsia="zh-CN"/>
        </w:rPr>
        <w:t>。</w:t>
      </w:r>
    </w:p>
    <w:tbl>
      <w:tblPr>
        <w:tblStyle w:val="8"/>
        <w:tblW w:w="92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1661"/>
        <w:gridCol w:w="1883"/>
        <w:gridCol w:w="2347"/>
        <w:gridCol w:w="913"/>
        <w:gridCol w:w="1808"/>
        <w:tblGridChange w:id="0">
          <w:tblGrid>
            <w:gridCol w:w="675"/>
            <w:gridCol w:w="1661"/>
            <w:gridCol w:w="182"/>
            <w:gridCol w:w="1701"/>
            <w:gridCol w:w="2347"/>
            <w:gridCol w:w="913"/>
            <w:gridCol w:w="1808"/>
          </w:tblGrid>
        </w:tblGridChange>
      </w:tblGrid>
      <w:tr w14:paraId="0F8C7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Align w:val="center"/>
          </w:tcPr>
          <w:p w14:paraId="1D0EA3FB">
            <w:pPr>
              <w:jc w:val="center"/>
              <w:rPr>
                <w:rFonts w:ascii="华文楷体" w:hAnsi="华文楷体" w:eastAsia="华文楷体" w:cs="宋体"/>
                <w:color w:val="auto"/>
                <w:sz w:val="18"/>
                <w:highlight w:val="none"/>
              </w:rPr>
            </w:pPr>
            <w:r>
              <w:rPr>
                <w:rFonts w:hint="eastAsia" w:ascii="华文楷体" w:hAnsi="华文楷体" w:eastAsia="华文楷体" w:cs="宋体"/>
                <w:color w:val="auto"/>
                <w:sz w:val="18"/>
                <w:highlight w:val="none"/>
              </w:rPr>
              <w:t>序号</w:t>
            </w:r>
          </w:p>
        </w:tc>
        <w:tc>
          <w:tcPr>
            <w:tcW w:w="1661" w:type="dxa"/>
            <w:vAlign w:val="center"/>
          </w:tcPr>
          <w:p w14:paraId="7628BA48">
            <w:pPr>
              <w:jc w:val="center"/>
              <w:rPr>
                <w:rFonts w:hint="eastAsia" w:ascii="华文楷体" w:hAnsi="华文楷体" w:eastAsia="华文楷体" w:cs="宋体"/>
                <w:color w:val="auto"/>
                <w:sz w:val="18"/>
                <w:highlight w:val="none"/>
                <w:lang w:eastAsia="zh-CN"/>
              </w:rPr>
            </w:pPr>
            <w:r>
              <w:rPr>
                <w:rFonts w:hint="eastAsia" w:ascii="华文楷体" w:hAnsi="华文楷体" w:eastAsia="华文楷体" w:cs="宋体"/>
                <w:color w:val="auto"/>
                <w:sz w:val="18"/>
                <w:highlight w:val="none"/>
              </w:rPr>
              <w:t>设备名称</w:t>
            </w:r>
          </w:p>
        </w:tc>
        <w:tc>
          <w:tcPr>
            <w:tcW w:w="1883" w:type="dxa"/>
            <w:vAlign w:val="center"/>
          </w:tcPr>
          <w:p w14:paraId="291D5B69">
            <w:pPr>
              <w:jc w:val="center"/>
              <w:rPr>
                <w:rFonts w:ascii="华文楷体" w:hAnsi="华文楷体" w:eastAsia="华文楷体" w:cs="宋体"/>
                <w:color w:val="auto"/>
                <w:sz w:val="18"/>
                <w:highlight w:val="none"/>
              </w:rPr>
            </w:pPr>
            <w:r>
              <w:rPr>
                <w:rFonts w:hint="eastAsia" w:ascii="华文楷体" w:hAnsi="华文楷体" w:eastAsia="华文楷体" w:cs="宋体"/>
                <w:color w:val="auto"/>
                <w:sz w:val="18"/>
                <w:highlight w:val="none"/>
              </w:rPr>
              <w:t>规格型号</w:t>
            </w:r>
          </w:p>
        </w:tc>
        <w:tc>
          <w:tcPr>
            <w:tcW w:w="2347" w:type="dxa"/>
            <w:vAlign w:val="center"/>
          </w:tcPr>
          <w:p w14:paraId="44E9DA2C">
            <w:pPr>
              <w:jc w:val="center"/>
              <w:rPr>
                <w:rFonts w:ascii="华文楷体" w:hAnsi="华文楷体" w:eastAsia="华文楷体" w:cs="宋体"/>
                <w:color w:val="auto"/>
                <w:sz w:val="18"/>
                <w:highlight w:val="none"/>
              </w:rPr>
            </w:pPr>
            <w:r>
              <w:rPr>
                <w:rFonts w:hint="eastAsia" w:ascii="华文楷体" w:hAnsi="华文楷体" w:eastAsia="华文楷体" w:cs="宋体"/>
                <w:color w:val="auto"/>
                <w:sz w:val="18"/>
                <w:highlight w:val="none"/>
                <w:lang w:val="en-US" w:eastAsia="zh-CN"/>
              </w:rPr>
              <w:t>密封面</w:t>
            </w:r>
            <w:r>
              <w:rPr>
                <w:rFonts w:hint="eastAsia" w:ascii="华文楷体" w:hAnsi="华文楷体" w:eastAsia="华文楷体" w:cs="宋体"/>
                <w:color w:val="auto"/>
                <w:sz w:val="18"/>
                <w:highlight w:val="none"/>
              </w:rPr>
              <w:t>材质</w:t>
            </w:r>
          </w:p>
        </w:tc>
        <w:tc>
          <w:tcPr>
            <w:tcW w:w="913" w:type="dxa"/>
            <w:vAlign w:val="center"/>
          </w:tcPr>
          <w:p w14:paraId="632F1747">
            <w:pPr>
              <w:jc w:val="center"/>
              <w:rPr>
                <w:rFonts w:ascii="华文楷体" w:hAnsi="华文楷体" w:eastAsia="华文楷体" w:cs="宋体"/>
                <w:color w:val="auto"/>
                <w:sz w:val="18"/>
                <w:highlight w:val="none"/>
              </w:rPr>
            </w:pPr>
            <w:r>
              <w:rPr>
                <w:rFonts w:hint="eastAsia" w:ascii="华文楷体" w:hAnsi="华文楷体" w:eastAsia="华文楷体" w:cs="宋体"/>
                <w:color w:val="auto"/>
                <w:sz w:val="18"/>
                <w:highlight w:val="none"/>
              </w:rPr>
              <w:t>数量</w:t>
            </w:r>
          </w:p>
        </w:tc>
        <w:tc>
          <w:tcPr>
            <w:tcW w:w="1808" w:type="dxa"/>
            <w:vAlign w:val="center"/>
          </w:tcPr>
          <w:p w14:paraId="38DACD30">
            <w:pPr>
              <w:jc w:val="center"/>
              <w:rPr>
                <w:rFonts w:ascii="华文楷体" w:hAnsi="华文楷体" w:eastAsia="华文楷体" w:cs="宋体"/>
                <w:color w:val="auto"/>
                <w:sz w:val="18"/>
                <w:highlight w:val="none"/>
              </w:rPr>
            </w:pPr>
            <w:r>
              <w:rPr>
                <w:rFonts w:hint="eastAsia" w:ascii="华文楷体" w:hAnsi="华文楷体" w:eastAsia="华文楷体" w:cs="宋体"/>
                <w:color w:val="auto"/>
                <w:sz w:val="18"/>
                <w:highlight w:val="none"/>
              </w:rPr>
              <w:t>备注</w:t>
            </w:r>
          </w:p>
        </w:tc>
      </w:tr>
      <w:tr w14:paraId="742BF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Align w:val="center"/>
          </w:tcPr>
          <w:p w14:paraId="796AEFC5">
            <w:pPr>
              <w:jc w:val="center"/>
              <w:rPr>
                <w:rFonts w:ascii="华文楷体" w:hAnsi="华文楷体" w:eastAsia="华文楷体" w:cs="宋体"/>
                <w:color w:val="auto"/>
                <w:sz w:val="18"/>
                <w:szCs w:val="21"/>
                <w:highlight w:val="none"/>
              </w:rPr>
            </w:pPr>
            <w:r>
              <w:rPr>
                <w:rFonts w:hint="eastAsia" w:ascii="华文楷体" w:hAnsi="华文楷体" w:eastAsia="华文楷体" w:cs="宋体"/>
                <w:color w:val="auto"/>
                <w:sz w:val="18"/>
                <w:szCs w:val="21"/>
                <w:highlight w:val="none"/>
              </w:rPr>
              <w:t>1</w:t>
            </w:r>
          </w:p>
        </w:tc>
        <w:tc>
          <w:tcPr>
            <w:tcW w:w="1661" w:type="dxa"/>
            <w:vAlign w:val="center"/>
          </w:tcPr>
          <w:p w14:paraId="6FFCDC8E">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阻火呼吸阀</w:t>
            </w:r>
          </w:p>
          <w:p w14:paraId="27339D91">
            <w:pPr>
              <w:jc w:val="center"/>
              <w:rPr>
                <w:rFonts w:hint="eastAsia" w:ascii="华文楷体" w:hAnsi="华文楷体" w:eastAsia="华文楷体" w:cs="宋体"/>
                <w:color w:val="auto"/>
                <w:kern w:val="0"/>
                <w:sz w:val="18"/>
                <w:szCs w:val="21"/>
                <w:highlight w:val="none"/>
                <w:lang w:eastAsia="zh-CN"/>
              </w:rPr>
            </w:pPr>
            <w:r>
              <w:rPr>
                <w:rFonts w:hint="eastAsia" w:ascii="华文楷体" w:hAnsi="华文楷体" w:eastAsia="华文楷体" w:cs="宋体"/>
                <w:color w:val="auto"/>
                <w:sz w:val="21"/>
                <w:szCs w:val="21"/>
                <w:highlight w:val="none"/>
              </w:rPr>
              <w:t>物资编码（1000655143）</w:t>
            </w:r>
          </w:p>
        </w:tc>
        <w:tc>
          <w:tcPr>
            <w:tcW w:w="1883" w:type="dxa"/>
            <w:vAlign w:val="center"/>
          </w:tcPr>
          <w:p w14:paraId="3B6EE008">
            <w:pPr>
              <w:jc w:val="center"/>
              <w:rPr>
                <w:rFonts w:ascii="华文楷体" w:hAnsi="华文楷体" w:eastAsia="华文楷体"/>
                <w:color w:val="auto"/>
                <w:sz w:val="18"/>
                <w:highlight w:val="none"/>
              </w:rPr>
            </w:pPr>
            <w:r>
              <w:rPr>
                <w:rFonts w:hint="eastAsia" w:ascii="华文楷体" w:hAnsi="华文楷体" w:eastAsia="华文楷体" w:cs="宋体"/>
                <w:color w:val="auto"/>
                <w:szCs w:val="32"/>
                <w:highlight w:val="none"/>
              </w:rPr>
              <w:t>D</w:t>
            </w:r>
            <w:r>
              <w:rPr>
                <w:rFonts w:ascii="华文楷体" w:hAnsi="华文楷体" w:eastAsia="华文楷体" w:cs="宋体"/>
                <w:color w:val="auto"/>
                <w:szCs w:val="32"/>
                <w:highlight w:val="none"/>
              </w:rPr>
              <w:t>N</w:t>
            </w:r>
            <w:r>
              <w:rPr>
                <w:rFonts w:hint="eastAsia" w:ascii="华文楷体" w:hAnsi="华文楷体" w:eastAsia="华文楷体" w:cs="宋体"/>
                <w:color w:val="auto"/>
                <w:szCs w:val="32"/>
                <w:highlight w:val="none"/>
              </w:rPr>
              <w:t>50</w:t>
            </w:r>
            <w:r>
              <w:rPr>
                <w:rFonts w:ascii="华文楷体" w:hAnsi="华文楷体" w:eastAsia="华文楷体" w:cs="宋体"/>
                <w:color w:val="auto"/>
                <w:szCs w:val="32"/>
                <w:highlight w:val="none"/>
              </w:rPr>
              <w:t>/150Lb</w:t>
            </w:r>
          </w:p>
        </w:tc>
        <w:tc>
          <w:tcPr>
            <w:tcW w:w="2347" w:type="dxa"/>
            <w:vAlign w:val="center"/>
          </w:tcPr>
          <w:p w14:paraId="7DD83EBE">
            <w:pPr>
              <w:jc w:val="center"/>
              <w:rPr>
                <w:rFonts w:hint="eastAsia" w:ascii="华文楷体" w:hAnsi="华文楷体" w:eastAsia="华文楷体" w:cs="宋体"/>
                <w:color w:val="auto"/>
                <w:sz w:val="21"/>
                <w:szCs w:val="32"/>
                <w:highlight w:val="none"/>
              </w:rPr>
            </w:pPr>
            <w:r>
              <w:rPr>
                <w:rFonts w:hint="eastAsia" w:ascii="华文楷体" w:hAnsi="华文楷体" w:eastAsia="华文楷体" w:cs="宋体"/>
                <w:b w:val="0"/>
                <w:bCs w:val="0"/>
                <w:color w:val="auto"/>
                <w:kern w:val="2"/>
                <w:sz w:val="21"/>
                <w:szCs w:val="32"/>
                <w:highlight w:val="none"/>
                <w:lang w:val="en-US" w:eastAsia="zh-CN"/>
              </w:rPr>
              <w:t>聚全氟乙丙烯（FEP）</w:t>
            </w:r>
          </w:p>
        </w:tc>
        <w:tc>
          <w:tcPr>
            <w:tcW w:w="913" w:type="dxa"/>
            <w:vAlign w:val="center"/>
          </w:tcPr>
          <w:p w14:paraId="12FBDA6E">
            <w:pPr>
              <w:jc w:val="center"/>
              <w:rPr>
                <w:rFonts w:ascii="华文楷体" w:hAnsi="华文楷体" w:eastAsia="华文楷体" w:cs="宋体"/>
                <w:color w:val="auto"/>
                <w:sz w:val="18"/>
                <w:szCs w:val="21"/>
                <w:highlight w:val="none"/>
              </w:rPr>
            </w:pPr>
            <w:r>
              <w:rPr>
                <w:rFonts w:hint="eastAsia" w:ascii="华文楷体" w:hAnsi="华文楷体" w:eastAsia="华文楷体" w:cs="宋体"/>
                <w:color w:val="auto"/>
                <w:sz w:val="18"/>
                <w:szCs w:val="21"/>
                <w:highlight w:val="none"/>
                <w:lang w:val="en-US" w:eastAsia="zh-CN"/>
              </w:rPr>
              <w:t>5</w:t>
            </w:r>
            <w:r>
              <w:rPr>
                <w:rFonts w:hint="eastAsia" w:ascii="华文楷体" w:hAnsi="华文楷体" w:eastAsia="华文楷体" w:cs="宋体"/>
                <w:color w:val="auto"/>
                <w:sz w:val="18"/>
                <w:szCs w:val="21"/>
                <w:highlight w:val="none"/>
              </w:rPr>
              <w:t>套</w:t>
            </w:r>
          </w:p>
        </w:tc>
        <w:tc>
          <w:tcPr>
            <w:tcW w:w="1808" w:type="dxa"/>
            <w:vAlign w:val="center"/>
          </w:tcPr>
          <w:p w14:paraId="6880630E">
            <w:pPr>
              <w:jc w:val="center"/>
              <w:rPr>
                <w:rFonts w:hint="eastAsia" w:ascii="华文楷体" w:hAnsi="华文楷体" w:eastAsia="华文楷体" w:cs="宋体"/>
                <w:color w:val="auto"/>
                <w:sz w:val="18"/>
                <w:szCs w:val="21"/>
                <w:highlight w:val="none"/>
                <w:lang w:val="en-US" w:eastAsia="zh-CN"/>
              </w:rPr>
            </w:pPr>
            <w:r>
              <w:rPr>
                <w:rFonts w:hint="eastAsia" w:ascii="华文楷体" w:hAnsi="华文楷体" w:eastAsia="华文楷体" w:cs="宋体"/>
                <w:b w:val="0"/>
                <w:bCs w:val="0"/>
                <w:color w:val="auto"/>
                <w:kern w:val="2"/>
                <w:sz w:val="21"/>
                <w:szCs w:val="32"/>
                <w:highlight w:val="none"/>
                <w:lang w:eastAsia="zh-CN"/>
              </w:rPr>
              <w:t>密封面（圈）</w:t>
            </w:r>
          </w:p>
        </w:tc>
      </w:tr>
      <w:tr w14:paraId="3F0D7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Align w:val="center"/>
          </w:tcPr>
          <w:p w14:paraId="110225AF">
            <w:pPr>
              <w:jc w:val="center"/>
              <w:rPr>
                <w:rFonts w:ascii="华文楷体" w:hAnsi="华文楷体" w:eastAsia="华文楷体" w:cs="宋体"/>
                <w:color w:val="auto"/>
                <w:sz w:val="18"/>
                <w:szCs w:val="21"/>
                <w:highlight w:val="none"/>
              </w:rPr>
            </w:pPr>
            <w:r>
              <w:rPr>
                <w:rFonts w:hint="eastAsia" w:ascii="华文楷体" w:hAnsi="华文楷体" w:eastAsia="华文楷体" w:cs="宋体"/>
                <w:color w:val="auto"/>
                <w:sz w:val="18"/>
                <w:szCs w:val="21"/>
                <w:highlight w:val="none"/>
              </w:rPr>
              <w:t>2</w:t>
            </w:r>
          </w:p>
        </w:tc>
        <w:tc>
          <w:tcPr>
            <w:tcW w:w="1661" w:type="dxa"/>
            <w:vAlign w:val="center"/>
          </w:tcPr>
          <w:p w14:paraId="56097DB6">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阻火呼吸阀</w:t>
            </w:r>
          </w:p>
          <w:p w14:paraId="72BA00A0">
            <w:pPr>
              <w:jc w:val="center"/>
              <w:rPr>
                <w:rFonts w:ascii="华文楷体" w:hAnsi="华文楷体" w:eastAsia="华文楷体" w:cs="宋体"/>
                <w:color w:val="auto"/>
                <w:kern w:val="0"/>
                <w:sz w:val="18"/>
                <w:szCs w:val="21"/>
                <w:highlight w:val="none"/>
              </w:rPr>
            </w:pPr>
            <w:r>
              <w:rPr>
                <w:rFonts w:hint="eastAsia" w:ascii="华文楷体" w:hAnsi="华文楷体" w:eastAsia="华文楷体" w:cs="宋体"/>
                <w:color w:val="auto"/>
                <w:sz w:val="21"/>
                <w:szCs w:val="21"/>
                <w:highlight w:val="none"/>
              </w:rPr>
              <w:t>物资编码（1000655123）</w:t>
            </w:r>
          </w:p>
        </w:tc>
        <w:tc>
          <w:tcPr>
            <w:tcW w:w="1883" w:type="dxa"/>
            <w:vAlign w:val="center"/>
          </w:tcPr>
          <w:p w14:paraId="5E81F657">
            <w:pPr>
              <w:jc w:val="center"/>
              <w:rPr>
                <w:rFonts w:ascii="华文楷体" w:hAnsi="华文楷体" w:eastAsia="华文楷体"/>
                <w:color w:val="auto"/>
                <w:sz w:val="18"/>
                <w:highlight w:val="none"/>
              </w:rPr>
            </w:pPr>
            <w:r>
              <w:rPr>
                <w:rFonts w:hint="eastAsia" w:ascii="华文楷体" w:hAnsi="华文楷体" w:eastAsia="华文楷体" w:cs="宋体"/>
                <w:color w:val="auto"/>
                <w:szCs w:val="32"/>
                <w:highlight w:val="none"/>
              </w:rPr>
              <w:t>D</w:t>
            </w:r>
            <w:r>
              <w:rPr>
                <w:rFonts w:ascii="华文楷体" w:hAnsi="华文楷体" w:eastAsia="华文楷体" w:cs="宋体"/>
                <w:color w:val="auto"/>
                <w:szCs w:val="32"/>
                <w:highlight w:val="none"/>
              </w:rPr>
              <w:t>N</w:t>
            </w:r>
            <w:r>
              <w:rPr>
                <w:rFonts w:hint="eastAsia" w:ascii="华文楷体" w:hAnsi="华文楷体" w:eastAsia="华文楷体" w:cs="宋体"/>
                <w:color w:val="auto"/>
                <w:szCs w:val="32"/>
                <w:highlight w:val="none"/>
              </w:rPr>
              <w:t>150</w:t>
            </w:r>
            <w:r>
              <w:rPr>
                <w:rFonts w:ascii="华文楷体" w:hAnsi="华文楷体" w:eastAsia="华文楷体" w:cs="宋体"/>
                <w:color w:val="auto"/>
                <w:szCs w:val="32"/>
                <w:highlight w:val="none"/>
              </w:rPr>
              <w:t>/150Lb</w:t>
            </w:r>
          </w:p>
        </w:tc>
        <w:tc>
          <w:tcPr>
            <w:tcW w:w="2347" w:type="dxa"/>
            <w:vAlign w:val="center"/>
          </w:tcPr>
          <w:p w14:paraId="72C50909">
            <w:pPr>
              <w:jc w:val="center"/>
              <w:rPr>
                <w:rFonts w:hint="eastAsia" w:ascii="华文楷体" w:hAnsi="华文楷体" w:eastAsia="华文楷体" w:cs="宋体"/>
                <w:color w:val="auto"/>
                <w:sz w:val="21"/>
                <w:szCs w:val="32"/>
                <w:highlight w:val="none"/>
              </w:rPr>
            </w:pPr>
            <w:r>
              <w:rPr>
                <w:rFonts w:hint="eastAsia" w:ascii="华文楷体" w:hAnsi="华文楷体" w:eastAsia="华文楷体" w:cs="宋体"/>
                <w:b w:val="0"/>
                <w:bCs w:val="0"/>
                <w:color w:val="auto"/>
                <w:kern w:val="2"/>
                <w:sz w:val="21"/>
                <w:szCs w:val="32"/>
                <w:highlight w:val="none"/>
                <w:lang w:val="en-US" w:eastAsia="zh-CN"/>
              </w:rPr>
              <w:t>聚全氟乙丙烯（FEP）</w:t>
            </w:r>
          </w:p>
        </w:tc>
        <w:tc>
          <w:tcPr>
            <w:tcW w:w="913" w:type="dxa"/>
            <w:vAlign w:val="center"/>
          </w:tcPr>
          <w:p w14:paraId="40553E89">
            <w:pPr>
              <w:jc w:val="center"/>
              <w:rPr>
                <w:rFonts w:ascii="华文楷体" w:hAnsi="华文楷体" w:eastAsia="华文楷体" w:cs="宋体"/>
                <w:color w:val="auto"/>
                <w:sz w:val="18"/>
                <w:szCs w:val="21"/>
                <w:highlight w:val="none"/>
              </w:rPr>
            </w:pPr>
            <w:r>
              <w:rPr>
                <w:rFonts w:hint="eastAsia" w:ascii="华文楷体" w:hAnsi="华文楷体" w:eastAsia="华文楷体" w:cs="宋体"/>
                <w:color w:val="auto"/>
                <w:sz w:val="18"/>
                <w:szCs w:val="21"/>
                <w:highlight w:val="none"/>
                <w:lang w:val="en-US" w:eastAsia="zh-CN"/>
              </w:rPr>
              <w:t>1</w:t>
            </w:r>
            <w:r>
              <w:rPr>
                <w:rFonts w:hint="eastAsia" w:ascii="华文楷体" w:hAnsi="华文楷体" w:eastAsia="华文楷体" w:cs="宋体"/>
                <w:color w:val="auto"/>
                <w:sz w:val="18"/>
                <w:szCs w:val="21"/>
                <w:highlight w:val="none"/>
              </w:rPr>
              <w:t>套</w:t>
            </w:r>
          </w:p>
        </w:tc>
        <w:tc>
          <w:tcPr>
            <w:tcW w:w="1808" w:type="dxa"/>
            <w:vAlign w:val="center"/>
          </w:tcPr>
          <w:p w14:paraId="7AE37F1B">
            <w:pPr>
              <w:jc w:val="center"/>
              <w:rPr>
                <w:rFonts w:ascii="华文楷体" w:hAnsi="华文楷体" w:eastAsia="华文楷体" w:cs="宋体"/>
                <w:color w:val="auto"/>
                <w:sz w:val="18"/>
                <w:szCs w:val="21"/>
                <w:highlight w:val="none"/>
              </w:rPr>
            </w:pPr>
            <w:r>
              <w:rPr>
                <w:rFonts w:hint="eastAsia" w:ascii="华文楷体" w:hAnsi="华文楷体" w:eastAsia="华文楷体" w:cs="宋体"/>
                <w:b w:val="0"/>
                <w:bCs w:val="0"/>
                <w:color w:val="auto"/>
                <w:kern w:val="2"/>
                <w:sz w:val="21"/>
                <w:szCs w:val="32"/>
                <w:highlight w:val="none"/>
                <w:lang w:eastAsia="zh-CN"/>
              </w:rPr>
              <w:t>密封面（圈）</w:t>
            </w:r>
          </w:p>
        </w:tc>
      </w:tr>
      <w:tr w14:paraId="3C77B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Align w:val="center"/>
          </w:tcPr>
          <w:p w14:paraId="417B5371">
            <w:pPr>
              <w:jc w:val="center"/>
              <w:rPr>
                <w:rFonts w:ascii="华文楷体" w:hAnsi="华文楷体" w:eastAsia="华文楷体" w:cs="宋体"/>
                <w:color w:val="auto"/>
                <w:sz w:val="18"/>
                <w:szCs w:val="21"/>
                <w:highlight w:val="none"/>
              </w:rPr>
            </w:pPr>
            <w:r>
              <w:rPr>
                <w:rFonts w:hint="eastAsia" w:ascii="华文楷体" w:hAnsi="华文楷体" w:eastAsia="华文楷体" w:cs="宋体"/>
                <w:color w:val="auto"/>
                <w:sz w:val="18"/>
                <w:szCs w:val="21"/>
                <w:highlight w:val="none"/>
              </w:rPr>
              <w:t>3</w:t>
            </w:r>
          </w:p>
        </w:tc>
        <w:tc>
          <w:tcPr>
            <w:tcW w:w="1661" w:type="dxa"/>
            <w:vAlign w:val="center"/>
          </w:tcPr>
          <w:p w14:paraId="0472C6D5">
            <w:pPr>
              <w:keepNext w:val="0"/>
              <w:keepLines w:val="0"/>
              <w:pageBreakBefore w:val="0"/>
              <w:widowControl w:val="0"/>
              <w:kinsoku/>
              <w:wordWrap/>
              <w:overflowPunct/>
              <w:topLinePunct w:val="0"/>
              <w:autoSpaceDE/>
              <w:autoSpaceDN/>
              <w:bidi w:val="0"/>
              <w:adjustRightInd/>
              <w:snapToGrid/>
              <w:jc w:val="center"/>
              <w:textAlignment w:val="auto"/>
              <w:rPr>
                <w:rFonts w:hint="eastAsia" w:ascii="华文楷体" w:hAnsi="华文楷体" w:eastAsia="华文楷体" w:cs="宋体"/>
                <w:color w:val="auto"/>
                <w:sz w:val="21"/>
                <w:szCs w:val="21"/>
                <w:highlight w:val="none"/>
              </w:rPr>
            </w:pPr>
            <w:r>
              <w:rPr>
                <w:rFonts w:hint="eastAsia" w:ascii="华文楷体" w:hAnsi="华文楷体" w:eastAsia="华文楷体" w:cs="宋体"/>
                <w:color w:val="auto"/>
                <w:sz w:val="21"/>
                <w:szCs w:val="21"/>
                <w:highlight w:val="none"/>
              </w:rPr>
              <w:t>阻火呼吸阀</w:t>
            </w:r>
          </w:p>
          <w:p w14:paraId="3B1ED0FB">
            <w:pPr>
              <w:jc w:val="center"/>
              <w:rPr>
                <w:rFonts w:ascii="华文楷体" w:hAnsi="华文楷体" w:eastAsia="华文楷体" w:cs="宋体"/>
                <w:color w:val="auto"/>
                <w:kern w:val="0"/>
                <w:sz w:val="18"/>
                <w:szCs w:val="21"/>
                <w:highlight w:val="none"/>
              </w:rPr>
            </w:pPr>
            <w:r>
              <w:rPr>
                <w:rFonts w:hint="eastAsia" w:ascii="华文楷体" w:hAnsi="华文楷体" w:eastAsia="华文楷体" w:cs="宋体"/>
                <w:color w:val="auto"/>
                <w:sz w:val="21"/>
                <w:szCs w:val="21"/>
                <w:highlight w:val="none"/>
              </w:rPr>
              <w:t>物资编码（1000655148）</w:t>
            </w:r>
          </w:p>
        </w:tc>
        <w:tc>
          <w:tcPr>
            <w:tcW w:w="1883" w:type="dxa"/>
            <w:vAlign w:val="center"/>
          </w:tcPr>
          <w:p w14:paraId="0227BB52">
            <w:pPr>
              <w:jc w:val="center"/>
              <w:rPr>
                <w:color w:val="auto"/>
                <w:highlight w:val="none"/>
              </w:rPr>
            </w:pPr>
            <w:r>
              <w:rPr>
                <w:rFonts w:hint="eastAsia" w:ascii="华文楷体" w:hAnsi="华文楷体" w:eastAsia="华文楷体" w:cs="宋体"/>
                <w:color w:val="auto"/>
                <w:szCs w:val="32"/>
                <w:highlight w:val="none"/>
              </w:rPr>
              <w:t>D</w:t>
            </w:r>
            <w:r>
              <w:rPr>
                <w:rFonts w:ascii="华文楷体" w:hAnsi="华文楷体" w:eastAsia="华文楷体" w:cs="宋体"/>
                <w:color w:val="auto"/>
                <w:szCs w:val="32"/>
                <w:highlight w:val="none"/>
              </w:rPr>
              <w:t>N</w:t>
            </w:r>
            <w:r>
              <w:rPr>
                <w:rFonts w:hint="eastAsia" w:ascii="华文楷体" w:hAnsi="华文楷体" w:eastAsia="华文楷体" w:cs="宋体"/>
                <w:color w:val="auto"/>
                <w:szCs w:val="32"/>
                <w:highlight w:val="none"/>
              </w:rPr>
              <w:t>200</w:t>
            </w:r>
            <w:r>
              <w:rPr>
                <w:rFonts w:ascii="华文楷体" w:hAnsi="华文楷体" w:eastAsia="华文楷体" w:cs="宋体"/>
                <w:color w:val="auto"/>
                <w:szCs w:val="32"/>
                <w:highlight w:val="none"/>
              </w:rPr>
              <w:t>/150Lb</w:t>
            </w:r>
          </w:p>
        </w:tc>
        <w:tc>
          <w:tcPr>
            <w:tcW w:w="2347" w:type="dxa"/>
            <w:vAlign w:val="center"/>
          </w:tcPr>
          <w:p w14:paraId="2988A730">
            <w:pPr>
              <w:jc w:val="center"/>
              <w:rPr>
                <w:rFonts w:hint="eastAsia" w:ascii="华文楷体" w:hAnsi="华文楷体" w:eastAsia="华文楷体" w:cs="宋体"/>
                <w:color w:val="auto"/>
                <w:sz w:val="21"/>
                <w:szCs w:val="32"/>
                <w:highlight w:val="none"/>
              </w:rPr>
            </w:pPr>
            <w:r>
              <w:rPr>
                <w:rFonts w:hint="eastAsia" w:ascii="华文楷体" w:hAnsi="华文楷体" w:eastAsia="华文楷体" w:cs="宋体"/>
                <w:b w:val="0"/>
                <w:bCs w:val="0"/>
                <w:color w:val="auto"/>
                <w:kern w:val="2"/>
                <w:sz w:val="21"/>
                <w:szCs w:val="32"/>
                <w:highlight w:val="none"/>
                <w:lang w:val="en-US" w:eastAsia="zh-CN"/>
              </w:rPr>
              <w:t>聚全氟乙丙烯（FEP）</w:t>
            </w:r>
          </w:p>
        </w:tc>
        <w:tc>
          <w:tcPr>
            <w:tcW w:w="913" w:type="dxa"/>
            <w:vAlign w:val="center"/>
          </w:tcPr>
          <w:p w14:paraId="01A3323E">
            <w:pPr>
              <w:jc w:val="center"/>
              <w:rPr>
                <w:rFonts w:ascii="华文楷体" w:hAnsi="华文楷体" w:eastAsia="华文楷体" w:cs="宋体"/>
                <w:color w:val="auto"/>
                <w:sz w:val="18"/>
                <w:szCs w:val="21"/>
                <w:highlight w:val="none"/>
              </w:rPr>
            </w:pPr>
            <w:r>
              <w:rPr>
                <w:rFonts w:hint="eastAsia" w:ascii="华文楷体" w:hAnsi="华文楷体" w:eastAsia="华文楷体" w:cs="宋体"/>
                <w:color w:val="auto"/>
                <w:sz w:val="18"/>
                <w:szCs w:val="21"/>
                <w:highlight w:val="none"/>
              </w:rPr>
              <w:t>1</w:t>
            </w:r>
            <w:r>
              <w:rPr>
                <w:rFonts w:hint="eastAsia" w:ascii="华文楷体" w:hAnsi="华文楷体" w:eastAsia="华文楷体" w:cs="宋体"/>
                <w:color w:val="auto"/>
                <w:sz w:val="18"/>
                <w:szCs w:val="21"/>
                <w:highlight w:val="none"/>
                <w:lang w:val="en-US" w:eastAsia="zh-CN"/>
              </w:rPr>
              <w:t>5</w:t>
            </w:r>
            <w:r>
              <w:rPr>
                <w:rFonts w:hint="eastAsia" w:ascii="华文楷体" w:hAnsi="华文楷体" w:eastAsia="华文楷体" w:cs="宋体"/>
                <w:color w:val="auto"/>
                <w:sz w:val="18"/>
                <w:szCs w:val="21"/>
                <w:highlight w:val="none"/>
              </w:rPr>
              <w:t>套</w:t>
            </w:r>
          </w:p>
        </w:tc>
        <w:tc>
          <w:tcPr>
            <w:tcW w:w="1808" w:type="dxa"/>
            <w:vAlign w:val="center"/>
          </w:tcPr>
          <w:p w14:paraId="22260E3A">
            <w:pPr>
              <w:jc w:val="center"/>
              <w:rPr>
                <w:rFonts w:ascii="华文楷体" w:hAnsi="华文楷体" w:eastAsia="华文楷体" w:cs="宋体"/>
                <w:color w:val="auto"/>
                <w:sz w:val="18"/>
                <w:szCs w:val="21"/>
                <w:highlight w:val="none"/>
              </w:rPr>
            </w:pPr>
            <w:r>
              <w:rPr>
                <w:rFonts w:hint="eastAsia" w:ascii="华文楷体" w:hAnsi="华文楷体" w:eastAsia="华文楷体" w:cs="宋体"/>
                <w:b w:val="0"/>
                <w:bCs w:val="0"/>
                <w:color w:val="auto"/>
                <w:kern w:val="2"/>
                <w:sz w:val="21"/>
                <w:szCs w:val="32"/>
                <w:highlight w:val="none"/>
                <w:lang w:eastAsia="zh-CN"/>
              </w:rPr>
              <w:t>密封面（圈）</w:t>
            </w:r>
          </w:p>
        </w:tc>
      </w:tr>
      <w:tr w14:paraId="77B6C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Align w:val="center"/>
          </w:tcPr>
          <w:p w14:paraId="75A1868A">
            <w:pPr>
              <w:jc w:val="center"/>
              <w:rPr>
                <w:rFonts w:ascii="华文楷体" w:hAnsi="华文楷体" w:eastAsia="华文楷体" w:cs="宋体"/>
                <w:color w:val="auto"/>
                <w:sz w:val="18"/>
                <w:szCs w:val="21"/>
                <w:highlight w:val="none"/>
              </w:rPr>
            </w:pPr>
            <w:r>
              <w:rPr>
                <w:rFonts w:hint="eastAsia" w:ascii="华文楷体" w:hAnsi="华文楷体" w:eastAsia="华文楷体" w:cs="宋体"/>
                <w:color w:val="auto"/>
                <w:sz w:val="18"/>
                <w:szCs w:val="21"/>
                <w:highlight w:val="none"/>
              </w:rPr>
              <w:t>4</w:t>
            </w:r>
          </w:p>
        </w:tc>
        <w:tc>
          <w:tcPr>
            <w:tcW w:w="1661" w:type="dxa"/>
            <w:vAlign w:val="center"/>
          </w:tcPr>
          <w:p w14:paraId="059F9AF9">
            <w:pPr>
              <w:jc w:val="left"/>
              <w:rPr>
                <w:rFonts w:ascii="华文楷体" w:hAnsi="华文楷体" w:eastAsia="华文楷体" w:cs="宋体"/>
                <w:color w:val="auto"/>
                <w:kern w:val="0"/>
                <w:sz w:val="18"/>
                <w:szCs w:val="21"/>
                <w:highlight w:val="none"/>
              </w:rPr>
            </w:pPr>
            <w:r>
              <w:rPr>
                <w:rFonts w:hint="eastAsia" w:ascii="华文楷体" w:hAnsi="华文楷体" w:eastAsia="华文楷体" w:cs="宋体"/>
                <w:color w:val="auto"/>
                <w:szCs w:val="32"/>
                <w:highlight w:val="none"/>
              </w:rPr>
              <w:t>阻火呼吸阀（物资编码1000655147）</w:t>
            </w:r>
          </w:p>
        </w:tc>
        <w:tc>
          <w:tcPr>
            <w:tcW w:w="1883" w:type="dxa"/>
            <w:vAlign w:val="center"/>
          </w:tcPr>
          <w:p w14:paraId="76AA9CDE">
            <w:pPr>
              <w:jc w:val="center"/>
              <w:rPr>
                <w:color w:val="auto"/>
                <w:highlight w:val="none"/>
              </w:rPr>
            </w:pPr>
            <w:r>
              <w:rPr>
                <w:rFonts w:hint="eastAsia" w:ascii="华文楷体" w:hAnsi="华文楷体" w:eastAsia="华文楷体" w:cs="宋体"/>
                <w:color w:val="auto"/>
                <w:szCs w:val="32"/>
                <w:highlight w:val="none"/>
              </w:rPr>
              <w:t>D</w:t>
            </w:r>
            <w:r>
              <w:rPr>
                <w:rFonts w:ascii="华文楷体" w:hAnsi="华文楷体" w:eastAsia="华文楷体" w:cs="宋体"/>
                <w:color w:val="auto"/>
                <w:szCs w:val="32"/>
                <w:highlight w:val="none"/>
              </w:rPr>
              <w:t>N250/150Lb</w:t>
            </w:r>
          </w:p>
        </w:tc>
        <w:tc>
          <w:tcPr>
            <w:tcW w:w="2347" w:type="dxa"/>
            <w:vAlign w:val="center"/>
          </w:tcPr>
          <w:p w14:paraId="39F7807C">
            <w:pPr>
              <w:jc w:val="center"/>
              <w:rPr>
                <w:rFonts w:hint="eastAsia" w:ascii="华文楷体" w:hAnsi="华文楷体" w:eastAsia="华文楷体" w:cs="宋体"/>
                <w:color w:val="auto"/>
                <w:sz w:val="21"/>
                <w:szCs w:val="32"/>
                <w:highlight w:val="none"/>
              </w:rPr>
            </w:pPr>
            <w:r>
              <w:rPr>
                <w:rFonts w:hint="eastAsia" w:ascii="华文楷体" w:hAnsi="华文楷体" w:eastAsia="华文楷体" w:cs="宋体"/>
                <w:b w:val="0"/>
                <w:bCs w:val="0"/>
                <w:color w:val="auto"/>
                <w:kern w:val="2"/>
                <w:sz w:val="21"/>
                <w:szCs w:val="32"/>
                <w:highlight w:val="none"/>
                <w:lang w:val="en-US" w:eastAsia="zh-CN"/>
              </w:rPr>
              <w:t>聚全氟乙丙烯（FEP）</w:t>
            </w:r>
          </w:p>
        </w:tc>
        <w:tc>
          <w:tcPr>
            <w:tcW w:w="913" w:type="dxa"/>
            <w:vAlign w:val="center"/>
          </w:tcPr>
          <w:p w14:paraId="18B009C3">
            <w:pPr>
              <w:jc w:val="center"/>
              <w:rPr>
                <w:rFonts w:hint="eastAsia" w:ascii="华文楷体" w:hAnsi="华文楷体" w:eastAsia="华文楷体" w:cs="宋体"/>
                <w:color w:val="auto"/>
                <w:sz w:val="18"/>
                <w:szCs w:val="21"/>
                <w:highlight w:val="none"/>
                <w:lang w:eastAsia="zh-CN"/>
              </w:rPr>
            </w:pPr>
            <w:r>
              <w:rPr>
                <w:rFonts w:hint="eastAsia" w:ascii="华文楷体" w:hAnsi="华文楷体" w:eastAsia="华文楷体" w:cs="宋体"/>
                <w:color w:val="auto"/>
                <w:sz w:val="18"/>
                <w:szCs w:val="21"/>
                <w:highlight w:val="none"/>
                <w:lang w:val="en-US" w:eastAsia="zh-CN"/>
              </w:rPr>
              <w:t>5套</w:t>
            </w:r>
          </w:p>
        </w:tc>
        <w:tc>
          <w:tcPr>
            <w:tcW w:w="1808" w:type="dxa"/>
            <w:vAlign w:val="center"/>
          </w:tcPr>
          <w:p w14:paraId="7BCEB210">
            <w:pPr>
              <w:jc w:val="center"/>
              <w:rPr>
                <w:rFonts w:ascii="华文楷体" w:hAnsi="华文楷体" w:eastAsia="华文楷体" w:cs="宋体"/>
                <w:color w:val="auto"/>
                <w:sz w:val="18"/>
                <w:szCs w:val="21"/>
                <w:highlight w:val="none"/>
              </w:rPr>
            </w:pPr>
            <w:r>
              <w:rPr>
                <w:rFonts w:hint="eastAsia" w:ascii="华文楷体" w:hAnsi="华文楷体" w:eastAsia="华文楷体" w:cs="宋体"/>
                <w:b w:val="0"/>
                <w:bCs w:val="0"/>
                <w:color w:val="auto"/>
                <w:kern w:val="2"/>
                <w:sz w:val="21"/>
                <w:szCs w:val="32"/>
                <w:highlight w:val="none"/>
                <w:lang w:eastAsia="zh-CN"/>
              </w:rPr>
              <w:t>密封面（圈）</w:t>
            </w:r>
          </w:p>
        </w:tc>
      </w:tr>
      <w:tr w14:paraId="033CB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Align w:val="center"/>
          </w:tcPr>
          <w:p w14:paraId="619F7A59">
            <w:pPr>
              <w:jc w:val="center"/>
              <w:rPr>
                <w:rFonts w:ascii="华文楷体" w:hAnsi="华文楷体" w:eastAsia="华文楷体" w:cs="宋体"/>
                <w:color w:val="auto"/>
                <w:sz w:val="18"/>
                <w:szCs w:val="21"/>
                <w:highlight w:val="none"/>
              </w:rPr>
            </w:pPr>
            <w:r>
              <w:rPr>
                <w:rFonts w:hint="eastAsia" w:ascii="华文楷体" w:hAnsi="华文楷体" w:eastAsia="华文楷体" w:cs="宋体"/>
                <w:color w:val="auto"/>
                <w:sz w:val="18"/>
                <w:szCs w:val="21"/>
                <w:highlight w:val="none"/>
              </w:rPr>
              <w:t>5</w:t>
            </w:r>
          </w:p>
        </w:tc>
        <w:tc>
          <w:tcPr>
            <w:tcW w:w="1661" w:type="dxa"/>
            <w:vAlign w:val="center"/>
          </w:tcPr>
          <w:p w14:paraId="048DE602">
            <w:pPr>
              <w:jc w:val="left"/>
              <w:rPr>
                <w:rFonts w:ascii="华文楷体" w:hAnsi="华文楷体" w:eastAsia="华文楷体" w:cs="宋体"/>
                <w:color w:val="auto"/>
                <w:kern w:val="0"/>
                <w:sz w:val="18"/>
                <w:szCs w:val="21"/>
                <w:highlight w:val="none"/>
              </w:rPr>
            </w:pPr>
            <w:r>
              <w:rPr>
                <w:rFonts w:hint="eastAsia" w:ascii="华文楷体" w:hAnsi="华文楷体" w:eastAsia="华文楷体" w:cs="宋体"/>
                <w:color w:val="auto"/>
                <w:szCs w:val="32"/>
                <w:highlight w:val="none"/>
              </w:rPr>
              <w:t>阻火呼吸阀（物资编码1000655146）</w:t>
            </w:r>
          </w:p>
        </w:tc>
        <w:tc>
          <w:tcPr>
            <w:tcW w:w="1883" w:type="dxa"/>
            <w:vAlign w:val="center"/>
          </w:tcPr>
          <w:p w14:paraId="581AF154">
            <w:pPr>
              <w:jc w:val="center"/>
              <w:rPr>
                <w:color w:val="auto"/>
                <w:highlight w:val="none"/>
              </w:rPr>
            </w:pPr>
            <w:r>
              <w:rPr>
                <w:rFonts w:hint="eastAsia" w:ascii="华文楷体" w:hAnsi="华文楷体" w:eastAsia="华文楷体" w:cs="宋体"/>
                <w:color w:val="auto"/>
                <w:szCs w:val="32"/>
                <w:highlight w:val="none"/>
              </w:rPr>
              <w:t>D</w:t>
            </w:r>
            <w:r>
              <w:rPr>
                <w:rFonts w:ascii="华文楷体" w:hAnsi="华文楷体" w:eastAsia="华文楷体" w:cs="宋体"/>
                <w:color w:val="auto"/>
                <w:szCs w:val="32"/>
                <w:highlight w:val="none"/>
              </w:rPr>
              <w:t>N</w:t>
            </w:r>
            <w:r>
              <w:rPr>
                <w:rFonts w:hint="eastAsia" w:ascii="华文楷体" w:hAnsi="华文楷体" w:eastAsia="华文楷体" w:cs="宋体"/>
                <w:color w:val="auto"/>
                <w:szCs w:val="32"/>
                <w:highlight w:val="none"/>
              </w:rPr>
              <w:t>300</w:t>
            </w:r>
            <w:r>
              <w:rPr>
                <w:rFonts w:ascii="华文楷体" w:hAnsi="华文楷体" w:eastAsia="华文楷体" w:cs="宋体"/>
                <w:color w:val="auto"/>
                <w:szCs w:val="32"/>
                <w:highlight w:val="none"/>
              </w:rPr>
              <w:t>/150Lb</w:t>
            </w:r>
          </w:p>
        </w:tc>
        <w:tc>
          <w:tcPr>
            <w:tcW w:w="2347" w:type="dxa"/>
            <w:vAlign w:val="center"/>
          </w:tcPr>
          <w:p w14:paraId="5256CC1D">
            <w:pPr>
              <w:jc w:val="center"/>
              <w:rPr>
                <w:rFonts w:hint="eastAsia" w:ascii="华文楷体" w:hAnsi="华文楷体" w:eastAsia="华文楷体" w:cs="宋体"/>
                <w:color w:val="auto"/>
                <w:sz w:val="21"/>
                <w:szCs w:val="32"/>
                <w:highlight w:val="none"/>
              </w:rPr>
            </w:pPr>
            <w:r>
              <w:rPr>
                <w:rFonts w:hint="eastAsia" w:ascii="华文楷体" w:hAnsi="华文楷体" w:eastAsia="华文楷体" w:cs="宋体"/>
                <w:b w:val="0"/>
                <w:bCs w:val="0"/>
                <w:color w:val="auto"/>
                <w:kern w:val="2"/>
                <w:sz w:val="21"/>
                <w:szCs w:val="32"/>
                <w:highlight w:val="none"/>
                <w:lang w:val="en-US" w:eastAsia="zh-CN"/>
              </w:rPr>
              <w:t>聚全氟乙丙烯（FEP）</w:t>
            </w:r>
          </w:p>
        </w:tc>
        <w:tc>
          <w:tcPr>
            <w:tcW w:w="913" w:type="dxa"/>
            <w:vAlign w:val="center"/>
          </w:tcPr>
          <w:p w14:paraId="7DB80CA1">
            <w:pPr>
              <w:jc w:val="center"/>
              <w:rPr>
                <w:rFonts w:hint="default" w:ascii="华文楷体" w:hAnsi="华文楷体" w:eastAsia="华文楷体" w:cs="宋体"/>
                <w:color w:val="auto"/>
                <w:sz w:val="18"/>
                <w:szCs w:val="21"/>
                <w:highlight w:val="none"/>
                <w:lang w:val="en-US" w:eastAsia="zh-CN"/>
              </w:rPr>
            </w:pPr>
            <w:r>
              <w:rPr>
                <w:rFonts w:hint="eastAsia" w:ascii="华文楷体" w:hAnsi="华文楷体" w:eastAsia="华文楷体" w:cs="宋体"/>
                <w:color w:val="auto"/>
                <w:sz w:val="18"/>
                <w:szCs w:val="21"/>
                <w:highlight w:val="none"/>
                <w:lang w:val="en-US" w:eastAsia="zh-CN"/>
              </w:rPr>
              <w:t>2套</w:t>
            </w:r>
          </w:p>
        </w:tc>
        <w:tc>
          <w:tcPr>
            <w:tcW w:w="1808" w:type="dxa"/>
            <w:vAlign w:val="center"/>
          </w:tcPr>
          <w:p w14:paraId="0A70E357">
            <w:pPr>
              <w:jc w:val="center"/>
              <w:rPr>
                <w:rFonts w:ascii="华文楷体" w:hAnsi="华文楷体" w:eastAsia="华文楷体" w:cs="宋体"/>
                <w:color w:val="auto"/>
                <w:sz w:val="18"/>
                <w:szCs w:val="21"/>
                <w:highlight w:val="none"/>
              </w:rPr>
            </w:pPr>
            <w:r>
              <w:rPr>
                <w:rFonts w:hint="eastAsia" w:ascii="华文楷体" w:hAnsi="华文楷体" w:eastAsia="华文楷体" w:cs="宋体"/>
                <w:b w:val="0"/>
                <w:bCs w:val="0"/>
                <w:color w:val="auto"/>
                <w:kern w:val="2"/>
                <w:sz w:val="21"/>
                <w:szCs w:val="32"/>
                <w:highlight w:val="none"/>
                <w:lang w:eastAsia="zh-CN"/>
              </w:rPr>
              <w:t>密封面（圈）</w:t>
            </w:r>
          </w:p>
        </w:tc>
      </w:tr>
      <w:tr w14:paraId="677A3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Align w:val="center"/>
          </w:tcPr>
          <w:p w14:paraId="36558570">
            <w:pPr>
              <w:jc w:val="center"/>
              <w:rPr>
                <w:rFonts w:hint="eastAsia" w:ascii="华文楷体" w:hAnsi="华文楷体" w:eastAsia="华文楷体" w:cs="宋体"/>
                <w:color w:val="auto"/>
                <w:sz w:val="18"/>
                <w:szCs w:val="21"/>
                <w:highlight w:val="none"/>
                <w:lang w:val="en-US" w:eastAsia="zh-CN"/>
              </w:rPr>
            </w:pPr>
            <w:r>
              <w:rPr>
                <w:rFonts w:hint="eastAsia" w:ascii="华文楷体" w:hAnsi="华文楷体" w:eastAsia="华文楷体" w:cs="宋体"/>
                <w:color w:val="auto"/>
                <w:sz w:val="18"/>
                <w:szCs w:val="21"/>
                <w:highlight w:val="none"/>
                <w:lang w:val="en-US" w:eastAsia="zh-CN"/>
              </w:rPr>
              <w:t>6</w:t>
            </w:r>
          </w:p>
        </w:tc>
        <w:tc>
          <w:tcPr>
            <w:tcW w:w="1661" w:type="dxa"/>
            <w:shd w:val="clear" w:color="auto" w:fill="auto"/>
            <w:vAlign w:val="center"/>
          </w:tcPr>
          <w:p w14:paraId="5672EF51">
            <w:pPr>
              <w:jc w:val="left"/>
              <w:rPr>
                <w:rFonts w:hint="eastAsia" w:ascii="华文楷体" w:hAnsi="华文楷体" w:eastAsia="华文楷体" w:cs="宋体"/>
                <w:color w:val="auto"/>
                <w:kern w:val="2"/>
                <w:sz w:val="21"/>
                <w:szCs w:val="32"/>
                <w:highlight w:val="none"/>
                <w:lang w:val="en-US" w:eastAsia="zh-CN" w:bidi="ar-SA"/>
              </w:rPr>
            </w:pPr>
            <w:r>
              <w:rPr>
                <w:rFonts w:hint="eastAsia" w:ascii="华文楷体" w:hAnsi="华文楷体" w:eastAsia="华文楷体" w:cs="宋体"/>
                <w:color w:val="auto"/>
                <w:szCs w:val="32"/>
                <w:highlight w:val="none"/>
              </w:rPr>
              <w:t>阻火呼吸阀（物资编码1000655145）</w:t>
            </w:r>
          </w:p>
        </w:tc>
        <w:tc>
          <w:tcPr>
            <w:tcW w:w="1883" w:type="dxa"/>
            <w:shd w:val="clear" w:color="auto" w:fill="auto"/>
            <w:vAlign w:val="center"/>
          </w:tcPr>
          <w:p w14:paraId="36ED60A2">
            <w:pPr>
              <w:jc w:val="center"/>
              <w:rPr>
                <w:rFonts w:ascii="华文楷体" w:hAnsi="华文楷体" w:eastAsia="华文楷体" w:cs="宋体"/>
                <w:color w:val="auto"/>
                <w:kern w:val="2"/>
                <w:sz w:val="21"/>
                <w:szCs w:val="32"/>
                <w:highlight w:val="none"/>
                <w:lang w:val="en-US" w:eastAsia="zh-CN" w:bidi="ar-SA"/>
              </w:rPr>
            </w:pPr>
            <w:r>
              <w:rPr>
                <w:rFonts w:hint="eastAsia" w:ascii="华文楷体" w:hAnsi="华文楷体" w:eastAsia="华文楷体" w:cs="宋体"/>
                <w:color w:val="auto"/>
                <w:szCs w:val="32"/>
                <w:highlight w:val="none"/>
              </w:rPr>
              <w:t>D</w:t>
            </w:r>
            <w:r>
              <w:rPr>
                <w:rFonts w:ascii="华文楷体" w:hAnsi="华文楷体" w:eastAsia="华文楷体" w:cs="宋体"/>
                <w:color w:val="auto"/>
                <w:szCs w:val="32"/>
                <w:highlight w:val="none"/>
              </w:rPr>
              <w:t>N</w:t>
            </w:r>
            <w:r>
              <w:rPr>
                <w:rFonts w:hint="eastAsia" w:ascii="华文楷体" w:hAnsi="华文楷体" w:eastAsia="华文楷体" w:cs="宋体"/>
                <w:color w:val="auto"/>
                <w:szCs w:val="32"/>
                <w:highlight w:val="none"/>
              </w:rPr>
              <w:t>400</w:t>
            </w:r>
            <w:r>
              <w:rPr>
                <w:rFonts w:ascii="华文楷体" w:hAnsi="华文楷体" w:eastAsia="华文楷体" w:cs="宋体"/>
                <w:color w:val="auto"/>
                <w:szCs w:val="32"/>
                <w:highlight w:val="none"/>
              </w:rPr>
              <w:t>/150Lb</w:t>
            </w:r>
          </w:p>
        </w:tc>
        <w:tc>
          <w:tcPr>
            <w:tcW w:w="2347" w:type="dxa"/>
            <w:vAlign w:val="center"/>
          </w:tcPr>
          <w:p w14:paraId="69C3D1EB">
            <w:pPr>
              <w:jc w:val="center"/>
              <w:rPr>
                <w:rFonts w:hint="eastAsia" w:ascii="华文楷体" w:hAnsi="华文楷体" w:eastAsia="华文楷体" w:cs="宋体"/>
                <w:color w:val="auto"/>
                <w:sz w:val="21"/>
                <w:szCs w:val="32"/>
                <w:highlight w:val="none"/>
              </w:rPr>
            </w:pPr>
            <w:r>
              <w:rPr>
                <w:rFonts w:hint="eastAsia" w:ascii="华文楷体" w:hAnsi="华文楷体" w:eastAsia="华文楷体" w:cs="宋体"/>
                <w:b w:val="0"/>
                <w:bCs w:val="0"/>
                <w:color w:val="auto"/>
                <w:kern w:val="2"/>
                <w:sz w:val="21"/>
                <w:szCs w:val="32"/>
                <w:highlight w:val="none"/>
                <w:lang w:val="en-US" w:eastAsia="zh-CN"/>
              </w:rPr>
              <w:t>聚全氟乙丙烯（FEP）</w:t>
            </w:r>
          </w:p>
        </w:tc>
        <w:tc>
          <w:tcPr>
            <w:tcW w:w="913" w:type="dxa"/>
            <w:vAlign w:val="center"/>
          </w:tcPr>
          <w:p w14:paraId="5ECA30BC">
            <w:pPr>
              <w:jc w:val="center"/>
              <w:rPr>
                <w:rFonts w:hint="default" w:ascii="华文楷体" w:hAnsi="华文楷体" w:eastAsia="华文楷体" w:cs="宋体"/>
                <w:color w:val="auto"/>
                <w:sz w:val="18"/>
                <w:szCs w:val="21"/>
                <w:highlight w:val="none"/>
                <w:lang w:val="en-US" w:eastAsia="zh-CN"/>
              </w:rPr>
            </w:pPr>
            <w:r>
              <w:rPr>
                <w:rFonts w:hint="eastAsia" w:ascii="华文楷体" w:hAnsi="华文楷体" w:eastAsia="华文楷体" w:cs="宋体"/>
                <w:color w:val="auto"/>
                <w:sz w:val="18"/>
                <w:szCs w:val="21"/>
                <w:highlight w:val="none"/>
                <w:lang w:val="en-US" w:eastAsia="zh-CN"/>
              </w:rPr>
              <w:t>6套</w:t>
            </w:r>
          </w:p>
        </w:tc>
        <w:tc>
          <w:tcPr>
            <w:tcW w:w="1808" w:type="dxa"/>
            <w:vAlign w:val="center"/>
          </w:tcPr>
          <w:p w14:paraId="7B2A6C5D">
            <w:pPr>
              <w:jc w:val="center"/>
              <w:rPr>
                <w:rFonts w:ascii="华文楷体" w:hAnsi="华文楷体" w:eastAsia="华文楷体" w:cs="宋体"/>
                <w:color w:val="auto"/>
                <w:sz w:val="18"/>
                <w:szCs w:val="21"/>
                <w:highlight w:val="none"/>
              </w:rPr>
            </w:pPr>
            <w:r>
              <w:rPr>
                <w:rFonts w:hint="eastAsia" w:ascii="华文楷体" w:hAnsi="华文楷体" w:eastAsia="华文楷体" w:cs="宋体"/>
                <w:b w:val="0"/>
                <w:bCs w:val="0"/>
                <w:color w:val="auto"/>
                <w:kern w:val="2"/>
                <w:sz w:val="21"/>
                <w:szCs w:val="32"/>
                <w:highlight w:val="none"/>
                <w:lang w:eastAsia="zh-CN"/>
              </w:rPr>
              <w:t>密封面（圈）</w:t>
            </w:r>
          </w:p>
        </w:tc>
      </w:tr>
      <w:tr w14:paraId="274C0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Align w:val="center"/>
          </w:tcPr>
          <w:p w14:paraId="7D3C5E27">
            <w:pPr>
              <w:jc w:val="center"/>
              <w:rPr>
                <w:rFonts w:hint="eastAsia" w:ascii="华文楷体" w:hAnsi="华文楷体" w:eastAsia="华文楷体" w:cs="宋体"/>
                <w:color w:val="auto"/>
                <w:sz w:val="18"/>
                <w:szCs w:val="21"/>
                <w:highlight w:val="none"/>
                <w:lang w:val="en-US" w:eastAsia="zh-CN"/>
              </w:rPr>
            </w:pPr>
            <w:r>
              <w:rPr>
                <w:rFonts w:hint="eastAsia" w:ascii="华文楷体" w:hAnsi="华文楷体" w:eastAsia="华文楷体" w:cs="宋体"/>
                <w:color w:val="auto"/>
                <w:sz w:val="18"/>
                <w:szCs w:val="21"/>
                <w:highlight w:val="none"/>
                <w:lang w:val="en-US" w:eastAsia="zh-CN"/>
              </w:rPr>
              <w:t>7</w:t>
            </w:r>
          </w:p>
        </w:tc>
        <w:tc>
          <w:tcPr>
            <w:tcW w:w="1661" w:type="dxa"/>
            <w:shd w:val="clear" w:color="auto" w:fill="auto"/>
            <w:vAlign w:val="center"/>
          </w:tcPr>
          <w:p w14:paraId="7B579EFB">
            <w:pPr>
              <w:jc w:val="left"/>
              <w:rPr>
                <w:rFonts w:hint="eastAsia" w:ascii="华文楷体" w:hAnsi="华文楷体" w:eastAsia="华文楷体" w:cs="宋体"/>
                <w:color w:val="auto"/>
                <w:kern w:val="2"/>
                <w:sz w:val="21"/>
                <w:szCs w:val="32"/>
                <w:highlight w:val="none"/>
                <w:lang w:val="en-US" w:eastAsia="zh-CN" w:bidi="ar-SA"/>
              </w:rPr>
            </w:pPr>
            <w:r>
              <w:rPr>
                <w:rFonts w:hint="eastAsia" w:ascii="华文楷体" w:hAnsi="华文楷体" w:eastAsia="华文楷体" w:cs="宋体"/>
                <w:color w:val="auto"/>
                <w:szCs w:val="32"/>
                <w:highlight w:val="none"/>
              </w:rPr>
              <w:t>阻火呼吸阀（物资编码</w:t>
            </w:r>
            <w:r>
              <w:rPr>
                <w:rFonts w:ascii="华文楷体" w:hAnsi="华文楷体" w:eastAsia="华文楷体" w:cs="宋体"/>
                <w:color w:val="auto"/>
                <w:szCs w:val="32"/>
                <w:highlight w:val="none"/>
              </w:rPr>
              <w:t>1000655282</w:t>
            </w:r>
            <w:r>
              <w:rPr>
                <w:rFonts w:hint="eastAsia" w:ascii="华文楷体" w:hAnsi="华文楷体" w:eastAsia="华文楷体" w:cs="宋体"/>
                <w:color w:val="auto"/>
                <w:szCs w:val="32"/>
                <w:highlight w:val="none"/>
              </w:rPr>
              <w:t>）</w:t>
            </w:r>
          </w:p>
        </w:tc>
        <w:tc>
          <w:tcPr>
            <w:tcW w:w="1883" w:type="dxa"/>
            <w:shd w:val="clear" w:color="auto" w:fill="auto"/>
            <w:vAlign w:val="center"/>
          </w:tcPr>
          <w:p w14:paraId="4E6AF9C4">
            <w:pPr>
              <w:jc w:val="center"/>
              <w:rPr>
                <w:rFonts w:hint="eastAsia" w:ascii="华文楷体" w:hAnsi="华文楷体" w:eastAsia="华文楷体" w:cs="宋体"/>
                <w:color w:val="auto"/>
                <w:kern w:val="2"/>
                <w:sz w:val="21"/>
                <w:szCs w:val="32"/>
                <w:highlight w:val="none"/>
                <w:lang w:val="en-US" w:eastAsia="zh-CN" w:bidi="ar-SA"/>
              </w:rPr>
            </w:pPr>
            <w:r>
              <w:rPr>
                <w:rFonts w:ascii="华文楷体" w:hAnsi="华文楷体" w:eastAsia="华文楷体" w:cs="宋体"/>
                <w:color w:val="auto"/>
                <w:szCs w:val="32"/>
                <w:highlight w:val="none"/>
              </w:rPr>
              <w:t>DN100/150L</w:t>
            </w:r>
            <w:r>
              <w:rPr>
                <w:rFonts w:hint="eastAsia" w:ascii="华文楷体" w:hAnsi="华文楷体" w:eastAsia="华文楷体" w:cs="宋体"/>
                <w:color w:val="auto"/>
                <w:szCs w:val="32"/>
                <w:highlight w:val="none"/>
              </w:rPr>
              <w:t>b</w:t>
            </w:r>
          </w:p>
        </w:tc>
        <w:tc>
          <w:tcPr>
            <w:tcW w:w="2347" w:type="dxa"/>
            <w:vAlign w:val="center"/>
          </w:tcPr>
          <w:p w14:paraId="7C999F32">
            <w:pPr>
              <w:jc w:val="center"/>
              <w:rPr>
                <w:rFonts w:hint="eastAsia" w:ascii="华文楷体" w:hAnsi="华文楷体" w:eastAsia="华文楷体" w:cs="宋体"/>
                <w:color w:val="auto"/>
                <w:sz w:val="21"/>
                <w:szCs w:val="32"/>
                <w:highlight w:val="none"/>
              </w:rPr>
            </w:pPr>
            <w:r>
              <w:rPr>
                <w:rFonts w:hint="eastAsia" w:ascii="华文楷体" w:hAnsi="华文楷体" w:eastAsia="华文楷体" w:cs="宋体"/>
                <w:b w:val="0"/>
                <w:bCs w:val="0"/>
                <w:color w:val="auto"/>
                <w:kern w:val="2"/>
                <w:sz w:val="21"/>
                <w:szCs w:val="32"/>
                <w:highlight w:val="none"/>
                <w:lang w:val="en-US" w:eastAsia="zh-CN"/>
              </w:rPr>
              <w:t>聚全氟乙丙烯（FEP）</w:t>
            </w:r>
          </w:p>
        </w:tc>
        <w:tc>
          <w:tcPr>
            <w:tcW w:w="913" w:type="dxa"/>
            <w:vAlign w:val="center"/>
          </w:tcPr>
          <w:p w14:paraId="20895AB1">
            <w:pPr>
              <w:jc w:val="center"/>
              <w:rPr>
                <w:rFonts w:hint="default" w:ascii="华文楷体" w:hAnsi="华文楷体" w:eastAsia="华文楷体" w:cs="宋体"/>
                <w:color w:val="auto"/>
                <w:sz w:val="18"/>
                <w:szCs w:val="21"/>
                <w:highlight w:val="none"/>
                <w:lang w:val="en-US" w:eastAsia="zh-CN"/>
              </w:rPr>
            </w:pPr>
            <w:r>
              <w:rPr>
                <w:rFonts w:hint="eastAsia" w:ascii="华文楷体" w:hAnsi="华文楷体" w:eastAsia="华文楷体" w:cs="宋体"/>
                <w:color w:val="auto"/>
                <w:sz w:val="18"/>
                <w:szCs w:val="21"/>
                <w:highlight w:val="none"/>
                <w:lang w:val="en-US" w:eastAsia="zh-CN"/>
              </w:rPr>
              <w:t>1套</w:t>
            </w:r>
          </w:p>
        </w:tc>
        <w:tc>
          <w:tcPr>
            <w:tcW w:w="1808" w:type="dxa"/>
            <w:vAlign w:val="center"/>
          </w:tcPr>
          <w:p w14:paraId="069D4256">
            <w:pPr>
              <w:jc w:val="center"/>
              <w:rPr>
                <w:rFonts w:ascii="华文楷体" w:hAnsi="华文楷体" w:eastAsia="华文楷体" w:cs="宋体"/>
                <w:color w:val="auto"/>
                <w:sz w:val="18"/>
                <w:szCs w:val="21"/>
                <w:highlight w:val="none"/>
              </w:rPr>
            </w:pPr>
            <w:r>
              <w:rPr>
                <w:rFonts w:hint="eastAsia" w:ascii="华文楷体" w:hAnsi="华文楷体" w:eastAsia="华文楷体" w:cs="宋体"/>
                <w:b w:val="0"/>
                <w:bCs w:val="0"/>
                <w:color w:val="auto"/>
                <w:kern w:val="2"/>
                <w:sz w:val="21"/>
                <w:szCs w:val="32"/>
                <w:highlight w:val="none"/>
                <w:lang w:eastAsia="zh-CN"/>
              </w:rPr>
              <w:t>密封面（圈）</w:t>
            </w:r>
          </w:p>
        </w:tc>
      </w:tr>
      <w:tr w14:paraId="2D110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Align w:val="center"/>
          </w:tcPr>
          <w:p w14:paraId="70C79F8B">
            <w:pPr>
              <w:jc w:val="center"/>
              <w:rPr>
                <w:rFonts w:hint="eastAsia" w:ascii="华文楷体" w:hAnsi="华文楷体" w:eastAsia="华文楷体" w:cs="宋体"/>
                <w:color w:val="auto"/>
                <w:sz w:val="18"/>
                <w:szCs w:val="21"/>
                <w:highlight w:val="none"/>
                <w:lang w:val="en-US" w:eastAsia="zh-CN"/>
              </w:rPr>
            </w:pPr>
            <w:r>
              <w:rPr>
                <w:rFonts w:hint="eastAsia" w:ascii="华文楷体" w:hAnsi="华文楷体" w:eastAsia="华文楷体" w:cs="宋体"/>
                <w:color w:val="auto"/>
                <w:sz w:val="18"/>
                <w:szCs w:val="21"/>
                <w:highlight w:val="none"/>
                <w:lang w:val="en-US" w:eastAsia="zh-CN"/>
              </w:rPr>
              <w:t>8</w:t>
            </w:r>
          </w:p>
        </w:tc>
        <w:tc>
          <w:tcPr>
            <w:tcW w:w="1661" w:type="dxa"/>
            <w:shd w:val="clear" w:color="auto" w:fill="auto"/>
            <w:vAlign w:val="center"/>
          </w:tcPr>
          <w:p w14:paraId="0189FD85">
            <w:pPr>
              <w:jc w:val="left"/>
              <w:rPr>
                <w:rFonts w:hint="eastAsia" w:ascii="华文楷体" w:hAnsi="华文楷体" w:eastAsia="华文楷体" w:cs="宋体"/>
                <w:color w:val="auto"/>
                <w:kern w:val="2"/>
                <w:sz w:val="21"/>
                <w:szCs w:val="32"/>
                <w:highlight w:val="none"/>
                <w:lang w:val="en-US" w:eastAsia="zh-CN" w:bidi="ar-SA"/>
              </w:rPr>
            </w:pPr>
            <w:r>
              <w:rPr>
                <w:rFonts w:hint="eastAsia" w:ascii="华文楷体" w:hAnsi="华文楷体" w:eastAsia="华文楷体" w:cs="宋体"/>
                <w:color w:val="auto"/>
                <w:szCs w:val="32"/>
                <w:highlight w:val="none"/>
              </w:rPr>
              <w:t>阻火呼吸阀（物资编码</w:t>
            </w:r>
            <w:r>
              <w:rPr>
                <w:rFonts w:ascii="华文楷体" w:hAnsi="华文楷体" w:eastAsia="华文楷体" w:cs="宋体"/>
                <w:color w:val="auto"/>
                <w:szCs w:val="32"/>
                <w:highlight w:val="none"/>
              </w:rPr>
              <w:t>1000655283</w:t>
            </w:r>
            <w:r>
              <w:rPr>
                <w:rFonts w:hint="eastAsia" w:ascii="华文楷体" w:hAnsi="华文楷体" w:eastAsia="华文楷体" w:cs="宋体"/>
                <w:color w:val="auto"/>
                <w:szCs w:val="32"/>
                <w:highlight w:val="none"/>
              </w:rPr>
              <w:t>）</w:t>
            </w:r>
          </w:p>
        </w:tc>
        <w:tc>
          <w:tcPr>
            <w:tcW w:w="1883" w:type="dxa"/>
            <w:shd w:val="clear" w:color="auto" w:fill="auto"/>
            <w:vAlign w:val="center"/>
          </w:tcPr>
          <w:p w14:paraId="3E19A4F8">
            <w:pPr>
              <w:jc w:val="center"/>
              <w:rPr>
                <w:rFonts w:ascii="华文楷体" w:hAnsi="华文楷体" w:eastAsia="华文楷体" w:cs="宋体"/>
                <w:color w:val="auto"/>
                <w:kern w:val="2"/>
                <w:sz w:val="21"/>
                <w:szCs w:val="32"/>
                <w:highlight w:val="none"/>
                <w:lang w:val="en-US" w:eastAsia="zh-CN" w:bidi="ar-SA"/>
              </w:rPr>
            </w:pPr>
            <w:r>
              <w:rPr>
                <w:rFonts w:ascii="华文楷体" w:hAnsi="华文楷体" w:eastAsia="华文楷体" w:cs="宋体"/>
                <w:color w:val="auto"/>
                <w:szCs w:val="32"/>
                <w:highlight w:val="none"/>
              </w:rPr>
              <w:t>DN80/150L</w:t>
            </w:r>
            <w:r>
              <w:rPr>
                <w:rFonts w:hint="eastAsia" w:ascii="华文楷体" w:hAnsi="华文楷体" w:eastAsia="华文楷体" w:cs="宋体"/>
                <w:color w:val="auto"/>
                <w:szCs w:val="32"/>
                <w:highlight w:val="none"/>
              </w:rPr>
              <w:t>b</w:t>
            </w:r>
          </w:p>
        </w:tc>
        <w:tc>
          <w:tcPr>
            <w:tcW w:w="2347" w:type="dxa"/>
            <w:vAlign w:val="center"/>
          </w:tcPr>
          <w:p w14:paraId="4C2CFFA0">
            <w:pPr>
              <w:jc w:val="center"/>
              <w:rPr>
                <w:rFonts w:hint="eastAsia" w:ascii="华文楷体" w:hAnsi="华文楷体" w:eastAsia="华文楷体" w:cs="宋体"/>
                <w:color w:val="auto"/>
                <w:sz w:val="21"/>
                <w:szCs w:val="32"/>
                <w:highlight w:val="none"/>
              </w:rPr>
            </w:pPr>
            <w:r>
              <w:rPr>
                <w:rFonts w:hint="eastAsia" w:ascii="华文楷体" w:hAnsi="华文楷体" w:eastAsia="华文楷体" w:cs="宋体"/>
                <w:b w:val="0"/>
                <w:bCs w:val="0"/>
                <w:color w:val="auto"/>
                <w:kern w:val="2"/>
                <w:sz w:val="21"/>
                <w:szCs w:val="32"/>
                <w:highlight w:val="none"/>
                <w:lang w:val="en-US" w:eastAsia="zh-CN"/>
              </w:rPr>
              <w:t>聚全氟乙丙烯（FEP）</w:t>
            </w:r>
          </w:p>
        </w:tc>
        <w:tc>
          <w:tcPr>
            <w:tcW w:w="913" w:type="dxa"/>
            <w:vAlign w:val="center"/>
          </w:tcPr>
          <w:p w14:paraId="62D185B7">
            <w:pPr>
              <w:jc w:val="center"/>
              <w:rPr>
                <w:rFonts w:hint="default" w:ascii="华文楷体" w:hAnsi="华文楷体" w:eastAsia="华文楷体" w:cs="宋体"/>
                <w:color w:val="auto"/>
                <w:sz w:val="18"/>
                <w:szCs w:val="21"/>
                <w:highlight w:val="none"/>
                <w:lang w:val="en-US" w:eastAsia="zh-CN"/>
              </w:rPr>
            </w:pPr>
            <w:r>
              <w:rPr>
                <w:rFonts w:hint="eastAsia" w:ascii="华文楷体" w:hAnsi="华文楷体" w:eastAsia="华文楷体" w:cs="宋体"/>
                <w:color w:val="auto"/>
                <w:sz w:val="18"/>
                <w:szCs w:val="21"/>
                <w:highlight w:val="none"/>
                <w:lang w:val="en-US" w:eastAsia="zh-CN"/>
              </w:rPr>
              <w:t>1套</w:t>
            </w:r>
          </w:p>
        </w:tc>
        <w:tc>
          <w:tcPr>
            <w:tcW w:w="1808" w:type="dxa"/>
            <w:vAlign w:val="center"/>
          </w:tcPr>
          <w:p w14:paraId="3555B4B9">
            <w:pPr>
              <w:jc w:val="center"/>
              <w:rPr>
                <w:rFonts w:ascii="华文楷体" w:hAnsi="华文楷体" w:eastAsia="华文楷体" w:cs="宋体"/>
                <w:color w:val="auto"/>
                <w:sz w:val="18"/>
                <w:szCs w:val="21"/>
                <w:highlight w:val="none"/>
              </w:rPr>
            </w:pPr>
            <w:r>
              <w:rPr>
                <w:rFonts w:hint="eastAsia" w:ascii="华文楷体" w:hAnsi="华文楷体" w:eastAsia="华文楷体" w:cs="宋体"/>
                <w:b w:val="0"/>
                <w:bCs w:val="0"/>
                <w:color w:val="auto"/>
                <w:kern w:val="2"/>
                <w:sz w:val="21"/>
                <w:szCs w:val="32"/>
                <w:highlight w:val="none"/>
                <w:lang w:eastAsia="zh-CN"/>
              </w:rPr>
              <w:t>密封面（圈）</w:t>
            </w:r>
          </w:p>
        </w:tc>
      </w:tr>
      <w:tr w14:paraId="6C0CC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Align w:val="center"/>
          </w:tcPr>
          <w:p w14:paraId="4A8790A5">
            <w:pPr>
              <w:jc w:val="center"/>
              <w:rPr>
                <w:rFonts w:hint="eastAsia" w:ascii="华文楷体" w:hAnsi="华文楷体" w:eastAsia="华文楷体" w:cs="宋体"/>
                <w:color w:val="auto"/>
                <w:sz w:val="18"/>
                <w:szCs w:val="21"/>
                <w:highlight w:val="none"/>
                <w:lang w:val="en-US" w:eastAsia="zh-CN"/>
              </w:rPr>
            </w:pPr>
            <w:r>
              <w:rPr>
                <w:rFonts w:hint="eastAsia" w:ascii="华文楷体" w:hAnsi="华文楷体" w:eastAsia="华文楷体" w:cs="宋体"/>
                <w:color w:val="auto"/>
                <w:sz w:val="18"/>
                <w:szCs w:val="21"/>
                <w:highlight w:val="none"/>
                <w:lang w:val="en-US" w:eastAsia="zh-CN"/>
              </w:rPr>
              <w:t>9</w:t>
            </w:r>
          </w:p>
        </w:tc>
        <w:tc>
          <w:tcPr>
            <w:tcW w:w="1661" w:type="dxa"/>
            <w:shd w:val="clear" w:color="auto" w:fill="auto"/>
            <w:vAlign w:val="center"/>
          </w:tcPr>
          <w:p w14:paraId="73501280">
            <w:pPr>
              <w:jc w:val="left"/>
              <w:rPr>
                <w:rFonts w:hint="eastAsia" w:ascii="华文楷体" w:hAnsi="华文楷体" w:eastAsia="华文楷体" w:cs="宋体"/>
                <w:color w:val="auto"/>
                <w:kern w:val="2"/>
                <w:sz w:val="21"/>
                <w:szCs w:val="32"/>
                <w:highlight w:val="none"/>
                <w:lang w:val="en-US" w:eastAsia="zh-CN" w:bidi="ar-SA"/>
              </w:rPr>
            </w:pPr>
            <w:r>
              <w:rPr>
                <w:rFonts w:hint="eastAsia" w:ascii="华文楷体" w:hAnsi="华文楷体" w:eastAsia="华文楷体" w:cs="宋体"/>
                <w:color w:val="auto"/>
                <w:szCs w:val="32"/>
                <w:highlight w:val="none"/>
              </w:rPr>
              <w:t>阻火呼吸阀（物资编码</w:t>
            </w:r>
            <w:r>
              <w:rPr>
                <w:rFonts w:ascii="华文楷体" w:hAnsi="华文楷体" w:eastAsia="华文楷体" w:cs="宋体"/>
                <w:color w:val="auto"/>
                <w:szCs w:val="32"/>
                <w:highlight w:val="none"/>
              </w:rPr>
              <w:t>1000655279</w:t>
            </w:r>
            <w:r>
              <w:rPr>
                <w:rFonts w:hint="eastAsia" w:ascii="华文楷体" w:hAnsi="华文楷体" w:eastAsia="华文楷体" w:cs="宋体"/>
                <w:color w:val="auto"/>
                <w:szCs w:val="32"/>
                <w:highlight w:val="none"/>
              </w:rPr>
              <w:t>）</w:t>
            </w:r>
          </w:p>
        </w:tc>
        <w:tc>
          <w:tcPr>
            <w:tcW w:w="1883" w:type="dxa"/>
            <w:shd w:val="clear" w:color="auto" w:fill="auto"/>
            <w:vAlign w:val="center"/>
          </w:tcPr>
          <w:p w14:paraId="7428C27D">
            <w:pPr>
              <w:jc w:val="center"/>
              <w:rPr>
                <w:rFonts w:ascii="华文楷体" w:hAnsi="华文楷体" w:eastAsia="华文楷体" w:cs="宋体"/>
                <w:color w:val="auto"/>
                <w:kern w:val="2"/>
                <w:sz w:val="21"/>
                <w:szCs w:val="32"/>
                <w:highlight w:val="none"/>
                <w:lang w:val="en-US" w:eastAsia="zh-CN" w:bidi="ar-SA"/>
              </w:rPr>
            </w:pPr>
            <w:r>
              <w:rPr>
                <w:rFonts w:ascii="华文楷体" w:hAnsi="华文楷体" w:eastAsia="华文楷体" w:cs="宋体"/>
                <w:color w:val="auto"/>
                <w:szCs w:val="32"/>
                <w:highlight w:val="none"/>
              </w:rPr>
              <w:t>DN150/150L</w:t>
            </w:r>
            <w:r>
              <w:rPr>
                <w:rFonts w:hint="eastAsia" w:ascii="华文楷体" w:hAnsi="华文楷体" w:eastAsia="华文楷体" w:cs="宋体"/>
                <w:color w:val="auto"/>
                <w:szCs w:val="32"/>
                <w:highlight w:val="none"/>
              </w:rPr>
              <w:t>b</w:t>
            </w:r>
          </w:p>
        </w:tc>
        <w:tc>
          <w:tcPr>
            <w:tcW w:w="2347" w:type="dxa"/>
            <w:vAlign w:val="center"/>
          </w:tcPr>
          <w:p w14:paraId="4EC2B5DE">
            <w:pPr>
              <w:jc w:val="center"/>
              <w:rPr>
                <w:rFonts w:hint="eastAsia" w:ascii="华文楷体" w:hAnsi="华文楷体" w:eastAsia="华文楷体" w:cs="宋体"/>
                <w:color w:val="auto"/>
                <w:sz w:val="21"/>
                <w:szCs w:val="32"/>
                <w:highlight w:val="none"/>
              </w:rPr>
            </w:pPr>
            <w:r>
              <w:rPr>
                <w:rFonts w:hint="eastAsia" w:ascii="华文楷体" w:hAnsi="华文楷体" w:eastAsia="华文楷体" w:cs="宋体"/>
                <w:b w:val="0"/>
                <w:bCs w:val="0"/>
                <w:color w:val="auto"/>
                <w:kern w:val="2"/>
                <w:sz w:val="21"/>
                <w:szCs w:val="32"/>
                <w:highlight w:val="none"/>
                <w:lang w:val="en-US" w:eastAsia="zh-CN"/>
              </w:rPr>
              <w:t>聚全氟乙丙烯（FEP）</w:t>
            </w:r>
          </w:p>
        </w:tc>
        <w:tc>
          <w:tcPr>
            <w:tcW w:w="913" w:type="dxa"/>
            <w:vAlign w:val="center"/>
          </w:tcPr>
          <w:p w14:paraId="1DCA8F1B">
            <w:pPr>
              <w:jc w:val="center"/>
              <w:rPr>
                <w:rFonts w:hint="default" w:ascii="华文楷体" w:hAnsi="华文楷体" w:eastAsia="华文楷体" w:cs="宋体"/>
                <w:color w:val="auto"/>
                <w:sz w:val="18"/>
                <w:szCs w:val="21"/>
                <w:highlight w:val="none"/>
                <w:lang w:val="en-US" w:eastAsia="zh-CN"/>
              </w:rPr>
            </w:pPr>
            <w:r>
              <w:rPr>
                <w:rFonts w:hint="eastAsia" w:ascii="华文楷体" w:hAnsi="华文楷体" w:eastAsia="华文楷体" w:cs="宋体"/>
                <w:color w:val="auto"/>
                <w:sz w:val="18"/>
                <w:szCs w:val="21"/>
                <w:highlight w:val="none"/>
                <w:lang w:val="en-US" w:eastAsia="zh-CN"/>
              </w:rPr>
              <w:t>5套</w:t>
            </w:r>
          </w:p>
        </w:tc>
        <w:tc>
          <w:tcPr>
            <w:tcW w:w="1808" w:type="dxa"/>
            <w:vAlign w:val="center"/>
          </w:tcPr>
          <w:p w14:paraId="11528B54">
            <w:pPr>
              <w:jc w:val="center"/>
              <w:rPr>
                <w:rFonts w:ascii="华文楷体" w:hAnsi="华文楷体" w:eastAsia="华文楷体" w:cs="宋体"/>
                <w:color w:val="auto"/>
                <w:sz w:val="18"/>
                <w:szCs w:val="21"/>
                <w:highlight w:val="none"/>
              </w:rPr>
            </w:pPr>
            <w:r>
              <w:rPr>
                <w:rFonts w:hint="eastAsia" w:ascii="华文楷体" w:hAnsi="华文楷体" w:eastAsia="华文楷体" w:cs="宋体"/>
                <w:b w:val="0"/>
                <w:bCs w:val="0"/>
                <w:color w:val="auto"/>
                <w:kern w:val="2"/>
                <w:sz w:val="21"/>
                <w:szCs w:val="32"/>
                <w:highlight w:val="none"/>
                <w:lang w:eastAsia="zh-CN"/>
              </w:rPr>
              <w:t>密封面（圈）</w:t>
            </w:r>
          </w:p>
        </w:tc>
      </w:tr>
      <w:tr w14:paraId="5AE2E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Align w:val="center"/>
          </w:tcPr>
          <w:p w14:paraId="61656114">
            <w:pPr>
              <w:jc w:val="center"/>
              <w:rPr>
                <w:rFonts w:hint="default" w:ascii="华文楷体" w:hAnsi="华文楷体" w:eastAsia="华文楷体" w:cs="宋体"/>
                <w:color w:val="auto"/>
                <w:sz w:val="18"/>
                <w:szCs w:val="21"/>
                <w:highlight w:val="none"/>
                <w:lang w:val="en-US" w:eastAsia="zh-CN"/>
              </w:rPr>
            </w:pPr>
            <w:r>
              <w:rPr>
                <w:rFonts w:hint="eastAsia" w:ascii="华文楷体" w:hAnsi="华文楷体" w:eastAsia="华文楷体" w:cs="宋体"/>
                <w:color w:val="auto"/>
                <w:sz w:val="18"/>
                <w:szCs w:val="21"/>
                <w:highlight w:val="none"/>
                <w:lang w:val="en-US" w:eastAsia="zh-CN"/>
              </w:rPr>
              <w:t>10</w:t>
            </w:r>
          </w:p>
        </w:tc>
        <w:tc>
          <w:tcPr>
            <w:tcW w:w="1661" w:type="dxa"/>
            <w:shd w:val="clear" w:color="auto" w:fill="auto"/>
            <w:vAlign w:val="center"/>
          </w:tcPr>
          <w:p w14:paraId="5B16F893">
            <w:pPr>
              <w:jc w:val="left"/>
              <w:rPr>
                <w:rFonts w:hint="eastAsia" w:ascii="华文楷体" w:hAnsi="华文楷体" w:eastAsia="华文楷体" w:cs="宋体"/>
                <w:color w:val="auto"/>
                <w:kern w:val="2"/>
                <w:sz w:val="21"/>
                <w:szCs w:val="32"/>
                <w:highlight w:val="none"/>
                <w:lang w:val="en-US" w:eastAsia="zh-CN" w:bidi="ar-SA"/>
              </w:rPr>
            </w:pPr>
            <w:r>
              <w:rPr>
                <w:rFonts w:hint="eastAsia" w:ascii="华文楷体" w:hAnsi="华文楷体" w:eastAsia="华文楷体" w:cs="宋体"/>
                <w:color w:val="auto"/>
                <w:szCs w:val="32"/>
                <w:highlight w:val="none"/>
              </w:rPr>
              <w:t>阻火呼吸阀（物资编码</w:t>
            </w:r>
            <w:r>
              <w:rPr>
                <w:rFonts w:ascii="华文楷体" w:hAnsi="华文楷体" w:eastAsia="华文楷体" w:cs="宋体"/>
                <w:color w:val="auto"/>
                <w:szCs w:val="32"/>
                <w:highlight w:val="none"/>
              </w:rPr>
              <w:t>1000655281</w:t>
            </w:r>
            <w:r>
              <w:rPr>
                <w:rFonts w:hint="eastAsia" w:ascii="华文楷体" w:hAnsi="华文楷体" w:eastAsia="华文楷体" w:cs="宋体"/>
                <w:color w:val="auto"/>
                <w:szCs w:val="32"/>
                <w:highlight w:val="none"/>
              </w:rPr>
              <w:t>）</w:t>
            </w:r>
          </w:p>
        </w:tc>
        <w:tc>
          <w:tcPr>
            <w:tcW w:w="1883" w:type="dxa"/>
            <w:shd w:val="clear" w:color="auto" w:fill="auto"/>
            <w:vAlign w:val="center"/>
          </w:tcPr>
          <w:p w14:paraId="184611DA">
            <w:pPr>
              <w:jc w:val="center"/>
              <w:rPr>
                <w:rFonts w:ascii="华文楷体" w:hAnsi="华文楷体" w:eastAsia="华文楷体" w:cs="宋体"/>
                <w:color w:val="auto"/>
                <w:kern w:val="2"/>
                <w:sz w:val="21"/>
                <w:szCs w:val="32"/>
                <w:highlight w:val="none"/>
                <w:lang w:val="en-US" w:eastAsia="zh-CN" w:bidi="ar-SA"/>
              </w:rPr>
            </w:pPr>
            <w:r>
              <w:rPr>
                <w:rFonts w:ascii="华文楷体" w:hAnsi="华文楷体" w:eastAsia="华文楷体" w:cs="宋体"/>
                <w:color w:val="auto"/>
                <w:szCs w:val="32"/>
                <w:highlight w:val="none"/>
              </w:rPr>
              <w:t>DN200/150L</w:t>
            </w:r>
            <w:r>
              <w:rPr>
                <w:rFonts w:hint="eastAsia" w:ascii="华文楷体" w:hAnsi="华文楷体" w:eastAsia="华文楷体" w:cs="宋体"/>
                <w:color w:val="auto"/>
                <w:szCs w:val="32"/>
                <w:highlight w:val="none"/>
              </w:rPr>
              <w:t>b</w:t>
            </w:r>
          </w:p>
        </w:tc>
        <w:tc>
          <w:tcPr>
            <w:tcW w:w="2347" w:type="dxa"/>
            <w:vAlign w:val="center"/>
          </w:tcPr>
          <w:p w14:paraId="0FA3F7E9">
            <w:pPr>
              <w:jc w:val="center"/>
              <w:rPr>
                <w:rFonts w:hint="eastAsia" w:ascii="华文楷体" w:hAnsi="华文楷体" w:eastAsia="华文楷体" w:cs="宋体"/>
                <w:color w:val="auto"/>
                <w:sz w:val="21"/>
                <w:szCs w:val="32"/>
                <w:highlight w:val="none"/>
              </w:rPr>
            </w:pPr>
            <w:r>
              <w:rPr>
                <w:rFonts w:hint="eastAsia" w:ascii="华文楷体" w:hAnsi="华文楷体" w:eastAsia="华文楷体" w:cs="宋体"/>
                <w:b w:val="0"/>
                <w:bCs w:val="0"/>
                <w:color w:val="auto"/>
                <w:kern w:val="2"/>
                <w:sz w:val="21"/>
                <w:szCs w:val="32"/>
                <w:highlight w:val="none"/>
                <w:lang w:val="en-US" w:eastAsia="zh-CN"/>
              </w:rPr>
              <w:t>聚全氟乙丙烯（FEP）</w:t>
            </w:r>
          </w:p>
        </w:tc>
        <w:tc>
          <w:tcPr>
            <w:tcW w:w="913" w:type="dxa"/>
            <w:vAlign w:val="center"/>
          </w:tcPr>
          <w:p w14:paraId="2F1CC0B8">
            <w:pPr>
              <w:jc w:val="center"/>
              <w:rPr>
                <w:rFonts w:hint="default" w:ascii="华文楷体" w:hAnsi="华文楷体" w:eastAsia="华文楷体" w:cs="宋体"/>
                <w:color w:val="auto"/>
                <w:sz w:val="18"/>
                <w:szCs w:val="21"/>
                <w:highlight w:val="none"/>
                <w:lang w:val="en-US" w:eastAsia="zh-CN"/>
              </w:rPr>
            </w:pPr>
            <w:r>
              <w:rPr>
                <w:rFonts w:hint="eastAsia" w:ascii="华文楷体" w:hAnsi="华文楷体" w:eastAsia="华文楷体" w:cs="宋体"/>
                <w:color w:val="auto"/>
                <w:sz w:val="18"/>
                <w:szCs w:val="21"/>
                <w:highlight w:val="none"/>
                <w:lang w:val="en-US" w:eastAsia="zh-CN"/>
              </w:rPr>
              <w:t>2套</w:t>
            </w:r>
          </w:p>
        </w:tc>
        <w:tc>
          <w:tcPr>
            <w:tcW w:w="1808" w:type="dxa"/>
            <w:vAlign w:val="center"/>
          </w:tcPr>
          <w:p w14:paraId="6D4064CD">
            <w:pPr>
              <w:jc w:val="center"/>
              <w:rPr>
                <w:rFonts w:ascii="华文楷体" w:hAnsi="华文楷体" w:eastAsia="华文楷体" w:cs="宋体"/>
                <w:color w:val="auto"/>
                <w:sz w:val="18"/>
                <w:szCs w:val="21"/>
                <w:highlight w:val="none"/>
              </w:rPr>
            </w:pPr>
            <w:r>
              <w:rPr>
                <w:rFonts w:hint="eastAsia" w:ascii="华文楷体" w:hAnsi="华文楷体" w:eastAsia="华文楷体" w:cs="宋体"/>
                <w:b w:val="0"/>
                <w:bCs w:val="0"/>
                <w:color w:val="auto"/>
                <w:kern w:val="2"/>
                <w:sz w:val="21"/>
                <w:szCs w:val="32"/>
                <w:highlight w:val="none"/>
                <w:lang w:eastAsia="zh-CN"/>
              </w:rPr>
              <w:t>密封面（圈）</w:t>
            </w:r>
          </w:p>
        </w:tc>
      </w:tr>
      <w:tr w14:paraId="07CBF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Align w:val="center"/>
          </w:tcPr>
          <w:p w14:paraId="54A92305">
            <w:pPr>
              <w:jc w:val="center"/>
              <w:rPr>
                <w:rFonts w:hint="default" w:ascii="华文楷体" w:hAnsi="华文楷体" w:eastAsia="华文楷体" w:cs="宋体"/>
                <w:color w:val="auto"/>
                <w:sz w:val="18"/>
                <w:szCs w:val="21"/>
                <w:highlight w:val="none"/>
                <w:lang w:val="en-US" w:eastAsia="zh-CN"/>
              </w:rPr>
            </w:pPr>
            <w:r>
              <w:rPr>
                <w:rFonts w:hint="eastAsia" w:ascii="华文楷体" w:hAnsi="华文楷体" w:eastAsia="华文楷体" w:cs="宋体"/>
                <w:color w:val="auto"/>
                <w:sz w:val="18"/>
                <w:szCs w:val="21"/>
                <w:highlight w:val="none"/>
                <w:lang w:val="en-US" w:eastAsia="zh-CN"/>
              </w:rPr>
              <w:t>11</w:t>
            </w:r>
          </w:p>
        </w:tc>
        <w:tc>
          <w:tcPr>
            <w:tcW w:w="1661" w:type="dxa"/>
            <w:shd w:val="clear" w:color="auto" w:fill="auto"/>
            <w:vAlign w:val="center"/>
          </w:tcPr>
          <w:p w14:paraId="7F2B7DA4">
            <w:pPr>
              <w:jc w:val="left"/>
              <w:rPr>
                <w:rFonts w:hint="eastAsia" w:ascii="华文楷体" w:hAnsi="华文楷体" w:eastAsia="华文楷体" w:cs="宋体"/>
                <w:color w:val="auto"/>
                <w:kern w:val="2"/>
                <w:sz w:val="21"/>
                <w:szCs w:val="32"/>
                <w:highlight w:val="none"/>
                <w:lang w:val="en-US" w:eastAsia="zh-CN" w:bidi="ar-SA"/>
              </w:rPr>
            </w:pPr>
            <w:r>
              <w:rPr>
                <w:rFonts w:hint="eastAsia" w:ascii="华文楷体" w:hAnsi="华文楷体" w:eastAsia="华文楷体" w:cs="宋体"/>
                <w:color w:val="auto"/>
                <w:szCs w:val="32"/>
                <w:highlight w:val="none"/>
              </w:rPr>
              <w:t>阻火呼吸阀（物资编码</w:t>
            </w:r>
            <w:r>
              <w:rPr>
                <w:rFonts w:ascii="华文楷体" w:hAnsi="华文楷体" w:eastAsia="华文楷体" w:cs="宋体"/>
                <w:color w:val="auto"/>
                <w:szCs w:val="32"/>
                <w:highlight w:val="none"/>
              </w:rPr>
              <w:t>1000655280</w:t>
            </w:r>
            <w:r>
              <w:rPr>
                <w:rFonts w:hint="eastAsia" w:ascii="华文楷体" w:hAnsi="华文楷体" w:eastAsia="华文楷体" w:cs="宋体"/>
                <w:color w:val="auto"/>
                <w:szCs w:val="32"/>
                <w:highlight w:val="none"/>
              </w:rPr>
              <w:t>）</w:t>
            </w:r>
          </w:p>
        </w:tc>
        <w:tc>
          <w:tcPr>
            <w:tcW w:w="1883" w:type="dxa"/>
            <w:shd w:val="clear" w:color="auto" w:fill="auto"/>
            <w:vAlign w:val="center"/>
          </w:tcPr>
          <w:p w14:paraId="068170CA">
            <w:pPr>
              <w:jc w:val="center"/>
              <w:rPr>
                <w:rFonts w:ascii="华文楷体" w:hAnsi="华文楷体" w:eastAsia="华文楷体" w:cs="宋体"/>
                <w:color w:val="auto"/>
                <w:kern w:val="2"/>
                <w:sz w:val="21"/>
                <w:szCs w:val="32"/>
                <w:highlight w:val="none"/>
                <w:lang w:val="en-US" w:eastAsia="zh-CN" w:bidi="ar-SA"/>
              </w:rPr>
            </w:pPr>
            <w:r>
              <w:rPr>
                <w:rFonts w:ascii="华文楷体" w:hAnsi="华文楷体" w:eastAsia="华文楷体" w:cs="宋体"/>
                <w:color w:val="auto"/>
                <w:szCs w:val="32"/>
                <w:highlight w:val="none"/>
              </w:rPr>
              <w:t>DN50/150L</w:t>
            </w:r>
            <w:r>
              <w:rPr>
                <w:rFonts w:hint="eastAsia" w:ascii="华文楷体" w:hAnsi="华文楷体" w:eastAsia="华文楷体" w:cs="宋体"/>
                <w:color w:val="auto"/>
                <w:szCs w:val="32"/>
                <w:highlight w:val="none"/>
              </w:rPr>
              <w:t>b</w:t>
            </w:r>
          </w:p>
        </w:tc>
        <w:tc>
          <w:tcPr>
            <w:tcW w:w="2347" w:type="dxa"/>
            <w:vAlign w:val="center"/>
          </w:tcPr>
          <w:p w14:paraId="74F0E997">
            <w:pPr>
              <w:jc w:val="center"/>
              <w:rPr>
                <w:rFonts w:hint="eastAsia" w:ascii="华文楷体" w:hAnsi="华文楷体" w:eastAsia="华文楷体" w:cs="宋体"/>
                <w:color w:val="auto"/>
                <w:sz w:val="21"/>
                <w:szCs w:val="32"/>
                <w:highlight w:val="none"/>
              </w:rPr>
            </w:pPr>
            <w:r>
              <w:rPr>
                <w:rFonts w:hint="eastAsia" w:ascii="华文楷体" w:hAnsi="华文楷体" w:eastAsia="华文楷体" w:cs="宋体"/>
                <w:b w:val="0"/>
                <w:bCs w:val="0"/>
                <w:color w:val="auto"/>
                <w:kern w:val="2"/>
                <w:sz w:val="21"/>
                <w:szCs w:val="32"/>
                <w:highlight w:val="none"/>
                <w:lang w:val="en-US" w:eastAsia="zh-CN"/>
              </w:rPr>
              <w:t>聚全氟乙丙烯（FEP）</w:t>
            </w:r>
          </w:p>
        </w:tc>
        <w:tc>
          <w:tcPr>
            <w:tcW w:w="913" w:type="dxa"/>
            <w:vAlign w:val="center"/>
          </w:tcPr>
          <w:p w14:paraId="0A060165">
            <w:pPr>
              <w:jc w:val="center"/>
              <w:rPr>
                <w:rFonts w:hint="eastAsia" w:ascii="华文楷体" w:hAnsi="华文楷体" w:eastAsia="华文楷体" w:cs="宋体"/>
                <w:color w:val="auto"/>
                <w:sz w:val="18"/>
                <w:szCs w:val="21"/>
                <w:highlight w:val="none"/>
              </w:rPr>
            </w:pPr>
            <w:r>
              <w:rPr>
                <w:rFonts w:hint="eastAsia" w:ascii="华文楷体" w:hAnsi="华文楷体" w:eastAsia="华文楷体" w:cs="宋体"/>
                <w:color w:val="auto"/>
                <w:sz w:val="18"/>
                <w:szCs w:val="21"/>
                <w:highlight w:val="none"/>
                <w:lang w:val="en-US" w:eastAsia="zh-CN"/>
              </w:rPr>
              <w:t>1套</w:t>
            </w:r>
          </w:p>
        </w:tc>
        <w:tc>
          <w:tcPr>
            <w:tcW w:w="1808" w:type="dxa"/>
            <w:vAlign w:val="center"/>
          </w:tcPr>
          <w:p w14:paraId="2B7776C9">
            <w:pPr>
              <w:jc w:val="center"/>
              <w:rPr>
                <w:rFonts w:ascii="华文楷体" w:hAnsi="华文楷体" w:eastAsia="华文楷体" w:cs="宋体"/>
                <w:color w:val="auto"/>
                <w:sz w:val="18"/>
                <w:szCs w:val="21"/>
                <w:highlight w:val="none"/>
              </w:rPr>
            </w:pPr>
            <w:r>
              <w:rPr>
                <w:rFonts w:hint="eastAsia" w:ascii="华文楷体" w:hAnsi="华文楷体" w:eastAsia="华文楷体" w:cs="宋体"/>
                <w:b w:val="0"/>
                <w:bCs w:val="0"/>
                <w:color w:val="auto"/>
                <w:kern w:val="2"/>
                <w:sz w:val="21"/>
                <w:szCs w:val="32"/>
                <w:highlight w:val="none"/>
                <w:lang w:eastAsia="zh-CN"/>
              </w:rPr>
              <w:t>密封面（圈）</w:t>
            </w:r>
          </w:p>
        </w:tc>
      </w:tr>
      <w:tr w14:paraId="78599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Align w:val="center"/>
          </w:tcPr>
          <w:p w14:paraId="144F9385">
            <w:pPr>
              <w:jc w:val="center"/>
              <w:rPr>
                <w:rFonts w:hint="default" w:ascii="华文楷体" w:hAnsi="华文楷体" w:eastAsia="华文楷体" w:cs="宋体"/>
                <w:color w:val="auto"/>
                <w:sz w:val="18"/>
                <w:szCs w:val="21"/>
                <w:highlight w:val="none"/>
                <w:lang w:val="en-US" w:eastAsia="zh-CN"/>
              </w:rPr>
            </w:pPr>
            <w:r>
              <w:rPr>
                <w:rFonts w:hint="eastAsia" w:ascii="华文楷体" w:hAnsi="华文楷体" w:eastAsia="华文楷体" w:cs="宋体"/>
                <w:color w:val="auto"/>
                <w:sz w:val="18"/>
                <w:szCs w:val="21"/>
                <w:highlight w:val="none"/>
                <w:lang w:val="en-US" w:eastAsia="zh-CN"/>
              </w:rPr>
              <w:t>12</w:t>
            </w:r>
          </w:p>
        </w:tc>
        <w:tc>
          <w:tcPr>
            <w:tcW w:w="1661" w:type="dxa"/>
            <w:shd w:val="clear" w:color="auto" w:fill="auto"/>
            <w:vAlign w:val="center"/>
          </w:tcPr>
          <w:p w14:paraId="36FCAC84">
            <w:pPr>
              <w:jc w:val="left"/>
              <w:rPr>
                <w:rFonts w:hint="eastAsia" w:ascii="华文楷体" w:hAnsi="华文楷体" w:eastAsia="华文楷体" w:cs="宋体"/>
                <w:color w:val="auto"/>
                <w:kern w:val="2"/>
                <w:sz w:val="21"/>
                <w:szCs w:val="32"/>
                <w:highlight w:val="none"/>
                <w:lang w:val="en-US" w:eastAsia="zh-CN" w:bidi="ar-SA"/>
              </w:rPr>
            </w:pPr>
            <w:r>
              <w:rPr>
                <w:rFonts w:hint="eastAsia" w:ascii="华文楷体" w:hAnsi="华文楷体" w:eastAsia="华文楷体" w:cs="宋体"/>
                <w:color w:val="auto"/>
                <w:szCs w:val="32"/>
                <w:highlight w:val="none"/>
              </w:rPr>
              <w:t>阻火呼吸阀（物资编码</w:t>
            </w:r>
            <w:r>
              <w:rPr>
                <w:rFonts w:ascii="华文楷体" w:hAnsi="华文楷体" w:eastAsia="华文楷体" w:cs="宋体"/>
                <w:color w:val="auto"/>
                <w:szCs w:val="32"/>
                <w:highlight w:val="none"/>
              </w:rPr>
              <w:t>1000655278</w:t>
            </w:r>
            <w:r>
              <w:rPr>
                <w:rFonts w:hint="eastAsia" w:ascii="华文楷体" w:hAnsi="华文楷体" w:eastAsia="华文楷体" w:cs="宋体"/>
                <w:color w:val="auto"/>
                <w:szCs w:val="32"/>
                <w:highlight w:val="none"/>
              </w:rPr>
              <w:t>）</w:t>
            </w:r>
          </w:p>
        </w:tc>
        <w:tc>
          <w:tcPr>
            <w:tcW w:w="1883" w:type="dxa"/>
            <w:shd w:val="clear" w:color="auto" w:fill="auto"/>
            <w:vAlign w:val="center"/>
          </w:tcPr>
          <w:p w14:paraId="12C86BEC">
            <w:pPr>
              <w:jc w:val="center"/>
              <w:rPr>
                <w:rFonts w:ascii="华文楷体" w:hAnsi="华文楷体" w:eastAsia="华文楷体" w:cs="宋体"/>
                <w:color w:val="auto"/>
                <w:kern w:val="2"/>
                <w:sz w:val="21"/>
                <w:szCs w:val="32"/>
                <w:highlight w:val="none"/>
                <w:lang w:val="en-US" w:eastAsia="zh-CN" w:bidi="ar-SA"/>
              </w:rPr>
            </w:pPr>
            <w:r>
              <w:rPr>
                <w:rFonts w:ascii="华文楷体" w:hAnsi="华文楷体" w:eastAsia="华文楷体" w:cs="宋体"/>
                <w:color w:val="auto"/>
                <w:szCs w:val="32"/>
                <w:highlight w:val="none"/>
              </w:rPr>
              <w:t>DN150/150L</w:t>
            </w:r>
            <w:r>
              <w:rPr>
                <w:rFonts w:hint="eastAsia" w:ascii="华文楷体" w:hAnsi="华文楷体" w:eastAsia="华文楷体" w:cs="宋体"/>
                <w:color w:val="auto"/>
                <w:szCs w:val="32"/>
                <w:highlight w:val="none"/>
              </w:rPr>
              <w:t>b</w:t>
            </w:r>
          </w:p>
        </w:tc>
        <w:tc>
          <w:tcPr>
            <w:tcW w:w="2347" w:type="dxa"/>
            <w:vAlign w:val="center"/>
          </w:tcPr>
          <w:p w14:paraId="648007E0">
            <w:pPr>
              <w:jc w:val="center"/>
              <w:rPr>
                <w:rFonts w:hint="eastAsia" w:ascii="华文楷体" w:hAnsi="华文楷体" w:eastAsia="华文楷体" w:cs="宋体"/>
                <w:color w:val="auto"/>
                <w:sz w:val="21"/>
                <w:szCs w:val="32"/>
                <w:highlight w:val="none"/>
              </w:rPr>
            </w:pPr>
            <w:r>
              <w:rPr>
                <w:rFonts w:hint="eastAsia" w:ascii="华文楷体" w:hAnsi="华文楷体" w:eastAsia="华文楷体" w:cs="宋体"/>
                <w:b w:val="0"/>
                <w:bCs w:val="0"/>
                <w:color w:val="auto"/>
                <w:kern w:val="2"/>
                <w:sz w:val="21"/>
                <w:szCs w:val="32"/>
                <w:highlight w:val="none"/>
                <w:lang w:val="en-US" w:eastAsia="zh-CN"/>
              </w:rPr>
              <w:t>聚全氟乙丙烯（FEP）</w:t>
            </w:r>
          </w:p>
        </w:tc>
        <w:tc>
          <w:tcPr>
            <w:tcW w:w="913" w:type="dxa"/>
            <w:vAlign w:val="center"/>
          </w:tcPr>
          <w:p w14:paraId="797D6B32">
            <w:pPr>
              <w:jc w:val="center"/>
              <w:rPr>
                <w:rFonts w:hint="eastAsia" w:ascii="华文楷体" w:hAnsi="华文楷体" w:eastAsia="华文楷体" w:cs="宋体"/>
                <w:color w:val="auto"/>
                <w:sz w:val="18"/>
                <w:szCs w:val="21"/>
                <w:highlight w:val="none"/>
              </w:rPr>
            </w:pPr>
            <w:r>
              <w:rPr>
                <w:rFonts w:hint="eastAsia" w:ascii="华文楷体" w:hAnsi="华文楷体" w:eastAsia="华文楷体" w:cs="宋体"/>
                <w:color w:val="auto"/>
                <w:sz w:val="18"/>
                <w:szCs w:val="21"/>
                <w:highlight w:val="none"/>
                <w:lang w:val="en-US" w:eastAsia="zh-CN"/>
              </w:rPr>
              <w:t>1套</w:t>
            </w:r>
          </w:p>
        </w:tc>
        <w:tc>
          <w:tcPr>
            <w:tcW w:w="1808" w:type="dxa"/>
            <w:vAlign w:val="center"/>
          </w:tcPr>
          <w:p w14:paraId="1E1F4E2E">
            <w:pPr>
              <w:jc w:val="center"/>
              <w:rPr>
                <w:rFonts w:ascii="华文楷体" w:hAnsi="华文楷体" w:eastAsia="华文楷体" w:cs="宋体"/>
                <w:color w:val="auto"/>
                <w:sz w:val="18"/>
                <w:szCs w:val="21"/>
                <w:highlight w:val="none"/>
              </w:rPr>
            </w:pPr>
            <w:r>
              <w:rPr>
                <w:rFonts w:hint="eastAsia" w:ascii="华文楷体" w:hAnsi="华文楷体" w:eastAsia="华文楷体" w:cs="宋体"/>
                <w:b w:val="0"/>
                <w:bCs w:val="0"/>
                <w:color w:val="auto"/>
                <w:kern w:val="2"/>
                <w:sz w:val="21"/>
                <w:szCs w:val="32"/>
                <w:highlight w:val="none"/>
                <w:lang w:eastAsia="zh-CN"/>
              </w:rPr>
              <w:t>密封面（圈）</w:t>
            </w:r>
          </w:p>
        </w:tc>
      </w:tr>
    </w:tbl>
    <w:p w14:paraId="4FE287AD">
      <w:pPr>
        <w:pStyle w:val="3"/>
        <w:spacing w:line="360" w:lineRule="auto"/>
        <w:outlineLvl w:val="0"/>
        <w:rPr>
          <w:rFonts w:hint="default" w:ascii="宋体" w:hAnsi="宋体" w:eastAsia="宋体" w:cs="Times New Roman"/>
          <w:b w:val="0"/>
          <w:bCs w:val="0"/>
          <w:color w:val="auto"/>
          <w:kern w:val="2"/>
          <w:sz w:val="24"/>
          <w:highlight w:val="none"/>
        </w:rPr>
      </w:pPr>
    </w:p>
    <w:p w14:paraId="0D3902B3">
      <w:pPr>
        <w:pStyle w:val="3"/>
        <w:keepNext w:val="0"/>
        <w:keepLines w:val="0"/>
        <w:pageBreakBefore w:val="0"/>
        <w:widowControl w:val="0"/>
        <w:kinsoku/>
        <w:wordWrap/>
        <w:overflowPunct/>
        <w:topLinePunct w:val="0"/>
        <w:autoSpaceDE/>
        <w:autoSpaceDN/>
        <w:bidi w:val="0"/>
        <w:adjustRightInd/>
        <w:snapToGrid/>
        <w:jc w:val="both"/>
        <w:textAlignment w:val="auto"/>
        <w:rPr>
          <w:rFonts w:hint="eastAsia" w:ascii="宋体" w:hAnsi="宋体" w:eastAsia="宋体" w:cs="Times New Roman"/>
          <w:b w:val="0"/>
          <w:color w:val="auto"/>
          <w:sz w:val="24"/>
          <w:szCs w:val="24"/>
          <w:highlight w:val="none"/>
          <w:lang w:eastAsia="zh-CN"/>
        </w:rPr>
      </w:pPr>
      <w:r>
        <w:rPr>
          <w:rFonts w:hint="eastAsia" w:ascii="宋体" w:hAnsi="宋体" w:eastAsia="宋体" w:cs="Times New Roman"/>
          <w:b w:val="0"/>
          <w:bCs w:val="0"/>
          <w:color w:val="auto"/>
          <w:kern w:val="2"/>
          <w:sz w:val="24"/>
          <w:highlight w:val="none"/>
          <w:lang w:val="en-US" w:eastAsia="zh-CN"/>
        </w:rPr>
        <w:t>4.1.2.</w:t>
      </w:r>
      <w:r>
        <w:rPr>
          <w:rFonts w:hint="eastAsia" w:ascii="宋体" w:eastAsia="宋体" w:cs="Times New Roman"/>
          <w:b w:val="0"/>
          <w:bCs w:val="0"/>
          <w:color w:val="auto"/>
          <w:kern w:val="2"/>
          <w:sz w:val="24"/>
          <w:highlight w:val="none"/>
          <w:lang w:val="en-US" w:eastAsia="zh-CN"/>
        </w:rPr>
        <w:t>2</w:t>
      </w:r>
      <w:r>
        <w:rPr>
          <w:rFonts w:hint="eastAsia" w:ascii="宋体" w:hAnsi="宋体" w:eastAsia="宋体" w:cs="Times New Roman"/>
          <w:b w:val="0"/>
          <w:color w:val="auto"/>
          <w:sz w:val="24"/>
          <w:szCs w:val="24"/>
          <w:highlight w:val="none"/>
          <w:lang w:eastAsia="zh-CN"/>
        </w:rPr>
        <w:t>紧急泄放阀</w:t>
      </w:r>
      <w:r>
        <w:rPr>
          <w:rFonts w:hint="eastAsia" w:ascii="宋体" w:hAnsi="宋体" w:eastAsia="宋体" w:cs="Times New Roman"/>
          <w:b w:val="0"/>
          <w:bCs w:val="0"/>
          <w:color w:val="auto"/>
          <w:kern w:val="2"/>
          <w:sz w:val="24"/>
          <w:highlight w:val="none"/>
          <w:lang w:eastAsia="zh-CN"/>
        </w:rPr>
        <w:t>密封面（圈）</w:t>
      </w:r>
      <w:r>
        <w:rPr>
          <w:rFonts w:hint="eastAsia" w:ascii="宋体" w:hAnsi="宋体" w:eastAsia="宋体" w:cs="Times New Roman"/>
          <w:b w:val="0"/>
          <w:bCs w:val="0"/>
          <w:color w:val="auto"/>
          <w:kern w:val="2"/>
          <w:sz w:val="24"/>
          <w:highlight w:val="none"/>
          <w:lang w:val="en-US" w:eastAsia="zh-CN"/>
        </w:rPr>
        <w:t>若采用聚全氟乙丙烯（FEP）</w:t>
      </w:r>
      <w:r>
        <w:rPr>
          <w:rFonts w:hint="eastAsia" w:ascii="宋体" w:eastAsia="宋体" w:cs="Times New Roman"/>
          <w:b w:val="0"/>
          <w:bCs w:val="0"/>
          <w:color w:val="auto"/>
          <w:kern w:val="2"/>
          <w:sz w:val="24"/>
          <w:highlight w:val="none"/>
          <w:lang w:val="en-US" w:eastAsia="zh-CN"/>
        </w:rPr>
        <w:t>,则提供以下备品</w:t>
      </w:r>
      <w:r>
        <w:rPr>
          <w:rFonts w:hint="eastAsia" w:ascii="宋体" w:hAnsi="宋体" w:eastAsia="宋体" w:cs="Times New Roman"/>
          <w:b w:val="0"/>
          <w:bCs w:val="0"/>
          <w:color w:val="auto"/>
          <w:kern w:val="2"/>
          <w:sz w:val="24"/>
          <w:highlight w:val="none"/>
          <w:lang w:eastAsia="zh-CN"/>
        </w:rPr>
        <w:t>。</w:t>
      </w:r>
    </w:p>
    <w:tbl>
      <w:tblPr>
        <w:tblStyle w:val="8"/>
        <w:tblW w:w="92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1661"/>
        <w:gridCol w:w="1883"/>
        <w:gridCol w:w="2347"/>
        <w:gridCol w:w="913"/>
        <w:gridCol w:w="1808"/>
      </w:tblGrid>
      <w:tr w14:paraId="76AA56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Align w:val="center"/>
          </w:tcPr>
          <w:p w14:paraId="766D74D7">
            <w:pPr>
              <w:jc w:val="center"/>
              <w:rPr>
                <w:rFonts w:ascii="华文楷体" w:hAnsi="华文楷体" w:eastAsia="华文楷体" w:cs="宋体"/>
                <w:color w:val="auto"/>
                <w:sz w:val="18"/>
                <w:highlight w:val="none"/>
              </w:rPr>
            </w:pPr>
            <w:r>
              <w:rPr>
                <w:rFonts w:hint="eastAsia" w:ascii="华文楷体" w:hAnsi="华文楷体" w:eastAsia="华文楷体" w:cs="宋体"/>
                <w:color w:val="auto"/>
                <w:sz w:val="18"/>
                <w:highlight w:val="none"/>
              </w:rPr>
              <w:t>序号</w:t>
            </w:r>
          </w:p>
        </w:tc>
        <w:tc>
          <w:tcPr>
            <w:tcW w:w="1661" w:type="dxa"/>
            <w:vAlign w:val="center"/>
          </w:tcPr>
          <w:p w14:paraId="393C83CA">
            <w:pPr>
              <w:jc w:val="center"/>
              <w:rPr>
                <w:rFonts w:ascii="华文楷体" w:hAnsi="华文楷体" w:eastAsia="华文楷体" w:cs="宋体"/>
                <w:color w:val="auto"/>
                <w:sz w:val="18"/>
                <w:highlight w:val="none"/>
              </w:rPr>
            </w:pPr>
            <w:r>
              <w:rPr>
                <w:rFonts w:hint="eastAsia" w:ascii="华文楷体" w:hAnsi="华文楷体" w:eastAsia="华文楷体" w:cs="宋体"/>
                <w:color w:val="auto"/>
                <w:sz w:val="18"/>
                <w:highlight w:val="none"/>
              </w:rPr>
              <w:t>设备名称</w:t>
            </w:r>
          </w:p>
        </w:tc>
        <w:tc>
          <w:tcPr>
            <w:tcW w:w="1883" w:type="dxa"/>
            <w:vAlign w:val="center"/>
          </w:tcPr>
          <w:p w14:paraId="771358F9">
            <w:pPr>
              <w:jc w:val="center"/>
              <w:rPr>
                <w:rFonts w:ascii="华文楷体" w:hAnsi="华文楷体" w:eastAsia="华文楷体" w:cs="宋体"/>
                <w:color w:val="auto"/>
                <w:sz w:val="18"/>
                <w:highlight w:val="none"/>
              </w:rPr>
            </w:pPr>
            <w:r>
              <w:rPr>
                <w:rFonts w:hint="eastAsia" w:ascii="华文楷体" w:hAnsi="华文楷体" w:eastAsia="华文楷体" w:cs="宋体"/>
                <w:color w:val="auto"/>
                <w:sz w:val="18"/>
                <w:highlight w:val="none"/>
              </w:rPr>
              <w:t>规格型号</w:t>
            </w:r>
          </w:p>
        </w:tc>
        <w:tc>
          <w:tcPr>
            <w:tcW w:w="2347" w:type="dxa"/>
            <w:vAlign w:val="center"/>
          </w:tcPr>
          <w:p w14:paraId="24BAE382">
            <w:pPr>
              <w:jc w:val="center"/>
              <w:rPr>
                <w:rFonts w:ascii="华文楷体" w:hAnsi="华文楷体" w:eastAsia="华文楷体" w:cs="宋体"/>
                <w:color w:val="auto"/>
                <w:sz w:val="18"/>
                <w:highlight w:val="none"/>
              </w:rPr>
            </w:pPr>
            <w:r>
              <w:rPr>
                <w:rFonts w:hint="eastAsia" w:ascii="华文楷体" w:hAnsi="华文楷体" w:eastAsia="华文楷体" w:cs="宋体"/>
                <w:color w:val="auto"/>
                <w:sz w:val="18"/>
                <w:highlight w:val="none"/>
                <w:lang w:val="en-US" w:eastAsia="zh-CN"/>
              </w:rPr>
              <w:t>密封面</w:t>
            </w:r>
            <w:r>
              <w:rPr>
                <w:rFonts w:hint="eastAsia" w:ascii="华文楷体" w:hAnsi="华文楷体" w:eastAsia="华文楷体" w:cs="宋体"/>
                <w:color w:val="auto"/>
                <w:sz w:val="18"/>
                <w:highlight w:val="none"/>
              </w:rPr>
              <w:t>材质</w:t>
            </w:r>
          </w:p>
        </w:tc>
        <w:tc>
          <w:tcPr>
            <w:tcW w:w="913" w:type="dxa"/>
            <w:vAlign w:val="center"/>
          </w:tcPr>
          <w:p w14:paraId="08D64715">
            <w:pPr>
              <w:jc w:val="center"/>
              <w:rPr>
                <w:rFonts w:ascii="华文楷体" w:hAnsi="华文楷体" w:eastAsia="华文楷体" w:cs="宋体"/>
                <w:color w:val="auto"/>
                <w:sz w:val="18"/>
                <w:highlight w:val="none"/>
              </w:rPr>
            </w:pPr>
            <w:r>
              <w:rPr>
                <w:rFonts w:hint="eastAsia" w:ascii="华文楷体" w:hAnsi="华文楷体" w:eastAsia="华文楷体" w:cs="宋体"/>
                <w:color w:val="auto"/>
                <w:sz w:val="18"/>
                <w:highlight w:val="none"/>
              </w:rPr>
              <w:t>数量</w:t>
            </w:r>
          </w:p>
        </w:tc>
        <w:tc>
          <w:tcPr>
            <w:tcW w:w="1808" w:type="dxa"/>
            <w:vAlign w:val="center"/>
          </w:tcPr>
          <w:p w14:paraId="18ED0886">
            <w:pPr>
              <w:jc w:val="center"/>
              <w:rPr>
                <w:rFonts w:ascii="华文楷体" w:hAnsi="华文楷体" w:eastAsia="华文楷体" w:cs="宋体"/>
                <w:color w:val="auto"/>
                <w:sz w:val="18"/>
                <w:highlight w:val="none"/>
              </w:rPr>
            </w:pPr>
            <w:r>
              <w:rPr>
                <w:rFonts w:hint="eastAsia" w:ascii="华文楷体" w:hAnsi="华文楷体" w:eastAsia="华文楷体" w:cs="宋体"/>
                <w:color w:val="auto"/>
                <w:sz w:val="18"/>
                <w:highlight w:val="none"/>
              </w:rPr>
              <w:t>备注</w:t>
            </w:r>
          </w:p>
        </w:tc>
      </w:tr>
      <w:tr w14:paraId="0D17A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Align w:val="center"/>
          </w:tcPr>
          <w:p w14:paraId="394D56CB">
            <w:pPr>
              <w:jc w:val="center"/>
              <w:rPr>
                <w:rFonts w:ascii="华文楷体" w:hAnsi="华文楷体" w:eastAsia="华文楷体" w:cs="宋体"/>
                <w:color w:val="auto"/>
                <w:sz w:val="18"/>
                <w:szCs w:val="21"/>
                <w:highlight w:val="none"/>
              </w:rPr>
            </w:pPr>
            <w:r>
              <w:rPr>
                <w:rFonts w:hint="eastAsia" w:ascii="华文楷体" w:hAnsi="华文楷体" w:eastAsia="华文楷体" w:cs="宋体"/>
                <w:color w:val="auto"/>
                <w:sz w:val="18"/>
                <w:szCs w:val="21"/>
                <w:highlight w:val="none"/>
              </w:rPr>
              <w:t>1</w:t>
            </w:r>
          </w:p>
        </w:tc>
        <w:tc>
          <w:tcPr>
            <w:tcW w:w="1661" w:type="dxa"/>
            <w:vAlign w:val="center"/>
          </w:tcPr>
          <w:p w14:paraId="19DC2046">
            <w:pPr>
              <w:jc w:val="left"/>
              <w:rPr>
                <w:rFonts w:hint="eastAsia" w:ascii="华文楷体" w:hAnsi="华文楷体" w:eastAsia="华文楷体" w:cs="宋体"/>
                <w:color w:val="auto"/>
                <w:kern w:val="0"/>
                <w:sz w:val="18"/>
                <w:szCs w:val="21"/>
                <w:highlight w:val="none"/>
                <w:lang w:eastAsia="zh-CN"/>
              </w:rPr>
            </w:pPr>
            <w:r>
              <w:rPr>
                <w:rFonts w:hint="eastAsia" w:ascii="华文楷体" w:hAnsi="华文楷体" w:eastAsia="华文楷体" w:cs="宋体"/>
                <w:color w:val="auto"/>
                <w:szCs w:val="32"/>
                <w:highlight w:val="none"/>
              </w:rPr>
              <w:t>紧急泄压阀（物资编码</w:t>
            </w:r>
            <w:r>
              <w:rPr>
                <w:rFonts w:ascii="华文楷体" w:hAnsi="华文楷体" w:eastAsia="华文楷体" w:cs="宋体"/>
                <w:color w:val="auto"/>
                <w:szCs w:val="32"/>
                <w:highlight w:val="none"/>
              </w:rPr>
              <w:t>1000655320</w:t>
            </w:r>
            <w:r>
              <w:rPr>
                <w:rFonts w:hint="eastAsia" w:ascii="华文楷体" w:hAnsi="华文楷体" w:eastAsia="华文楷体" w:cs="宋体"/>
                <w:color w:val="auto"/>
                <w:szCs w:val="32"/>
                <w:highlight w:val="none"/>
              </w:rPr>
              <w:t>）</w:t>
            </w:r>
          </w:p>
        </w:tc>
        <w:tc>
          <w:tcPr>
            <w:tcW w:w="1883" w:type="dxa"/>
            <w:vAlign w:val="center"/>
          </w:tcPr>
          <w:p w14:paraId="45BEF4BE">
            <w:pPr>
              <w:jc w:val="center"/>
              <w:rPr>
                <w:rFonts w:ascii="华文楷体" w:hAnsi="华文楷体" w:eastAsia="华文楷体"/>
                <w:color w:val="auto"/>
                <w:sz w:val="18"/>
                <w:highlight w:val="none"/>
              </w:rPr>
            </w:pPr>
            <w:r>
              <w:rPr>
                <w:rFonts w:hint="eastAsia" w:ascii="华文楷体" w:hAnsi="华文楷体" w:eastAsia="华文楷体" w:cs="宋体"/>
                <w:color w:val="auto"/>
                <w:szCs w:val="32"/>
                <w:highlight w:val="none"/>
              </w:rPr>
              <w:t>D</w:t>
            </w:r>
            <w:r>
              <w:rPr>
                <w:rFonts w:ascii="华文楷体" w:hAnsi="华文楷体" w:eastAsia="华文楷体" w:cs="宋体"/>
                <w:color w:val="auto"/>
                <w:szCs w:val="32"/>
                <w:highlight w:val="none"/>
              </w:rPr>
              <w:t>N500/150Lb</w:t>
            </w:r>
          </w:p>
        </w:tc>
        <w:tc>
          <w:tcPr>
            <w:tcW w:w="2347" w:type="dxa"/>
            <w:vAlign w:val="center"/>
          </w:tcPr>
          <w:p w14:paraId="09FCA9FC">
            <w:pPr>
              <w:jc w:val="center"/>
              <w:rPr>
                <w:rFonts w:hint="eastAsia" w:ascii="华文楷体" w:hAnsi="华文楷体" w:eastAsia="华文楷体" w:cs="宋体"/>
                <w:color w:val="auto"/>
                <w:sz w:val="21"/>
                <w:szCs w:val="32"/>
                <w:highlight w:val="none"/>
              </w:rPr>
            </w:pPr>
            <w:r>
              <w:rPr>
                <w:rFonts w:hint="eastAsia" w:ascii="华文楷体" w:hAnsi="华文楷体" w:eastAsia="华文楷体" w:cs="宋体"/>
                <w:b w:val="0"/>
                <w:bCs w:val="0"/>
                <w:color w:val="auto"/>
                <w:kern w:val="2"/>
                <w:sz w:val="21"/>
                <w:szCs w:val="32"/>
                <w:highlight w:val="none"/>
                <w:lang w:val="en-US" w:eastAsia="zh-CN"/>
              </w:rPr>
              <w:t>聚全氟乙丙烯（FEP）</w:t>
            </w:r>
          </w:p>
        </w:tc>
        <w:tc>
          <w:tcPr>
            <w:tcW w:w="913" w:type="dxa"/>
            <w:vAlign w:val="center"/>
          </w:tcPr>
          <w:p w14:paraId="48337168">
            <w:pPr>
              <w:jc w:val="center"/>
              <w:rPr>
                <w:rFonts w:ascii="华文楷体" w:hAnsi="华文楷体" w:eastAsia="华文楷体" w:cs="宋体"/>
                <w:color w:val="auto"/>
                <w:sz w:val="18"/>
                <w:szCs w:val="21"/>
                <w:highlight w:val="none"/>
              </w:rPr>
            </w:pPr>
            <w:r>
              <w:rPr>
                <w:rFonts w:hint="eastAsia" w:ascii="华文楷体" w:hAnsi="华文楷体" w:eastAsia="华文楷体" w:cs="宋体"/>
                <w:color w:val="auto"/>
                <w:sz w:val="18"/>
                <w:szCs w:val="21"/>
                <w:highlight w:val="none"/>
                <w:lang w:val="en-US" w:eastAsia="zh-CN"/>
              </w:rPr>
              <w:t>3</w:t>
            </w:r>
            <w:r>
              <w:rPr>
                <w:rFonts w:hint="eastAsia" w:ascii="华文楷体" w:hAnsi="华文楷体" w:eastAsia="华文楷体" w:cs="宋体"/>
                <w:color w:val="auto"/>
                <w:sz w:val="18"/>
                <w:szCs w:val="21"/>
                <w:highlight w:val="none"/>
              </w:rPr>
              <w:t>套</w:t>
            </w:r>
          </w:p>
        </w:tc>
        <w:tc>
          <w:tcPr>
            <w:tcW w:w="1808" w:type="dxa"/>
            <w:vAlign w:val="center"/>
          </w:tcPr>
          <w:p w14:paraId="4DF59B7B">
            <w:pPr>
              <w:jc w:val="center"/>
              <w:rPr>
                <w:rFonts w:ascii="华文楷体" w:hAnsi="华文楷体" w:eastAsia="华文楷体" w:cs="宋体"/>
                <w:color w:val="auto"/>
                <w:sz w:val="18"/>
                <w:szCs w:val="21"/>
                <w:highlight w:val="none"/>
              </w:rPr>
            </w:pPr>
            <w:r>
              <w:rPr>
                <w:rFonts w:hint="eastAsia" w:ascii="华文楷体" w:hAnsi="华文楷体" w:eastAsia="华文楷体" w:cs="宋体"/>
                <w:b w:val="0"/>
                <w:bCs w:val="0"/>
                <w:color w:val="auto"/>
                <w:kern w:val="2"/>
                <w:sz w:val="21"/>
                <w:szCs w:val="32"/>
                <w:highlight w:val="none"/>
                <w:lang w:eastAsia="zh-CN"/>
              </w:rPr>
              <w:t>密封面（圈）</w:t>
            </w:r>
          </w:p>
        </w:tc>
      </w:tr>
      <w:tr w14:paraId="2FC8B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Align w:val="center"/>
          </w:tcPr>
          <w:p w14:paraId="7EA46958">
            <w:pPr>
              <w:jc w:val="center"/>
              <w:rPr>
                <w:rFonts w:ascii="华文楷体" w:hAnsi="华文楷体" w:eastAsia="华文楷体" w:cs="宋体"/>
                <w:color w:val="auto"/>
                <w:sz w:val="18"/>
                <w:szCs w:val="21"/>
                <w:highlight w:val="none"/>
              </w:rPr>
            </w:pPr>
            <w:r>
              <w:rPr>
                <w:rFonts w:hint="eastAsia" w:ascii="华文楷体" w:hAnsi="华文楷体" w:eastAsia="华文楷体" w:cs="宋体"/>
                <w:color w:val="auto"/>
                <w:sz w:val="18"/>
                <w:szCs w:val="21"/>
                <w:highlight w:val="none"/>
              </w:rPr>
              <w:t>2</w:t>
            </w:r>
          </w:p>
        </w:tc>
        <w:tc>
          <w:tcPr>
            <w:tcW w:w="1661" w:type="dxa"/>
            <w:vAlign w:val="center"/>
          </w:tcPr>
          <w:p w14:paraId="2F405EF7">
            <w:pPr>
              <w:jc w:val="left"/>
              <w:rPr>
                <w:rFonts w:ascii="华文楷体" w:hAnsi="华文楷体" w:eastAsia="华文楷体" w:cs="宋体"/>
                <w:color w:val="auto"/>
                <w:kern w:val="0"/>
                <w:sz w:val="18"/>
                <w:szCs w:val="21"/>
                <w:highlight w:val="none"/>
              </w:rPr>
            </w:pPr>
            <w:r>
              <w:rPr>
                <w:rFonts w:hint="eastAsia" w:ascii="华文楷体" w:hAnsi="华文楷体" w:eastAsia="华文楷体" w:cs="宋体"/>
                <w:color w:val="auto"/>
                <w:szCs w:val="32"/>
                <w:highlight w:val="none"/>
              </w:rPr>
              <w:t>紧急泄压阀（物资编码</w:t>
            </w:r>
            <w:r>
              <w:rPr>
                <w:rFonts w:ascii="华文楷体" w:hAnsi="华文楷体" w:eastAsia="华文楷体" w:cs="宋体"/>
                <w:color w:val="auto"/>
                <w:szCs w:val="32"/>
                <w:highlight w:val="none"/>
              </w:rPr>
              <w:t>1000655319</w:t>
            </w:r>
            <w:r>
              <w:rPr>
                <w:rFonts w:hint="eastAsia" w:ascii="华文楷体" w:hAnsi="华文楷体" w:eastAsia="华文楷体" w:cs="宋体"/>
                <w:color w:val="auto"/>
                <w:szCs w:val="32"/>
                <w:highlight w:val="none"/>
              </w:rPr>
              <w:t>）</w:t>
            </w:r>
          </w:p>
        </w:tc>
        <w:tc>
          <w:tcPr>
            <w:tcW w:w="1883" w:type="dxa"/>
            <w:vAlign w:val="center"/>
          </w:tcPr>
          <w:p w14:paraId="455B76DE">
            <w:pPr>
              <w:jc w:val="center"/>
              <w:rPr>
                <w:rFonts w:ascii="华文楷体" w:hAnsi="华文楷体" w:eastAsia="华文楷体"/>
                <w:color w:val="auto"/>
                <w:sz w:val="18"/>
                <w:highlight w:val="none"/>
              </w:rPr>
            </w:pPr>
            <w:r>
              <w:rPr>
                <w:rFonts w:hint="eastAsia" w:ascii="华文楷体" w:hAnsi="华文楷体" w:eastAsia="华文楷体" w:cs="宋体"/>
                <w:color w:val="auto"/>
                <w:szCs w:val="32"/>
                <w:highlight w:val="none"/>
              </w:rPr>
              <w:t>D</w:t>
            </w:r>
            <w:r>
              <w:rPr>
                <w:rFonts w:ascii="华文楷体" w:hAnsi="华文楷体" w:eastAsia="华文楷体" w:cs="宋体"/>
                <w:color w:val="auto"/>
                <w:szCs w:val="32"/>
                <w:highlight w:val="none"/>
              </w:rPr>
              <w:t>N500/150Lb</w:t>
            </w:r>
          </w:p>
        </w:tc>
        <w:tc>
          <w:tcPr>
            <w:tcW w:w="2347" w:type="dxa"/>
            <w:vAlign w:val="center"/>
          </w:tcPr>
          <w:p w14:paraId="2DFC2D9C">
            <w:pPr>
              <w:jc w:val="center"/>
              <w:rPr>
                <w:rFonts w:hint="eastAsia" w:ascii="华文楷体" w:hAnsi="华文楷体" w:eastAsia="华文楷体" w:cs="宋体"/>
                <w:color w:val="auto"/>
                <w:sz w:val="21"/>
                <w:szCs w:val="32"/>
                <w:highlight w:val="none"/>
              </w:rPr>
            </w:pPr>
            <w:r>
              <w:rPr>
                <w:rFonts w:hint="eastAsia" w:ascii="华文楷体" w:hAnsi="华文楷体" w:eastAsia="华文楷体" w:cs="宋体"/>
                <w:b w:val="0"/>
                <w:bCs w:val="0"/>
                <w:color w:val="auto"/>
                <w:kern w:val="2"/>
                <w:sz w:val="21"/>
                <w:szCs w:val="32"/>
                <w:highlight w:val="none"/>
                <w:lang w:val="en-US" w:eastAsia="zh-CN"/>
              </w:rPr>
              <w:t>聚全氟乙丙烯（FEP）</w:t>
            </w:r>
          </w:p>
        </w:tc>
        <w:tc>
          <w:tcPr>
            <w:tcW w:w="913" w:type="dxa"/>
            <w:vAlign w:val="center"/>
          </w:tcPr>
          <w:p w14:paraId="36D9E825">
            <w:pPr>
              <w:jc w:val="center"/>
              <w:rPr>
                <w:rFonts w:ascii="华文楷体" w:hAnsi="华文楷体" w:eastAsia="华文楷体" w:cs="宋体"/>
                <w:color w:val="auto"/>
                <w:sz w:val="18"/>
                <w:szCs w:val="21"/>
                <w:highlight w:val="none"/>
              </w:rPr>
            </w:pPr>
            <w:r>
              <w:rPr>
                <w:rFonts w:hint="eastAsia" w:ascii="华文楷体" w:hAnsi="华文楷体" w:eastAsia="华文楷体" w:cs="宋体"/>
                <w:color w:val="auto"/>
                <w:sz w:val="18"/>
                <w:szCs w:val="21"/>
                <w:highlight w:val="none"/>
                <w:lang w:val="en-US" w:eastAsia="zh-CN"/>
              </w:rPr>
              <w:t>2</w:t>
            </w:r>
            <w:r>
              <w:rPr>
                <w:rFonts w:hint="eastAsia" w:ascii="华文楷体" w:hAnsi="华文楷体" w:eastAsia="华文楷体" w:cs="宋体"/>
                <w:color w:val="auto"/>
                <w:sz w:val="18"/>
                <w:szCs w:val="21"/>
                <w:highlight w:val="none"/>
              </w:rPr>
              <w:t>套</w:t>
            </w:r>
          </w:p>
        </w:tc>
        <w:tc>
          <w:tcPr>
            <w:tcW w:w="1808" w:type="dxa"/>
            <w:vAlign w:val="center"/>
          </w:tcPr>
          <w:p w14:paraId="1DC71060">
            <w:pPr>
              <w:jc w:val="center"/>
              <w:rPr>
                <w:rFonts w:ascii="华文楷体" w:hAnsi="华文楷体" w:eastAsia="华文楷体" w:cs="宋体"/>
                <w:color w:val="auto"/>
                <w:sz w:val="18"/>
                <w:szCs w:val="21"/>
                <w:highlight w:val="none"/>
              </w:rPr>
            </w:pPr>
            <w:r>
              <w:rPr>
                <w:rFonts w:hint="eastAsia" w:ascii="华文楷体" w:hAnsi="华文楷体" w:eastAsia="华文楷体" w:cs="宋体"/>
                <w:b w:val="0"/>
                <w:bCs w:val="0"/>
                <w:color w:val="auto"/>
                <w:kern w:val="2"/>
                <w:sz w:val="21"/>
                <w:szCs w:val="32"/>
                <w:highlight w:val="none"/>
                <w:lang w:eastAsia="zh-CN"/>
              </w:rPr>
              <w:t>密封面（圈）</w:t>
            </w:r>
          </w:p>
        </w:tc>
      </w:tr>
      <w:tr w14:paraId="2F521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vAlign w:val="center"/>
          </w:tcPr>
          <w:p w14:paraId="093E8269">
            <w:pPr>
              <w:jc w:val="center"/>
              <w:rPr>
                <w:rFonts w:ascii="华文楷体" w:hAnsi="华文楷体" w:eastAsia="华文楷体" w:cs="宋体"/>
                <w:color w:val="auto"/>
                <w:sz w:val="18"/>
                <w:szCs w:val="21"/>
                <w:highlight w:val="none"/>
              </w:rPr>
            </w:pPr>
            <w:r>
              <w:rPr>
                <w:rFonts w:hint="eastAsia" w:ascii="华文楷体" w:hAnsi="华文楷体" w:eastAsia="华文楷体" w:cs="宋体"/>
                <w:color w:val="auto"/>
                <w:sz w:val="18"/>
                <w:szCs w:val="21"/>
                <w:highlight w:val="none"/>
              </w:rPr>
              <w:t>3</w:t>
            </w:r>
          </w:p>
        </w:tc>
        <w:tc>
          <w:tcPr>
            <w:tcW w:w="1661" w:type="dxa"/>
            <w:vAlign w:val="center"/>
          </w:tcPr>
          <w:p w14:paraId="3E1C0D5A">
            <w:pPr>
              <w:jc w:val="left"/>
              <w:rPr>
                <w:rFonts w:ascii="华文楷体" w:hAnsi="华文楷体" w:eastAsia="华文楷体" w:cs="宋体"/>
                <w:color w:val="auto"/>
                <w:kern w:val="0"/>
                <w:sz w:val="18"/>
                <w:szCs w:val="21"/>
                <w:highlight w:val="none"/>
              </w:rPr>
            </w:pPr>
            <w:r>
              <w:rPr>
                <w:rFonts w:hint="eastAsia" w:ascii="华文楷体" w:hAnsi="华文楷体" w:eastAsia="华文楷体" w:cs="宋体"/>
                <w:color w:val="auto"/>
                <w:szCs w:val="32"/>
                <w:highlight w:val="none"/>
              </w:rPr>
              <w:t>紧急泄压阀（物资编码</w:t>
            </w:r>
            <w:r>
              <w:rPr>
                <w:rFonts w:ascii="华文楷体" w:hAnsi="华文楷体" w:eastAsia="华文楷体" w:cs="宋体"/>
                <w:color w:val="auto"/>
                <w:szCs w:val="32"/>
                <w:highlight w:val="none"/>
              </w:rPr>
              <w:t>1000639853</w:t>
            </w:r>
            <w:r>
              <w:rPr>
                <w:rFonts w:hint="eastAsia" w:ascii="华文楷体" w:hAnsi="华文楷体" w:eastAsia="华文楷体" w:cs="宋体"/>
                <w:color w:val="auto"/>
                <w:szCs w:val="32"/>
                <w:highlight w:val="none"/>
              </w:rPr>
              <w:t>）</w:t>
            </w:r>
          </w:p>
        </w:tc>
        <w:tc>
          <w:tcPr>
            <w:tcW w:w="1883" w:type="dxa"/>
            <w:vAlign w:val="center"/>
          </w:tcPr>
          <w:p w14:paraId="7B5CFFF3">
            <w:pPr>
              <w:jc w:val="center"/>
              <w:rPr>
                <w:color w:val="auto"/>
                <w:highlight w:val="none"/>
              </w:rPr>
            </w:pPr>
            <w:r>
              <w:rPr>
                <w:rFonts w:hint="eastAsia" w:ascii="华文楷体" w:hAnsi="华文楷体" w:eastAsia="华文楷体" w:cs="宋体"/>
                <w:color w:val="auto"/>
                <w:szCs w:val="32"/>
                <w:highlight w:val="none"/>
              </w:rPr>
              <w:t>D</w:t>
            </w:r>
            <w:r>
              <w:rPr>
                <w:rFonts w:ascii="华文楷体" w:hAnsi="华文楷体" w:eastAsia="华文楷体" w:cs="宋体"/>
                <w:color w:val="auto"/>
                <w:szCs w:val="32"/>
                <w:highlight w:val="none"/>
              </w:rPr>
              <w:t>N500/150Lb</w:t>
            </w:r>
          </w:p>
        </w:tc>
        <w:tc>
          <w:tcPr>
            <w:tcW w:w="2347" w:type="dxa"/>
            <w:vAlign w:val="center"/>
          </w:tcPr>
          <w:p w14:paraId="36541BA7">
            <w:pPr>
              <w:jc w:val="center"/>
              <w:rPr>
                <w:rFonts w:hint="eastAsia" w:ascii="华文楷体" w:hAnsi="华文楷体" w:eastAsia="华文楷体" w:cs="宋体"/>
                <w:color w:val="auto"/>
                <w:sz w:val="21"/>
                <w:szCs w:val="32"/>
                <w:highlight w:val="none"/>
              </w:rPr>
            </w:pPr>
            <w:r>
              <w:rPr>
                <w:rFonts w:hint="eastAsia" w:ascii="华文楷体" w:hAnsi="华文楷体" w:eastAsia="华文楷体" w:cs="宋体"/>
                <w:b w:val="0"/>
                <w:bCs w:val="0"/>
                <w:color w:val="auto"/>
                <w:kern w:val="2"/>
                <w:sz w:val="21"/>
                <w:szCs w:val="32"/>
                <w:highlight w:val="none"/>
                <w:lang w:val="en-US" w:eastAsia="zh-CN"/>
              </w:rPr>
              <w:t>聚全氟乙丙烯（FEP）</w:t>
            </w:r>
          </w:p>
        </w:tc>
        <w:tc>
          <w:tcPr>
            <w:tcW w:w="913" w:type="dxa"/>
            <w:vAlign w:val="center"/>
          </w:tcPr>
          <w:p w14:paraId="6E734D54">
            <w:pPr>
              <w:jc w:val="center"/>
              <w:rPr>
                <w:rFonts w:ascii="华文楷体" w:hAnsi="华文楷体" w:eastAsia="华文楷体" w:cs="宋体"/>
                <w:color w:val="auto"/>
                <w:sz w:val="18"/>
                <w:szCs w:val="21"/>
                <w:highlight w:val="none"/>
              </w:rPr>
            </w:pPr>
            <w:r>
              <w:rPr>
                <w:rFonts w:hint="eastAsia" w:ascii="华文楷体" w:hAnsi="华文楷体" w:eastAsia="华文楷体" w:cs="宋体"/>
                <w:color w:val="auto"/>
                <w:sz w:val="18"/>
                <w:szCs w:val="21"/>
                <w:highlight w:val="none"/>
                <w:lang w:val="en-US" w:eastAsia="zh-CN"/>
              </w:rPr>
              <w:t>1</w:t>
            </w:r>
            <w:r>
              <w:rPr>
                <w:rFonts w:hint="eastAsia" w:ascii="华文楷体" w:hAnsi="华文楷体" w:eastAsia="华文楷体" w:cs="宋体"/>
                <w:color w:val="auto"/>
                <w:sz w:val="18"/>
                <w:szCs w:val="21"/>
                <w:highlight w:val="none"/>
              </w:rPr>
              <w:t>套</w:t>
            </w:r>
          </w:p>
        </w:tc>
        <w:tc>
          <w:tcPr>
            <w:tcW w:w="1808" w:type="dxa"/>
            <w:vAlign w:val="center"/>
          </w:tcPr>
          <w:p w14:paraId="135E3B40">
            <w:pPr>
              <w:jc w:val="center"/>
              <w:rPr>
                <w:rFonts w:ascii="华文楷体" w:hAnsi="华文楷体" w:eastAsia="华文楷体" w:cs="宋体"/>
                <w:color w:val="auto"/>
                <w:sz w:val="18"/>
                <w:szCs w:val="21"/>
                <w:highlight w:val="none"/>
              </w:rPr>
            </w:pPr>
            <w:r>
              <w:rPr>
                <w:rFonts w:hint="eastAsia" w:ascii="华文楷体" w:hAnsi="华文楷体" w:eastAsia="华文楷体" w:cs="宋体"/>
                <w:b w:val="0"/>
                <w:bCs w:val="0"/>
                <w:color w:val="auto"/>
                <w:kern w:val="2"/>
                <w:sz w:val="21"/>
                <w:szCs w:val="32"/>
                <w:highlight w:val="none"/>
                <w:lang w:eastAsia="zh-CN"/>
              </w:rPr>
              <w:t>密封面（圈）</w:t>
            </w:r>
          </w:p>
        </w:tc>
      </w:tr>
    </w:tbl>
    <w:p w14:paraId="574E5697">
      <w:pPr>
        <w:pStyle w:val="3"/>
        <w:spacing w:line="360" w:lineRule="auto"/>
        <w:outlineLvl w:val="0"/>
        <w:rPr>
          <w:rFonts w:hint="eastAsia" w:ascii="宋体" w:hAnsi="宋体" w:eastAsia="宋体" w:cs="Times New Roman"/>
          <w:b w:val="0"/>
          <w:caps w:val="0"/>
          <w:color w:val="auto"/>
          <w:sz w:val="24"/>
          <w:szCs w:val="24"/>
          <w:highlight w:val="none"/>
        </w:rPr>
      </w:pPr>
    </w:p>
    <w:p w14:paraId="0E8796E4">
      <w:pPr>
        <w:pStyle w:val="4"/>
        <w:spacing w:line="360" w:lineRule="auto"/>
        <w:outlineLvl w:val="0"/>
        <w:rPr>
          <w:rFonts w:ascii="宋体" w:hAnsi="宋体" w:cs="宋体"/>
          <w:b/>
          <w:caps/>
          <w:color w:val="auto"/>
          <w:sz w:val="32"/>
          <w:szCs w:val="32"/>
          <w:highlight w:val="none"/>
        </w:rPr>
      </w:pPr>
      <w:r>
        <w:rPr>
          <w:rFonts w:hint="eastAsia" w:ascii="宋体" w:hAnsi="宋体" w:cs="宋体"/>
          <w:b/>
          <w:caps/>
          <w:color w:val="auto"/>
          <w:sz w:val="32"/>
          <w:szCs w:val="32"/>
          <w:highlight w:val="none"/>
        </w:rPr>
        <w:t>5、产品质量保证及性能考核</w:t>
      </w:r>
      <w:bookmarkEnd w:id="13"/>
      <w:bookmarkEnd w:id="14"/>
      <w:bookmarkEnd w:id="15"/>
    </w:p>
    <w:p w14:paraId="32812B79">
      <w:pPr>
        <w:pStyle w:val="4"/>
        <w:widowControl/>
        <w:snapToGrid w:val="0"/>
        <w:spacing w:line="360" w:lineRule="auto"/>
        <w:rPr>
          <w:rFonts w:ascii="宋体" w:cs="宋体"/>
          <w:color w:val="auto"/>
          <w:kern w:val="0"/>
          <w:sz w:val="24"/>
          <w:highlight w:val="none"/>
        </w:rPr>
      </w:pPr>
      <w:r>
        <w:rPr>
          <w:rFonts w:hint="eastAsia" w:ascii="宋体" w:hAnsi="宋体" w:cs="宋体"/>
          <w:color w:val="auto"/>
          <w:kern w:val="0"/>
          <w:sz w:val="24"/>
          <w:highlight w:val="none"/>
        </w:rPr>
        <w:t>5</w:t>
      </w:r>
      <w:r>
        <w:rPr>
          <w:rFonts w:ascii="宋体" w:hAnsi="宋体" w:cs="宋体"/>
          <w:color w:val="auto"/>
          <w:kern w:val="0"/>
          <w:sz w:val="24"/>
          <w:highlight w:val="none"/>
        </w:rPr>
        <w:t xml:space="preserve">.1 </w:t>
      </w:r>
      <w:r>
        <w:rPr>
          <w:rFonts w:hint="eastAsia" w:ascii="宋体" w:hAnsi="宋体" w:cs="宋体"/>
          <w:color w:val="auto"/>
          <w:kern w:val="0"/>
          <w:sz w:val="24"/>
          <w:highlight w:val="none"/>
        </w:rPr>
        <w:t>产品质量保证</w:t>
      </w:r>
    </w:p>
    <w:p w14:paraId="214AF169">
      <w:pPr>
        <w:pStyle w:val="4"/>
        <w:widowControl/>
        <w:snapToGrid w:val="0"/>
        <w:spacing w:line="360" w:lineRule="auto"/>
        <w:rPr>
          <w:rFonts w:ascii="宋体" w:cs="宋体"/>
          <w:color w:val="auto"/>
          <w:kern w:val="0"/>
          <w:sz w:val="24"/>
          <w:highlight w:val="none"/>
        </w:rPr>
      </w:pPr>
      <w:r>
        <w:rPr>
          <w:rFonts w:hint="eastAsia" w:ascii="宋体" w:hAnsi="宋体" w:cs="宋体"/>
          <w:color w:val="auto"/>
          <w:kern w:val="0"/>
          <w:sz w:val="24"/>
          <w:highlight w:val="none"/>
        </w:rPr>
        <w:t>5</w:t>
      </w:r>
      <w:r>
        <w:rPr>
          <w:rFonts w:ascii="宋体" w:hAnsi="宋体" w:cs="宋体"/>
          <w:color w:val="auto"/>
          <w:kern w:val="0"/>
          <w:sz w:val="24"/>
          <w:highlight w:val="none"/>
        </w:rPr>
        <w:t>.1.1</w:t>
      </w:r>
      <w:r>
        <w:rPr>
          <w:rFonts w:hint="eastAsia" w:ascii="宋体" w:hAnsi="宋体" w:cs="宋体"/>
          <w:color w:val="auto"/>
          <w:kern w:val="0"/>
          <w:sz w:val="24"/>
          <w:highlight w:val="none"/>
        </w:rPr>
        <w:t xml:space="preserve"> 投标人保证其提供的产品是全新的、未使用的、采用最佳材料和一流工艺的，并在各个方面符合本技术规范的质量、规格和性能要求；投标人保证其产品经过正确安装、合理操作和维护保养，在产品寿命期内运行良好；在规定的质保期内，投标人应对由于制造工艺或材料的缺陷而造成的任何呼吸阀、阻火器、紧急泄放阀质量事故负责</w:t>
      </w:r>
      <w:r>
        <w:rPr>
          <w:rFonts w:hint="eastAsia" w:ascii="宋体" w:hAnsi="宋体" w:cs="宋体"/>
          <w:color w:val="auto"/>
          <w:kern w:val="0"/>
          <w:sz w:val="24"/>
          <w:highlight w:val="none"/>
          <w:lang w:eastAsia="zh-CN"/>
        </w:rPr>
        <w:t>。</w:t>
      </w:r>
    </w:p>
    <w:p w14:paraId="44C94036">
      <w:pPr>
        <w:pStyle w:val="4"/>
        <w:widowControl/>
        <w:snapToGrid w:val="0"/>
        <w:spacing w:line="360" w:lineRule="auto"/>
        <w:rPr>
          <w:rFonts w:ascii="宋体" w:cs="宋体"/>
          <w:color w:val="auto"/>
          <w:kern w:val="0"/>
          <w:sz w:val="24"/>
          <w:highlight w:val="none"/>
        </w:rPr>
      </w:pPr>
      <w:r>
        <w:rPr>
          <w:rFonts w:hint="eastAsia" w:ascii="宋体" w:hAnsi="宋体" w:cs="宋体"/>
          <w:color w:val="auto"/>
          <w:kern w:val="0"/>
          <w:sz w:val="24"/>
          <w:highlight w:val="none"/>
        </w:rPr>
        <w:t>5</w:t>
      </w:r>
      <w:r>
        <w:rPr>
          <w:rFonts w:ascii="宋体" w:hAnsi="宋体" w:cs="宋体"/>
          <w:color w:val="auto"/>
          <w:kern w:val="0"/>
          <w:sz w:val="24"/>
          <w:highlight w:val="none"/>
        </w:rPr>
        <w:t>.1.2</w:t>
      </w:r>
      <w:r>
        <w:rPr>
          <w:rFonts w:hint="eastAsia" w:ascii="宋体" w:hAnsi="宋体" w:cs="宋体"/>
          <w:color w:val="auto"/>
          <w:kern w:val="0"/>
          <w:sz w:val="24"/>
          <w:highlight w:val="none"/>
        </w:rPr>
        <w:t>调试过程中因投标人损坏的零部件，投标人应免费更换</w:t>
      </w:r>
      <w:r>
        <w:rPr>
          <w:rFonts w:hint="eastAsia" w:ascii="宋体" w:hAnsi="宋体" w:cs="宋体"/>
          <w:color w:val="auto"/>
          <w:kern w:val="0"/>
          <w:sz w:val="24"/>
          <w:highlight w:val="none"/>
          <w:lang w:eastAsia="zh-CN"/>
        </w:rPr>
        <w:t>。</w:t>
      </w:r>
    </w:p>
    <w:p w14:paraId="001C10A0">
      <w:pPr>
        <w:pStyle w:val="4"/>
        <w:widowControl/>
        <w:snapToGrid w:val="0"/>
        <w:spacing w:line="360" w:lineRule="auto"/>
        <w:rPr>
          <w:rFonts w:ascii="宋体" w:cs="宋体"/>
          <w:color w:val="auto"/>
          <w:kern w:val="0"/>
          <w:sz w:val="24"/>
          <w:highlight w:val="none"/>
        </w:rPr>
      </w:pPr>
      <w:r>
        <w:rPr>
          <w:rFonts w:hint="eastAsia" w:ascii="宋体" w:hAnsi="宋体" w:cs="宋体"/>
          <w:color w:val="auto"/>
          <w:kern w:val="0"/>
          <w:sz w:val="24"/>
          <w:highlight w:val="none"/>
        </w:rPr>
        <w:t>5</w:t>
      </w:r>
      <w:r>
        <w:rPr>
          <w:rFonts w:ascii="宋体" w:hAnsi="宋体" w:cs="宋体"/>
          <w:color w:val="auto"/>
          <w:kern w:val="0"/>
          <w:sz w:val="24"/>
          <w:highlight w:val="none"/>
        </w:rPr>
        <w:t>.1.3</w:t>
      </w:r>
      <w:r>
        <w:rPr>
          <w:rFonts w:hint="eastAsia" w:ascii="宋体" w:hAnsi="宋体" w:cs="宋体"/>
          <w:color w:val="auto"/>
          <w:kern w:val="0"/>
          <w:sz w:val="24"/>
          <w:highlight w:val="none"/>
        </w:rPr>
        <w:t>呼吸阀、阻火器、紧急泄放阀的质保期为安装运行考核合格后</w:t>
      </w:r>
      <w:r>
        <w:rPr>
          <w:rFonts w:ascii="宋体" w:hAnsi="宋体" w:cs="宋体"/>
          <w:color w:val="auto"/>
          <w:kern w:val="0"/>
          <w:sz w:val="24"/>
          <w:highlight w:val="none"/>
        </w:rPr>
        <w:t>12</w:t>
      </w:r>
      <w:r>
        <w:rPr>
          <w:rFonts w:hint="eastAsia" w:ascii="宋体" w:hAnsi="宋体" w:cs="宋体"/>
          <w:color w:val="auto"/>
          <w:kern w:val="0"/>
          <w:sz w:val="24"/>
          <w:highlight w:val="none"/>
        </w:rPr>
        <w:t>个月或呼吸阀、阻火器、紧急泄放阀运抵施工现场验收合格后18个月，二者以先到者为准</w:t>
      </w:r>
      <w:r>
        <w:rPr>
          <w:rFonts w:hint="eastAsia" w:ascii="宋体" w:hAnsi="宋体" w:cs="宋体"/>
          <w:color w:val="auto"/>
          <w:kern w:val="0"/>
          <w:sz w:val="24"/>
          <w:highlight w:val="none"/>
          <w:lang w:eastAsia="zh-CN"/>
        </w:rPr>
        <w:t>。</w:t>
      </w:r>
    </w:p>
    <w:p w14:paraId="49C1D106">
      <w:pPr>
        <w:pStyle w:val="4"/>
        <w:widowControl/>
        <w:snapToGrid w:val="0"/>
        <w:spacing w:line="360" w:lineRule="auto"/>
        <w:rPr>
          <w:rFonts w:ascii="宋体" w:cs="宋体"/>
          <w:color w:val="auto"/>
          <w:kern w:val="0"/>
          <w:sz w:val="24"/>
          <w:highlight w:val="none"/>
        </w:rPr>
      </w:pPr>
      <w:r>
        <w:rPr>
          <w:rFonts w:hint="eastAsia" w:ascii="宋体" w:hAnsi="宋体" w:cs="宋体"/>
          <w:color w:val="auto"/>
          <w:kern w:val="0"/>
          <w:sz w:val="24"/>
          <w:highlight w:val="none"/>
        </w:rPr>
        <w:t>5</w:t>
      </w:r>
      <w:r>
        <w:rPr>
          <w:rFonts w:ascii="宋体" w:hAnsi="宋体" w:cs="宋体"/>
          <w:color w:val="auto"/>
          <w:kern w:val="0"/>
          <w:sz w:val="24"/>
          <w:highlight w:val="none"/>
        </w:rPr>
        <w:t>.1.4</w:t>
      </w:r>
      <w:r>
        <w:rPr>
          <w:rFonts w:hint="eastAsia" w:ascii="宋体" w:hAnsi="宋体" w:cs="宋体"/>
          <w:color w:val="auto"/>
          <w:kern w:val="0"/>
          <w:sz w:val="24"/>
          <w:highlight w:val="none"/>
        </w:rPr>
        <w:t>呼吸阀、阻火器、紧急泄放阀在质保期满前，如因投标人原因造成的质量问题，投标人免费修复、更换；修复、更换后的零部件保质期为</w:t>
      </w:r>
      <w:r>
        <w:rPr>
          <w:rFonts w:ascii="宋体" w:hAnsi="宋体" w:cs="宋体"/>
          <w:color w:val="auto"/>
          <w:kern w:val="0"/>
          <w:sz w:val="24"/>
          <w:highlight w:val="none"/>
        </w:rPr>
        <w:t>1</w:t>
      </w:r>
      <w:r>
        <w:rPr>
          <w:rFonts w:hint="eastAsia" w:ascii="宋体" w:hAnsi="宋体" w:cs="宋体"/>
          <w:color w:val="auto"/>
          <w:kern w:val="0"/>
          <w:sz w:val="24"/>
          <w:highlight w:val="none"/>
        </w:rPr>
        <w:t>2个月；如因招标人原因造成的问题，投标人也应及时修复和更换，费用由招标人承担</w:t>
      </w:r>
      <w:r>
        <w:rPr>
          <w:rFonts w:hint="eastAsia" w:ascii="宋体" w:hAnsi="宋体" w:cs="宋体"/>
          <w:color w:val="auto"/>
          <w:kern w:val="0"/>
          <w:sz w:val="24"/>
          <w:highlight w:val="none"/>
          <w:lang w:eastAsia="zh-CN"/>
        </w:rPr>
        <w:t>。</w:t>
      </w:r>
    </w:p>
    <w:p w14:paraId="7D020E56">
      <w:pPr>
        <w:pStyle w:val="4"/>
        <w:widowControl/>
        <w:snapToGrid w:val="0"/>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5</w:t>
      </w:r>
      <w:r>
        <w:rPr>
          <w:rFonts w:ascii="宋体" w:hAnsi="宋体" w:cs="宋体"/>
          <w:color w:val="auto"/>
          <w:kern w:val="0"/>
          <w:sz w:val="24"/>
          <w:highlight w:val="none"/>
        </w:rPr>
        <w:t>.1.5</w:t>
      </w:r>
      <w:r>
        <w:rPr>
          <w:rFonts w:hint="eastAsia" w:ascii="宋体" w:hAnsi="宋体" w:cs="宋体"/>
          <w:color w:val="auto"/>
          <w:kern w:val="0"/>
          <w:sz w:val="24"/>
          <w:highlight w:val="none"/>
        </w:rPr>
        <w:t xml:space="preserve"> 投标人承担因制造缺陷而造成的呼吸阀、阻火器、紧急泄放阀不能正常工作或造成设备、管道故障的责任，如出现故障应及时对呼吸阀、阻火器、紧急泄放阀进行维修或整体更换，并承担因此而发生的一切费用</w:t>
      </w:r>
      <w:r>
        <w:rPr>
          <w:rFonts w:hint="eastAsia" w:ascii="宋体" w:hAnsi="宋体" w:cs="宋体"/>
          <w:color w:val="auto"/>
          <w:kern w:val="0"/>
          <w:sz w:val="24"/>
          <w:highlight w:val="none"/>
          <w:lang w:eastAsia="zh-CN"/>
        </w:rPr>
        <w:t>。</w:t>
      </w:r>
    </w:p>
    <w:p w14:paraId="3DAF721E">
      <w:pPr>
        <w:pStyle w:val="4"/>
        <w:widowControl/>
        <w:snapToGrid w:val="0"/>
        <w:spacing w:line="360" w:lineRule="auto"/>
        <w:rPr>
          <w:rFonts w:ascii="宋体" w:cs="宋体"/>
          <w:color w:val="auto"/>
          <w:kern w:val="0"/>
          <w:sz w:val="24"/>
          <w:highlight w:val="none"/>
        </w:rPr>
      </w:pPr>
      <w:r>
        <w:rPr>
          <w:rFonts w:hint="eastAsia" w:ascii="宋体" w:hAnsi="宋体" w:cs="宋体"/>
          <w:color w:val="auto"/>
          <w:kern w:val="0"/>
          <w:sz w:val="24"/>
          <w:highlight w:val="none"/>
        </w:rPr>
        <w:t>5</w:t>
      </w:r>
      <w:r>
        <w:rPr>
          <w:rFonts w:ascii="宋体" w:hAnsi="宋体" w:cs="宋体"/>
          <w:color w:val="auto"/>
          <w:kern w:val="0"/>
          <w:sz w:val="24"/>
          <w:highlight w:val="none"/>
        </w:rPr>
        <w:t>.</w:t>
      </w:r>
      <w:r>
        <w:rPr>
          <w:rFonts w:hint="eastAsia" w:ascii="宋体" w:hAnsi="宋体" w:cs="宋体"/>
          <w:color w:val="auto"/>
          <w:kern w:val="0"/>
          <w:sz w:val="24"/>
          <w:highlight w:val="none"/>
        </w:rPr>
        <w:t>2 性能考核</w:t>
      </w:r>
    </w:p>
    <w:p w14:paraId="123369AF">
      <w:pPr>
        <w:pStyle w:val="4"/>
        <w:widowControl/>
        <w:snapToGrid w:val="0"/>
        <w:spacing w:line="360" w:lineRule="auto"/>
        <w:rPr>
          <w:rFonts w:ascii="宋体" w:cs="宋体"/>
          <w:color w:val="auto"/>
          <w:kern w:val="0"/>
          <w:sz w:val="24"/>
          <w:highlight w:val="none"/>
        </w:rPr>
      </w:pPr>
      <w:r>
        <w:rPr>
          <w:rFonts w:hint="eastAsia" w:ascii="宋体" w:hAnsi="宋体" w:cs="宋体"/>
          <w:color w:val="auto"/>
          <w:kern w:val="0"/>
          <w:sz w:val="24"/>
          <w:highlight w:val="none"/>
        </w:rPr>
        <w:t>5</w:t>
      </w:r>
      <w:r>
        <w:rPr>
          <w:rFonts w:ascii="宋体" w:hAnsi="宋体" w:cs="宋体"/>
          <w:color w:val="auto"/>
          <w:kern w:val="0"/>
          <w:sz w:val="24"/>
          <w:highlight w:val="none"/>
        </w:rPr>
        <w:t>.</w:t>
      </w:r>
      <w:r>
        <w:rPr>
          <w:rFonts w:hint="eastAsia" w:ascii="宋体" w:hAnsi="宋体" w:cs="宋体"/>
          <w:color w:val="auto"/>
          <w:kern w:val="0"/>
          <w:sz w:val="24"/>
          <w:highlight w:val="none"/>
        </w:rPr>
        <w:t>2</w:t>
      </w:r>
      <w:r>
        <w:rPr>
          <w:rFonts w:ascii="宋体" w:hAnsi="宋体" w:cs="宋体"/>
          <w:color w:val="auto"/>
          <w:kern w:val="0"/>
          <w:sz w:val="24"/>
          <w:highlight w:val="none"/>
        </w:rPr>
        <w:t>.1</w:t>
      </w:r>
      <w:r>
        <w:rPr>
          <w:rFonts w:hint="eastAsia" w:ascii="宋体" w:hAnsi="宋体" w:cs="宋体"/>
          <w:color w:val="auto"/>
          <w:kern w:val="0"/>
          <w:sz w:val="24"/>
          <w:highlight w:val="none"/>
        </w:rPr>
        <w:t xml:space="preserve"> 性能参数指标</w:t>
      </w:r>
    </w:p>
    <w:p w14:paraId="39F14A19">
      <w:pPr>
        <w:pStyle w:val="4"/>
        <w:spacing w:line="360" w:lineRule="auto"/>
        <w:rPr>
          <w:rFonts w:ascii="宋体" w:hAnsi="宋体"/>
          <w:color w:val="auto"/>
          <w:sz w:val="24"/>
          <w:highlight w:val="none"/>
        </w:rPr>
      </w:pPr>
      <w:r>
        <w:rPr>
          <w:rFonts w:hint="eastAsia" w:ascii="宋体" w:hAnsi="宋体"/>
          <w:color w:val="auto"/>
          <w:sz w:val="24"/>
          <w:highlight w:val="none"/>
        </w:rPr>
        <w:t>1）呼吸阀：在设定压力的</w:t>
      </w:r>
      <w:r>
        <w:rPr>
          <w:rFonts w:ascii="宋体" w:hAnsi="宋体"/>
          <w:color w:val="auto"/>
          <w:sz w:val="24"/>
          <w:highlight w:val="none"/>
        </w:rPr>
        <w:t>85</w:t>
      </w:r>
      <w:r>
        <w:rPr>
          <w:rFonts w:hint="eastAsia" w:ascii="宋体" w:hAnsi="宋体"/>
          <w:color w:val="auto"/>
          <w:sz w:val="24"/>
          <w:highlight w:val="none"/>
        </w:rPr>
        <w:t>%时测定阀门的泄漏量，最大允许的泄漏量值为：阀门尺寸小于等于DN150：最大泄漏量为0.0017</w:t>
      </w:r>
      <w:r>
        <w:rPr>
          <w:rFonts w:hint="eastAsia" w:ascii="宋体" w:eastAsia="宋体" w:cs="宋体"/>
          <w:b w:val="0"/>
          <w:color w:val="auto"/>
          <w:kern w:val="2"/>
          <w:sz w:val="24"/>
          <w:szCs w:val="24"/>
          <w:highlight w:val="none"/>
          <w:lang w:val="en-US" w:eastAsia="zh-CN" w:bidi="ar-SA"/>
        </w:rPr>
        <w:t>m</w:t>
      </w:r>
      <w:r>
        <w:rPr>
          <w:rFonts w:hint="eastAsia" w:ascii="宋体" w:eastAsia="宋体" w:cs="宋体"/>
          <w:b w:val="0"/>
          <w:color w:val="auto"/>
          <w:kern w:val="2"/>
          <w:sz w:val="24"/>
          <w:szCs w:val="24"/>
          <w:highlight w:val="none"/>
          <w:vertAlign w:val="superscript"/>
          <w:lang w:val="en-US" w:eastAsia="zh-CN" w:bidi="ar-SA"/>
        </w:rPr>
        <w:t>3</w:t>
      </w:r>
      <w:r>
        <w:rPr>
          <w:rFonts w:hint="eastAsia" w:ascii="宋体" w:hAnsi="宋体"/>
          <w:color w:val="auto"/>
          <w:sz w:val="24"/>
          <w:highlight w:val="none"/>
        </w:rPr>
        <w:t>/h; 阀门尺寸DN200-DN400：最大泄漏量为0.0030</w:t>
      </w:r>
      <w:r>
        <w:rPr>
          <w:rFonts w:hint="eastAsia" w:ascii="宋体" w:eastAsia="宋体" w:cs="宋体"/>
          <w:b w:val="0"/>
          <w:color w:val="auto"/>
          <w:kern w:val="2"/>
          <w:sz w:val="24"/>
          <w:szCs w:val="24"/>
          <w:highlight w:val="none"/>
          <w:lang w:val="en-US" w:eastAsia="zh-CN" w:bidi="ar-SA"/>
        </w:rPr>
        <w:t>m</w:t>
      </w:r>
      <w:r>
        <w:rPr>
          <w:rFonts w:hint="eastAsia" w:ascii="宋体" w:eastAsia="宋体" w:cs="宋体"/>
          <w:b w:val="0"/>
          <w:color w:val="auto"/>
          <w:kern w:val="2"/>
          <w:sz w:val="24"/>
          <w:szCs w:val="24"/>
          <w:highlight w:val="none"/>
          <w:vertAlign w:val="superscript"/>
          <w:lang w:val="en-US" w:eastAsia="zh-CN" w:bidi="ar-SA"/>
        </w:rPr>
        <w:t>3</w:t>
      </w:r>
      <w:r>
        <w:rPr>
          <w:rFonts w:hint="eastAsia" w:ascii="宋体" w:hAnsi="宋体"/>
          <w:color w:val="auto"/>
          <w:sz w:val="24"/>
          <w:highlight w:val="none"/>
        </w:rPr>
        <w:t>/h; 至少10000次开闭循环后仍保持密封性能（参考API 2000）；满足《挥发性有机物无组织排放控制标准》（GB37822-2019）附录A对厂区内VOCS无组织排放的特别限制20㎎/m³。</w:t>
      </w:r>
    </w:p>
    <w:p w14:paraId="3C0C9E6A">
      <w:pPr>
        <w:pStyle w:val="3"/>
        <w:rPr>
          <w:rFonts w:ascii="宋体" w:eastAsia="宋体"/>
          <w:b w:val="0"/>
          <w:color w:val="auto"/>
          <w:sz w:val="24"/>
          <w:highlight w:val="none"/>
        </w:rPr>
      </w:pPr>
      <w:r>
        <w:rPr>
          <w:rFonts w:hint="eastAsia" w:ascii="宋体" w:eastAsia="宋体"/>
          <w:b w:val="0"/>
          <w:color w:val="auto"/>
          <w:sz w:val="24"/>
          <w:highlight w:val="none"/>
        </w:rPr>
        <w:t>2）阻火器：设计压力为2</w:t>
      </w:r>
      <w:r>
        <w:rPr>
          <w:rFonts w:hint="eastAsia" w:ascii="宋体" w:eastAsia="宋体"/>
          <w:b w:val="0"/>
          <w:color w:val="auto"/>
          <w:sz w:val="24"/>
          <w:highlight w:val="none"/>
          <w:lang w:val="en-US" w:eastAsia="zh-CN"/>
        </w:rPr>
        <w:t>k</w:t>
      </w:r>
      <w:r>
        <w:rPr>
          <w:rFonts w:hint="eastAsia" w:ascii="宋体" w:eastAsia="宋体"/>
          <w:b w:val="0"/>
          <w:color w:val="auto"/>
          <w:sz w:val="24"/>
          <w:highlight w:val="none"/>
        </w:rPr>
        <w:t>Pa的储罐到抽气设备之间的管道阻火器在设计工况下的压降不应大于0.3</w:t>
      </w:r>
      <w:r>
        <w:rPr>
          <w:rFonts w:hint="eastAsia" w:ascii="宋体" w:eastAsia="宋体"/>
          <w:b w:val="0"/>
          <w:color w:val="auto"/>
          <w:sz w:val="24"/>
          <w:highlight w:val="none"/>
          <w:lang w:val="en-US" w:eastAsia="zh-CN"/>
        </w:rPr>
        <w:t>k</w:t>
      </w:r>
      <w:r>
        <w:rPr>
          <w:rFonts w:hint="eastAsia" w:ascii="宋体" w:eastAsia="宋体"/>
          <w:b w:val="0"/>
          <w:color w:val="auto"/>
          <w:sz w:val="24"/>
          <w:highlight w:val="none"/>
        </w:rPr>
        <w:t>Pa。其余阻火器在未规定允许压降时，其最大压降不应超过10</w:t>
      </w:r>
      <w:r>
        <w:rPr>
          <w:rFonts w:hint="eastAsia" w:ascii="宋体" w:eastAsia="宋体"/>
          <w:b w:val="0"/>
          <w:color w:val="auto"/>
          <w:sz w:val="24"/>
          <w:highlight w:val="none"/>
          <w:lang w:val="en-US" w:eastAsia="zh-CN"/>
        </w:rPr>
        <w:t>k</w:t>
      </w:r>
      <w:r>
        <w:rPr>
          <w:rFonts w:hint="eastAsia" w:ascii="宋体" w:eastAsia="宋体"/>
          <w:b w:val="0"/>
          <w:color w:val="auto"/>
          <w:sz w:val="24"/>
          <w:highlight w:val="none"/>
        </w:rPr>
        <w:t>Pa。</w:t>
      </w:r>
    </w:p>
    <w:p w14:paraId="7EFCF024">
      <w:pPr>
        <w:pStyle w:val="4"/>
        <w:widowControl/>
        <w:snapToGrid w:val="0"/>
        <w:spacing w:line="360" w:lineRule="auto"/>
        <w:rPr>
          <w:rFonts w:ascii="宋体" w:hAnsi="宋体"/>
          <w:color w:val="auto"/>
          <w:sz w:val="24"/>
          <w:highlight w:val="none"/>
        </w:rPr>
      </w:pPr>
      <w:r>
        <w:rPr>
          <w:rFonts w:hint="eastAsia" w:ascii="宋体"/>
          <w:color w:val="auto"/>
          <w:sz w:val="24"/>
          <w:highlight w:val="none"/>
        </w:rPr>
        <w:t>3）紧急泄放阀：</w:t>
      </w:r>
      <w:r>
        <w:rPr>
          <w:rFonts w:hint="eastAsia" w:ascii="宋体" w:hAnsi="宋体" w:cs="宋体"/>
          <w:color w:val="auto"/>
          <w:kern w:val="0"/>
          <w:sz w:val="24"/>
          <w:highlight w:val="none"/>
        </w:rPr>
        <w:t>在设定压力的85%时测定阀门的泄漏量，最大允许的泄漏量值为：0.</w:t>
      </w:r>
      <w:r>
        <w:rPr>
          <w:rFonts w:hint="eastAsia" w:ascii="宋体" w:hAnsi="宋体" w:cs="宋体"/>
          <w:color w:val="auto"/>
          <w:kern w:val="0"/>
          <w:sz w:val="24"/>
          <w:highlight w:val="none"/>
          <w:lang w:val="en-US" w:eastAsia="zh-CN"/>
        </w:rPr>
        <w:t>1</w:t>
      </w:r>
      <w:r>
        <w:rPr>
          <w:rFonts w:hint="eastAsia" w:ascii="宋体" w:eastAsia="宋体" w:cs="宋体"/>
          <w:b w:val="0"/>
          <w:color w:val="auto"/>
          <w:kern w:val="2"/>
          <w:sz w:val="24"/>
          <w:szCs w:val="24"/>
          <w:highlight w:val="none"/>
          <w:lang w:val="en-US" w:eastAsia="zh-CN" w:bidi="ar-SA"/>
        </w:rPr>
        <w:t>m</w:t>
      </w:r>
      <w:r>
        <w:rPr>
          <w:rFonts w:hint="eastAsia" w:ascii="宋体" w:eastAsia="宋体" w:cs="宋体"/>
          <w:b w:val="0"/>
          <w:color w:val="auto"/>
          <w:kern w:val="2"/>
          <w:sz w:val="24"/>
          <w:szCs w:val="24"/>
          <w:highlight w:val="none"/>
          <w:vertAlign w:val="superscript"/>
          <w:lang w:val="en-US" w:eastAsia="zh-CN" w:bidi="ar-SA"/>
        </w:rPr>
        <w:t>3</w:t>
      </w:r>
      <w:r>
        <w:rPr>
          <w:rFonts w:hint="eastAsia" w:ascii="宋体" w:hAnsi="宋体" w:cs="宋体"/>
          <w:color w:val="auto"/>
          <w:kern w:val="0"/>
          <w:sz w:val="24"/>
          <w:highlight w:val="none"/>
        </w:rPr>
        <w:t>/h。</w:t>
      </w:r>
    </w:p>
    <w:p w14:paraId="6032E3E8">
      <w:pPr>
        <w:pStyle w:val="4"/>
        <w:spacing w:line="360" w:lineRule="auto"/>
        <w:rPr>
          <w:rFonts w:ascii="宋体" w:hAnsi="宋体"/>
          <w:color w:val="auto"/>
          <w:sz w:val="24"/>
          <w:highlight w:val="none"/>
        </w:rPr>
      </w:pPr>
      <w:r>
        <w:rPr>
          <w:rFonts w:hint="eastAsia" w:ascii="宋体" w:hAnsi="宋体"/>
          <w:color w:val="auto"/>
          <w:sz w:val="24"/>
          <w:highlight w:val="none"/>
        </w:rPr>
        <w:t>5.2.2 性能考核</w:t>
      </w:r>
    </w:p>
    <w:p w14:paraId="1EA1889C">
      <w:pPr>
        <w:pStyle w:val="4"/>
        <w:spacing w:line="360" w:lineRule="auto"/>
        <w:rPr>
          <w:rFonts w:ascii="宋体" w:hAnsi="宋体"/>
          <w:color w:val="auto"/>
          <w:sz w:val="24"/>
          <w:highlight w:val="none"/>
        </w:rPr>
      </w:pPr>
      <w:r>
        <w:rPr>
          <w:rFonts w:hint="eastAsia" w:ascii="宋体" w:hAnsi="宋体" w:cs="宋体"/>
          <w:color w:val="auto"/>
          <w:kern w:val="0"/>
          <w:sz w:val="24"/>
          <w:highlight w:val="none"/>
        </w:rPr>
        <w:t>5</w:t>
      </w:r>
      <w:r>
        <w:rPr>
          <w:rFonts w:ascii="宋体" w:hAnsi="宋体" w:cs="宋体"/>
          <w:color w:val="auto"/>
          <w:kern w:val="0"/>
          <w:sz w:val="24"/>
          <w:highlight w:val="none"/>
        </w:rPr>
        <w:t>.</w:t>
      </w:r>
      <w:r>
        <w:rPr>
          <w:rFonts w:hint="eastAsia" w:ascii="宋体" w:hAnsi="宋体" w:cs="宋体"/>
          <w:color w:val="auto"/>
          <w:kern w:val="0"/>
          <w:sz w:val="24"/>
          <w:highlight w:val="none"/>
        </w:rPr>
        <w:t>2</w:t>
      </w:r>
      <w:r>
        <w:rPr>
          <w:rFonts w:ascii="宋体" w:hAnsi="宋体" w:cs="宋体"/>
          <w:color w:val="auto"/>
          <w:kern w:val="0"/>
          <w:sz w:val="24"/>
          <w:highlight w:val="none"/>
        </w:rPr>
        <w:t>.2.1</w:t>
      </w:r>
      <w:r>
        <w:rPr>
          <w:rFonts w:hint="eastAsia" w:ascii="宋体" w:hAnsi="宋体" w:cs="宋体"/>
          <w:color w:val="auto"/>
          <w:kern w:val="0"/>
          <w:sz w:val="24"/>
          <w:highlight w:val="none"/>
        </w:rPr>
        <w:t xml:space="preserve"> </w:t>
      </w:r>
      <w:r>
        <w:rPr>
          <w:rFonts w:hint="eastAsia" w:ascii="宋体" w:hAnsi="宋体"/>
          <w:color w:val="auto"/>
          <w:sz w:val="24"/>
          <w:highlight w:val="none"/>
        </w:rPr>
        <w:t>设备在</w:t>
      </w:r>
      <w:r>
        <w:rPr>
          <w:rFonts w:hint="eastAsia" w:ascii="宋体" w:hAnsi="宋体"/>
          <w:color w:val="auto"/>
          <w:sz w:val="24"/>
          <w:highlight w:val="none"/>
          <w:lang w:val="en-US" w:eastAsia="zh-CN"/>
        </w:rPr>
        <w:t>投入正常</w:t>
      </w:r>
      <w:r>
        <w:rPr>
          <w:rFonts w:hint="eastAsia" w:ascii="宋体" w:hAnsi="宋体"/>
          <w:color w:val="auto"/>
          <w:sz w:val="24"/>
          <w:highlight w:val="none"/>
        </w:rPr>
        <w:t>运行1个月内，招标人组织对各项性能指标进行考核验收，投标人在接到招标人性能考核通知后，未按照招标人要求按时到达项目现场的情况下，招标人可自行组织性能考核，考核结果视为投标人认可</w:t>
      </w:r>
      <w:r>
        <w:rPr>
          <w:rFonts w:hint="eastAsia" w:ascii="宋体" w:hAnsi="宋体"/>
          <w:color w:val="auto"/>
          <w:sz w:val="24"/>
          <w:highlight w:val="none"/>
          <w:lang w:eastAsia="zh-CN"/>
        </w:rPr>
        <w:t>。</w:t>
      </w:r>
    </w:p>
    <w:p w14:paraId="77E8A9BA">
      <w:pPr>
        <w:pStyle w:val="4"/>
        <w:spacing w:line="360" w:lineRule="auto"/>
        <w:rPr>
          <w:rFonts w:ascii="宋体" w:hAnsi="宋体"/>
          <w:color w:val="auto"/>
          <w:sz w:val="24"/>
          <w:highlight w:val="none"/>
        </w:rPr>
      </w:pPr>
      <w:r>
        <w:rPr>
          <w:rFonts w:hint="eastAsia" w:ascii="宋体" w:hAnsi="宋体" w:cs="宋体"/>
          <w:color w:val="auto"/>
          <w:kern w:val="0"/>
          <w:sz w:val="24"/>
          <w:highlight w:val="none"/>
        </w:rPr>
        <w:t>5</w:t>
      </w:r>
      <w:r>
        <w:rPr>
          <w:rFonts w:ascii="宋体" w:hAnsi="宋体" w:cs="宋体"/>
          <w:color w:val="auto"/>
          <w:kern w:val="0"/>
          <w:sz w:val="24"/>
          <w:highlight w:val="none"/>
        </w:rPr>
        <w:t>.</w:t>
      </w:r>
      <w:r>
        <w:rPr>
          <w:rFonts w:hint="eastAsia" w:ascii="宋体" w:hAnsi="宋体" w:cs="宋体"/>
          <w:color w:val="auto"/>
          <w:kern w:val="0"/>
          <w:sz w:val="24"/>
          <w:highlight w:val="none"/>
        </w:rPr>
        <w:t>2</w:t>
      </w:r>
      <w:r>
        <w:rPr>
          <w:rFonts w:ascii="宋体" w:hAnsi="宋体" w:cs="宋体"/>
          <w:color w:val="auto"/>
          <w:kern w:val="0"/>
          <w:sz w:val="24"/>
          <w:highlight w:val="none"/>
        </w:rPr>
        <w:t>.2.</w:t>
      </w:r>
      <w:r>
        <w:rPr>
          <w:rFonts w:ascii="宋体" w:hAnsi="宋体"/>
          <w:color w:val="auto"/>
          <w:sz w:val="24"/>
          <w:highlight w:val="none"/>
        </w:rPr>
        <w:t xml:space="preserve">2 </w:t>
      </w:r>
      <w:r>
        <w:rPr>
          <w:rFonts w:hint="eastAsia" w:ascii="宋体" w:hAnsi="宋体"/>
          <w:color w:val="auto"/>
          <w:sz w:val="24"/>
          <w:highlight w:val="none"/>
        </w:rPr>
        <w:t>性能考核对所有保证指标进行</w:t>
      </w:r>
      <w:r>
        <w:rPr>
          <w:rFonts w:ascii="宋体" w:hAnsi="宋体"/>
          <w:color w:val="auto"/>
          <w:sz w:val="24"/>
          <w:highlight w:val="none"/>
        </w:rPr>
        <w:t>72</w:t>
      </w:r>
      <w:r>
        <w:rPr>
          <w:rFonts w:hint="eastAsia" w:ascii="宋体" w:hAnsi="宋体"/>
          <w:color w:val="auto"/>
          <w:sz w:val="24"/>
          <w:highlight w:val="none"/>
        </w:rPr>
        <w:t>小时连续运行考核</w:t>
      </w:r>
      <w:r>
        <w:rPr>
          <w:rFonts w:hint="eastAsia" w:ascii="宋体" w:hAnsi="宋体"/>
          <w:color w:val="auto"/>
          <w:sz w:val="24"/>
          <w:highlight w:val="none"/>
          <w:lang w:eastAsia="zh-CN"/>
        </w:rPr>
        <w:t>。</w:t>
      </w:r>
    </w:p>
    <w:p w14:paraId="3547BD41">
      <w:pPr>
        <w:pStyle w:val="4"/>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5.2.2.3以下性能考核条件中的性能参数以性能试验报告的数据为依据，时间年限以商务质保期开始为起点，质保期结束为终点。</w:t>
      </w:r>
    </w:p>
    <w:p w14:paraId="1EA92078">
      <w:pPr>
        <w:pStyle w:val="4"/>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（1）由于投标人原因延迟合同规定的交货工期时，招标人有权按每延迟一周扣除合同总价的 5 % 。</w:t>
      </w:r>
    </w:p>
    <w:p w14:paraId="41582E22">
      <w:pPr>
        <w:pStyle w:val="4"/>
        <w:spacing w:line="360" w:lineRule="auto"/>
        <w:rPr>
          <w:rFonts w:ascii="宋体" w:hAnsi="宋体" w:cs="宋体"/>
          <w:color w:val="auto"/>
          <w:kern w:val="0"/>
          <w:sz w:val="24"/>
          <w:highlight w:val="none"/>
        </w:rPr>
      </w:pPr>
      <w:r>
        <w:rPr>
          <w:rFonts w:hint="eastAsia" w:ascii="宋体" w:hAnsi="宋体" w:cs="宋体"/>
          <w:color w:val="auto"/>
          <w:kern w:val="0"/>
          <w:sz w:val="24"/>
          <w:highlight w:val="none"/>
        </w:rPr>
        <w:t>（</w:t>
      </w:r>
      <w:r>
        <w:rPr>
          <w:rFonts w:hint="eastAsia" w:ascii="宋体" w:hAnsi="宋体" w:cs="宋体"/>
          <w:color w:val="auto"/>
          <w:kern w:val="0"/>
          <w:sz w:val="24"/>
          <w:highlight w:val="none"/>
          <w:lang w:val="en-US" w:eastAsia="zh-CN"/>
        </w:rPr>
        <w:t>2</w:t>
      </w:r>
      <w:r>
        <w:rPr>
          <w:rFonts w:hint="eastAsia" w:ascii="宋体" w:hAnsi="宋体" w:cs="宋体"/>
          <w:color w:val="auto"/>
          <w:kern w:val="0"/>
          <w:sz w:val="24"/>
          <w:highlight w:val="none"/>
        </w:rPr>
        <w:t>）投标人扣除违约金后，仍有义务向招标人提供技术帮助，采取各种措施以使设备达到各项经济指标。</w:t>
      </w:r>
    </w:p>
    <w:p w14:paraId="65853A3D">
      <w:pPr>
        <w:pStyle w:val="4"/>
        <w:spacing w:line="360" w:lineRule="auto"/>
        <w:rPr>
          <w:color w:val="auto"/>
          <w:highlight w:val="none"/>
        </w:rPr>
      </w:pPr>
      <w:r>
        <w:rPr>
          <w:rFonts w:hint="eastAsia" w:ascii="宋体" w:hAnsi="宋体" w:cs="宋体"/>
          <w:color w:val="auto"/>
          <w:kern w:val="0"/>
          <w:sz w:val="24"/>
          <w:highlight w:val="none"/>
        </w:rPr>
        <w:t>（</w:t>
      </w:r>
      <w:r>
        <w:rPr>
          <w:rFonts w:hint="eastAsia" w:ascii="宋体" w:hAnsi="宋体" w:cs="宋体"/>
          <w:color w:val="auto"/>
          <w:kern w:val="0"/>
          <w:sz w:val="24"/>
          <w:highlight w:val="none"/>
          <w:lang w:val="en-US" w:eastAsia="zh-CN"/>
        </w:rPr>
        <w:t>3</w:t>
      </w:r>
      <w:r>
        <w:rPr>
          <w:rFonts w:hint="eastAsia" w:ascii="宋体" w:hAnsi="宋体" w:cs="宋体"/>
          <w:color w:val="auto"/>
          <w:kern w:val="0"/>
          <w:sz w:val="24"/>
          <w:highlight w:val="none"/>
        </w:rPr>
        <w:t>）任</w:t>
      </w:r>
      <w:r>
        <w:rPr>
          <w:rFonts w:hint="eastAsia" w:ascii="宋体" w:hAnsi="宋体" w:cs="宋体"/>
          <w:color w:val="auto"/>
          <w:kern w:val="0"/>
          <w:sz w:val="24"/>
          <w:highlight w:val="none"/>
          <w:lang w:eastAsia="zh-CN"/>
        </w:rPr>
        <w:t>何</w:t>
      </w:r>
      <w:r>
        <w:rPr>
          <w:rFonts w:hint="eastAsia" w:ascii="宋体" w:hAnsi="宋体" w:cs="宋体"/>
          <w:color w:val="auto"/>
          <w:kern w:val="0"/>
          <w:sz w:val="24"/>
          <w:highlight w:val="none"/>
        </w:rPr>
        <w:t>达不到性能参数，</w:t>
      </w:r>
      <w:r>
        <w:rPr>
          <w:rFonts w:hint="eastAsia" w:ascii="宋体" w:hAnsi="宋体" w:cs="宋体"/>
          <w:color w:val="auto"/>
          <w:kern w:val="0"/>
          <w:sz w:val="24"/>
          <w:highlight w:val="none"/>
          <w:lang w:val="en-US" w:eastAsia="zh-CN"/>
        </w:rPr>
        <w:t>投标人须在3个月内免费更换，更换后的部件仍达不到性能参数的，</w:t>
      </w:r>
      <w:r>
        <w:rPr>
          <w:rFonts w:hint="eastAsia" w:ascii="宋体" w:hAnsi="宋体" w:cs="宋体"/>
          <w:color w:val="auto"/>
          <w:kern w:val="0"/>
          <w:sz w:val="24"/>
          <w:highlight w:val="none"/>
        </w:rPr>
        <w:t xml:space="preserve">扣除合同总价的 </w:t>
      </w:r>
      <w:r>
        <w:rPr>
          <w:rFonts w:hint="eastAsia" w:ascii="宋体" w:hAnsi="宋体" w:cs="宋体"/>
          <w:color w:val="auto"/>
          <w:kern w:val="0"/>
          <w:sz w:val="24"/>
          <w:highlight w:val="none"/>
          <w:lang w:val="en-US" w:eastAsia="zh-CN"/>
        </w:rPr>
        <w:t>1</w:t>
      </w:r>
      <w:r>
        <w:rPr>
          <w:rFonts w:hint="eastAsia" w:ascii="宋体" w:hAnsi="宋体" w:cs="宋体"/>
          <w:color w:val="auto"/>
          <w:kern w:val="0"/>
          <w:sz w:val="24"/>
          <w:highlight w:val="none"/>
        </w:rPr>
        <w:t xml:space="preserve"> %</w:t>
      </w:r>
      <w:r>
        <w:rPr>
          <w:rFonts w:hint="eastAsia" w:ascii="宋体" w:hAnsi="宋体" w:cs="宋体"/>
          <w:color w:val="auto"/>
          <w:kern w:val="0"/>
          <w:sz w:val="24"/>
          <w:highlight w:val="none"/>
        </w:rPr>
        <w:t>。</w:t>
      </w:r>
    </w:p>
    <w:p w14:paraId="3E466540">
      <w:pPr>
        <w:pStyle w:val="4"/>
        <w:spacing w:line="360" w:lineRule="auto"/>
        <w:jc w:val="left"/>
        <w:outlineLvl w:val="0"/>
        <w:rPr>
          <w:rFonts w:ascii="宋体" w:hAnsi="宋体" w:cs="宋体"/>
          <w:b/>
          <w:color w:val="auto"/>
          <w:kern w:val="0"/>
          <w:sz w:val="24"/>
          <w:highlight w:val="none"/>
        </w:rPr>
      </w:pPr>
      <w:bookmarkStart w:id="16" w:name="_Toc1159"/>
      <w:r>
        <w:rPr>
          <w:rFonts w:hint="eastAsia" w:ascii="宋体" w:hAnsi="宋体"/>
          <w:b/>
          <w:color w:val="auto"/>
          <w:kern w:val="0"/>
          <w:sz w:val="28"/>
          <w:szCs w:val="28"/>
          <w:highlight w:val="none"/>
        </w:rPr>
        <w:t>6、检测与验收</w:t>
      </w:r>
      <w:bookmarkEnd w:id="16"/>
    </w:p>
    <w:p w14:paraId="0F6E6848">
      <w:pPr>
        <w:pStyle w:val="4"/>
        <w:widowControl/>
        <w:spacing w:line="360" w:lineRule="auto"/>
        <w:rPr>
          <w:rFonts w:ascii="宋体" w:hAnsi="宋体"/>
          <w:color w:val="auto"/>
          <w:sz w:val="24"/>
          <w:highlight w:val="none"/>
        </w:rPr>
      </w:pPr>
      <w:r>
        <w:rPr>
          <w:rFonts w:hint="eastAsia" w:ascii="宋体" w:hAnsi="宋体"/>
          <w:color w:val="auto"/>
          <w:sz w:val="24"/>
          <w:highlight w:val="none"/>
        </w:rPr>
        <w:t>6.1 所有的检查和试验应按照呼吸阀、阻火器、紧急泄放阀技术规定、国标和制造厂规范的要求执行</w:t>
      </w:r>
      <w:r>
        <w:rPr>
          <w:rFonts w:hint="eastAsia" w:ascii="宋体" w:hAnsi="宋体"/>
          <w:color w:val="auto"/>
          <w:sz w:val="24"/>
          <w:highlight w:val="none"/>
          <w:lang w:eastAsia="zh-CN"/>
        </w:rPr>
        <w:t>。</w:t>
      </w:r>
    </w:p>
    <w:p w14:paraId="18B25C37">
      <w:pPr>
        <w:pStyle w:val="4"/>
        <w:widowControl/>
        <w:spacing w:line="360" w:lineRule="auto"/>
        <w:rPr>
          <w:rFonts w:ascii="宋体" w:hAnsi="宋体"/>
          <w:color w:val="auto"/>
          <w:sz w:val="24"/>
          <w:highlight w:val="none"/>
        </w:rPr>
      </w:pPr>
      <w:r>
        <w:rPr>
          <w:rFonts w:hint="eastAsia" w:ascii="宋体" w:hAnsi="宋体"/>
          <w:color w:val="auto"/>
          <w:sz w:val="24"/>
          <w:highlight w:val="none"/>
        </w:rPr>
        <w:t>6.2 呼吸阀、阻火器、紧急泄放阀及其附件所使用的材料、制造工艺及检验要求，均</w:t>
      </w:r>
      <w:r>
        <w:rPr>
          <w:rFonts w:hint="eastAsia" w:ascii="宋体" w:hAnsi="宋体"/>
          <w:color w:val="auto"/>
          <w:sz w:val="24"/>
          <w:highlight w:val="none"/>
          <w:lang w:val="en-US" w:eastAsia="zh-CN"/>
        </w:rPr>
        <w:t>须满足本规范，且</w:t>
      </w:r>
      <w:r>
        <w:rPr>
          <w:rFonts w:hint="eastAsia" w:ascii="宋体" w:hAnsi="宋体"/>
          <w:color w:val="auto"/>
          <w:sz w:val="24"/>
          <w:highlight w:val="none"/>
        </w:rPr>
        <w:t>不低于国家和行业等制定颁发的相关规定和标准</w:t>
      </w:r>
      <w:r>
        <w:rPr>
          <w:rFonts w:hint="eastAsia" w:ascii="宋体" w:hAnsi="宋体"/>
          <w:color w:val="auto"/>
          <w:sz w:val="24"/>
          <w:highlight w:val="none"/>
          <w:lang w:eastAsia="zh-CN"/>
        </w:rPr>
        <w:t>。</w:t>
      </w:r>
    </w:p>
    <w:p w14:paraId="311F08FD">
      <w:pPr>
        <w:pStyle w:val="4"/>
        <w:widowControl/>
        <w:spacing w:line="360" w:lineRule="auto"/>
        <w:rPr>
          <w:rFonts w:ascii="宋体" w:hAnsi="宋体"/>
          <w:color w:val="auto"/>
          <w:sz w:val="24"/>
          <w:highlight w:val="none"/>
        </w:rPr>
      </w:pPr>
      <w:r>
        <w:rPr>
          <w:rFonts w:hint="eastAsia" w:ascii="宋体" w:hAnsi="宋体"/>
          <w:color w:val="auto"/>
          <w:sz w:val="24"/>
          <w:highlight w:val="none"/>
        </w:rPr>
        <w:t>6.3 对入厂原材料进行化学成分分析和机械性能试验；对主要连接尺寸进行检查；焊缝检测主要是着色及磁粉渗透检测，最终装配后对呼吸阀、阻火器、紧急泄放阀进行全面检查</w:t>
      </w:r>
      <w:r>
        <w:rPr>
          <w:rFonts w:hint="eastAsia" w:ascii="宋体" w:hAnsi="宋体"/>
          <w:color w:val="auto"/>
          <w:sz w:val="24"/>
          <w:highlight w:val="none"/>
          <w:lang w:eastAsia="zh-CN"/>
        </w:rPr>
        <w:t>。</w:t>
      </w:r>
    </w:p>
    <w:p w14:paraId="09801770">
      <w:pPr>
        <w:pStyle w:val="4"/>
        <w:widowControl/>
        <w:spacing w:line="360" w:lineRule="auto"/>
        <w:rPr>
          <w:rFonts w:hint="eastAsia" w:ascii="宋体" w:hAnsi="宋体" w:eastAsia="宋体"/>
          <w:color w:val="auto"/>
          <w:sz w:val="24"/>
          <w:highlight w:val="none"/>
          <w:lang w:eastAsia="zh-CN"/>
        </w:rPr>
      </w:pPr>
      <w:r>
        <w:rPr>
          <w:rFonts w:hint="eastAsia" w:ascii="宋体" w:hAnsi="宋体"/>
          <w:color w:val="auto"/>
          <w:sz w:val="24"/>
          <w:highlight w:val="none"/>
        </w:rPr>
        <w:t>6.4呼吸阀、阻火器、紧急泄放阀壳体应进行耐压试验，试验压力为公称压力的1.5倍，试压合格后排尽试压用水并将呼吸阀、阻火器、紧急泄放阀内部吹干</w:t>
      </w:r>
      <w:r>
        <w:rPr>
          <w:rFonts w:hint="eastAsia" w:ascii="宋体" w:hAnsi="宋体"/>
          <w:color w:val="auto"/>
          <w:sz w:val="24"/>
          <w:highlight w:val="none"/>
          <w:lang w:eastAsia="zh-CN"/>
        </w:rPr>
        <w:t>。</w:t>
      </w:r>
    </w:p>
    <w:p w14:paraId="56616D62">
      <w:pPr>
        <w:pStyle w:val="4"/>
        <w:widowControl/>
        <w:spacing w:line="360" w:lineRule="auto"/>
        <w:rPr>
          <w:rFonts w:ascii="宋体" w:hAnsi="宋体"/>
          <w:color w:val="auto"/>
          <w:sz w:val="24"/>
          <w:highlight w:val="none"/>
        </w:rPr>
      </w:pPr>
      <w:r>
        <w:rPr>
          <w:rFonts w:hint="eastAsia" w:ascii="宋体" w:hAnsi="宋体"/>
          <w:color w:val="auto"/>
          <w:sz w:val="24"/>
          <w:highlight w:val="none"/>
        </w:rPr>
        <w:t>6.5不锈钢部件表面须作酸洗钝化处理；</w:t>
      </w:r>
      <w:r>
        <w:rPr>
          <w:rFonts w:hint="eastAsia" w:ascii="宋体" w:hAnsi="宋体"/>
          <w:color w:val="auto"/>
          <w:sz w:val="24"/>
          <w:highlight w:val="none"/>
          <w:lang w:val="en-US" w:eastAsia="zh-CN"/>
        </w:rPr>
        <w:t>每台</w:t>
      </w:r>
      <w:r>
        <w:rPr>
          <w:rFonts w:hint="eastAsia" w:ascii="宋体" w:hAnsi="宋体"/>
          <w:color w:val="auto"/>
          <w:sz w:val="24"/>
          <w:highlight w:val="none"/>
        </w:rPr>
        <w:t>呼吸阀、紧急泄放阀出厂前作</w:t>
      </w:r>
      <w:r>
        <w:rPr>
          <w:rFonts w:hint="eastAsia" w:ascii="宋体" w:hAnsi="宋体"/>
          <w:color w:val="auto"/>
          <w:sz w:val="24"/>
          <w:highlight w:val="none"/>
          <w:lang w:val="en-US" w:eastAsia="zh-CN"/>
        </w:rPr>
        <w:t>泄漏量检测并出具泄漏量检测报告给招标人</w:t>
      </w:r>
      <w:r>
        <w:rPr>
          <w:rFonts w:hint="eastAsia" w:ascii="宋体" w:hAnsi="宋体"/>
          <w:color w:val="auto"/>
          <w:sz w:val="24"/>
          <w:highlight w:val="none"/>
        </w:rPr>
        <w:t>，招标人有权验证呼吸阀、阻火器、紧急泄放阀整个生产过程的质量检验及试验的记录，并有要求投标人进行解释的权利；</w:t>
      </w:r>
    </w:p>
    <w:p w14:paraId="7FB9BE27">
      <w:pPr>
        <w:pStyle w:val="4"/>
        <w:widowControl/>
        <w:spacing w:line="360" w:lineRule="auto"/>
        <w:rPr>
          <w:rFonts w:ascii="宋体" w:hAnsi="宋体"/>
          <w:color w:val="auto"/>
          <w:sz w:val="24"/>
          <w:highlight w:val="none"/>
        </w:rPr>
      </w:pPr>
      <w:r>
        <w:rPr>
          <w:rFonts w:hint="eastAsia" w:ascii="宋体" w:hAnsi="宋体"/>
          <w:color w:val="auto"/>
          <w:sz w:val="24"/>
          <w:highlight w:val="none"/>
        </w:rPr>
        <w:t>6.6产品的最终验收在招标人安装施工现场进行。</w:t>
      </w:r>
      <w:r>
        <w:rPr>
          <w:rFonts w:ascii="宋体" w:hAnsi="宋体"/>
          <w:color w:val="auto"/>
          <w:sz w:val="24"/>
          <w:highlight w:val="none"/>
        </w:rPr>
        <w:t xml:space="preserve"> </w:t>
      </w:r>
    </w:p>
    <w:p w14:paraId="7379F4E8">
      <w:pPr>
        <w:pStyle w:val="4"/>
        <w:widowControl/>
        <w:spacing w:line="360" w:lineRule="auto"/>
        <w:outlineLvl w:val="0"/>
        <w:rPr>
          <w:rFonts w:ascii="宋体" w:hAnsi="宋体"/>
          <w:b/>
          <w:color w:val="auto"/>
          <w:kern w:val="0"/>
          <w:sz w:val="28"/>
          <w:szCs w:val="28"/>
          <w:highlight w:val="none"/>
        </w:rPr>
      </w:pPr>
      <w:bookmarkStart w:id="17" w:name="_Toc15318"/>
      <w:r>
        <w:rPr>
          <w:rFonts w:hint="eastAsia" w:hAnsi="宋体" w:cs="宋体"/>
          <w:b/>
          <w:color w:val="auto"/>
          <w:kern w:val="0"/>
          <w:sz w:val="24"/>
          <w:highlight w:val="none"/>
        </w:rPr>
        <w:t>7</w:t>
      </w:r>
      <w:r>
        <w:rPr>
          <w:rFonts w:ascii="宋体" w:hAnsi="宋体" w:cs="宋体"/>
          <w:b/>
          <w:color w:val="auto"/>
          <w:kern w:val="0"/>
          <w:sz w:val="24"/>
          <w:highlight w:val="none"/>
        </w:rPr>
        <w:t>、</w:t>
      </w:r>
      <w:r>
        <w:rPr>
          <w:rFonts w:hint="eastAsia" w:ascii="宋体" w:hAnsi="宋体"/>
          <w:b/>
          <w:color w:val="auto"/>
          <w:kern w:val="0"/>
          <w:sz w:val="28"/>
          <w:szCs w:val="28"/>
          <w:highlight w:val="none"/>
        </w:rPr>
        <w:t xml:space="preserve"> 技术服务</w:t>
      </w:r>
      <w:bookmarkEnd w:id="17"/>
    </w:p>
    <w:p w14:paraId="422EA756">
      <w:pPr>
        <w:pStyle w:val="4"/>
        <w:widowControl/>
        <w:snapToGrid w:val="0"/>
        <w:spacing w:line="360" w:lineRule="auto"/>
        <w:rPr>
          <w:rFonts w:ascii="宋体" w:hAnsi="宋体"/>
          <w:color w:val="auto"/>
          <w:sz w:val="24"/>
          <w:highlight w:val="none"/>
          <w:lang w:val="zh-CN"/>
        </w:rPr>
      </w:pPr>
      <w:r>
        <w:rPr>
          <w:rFonts w:hint="eastAsia" w:ascii="宋体" w:hAnsi="宋体"/>
          <w:color w:val="auto"/>
          <w:sz w:val="24"/>
          <w:highlight w:val="none"/>
        </w:rPr>
        <w:t>7</w:t>
      </w:r>
      <w:r>
        <w:rPr>
          <w:rFonts w:hint="eastAsia" w:ascii="宋体" w:hAnsi="宋体"/>
          <w:color w:val="auto"/>
          <w:sz w:val="24"/>
          <w:highlight w:val="none"/>
          <w:lang w:val="zh-CN"/>
        </w:rPr>
        <w:t>.1 招标人提出投标人派技术人员现场服务时，投标人应派遣具有工程师资质的机械专业人员前往招标人的施工现场对所供</w:t>
      </w:r>
      <w:r>
        <w:rPr>
          <w:rFonts w:hint="eastAsia" w:ascii="宋体" w:hAnsi="宋体"/>
          <w:color w:val="auto"/>
          <w:sz w:val="24"/>
          <w:highlight w:val="none"/>
        </w:rPr>
        <w:t>呼吸阀、阻火器、紧急泄放阀</w:t>
      </w:r>
      <w:r>
        <w:rPr>
          <w:rFonts w:hint="eastAsia" w:ascii="宋体" w:hAnsi="宋体"/>
          <w:color w:val="auto"/>
          <w:sz w:val="24"/>
          <w:highlight w:val="none"/>
          <w:lang w:val="zh-CN"/>
        </w:rPr>
        <w:t>提供技术服务。</w:t>
      </w:r>
    </w:p>
    <w:p w14:paraId="288BC577">
      <w:pPr>
        <w:pStyle w:val="4"/>
        <w:widowControl/>
        <w:snapToGrid w:val="0"/>
        <w:spacing w:line="360" w:lineRule="auto"/>
        <w:rPr>
          <w:rFonts w:ascii="宋体" w:hAnsi="宋体"/>
          <w:color w:val="auto"/>
          <w:sz w:val="24"/>
          <w:highlight w:val="none"/>
          <w:lang w:val="zh-CN"/>
        </w:rPr>
      </w:pPr>
      <w:r>
        <w:rPr>
          <w:rFonts w:hint="eastAsia" w:ascii="宋体" w:hAnsi="宋体"/>
          <w:color w:val="auto"/>
          <w:sz w:val="24"/>
          <w:highlight w:val="none"/>
        </w:rPr>
        <w:t>7</w:t>
      </w:r>
      <w:r>
        <w:rPr>
          <w:rFonts w:hint="eastAsia" w:ascii="宋体" w:hAnsi="宋体"/>
          <w:color w:val="auto"/>
          <w:sz w:val="24"/>
          <w:highlight w:val="none"/>
          <w:lang w:val="zh-CN"/>
        </w:rPr>
        <w:t>.2 投标人应将派遣人员的资料事先传真给招标人以方便联系。</w:t>
      </w:r>
    </w:p>
    <w:p w14:paraId="61EF8275">
      <w:pPr>
        <w:pStyle w:val="4"/>
        <w:widowControl/>
        <w:snapToGrid w:val="0"/>
        <w:spacing w:line="360" w:lineRule="auto"/>
        <w:rPr>
          <w:rFonts w:ascii="宋体" w:hAnsi="宋体"/>
          <w:color w:val="auto"/>
          <w:sz w:val="24"/>
          <w:highlight w:val="none"/>
          <w:lang w:val="zh-CN"/>
        </w:rPr>
      </w:pPr>
      <w:r>
        <w:rPr>
          <w:rFonts w:hint="eastAsia" w:ascii="宋体" w:hAnsi="宋体"/>
          <w:color w:val="auto"/>
          <w:sz w:val="24"/>
          <w:highlight w:val="none"/>
        </w:rPr>
        <w:t>7</w:t>
      </w:r>
      <w:r>
        <w:rPr>
          <w:rFonts w:hint="eastAsia" w:ascii="宋体" w:hAnsi="宋体"/>
          <w:color w:val="auto"/>
          <w:sz w:val="24"/>
          <w:highlight w:val="none"/>
          <w:lang w:val="zh-CN"/>
        </w:rPr>
        <w:t>.3 招标人然后将需要提供技术服务的内容以传真</w:t>
      </w:r>
      <w:r>
        <w:rPr>
          <w:rFonts w:hint="eastAsia" w:ascii="宋体" w:hAnsi="宋体"/>
          <w:color w:val="auto"/>
          <w:sz w:val="24"/>
          <w:highlight w:val="none"/>
        </w:rPr>
        <w:t>或</w:t>
      </w:r>
      <w:r>
        <w:rPr>
          <w:rFonts w:hint="eastAsia" w:ascii="宋体" w:hAnsi="宋体"/>
          <w:color w:val="auto"/>
          <w:sz w:val="24"/>
          <w:highlight w:val="none"/>
          <w:lang w:val="zh-CN"/>
        </w:rPr>
        <w:t>的方式通知投标人。</w:t>
      </w:r>
    </w:p>
    <w:p w14:paraId="05126A34">
      <w:pPr>
        <w:pStyle w:val="4"/>
        <w:widowControl/>
        <w:snapToGrid w:val="0"/>
        <w:spacing w:line="360" w:lineRule="auto"/>
        <w:rPr>
          <w:rFonts w:ascii="宋体" w:hAnsi="宋体"/>
          <w:color w:val="auto"/>
          <w:sz w:val="24"/>
          <w:highlight w:val="none"/>
          <w:lang w:val="zh-CN"/>
        </w:rPr>
      </w:pPr>
      <w:r>
        <w:rPr>
          <w:rFonts w:hint="eastAsia" w:ascii="宋体" w:hAnsi="宋体"/>
          <w:color w:val="auto"/>
          <w:sz w:val="24"/>
          <w:highlight w:val="none"/>
        </w:rPr>
        <w:t>7</w:t>
      </w:r>
      <w:r>
        <w:rPr>
          <w:rFonts w:hint="eastAsia" w:ascii="宋体" w:hAnsi="宋体"/>
          <w:color w:val="auto"/>
          <w:sz w:val="24"/>
          <w:highlight w:val="none"/>
          <w:lang w:val="zh-CN"/>
        </w:rPr>
        <w:t>.4 如果出现质量问题，投标人在接到招标人的通知后12小时内给予答复，如果需要投标人的服务人员现场提供服务，投标人应在36小时内到达现场，紧急情况下24小时内到达现场。</w:t>
      </w:r>
    </w:p>
    <w:p w14:paraId="34A8EB99">
      <w:pPr>
        <w:pStyle w:val="4"/>
        <w:widowControl/>
        <w:snapToGrid w:val="0"/>
        <w:spacing w:line="360" w:lineRule="auto"/>
        <w:rPr>
          <w:rFonts w:ascii="宋体" w:hAnsi="宋体"/>
          <w:color w:val="auto"/>
          <w:sz w:val="24"/>
          <w:highlight w:val="none"/>
          <w:lang w:val="zh-CN"/>
        </w:rPr>
      </w:pPr>
      <w:r>
        <w:rPr>
          <w:rFonts w:hint="eastAsia" w:ascii="宋体" w:hAnsi="宋体"/>
          <w:color w:val="auto"/>
          <w:sz w:val="24"/>
          <w:highlight w:val="none"/>
        </w:rPr>
        <w:t>7</w:t>
      </w:r>
      <w:r>
        <w:rPr>
          <w:rFonts w:hint="eastAsia" w:ascii="宋体" w:hAnsi="宋体"/>
          <w:color w:val="auto"/>
          <w:sz w:val="24"/>
          <w:highlight w:val="none"/>
          <w:lang w:val="zh-CN"/>
        </w:rPr>
        <w:t>.5 资料提供：投标人应严格按照</w:t>
      </w:r>
      <w:r>
        <w:rPr>
          <w:rFonts w:hint="eastAsia" w:ascii="宋体" w:hAnsi="宋体"/>
          <w:color w:val="auto"/>
          <w:sz w:val="24"/>
          <w:highlight w:val="none"/>
        </w:rPr>
        <w:t>技术规范书</w:t>
      </w:r>
      <w:r>
        <w:rPr>
          <w:rFonts w:hint="eastAsia" w:ascii="宋体" w:hAnsi="宋体"/>
          <w:color w:val="auto"/>
          <w:sz w:val="24"/>
          <w:highlight w:val="none"/>
          <w:lang w:val="zh-CN"/>
        </w:rPr>
        <w:t>规定时间提供规定的资料；如招标人另外提出需要相关的资料，投标人也应及时响应，严格按协商的时间提供；</w:t>
      </w:r>
    </w:p>
    <w:p w14:paraId="7E3C551C">
      <w:pPr>
        <w:pStyle w:val="4"/>
        <w:widowControl/>
        <w:snapToGrid w:val="0"/>
        <w:spacing w:line="360" w:lineRule="auto"/>
        <w:rPr>
          <w:rFonts w:ascii="宋体" w:hAnsi="宋体"/>
          <w:color w:val="auto"/>
          <w:sz w:val="24"/>
          <w:highlight w:val="none"/>
          <w:lang w:val="zh-CN"/>
        </w:rPr>
      </w:pPr>
      <w:r>
        <w:rPr>
          <w:rFonts w:hint="eastAsia" w:ascii="宋体" w:hAnsi="宋体"/>
          <w:color w:val="auto"/>
          <w:sz w:val="24"/>
          <w:highlight w:val="none"/>
        </w:rPr>
        <w:t>7</w:t>
      </w:r>
      <w:r>
        <w:rPr>
          <w:rFonts w:hint="eastAsia" w:ascii="宋体" w:hAnsi="宋体"/>
          <w:color w:val="auto"/>
          <w:sz w:val="24"/>
          <w:highlight w:val="none"/>
          <w:lang w:val="zh-CN"/>
        </w:rPr>
        <w:t>.6 投标人现场服务人员职责</w:t>
      </w:r>
    </w:p>
    <w:p w14:paraId="0E9209F8">
      <w:pPr>
        <w:pStyle w:val="4"/>
        <w:widowControl/>
        <w:snapToGrid w:val="0"/>
        <w:spacing w:line="360" w:lineRule="auto"/>
        <w:rPr>
          <w:rFonts w:ascii="宋体" w:hAnsi="宋体"/>
          <w:color w:val="auto"/>
          <w:sz w:val="24"/>
          <w:highlight w:val="none"/>
        </w:rPr>
      </w:pPr>
      <w:r>
        <w:rPr>
          <w:rFonts w:hint="eastAsia" w:ascii="宋体" w:hAnsi="宋体"/>
          <w:color w:val="auto"/>
          <w:sz w:val="24"/>
          <w:highlight w:val="none"/>
        </w:rPr>
        <w:t>投标人现场服务人员应有权全权处理现场出现的一切技术和商务问题，如现场发生质量问题，投标人现场人员要在招标人规定的时间内处理解决；如投标人委托招标人进行处理，投标人现场服务人员要出具委托书并承担相应的经济责任。</w:t>
      </w:r>
    </w:p>
    <w:p w14:paraId="11B97E66">
      <w:pPr>
        <w:pStyle w:val="4"/>
        <w:widowControl/>
        <w:snapToGrid w:val="0"/>
        <w:spacing w:line="360" w:lineRule="auto"/>
        <w:rPr>
          <w:rFonts w:ascii="宋体" w:hAnsi="宋体"/>
          <w:color w:val="auto"/>
          <w:sz w:val="24"/>
          <w:highlight w:val="none"/>
        </w:rPr>
      </w:pPr>
      <w:r>
        <w:rPr>
          <w:rFonts w:hint="eastAsia" w:ascii="宋体" w:hAnsi="宋体"/>
          <w:color w:val="auto"/>
          <w:sz w:val="24"/>
          <w:highlight w:val="none"/>
        </w:rPr>
        <w:t>7.7投标人对其现场服务人员的一切行为负全部责任；</w:t>
      </w:r>
    </w:p>
    <w:p w14:paraId="0678E5D1">
      <w:pPr>
        <w:pStyle w:val="4"/>
        <w:widowControl/>
        <w:snapToGrid w:val="0"/>
        <w:spacing w:line="360" w:lineRule="auto"/>
        <w:rPr>
          <w:rFonts w:ascii="宋体" w:hAnsi="宋体"/>
          <w:color w:val="auto"/>
          <w:sz w:val="24"/>
          <w:highlight w:val="none"/>
        </w:rPr>
      </w:pPr>
      <w:r>
        <w:rPr>
          <w:rFonts w:hint="eastAsia" w:ascii="宋体" w:hAnsi="宋体"/>
          <w:color w:val="auto"/>
          <w:sz w:val="24"/>
          <w:highlight w:val="none"/>
        </w:rPr>
        <w:t>7.8 投标人现场服务人员资料须取得招标人同意，招标人有权提出更换不合格的投标人现场服务人员，投标人必须配合；</w:t>
      </w:r>
    </w:p>
    <w:p w14:paraId="0899D445">
      <w:pPr>
        <w:pStyle w:val="4"/>
        <w:widowControl/>
        <w:snapToGrid w:val="0"/>
        <w:spacing w:line="360" w:lineRule="auto"/>
        <w:rPr>
          <w:rFonts w:ascii="宋体" w:hAnsi="宋体"/>
          <w:color w:val="auto"/>
          <w:sz w:val="24"/>
          <w:highlight w:val="none"/>
        </w:rPr>
      </w:pPr>
      <w:r>
        <w:rPr>
          <w:rFonts w:hint="eastAsia" w:ascii="宋体" w:hAnsi="宋体"/>
          <w:color w:val="auto"/>
          <w:sz w:val="24"/>
          <w:highlight w:val="none"/>
        </w:rPr>
        <w:t>7.9调试运行：</w:t>
      </w:r>
    </w:p>
    <w:p w14:paraId="06DCD4B0">
      <w:pPr>
        <w:pStyle w:val="4"/>
        <w:widowControl/>
        <w:snapToGrid w:val="0"/>
        <w:spacing w:line="360" w:lineRule="auto"/>
        <w:rPr>
          <w:rFonts w:ascii="宋体" w:hAnsi="宋体"/>
          <w:color w:val="auto"/>
          <w:sz w:val="24"/>
          <w:highlight w:val="none"/>
        </w:rPr>
      </w:pPr>
      <w:r>
        <w:rPr>
          <w:rFonts w:hint="eastAsia" w:ascii="宋体" w:hAnsi="宋体"/>
          <w:color w:val="auto"/>
          <w:sz w:val="24"/>
          <w:highlight w:val="none"/>
        </w:rPr>
        <w:t>7.9.1在产品调试阶段，投标人免费提供调试运行服务；当招标人提出派员要求，投标人在8小时内回应，如有必要，派出人员在36小时内到现场；投标人必须保证该要求内的所有设备都具备调试运行条件；</w:t>
      </w:r>
    </w:p>
    <w:p w14:paraId="7C03427F">
      <w:pPr>
        <w:pStyle w:val="4"/>
        <w:widowControl/>
        <w:snapToGrid w:val="0"/>
        <w:spacing w:line="360" w:lineRule="auto"/>
        <w:rPr>
          <w:rFonts w:ascii="宋体" w:hAnsi="宋体"/>
          <w:color w:val="auto"/>
          <w:sz w:val="24"/>
          <w:highlight w:val="none"/>
        </w:rPr>
      </w:pPr>
      <w:r>
        <w:rPr>
          <w:rFonts w:hint="eastAsia" w:ascii="宋体" w:hAnsi="宋体"/>
          <w:color w:val="auto"/>
          <w:sz w:val="24"/>
          <w:highlight w:val="none"/>
        </w:rPr>
        <w:t>7.9.2调试服务期为7个工作日（合同总价包含服务费）；</w:t>
      </w:r>
    </w:p>
    <w:p w14:paraId="77F8F29A">
      <w:pPr>
        <w:pStyle w:val="4"/>
        <w:spacing w:line="360" w:lineRule="auto"/>
        <w:rPr>
          <w:rFonts w:hAnsi="宋体"/>
          <w:b/>
          <w:color w:val="auto"/>
          <w:kern w:val="0"/>
          <w:sz w:val="28"/>
          <w:szCs w:val="28"/>
          <w:highlight w:val="none"/>
        </w:rPr>
      </w:pPr>
      <w:r>
        <w:rPr>
          <w:rFonts w:hint="eastAsia" w:ascii="宋体" w:hAnsi="宋体"/>
          <w:color w:val="auto"/>
          <w:sz w:val="24"/>
          <w:highlight w:val="none"/>
        </w:rPr>
        <w:t>7.10售后服务：在质保期内接到要求售后服务的通知后，应在8小时内作出回应，如有必要，派出人员在36小时内赶到现场，紧急情况下24小时内到达现场；在质保期内，投标人对所供产品无偿提供终身售后服务，包括技术服务、技术咨询、产品的技术维修；在质保期外，对所供产品有偿提供终身售后服务，包括技术服务、技术咨询、产品的技术维修等，费用双方协商。</w:t>
      </w:r>
    </w:p>
    <w:p w14:paraId="54515C58">
      <w:pPr>
        <w:pStyle w:val="4"/>
        <w:spacing w:line="360" w:lineRule="auto"/>
        <w:outlineLvl w:val="0"/>
        <w:rPr>
          <w:rFonts w:ascii="宋体" w:hAnsi="宋体"/>
          <w:b/>
          <w:color w:val="auto"/>
          <w:kern w:val="0"/>
          <w:sz w:val="28"/>
          <w:szCs w:val="28"/>
          <w:highlight w:val="none"/>
          <w:lang w:val="zh-CN"/>
        </w:rPr>
      </w:pPr>
      <w:bookmarkStart w:id="18" w:name="_Toc679"/>
      <w:r>
        <w:rPr>
          <w:rFonts w:hint="eastAsia" w:hAnsi="宋体"/>
          <w:b/>
          <w:color w:val="auto"/>
          <w:kern w:val="0"/>
          <w:sz w:val="28"/>
          <w:szCs w:val="28"/>
          <w:highlight w:val="none"/>
        </w:rPr>
        <w:t>8、</w:t>
      </w:r>
      <w:r>
        <w:rPr>
          <w:rFonts w:hint="eastAsia" w:ascii="宋体" w:hAnsi="宋体"/>
          <w:b/>
          <w:color w:val="auto"/>
          <w:kern w:val="0"/>
          <w:sz w:val="28"/>
          <w:szCs w:val="28"/>
          <w:highlight w:val="none"/>
          <w:lang w:val="zh-CN"/>
        </w:rPr>
        <w:t>包装、运输</w:t>
      </w:r>
      <w:bookmarkEnd w:id="18"/>
    </w:p>
    <w:p w14:paraId="126911C5">
      <w:pPr>
        <w:pStyle w:val="4"/>
        <w:widowControl/>
        <w:snapToGrid w:val="0"/>
        <w:spacing w:line="360" w:lineRule="auto"/>
        <w:rPr>
          <w:rFonts w:ascii="宋体" w:hAnsi="宋体"/>
          <w:color w:val="auto"/>
          <w:sz w:val="24"/>
          <w:highlight w:val="none"/>
          <w:lang w:val="zh-CN"/>
        </w:rPr>
      </w:pPr>
      <w:r>
        <w:rPr>
          <w:rFonts w:hint="eastAsia" w:ascii="宋体" w:hAnsi="宋体"/>
          <w:color w:val="auto"/>
          <w:sz w:val="24"/>
          <w:highlight w:val="none"/>
        </w:rPr>
        <w:t>8</w:t>
      </w:r>
      <w:r>
        <w:rPr>
          <w:rFonts w:hint="eastAsia" w:ascii="宋体" w:hAnsi="宋体"/>
          <w:color w:val="auto"/>
          <w:sz w:val="24"/>
          <w:highlight w:val="none"/>
          <w:lang w:val="zh-CN"/>
        </w:rPr>
        <w:t>.1 产品须在检验和试验合格后使产品内部干燥、清洁，并且所有的开口都应封闭后方可进行包装、发货；</w:t>
      </w:r>
    </w:p>
    <w:p w14:paraId="7CB36D47">
      <w:pPr>
        <w:pStyle w:val="4"/>
        <w:widowControl/>
        <w:snapToGrid w:val="0"/>
        <w:spacing w:line="360" w:lineRule="auto"/>
        <w:rPr>
          <w:rFonts w:ascii="宋体" w:hAnsi="宋体"/>
          <w:color w:val="auto"/>
          <w:sz w:val="24"/>
          <w:highlight w:val="none"/>
          <w:lang w:val="zh-CN"/>
        </w:rPr>
      </w:pPr>
      <w:r>
        <w:rPr>
          <w:rFonts w:hint="eastAsia" w:ascii="宋体" w:hAnsi="宋体"/>
          <w:color w:val="auto"/>
          <w:sz w:val="24"/>
          <w:highlight w:val="none"/>
        </w:rPr>
        <w:t>8</w:t>
      </w:r>
      <w:r>
        <w:rPr>
          <w:rFonts w:hint="eastAsia" w:ascii="宋体" w:hAnsi="宋体"/>
          <w:color w:val="auto"/>
          <w:sz w:val="24"/>
          <w:highlight w:val="none"/>
          <w:lang w:val="zh-CN"/>
        </w:rPr>
        <w:t>.2 产品的包装应符合安全、经济、不受损的要求，投标人应对不合适的包装所引起的零部件生锈、损坏和丢失承担全部责任；</w:t>
      </w:r>
    </w:p>
    <w:p w14:paraId="5B539755">
      <w:pPr>
        <w:pStyle w:val="4"/>
        <w:widowControl/>
        <w:snapToGrid w:val="0"/>
        <w:spacing w:line="360" w:lineRule="auto"/>
        <w:rPr>
          <w:rFonts w:ascii="宋体" w:hAnsi="宋体" w:cs="宋体"/>
          <w:color w:val="auto"/>
          <w:kern w:val="0"/>
          <w:sz w:val="24"/>
          <w:highlight w:val="none"/>
        </w:rPr>
      </w:pPr>
      <w:r>
        <w:rPr>
          <w:rFonts w:hint="eastAsia" w:ascii="宋体" w:hAnsi="宋体"/>
          <w:color w:val="auto"/>
          <w:sz w:val="24"/>
          <w:highlight w:val="none"/>
        </w:rPr>
        <w:t>8</w:t>
      </w:r>
      <w:r>
        <w:rPr>
          <w:rFonts w:hint="eastAsia" w:ascii="宋体" w:hAnsi="宋体"/>
          <w:color w:val="auto"/>
          <w:sz w:val="24"/>
          <w:highlight w:val="none"/>
          <w:lang w:val="zh-CN"/>
        </w:rPr>
        <w:t>.3 所有零部件及附件的包装，应保证在运输和</w:t>
      </w:r>
      <w:r>
        <w:rPr>
          <w:rFonts w:hint="eastAsia" w:ascii="宋体" w:hAnsi="宋体" w:cs="宋体"/>
          <w:color w:val="auto"/>
          <w:kern w:val="0"/>
          <w:sz w:val="24"/>
          <w:highlight w:val="none"/>
        </w:rPr>
        <w:t>储存过程中不发生变形和损坏，碳钢零部件应有防锈措施。所有包装箱应有详细的标记和装箱清单。备品备件应单独装箱发货；</w:t>
      </w:r>
    </w:p>
    <w:p w14:paraId="1EFF0275">
      <w:pPr>
        <w:pStyle w:val="4"/>
        <w:spacing w:line="360" w:lineRule="auto"/>
        <w:rPr>
          <w:rFonts w:ascii="宋体" w:hAnsi="宋体" w:cs="宋体"/>
          <w:bCs/>
          <w:color w:val="auto"/>
          <w:kern w:val="0"/>
          <w:sz w:val="24"/>
          <w:highlight w:val="none"/>
        </w:rPr>
      </w:pPr>
      <w:r>
        <w:rPr>
          <w:rFonts w:hint="eastAsia" w:ascii="宋体" w:hAnsi="宋体" w:cs="宋体"/>
          <w:color w:val="auto"/>
          <w:kern w:val="0"/>
          <w:sz w:val="24"/>
          <w:highlight w:val="none"/>
        </w:rPr>
        <w:t xml:space="preserve">8.4 </w:t>
      </w:r>
      <w:r>
        <w:rPr>
          <w:rFonts w:hint="eastAsia" w:ascii="宋体" w:hAnsi="宋体" w:cs="宋体"/>
          <w:bCs/>
          <w:color w:val="auto"/>
          <w:kern w:val="0"/>
          <w:sz w:val="24"/>
          <w:highlight w:val="none"/>
        </w:rPr>
        <w:t>设备包装</w:t>
      </w:r>
    </w:p>
    <w:p w14:paraId="1A611F93">
      <w:pPr>
        <w:pStyle w:val="4"/>
        <w:spacing w:line="360" w:lineRule="auto"/>
        <w:rPr>
          <w:rFonts w:ascii="宋体" w:hAnsi="宋体" w:cs="宋体"/>
          <w:bCs/>
          <w:color w:val="auto"/>
          <w:kern w:val="0"/>
          <w:sz w:val="24"/>
          <w:highlight w:val="none"/>
        </w:rPr>
      </w:pPr>
      <w:r>
        <w:rPr>
          <w:rFonts w:hint="eastAsia" w:ascii="宋体" w:hAnsi="宋体" w:cs="宋体"/>
          <w:color w:val="auto"/>
          <w:kern w:val="0"/>
          <w:sz w:val="24"/>
          <w:highlight w:val="none"/>
        </w:rPr>
        <w:t xml:space="preserve">8.4 </w:t>
      </w:r>
      <w:r>
        <w:rPr>
          <w:rFonts w:hint="eastAsia" w:ascii="宋体" w:hAnsi="宋体" w:cs="宋体"/>
          <w:bCs/>
          <w:color w:val="auto"/>
          <w:kern w:val="0"/>
          <w:sz w:val="24"/>
          <w:highlight w:val="none"/>
        </w:rPr>
        <w:t>1设备的包装符合GB/T13384标准的规定, 并采取防雨﹑防潮﹑防锈﹑防震等措施，以免在运输过程中，由于振动和碰撞引起轴承等部件的损坏。设备出厂时，零部件的包装符合相关的规定，应按条款4.1.1表备注所示的生产车间分别装箱，遵循适于运输、便于安装和查找的原则。</w:t>
      </w:r>
    </w:p>
    <w:p w14:paraId="334096D7">
      <w:pPr>
        <w:pStyle w:val="4"/>
        <w:spacing w:line="360" w:lineRule="auto"/>
        <w:rPr>
          <w:rFonts w:ascii="宋体" w:hAnsi="宋体" w:cs="宋体"/>
          <w:bCs/>
          <w:color w:val="auto"/>
          <w:kern w:val="0"/>
          <w:sz w:val="24"/>
          <w:highlight w:val="none"/>
        </w:rPr>
      </w:pPr>
      <w:r>
        <w:rPr>
          <w:rFonts w:hint="eastAsia" w:ascii="宋体" w:hAnsi="宋体" w:cs="宋体"/>
          <w:color w:val="auto"/>
          <w:kern w:val="0"/>
          <w:sz w:val="24"/>
          <w:highlight w:val="none"/>
        </w:rPr>
        <w:t xml:space="preserve">8.4 </w:t>
      </w:r>
      <w:r>
        <w:rPr>
          <w:rFonts w:hint="eastAsia" w:ascii="宋体" w:hAnsi="宋体" w:cs="宋体"/>
          <w:bCs/>
          <w:color w:val="auto"/>
          <w:kern w:val="0"/>
          <w:sz w:val="24"/>
          <w:highlight w:val="none"/>
        </w:rPr>
        <w:t>2每个设备箱内应包括两份详细的装箱单和一份质量检验证明。</w:t>
      </w:r>
    </w:p>
    <w:p w14:paraId="629ECCB3">
      <w:pPr>
        <w:pStyle w:val="4"/>
        <w:spacing w:line="360" w:lineRule="auto"/>
        <w:rPr>
          <w:rFonts w:ascii="宋体" w:hAnsi="宋体" w:cs="宋体"/>
          <w:bCs/>
          <w:color w:val="auto"/>
          <w:kern w:val="0"/>
          <w:sz w:val="24"/>
          <w:highlight w:val="none"/>
        </w:rPr>
      </w:pPr>
      <w:r>
        <w:rPr>
          <w:rFonts w:hint="eastAsia" w:ascii="宋体" w:hAnsi="宋体" w:cs="宋体"/>
          <w:color w:val="auto"/>
          <w:kern w:val="0"/>
          <w:sz w:val="24"/>
          <w:highlight w:val="none"/>
        </w:rPr>
        <w:t xml:space="preserve">8.4 </w:t>
      </w:r>
      <w:r>
        <w:rPr>
          <w:rFonts w:hint="eastAsia" w:ascii="宋体" w:hAnsi="宋体" w:cs="宋体"/>
          <w:bCs/>
          <w:color w:val="auto"/>
          <w:kern w:val="0"/>
          <w:sz w:val="24"/>
          <w:highlight w:val="none"/>
        </w:rPr>
        <w:t>3对装箱供给的设备，投标人应在每个箱子的四面清楚地标明订货号、运输识别号、发货及到货地点、发货人及收货人（并标注生产车间）、设备名称、工程项目名称、箱号（箱的序号/设备总件数）、毛/净重、外形尺寸（长×宽×高）、设备运输及贮存保管要求的国际通用标记。对于2t或更重的包装箱，还应在两侧用箭头突出地标出重心和起吊点的位置，以便装卸和搬运。</w:t>
      </w:r>
    </w:p>
    <w:p w14:paraId="6C6DE8A7">
      <w:pPr>
        <w:pStyle w:val="10"/>
        <w:spacing w:line="240" w:lineRule="auto"/>
        <w:rPr>
          <w:rFonts w:hAnsi="宋体"/>
          <w:color w:val="auto"/>
          <w:kern w:val="0"/>
          <w:sz w:val="28"/>
          <w:szCs w:val="28"/>
          <w:highlight w:val="none"/>
        </w:rPr>
      </w:pPr>
      <w:bookmarkStart w:id="19" w:name="_Toc1190"/>
      <w:r>
        <w:rPr>
          <w:rFonts w:hint="eastAsia" w:hAnsi="宋体"/>
          <w:color w:val="auto"/>
          <w:kern w:val="0"/>
          <w:sz w:val="28"/>
          <w:szCs w:val="28"/>
          <w:highlight w:val="none"/>
        </w:rPr>
        <w:t>9、文件和技术资料的交付</w:t>
      </w:r>
      <w:bookmarkEnd w:id="19"/>
    </w:p>
    <w:p w14:paraId="62DD9D4E">
      <w:pPr>
        <w:pStyle w:val="4"/>
        <w:keepNext w:val="0"/>
        <w:keepLines w:val="0"/>
        <w:pageBreakBefore w:val="0"/>
        <w:widowControl/>
        <w:kinsoku/>
        <w:wordWrap/>
        <w:overflowPunct/>
        <w:topLinePunct w:val="0"/>
        <w:autoSpaceDE/>
        <w:autoSpaceDN/>
        <w:bidi w:val="0"/>
        <w:adjustRightInd/>
        <w:snapToGrid w:val="0"/>
        <w:spacing w:line="360" w:lineRule="auto"/>
        <w:textAlignment w:val="auto"/>
        <w:rPr>
          <w:rFonts w:hint="eastAsia" w:ascii="宋体" w:hAnsi="宋体" w:eastAsia="宋体" w:cs="宋体"/>
          <w:color w:val="auto"/>
          <w:kern w:val="0"/>
          <w:sz w:val="24"/>
          <w:highlight w:val="none"/>
          <w:lang w:eastAsia="zh-CN"/>
        </w:rPr>
      </w:pPr>
      <w:r>
        <w:rPr>
          <w:rFonts w:hint="eastAsia" w:ascii="宋体" w:hAnsi="宋体" w:cs="宋体"/>
          <w:color w:val="auto"/>
          <w:kern w:val="0"/>
          <w:sz w:val="24"/>
          <w:highlight w:val="none"/>
        </w:rPr>
        <w:t>投标文件</w:t>
      </w:r>
      <w:r>
        <w:rPr>
          <w:rFonts w:hint="eastAsia" w:ascii="宋体" w:hAnsi="宋体" w:cs="宋体"/>
          <w:color w:val="auto"/>
          <w:kern w:val="0"/>
          <w:sz w:val="24"/>
          <w:highlight w:val="none"/>
          <w:lang w:eastAsia="zh-CN"/>
        </w:rPr>
        <w:t>应包括并不限于下列内容：</w:t>
      </w:r>
    </w:p>
    <w:p w14:paraId="03EA9AEB">
      <w:pPr>
        <w:pStyle w:val="4"/>
        <w:keepNext w:val="0"/>
        <w:keepLines w:val="0"/>
        <w:pageBreakBefore w:val="0"/>
        <w:widowControl/>
        <w:kinsoku/>
        <w:wordWrap/>
        <w:overflowPunct/>
        <w:topLinePunct w:val="0"/>
        <w:autoSpaceDE/>
        <w:autoSpaceDN/>
        <w:bidi w:val="0"/>
        <w:adjustRightInd/>
        <w:snapToGrid w:val="0"/>
        <w:spacing w:line="360" w:lineRule="auto"/>
        <w:textAlignment w:val="auto"/>
        <w:rPr>
          <w:rFonts w:hint="eastAsia" w:ascii="宋体" w:hAnsi="宋体" w:cs="宋体"/>
          <w:color w:val="auto"/>
          <w:kern w:val="0"/>
          <w:sz w:val="24"/>
          <w:highlight w:val="none"/>
          <w:lang w:eastAsia="zh-CN"/>
        </w:rPr>
      </w:pPr>
      <w:r>
        <w:rPr>
          <w:rFonts w:hint="eastAsia" w:ascii="宋体" w:hAnsi="宋体" w:cs="宋体"/>
          <w:color w:val="auto"/>
          <w:kern w:val="0"/>
          <w:sz w:val="24"/>
          <w:highlight w:val="none"/>
          <w:lang w:val="en-US" w:eastAsia="zh-CN"/>
        </w:rPr>
        <w:t>1）</w:t>
      </w:r>
      <w:r>
        <w:rPr>
          <w:rFonts w:hint="eastAsia" w:ascii="宋体" w:hAnsi="宋体" w:cs="宋体"/>
          <w:color w:val="auto"/>
          <w:kern w:val="0"/>
          <w:sz w:val="24"/>
          <w:highlight w:val="none"/>
        </w:rPr>
        <w:t>提供</w:t>
      </w:r>
      <w:r>
        <w:rPr>
          <w:rFonts w:hint="eastAsia" w:ascii="宋体" w:hAnsi="宋体" w:cs="宋体"/>
          <w:color w:val="auto"/>
          <w:kern w:val="0"/>
          <w:sz w:val="24"/>
          <w:highlight w:val="none"/>
          <w:lang w:val="en-US" w:eastAsia="zh-CN"/>
        </w:rPr>
        <w:t>阻火器</w:t>
      </w:r>
      <w:r>
        <w:rPr>
          <w:rFonts w:hint="eastAsia" w:ascii="宋体" w:hAnsi="宋体" w:cs="宋体"/>
          <w:color w:val="auto"/>
          <w:kern w:val="0"/>
          <w:sz w:val="24"/>
          <w:highlight w:val="none"/>
          <w:lang w:eastAsia="zh-CN"/>
        </w:rPr>
        <w:t>的</w:t>
      </w:r>
      <w:r>
        <w:rPr>
          <w:rFonts w:hint="eastAsia" w:ascii="宋体" w:hAnsi="宋体" w:cs="宋体"/>
          <w:color w:val="auto"/>
          <w:kern w:val="0"/>
          <w:sz w:val="24"/>
          <w:highlight w:val="none"/>
        </w:rPr>
        <w:t>型式</w:t>
      </w:r>
      <w:r>
        <w:rPr>
          <w:rFonts w:hint="eastAsia" w:ascii="宋体" w:hAnsi="宋体" w:cs="宋体"/>
          <w:color w:val="auto"/>
          <w:kern w:val="0"/>
          <w:sz w:val="24"/>
          <w:highlight w:val="none"/>
          <w:lang w:val="en-US" w:eastAsia="zh-CN"/>
        </w:rPr>
        <w:t>试验</w:t>
      </w:r>
      <w:r>
        <w:rPr>
          <w:rFonts w:hint="eastAsia" w:ascii="宋体" w:hAnsi="宋体" w:cs="宋体"/>
          <w:color w:val="auto"/>
          <w:kern w:val="0"/>
          <w:sz w:val="24"/>
          <w:highlight w:val="none"/>
          <w:lang w:val="en-US" w:eastAsia="zh-CN"/>
        </w:rPr>
        <w:t>报告</w:t>
      </w:r>
      <w:r>
        <w:rPr>
          <w:rFonts w:hint="eastAsia" w:ascii="宋体" w:hAnsi="宋体" w:cs="宋体"/>
          <w:color w:val="auto"/>
          <w:kern w:val="0"/>
          <w:sz w:val="24"/>
          <w:highlight w:val="none"/>
          <w:lang w:val="en-US" w:eastAsia="zh-CN"/>
        </w:rPr>
        <w:t>、</w:t>
      </w:r>
      <w:r>
        <w:rPr>
          <w:rFonts w:hint="eastAsia" w:ascii="宋体" w:hAnsi="宋体" w:cs="宋体"/>
          <w:color w:val="auto"/>
          <w:kern w:val="0"/>
          <w:sz w:val="24"/>
          <w:highlight w:val="none"/>
        </w:rPr>
        <w:t>认证书发证机构的资质证明文件。</w:t>
      </w:r>
    </w:p>
    <w:p w14:paraId="24F60C26">
      <w:pPr>
        <w:pStyle w:val="4"/>
        <w:keepNext w:val="0"/>
        <w:keepLines w:val="0"/>
        <w:pageBreakBefore w:val="0"/>
        <w:widowControl/>
        <w:kinsoku/>
        <w:wordWrap/>
        <w:overflowPunct/>
        <w:topLinePunct w:val="0"/>
        <w:autoSpaceDE/>
        <w:autoSpaceDN/>
        <w:bidi w:val="0"/>
        <w:adjustRightInd/>
        <w:snapToGrid w:val="0"/>
        <w:spacing w:line="360" w:lineRule="auto"/>
        <w:textAlignment w:val="auto"/>
        <w:rPr>
          <w:rFonts w:hint="eastAsia" w:ascii="宋体" w:hAnsi="宋体"/>
          <w:color w:val="auto"/>
          <w:sz w:val="24"/>
          <w:highlight w:val="none"/>
        </w:rPr>
      </w:pPr>
      <w:r>
        <w:rPr>
          <w:rFonts w:hint="eastAsia" w:ascii="宋体" w:hAnsi="宋体" w:cs="宋体"/>
          <w:color w:val="auto"/>
          <w:kern w:val="0"/>
          <w:sz w:val="24"/>
          <w:highlight w:val="none"/>
          <w:lang w:val="en-US" w:eastAsia="zh-CN"/>
        </w:rPr>
        <w:t>2）</w:t>
      </w:r>
      <w:r>
        <w:rPr>
          <w:rFonts w:hint="eastAsia" w:ascii="宋体" w:hAnsi="宋体" w:cs="宋体"/>
          <w:color w:val="auto"/>
          <w:kern w:val="0"/>
          <w:sz w:val="24"/>
          <w:highlight w:val="none"/>
          <w:lang w:eastAsia="zh-CN"/>
        </w:rPr>
        <w:t>提供</w:t>
      </w:r>
      <w:r>
        <w:rPr>
          <w:rFonts w:hint="eastAsia" w:ascii="宋体" w:hAnsi="宋体" w:cs="宋体"/>
          <w:color w:val="auto"/>
          <w:kern w:val="0"/>
          <w:sz w:val="24"/>
          <w:highlight w:val="none"/>
        </w:rPr>
        <w:t>一体式阻火呼吸阀的流量图</w:t>
      </w:r>
      <w:r>
        <w:rPr>
          <w:rFonts w:hint="eastAsia" w:ascii="宋体" w:hAnsi="宋体" w:cs="宋体"/>
          <w:color w:val="auto"/>
          <w:kern w:val="0"/>
          <w:sz w:val="24"/>
          <w:highlight w:val="none"/>
          <w:lang w:eastAsia="zh-CN"/>
        </w:rPr>
        <w:t>，</w:t>
      </w:r>
      <w:r>
        <w:rPr>
          <w:rFonts w:hint="eastAsia" w:ascii="宋体" w:hAnsi="宋体" w:cs="宋体"/>
          <w:color w:val="auto"/>
          <w:kern w:val="0"/>
          <w:sz w:val="24"/>
          <w:highlight w:val="none"/>
        </w:rPr>
        <w:t>流量图应包含阀门尺寸、全开启压力和最大流量（实测值）等参数。</w:t>
      </w:r>
    </w:p>
    <w:p w14:paraId="0DE37852">
      <w:pPr>
        <w:pStyle w:val="4"/>
        <w:widowControl/>
        <w:snapToGrid w:val="0"/>
        <w:spacing w:line="360" w:lineRule="auto"/>
        <w:rPr>
          <w:rFonts w:ascii="宋体" w:hAnsi="宋体"/>
          <w:color w:val="auto"/>
          <w:sz w:val="24"/>
          <w:highlight w:val="none"/>
        </w:rPr>
      </w:pPr>
      <w:r>
        <w:rPr>
          <w:rFonts w:hint="eastAsia" w:ascii="宋体" w:hAnsi="宋体"/>
          <w:color w:val="auto"/>
          <w:sz w:val="24"/>
          <w:highlight w:val="none"/>
        </w:rPr>
        <w:t>9.1</w:t>
      </w:r>
      <w:r>
        <w:rPr>
          <w:rFonts w:hint="eastAsia" w:ascii="宋体" w:hAnsi="宋体"/>
          <w:color w:val="auto"/>
          <w:sz w:val="24"/>
          <w:highlight w:val="none"/>
        </w:rPr>
        <w:t xml:space="preserve"> </w:t>
      </w:r>
      <w:r>
        <w:rPr>
          <w:rFonts w:hint="eastAsia" w:ascii="宋体" w:hAnsi="宋体"/>
          <w:color w:val="auto"/>
          <w:sz w:val="24"/>
          <w:highlight w:val="none"/>
          <w:lang w:eastAsia="zh-CN"/>
        </w:rPr>
        <w:t>合同</w:t>
      </w:r>
      <w:r>
        <w:rPr>
          <w:rFonts w:hint="eastAsia" w:ascii="宋体" w:hAnsi="宋体"/>
          <w:color w:val="auto"/>
          <w:sz w:val="24"/>
          <w:highlight w:val="none"/>
        </w:rPr>
        <w:t>技</w:t>
      </w:r>
      <w:r>
        <w:rPr>
          <w:rFonts w:hint="eastAsia" w:ascii="宋体" w:hAnsi="宋体"/>
          <w:color w:val="auto"/>
          <w:sz w:val="24"/>
          <w:highlight w:val="none"/>
        </w:rPr>
        <w:t>术协议签定后七天内，电子版提供包括但不限于以下资料：</w:t>
      </w:r>
    </w:p>
    <w:p w14:paraId="113A56CD">
      <w:pPr>
        <w:pStyle w:val="4"/>
        <w:widowControl/>
        <w:snapToGrid w:val="0"/>
        <w:spacing w:line="360" w:lineRule="auto"/>
        <w:rPr>
          <w:rFonts w:ascii="宋体" w:hAnsi="宋体"/>
          <w:color w:val="auto"/>
          <w:sz w:val="24"/>
          <w:highlight w:val="none"/>
        </w:rPr>
      </w:pPr>
      <w:r>
        <w:rPr>
          <w:rFonts w:hint="eastAsia" w:ascii="宋体" w:hAnsi="宋体"/>
          <w:color w:val="auto"/>
          <w:sz w:val="24"/>
          <w:highlight w:val="none"/>
        </w:rPr>
        <w:t>9.1.1产品规格型号供货清单</w:t>
      </w:r>
    </w:p>
    <w:p w14:paraId="248A03A8">
      <w:pPr>
        <w:pStyle w:val="4"/>
        <w:widowControl/>
        <w:snapToGrid w:val="0"/>
        <w:spacing w:line="360" w:lineRule="auto"/>
        <w:rPr>
          <w:rFonts w:ascii="宋体" w:hAnsi="宋体"/>
          <w:color w:val="auto"/>
          <w:sz w:val="24"/>
          <w:highlight w:val="none"/>
        </w:rPr>
      </w:pPr>
      <w:r>
        <w:rPr>
          <w:rFonts w:hint="eastAsia" w:ascii="宋体" w:hAnsi="宋体"/>
          <w:color w:val="auto"/>
          <w:sz w:val="24"/>
          <w:highlight w:val="none"/>
        </w:rPr>
        <w:t>9.1.2 产品小样图（产品性能参数、设备材质、产品重量）</w:t>
      </w:r>
    </w:p>
    <w:p w14:paraId="6555EB01">
      <w:pPr>
        <w:pStyle w:val="4"/>
        <w:widowControl/>
        <w:snapToGrid w:val="0"/>
        <w:spacing w:line="360" w:lineRule="auto"/>
        <w:rPr>
          <w:rFonts w:ascii="宋体" w:hAnsi="宋体"/>
          <w:color w:val="auto"/>
          <w:sz w:val="24"/>
          <w:highlight w:val="none"/>
        </w:rPr>
      </w:pPr>
      <w:r>
        <w:rPr>
          <w:rFonts w:hint="eastAsia" w:ascii="宋体" w:hAnsi="宋体"/>
          <w:color w:val="auto"/>
          <w:sz w:val="24"/>
          <w:highlight w:val="none"/>
        </w:rPr>
        <w:t>9.2供货时随机资料至少包括：</w:t>
      </w:r>
    </w:p>
    <w:p w14:paraId="37B1594C">
      <w:pPr>
        <w:pStyle w:val="4"/>
        <w:widowControl/>
        <w:snapToGrid w:val="0"/>
        <w:spacing w:line="360" w:lineRule="auto"/>
        <w:rPr>
          <w:rFonts w:hint="eastAsia" w:ascii="宋体" w:hAnsi="宋体" w:eastAsia="宋体"/>
          <w:color w:val="auto"/>
          <w:sz w:val="24"/>
          <w:highlight w:val="none"/>
          <w:lang w:eastAsia="zh-CN"/>
        </w:rPr>
      </w:pPr>
      <w:r>
        <w:rPr>
          <w:rFonts w:hint="eastAsia" w:ascii="宋体" w:hAnsi="宋体"/>
          <w:color w:val="auto"/>
          <w:sz w:val="24"/>
          <w:highlight w:val="none"/>
        </w:rPr>
        <w:t xml:space="preserve">9.2.1 </w:t>
      </w:r>
      <w:r>
        <w:rPr>
          <w:rFonts w:hint="eastAsia" w:ascii="宋体" w:hAnsi="宋体" w:cs="宋体"/>
          <w:color w:val="auto"/>
          <w:kern w:val="0"/>
          <w:sz w:val="24"/>
          <w:highlight w:val="none"/>
        </w:rPr>
        <w:t>应具</w:t>
      </w:r>
      <w:r>
        <w:rPr>
          <w:rFonts w:hint="eastAsia" w:ascii="宋体" w:hAnsi="宋体" w:cs="宋体"/>
          <w:color w:val="auto"/>
          <w:kern w:val="0"/>
          <w:sz w:val="24"/>
          <w:highlight w:val="none"/>
          <w:lang w:eastAsia="zh-CN"/>
        </w:rPr>
        <w:t>提供</w:t>
      </w:r>
      <w:r>
        <w:rPr>
          <w:rFonts w:hint="eastAsia" w:ascii="宋体" w:hAnsi="宋体" w:cs="宋体"/>
          <w:color w:val="auto"/>
          <w:kern w:val="0"/>
          <w:sz w:val="24"/>
          <w:highlight w:val="none"/>
        </w:rPr>
        <w:t>泄漏量测试仪器照片</w:t>
      </w:r>
      <w:r>
        <w:rPr>
          <w:rFonts w:hint="eastAsia" w:ascii="宋体" w:hAnsi="宋体" w:cs="宋体"/>
          <w:color w:val="auto"/>
          <w:kern w:val="0"/>
          <w:sz w:val="24"/>
          <w:highlight w:val="none"/>
          <w:lang w:eastAsia="zh-CN"/>
        </w:rPr>
        <w:t>和测量精度</w:t>
      </w:r>
      <w:r>
        <w:rPr>
          <w:rFonts w:hint="eastAsia" w:ascii="宋体" w:hAnsi="宋体" w:cs="宋体"/>
          <w:color w:val="auto"/>
          <w:kern w:val="0"/>
          <w:sz w:val="24"/>
          <w:highlight w:val="none"/>
        </w:rPr>
        <w:t>等信息</w:t>
      </w:r>
      <w:r>
        <w:rPr>
          <w:rFonts w:hint="eastAsia" w:ascii="宋体" w:hAnsi="宋体" w:cs="宋体"/>
          <w:color w:val="auto"/>
          <w:kern w:val="0"/>
          <w:sz w:val="24"/>
          <w:highlight w:val="none"/>
          <w:lang w:eastAsia="zh-CN"/>
        </w:rPr>
        <w:t>；</w:t>
      </w:r>
    </w:p>
    <w:p w14:paraId="5E2773C0">
      <w:pPr>
        <w:pStyle w:val="4"/>
        <w:widowControl/>
        <w:snapToGrid w:val="0"/>
        <w:spacing w:line="360" w:lineRule="auto"/>
        <w:rPr>
          <w:rFonts w:hint="eastAsia" w:ascii="宋体" w:hAnsi="宋体" w:eastAsia="宋体"/>
          <w:color w:val="auto"/>
          <w:sz w:val="24"/>
          <w:highlight w:val="none"/>
          <w:lang w:eastAsia="zh-CN"/>
        </w:rPr>
      </w:pPr>
      <w:r>
        <w:rPr>
          <w:rFonts w:hint="eastAsia" w:ascii="宋体" w:hAnsi="宋体"/>
          <w:color w:val="auto"/>
          <w:sz w:val="24"/>
          <w:highlight w:val="none"/>
        </w:rPr>
        <w:t>9.2.</w:t>
      </w:r>
      <w:r>
        <w:rPr>
          <w:rFonts w:hint="eastAsia" w:ascii="宋体" w:hAnsi="宋体"/>
          <w:color w:val="auto"/>
          <w:sz w:val="24"/>
          <w:highlight w:val="none"/>
          <w:lang w:val="en-US" w:eastAsia="zh-CN"/>
        </w:rPr>
        <w:t>2</w:t>
      </w:r>
      <w:r>
        <w:rPr>
          <w:rFonts w:hint="eastAsia" w:ascii="宋体" w:hAnsi="宋体"/>
          <w:color w:val="auto"/>
          <w:sz w:val="24"/>
          <w:highlight w:val="none"/>
        </w:rPr>
        <w:t xml:space="preserve"> 产品试验及</w:t>
      </w:r>
      <w:r>
        <w:rPr>
          <w:rFonts w:hint="eastAsia" w:ascii="宋体" w:hAnsi="宋体" w:cs="宋体"/>
          <w:color w:val="auto"/>
          <w:kern w:val="0"/>
          <w:sz w:val="24"/>
          <w:highlight w:val="none"/>
        </w:rPr>
        <w:t>泄漏量</w:t>
      </w:r>
      <w:r>
        <w:rPr>
          <w:rFonts w:hint="eastAsia" w:ascii="宋体" w:hAnsi="宋体"/>
          <w:color w:val="auto"/>
          <w:sz w:val="24"/>
          <w:highlight w:val="none"/>
        </w:rPr>
        <w:t>检测报告</w:t>
      </w:r>
      <w:r>
        <w:rPr>
          <w:rFonts w:hint="eastAsia" w:ascii="宋体" w:hAnsi="宋体"/>
          <w:color w:val="auto"/>
          <w:sz w:val="24"/>
          <w:highlight w:val="none"/>
          <w:lang w:eastAsia="zh-CN"/>
        </w:rPr>
        <w:t>，</w:t>
      </w:r>
      <w:r>
        <w:rPr>
          <w:rFonts w:hint="eastAsia" w:ascii="宋体" w:hAnsi="宋体" w:cs="宋体"/>
          <w:color w:val="auto"/>
          <w:kern w:val="0"/>
          <w:sz w:val="24"/>
          <w:highlight w:val="none"/>
        </w:rPr>
        <w:t>并通过第三方权威机构认证</w:t>
      </w:r>
      <w:r>
        <w:rPr>
          <w:rFonts w:hint="eastAsia" w:ascii="宋体" w:hAnsi="宋体" w:cs="宋体"/>
          <w:color w:val="auto"/>
          <w:kern w:val="0"/>
          <w:sz w:val="24"/>
          <w:highlight w:val="none"/>
          <w:lang w:eastAsia="zh-CN"/>
        </w:rPr>
        <w:t>；</w:t>
      </w:r>
    </w:p>
    <w:p w14:paraId="0F60A917">
      <w:pPr>
        <w:pStyle w:val="4"/>
        <w:widowControl/>
        <w:snapToGrid w:val="0"/>
        <w:spacing w:line="360" w:lineRule="auto"/>
        <w:rPr>
          <w:rFonts w:ascii="宋体" w:hAnsi="宋体"/>
          <w:color w:val="auto"/>
          <w:sz w:val="24"/>
          <w:highlight w:val="none"/>
        </w:rPr>
      </w:pPr>
      <w:r>
        <w:rPr>
          <w:rFonts w:hint="eastAsia" w:ascii="宋体" w:hAnsi="宋体"/>
          <w:color w:val="auto"/>
          <w:sz w:val="24"/>
          <w:highlight w:val="none"/>
        </w:rPr>
        <w:t>9.2.</w:t>
      </w:r>
      <w:r>
        <w:rPr>
          <w:rFonts w:hint="eastAsia" w:ascii="宋体" w:hAnsi="宋体"/>
          <w:color w:val="auto"/>
          <w:sz w:val="24"/>
          <w:highlight w:val="none"/>
          <w:lang w:val="en-US" w:eastAsia="zh-CN"/>
        </w:rPr>
        <w:t>3</w:t>
      </w:r>
      <w:r>
        <w:rPr>
          <w:rFonts w:hint="eastAsia" w:ascii="宋体" w:hAnsi="宋体"/>
          <w:color w:val="auto"/>
          <w:sz w:val="24"/>
          <w:highlight w:val="none"/>
        </w:rPr>
        <w:t xml:space="preserve"> 产品的使用说明书；</w:t>
      </w:r>
      <w:bookmarkStart w:id="41" w:name="_GoBack"/>
      <w:bookmarkEnd w:id="41"/>
    </w:p>
    <w:p w14:paraId="4648CFC8">
      <w:pPr>
        <w:pStyle w:val="4"/>
        <w:widowControl/>
        <w:snapToGrid w:val="0"/>
        <w:spacing w:line="360" w:lineRule="auto"/>
        <w:rPr>
          <w:rFonts w:ascii="宋体" w:hAnsi="宋体"/>
          <w:color w:val="auto"/>
          <w:sz w:val="24"/>
          <w:highlight w:val="none"/>
        </w:rPr>
      </w:pPr>
      <w:r>
        <w:rPr>
          <w:rFonts w:hint="eastAsia" w:ascii="宋体" w:hAnsi="宋体"/>
          <w:color w:val="auto"/>
          <w:sz w:val="24"/>
          <w:highlight w:val="none"/>
        </w:rPr>
        <w:t>9.2.</w:t>
      </w:r>
      <w:r>
        <w:rPr>
          <w:rFonts w:hint="eastAsia" w:ascii="宋体" w:hAnsi="宋体"/>
          <w:color w:val="auto"/>
          <w:sz w:val="24"/>
          <w:highlight w:val="none"/>
          <w:lang w:val="en-US" w:eastAsia="zh-CN"/>
        </w:rPr>
        <w:t>4</w:t>
      </w:r>
      <w:r>
        <w:rPr>
          <w:rFonts w:hint="eastAsia" w:ascii="宋体" w:hAnsi="宋体"/>
          <w:color w:val="auto"/>
          <w:sz w:val="24"/>
          <w:highlight w:val="none"/>
        </w:rPr>
        <w:t>产品合格证；</w:t>
      </w:r>
    </w:p>
    <w:p w14:paraId="62435D2C">
      <w:pPr>
        <w:pStyle w:val="4"/>
        <w:widowControl/>
        <w:snapToGrid w:val="0"/>
        <w:spacing w:line="360" w:lineRule="auto"/>
        <w:rPr>
          <w:rFonts w:ascii="宋体" w:hAnsi="宋体"/>
          <w:b/>
          <w:color w:val="auto"/>
          <w:kern w:val="0"/>
          <w:sz w:val="28"/>
          <w:szCs w:val="28"/>
          <w:highlight w:val="none"/>
        </w:rPr>
      </w:pPr>
      <w:r>
        <w:rPr>
          <w:rFonts w:hint="eastAsia" w:ascii="宋体" w:hAnsi="宋体"/>
          <w:color w:val="auto"/>
          <w:sz w:val="24"/>
          <w:highlight w:val="none"/>
        </w:rPr>
        <w:t>9.2.</w:t>
      </w:r>
      <w:r>
        <w:rPr>
          <w:rFonts w:hint="eastAsia" w:ascii="宋体" w:hAnsi="宋体"/>
          <w:color w:val="auto"/>
          <w:sz w:val="24"/>
          <w:highlight w:val="none"/>
          <w:lang w:val="en-US" w:eastAsia="zh-CN"/>
        </w:rPr>
        <w:t>5</w:t>
      </w:r>
      <w:r>
        <w:rPr>
          <w:rFonts w:hint="eastAsia" w:ascii="宋体" w:hAnsi="宋体"/>
          <w:color w:val="auto"/>
          <w:sz w:val="24"/>
          <w:highlight w:val="none"/>
        </w:rPr>
        <w:t xml:space="preserve"> 装箱清单；</w:t>
      </w:r>
    </w:p>
    <w:p w14:paraId="70DF7D43">
      <w:pPr>
        <w:pStyle w:val="4"/>
        <w:widowControl/>
        <w:snapToGrid w:val="0"/>
        <w:outlineLvl w:val="0"/>
        <w:rPr>
          <w:rFonts w:ascii="宋体" w:hAnsi="宋体"/>
          <w:b/>
          <w:color w:val="auto"/>
          <w:kern w:val="0"/>
          <w:sz w:val="28"/>
          <w:szCs w:val="28"/>
          <w:highlight w:val="none"/>
        </w:rPr>
      </w:pPr>
      <w:bookmarkStart w:id="20" w:name="_Toc25925"/>
      <w:r>
        <w:rPr>
          <w:rFonts w:hint="eastAsia" w:ascii="宋体" w:hAnsi="宋体"/>
          <w:b/>
          <w:color w:val="auto"/>
          <w:kern w:val="0"/>
          <w:sz w:val="28"/>
          <w:szCs w:val="28"/>
          <w:highlight w:val="none"/>
        </w:rPr>
        <w:t>10、 设备交付</w:t>
      </w:r>
      <w:bookmarkEnd w:id="20"/>
    </w:p>
    <w:p w14:paraId="67D49059">
      <w:pPr>
        <w:pStyle w:val="10"/>
        <w:jc w:val="left"/>
        <w:rPr>
          <w:rFonts w:hint="eastAsia" w:hAnsi="宋体" w:cs="宋体"/>
          <w:b w:val="0"/>
          <w:color w:val="auto"/>
          <w:kern w:val="0"/>
          <w:sz w:val="24"/>
          <w:szCs w:val="24"/>
          <w:highlight w:val="none"/>
        </w:rPr>
      </w:pPr>
      <w:bookmarkStart w:id="21" w:name="_Toc4550"/>
      <w:r>
        <w:rPr>
          <w:rFonts w:hAnsi="宋体" w:cs="宋体"/>
          <w:b w:val="0"/>
          <w:color w:val="auto"/>
          <w:kern w:val="0"/>
          <w:sz w:val="24"/>
          <w:szCs w:val="24"/>
          <w:highlight w:val="none"/>
        </w:rPr>
        <w:t>1</w:t>
      </w:r>
      <w:r>
        <w:rPr>
          <w:rFonts w:hint="eastAsia" w:hAnsi="宋体" w:cs="宋体"/>
          <w:b w:val="0"/>
          <w:color w:val="auto"/>
          <w:kern w:val="0"/>
          <w:sz w:val="24"/>
          <w:szCs w:val="24"/>
          <w:highlight w:val="none"/>
        </w:rPr>
        <w:t>0</w:t>
      </w:r>
      <w:r>
        <w:rPr>
          <w:rFonts w:hAnsi="宋体" w:cs="宋体"/>
          <w:b w:val="0"/>
          <w:color w:val="auto"/>
          <w:kern w:val="0"/>
          <w:sz w:val="24"/>
          <w:szCs w:val="24"/>
          <w:highlight w:val="none"/>
        </w:rPr>
        <w:t>.1</w:t>
      </w:r>
    </w:p>
    <w:p w14:paraId="52F9B207">
      <w:pPr>
        <w:pStyle w:val="10"/>
        <w:jc w:val="left"/>
        <w:rPr>
          <w:rFonts w:hint="eastAsia" w:hAnsi="宋体" w:cs="宋体"/>
          <w:b w:val="0"/>
          <w:color w:val="auto"/>
          <w:kern w:val="0"/>
          <w:sz w:val="24"/>
          <w:szCs w:val="24"/>
          <w:highlight w:val="none"/>
          <w:lang w:eastAsia="zh-CN"/>
        </w:rPr>
      </w:pPr>
      <w:r>
        <w:rPr>
          <w:rFonts w:hint="eastAsia" w:hAnsi="宋体" w:cs="宋体"/>
          <w:b w:val="0"/>
          <w:color w:val="auto"/>
          <w:kern w:val="0"/>
          <w:sz w:val="24"/>
          <w:szCs w:val="24"/>
          <w:highlight w:val="none"/>
        </w:rPr>
        <w:t>第一批：回收车间15台DN50口径呼吸阀，3台DN150口径呼吸阀，10台DN200口径呼吸阀，2台DN250口径呼吸阀，1台DN300口径呼吸阀；5台DN400口径呼吸阀，净化车间所有呼吸阀、阻火器、紧急泄放阀</w:t>
      </w:r>
      <w:r>
        <w:rPr>
          <w:rFonts w:hAnsi="宋体" w:cs="宋体"/>
          <w:b w:val="0"/>
          <w:color w:val="auto"/>
          <w:kern w:val="0"/>
          <w:sz w:val="24"/>
          <w:szCs w:val="24"/>
          <w:highlight w:val="none"/>
        </w:rPr>
        <w:t>合同</w:t>
      </w:r>
      <w:r>
        <w:rPr>
          <w:rFonts w:hint="eastAsia" w:hAnsi="宋体" w:cs="宋体"/>
          <w:b w:val="0"/>
          <w:color w:val="auto"/>
          <w:kern w:val="0"/>
          <w:sz w:val="24"/>
          <w:szCs w:val="24"/>
          <w:highlight w:val="none"/>
        </w:rPr>
        <w:t>签订后</w:t>
      </w:r>
      <w:r>
        <w:rPr>
          <w:rFonts w:hint="eastAsia" w:hAnsi="宋体" w:cs="宋体"/>
          <w:b w:val="0"/>
          <w:color w:val="auto"/>
          <w:kern w:val="0"/>
          <w:sz w:val="24"/>
          <w:szCs w:val="24"/>
          <w:highlight w:val="none"/>
          <w:lang w:val="en-US" w:eastAsia="zh-CN"/>
        </w:rPr>
        <w:t>2</w:t>
      </w:r>
      <w:r>
        <w:rPr>
          <w:rFonts w:hAnsi="宋体" w:cs="宋体"/>
          <w:b w:val="0"/>
          <w:color w:val="auto"/>
          <w:kern w:val="0"/>
          <w:sz w:val="24"/>
          <w:szCs w:val="24"/>
          <w:highlight w:val="none"/>
        </w:rPr>
        <w:t>个月内货物到达招标人生产现场指定位置</w:t>
      </w:r>
      <w:r>
        <w:rPr>
          <w:rFonts w:hint="eastAsia" w:hAnsi="宋体" w:cs="宋体"/>
          <w:b w:val="0"/>
          <w:color w:val="auto"/>
          <w:kern w:val="0"/>
          <w:sz w:val="24"/>
          <w:szCs w:val="24"/>
          <w:highlight w:val="none"/>
          <w:lang w:eastAsia="zh-CN"/>
        </w:rPr>
        <w:t>；</w:t>
      </w:r>
    </w:p>
    <w:p w14:paraId="24EA3A99">
      <w:pPr>
        <w:pStyle w:val="10"/>
        <w:jc w:val="left"/>
        <w:rPr>
          <w:rFonts w:hAnsi="宋体" w:cs="宋体"/>
          <w:b w:val="0"/>
          <w:color w:val="auto"/>
          <w:kern w:val="0"/>
          <w:sz w:val="24"/>
          <w:szCs w:val="24"/>
          <w:highlight w:val="none"/>
        </w:rPr>
      </w:pPr>
      <w:r>
        <w:rPr>
          <w:rFonts w:hint="eastAsia" w:hAnsi="宋体" w:cs="宋体"/>
          <w:b w:val="0"/>
          <w:color w:val="auto"/>
          <w:kern w:val="0"/>
          <w:sz w:val="24"/>
          <w:szCs w:val="24"/>
          <w:highlight w:val="none"/>
        </w:rPr>
        <w:t>第二批</w:t>
      </w:r>
      <w:r>
        <w:rPr>
          <w:rFonts w:hint="eastAsia" w:hAnsi="宋体" w:cs="宋体"/>
          <w:b w:val="0"/>
          <w:color w:val="auto"/>
          <w:kern w:val="0"/>
          <w:sz w:val="24"/>
          <w:szCs w:val="24"/>
          <w:highlight w:val="none"/>
          <w:lang w:eastAsia="zh-CN"/>
        </w:rPr>
        <w:t>：</w:t>
      </w:r>
      <w:r>
        <w:rPr>
          <w:rFonts w:hint="eastAsia" w:hAnsi="宋体" w:cs="宋体"/>
          <w:b w:val="0"/>
          <w:color w:val="auto"/>
          <w:kern w:val="0"/>
          <w:sz w:val="24"/>
          <w:szCs w:val="24"/>
          <w:highlight w:val="none"/>
        </w:rPr>
        <w:t>回收车间剩余54台DN200口径呼吸阀，12台DN250口径呼吸阀，5台DN300口径呼吸阀；25台DN400口径呼吸阀</w:t>
      </w:r>
      <w:r>
        <w:rPr>
          <w:rFonts w:hAnsi="宋体" w:cs="宋体"/>
          <w:b w:val="0"/>
          <w:color w:val="auto"/>
          <w:kern w:val="0"/>
          <w:sz w:val="24"/>
          <w:szCs w:val="24"/>
          <w:highlight w:val="none"/>
        </w:rPr>
        <w:t>合同</w:t>
      </w:r>
      <w:r>
        <w:rPr>
          <w:rFonts w:hint="eastAsia" w:hAnsi="宋体" w:cs="宋体"/>
          <w:b w:val="0"/>
          <w:color w:val="auto"/>
          <w:kern w:val="0"/>
          <w:sz w:val="24"/>
          <w:szCs w:val="24"/>
          <w:highlight w:val="none"/>
        </w:rPr>
        <w:t>签订后</w:t>
      </w:r>
      <w:r>
        <w:rPr>
          <w:rFonts w:hint="eastAsia" w:hAnsi="宋体" w:cs="宋体"/>
          <w:b w:val="0"/>
          <w:color w:val="auto"/>
          <w:kern w:val="0"/>
          <w:sz w:val="24"/>
          <w:szCs w:val="24"/>
          <w:highlight w:val="none"/>
          <w:lang w:val="en-US" w:eastAsia="zh-CN"/>
        </w:rPr>
        <w:t>4</w:t>
      </w:r>
      <w:r>
        <w:rPr>
          <w:rFonts w:hAnsi="宋体" w:cs="宋体"/>
          <w:b w:val="0"/>
          <w:color w:val="auto"/>
          <w:kern w:val="0"/>
          <w:sz w:val="24"/>
          <w:szCs w:val="24"/>
          <w:highlight w:val="none"/>
        </w:rPr>
        <w:t>个月内货物到达招标人生产现场指定位置</w:t>
      </w:r>
      <w:r>
        <w:rPr>
          <w:rFonts w:hint="eastAsia" w:hAnsi="宋体" w:cs="宋体"/>
          <w:b w:val="0"/>
          <w:color w:val="auto"/>
          <w:kern w:val="0"/>
          <w:sz w:val="24"/>
          <w:szCs w:val="24"/>
          <w:highlight w:val="none"/>
        </w:rPr>
        <w:t>。</w:t>
      </w:r>
      <w:bookmarkEnd w:id="21"/>
    </w:p>
    <w:p w14:paraId="695B3764">
      <w:pPr>
        <w:pStyle w:val="4"/>
        <w:spacing w:line="360" w:lineRule="auto"/>
        <w:jc w:val="left"/>
        <w:rPr>
          <w:rFonts w:ascii="宋体" w:hAnsi="宋体" w:cs="宋体"/>
          <w:color w:val="auto"/>
          <w:kern w:val="0"/>
          <w:sz w:val="24"/>
          <w:highlight w:val="none"/>
        </w:rPr>
      </w:pPr>
      <w:r>
        <w:rPr>
          <w:rFonts w:ascii="宋体" w:hAnsi="宋体" w:cs="宋体"/>
          <w:color w:val="auto"/>
          <w:kern w:val="0"/>
          <w:sz w:val="24"/>
          <w:highlight w:val="none"/>
        </w:rPr>
        <w:t>1</w:t>
      </w:r>
      <w:r>
        <w:rPr>
          <w:rFonts w:hint="eastAsia" w:ascii="宋体" w:hAnsi="宋体" w:cs="宋体"/>
          <w:color w:val="auto"/>
          <w:kern w:val="0"/>
          <w:sz w:val="24"/>
          <w:highlight w:val="none"/>
        </w:rPr>
        <w:t>0</w:t>
      </w:r>
      <w:r>
        <w:rPr>
          <w:rFonts w:ascii="宋体" w:hAnsi="宋体" w:cs="宋体"/>
          <w:color w:val="auto"/>
          <w:kern w:val="0"/>
          <w:sz w:val="24"/>
          <w:highlight w:val="none"/>
        </w:rPr>
        <w:t>.2装箱（要求便于吊装），现场交货。</w:t>
      </w:r>
    </w:p>
    <w:p w14:paraId="0D03F9FF">
      <w:pPr>
        <w:pStyle w:val="4"/>
        <w:spacing w:line="360" w:lineRule="auto"/>
        <w:jc w:val="left"/>
        <w:rPr>
          <w:rFonts w:ascii="宋体" w:hAnsi="宋体" w:cs="宋体"/>
          <w:color w:val="auto"/>
          <w:kern w:val="0"/>
          <w:sz w:val="24"/>
          <w:highlight w:val="none"/>
        </w:rPr>
      </w:pPr>
      <w:r>
        <w:rPr>
          <w:rFonts w:ascii="宋体" w:hAnsi="宋体" w:cs="宋体"/>
          <w:color w:val="auto"/>
          <w:kern w:val="0"/>
          <w:sz w:val="24"/>
          <w:highlight w:val="none"/>
        </w:rPr>
        <w:t>1</w:t>
      </w:r>
      <w:r>
        <w:rPr>
          <w:rFonts w:hint="eastAsia" w:ascii="宋体" w:hAnsi="宋体" w:cs="宋体"/>
          <w:color w:val="auto"/>
          <w:kern w:val="0"/>
          <w:sz w:val="24"/>
          <w:highlight w:val="none"/>
        </w:rPr>
        <w:t>0</w:t>
      </w:r>
      <w:r>
        <w:rPr>
          <w:rFonts w:ascii="宋体" w:hAnsi="宋体" w:cs="宋体"/>
          <w:color w:val="auto"/>
          <w:kern w:val="0"/>
          <w:sz w:val="24"/>
          <w:highlight w:val="none"/>
        </w:rPr>
        <w:t>.3交货地点：</w:t>
      </w:r>
      <w:r>
        <w:rPr>
          <w:rFonts w:hint="eastAsia" w:ascii="宋体" w:hAnsi="宋体" w:cs="宋体"/>
          <w:color w:val="auto"/>
          <w:kern w:val="0"/>
          <w:sz w:val="24"/>
          <w:highlight w:val="none"/>
        </w:rPr>
        <w:t>伊犁伊宁市巴彦岱镇新天煤化工有限公司责任公司库房</w:t>
      </w:r>
    </w:p>
    <w:p w14:paraId="48C48889">
      <w:pPr>
        <w:pStyle w:val="4"/>
        <w:spacing w:line="360" w:lineRule="auto"/>
        <w:jc w:val="left"/>
        <w:rPr>
          <w:rFonts w:ascii="宋体" w:hAnsi="宋体" w:cs="宋体"/>
          <w:color w:val="auto"/>
          <w:kern w:val="0"/>
          <w:sz w:val="24"/>
          <w:highlight w:val="none"/>
        </w:rPr>
      </w:pPr>
      <w:r>
        <w:rPr>
          <w:rFonts w:ascii="宋体" w:hAnsi="宋体" w:cs="宋体"/>
          <w:color w:val="auto"/>
          <w:kern w:val="0"/>
          <w:sz w:val="24"/>
          <w:highlight w:val="none"/>
        </w:rPr>
        <w:t>1</w:t>
      </w:r>
      <w:r>
        <w:rPr>
          <w:rFonts w:hint="eastAsia" w:ascii="宋体" w:hAnsi="宋体" w:cs="宋体"/>
          <w:color w:val="auto"/>
          <w:kern w:val="0"/>
          <w:sz w:val="24"/>
          <w:highlight w:val="none"/>
        </w:rPr>
        <w:t>0</w:t>
      </w:r>
      <w:r>
        <w:rPr>
          <w:rFonts w:ascii="宋体" w:hAnsi="宋体" w:cs="宋体"/>
          <w:color w:val="auto"/>
          <w:kern w:val="0"/>
          <w:sz w:val="24"/>
          <w:highlight w:val="none"/>
        </w:rPr>
        <w:t>.4货物运输由</w:t>
      </w:r>
      <w:r>
        <w:rPr>
          <w:rFonts w:hint="eastAsia" w:ascii="宋体" w:hAnsi="宋体" w:cs="宋体"/>
          <w:color w:val="auto"/>
          <w:kern w:val="0"/>
          <w:sz w:val="24"/>
          <w:highlight w:val="none"/>
        </w:rPr>
        <w:t>投标人</w:t>
      </w:r>
      <w:r>
        <w:rPr>
          <w:rFonts w:ascii="宋体" w:hAnsi="宋体" w:cs="宋体"/>
          <w:color w:val="auto"/>
          <w:kern w:val="0"/>
          <w:sz w:val="24"/>
          <w:highlight w:val="none"/>
        </w:rPr>
        <w:t>负责。</w:t>
      </w:r>
    </w:p>
    <w:p w14:paraId="6764E21F">
      <w:pPr>
        <w:pStyle w:val="4"/>
        <w:spacing w:line="360" w:lineRule="auto"/>
        <w:jc w:val="left"/>
        <w:rPr>
          <w:rFonts w:ascii="宋体" w:hAnsi="宋体" w:cs="宋体"/>
          <w:b/>
          <w:bCs/>
          <w:color w:val="auto"/>
          <w:sz w:val="24"/>
          <w:highlight w:val="none"/>
        </w:rPr>
      </w:pPr>
      <w:r>
        <w:rPr>
          <w:rFonts w:ascii="宋体" w:hAnsi="宋体" w:cs="宋体"/>
          <w:color w:val="auto"/>
          <w:kern w:val="0"/>
          <w:sz w:val="24"/>
          <w:highlight w:val="none"/>
        </w:rPr>
        <w:t>1</w:t>
      </w:r>
      <w:r>
        <w:rPr>
          <w:rFonts w:hint="eastAsia" w:ascii="宋体" w:hAnsi="宋体" w:cs="宋体"/>
          <w:color w:val="auto"/>
          <w:kern w:val="0"/>
          <w:sz w:val="24"/>
          <w:highlight w:val="none"/>
        </w:rPr>
        <w:t>0</w:t>
      </w:r>
      <w:r>
        <w:rPr>
          <w:rFonts w:ascii="宋体" w:hAnsi="宋体" w:cs="宋体"/>
          <w:color w:val="auto"/>
          <w:kern w:val="0"/>
          <w:sz w:val="24"/>
          <w:highlight w:val="none"/>
        </w:rPr>
        <w:t>.5不符合验收要求或验收不合格的产品，</w:t>
      </w:r>
      <w:r>
        <w:rPr>
          <w:rFonts w:hint="eastAsia" w:ascii="宋体" w:hAnsi="宋体" w:cs="宋体"/>
          <w:color w:val="auto"/>
          <w:kern w:val="0"/>
          <w:sz w:val="24"/>
          <w:highlight w:val="none"/>
        </w:rPr>
        <w:t>招标人</w:t>
      </w:r>
      <w:r>
        <w:rPr>
          <w:rFonts w:ascii="宋体" w:hAnsi="宋体" w:cs="宋体"/>
          <w:color w:val="auto"/>
          <w:kern w:val="0"/>
          <w:sz w:val="24"/>
          <w:highlight w:val="none"/>
        </w:rPr>
        <w:t>将不予接收。</w:t>
      </w:r>
    </w:p>
    <w:p w14:paraId="4FFA9AAC">
      <w:pPr>
        <w:pStyle w:val="2"/>
        <w:rPr>
          <w:rFonts w:ascii="仿宋" w:hAnsi="仿宋" w:eastAsia="仿宋"/>
          <w:color w:val="auto"/>
          <w:highlight w:val="none"/>
        </w:rPr>
      </w:pPr>
      <w:bookmarkStart w:id="22" w:name="_Toc397175925"/>
      <w:bookmarkStart w:id="23" w:name="_Toc399326523"/>
      <w:bookmarkStart w:id="24" w:name="_Toc164093932"/>
      <w:bookmarkStart w:id="25" w:name="_Toc286159478"/>
      <w:bookmarkStart w:id="26" w:name="_Toc396529293"/>
      <w:bookmarkStart w:id="27" w:name="_Toc396990284"/>
      <w:bookmarkStart w:id="28" w:name="_Toc501940892"/>
      <w:bookmarkStart w:id="29" w:name="_Toc396527854"/>
      <w:bookmarkStart w:id="30" w:name="_Toc23188"/>
      <w:bookmarkStart w:id="31" w:name="_Toc399318779"/>
      <w:bookmarkStart w:id="32" w:name="_Toc396528069"/>
      <w:bookmarkStart w:id="33" w:name="_Toc517056038"/>
      <w:bookmarkStart w:id="34" w:name="_Toc397174654"/>
      <w:bookmarkStart w:id="35" w:name="_Toc396988670"/>
      <w:bookmarkStart w:id="36" w:name="_Toc396528500"/>
      <w:bookmarkStart w:id="37" w:name="_Toc397131869"/>
      <w:bookmarkStart w:id="38" w:name="_Toc12162"/>
      <w:bookmarkStart w:id="39" w:name="_Toc287513586"/>
      <w:r>
        <w:rPr>
          <w:rFonts w:hint="eastAsia" w:ascii="仿宋" w:hAnsi="仿宋" w:eastAsia="仿宋"/>
          <w:color w:val="auto"/>
          <w:highlight w:val="none"/>
        </w:rPr>
        <w:t>11、技术差异表</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781E785C">
      <w:pPr>
        <w:spacing w:line="276" w:lineRule="auto"/>
        <w:ind w:firstLine="480" w:firstLineChars="200"/>
        <w:rPr>
          <w:rFonts w:ascii="宋体" w:hAnsi="宋体" w:eastAsia="宋体" w:cs="宋体"/>
          <w:color w:val="auto"/>
          <w:kern w:val="0"/>
          <w:sz w:val="24"/>
          <w:highlight w:val="none"/>
        </w:rPr>
      </w:pPr>
      <w:r>
        <w:rPr>
          <w:rFonts w:hint="eastAsia" w:ascii="宋体" w:hAnsi="宋体" w:eastAsia="宋体" w:cs="宋体"/>
          <w:color w:val="auto"/>
          <w:kern w:val="0"/>
          <w:sz w:val="24"/>
          <w:highlight w:val="none"/>
        </w:rPr>
        <w:t>投标人要将投标文件和招标文件的差异之处汇集成表。技术部分和商务部分要单独列表。</w:t>
      </w:r>
    </w:p>
    <w:p w14:paraId="1B85AD27">
      <w:pPr>
        <w:spacing w:line="276" w:lineRule="auto"/>
        <w:ind w:firstLine="480" w:firstLineChars="200"/>
        <w:jc w:val="center"/>
        <w:rPr>
          <w:rFonts w:hint="eastAsia" w:ascii="宋体" w:hAnsi="宋体" w:eastAsia="宋体" w:cs="宋体"/>
          <w:color w:val="auto"/>
          <w:kern w:val="0"/>
          <w:sz w:val="24"/>
          <w:highlight w:val="none"/>
        </w:rPr>
      </w:pPr>
      <w:r>
        <w:rPr>
          <w:rFonts w:hint="eastAsia" w:ascii="宋体" w:hAnsi="宋体" w:eastAsia="宋体" w:cs="宋体"/>
          <w:color w:val="auto"/>
          <w:kern w:val="0"/>
          <w:sz w:val="24"/>
          <w:highlight w:val="none"/>
        </w:rPr>
        <w:t>差  异  表</w:t>
      </w:r>
    </w:p>
    <w:tbl>
      <w:tblPr>
        <w:tblStyle w:val="7"/>
        <w:tblW w:w="8640" w:type="dxa"/>
        <w:tblInd w:w="148" w:type="dxa"/>
        <w:tblLayout w:type="fixed"/>
        <w:tblCellMar>
          <w:top w:w="0" w:type="dxa"/>
          <w:left w:w="28" w:type="dxa"/>
          <w:bottom w:w="0" w:type="dxa"/>
          <w:right w:w="28" w:type="dxa"/>
        </w:tblCellMar>
      </w:tblPr>
      <w:tblGrid>
        <w:gridCol w:w="840"/>
        <w:gridCol w:w="965"/>
        <w:gridCol w:w="2995"/>
        <w:gridCol w:w="960"/>
        <w:gridCol w:w="2880"/>
      </w:tblGrid>
      <w:tr w14:paraId="2BDCC176">
        <w:tblPrEx>
          <w:tblCellMar>
            <w:top w:w="0" w:type="dxa"/>
            <w:left w:w="28" w:type="dxa"/>
            <w:bottom w:w="0" w:type="dxa"/>
            <w:right w:w="28" w:type="dxa"/>
          </w:tblCellMar>
        </w:tblPrEx>
        <w:trPr>
          <w:trHeight w:val="454" w:hRule="atLeast"/>
        </w:trPr>
        <w:tc>
          <w:tcPr>
            <w:tcW w:w="840" w:type="dxa"/>
            <w:tcBorders>
              <w:top w:val="single" w:color="auto" w:sz="4" w:space="0"/>
              <w:left w:val="single" w:color="auto" w:sz="4" w:space="0"/>
              <w:bottom w:val="single" w:color="auto" w:sz="4" w:space="0"/>
              <w:right w:val="single" w:color="auto" w:sz="4" w:space="0"/>
            </w:tcBorders>
            <w:vAlign w:val="center"/>
          </w:tcPr>
          <w:p w14:paraId="3DDA9179">
            <w:pPr>
              <w:spacing w:line="276" w:lineRule="auto"/>
              <w:ind w:firstLine="420" w:firstLineChars="200"/>
              <w:jc w:val="center"/>
              <w:rPr>
                <w:rFonts w:hint="eastAsia" w:ascii="宋体" w:hAnsi="宋体" w:eastAsia="宋体" w:cs="宋体"/>
                <w:color w:val="auto"/>
                <w:kern w:val="0"/>
                <w:sz w:val="21"/>
                <w:szCs w:val="21"/>
                <w:highlight w:val="none"/>
              </w:rPr>
            </w:pPr>
          </w:p>
        </w:tc>
        <w:tc>
          <w:tcPr>
            <w:tcW w:w="965" w:type="dxa"/>
            <w:tcBorders>
              <w:top w:val="single" w:color="auto" w:sz="4" w:space="0"/>
              <w:left w:val="single" w:color="auto" w:sz="4" w:space="0"/>
              <w:bottom w:val="single" w:color="auto" w:sz="4" w:space="0"/>
              <w:right w:val="single" w:color="auto" w:sz="4" w:space="0"/>
            </w:tcBorders>
            <w:vAlign w:val="center"/>
          </w:tcPr>
          <w:p w14:paraId="714E5CC3">
            <w:pPr>
              <w:spacing w:line="276" w:lineRule="auto"/>
              <w:ind w:firstLine="420" w:firstLineChars="200"/>
              <w:jc w:val="center"/>
              <w:rPr>
                <w:rFonts w:hint="eastAsia" w:ascii="宋体" w:hAnsi="宋体" w:eastAsia="宋体" w:cs="宋体"/>
                <w:color w:val="auto"/>
                <w:kern w:val="0"/>
                <w:sz w:val="21"/>
                <w:szCs w:val="21"/>
                <w:highlight w:val="none"/>
              </w:rPr>
            </w:pPr>
          </w:p>
        </w:tc>
        <w:tc>
          <w:tcPr>
            <w:tcW w:w="2995" w:type="dxa"/>
            <w:tcBorders>
              <w:top w:val="single" w:color="auto" w:sz="4" w:space="0"/>
              <w:left w:val="single" w:color="auto" w:sz="4" w:space="0"/>
              <w:bottom w:val="single" w:color="auto" w:sz="4" w:space="0"/>
              <w:right w:val="single" w:color="auto" w:sz="4" w:space="0"/>
            </w:tcBorders>
            <w:vAlign w:val="center"/>
          </w:tcPr>
          <w:p w14:paraId="6FCB1ECD">
            <w:pPr>
              <w:spacing w:line="276" w:lineRule="auto"/>
              <w:ind w:left="0" w:leftChars="0" w:firstLine="0" w:firstLineChars="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招标文件</w:t>
            </w:r>
          </w:p>
        </w:tc>
        <w:tc>
          <w:tcPr>
            <w:tcW w:w="960" w:type="dxa"/>
            <w:tcBorders>
              <w:top w:val="single" w:color="auto" w:sz="4" w:space="0"/>
              <w:left w:val="single" w:color="auto" w:sz="4" w:space="0"/>
              <w:bottom w:val="single" w:color="auto" w:sz="4" w:space="0"/>
              <w:right w:val="single" w:color="auto" w:sz="4" w:space="0"/>
            </w:tcBorders>
            <w:vAlign w:val="center"/>
          </w:tcPr>
          <w:p w14:paraId="337D2090">
            <w:pPr>
              <w:spacing w:line="276" w:lineRule="auto"/>
              <w:ind w:firstLine="420" w:firstLineChars="200"/>
              <w:jc w:val="center"/>
              <w:rPr>
                <w:rFonts w:hint="eastAsia" w:ascii="宋体" w:hAnsi="宋体" w:eastAsia="宋体" w:cs="宋体"/>
                <w:color w:val="auto"/>
                <w:kern w:val="0"/>
                <w:sz w:val="21"/>
                <w:szCs w:val="21"/>
                <w:highlight w:val="none"/>
              </w:rPr>
            </w:pPr>
          </w:p>
        </w:tc>
        <w:tc>
          <w:tcPr>
            <w:tcW w:w="2880" w:type="dxa"/>
            <w:tcBorders>
              <w:top w:val="single" w:color="auto" w:sz="4" w:space="0"/>
              <w:left w:val="single" w:color="auto" w:sz="4" w:space="0"/>
              <w:bottom w:val="single" w:color="auto" w:sz="4" w:space="0"/>
              <w:right w:val="single" w:color="auto" w:sz="4" w:space="0"/>
            </w:tcBorders>
            <w:vAlign w:val="center"/>
          </w:tcPr>
          <w:p w14:paraId="7714CB3A">
            <w:pPr>
              <w:spacing w:line="276" w:lineRule="auto"/>
              <w:ind w:left="0" w:leftChars="0" w:firstLine="0" w:firstLineChars="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投标文件</w:t>
            </w:r>
          </w:p>
        </w:tc>
      </w:tr>
      <w:tr w14:paraId="69376EDB">
        <w:tblPrEx>
          <w:tblCellMar>
            <w:top w:w="0" w:type="dxa"/>
            <w:left w:w="28" w:type="dxa"/>
            <w:bottom w:w="0" w:type="dxa"/>
            <w:right w:w="28" w:type="dxa"/>
          </w:tblCellMar>
        </w:tblPrEx>
        <w:trPr>
          <w:trHeight w:val="454" w:hRule="atLeast"/>
        </w:trPr>
        <w:tc>
          <w:tcPr>
            <w:tcW w:w="840" w:type="dxa"/>
            <w:tcBorders>
              <w:top w:val="single" w:color="auto" w:sz="4" w:space="0"/>
              <w:left w:val="single" w:color="auto" w:sz="4" w:space="0"/>
              <w:bottom w:val="single" w:color="auto" w:sz="4" w:space="0"/>
              <w:right w:val="single" w:color="auto" w:sz="4" w:space="0"/>
            </w:tcBorders>
            <w:vAlign w:val="center"/>
          </w:tcPr>
          <w:p w14:paraId="33BC2A8B">
            <w:pPr>
              <w:spacing w:line="276" w:lineRule="auto"/>
              <w:ind w:left="0" w:leftChars="0" w:firstLine="0" w:firstLineChars="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序号</w:t>
            </w:r>
          </w:p>
        </w:tc>
        <w:tc>
          <w:tcPr>
            <w:tcW w:w="965" w:type="dxa"/>
            <w:tcBorders>
              <w:top w:val="single" w:color="auto" w:sz="4" w:space="0"/>
              <w:left w:val="single" w:color="auto" w:sz="4" w:space="0"/>
              <w:bottom w:val="single" w:color="auto" w:sz="4" w:space="0"/>
              <w:right w:val="single" w:color="auto" w:sz="4" w:space="0"/>
            </w:tcBorders>
            <w:vAlign w:val="center"/>
          </w:tcPr>
          <w:p w14:paraId="0ADF800E">
            <w:pPr>
              <w:spacing w:line="276" w:lineRule="auto"/>
              <w:ind w:left="0" w:leftChars="0" w:firstLine="0" w:firstLineChars="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条目</w:t>
            </w:r>
          </w:p>
        </w:tc>
        <w:tc>
          <w:tcPr>
            <w:tcW w:w="2995" w:type="dxa"/>
            <w:tcBorders>
              <w:top w:val="single" w:color="auto" w:sz="4" w:space="0"/>
              <w:left w:val="single" w:color="auto" w:sz="4" w:space="0"/>
              <w:bottom w:val="single" w:color="auto" w:sz="4" w:space="0"/>
              <w:right w:val="single" w:color="auto" w:sz="4" w:space="0"/>
            </w:tcBorders>
            <w:vAlign w:val="center"/>
          </w:tcPr>
          <w:p w14:paraId="79C34F2A">
            <w:pPr>
              <w:spacing w:line="276" w:lineRule="auto"/>
              <w:ind w:left="0" w:leftChars="0" w:firstLine="0" w:firstLineChars="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简要内容</w:t>
            </w:r>
          </w:p>
        </w:tc>
        <w:tc>
          <w:tcPr>
            <w:tcW w:w="960" w:type="dxa"/>
            <w:tcBorders>
              <w:top w:val="single" w:color="auto" w:sz="4" w:space="0"/>
              <w:left w:val="single" w:color="auto" w:sz="4" w:space="0"/>
              <w:bottom w:val="single" w:color="auto" w:sz="4" w:space="0"/>
              <w:right w:val="single" w:color="auto" w:sz="4" w:space="0"/>
            </w:tcBorders>
            <w:vAlign w:val="center"/>
          </w:tcPr>
          <w:p w14:paraId="40A55EB9">
            <w:pPr>
              <w:spacing w:line="276" w:lineRule="auto"/>
              <w:ind w:left="0" w:leftChars="0" w:firstLine="0" w:firstLineChars="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条目</w:t>
            </w:r>
          </w:p>
        </w:tc>
        <w:tc>
          <w:tcPr>
            <w:tcW w:w="2880" w:type="dxa"/>
            <w:tcBorders>
              <w:top w:val="single" w:color="auto" w:sz="4" w:space="0"/>
              <w:left w:val="single" w:color="auto" w:sz="4" w:space="0"/>
              <w:bottom w:val="single" w:color="auto" w:sz="4" w:space="0"/>
              <w:right w:val="single" w:color="auto" w:sz="4" w:space="0"/>
            </w:tcBorders>
            <w:vAlign w:val="center"/>
          </w:tcPr>
          <w:p w14:paraId="0FAFFA30">
            <w:pPr>
              <w:spacing w:line="276" w:lineRule="auto"/>
              <w:ind w:left="0" w:leftChars="0" w:firstLine="0" w:firstLineChars="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简要内容</w:t>
            </w:r>
          </w:p>
        </w:tc>
      </w:tr>
      <w:tr w14:paraId="050CE05D">
        <w:tblPrEx>
          <w:tblCellMar>
            <w:top w:w="0" w:type="dxa"/>
            <w:left w:w="28" w:type="dxa"/>
            <w:bottom w:w="0" w:type="dxa"/>
            <w:right w:w="28" w:type="dxa"/>
          </w:tblCellMar>
        </w:tblPrEx>
        <w:trPr>
          <w:trHeight w:val="454" w:hRule="atLeast"/>
        </w:trPr>
        <w:tc>
          <w:tcPr>
            <w:tcW w:w="840" w:type="dxa"/>
            <w:tcBorders>
              <w:top w:val="single" w:color="auto" w:sz="4" w:space="0"/>
              <w:left w:val="single" w:color="auto" w:sz="4" w:space="0"/>
              <w:bottom w:val="single" w:color="auto" w:sz="4" w:space="0"/>
              <w:right w:val="single" w:color="auto" w:sz="4" w:space="0"/>
            </w:tcBorders>
            <w:vAlign w:val="center"/>
          </w:tcPr>
          <w:p w14:paraId="0B5FD608">
            <w:pPr>
              <w:spacing w:line="276" w:lineRule="auto"/>
              <w:ind w:firstLine="420" w:firstLineChars="200"/>
              <w:jc w:val="center"/>
              <w:rPr>
                <w:rFonts w:hint="eastAsia" w:ascii="宋体" w:hAnsi="宋体" w:eastAsia="宋体" w:cs="宋体"/>
                <w:color w:val="auto"/>
                <w:kern w:val="0"/>
                <w:sz w:val="21"/>
                <w:szCs w:val="21"/>
                <w:highlight w:val="none"/>
              </w:rPr>
            </w:pPr>
          </w:p>
        </w:tc>
        <w:tc>
          <w:tcPr>
            <w:tcW w:w="965" w:type="dxa"/>
            <w:tcBorders>
              <w:top w:val="single" w:color="auto" w:sz="4" w:space="0"/>
              <w:left w:val="single" w:color="auto" w:sz="4" w:space="0"/>
              <w:bottom w:val="single" w:color="auto" w:sz="4" w:space="0"/>
              <w:right w:val="single" w:color="auto" w:sz="4" w:space="0"/>
            </w:tcBorders>
            <w:vAlign w:val="center"/>
          </w:tcPr>
          <w:p w14:paraId="767DE97B">
            <w:pPr>
              <w:spacing w:line="276" w:lineRule="auto"/>
              <w:ind w:firstLine="420" w:firstLineChars="200"/>
              <w:jc w:val="center"/>
              <w:rPr>
                <w:rFonts w:hint="eastAsia" w:ascii="宋体" w:hAnsi="宋体" w:eastAsia="宋体" w:cs="宋体"/>
                <w:color w:val="auto"/>
                <w:kern w:val="0"/>
                <w:sz w:val="21"/>
                <w:szCs w:val="21"/>
                <w:highlight w:val="none"/>
              </w:rPr>
            </w:pPr>
          </w:p>
        </w:tc>
        <w:tc>
          <w:tcPr>
            <w:tcW w:w="2995" w:type="dxa"/>
            <w:tcBorders>
              <w:top w:val="single" w:color="auto" w:sz="4" w:space="0"/>
              <w:left w:val="single" w:color="auto" w:sz="4" w:space="0"/>
              <w:bottom w:val="single" w:color="auto" w:sz="4" w:space="0"/>
              <w:right w:val="single" w:color="auto" w:sz="4" w:space="0"/>
            </w:tcBorders>
            <w:vAlign w:val="center"/>
          </w:tcPr>
          <w:p w14:paraId="3F0419CB">
            <w:pPr>
              <w:spacing w:line="276" w:lineRule="auto"/>
              <w:ind w:firstLine="420" w:firstLineChars="200"/>
              <w:jc w:val="center"/>
              <w:rPr>
                <w:rFonts w:hint="eastAsia" w:ascii="宋体" w:hAnsi="宋体" w:eastAsia="宋体" w:cs="宋体"/>
                <w:color w:val="auto"/>
                <w:kern w:val="0"/>
                <w:sz w:val="21"/>
                <w:szCs w:val="21"/>
                <w:highlight w:val="none"/>
              </w:rPr>
            </w:pPr>
          </w:p>
        </w:tc>
        <w:tc>
          <w:tcPr>
            <w:tcW w:w="960" w:type="dxa"/>
            <w:tcBorders>
              <w:top w:val="single" w:color="auto" w:sz="4" w:space="0"/>
              <w:left w:val="single" w:color="auto" w:sz="4" w:space="0"/>
              <w:bottom w:val="single" w:color="auto" w:sz="4" w:space="0"/>
              <w:right w:val="single" w:color="auto" w:sz="4" w:space="0"/>
            </w:tcBorders>
            <w:vAlign w:val="center"/>
          </w:tcPr>
          <w:p w14:paraId="646F18C9">
            <w:pPr>
              <w:spacing w:line="276" w:lineRule="auto"/>
              <w:ind w:firstLine="420" w:firstLineChars="200"/>
              <w:jc w:val="center"/>
              <w:rPr>
                <w:rFonts w:hint="eastAsia" w:ascii="宋体" w:hAnsi="宋体" w:eastAsia="宋体" w:cs="宋体"/>
                <w:color w:val="auto"/>
                <w:kern w:val="0"/>
                <w:sz w:val="21"/>
                <w:szCs w:val="21"/>
                <w:highlight w:val="none"/>
              </w:rPr>
            </w:pPr>
          </w:p>
        </w:tc>
        <w:tc>
          <w:tcPr>
            <w:tcW w:w="2880" w:type="dxa"/>
            <w:tcBorders>
              <w:top w:val="single" w:color="auto" w:sz="4" w:space="0"/>
              <w:left w:val="single" w:color="auto" w:sz="4" w:space="0"/>
              <w:bottom w:val="single" w:color="auto" w:sz="4" w:space="0"/>
              <w:right w:val="single" w:color="auto" w:sz="4" w:space="0"/>
            </w:tcBorders>
            <w:vAlign w:val="center"/>
          </w:tcPr>
          <w:p w14:paraId="2BD481CC">
            <w:pPr>
              <w:spacing w:line="276" w:lineRule="auto"/>
              <w:ind w:firstLine="420" w:firstLineChars="200"/>
              <w:jc w:val="center"/>
              <w:rPr>
                <w:rFonts w:hint="eastAsia" w:ascii="宋体" w:hAnsi="宋体" w:eastAsia="宋体" w:cs="宋体"/>
                <w:color w:val="auto"/>
                <w:kern w:val="0"/>
                <w:sz w:val="21"/>
                <w:szCs w:val="21"/>
                <w:highlight w:val="none"/>
              </w:rPr>
            </w:pPr>
          </w:p>
        </w:tc>
      </w:tr>
      <w:tr w14:paraId="5F187FF7">
        <w:tblPrEx>
          <w:tblCellMar>
            <w:top w:w="0" w:type="dxa"/>
            <w:left w:w="28" w:type="dxa"/>
            <w:bottom w:w="0" w:type="dxa"/>
            <w:right w:w="28" w:type="dxa"/>
          </w:tblCellMar>
        </w:tblPrEx>
        <w:trPr>
          <w:trHeight w:val="454" w:hRule="atLeast"/>
        </w:trPr>
        <w:tc>
          <w:tcPr>
            <w:tcW w:w="840" w:type="dxa"/>
            <w:tcBorders>
              <w:top w:val="single" w:color="auto" w:sz="4" w:space="0"/>
              <w:left w:val="single" w:color="auto" w:sz="4" w:space="0"/>
              <w:bottom w:val="single" w:color="auto" w:sz="4" w:space="0"/>
              <w:right w:val="single" w:color="auto" w:sz="4" w:space="0"/>
            </w:tcBorders>
            <w:vAlign w:val="center"/>
          </w:tcPr>
          <w:p w14:paraId="68B25C40">
            <w:pPr>
              <w:spacing w:line="276" w:lineRule="auto"/>
              <w:ind w:firstLine="420" w:firstLineChars="200"/>
              <w:jc w:val="center"/>
              <w:rPr>
                <w:rFonts w:hint="eastAsia" w:ascii="宋体" w:hAnsi="宋体" w:eastAsia="宋体" w:cs="宋体"/>
                <w:color w:val="auto"/>
                <w:kern w:val="0"/>
                <w:sz w:val="21"/>
                <w:szCs w:val="21"/>
                <w:highlight w:val="none"/>
              </w:rPr>
            </w:pPr>
          </w:p>
        </w:tc>
        <w:tc>
          <w:tcPr>
            <w:tcW w:w="965" w:type="dxa"/>
            <w:tcBorders>
              <w:top w:val="single" w:color="auto" w:sz="4" w:space="0"/>
              <w:left w:val="single" w:color="auto" w:sz="4" w:space="0"/>
              <w:bottom w:val="single" w:color="auto" w:sz="4" w:space="0"/>
              <w:right w:val="single" w:color="auto" w:sz="4" w:space="0"/>
            </w:tcBorders>
            <w:vAlign w:val="center"/>
          </w:tcPr>
          <w:p w14:paraId="25671E63">
            <w:pPr>
              <w:spacing w:line="276" w:lineRule="auto"/>
              <w:ind w:firstLine="420" w:firstLineChars="200"/>
              <w:jc w:val="center"/>
              <w:rPr>
                <w:rFonts w:hint="eastAsia" w:ascii="宋体" w:hAnsi="宋体" w:eastAsia="宋体" w:cs="宋体"/>
                <w:color w:val="auto"/>
                <w:kern w:val="0"/>
                <w:sz w:val="21"/>
                <w:szCs w:val="21"/>
                <w:highlight w:val="none"/>
              </w:rPr>
            </w:pPr>
          </w:p>
        </w:tc>
        <w:tc>
          <w:tcPr>
            <w:tcW w:w="2995" w:type="dxa"/>
            <w:tcBorders>
              <w:top w:val="single" w:color="auto" w:sz="4" w:space="0"/>
              <w:left w:val="single" w:color="auto" w:sz="4" w:space="0"/>
              <w:bottom w:val="single" w:color="auto" w:sz="4" w:space="0"/>
              <w:right w:val="single" w:color="auto" w:sz="4" w:space="0"/>
            </w:tcBorders>
            <w:vAlign w:val="center"/>
          </w:tcPr>
          <w:p w14:paraId="7E757FB6">
            <w:pPr>
              <w:spacing w:line="276" w:lineRule="auto"/>
              <w:ind w:firstLine="420" w:firstLineChars="200"/>
              <w:jc w:val="center"/>
              <w:rPr>
                <w:rFonts w:hint="eastAsia" w:ascii="宋体" w:hAnsi="宋体" w:eastAsia="宋体" w:cs="宋体"/>
                <w:color w:val="auto"/>
                <w:kern w:val="0"/>
                <w:sz w:val="21"/>
                <w:szCs w:val="21"/>
                <w:highlight w:val="none"/>
              </w:rPr>
            </w:pPr>
          </w:p>
        </w:tc>
        <w:tc>
          <w:tcPr>
            <w:tcW w:w="960" w:type="dxa"/>
            <w:tcBorders>
              <w:top w:val="single" w:color="auto" w:sz="4" w:space="0"/>
              <w:left w:val="single" w:color="auto" w:sz="4" w:space="0"/>
              <w:bottom w:val="single" w:color="auto" w:sz="4" w:space="0"/>
              <w:right w:val="single" w:color="auto" w:sz="4" w:space="0"/>
            </w:tcBorders>
            <w:vAlign w:val="center"/>
          </w:tcPr>
          <w:p w14:paraId="26ABB740">
            <w:pPr>
              <w:spacing w:line="276" w:lineRule="auto"/>
              <w:ind w:firstLine="420" w:firstLineChars="200"/>
              <w:jc w:val="center"/>
              <w:rPr>
                <w:rFonts w:hint="eastAsia" w:ascii="宋体" w:hAnsi="宋体" w:eastAsia="宋体" w:cs="宋体"/>
                <w:color w:val="auto"/>
                <w:kern w:val="0"/>
                <w:sz w:val="21"/>
                <w:szCs w:val="21"/>
                <w:highlight w:val="none"/>
              </w:rPr>
            </w:pPr>
          </w:p>
        </w:tc>
        <w:tc>
          <w:tcPr>
            <w:tcW w:w="2880" w:type="dxa"/>
            <w:tcBorders>
              <w:top w:val="single" w:color="auto" w:sz="4" w:space="0"/>
              <w:left w:val="single" w:color="auto" w:sz="4" w:space="0"/>
              <w:bottom w:val="single" w:color="auto" w:sz="4" w:space="0"/>
              <w:right w:val="single" w:color="auto" w:sz="4" w:space="0"/>
            </w:tcBorders>
            <w:vAlign w:val="center"/>
          </w:tcPr>
          <w:p w14:paraId="006F6C92">
            <w:pPr>
              <w:spacing w:line="276" w:lineRule="auto"/>
              <w:ind w:firstLine="420" w:firstLineChars="200"/>
              <w:jc w:val="center"/>
              <w:rPr>
                <w:rFonts w:hint="eastAsia" w:ascii="宋体" w:hAnsi="宋体" w:eastAsia="宋体" w:cs="宋体"/>
                <w:color w:val="auto"/>
                <w:kern w:val="0"/>
                <w:sz w:val="21"/>
                <w:szCs w:val="21"/>
                <w:highlight w:val="none"/>
              </w:rPr>
            </w:pPr>
          </w:p>
        </w:tc>
      </w:tr>
      <w:tr w14:paraId="4939C8FF">
        <w:tblPrEx>
          <w:tblCellMar>
            <w:top w:w="0" w:type="dxa"/>
            <w:left w:w="28" w:type="dxa"/>
            <w:bottom w:w="0" w:type="dxa"/>
            <w:right w:w="28" w:type="dxa"/>
          </w:tblCellMar>
        </w:tblPrEx>
        <w:trPr>
          <w:trHeight w:val="454" w:hRule="atLeast"/>
        </w:trPr>
        <w:tc>
          <w:tcPr>
            <w:tcW w:w="840" w:type="dxa"/>
            <w:tcBorders>
              <w:top w:val="single" w:color="auto" w:sz="4" w:space="0"/>
              <w:left w:val="single" w:color="auto" w:sz="4" w:space="0"/>
              <w:bottom w:val="single" w:color="auto" w:sz="4" w:space="0"/>
              <w:right w:val="single" w:color="auto" w:sz="4" w:space="0"/>
            </w:tcBorders>
            <w:vAlign w:val="center"/>
          </w:tcPr>
          <w:p w14:paraId="7A79A218">
            <w:pPr>
              <w:spacing w:line="276" w:lineRule="auto"/>
              <w:ind w:firstLine="420" w:firstLineChars="200"/>
              <w:jc w:val="center"/>
              <w:rPr>
                <w:rFonts w:hint="eastAsia" w:ascii="宋体" w:hAnsi="宋体" w:eastAsia="宋体" w:cs="宋体"/>
                <w:color w:val="auto"/>
                <w:kern w:val="0"/>
                <w:sz w:val="21"/>
                <w:szCs w:val="21"/>
                <w:highlight w:val="none"/>
              </w:rPr>
            </w:pPr>
          </w:p>
        </w:tc>
        <w:tc>
          <w:tcPr>
            <w:tcW w:w="965" w:type="dxa"/>
            <w:tcBorders>
              <w:top w:val="single" w:color="auto" w:sz="4" w:space="0"/>
              <w:left w:val="single" w:color="auto" w:sz="4" w:space="0"/>
              <w:bottom w:val="single" w:color="auto" w:sz="4" w:space="0"/>
              <w:right w:val="single" w:color="auto" w:sz="4" w:space="0"/>
            </w:tcBorders>
            <w:vAlign w:val="center"/>
          </w:tcPr>
          <w:p w14:paraId="6EE1C9E1">
            <w:pPr>
              <w:spacing w:line="276" w:lineRule="auto"/>
              <w:ind w:firstLine="420" w:firstLineChars="200"/>
              <w:jc w:val="center"/>
              <w:rPr>
                <w:rFonts w:hint="eastAsia" w:ascii="宋体" w:hAnsi="宋体" w:eastAsia="宋体" w:cs="宋体"/>
                <w:color w:val="auto"/>
                <w:kern w:val="0"/>
                <w:sz w:val="21"/>
                <w:szCs w:val="21"/>
                <w:highlight w:val="none"/>
              </w:rPr>
            </w:pPr>
          </w:p>
        </w:tc>
        <w:tc>
          <w:tcPr>
            <w:tcW w:w="2995" w:type="dxa"/>
            <w:tcBorders>
              <w:top w:val="single" w:color="auto" w:sz="4" w:space="0"/>
              <w:left w:val="single" w:color="auto" w:sz="4" w:space="0"/>
              <w:bottom w:val="single" w:color="auto" w:sz="4" w:space="0"/>
              <w:right w:val="single" w:color="auto" w:sz="4" w:space="0"/>
            </w:tcBorders>
            <w:vAlign w:val="center"/>
          </w:tcPr>
          <w:p w14:paraId="68151776">
            <w:pPr>
              <w:spacing w:line="276" w:lineRule="auto"/>
              <w:ind w:firstLine="420" w:firstLineChars="200"/>
              <w:jc w:val="center"/>
              <w:rPr>
                <w:rFonts w:hint="eastAsia" w:ascii="宋体" w:hAnsi="宋体" w:eastAsia="宋体" w:cs="宋体"/>
                <w:color w:val="auto"/>
                <w:kern w:val="0"/>
                <w:sz w:val="21"/>
                <w:szCs w:val="21"/>
                <w:highlight w:val="none"/>
              </w:rPr>
            </w:pPr>
          </w:p>
        </w:tc>
        <w:tc>
          <w:tcPr>
            <w:tcW w:w="960" w:type="dxa"/>
            <w:tcBorders>
              <w:top w:val="single" w:color="auto" w:sz="4" w:space="0"/>
              <w:left w:val="single" w:color="auto" w:sz="4" w:space="0"/>
              <w:bottom w:val="single" w:color="auto" w:sz="4" w:space="0"/>
              <w:right w:val="single" w:color="auto" w:sz="4" w:space="0"/>
            </w:tcBorders>
            <w:vAlign w:val="center"/>
          </w:tcPr>
          <w:p w14:paraId="346BD7D0">
            <w:pPr>
              <w:spacing w:line="276" w:lineRule="auto"/>
              <w:ind w:firstLine="420" w:firstLineChars="200"/>
              <w:jc w:val="center"/>
              <w:rPr>
                <w:rFonts w:hint="eastAsia" w:ascii="宋体" w:hAnsi="宋体" w:eastAsia="宋体" w:cs="宋体"/>
                <w:color w:val="auto"/>
                <w:kern w:val="0"/>
                <w:sz w:val="21"/>
                <w:szCs w:val="21"/>
                <w:highlight w:val="none"/>
              </w:rPr>
            </w:pPr>
          </w:p>
        </w:tc>
        <w:tc>
          <w:tcPr>
            <w:tcW w:w="2880" w:type="dxa"/>
            <w:tcBorders>
              <w:top w:val="single" w:color="auto" w:sz="4" w:space="0"/>
              <w:left w:val="single" w:color="auto" w:sz="4" w:space="0"/>
              <w:bottom w:val="single" w:color="auto" w:sz="4" w:space="0"/>
              <w:right w:val="single" w:color="auto" w:sz="4" w:space="0"/>
            </w:tcBorders>
            <w:vAlign w:val="center"/>
          </w:tcPr>
          <w:p w14:paraId="02657B17">
            <w:pPr>
              <w:spacing w:line="276" w:lineRule="auto"/>
              <w:ind w:firstLine="420" w:firstLineChars="200"/>
              <w:jc w:val="center"/>
              <w:rPr>
                <w:rFonts w:hint="eastAsia" w:ascii="宋体" w:hAnsi="宋体" w:eastAsia="宋体" w:cs="宋体"/>
                <w:color w:val="auto"/>
                <w:kern w:val="0"/>
                <w:sz w:val="21"/>
                <w:szCs w:val="21"/>
                <w:highlight w:val="none"/>
              </w:rPr>
            </w:pPr>
          </w:p>
        </w:tc>
      </w:tr>
      <w:tr w14:paraId="19288573">
        <w:tblPrEx>
          <w:tblCellMar>
            <w:top w:w="0" w:type="dxa"/>
            <w:left w:w="28" w:type="dxa"/>
            <w:bottom w:w="0" w:type="dxa"/>
            <w:right w:w="28" w:type="dxa"/>
          </w:tblCellMar>
        </w:tblPrEx>
        <w:trPr>
          <w:trHeight w:val="454" w:hRule="atLeast"/>
        </w:trPr>
        <w:tc>
          <w:tcPr>
            <w:tcW w:w="840" w:type="dxa"/>
            <w:tcBorders>
              <w:top w:val="single" w:color="auto" w:sz="4" w:space="0"/>
              <w:left w:val="single" w:color="auto" w:sz="4" w:space="0"/>
              <w:bottom w:val="single" w:color="auto" w:sz="4" w:space="0"/>
              <w:right w:val="single" w:color="auto" w:sz="4" w:space="0"/>
            </w:tcBorders>
            <w:vAlign w:val="center"/>
          </w:tcPr>
          <w:p w14:paraId="48406195">
            <w:pPr>
              <w:spacing w:line="276" w:lineRule="auto"/>
              <w:ind w:firstLine="420" w:firstLineChars="200"/>
              <w:jc w:val="center"/>
              <w:rPr>
                <w:rFonts w:hint="eastAsia" w:ascii="宋体" w:hAnsi="宋体" w:eastAsia="宋体" w:cs="宋体"/>
                <w:color w:val="auto"/>
                <w:kern w:val="0"/>
                <w:sz w:val="21"/>
                <w:szCs w:val="21"/>
                <w:highlight w:val="none"/>
              </w:rPr>
            </w:pPr>
          </w:p>
        </w:tc>
        <w:tc>
          <w:tcPr>
            <w:tcW w:w="965" w:type="dxa"/>
            <w:tcBorders>
              <w:top w:val="single" w:color="auto" w:sz="4" w:space="0"/>
              <w:left w:val="single" w:color="auto" w:sz="4" w:space="0"/>
              <w:bottom w:val="single" w:color="auto" w:sz="4" w:space="0"/>
              <w:right w:val="single" w:color="auto" w:sz="4" w:space="0"/>
            </w:tcBorders>
            <w:vAlign w:val="center"/>
          </w:tcPr>
          <w:p w14:paraId="34425ED4">
            <w:pPr>
              <w:spacing w:line="276" w:lineRule="auto"/>
              <w:ind w:firstLine="420" w:firstLineChars="200"/>
              <w:jc w:val="center"/>
              <w:rPr>
                <w:rFonts w:hint="eastAsia" w:ascii="宋体" w:hAnsi="宋体" w:eastAsia="宋体" w:cs="宋体"/>
                <w:color w:val="auto"/>
                <w:kern w:val="0"/>
                <w:sz w:val="21"/>
                <w:szCs w:val="21"/>
                <w:highlight w:val="none"/>
              </w:rPr>
            </w:pPr>
          </w:p>
        </w:tc>
        <w:tc>
          <w:tcPr>
            <w:tcW w:w="2995" w:type="dxa"/>
            <w:tcBorders>
              <w:top w:val="single" w:color="auto" w:sz="4" w:space="0"/>
              <w:left w:val="single" w:color="auto" w:sz="4" w:space="0"/>
              <w:bottom w:val="single" w:color="auto" w:sz="4" w:space="0"/>
              <w:right w:val="single" w:color="auto" w:sz="4" w:space="0"/>
            </w:tcBorders>
            <w:vAlign w:val="center"/>
          </w:tcPr>
          <w:p w14:paraId="68A7CF54">
            <w:pPr>
              <w:spacing w:line="276" w:lineRule="auto"/>
              <w:ind w:firstLine="420" w:firstLineChars="200"/>
              <w:jc w:val="center"/>
              <w:rPr>
                <w:rFonts w:hint="eastAsia" w:ascii="宋体" w:hAnsi="宋体" w:eastAsia="宋体" w:cs="宋体"/>
                <w:color w:val="auto"/>
                <w:kern w:val="0"/>
                <w:sz w:val="21"/>
                <w:szCs w:val="21"/>
                <w:highlight w:val="none"/>
              </w:rPr>
            </w:pPr>
          </w:p>
        </w:tc>
        <w:tc>
          <w:tcPr>
            <w:tcW w:w="960" w:type="dxa"/>
            <w:tcBorders>
              <w:top w:val="single" w:color="auto" w:sz="4" w:space="0"/>
              <w:left w:val="single" w:color="auto" w:sz="4" w:space="0"/>
              <w:bottom w:val="single" w:color="auto" w:sz="4" w:space="0"/>
              <w:right w:val="single" w:color="auto" w:sz="4" w:space="0"/>
            </w:tcBorders>
            <w:vAlign w:val="center"/>
          </w:tcPr>
          <w:p w14:paraId="1AF8397C">
            <w:pPr>
              <w:spacing w:line="276" w:lineRule="auto"/>
              <w:ind w:firstLine="420" w:firstLineChars="200"/>
              <w:jc w:val="center"/>
              <w:rPr>
                <w:rFonts w:hint="eastAsia" w:ascii="宋体" w:hAnsi="宋体" w:eastAsia="宋体" w:cs="宋体"/>
                <w:color w:val="auto"/>
                <w:kern w:val="0"/>
                <w:sz w:val="21"/>
                <w:szCs w:val="21"/>
                <w:highlight w:val="none"/>
              </w:rPr>
            </w:pPr>
          </w:p>
        </w:tc>
        <w:tc>
          <w:tcPr>
            <w:tcW w:w="2880" w:type="dxa"/>
            <w:tcBorders>
              <w:top w:val="single" w:color="auto" w:sz="4" w:space="0"/>
              <w:left w:val="single" w:color="auto" w:sz="4" w:space="0"/>
              <w:bottom w:val="single" w:color="auto" w:sz="4" w:space="0"/>
              <w:right w:val="single" w:color="auto" w:sz="4" w:space="0"/>
            </w:tcBorders>
            <w:vAlign w:val="center"/>
          </w:tcPr>
          <w:p w14:paraId="5F283E08">
            <w:pPr>
              <w:spacing w:line="276" w:lineRule="auto"/>
              <w:ind w:firstLine="420" w:firstLineChars="200"/>
              <w:jc w:val="center"/>
              <w:rPr>
                <w:rFonts w:hint="eastAsia" w:ascii="宋体" w:hAnsi="宋体" w:eastAsia="宋体" w:cs="宋体"/>
                <w:color w:val="auto"/>
                <w:kern w:val="0"/>
                <w:sz w:val="21"/>
                <w:szCs w:val="21"/>
                <w:highlight w:val="none"/>
              </w:rPr>
            </w:pPr>
          </w:p>
        </w:tc>
      </w:tr>
      <w:tr w14:paraId="760A3779">
        <w:tblPrEx>
          <w:tblCellMar>
            <w:top w:w="0" w:type="dxa"/>
            <w:left w:w="28" w:type="dxa"/>
            <w:bottom w:w="0" w:type="dxa"/>
            <w:right w:w="28" w:type="dxa"/>
          </w:tblCellMar>
        </w:tblPrEx>
        <w:trPr>
          <w:trHeight w:val="454" w:hRule="atLeast"/>
        </w:trPr>
        <w:tc>
          <w:tcPr>
            <w:tcW w:w="840" w:type="dxa"/>
            <w:tcBorders>
              <w:top w:val="single" w:color="auto" w:sz="4" w:space="0"/>
              <w:left w:val="single" w:color="auto" w:sz="4" w:space="0"/>
              <w:bottom w:val="single" w:color="auto" w:sz="4" w:space="0"/>
              <w:right w:val="single" w:color="auto" w:sz="4" w:space="0"/>
            </w:tcBorders>
            <w:vAlign w:val="center"/>
          </w:tcPr>
          <w:p w14:paraId="56F091B5">
            <w:pPr>
              <w:spacing w:line="276" w:lineRule="auto"/>
              <w:ind w:firstLine="420" w:firstLineChars="200"/>
              <w:jc w:val="center"/>
              <w:rPr>
                <w:rFonts w:hint="eastAsia" w:ascii="宋体" w:hAnsi="宋体" w:eastAsia="宋体" w:cs="宋体"/>
                <w:color w:val="auto"/>
                <w:kern w:val="0"/>
                <w:sz w:val="21"/>
                <w:szCs w:val="21"/>
                <w:highlight w:val="none"/>
              </w:rPr>
            </w:pPr>
          </w:p>
        </w:tc>
        <w:tc>
          <w:tcPr>
            <w:tcW w:w="965" w:type="dxa"/>
            <w:tcBorders>
              <w:top w:val="single" w:color="auto" w:sz="4" w:space="0"/>
              <w:left w:val="single" w:color="auto" w:sz="4" w:space="0"/>
              <w:bottom w:val="single" w:color="auto" w:sz="4" w:space="0"/>
              <w:right w:val="single" w:color="auto" w:sz="4" w:space="0"/>
            </w:tcBorders>
            <w:vAlign w:val="center"/>
          </w:tcPr>
          <w:p w14:paraId="3C3DD772">
            <w:pPr>
              <w:spacing w:line="276" w:lineRule="auto"/>
              <w:ind w:firstLine="420" w:firstLineChars="200"/>
              <w:jc w:val="center"/>
              <w:rPr>
                <w:rFonts w:hint="eastAsia" w:ascii="宋体" w:hAnsi="宋体" w:eastAsia="宋体" w:cs="宋体"/>
                <w:color w:val="auto"/>
                <w:kern w:val="0"/>
                <w:sz w:val="21"/>
                <w:szCs w:val="21"/>
                <w:highlight w:val="none"/>
              </w:rPr>
            </w:pPr>
          </w:p>
        </w:tc>
        <w:tc>
          <w:tcPr>
            <w:tcW w:w="2995" w:type="dxa"/>
            <w:tcBorders>
              <w:top w:val="single" w:color="auto" w:sz="4" w:space="0"/>
              <w:left w:val="single" w:color="auto" w:sz="4" w:space="0"/>
              <w:bottom w:val="single" w:color="auto" w:sz="4" w:space="0"/>
              <w:right w:val="single" w:color="auto" w:sz="4" w:space="0"/>
            </w:tcBorders>
            <w:vAlign w:val="center"/>
          </w:tcPr>
          <w:p w14:paraId="3B6924E7">
            <w:pPr>
              <w:spacing w:line="276" w:lineRule="auto"/>
              <w:ind w:firstLine="420" w:firstLineChars="200"/>
              <w:jc w:val="center"/>
              <w:rPr>
                <w:rFonts w:hint="eastAsia" w:ascii="宋体" w:hAnsi="宋体" w:eastAsia="宋体" w:cs="宋体"/>
                <w:color w:val="auto"/>
                <w:kern w:val="0"/>
                <w:sz w:val="21"/>
                <w:szCs w:val="21"/>
                <w:highlight w:val="none"/>
              </w:rPr>
            </w:pPr>
          </w:p>
        </w:tc>
        <w:tc>
          <w:tcPr>
            <w:tcW w:w="960" w:type="dxa"/>
            <w:tcBorders>
              <w:top w:val="single" w:color="auto" w:sz="4" w:space="0"/>
              <w:left w:val="single" w:color="auto" w:sz="4" w:space="0"/>
              <w:bottom w:val="single" w:color="auto" w:sz="4" w:space="0"/>
              <w:right w:val="single" w:color="auto" w:sz="4" w:space="0"/>
            </w:tcBorders>
            <w:vAlign w:val="center"/>
          </w:tcPr>
          <w:p w14:paraId="6D4A1F1B">
            <w:pPr>
              <w:spacing w:line="276" w:lineRule="auto"/>
              <w:ind w:firstLine="420" w:firstLineChars="200"/>
              <w:jc w:val="center"/>
              <w:rPr>
                <w:rFonts w:hint="eastAsia" w:ascii="宋体" w:hAnsi="宋体" w:eastAsia="宋体" w:cs="宋体"/>
                <w:color w:val="auto"/>
                <w:kern w:val="0"/>
                <w:sz w:val="21"/>
                <w:szCs w:val="21"/>
                <w:highlight w:val="none"/>
              </w:rPr>
            </w:pPr>
          </w:p>
        </w:tc>
        <w:tc>
          <w:tcPr>
            <w:tcW w:w="2880" w:type="dxa"/>
            <w:tcBorders>
              <w:top w:val="single" w:color="auto" w:sz="4" w:space="0"/>
              <w:left w:val="single" w:color="auto" w:sz="4" w:space="0"/>
              <w:bottom w:val="single" w:color="auto" w:sz="4" w:space="0"/>
              <w:right w:val="single" w:color="auto" w:sz="4" w:space="0"/>
            </w:tcBorders>
            <w:vAlign w:val="center"/>
          </w:tcPr>
          <w:p w14:paraId="6B6223D6">
            <w:pPr>
              <w:spacing w:line="276" w:lineRule="auto"/>
              <w:ind w:firstLine="420" w:firstLineChars="200"/>
              <w:jc w:val="center"/>
              <w:rPr>
                <w:rFonts w:hint="eastAsia" w:ascii="宋体" w:hAnsi="宋体" w:eastAsia="宋体" w:cs="宋体"/>
                <w:color w:val="auto"/>
                <w:kern w:val="0"/>
                <w:sz w:val="21"/>
                <w:szCs w:val="21"/>
                <w:highlight w:val="none"/>
              </w:rPr>
            </w:pPr>
          </w:p>
        </w:tc>
      </w:tr>
    </w:tbl>
    <w:p w14:paraId="51D313A0">
      <w:pPr>
        <w:rPr>
          <w:color w:val="auto"/>
          <w:highlight w:val="none"/>
        </w:rPr>
      </w:pPr>
    </w:p>
    <w:p w14:paraId="398909E1">
      <w:pPr>
        <w:rPr>
          <w:color w:val="auto"/>
          <w:highlight w:val="none"/>
        </w:rPr>
      </w:pPr>
    </w:p>
    <w:p w14:paraId="6DC934A6">
      <w:pPr>
        <w:pStyle w:val="2"/>
        <w:rPr>
          <w:rFonts w:ascii="仿宋" w:hAnsi="仿宋" w:eastAsia="仿宋"/>
          <w:color w:val="auto"/>
          <w:highlight w:val="none"/>
        </w:rPr>
      </w:pPr>
      <w:bookmarkStart w:id="40" w:name="_Toc10471"/>
      <w:r>
        <w:rPr>
          <w:rFonts w:hint="eastAsia" w:ascii="仿宋" w:hAnsi="仿宋" w:eastAsia="仿宋"/>
          <w:color w:val="auto"/>
          <w:highlight w:val="none"/>
        </w:rPr>
        <w:t>12、数据表</w:t>
      </w:r>
      <w:bookmarkEnd w:id="40"/>
    </w:p>
    <w:p w14:paraId="4A3A67BC">
      <w:pPr>
        <w:rPr>
          <w:color w:val="auto"/>
          <w:highlight w:val="none"/>
        </w:rPr>
      </w:pPr>
      <w:r>
        <w:rPr>
          <w:rFonts w:hint="eastAsia"/>
          <w:color w:val="auto"/>
          <w:highlight w:val="none"/>
        </w:rPr>
        <w:drawing>
          <wp:inline distT="0" distB="0" distL="114300" distR="114300">
            <wp:extent cx="5269865" cy="7452995"/>
            <wp:effectExtent l="0" t="0" r="6985" b="14605"/>
            <wp:docPr id="46" name="图片 46" descr="回收车间-呼吸阀数据表-共45台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回收车间-呼吸阀数据表-共45台_01"/>
                    <pic:cNvPicPr>
                      <a:picLocks noChangeAspect="1"/>
                    </pic:cNvPicPr>
                  </pic:nvPicPr>
                  <pic:blipFill>
                    <a:blip r:embed="rId6"/>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45" name="图片 45" descr="回收车间-呼吸阀数据表-共45台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回收车间-呼吸阀数据表-共45台_02"/>
                    <pic:cNvPicPr>
                      <a:picLocks noChangeAspect="1"/>
                    </pic:cNvPicPr>
                  </pic:nvPicPr>
                  <pic:blipFill>
                    <a:blip r:embed="rId7"/>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44" name="图片 44" descr="回收车间-呼吸阀数据表-共45台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回收车间-呼吸阀数据表-共45台_03"/>
                    <pic:cNvPicPr>
                      <a:picLocks noChangeAspect="1"/>
                    </pic:cNvPicPr>
                  </pic:nvPicPr>
                  <pic:blipFill>
                    <a:blip r:embed="rId8"/>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43" name="图片 43" descr="回收车间-呼吸阀数据表-共45台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回收车间-呼吸阀数据表-共45台_04"/>
                    <pic:cNvPicPr>
                      <a:picLocks noChangeAspect="1"/>
                    </pic:cNvPicPr>
                  </pic:nvPicPr>
                  <pic:blipFill>
                    <a:blip r:embed="rId9"/>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42" name="图片 42" descr="回收车间-呼吸阀数据表-共45台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回收车间-呼吸阀数据表-共45台_05"/>
                    <pic:cNvPicPr>
                      <a:picLocks noChangeAspect="1"/>
                    </pic:cNvPicPr>
                  </pic:nvPicPr>
                  <pic:blipFill>
                    <a:blip r:embed="rId10"/>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41" name="图片 41" descr="回收车间-呼吸阀数据表-共45台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回收车间-呼吸阀数据表-共45台_06"/>
                    <pic:cNvPicPr>
                      <a:picLocks noChangeAspect="1"/>
                    </pic:cNvPicPr>
                  </pic:nvPicPr>
                  <pic:blipFill>
                    <a:blip r:embed="rId11"/>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40" name="图片 40" descr="回收车间-呼吸阀数据表-共45台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回收车间-呼吸阀数据表-共45台_07"/>
                    <pic:cNvPicPr>
                      <a:picLocks noChangeAspect="1"/>
                    </pic:cNvPicPr>
                  </pic:nvPicPr>
                  <pic:blipFill>
                    <a:blip r:embed="rId12"/>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39" name="图片 39" descr="回收车间-呼吸阀数据表-共45台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回收车间-呼吸阀数据表-共45台_08"/>
                    <pic:cNvPicPr>
                      <a:picLocks noChangeAspect="1"/>
                    </pic:cNvPicPr>
                  </pic:nvPicPr>
                  <pic:blipFill>
                    <a:blip r:embed="rId13"/>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38" name="图片 38" descr="回收车间-呼吸阀数据表-共45台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回收车间-呼吸阀数据表-共45台_09"/>
                    <pic:cNvPicPr>
                      <a:picLocks noChangeAspect="1"/>
                    </pic:cNvPicPr>
                  </pic:nvPicPr>
                  <pic:blipFill>
                    <a:blip r:embed="rId14"/>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37" name="图片 37" descr="回收车间-呼吸阀数据表-共45台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回收车间-呼吸阀数据表-共45台_10"/>
                    <pic:cNvPicPr>
                      <a:picLocks noChangeAspect="1"/>
                    </pic:cNvPicPr>
                  </pic:nvPicPr>
                  <pic:blipFill>
                    <a:blip r:embed="rId15"/>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36" name="图片 36" descr="回收车间-呼吸阀数据表-共45台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回收车间-呼吸阀数据表-共45台_11"/>
                    <pic:cNvPicPr>
                      <a:picLocks noChangeAspect="1"/>
                    </pic:cNvPicPr>
                  </pic:nvPicPr>
                  <pic:blipFill>
                    <a:blip r:embed="rId16"/>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35" name="图片 35" descr="回收车间-呼吸阀数据表-共45台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回收车间-呼吸阀数据表-共45台_12"/>
                    <pic:cNvPicPr>
                      <a:picLocks noChangeAspect="1"/>
                    </pic:cNvPicPr>
                  </pic:nvPicPr>
                  <pic:blipFill>
                    <a:blip r:embed="rId17"/>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34" name="图片 34" descr="回收车间-呼吸阀数据表-共45台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回收车间-呼吸阀数据表-共45台_13"/>
                    <pic:cNvPicPr>
                      <a:picLocks noChangeAspect="1"/>
                    </pic:cNvPicPr>
                  </pic:nvPicPr>
                  <pic:blipFill>
                    <a:blip r:embed="rId18"/>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33" name="图片 33" descr="回收车间-呼吸阀数据表-共45台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回收车间-呼吸阀数据表-共45台_14"/>
                    <pic:cNvPicPr>
                      <a:picLocks noChangeAspect="1"/>
                    </pic:cNvPicPr>
                  </pic:nvPicPr>
                  <pic:blipFill>
                    <a:blip r:embed="rId19"/>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32" name="图片 32" descr="回收车间-呼吸阀数据表-共45台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回收车间-呼吸阀数据表-共45台_15"/>
                    <pic:cNvPicPr>
                      <a:picLocks noChangeAspect="1"/>
                    </pic:cNvPicPr>
                  </pic:nvPicPr>
                  <pic:blipFill>
                    <a:blip r:embed="rId20"/>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31" name="图片 31" descr="回收车间-呼吸阀数据表-共45台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回收车间-呼吸阀数据表-共45台_16"/>
                    <pic:cNvPicPr>
                      <a:picLocks noChangeAspect="1"/>
                    </pic:cNvPicPr>
                  </pic:nvPicPr>
                  <pic:blipFill>
                    <a:blip r:embed="rId21"/>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30" name="图片 30" descr="回收车间-呼吸阀数据表-共45台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回收车间-呼吸阀数据表-共45台_17"/>
                    <pic:cNvPicPr>
                      <a:picLocks noChangeAspect="1"/>
                    </pic:cNvPicPr>
                  </pic:nvPicPr>
                  <pic:blipFill>
                    <a:blip r:embed="rId22"/>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29" name="图片 29" descr="回收车间-呼吸阀数据表-共45台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回收车间-呼吸阀数据表-共45台_18"/>
                    <pic:cNvPicPr>
                      <a:picLocks noChangeAspect="1"/>
                    </pic:cNvPicPr>
                  </pic:nvPicPr>
                  <pic:blipFill>
                    <a:blip r:embed="rId23"/>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28" name="图片 28" descr="回收车间-呼吸阀数据表-共45台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回收车间-呼吸阀数据表-共45台_19"/>
                    <pic:cNvPicPr>
                      <a:picLocks noChangeAspect="1"/>
                    </pic:cNvPicPr>
                  </pic:nvPicPr>
                  <pic:blipFill>
                    <a:blip r:embed="rId24"/>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27" name="图片 27" descr="回收车间-呼吸阀数据表-共45台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回收车间-呼吸阀数据表-共45台_20"/>
                    <pic:cNvPicPr>
                      <a:picLocks noChangeAspect="1"/>
                    </pic:cNvPicPr>
                  </pic:nvPicPr>
                  <pic:blipFill>
                    <a:blip r:embed="rId25"/>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26" name="图片 26" descr="回收车间-呼吸阀数据表-共45台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回收车间-呼吸阀数据表-共45台_21"/>
                    <pic:cNvPicPr>
                      <a:picLocks noChangeAspect="1"/>
                    </pic:cNvPicPr>
                  </pic:nvPicPr>
                  <pic:blipFill>
                    <a:blip r:embed="rId26"/>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25" name="图片 25" descr="回收车间-呼吸阀数据表-共45台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回收车间-呼吸阀数据表-共45台_22"/>
                    <pic:cNvPicPr>
                      <a:picLocks noChangeAspect="1"/>
                    </pic:cNvPicPr>
                  </pic:nvPicPr>
                  <pic:blipFill>
                    <a:blip r:embed="rId27"/>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24" name="图片 24" descr="回收车间-呼吸阀数据表-共45台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回收车间-呼吸阀数据表-共45台_23"/>
                    <pic:cNvPicPr>
                      <a:picLocks noChangeAspect="1"/>
                    </pic:cNvPicPr>
                  </pic:nvPicPr>
                  <pic:blipFill>
                    <a:blip r:embed="rId28"/>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23" name="图片 23" descr="回收车间-呼吸阀数据表-共45台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回收车间-呼吸阀数据表-共45台_24"/>
                    <pic:cNvPicPr>
                      <a:picLocks noChangeAspect="1"/>
                    </pic:cNvPicPr>
                  </pic:nvPicPr>
                  <pic:blipFill>
                    <a:blip r:embed="rId29"/>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22" name="图片 22" descr="回收车间-呼吸阀数据表-共45台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回收车间-呼吸阀数据表-共45台_25"/>
                    <pic:cNvPicPr>
                      <a:picLocks noChangeAspect="1"/>
                    </pic:cNvPicPr>
                  </pic:nvPicPr>
                  <pic:blipFill>
                    <a:blip r:embed="rId30"/>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21" name="图片 21" descr="回收车间-呼吸阀数据表-共45台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回收车间-呼吸阀数据表-共45台_26"/>
                    <pic:cNvPicPr>
                      <a:picLocks noChangeAspect="1"/>
                    </pic:cNvPicPr>
                  </pic:nvPicPr>
                  <pic:blipFill>
                    <a:blip r:embed="rId31"/>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20" name="图片 20" descr="回收车间-呼吸阀数据表-共45台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回收车间-呼吸阀数据表-共45台_27"/>
                    <pic:cNvPicPr>
                      <a:picLocks noChangeAspect="1"/>
                    </pic:cNvPicPr>
                  </pic:nvPicPr>
                  <pic:blipFill>
                    <a:blip r:embed="rId32"/>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9" name="图片 19" descr="回收车间-呼吸阀数据表-共45台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回收车间-呼吸阀数据表-共45台_28"/>
                    <pic:cNvPicPr>
                      <a:picLocks noChangeAspect="1"/>
                    </pic:cNvPicPr>
                  </pic:nvPicPr>
                  <pic:blipFill>
                    <a:blip r:embed="rId33"/>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8" name="图片 18" descr="回收车间-呼吸阀数据表-共45台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回收车间-呼吸阀数据表-共45台_29"/>
                    <pic:cNvPicPr>
                      <a:picLocks noChangeAspect="1"/>
                    </pic:cNvPicPr>
                  </pic:nvPicPr>
                  <pic:blipFill>
                    <a:blip r:embed="rId34"/>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7" name="图片 17" descr="回收车间-呼吸阀数据表-共45台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回收车间-呼吸阀数据表-共45台_30"/>
                    <pic:cNvPicPr>
                      <a:picLocks noChangeAspect="1"/>
                    </pic:cNvPicPr>
                  </pic:nvPicPr>
                  <pic:blipFill>
                    <a:blip r:embed="rId35"/>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6" name="图片 16" descr="回收车间-呼吸阀数据表-共45台_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回收车间-呼吸阀数据表-共45台_31"/>
                    <pic:cNvPicPr>
                      <a:picLocks noChangeAspect="1"/>
                    </pic:cNvPicPr>
                  </pic:nvPicPr>
                  <pic:blipFill>
                    <a:blip r:embed="rId36"/>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5" name="图片 15" descr="回收车间-呼吸阀数据表-共45台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回收车间-呼吸阀数据表-共45台_32"/>
                    <pic:cNvPicPr>
                      <a:picLocks noChangeAspect="1"/>
                    </pic:cNvPicPr>
                  </pic:nvPicPr>
                  <pic:blipFill>
                    <a:blip r:embed="rId37"/>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4" name="图片 14" descr="回收车间-呼吸阀数据表-共45台_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回收车间-呼吸阀数据表-共45台_33"/>
                    <pic:cNvPicPr>
                      <a:picLocks noChangeAspect="1"/>
                    </pic:cNvPicPr>
                  </pic:nvPicPr>
                  <pic:blipFill>
                    <a:blip r:embed="rId38"/>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3" name="图片 13" descr="回收车间-呼吸阀数据表-共45台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回收车间-呼吸阀数据表-共45台_34"/>
                    <pic:cNvPicPr>
                      <a:picLocks noChangeAspect="1"/>
                    </pic:cNvPicPr>
                  </pic:nvPicPr>
                  <pic:blipFill>
                    <a:blip r:embed="rId39"/>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2" name="图片 12" descr="回收车间-呼吸阀数据表-共45台_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回收车间-呼吸阀数据表-共45台_35"/>
                    <pic:cNvPicPr>
                      <a:picLocks noChangeAspect="1"/>
                    </pic:cNvPicPr>
                  </pic:nvPicPr>
                  <pic:blipFill>
                    <a:blip r:embed="rId40"/>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1" name="图片 11" descr="回收车间-呼吸阀数据表-共45台_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回收车间-呼吸阀数据表-共45台_36"/>
                    <pic:cNvPicPr>
                      <a:picLocks noChangeAspect="1"/>
                    </pic:cNvPicPr>
                  </pic:nvPicPr>
                  <pic:blipFill>
                    <a:blip r:embed="rId41"/>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0" name="图片 10" descr="回收车间-呼吸阀数据表-共45台_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回收车间-呼吸阀数据表-共45台_37"/>
                    <pic:cNvPicPr>
                      <a:picLocks noChangeAspect="1"/>
                    </pic:cNvPicPr>
                  </pic:nvPicPr>
                  <pic:blipFill>
                    <a:blip r:embed="rId42"/>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9" name="图片 9" descr="回收车间-呼吸阀数据表-共45台_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回收车间-呼吸阀数据表-共45台_38"/>
                    <pic:cNvPicPr>
                      <a:picLocks noChangeAspect="1"/>
                    </pic:cNvPicPr>
                  </pic:nvPicPr>
                  <pic:blipFill>
                    <a:blip r:embed="rId43"/>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8" name="图片 8" descr="回收车间-呼吸阀数据表-共45台_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回收车间-呼吸阀数据表-共45台_39"/>
                    <pic:cNvPicPr>
                      <a:picLocks noChangeAspect="1"/>
                    </pic:cNvPicPr>
                  </pic:nvPicPr>
                  <pic:blipFill>
                    <a:blip r:embed="rId44"/>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7" name="图片 7" descr="回收车间-呼吸阀数据表-共45台_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回收车间-呼吸阀数据表-共45台_40"/>
                    <pic:cNvPicPr>
                      <a:picLocks noChangeAspect="1"/>
                    </pic:cNvPicPr>
                  </pic:nvPicPr>
                  <pic:blipFill>
                    <a:blip r:embed="rId45"/>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6" name="图片 6" descr="回收车间-呼吸阀数据表-共45台_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回收车间-呼吸阀数据表-共45台_41"/>
                    <pic:cNvPicPr>
                      <a:picLocks noChangeAspect="1"/>
                    </pic:cNvPicPr>
                  </pic:nvPicPr>
                  <pic:blipFill>
                    <a:blip r:embed="rId46"/>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5" name="图片 5" descr="回收车间-呼吸阀数据表-共45台_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回收车间-呼吸阀数据表-共45台_42"/>
                    <pic:cNvPicPr>
                      <a:picLocks noChangeAspect="1"/>
                    </pic:cNvPicPr>
                  </pic:nvPicPr>
                  <pic:blipFill>
                    <a:blip r:embed="rId47"/>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4" name="图片 4" descr="回收车间-呼吸阀数据表-共45台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回收车间-呼吸阀数据表-共45台_43"/>
                    <pic:cNvPicPr>
                      <a:picLocks noChangeAspect="1"/>
                    </pic:cNvPicPr>
                  </pic:nvPicPr>
                  <pic:blipFill>
                    <a:blip r:embed="rId48"/>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2" name="图片 2" descr="回收车间-呼吸阀数据表-共45台_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回收车间-呼吸阀数据表-共45台_44"/>
                    <pic:cNvPicPr>
                      <a:picLocks noChangeAspect="1"/>
                    </pic:cNvPicPr>
                  </pic:nvPicPr>
                  <pic:blipFill>
                    <a:blip r:embed="rId49"/>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 name="图片 1" descr="回收车间-呼吸阀数据表-共45台_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回收车间-呼吸阀数据表-共45台_45"/>
                    <pic:cNvPicPr>
                      <a:picLocks noChangeAspect="1"/>
                    </pic:cNvPicPr>
                  </pic:nvPicPr>
                  <pic:blipFill>
                    <a:blip r:embed="rId50"/>
                    <a:stretch>
                      <a:fillRect/>
                    </a:stretch>
                  </pic:blipFill>
                  <pic:spPr>
                    <a:xfrm>
                      <a:off x="0" y="0"/>
                      <a:ext cx="5269865" cy="7452995"/>
                    </a:xfrm>
                    <a:prstGeom prst="rect">
                      <a:avLst/>
                    </a:prstGeom>
                  </pic:spPr>
                </pic:pic>
              </a:graphicData>
            </a:graphic>
          </wp:inline>
        </w:drawing>
      </w:r>
    </w:p>
    <w:p w14:paraId="7EF5D4D3">
      <w:pPr>
        <w:rPr>
          <w:color w:val="auto"/>
          <w:highlight w:val="none"/>
        </w:rPr>
      </w:pPr>
    </w:p>
    <w:p w14:paraId="02C93593">
      <w:pPr>
        <w:rPr>
          <w:color w:val="auto"/>
          <w:highlight w:val="none"/>
        </w:rPr>
      </w:pPr>
    </w:p>
    <w:p w14:paraId="68DE88CC">
      <w:pPr>
        <w:rPr>
          <w:color w:val="auto"/>
          <w:highlight w:val="none"/>
        </w:rPr>
      </w:pPr>
    </w:p>
    <w:p w14:paraId="36DAD4D1">
      <w:pPr>
        <w:rPr>
          <w:color w:val="auto"/>
          <w:highlight w:val="none"/>
        </w:rPr>
      </w:pPr>
    </w:p>
    <w:p w14:paraId="00851486">
      <w:pPr>
        <w:rPr>
          <w:color w:val="auto"/>
          <w:highlight w:val="none"/>
        </w:rPr>
      </w:pPr>
    </w:p>
    <w:p w14:paraId="2BA2FA06">
      <w:pPr>
        <w:rPr>
          <w:color w:val="auto"/>
          <w:highlight w:val="none"/>
        </w:rPr>
      </w:pPr>
    </w:p>
    <w:p w14:paraId="1312B08B">
      <w:pPr>
        <w:rPr>
          <w:color w:val="auto"/>
          <w:highlight w:val="none"/>
        </w:rPr>
      </w:pPr>
      <w:r>
        <w:rPr>
          <w:rFonts w:hint="eastAsia"/>
          <w:color w:val="auto"/>
          <w:highlight w:val="none"/>
        </w:rPr>
        <w:drawing>
          <wp:inline distT="0" distB="0" distL="114300" distR="114300">
            <wp:extent cx="5269865" cy="7452995"/>
            <wp:effectExtent l="0" t="0" r="6985" b="14605"/>
            <wp:docPr id="133" name="图片 133" descr="回收车间-呼吸阀数据表-共87台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回收车间-呼吸阀数据表-共87台_03"/>
                    <pic:cNvPicPr>
                      <a:picLocks noChangeAspect="1"/>
                    </pic:cNvPicPr>
                  </pic:nvPicPr>
                  <pic:blipFill>
                    <a:blip r:embed="rId51"/>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32" name="图片 132" descr="回收车间-呼吸阀数据表-共87台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回收车间-呼吸阀数据表-共87台_04"/>
                    <pic:cNvPicPr>
                      <a:picLocks noChangeAspect="1"/>
                    </pic:cNvPicPr>
                  </pic:nvPicPr>
                  <pic:blipFill>
                    <a:blip r:embed="rId52"/>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31" name="图片 131" descr="回收车间-呼吸阀数据表-共87台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回收车间-呼吸阀数据表-共87台_05"/>
                    <pic:cNvPicPr>
                      <a:picLocks noChangeAspect="1"/>
                    </pic:cNvPicPr>
                  </pic:nvPicPr>
                  <pic:blipFill>
                    <a:blip r:embed="rId53"/>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30" name="图片 130" descr="回收车间-呼吸阀数据表-共87台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回收车间-呼吸阀数据表-共87台_06"/>
                    <pic:cNvPicPr>
                      <a:picLocks noChangeAspect="1"/>
                    </pic:cNvPicPr>
                  </pic:nvPicPr>
                  <pic:blipFill>
                    <a:blip r:embed="rId54"/>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29" name="图片 129" descr="回收车间-呼吸阀数据表-共87台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回收车间-呼吸阀数据表-共87台_07"/>
                    <pic:cNvPicPr>
                      <a:picLocks noChangeAspect="1"/>
                    </pic:cNvPicPr>
                  </pic:nvPicPr>
                  <pic:blipFill>
                    <a:blip r:embed="rId55"/>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28" name="图片 128" descr="回收车间-呼吸阀数据表-共87台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回收车间-呼吸阀数据表-共87台_08"/>
                    <pic:cNvPicPr>
                      <a:picLocks noChangeAspect="1"/>
                    </pic:cNvPicPr>
                  </pic:nvPicPr>
                  <pic:blipFill>
                    <a:blip r:embed="rId56"/>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27" name="图片 127" descr="回收车间-呼吸阀数据表-共87台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回收车间-呼吸阀数据表-共87台_09"/>
                    <pic:cNvPicPr>
                      <a:picLocks noChangeAspect="1"/>
                    </pic:cNvPicPr>
                  </pic:nvPicPr>
                  <pic:blipFill>
                    <a:blip r:embed="rId57"/>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26" name="图片 126" descr="回收车间-呼吸阀数据表-共87台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回收车间-呼吸阀数据表-共87台_10"/>
                    <pic:cNvPicPr>
                      <a:picLocks noChangeAspect="1"/>
                    </pic:cNvPicPr>
                  </pic:nvPicPr>
                  <pic:blipFill>
                    <a:blip r:embed="rId58"/>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25" name="图片 125" descr="回收车间-呼吸阀数据表-共87台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回收车间-呼吸阀数据表-共87台_11"/>
                    <pic:cNvPicPr>
                      <a:picLocks noChangeAspect="1"/>
                    </pic:cNvPicPr>
                  </pic:nvPicPr>
                  <pic:blipFill>
                    <a:blip r:embed="rId59"/>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24" name="图片 124" descr="回收车间-呼吸阀数据表-共87台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回收车间-呼吸阀数据表-共87台_12"/>
                    <pic:cNvPicPr>
                      <a:picLocks noChangeAspect="1"/>
                    </pic:cNvPicPr>
                  </pic:nvPicPr>
                  <pic:blipFill>
                    <a:blip r:embed="rId60"/>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23" name="图片 123" descr="回收车间-呼吸阀数据表-共87台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回收车间-呼吸阀数据表-共87台_13"/>
                    <pic:cNvPicPr>
                      <a:picLocks noChangeAspect="1"/>
                    </pic:cNvPicPr>
                  </pic:nvPicPr>
                  <pic:blipFill>
                    <a:blip r:embed="rId61"/>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22" name="图片 122" descr="回收车间-呼吸阀数据表-共87台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回收车间-呼吸阀数据表-共87台_14"/>
                    <pic:cNvPicPr>
                      <a:picLocks noChangeAspect="1"/>
                    </pic:cNvPicPr>
                  </pic:nvPicPr>
                  <pic:blipFill>
                    <a:blip r:embed="rId62"/>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21" name="图片 121" descr="回收车间-呼吸阀数据表-共87台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回收车间-呼吸阀数据表-共87台_15"/>
                    <pic:cNvPicPr>
                      <a:picLocks noChangeAspect="1"/>
                    </pic:cNvPicPr>
                  </pic:nvPicPr>
                  <pic:blipFill>
                    <a:blip r:embed="rId63"/>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20" name="图片 120" descr="回收车间-呼吸阀数据表-共87台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回收车间-呼吸阀数据表-共87台_16"/>
                    <pic:cNvPicPr>
                      <a:picLocks noChangeAspect="1"/>
                    </pic:cNvPicPr>
                  </pic:nvPicPr>
                  <pic:blipFill>
                    <a:blip r:embed="rId64"/>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19" name="图片 119" descr="回收车间-呼吸阀数据表-共87台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回收车间-呼吸阀数据表-共87台_17"/>
                    <pic:cNvPicPr>
                      <a:picLocks noChangeAspect="1"/>
                    </pic:cNvPicPr>
                  </pic:nvPicPr>
                  <pic:blipFill>
                    <a:blip r:embed="rId65"/>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18" name="图片 118" descr="回收车间-呼吸阀数据表-共87台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回收车间-呼吸阀数据表-共87台_18"/>
                    <pic:cNvPicPr>
                      <a:picLocks noChangeAspect="1"/>
                    </pic:cNvPicPr>
                  </pic:nvPicPr>
                  <pic:blipFill>
                    <a:blip r:embed="rId66"/>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17" name="图片 117" descr="回收车间-呼吸阀数据表-共87台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回收车间-呼吸阀数据表-共87台_19"/>
                    <pic:cNvPicPr>
                      <a:picLocks noChangeAspect="1"/>
                    </pic:cNvPicPr>
                  </pic:nvPicPr>
                  <pic:blipFill>
                    <a:blip r:embed="rId67"/>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16" name="图片 116" descr="回收车间-呼吸阀数据表-共87台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回收车间-呼吸阀数据表-共87台_20"/>
                    <pic:cNvPicPr>
                      <a:picLocks noChangeAspect="1"/>
                    </pic:cNvPicPr>
                  </pic:nvPicPr>
                  <pic:blipFill>
                    <a:blip r:embed="rId68"/>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15" name="图片 115" descr="回收车间-呼吸阀数据表-共87台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回收车间-呼吸阀数据表-共87台_21"/>
                    <pic:cNvPicPr>
                      <a:picLocks noChangeAspect="1"/>
                    </pic:cNvPicPr>
                  </pic:nvPicPr>
                  <pic:blipFill>
                    <a:blip r:embed="rId69"/>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14" name="图片 114" descr="回收车间-呼吸阀数据表-共87台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回收车间-呼吸阀数据表-共87台_22"/>
                    <pic:cNvPicPr>
                      <a:picLocks noChangeAspect="1"/>
                    </pic:cNvPicPr>
                  </pic:nvPicPr>
                  <pic:blipFill>
                    <a:blip r:embed="rId70"/>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13" name="图片 113" descr="回收车间-呼吸阀数据表-共87台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descr="回收车间-呼吸阀数据表-共87台_23"/>
                    <pic:cNvPicPr>
                      <a:picLocks noChangeAspect="1"/>
                    </pic:cNvPicPr>
                  </pic:nvPicPr>
                  <pic:blipFill>
                    <a:blip r:embed="rId71"/>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12" name="图片 112" descr="回收车间-呼吸阀数据表-共87台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回收车间-呼吸阀数据表-共87台_24"/>
                    <pic:cNvPicPr>
                      <a:picLocks noChangeAspect="1"/>
                    </pic:cNvPicPr>
                  </pic:nvPicPr>
                  <pic:blipFill>
                    <a:blip r:embed="rId72"/>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11" name="图片 111" descr="回收车间-呼吸阀数据表-共87台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回收车间-呼吸阀数据表-共87台_25"/>
                    <pic:cNvPicPr>
                      <a:picLocks noChangeAspect="1"/>
                    </pic:cNvPicPr>
                  </pic:nvPicPr>
                  <pic:blipFill>
                    <a:blip r:embed="rId73"/>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10" name="图片 110" descr="回收车间-呼吸阀数据表-共87台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回收车间-呼吸阀数据表-共87台_26"/>
                    <pic:cNvPicPr>
                      <a:picLocks noChangeAspect="1"/>
                    </pic:cNvPicPr>
                  </pic:nvPicPr>
                  <pic:blipFill>
                    <a:blip r:embed="rId74"/>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09" name="图片 109" descr="回收车间-呼吸阀数据表-共87台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回收车间-呼吸阀数据表-共87台_27"/>
                    <pic:cNvPicPr>
                      <a:picLocks noChangeAspect="1"/>
                    </pic:cNvPicPr>
                  </pic:nvPicPr>
                  <pic:blipFill>
                    <a:blip r:embed="rId75"/>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08" name="图片 108" descr="回收车间-呼吸阀数据表-共87台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回收车间-呼吸阀数据表-共87台_28"/>
                    <pic:cNvPicPr>
                      <a:picLocks noChangeAspect="1"/>
                    </pic:cNvPicPr>
                  </pic:nvPicPr>
                  <pic:blipFill>
                    <a:blip r:embed="rId76"/>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07" name="图片 107" descr="回收车间-呼吸阀数据表-共87台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回收车间-呼吸阀数据表-共87台_29"/>
                    <pic:cNvPicPr>
                      <a:picLocks noChangeAspect="1"/>
                    </pic:cNvPicPr>
                  </pic:nvPicPr>
                  <pic:blipFill>
                    <a:blip r:embed="rId77"/>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06" name="图片 106" descr="回收车间-呼吸阀数据表-共87台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回收车间-呼吸阀数据表-共87台_30"/>
                    <pic:cNvPicPr>
                      <a:picLocks noChangeAspect="1"/>
                    </pic:cNvPicPr>
                  </pic:nvPicPr>
                  <pic:blipFill>
                    <a:blip r:embed="rId78"/>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05" name="图片 105" descr="回收车间-呼吸阀数据表-共87台_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回收车间-呼吸阀数据表-共87台_31"/>
                    <pic:cNvPicPr>
                      <a:picLocks noChangeAspect="1"/>
                    </pic:cNvPicPr>
                  </pic:nvPicPr>
                  <pic:blipFill>
                    <a:blip r:embed="rId79"/>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04" name="图片 104" descr="回收车间-呼吸阀数据表-共87台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回收车间-呼吸阀数据表-共87台_32"/>
                    <pic:cNvPicPr>
                      <a:picLocks noChangeAspect="1"/>
                    </pic:cNvPicPr>
                  </pic:nvPicPr>
                  <pic:blipFill>
                    <a:blip r:embed="rId80"/>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03" name="图片 103" descr="回收车间-呼吸阀数据表-共87台_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回收车间-呼吸阀数据表-共87台_33"/>
                    <pic:cNvPicPr>
                      <a:picLocks noChangeAspect="1"/>
                    </pic:cNvPicPr>
                  </pic:nvPicPr>
                  <pic:blipFill>
                    <a:blip r:embed="rId81"/>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02" name="图片 102" descr="回收车间-呼吸阀数据表-共87台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回收车间-呼吸阀数据表-共87台_34"/>
                    <pic:cNvPicPr>
                      <a:picLocks noChangeAspect="1"/>
                    </pic:cNvPicPr>
                  </pic:nvPicPr>
                  <pic:blipFill>
                    <a:blip r:embed="rId82"/>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01" name="图片 101" descr="回收车间-呼吸阀数据表-共87台_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回收车间-呼吸阀数据表-共87台_35"/>
                    <pic:cNvPicPr>
                      <a:picLocks noChangeAspect="1"/>
                    </pic:cNvPicPr>
                  </pic:nvPicPr>
                  <pic:blipFill>
                    <a:blip r:embed="rId83"/>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100" name="图片 100" descr="回收车间-呼吸阀数据表-共87台_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回收车间-呼吸阀数据表-共87台_36"/>
                    <pic:cNvPicPr>
                      <a:picLocks noChangeAspect="1"/>
                    </pic:cNvPicPr>
                  </pic:nvPicPr>
                  <pic:blipFill>
                    <a:blip r:embed="rId84"/>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99" name="图片 99" descr="回收车间-呼吸阀数据表-共87台_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回收车间-呼吸阀数据表-共87台_37"/>
                    <pic:cNvPicPr>
                      <a:picLocks noChangeAspect="1"/>
                    </pic:cNvPicPr>
                  </pic:nvPicPr>
                  <pic:blipFill>
                    <a:blip r:embed="rId85"/>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98" name="图片 98" descr="回收车间-呼吸阀数据表-共87台_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回收车间-呼吸阀数据表-共87台_38"/>
                    <pic:cNvPicPr>
                      <a:picLocks noChangeAspect="1"/>
                    </pic:cNvPicPr>
                  </pic:nvPicPr>
                  <pic:blipFill>
                    <a:blip r:embed="rId86"/>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97" name="图片 97" descr="回收车间-呼吸阀数据表-共87台_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回收车间-呼吸阀数据表-共87台_39"/>
                    <pic:cNvPicPr>
                      <a:picLocks noChangeAspect="1"/>
                    </pic:cNvPicPr>
                  </pic:nvPicPr>
                  <pic:blipFill>
                    <a:blip r:embed="rId87"/>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96" name="图片 96" descr="回收车间-呼吸阀数据表-共87台_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回收车间-呼吸阀数据表-共87台_40"/>
                    <pic:cNvPicPr>
                      <a:picLocks noChangeAspect="1"/>
                    </pic:cNvPicPr>
                  </pic:nvPicPr>
                  <pic:blipFill>
                    <a:blip r:embed="rId88"/>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95" name="图片 95" descr="回收车间-呼吸阀数据表-共87台_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回收车间-呼吸阀数据表-共87台_41"/>
                    <pic:cNvPicPr>
                      <a:picLocks noChangeAspect="1"/>
                    </pic:cNvPicPr>
                  </pic:nvPicPr>
                  <pic:blipFill>
                    <a:blip r:embed="rId89"/>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94" name="图片 94" descr="回收车间-呼吸阀数据表-共87台_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回收车间-呼吸阀数据表-共87台_42"/>
                    <pic:cNvPicPr>
                      <a:picLocks noChangeAspect="1"/>
                    </pic:cNvPicPr>
                  </pic:nvPicPr>
                  <pic:blipFill>
                    <a:blip r:embed="rId90"/>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93" name="图片 93" descr="回收车间-呼吸阀数据表-共87台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回收车间-呼吸阀数据表-共87台_43"/>
                    <pic:cNvPicPr>
                      <a:picLocks noChangeAspect="1"/>
                    </pic:cNvPicPr>
                  </pic:nvPicPr>
                  <pic:blipFill>
                    <a:blip r:embed="rId91"/>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92" name="图片 92" descr="回收车间-呼吸阀数据表-共87台_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回收车间-呼吸阀数据表-共87台_44"/>
                    <pic:cNvPicPr>
                      <a:picLocks noChangeAspect="1"/>
                    </pic:cNvPicPr>
                  </pic:nvPicPr>
                  <pic:blipFill>
                    <a:blip r:embed="rId92"/>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91" name="图片 91" descr="回收车间-呼吸阀数据表-共87台_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回收车间-呼吸阀数据表-共87台_45"/>
                    <pic:cNvPicPr>
                      <a:picLocks noChangeAspect="1"/>
                    </pic:cNvPicPr>
                  </pic:nvPicPr>
                  <pic:blipFill>
                    <a:blip r:embed="rId93"/>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90" name="图片 90" descr="回收车间-呼吸阀数据表-共87台_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回收车间-呼吸阀数据表-共87台_46"/>
                    <pic:cNvPicPr>
                      <a:picLocks noChangeAspect="1"/>
                    </pic:cNvPicPr>
                  </pic:nvPicPr>
                  <pic:blipFill>
                    <a:blip r:embed="rId94"/>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89" name="图片 89" descr="回收车间-呼吸阀数据表-共87台_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回收车间-呼吸阀数据表-共87台_47"/>
                    <pic:cNvPicPr>
                      <a:picLocks noChangeAspect="1"/>
                    </pic:cNvPicPr>
                  </pic:nvPicPr>
                  <pic:blipFill>
                    <a:blip r:embed="rId95"/>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88" name="图片 88" descr="回收车间-呼吸阀数据表-共87台_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回收车间-呼吸阀数据表-共87台_48"/>
                    <pic:cNvPicPr>
                      <a:picLocks noChangeAspect="1"/>
                    </pic:cNvPicPr>
                  </pic:nvPicPr>
                  <pic:blipFill>
                    <a:blip r:embed="rId96"/>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87" name="图片 87" descr="回收车间-呼吸阀数据表-共87台_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回收车间-呼吸阀数据表-共87台_49"/>
                    <pic:cNvPicPr>
                      <a:picLocks noChangeAspect="1"/>
                    </pic:cNvPicPr>
                  </pic:nvPicPr>
                  <pic:blipFill>
                    <a:blip r:embed="rId97"/>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86" name="图片 86" descr="回收车间-呼吸阀数据表-共87台_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回收车间-呼吸阀数据表-共87台_50"/>
                    <pic:cNvPicPr>
                      <a:picLocks noChangeAspect="1"/>
                    </pic:cNvPicPr>
                  </pic:nvPicPr>
                  <pic:blipFill>
                    <a:blip r:embed="rId98"/>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85" name="图片 85" descr="回收车间-呼吸阀数据表-共87台_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回收车间-呼吸阀数据表-共87台_51"/>
                    <pic:cNvPicPr>
                      <a:picLocks noChangeAspect="1"/>
                    </pic:cNvPicPr>
                  </pic:nvPicPr>
                  <pic:blipFill>
                    <a:blip r:embed="rId99"/>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84" name="图片 84" descr="回收车间-呼吸阀数据表-共87台_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回收车间-呼吸阀数据表-共87台_52"/>
                    <pic:cNvPicPr>
                      <a:picLocks noChangeAspect="1"/>
                    </pic:cNvPicPr>
                  </pic:nvPicPr>
                  <pic:blipFill>
                    <a:blip r:embed="rId100"/>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83" name="图片 83" descr="回收车间-呼吸阀数据表-共87台_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回收车间-呼吸阀数据表-共87台_53"/>
                    <pic:cNvPicPr>
                      <a:picLocks noChangeAspect="1"/>
                    </pic:cNvPicPr>
                  </pic:nvPicPr>
                  <pic:blipFill>
                    <a:blip r:embed="rId101"/>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82" name="图片 82" descr="回收车间-呼吸阀数据表-共87台_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回收车间-呼吸阀数据表-共87台_54"/>
                    <pic:cNvPicPr>
                      <a:picLocks noChangeAspect="1"/>
                    </pic:cNvPicPr>
                  </pic:nvPicPr>
                  <pic:blipFill>
                    <a:blip r:embed="rId102"/>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81" name="图片 81" descr="回收车间-呼吸阀数据表-共87台_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回收车间-呼吸阀数据表-共87台_55"/>
                    <pic:cNvPicPr>
                      <a:picLocks noChangeAspect="1"/>
                    </pic:cNvPicPr>
                  </pic:nvPicPr>
                  <pic:blipFill>
                    <a:blip r:embed="rId103"/>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80" name="图片 80" descr="回收车间-呼吸阀数据表-共87台_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回收车间-呼吸阀数据表-共87台_56"/>
                    <pic:cNvPicPr>
                      <a:picLocks noChangeAspect="1"/>
                    </pic:cNvPicPr>
                  </pic:nvPicPr>
                  <pic:blipFill>
                    <a:blip r:embed="rId104"/>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79" name="图片 79" descr="回收车间-呼吸阀数据表-共87台_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回收车间-呼吸阀数据表-共87台_57"/>
                    <pic:cNvPicPr>
                      <a:picLocks noChangeAspect="1"/>
                    </pic:cNvPicPr>
                  </pic:nvPicPr>
                  <pic:blipFill>
                    <a:blip r:embed="rId105"/>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78" name="图片 78" descr="回收车间-呼吸阀数据表-共87台_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回收车间-呼吸阀数据表-共87台_58"/>
                    <pic:cNvPicPr>
                      <a:picLocks noChangeAspect="1"/>
                    </pic:cNvPicPr>
                  </pic:nvPicPr>
                  <pic:blipFill>
                    <a:blip r:embed="rId106"/>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77" name="图片 77" descr="回收车间-呼吸阀数据表-共87台_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回收车间-呼吸阀数据表-共87台_59"/>
                    <pic:cNvPicPr>
                      <a:picLocks noChangeAspect="1"/>
                    </pic:cNvPicPr>
                  </pic:nvPicPr>
                  <pic:blipFill>
                    <a:blip r:embed="rId107"/>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76" name="图片 76" descr="回收车间-呼吸阀数据表-共87台_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回收车间-呼吸阀数据表-共87台_60"/>
                    <pic:cNvPicPr>
                      <a:picLocks noChangeAspect="1"/>
                    </pic:cNvPicPr>
                  </pic:nvPicPr>
                  <pic:blipFill>
                    <a:blip r:embed="rId108"/>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75" name="图片 75" descr="回收车间-呼吸阀数据表-共87台_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回收车间-呼吸阀数据表-共87台_61"/>
                    <pic:cNvPicPr>
                      <a:picLocks noChangeAspect="1"/>
                    </pic:cNvPicPr>
                  </pic:nvPicPr>
                  <pic:blipFill>
                    <a:blip r:embed="rId109"/>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74" name="图片 74" descr="回收车间-呼吸阀数据表-共87台_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回收车间-呼吸阀数据表-共87台_62"/>
                    <pic:cNvPicPr>
                      <a:picLocks noChangeAspect="1"/>
                    </pic:cNvPicPr>
                  </pic:nvPicPr>
                  <pic:blipFill>
                    <a:blip r:embed="rId110"/>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73" name="图片 73" descr="回收车间-呼吸阀数据表-共87台_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回收车间-呼吸阀数据表-共87台_63"/>
                    <pic:cNvPicPr>
                      <a:picLocks noChangeAspect="1"/>
                    </pic:cNvPicPr>
                  </pic:nvPicPr>
                  <pic:blipFill>
                    <a:blip r:embed="rId111"/>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72" name="图片 72" descr="回收车间-呼吸阀数据表-共87台_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回收车间-呼吸阀数据表-共87台_64"/>
                    <pic:cNvPicPr>
                      <a:picLocks noChangeAspect="1"/>
                    </pic:cNvPicPr>
                  </pic:nvPicPr>
                  <pic:blipFill>
                    <a:blip r:embed="rId112"/>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71" name="图片 71" descr="回收车间-呼吸阀数据表-共87台_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回收车间-呼吸阀数据表-共87台_65"/>
                    <pic:cNvPicPr>
                      <a:picLocks noChangeAspect="1"/>
                    </pic:cNvPicPr>
                  </pic:nvPicPr>
                  <pic:blipFill>
                    <a:blip r:embed="rId113"/>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70" name="图片 70" descr="回收车间-呼吸阀数据表-共87台_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回收车间-呼吸阀数据表-共87台_66"/>
                    <pic:cNvPicPr>
                      <a:picLocks noChangeAspect="1"/>
                    </pic:cNvPicPr>
                  </pic:nvPicPr>
                  <pic:blipFill>
                    <a:blip r:embed="rId114"/>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69" name="图片 69" descr="回收车间-呼吸阀数据表-共87台_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回收车间-呼吸阀数据表-共87台_67"/>
                    <pic:cNvPicPr>
                      <a:picLocks noChangeAspect="1"/>
                    </pic:cNvPicPr>
                  </pic:nvPicPr>
                  <pic:blipFill>
                    <a:blip r:embed="rId115"/>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68" name="图片 68" descr="回收车间-呼吸阀数据表-共87台_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回收车间-呼吸阀数据表-共87台_68"/>
                    <pic:cNvPicPr>
                      <a:picLocks noChangeAspect="1"/>
                    </pic:cNvPicPr>
                  </pic:nvPicPr>
                  <pic:blipFill>
                    <a:blip r:embed="rId116"/>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67" name="图片 67" descr="回收车间-呼吸阀数据表-共87台_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回收车间-呼吸阀数据表-共87台_69"/>
                    <pic:cNvPicPr>
                      <a:picLocks noChangeAspect="1"/>
                    </pic:cNvPicPr>
                  </pic:nvPicPr>
                  <pic:blipFill>
                    <a:blip r:embed="rId117"/>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66" name="图片 66" descr="回收车间-呼吸阀数据表-共87台_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回收车间-呼吸阀数据表-共87台_70"/>
                    <pic:cNvPicPr>
                      <a:picLocks noChangeAspect="1"/>
                    </pic:cNvPicPr>
                  </pic:nvPicPr>
                  <pic:blipFill>
                    <a:blip r:embed="rId118"/>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65" name="图片 65" descr="回收车间-呼吸阀数据表-共87台_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回收车间-呼吸阀数据表-共87台_71"/>
                    <pic:cNvPicPr>
                      <a:picLocks noChangeAspect="1"/>
                    </pic:cNvPicPr>
                  </pic:nvPicPr>
                  <pic:blipFill>
                    <a:blip r:embed="rId119"/>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64" name="图片 64" descr="回收车间-呼吸阀数据表-共87台_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回收车间-呼吸阀数据表-共87台_72"/>
                    <pic:cNvPicPr>
                      <a:picLocks noChangeAspect="1"/>
                    </pic:cNvPicPr>
                  </pic:nvPicPr>
                  <pic:blipFill>
                    <a:blip r:embed="rId120"/>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63" name="图片 63" descr="回收车间-呼吸阀数据表-共87台_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回收车间-呼吸阀数据表-共87台_73"/>
                    <pic:cNvPicPr>
                      <a:picLocks noChangeAspect="1"/>
                    </pic:cNvPicPr>
                  </pic:nvPicPr>
                  <pic:blipFill>
                    <a:blip r:embed="rId121"/>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62" name="图片 62" descr="回收车间-呼吸阀数据表-共87台_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回收车间-呼吸阀数据表-共87台_74"/>
                    <pic:cNvPicPr>
                      <a:picLocks noChangeAspect="1"/>
                    </pic:cNvPicPr>
                  </pic:nvPicPr>
                  <pic:blipFill>
                    <a:blip r:embed="rId122"/>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61" name="图片 61" descr="回收车间-呼吸阀数据表-共87台_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回收车间-呼吸阀数据表-共87台_75"/>
                    <pic:cNvPicPr>
                      <a:picLocks noChangeAspect="1"/>
                    </pic:cNvPicPr>
                  </pic:nvPicPr>
                  <pic:blipFill>
                    <a:blip r:embed="rId123"/>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60" name="图片 60" descr="回收车间-呼吸阀数据表-共87台_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回收车间-呼吸阀数据表-共87台_76"/>
                    <pic:cNvPicPr>
                      <a:picLocks noChangeAspect="1"/>
                    </pic:cNvPicPr>
                  </pic:nvPicPr>
                  <pic:blipFill>
                    <a:blip r:embed="rId124"/>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59" name="图片 59" descr="回收车间-呼吸阀数据表-共87台_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回收车间-呼吸阀数据表-共87台_77"/>
                    <pic:cNvPicPr>
                      <a:picLocks noChangeAspect="1"/>
                    </pic:cNvPicPr>
                  </pic:nvPicPr>
                  <pic:blipFill>
                    <a:blip r:embed="rId125"/>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58" name="图片 58" descr="回收车间-呼吸阀数据表-共87台_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回收车间-呼吸阀数据表-共87台_78"/>
                    <pic:cNvPicPr>
                      <a:picLocks noChangeAspect="1"/>
                    </pic:cNvPicPr>
                  </pic:nvPicPr>
                  <pic:blipFill>
                    <a:blip r:embed="rId126"/>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57" name="图片 57" descr="回收车间-呼吸阀数据表-共87台_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回收车间-呼吸阀数据表-共87台_79"/>
                    <pic:cNvPicPr>
                      <a:picLocks noChangeAspect="1"/>
                    </pic:cNvPicPr>
                  </pic:nvPicPr>
                  <pic:blipFill>
                    <a:blip r:embed="rId127"/>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56" name="图片 56" descr="回收车间-呼吸阀数据表-共87台_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回收车间-呼吸阀数据表-共87台_80"/>
                    <pic:cNvPicPr>
                      <a:picLocks noChangeAspect="1"/>
                    </pic:cNvPicPr>
                  </pic:nvPicPr>
                  <pic:blipFill>
                    <a:blip r:embed="rId128"/>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55" name="图片 55" descr="回收车间-呼吸阀数据表-共87台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回收车间-呼吸阀数据表-共87台_81"/>
                    <pic:cNvPicPr>
                      <a:picLocks noChangeAspect="1"/>
                    </pic:cNvPicPr>
                  </pic:nvPicPr>
                  <pic:blipFill>
                    <a:blip r:embed="rId129"/>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54" name="图片 54" descr="回收车间-呼吸阀数据表-共87台_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回收车间-呼吸阀数据表-共87台_82"/>
                    <pic:cNvPicPr>
                      <a:picLocks noChangeAspect="1"/>
                    </pic:cNvPicPr>
                  </pic:nvPicPr>
                  <pic:blipFill>
                    <a:blip r:embed="rId130"/>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53" name="图片 53" descr="回收车间-呼吸阀数据表-共87台_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回收车间-呼吸阀数据表-共87台_83"/>
                    <pic:cNvPicPr>
                      <a:picLocks noChangeAspect="1"/>
                    </pic:cNvPicPr>
                  </pic:nvPicPr>
                  <pic:blipFill>
                    <a:blip r:embed="rId131"/>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52" name="图片 52" descr="回收车间-呼吸阀数据表-共87台_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回收车间-呼吸阀数据表-共87台_84"/>
                    <pic:cNvPicPr>
                      <a:picLocks noChangeAspect="1"/>
                    </pic:cNvPicPr>
                  </pic:nvPicPr>
                  <pic:blipFill>
                    <a:blip r:embed="rId132"/>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51" name="图片 51" descr="回收车间-呼吸阀数据表-共87台_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回收车间-呼吸阀数据表-共87台_85"/>
                    <pic:cNvPicPr>
                      <a:picLocks noChangeAspect="1"/>
                    </pic:cNvPicPr>
                  </pic:nvPicPr>
                  <pic:blipFill>
                    <a:blip r:embed="rId133"/>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50" name="图片 50" descr="回收车间-呼吸阀数据表-共87台_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回收车间-呼吸阀数据表-共87台_86"/>
                    <pic:cNvPicPr>
                      <a:picLocks noChangeAspect="1"/>
                    </pic:cNvPicPr>
                  </pic:nvPicPr>
                  <pic:blipFill>
                    <a:blip r:embed="rId134"/>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49" name="图片 49" descr="回收车间-呼吸阀数据表-共87台_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回收车间-呼吸阀数据表-共87台_87"/>
                    <pic:cNvPicPr>
                      <a:picLocks noChangeAspect="1"/>
                    </pic:cNvPicPr>
                  </pic:nvPicPr>
                  <pic:blipFill>
                    <a:blip r:embed="rId135"/>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48" name="图片 48" descr="回收车间-呼吸阀数据表-共87台_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回收车间-呼吸阀数据表-共87台_88"/>
                    <pic:cNvPicPr>
                      <a:picLocks noChangeAspect="1"/>
                    </pic:cNvPicPr>
                  </pic:nvPicPr>
                  <pic:blipFill>
                    <a:blip r:embed="rId136"/>
                    <a:stretch>
                      <a:fillRect/>
                    </a:stretch>
                  </pic:blipFill>
                  <pic:spPr>
                    <a:xfrm>
                      <a:off x="0" y="0"/>
                      <a:ext cx="5269865" cy="7452995"/>
                    </a:xfrm>
                    <a:prstGeom prst="rect">
                      <a:avLst/>
                    </a:prstGeom>
                  </pic:spPr>
                </pic:pic>
              </a:graphicData>
            </a:graphic>
          </wp:inline>
        </w:drawing>
      </w:r>
      <w:r>
        <w:rPr>
          <w:rFonts w:hint="eastAsia"/>
          <w:color w:val="auto"/>
          <w:highlight w:val="none"/>
        </w:rPr>
        <w:drawing>
          <wp:inline distT="0" distB="0" distL="114300" distR="114300">
            <wp:extent cx="5269865" cy="7452995"/>
            <wp:effectExtent l="0" t="0" r="6985" b="14605"/>
            <wp:docPr id="47" name="图片 47" descr="回收车间-呼吸阀数据表-共87台_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回收车间-呼吸阀数据表-共87台_90"/>
                    <pic:cNvPicPr>
                      <a:picLocks noChangeAspect="1"/>
                    </pic:cNvPicPr>
                  </pic:nvPicPr>
                  <pic:blipFill>
                    <a:blip r:embed="rId137"/>
                    <a:stretch>
                      <a:fillRect/>
                    </a:stretch>
                  </pic:blipFill>
                  <pic:spPr>
                    <a:xfrm>
                      <a:off x="0" y="0"/>
                      <a:ext cx="5269865" cy="7452995"/>
                    </a:xfrm>
                    <a:prstGeom prst="rect">
                      <a:avLst/>
                    </a:prstGeom>
                  </pic:spPr>
                </pic:pic>
              </a:graphicData>
            </a:graphic>
          </wp:inline>
        </w:drawing>
      </w:r>
    </w:p>
    <w:p w14:paraId="556F2DE6">
      <w:pPr>
        <w:rPr>
          <w:color w:val="auto"/>
          <w:highlight w:val="none"/>
        </w:rPr>
      </w:pPr>
    </w:p>
    <w:p w14:paraId="0EA88910">
      <w:pPr>
        <w:rPr>
          <w:color w:val="auto"/>
          <w:highlight w:val="none"/>
        </w:rPr>
      </w:pPr>
    </w:p>
    <w:p w14:paraId="50F4952B">
      <w:pPr>
        <w:rPr>
          <w:color w:val="auto"/>
          <w:highlight w:val="none"/>
        </w:rPr>
      </w:pPr>
    </w:p>
    <w:p w14:paraId="4FA2935F">
      <w:pPr>
        <w:rPr>
          <w:color w:val="auto"/>
          <w:highlight w:val="none"/>
        </w:rPr>
      </w:pPr>
    </w:p>
    <w:p w14:paraId="6A565B0E">
      <w:pPr>
        <w:rPr>
          <w:color w:val="auto"/>
          <w:highlight w:val="none"/>
        </w:rPr>
      </w:pPr>
    </w:p>
    <w:p w14:paraId="00340144">
      <w:pPr>
        <w:rPr>
          <w:color w:val="auto"/>
          <w:highlight w:val="none"/>
        </w:rPr>
      </w:pPr>
    </w:p>
    <w:p w14:paraId="196AF315">
      <w:pPr>
        <w:rPr>
          <w:color w:val="auto"/>
          <w:highlight w:val="none"/>
        </w:rPr>
      </w:pPr>
      <w:r>
        <w:rPr>
          <w:rFonts w:hint="eastAsia"/>
          <w:color w:val="auto"/>
          <w:highlight w:val="none"/>
        </w:rPr>
        <w:drawing>
          <wp:inline distT="0" distB="0" distL="0" distR="0">
            <wp:extent cx="4356100" cy="8174990"/>
            <wp:effectExtent l="0" t="0" r="635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a:xfrm>
                      <a:off x="0" y="0"/>
                      <a:ext cx="4358968" cy="8180330"/>
                    </a:xfrm>
                    <a:prstGeom prst="rect">
                      <a:avLst/>
                    </a:prstGeom>
                    <a:noFill/>
                    <a:ln>
                      <a:noFill/>
                    </a:ln>
                  </pic:spPr>
                </pic:pic>
              </a:graphicData>
            </a:graphic>
          </wp:inline>
        </w:drawing>
      </w:r>
    </w:p>
    <w:p w14:paraId="136C01AB">
      <w:pPr>
        <w:rPr>
          <w:color w:val="auto"/>
          <w:highlight w:val="none"/>
        </w:rPr>
      </w:pPr>
    </w:p>
    <w:p w14:paraId="240EE896">
      <w:pPr>
        <w:rPr>
          <w:color w:val="auto"/>
          <w:highlight w:val="none"/>
        </w:rPr>
      </w:pPr>
    </w:p>
    <w:p w14:paraId="266F6183">
      <w:pPr>
        <w:rPr>
          <w:color w:val="auto"/>
          <w:highlight w:val="none"/>
        </w:rPr>
      </w:pPr>
      <w:r>
        <w:rPr>
          <w:rFonts w:hint="eastAsia"/>
          <w:color w:val="auto"/>
          <w:highlight w:val="none"/>
        </w:rPr>
        <w:drawing>
          <wp:inline distT="0" distB="0" distL="0" distR="0">
            <wp:extent cx="4370705" cy="817499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a:xfrm>
                      <a:off x="0" y="0"/>
                      <a:ext cx="4380969" cy="8193902"/>
                    </a:xfrm>
                    <a:prstGeom prst="rect">
                      <a:avLst/>
                    </a:prstGeom>
                    <a:noFill/>
                    <a:ln>
                      <a:noFill/>
                    </a:ln>
                  </pic:spPr>
                </pic:pic>
              </a:graphicData>
            </a:graphic>
          </wp:inline>
        </w:drawing>
      </w:r>
    </w:p>
    <w:p w14:paraId="79C2DE84">
      <w:pPr>
        <w:rPr>
          <w:color w:val="auto"/>
          <w:highlight w:val="none"/>
        </w:rPr>
      </w:pPr>
    </w:p>
    <w:p w14:paraId="7C4E0531">
      <w:pPr>
        <w:rPr>
          <w:color w:val="auto"/>
          <w:highlight w:val="none"/>
        </w:rPr>
      </w:pPr>
    </w:p>
    <w:p w14:paraId="6FC09647">
      <w:pPr>
        <w:rPr>
          <w:color w:val="auto"/>
          <w:highlight w:val="none"/>
        </w:rPr>
      </w:pPr>
      <w:r>
        <w:rPr>
          <w:rFonts w:hint="eastAsia"/>
          <w:color w:val="auto"/>
          <w:highlight w:val="none"/>
        </w:rPr>
        <w:drawing>
          <wp:inline distT="0" distB="0" distL="0" distR="0">
            <wp:extent cx="4326255" cy="8136890"/>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4338064" cy="8159262"/>
                    </a:xfrm>
                    <a:prstGeom prst="rect">
                      <a:avLst/>
                    </a:prstGeom>
                    <a:noFill/>
                    <a:ln>
                      <a:noFill/>
                    </a:ln>
                  </pic:spPr>
                </pic:pic>
              </a:graphicData>
            </a:graphic>
          </wp:inline>
        </w:drawing>
      </w:r>
    </w:p>
    <w:p w14:paraId="28AD936C">
      <w:pPr>
        <w:rPr>
          <w:color w:val="auto"/>
          <w:highlight w:val="none"/>
        </w:rPr>
      </w:pPr>
    </w:p>
    <w:p w14:paraId="42897A27">
      <w:pPr>
        <w:rPr>
          <w:color w:val="auto"/>
          <w:highlight w:val="none"/>
        </w:rPr>
      </w:pPr>
    </w:p>
    <w:p w14:paraId="224749F6">
      <w:pPr>
        <w:rPr>
          <w:color w:val="auto"/>
          <w:highlight w:val="none"/>
        </w:rPr>
      </w:pPr>
      <w:r>
        <w:rPr>
          <w:rFonts w:hint="eastAsia"/>
          <w:color w:val="auto"/>
          <w:highlight w:val="none"/>
        </w:rPr>
        <w:drawing>
          <wp:inline distT="0" distB="0" distL="0" distR="0">
            <wp:extent cx="4331335" cy="810641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a:xfrm>
                      <a:off x="0" y="0"/>
                      <a:ext cx="4345203" cy="8131657"/>
                    </a:xfrm>
                    <a:prstGeom prst="rect">
                      <a:avLst/>
                    </a:prstGeom>
                    <a:noFill/>
                    <a:ln>
                      <a:noFill/>
                    </a:ln>
                  </pic:spPr>
                </pic:pic>
              </a:graphicData>
            </a:graphic>
          </wp:inline>
        </w:drawing>
      </w:r>
    </w:p>
    <w:p w14:paraId="66CC2280">
      <w:pPr>
        <w:rPr>
          <w:color w:val="auto"/>
          <w:highlight w:val="none"/>
        </w:rPr>
      </w:pPr>
    </w:p>
    <w:p w14:paraId="090EA179">
      <w:pPr>
        <w:rPr>
          <w:color w:val="auto"/>
          <w:highlight w:val="none"/>
        </w:rPr>
      </w:pPr>
    </w:p>
    <w:p w14:paraId="3B01B8D2">
      <w:pPr>
        <w:rPr>
          <w:color w:val="auto"/>
          <w:highlight w:val="none"/>
        </w:rPr>
      </w:pPr>
    </w:p>
    <w:p w14:paraId="2E2E1F24">
      <w:pPr>
        <w:rPr>
          <w:color w:val="auto"/>
          <w:highlight w:val="none"/>
        </w:rPr>
      </w:pPr>
      <w:r>
        <w:rPr>
          <w:rFonts w:hint="eastAsia"/>
          <w:color w:val="auto"/>
          <w:highlight w:val="none"/>
        </w:rPr>
        <w:drawing>
          <wp:inline distT="0" distB="0" distL="0" distR="0">
            <wp:extent cx="4325620" cy="8126730"/>
            <wp:effectExtent l="0" t="0" r="0"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a:xfrm>
                      <a:off x="0" y="0"/>
                      <a:ext cx="4333296" cy="8141010"/>
                    </a:xfrm>
                    <a:prstGeom prst="rect">
                      <a:avLst/>
                    </a:prstGeom>
                    <a:noFill/>
                    <a:ln>
                      <a:noFill/>
                    </a:ln>
                  </pic:spPr>
                </pic:pic>
              </a:graphicData>
            </a:graphic>
          </wp:inline>
        </w:drawing>
      </w:r>
    </w:p>
    <w:p w14:paraId="767FE13B">
      <w:pPr>
        <w:rPr>
          <w:color w:val="auto"/>
          <w:highlight w:val="none"/>
        </w:rPr>
      </w:pPr>
    </w:p>
    <w:p w14:paraId="781BFDC1">
      <w:pPr>
        <w:rPr>
          <w:color w:val="auto"/>
          <w:highlight w:val="none"/>
        </w:rPr>
      </w:pPr>
    </w:p>
    <w:p w14:paraId="162F93C4">
      <w:pPr>
        <w:rPr>
          <w:color w:val="auto"/>
          <w:highlight w:val="none"/>
        </w:rPr>
      </w:pPr>
      <w:r>
        <w:rPr>
          <w:rFonts w:hint="eastAsia"/>
          <w:color w:val="auto"/>
          <w:highlight w:val="none"/>
        </w:rPr>
        <w:drawing>
          <wp:inline distT="0" distB="0" distL="0" distR="0">
            <wp:extent cx="4399280" cy="8242935"/>
            <wp:effectExtent l="0" t="0" r="1270" b="571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a:xfrm>
                      <a:off x="0" y="0"/>
                      <a:ext cx="4401437" cy="8246322"/>
                    </a:xfrm>
                    <a:prstGeom prst="rect">
                      <a:avLst/>
                    </a:prstGeom>
                    <a:noFill/>
                    <a:ln>
                      <a:noFill/>
                    </a:ln>
                  </pic:spPr>
                </pic:pic>
              </a:graphicData>
            </a:graphic>
          </wp:inline>
        </w:drawing>
      </w:r>
    </w:p>
    <w:p w14:paraId="56E0851F">
      <w:pPr>
        <w:rPr>
          <w:color w:val="auto"/>
          <w:highlight w:val="none"/>
        </w:rPr>
      </w:pPr>
    </w:p>
    <w:p w14:paraId="24B6BD1E">
      <w:pPr>
        <w:rPr>
          <w:color w:val="auto"/>
          <w:highlight w:val="none"/>
        </w:rPr>
      </w:pPr>
    </w:p>
    <w:p w14:paraId="53D85152">
      <w:pPr>
        <w:rPr>
          <w:color w:val="auto"/>
          <w:highlight w:val="none"/>
        </w:rPr>
      </w:pPr>
      <w:r>
        <w:rPr>
          <w:rFonts w:hint="eastAsia"/>
          <w:color w:val="auto"/>
          <w:highlight w:val="none"/>
        </w:rPr>
        <w:drawing>
          <wp:inline distT="0" distB="0" distL="0" distR="0">
            <wp:extent cx="4640580" cy="8126730"/>
            <wp:effectExtent l="0" t="0" r="7620" b="762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4644606" cy="8133782"/>
                    </a:xfrm>
                    <a:prstGeom prst="rect">
                      <a:avLst/>
                    </a:prstGeom>
                    <a:noFill/>
                    <a:ln>
                      <a:noFill/>
                    </a:ln>
                  </pic:spPr>
                </pic:pic>
              </a:graphicData>
            </a:graphic>
          </wp:inline>
        </w:drawing>
      </w:r>
    </w:p>
    <w:p w14:paraId="63B38C96">
      <w:pPr>
        <w:rPr>
          <w:color w:val="auto"/>
          <w:highlight w:val="none"/>
        </w:rPr>
      </w:pPr>
    </w:p>
    <w:p w14:paraId="278862BD">
      <w:pPr>
        <w:rPr>
          <w:color w:val="auto"/>
          <w:highlight w:val="none"/>
        </w:rPr>
      </w:pPr>
    </w:p>
    <w:p w14:paraId="1F6121B2">
      <w:pPr>
        <w:rPr>
          <w:color w:val="auto"/>
          <w:highlight w:val="none"/>
        </w:rPr>
      </w:pPr>
      <w:r>
        <w:rPr>
          <w:rFonts w:hint="eastAsia"/>
          <w:color w:val="auto"/>
          <w:highlight w:val="none"/>
        </w:rPr>
        <w:drawing>
          <wp:inline distT="0" distB="0" distL="0" distR="0">
            <wp:extent cx="4448810" cy="8288655"/>
            <wp:effectExtent l="0" t="0" r="889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4458971" cy="8307235"/>
                    </a:xfrm>
                    <a:prstGeom prst="rect">
                      <a:avLst/>
                    </a:prstGeom>
                    <a:noFill/>
                    <a:ln>
                      <a:noFill/>
                    </a:ln>
                  </pic:spPr>
                </pic:pic>
              </a:graphicData>
            </a:graphic>
          </wp:inline>
        </w:drawing>
      </w:r>
    </w:p>
    <w:p w14:paraId="0F13DBAD">
      <w:pPr>
        <w:rPr>
          <w:color w:val="auto"/>
          <w:highlight w:val="none"/>
        </w:rPr>
      </w:pPr>
    </w:p>
    <w:p w14:paraId="1DDA91D0">
      <w:pPr>
        <w:rPr>
          <w:color w:val="auto"/>
          <w:highlight w:val="none"/>
        </w:rPr>
      </w:pPr>
    </w:p>
    <w:p w14:paraId="65AE4592">
      <w:pPr>
        <w:rPr>
          <w:color w:val="auto"/>
          <w:highlight w:val="none"/>
        </w:rPr>
      </w:pPr>
      <w:r>
        <w:rPr>
          <w:rFonts w:hint="eastAsia"/>
          <w:color w:val="auto"/>
          <w:highlight w:val="none"/>
        </w:rPr>
        <w:drawing>
          <wp:inline distT="0" distB="0" distL="0" distR="0">
            <wp:extent cx="4669790" cy="824992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4675155" cy="8258787"/>
                    </a:xfrm>
                    <a:prstGeom prst="rect">
                      <a:avLst/>
                    </a:prstGeom>
                    <a:noFill/>
                    <a:ln>
                      <a:noFill/>
                    </a:ln>
                  </pic:spPr>
                </pic:pic>
              </a:graphicData>
            </a:graphic>
          </wp:inline>
        </w:drawing>
      </w:r>
    </w:p>
    <w:p w14:paraId="45A0F5A6">
      <w:pPr>
        <w:rPr>
          <w:color w:val="auto"/>
          <w:highlight w:val="none"/>
        </w:rPr>
      </w:pPr>
    </w:p>
    <w:p w14:paraId="40733F72">
      <w:pPr>
        <w:rPr>
          <w:color w:val="auto"/>
          <w:highlight w:val="none"/>
        </w:rPr>
      </w:pPr>
    </w:p>
    <w:p w14:paraId="3B4A7B16">
      <w:pPr>
        <w:rPr>
          <w:color w:val="auto"/>
          <w:highlight w:val="none"/>
        </w:rPr>
      </w:pPr>
      <w:r>
        <w:rPr>
          <w:rFonts w:hint="eastAsia"/>
          <w:color w:val="auto"/>
          <w:highlight w:val="none"/>
        </w:rPr>
        <w:drawing>
          <wp:inline distT="0" distB="0" distL="0" distR="0">
            <wp:extent cx="4484370" cy="8168005"/>
            <wp:effectExtent l="0" t="0" r="0" b="4445"/>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0" y="0"/>
                      <a:ext cx="4486340" cy="8171165"/>
                    </a:xfrm>
                    <a:prstGeom prst="rect">
                      <a:avLst/>
                    </a:prstGeom>
                    <a:noFill/>
                    <a:ln>
                      <a:noFill/>
                    </a:ln>
                  </pic:spPr>
                </pic:pic>
              </a:graphicData>
            </a:graphic>
          </wp:inline>
        </w:drawing>
      </w:r>
    </w:p>
    <w:p w14:paraId="16A37AEE">
      <w:pPr>
        <w:rPr>
          <w:color w:val="auto"/>
          <w:highlight w:val="none"/>
        </w:rPr>
      </w:pPr>
    </w:p>
    <w:p w14:paraId="6A0E5D75">
      <w:pPr>
        <w:rPr>
          <w:color w:val="auto"/>
          <w:highlight w:val="none"/>
        </w:rPr>
      </w:pPr>
    </w:p>
    <w:p w14:paraId="1094BF3D">
      <w:pPr>
        <w:rPr>
          <w:color w:val="auto"/>
          <w:highlight w:val="none"/>
        </w:rPr>
      </w:pPr>
      <w:r>
        <w:rPr>
          <w:rFonts w:hint="eastAsia"/>
          <w:color w:val="auto"/>
          <w:highlight w:val="none"/>
        </w:rPr>
        <w:drawing>
          <wp:inline distT="0" distB="0" distL="0" distR="0">
            <wp:extent cx="4499610" cy="834517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4506049" cy="8357226"/>
                    </a:xfrm>
                    <a:prstGeom prst="rect">
                      <a:avLst/>
                    </a:prstGeom>
                    <a:noFill/>
                    <a:ln>
                      <a:noFill/>
                    </a:ln>
                  </pic:spPr>
                </pic:pic>
              </a:graphicData>
            </a:graphic>
          </wp:inline>
        </w:drawing>
      </w:r>
    </w:p>
    <w:p w14:paraId="254EC57A">
      <w:pPr>
        <w:rPr>
          <w:color w:val="auto"/>
          <w:highlight w:val="none"/>
        </w:rPr>
      </w:pPr>
    </w:p>
    <w:p w14:paraId="18218A31">
      <w:pPr>
        <w:rPr>
          <w:color w:val="auto"/>
          <w:highlight w:val="none"/>
        </w:rPr>
      </w:pPr>
      <w:r>
        <w:rPr>
          <w:rFonts w:hint="eastAsia"/>
          <w:color w:val="auto"/>
          <w:highlight w:val="none"/>
        </w:rPr>
        <w:drawing>
          <wp:inline distT="0" distB="0" distL="0" distR="0">
            <wp:extent cx="4476750" cy="8283575"/>
            <wp:effectExtent l="0" t="0" r="0" b="317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4485533" cy="8300395"/>
                    </a:xfrm>
                    <a:prstGeom prst="rect">
                      <a:avLst/>
                    </a:prstGeom>
                    <a:noFill/>
                    <a:ln>
                      <a:noFill/>
                    </a:ln>
                  </pic:spPr>
                </pic:pic>
              </a:graphicData>
            </a:graphic>
          </wp:inline>
        </w:drawing>
      </w:r>
    </w:p>
    <w:p w14:paraId="12BDF1C1">
      <w:pPr>
        <w:rPr>
          <w:color w:val="auto"/>
          <w:highlight w:val="none"/>
        </w:rPr>
      </w:pPr>
    </w:p>
    <w:p w14:paraId="72E5D10A">
      <w:pPr>
        <w:rPr>
          <w:color w:val="auto"/>
          <w:highlight w:val="none"/>
        </w:rPr>
      </w:pPr>
    </w:p>
    <w:p w14:paraId="0A07B839">
      <w:pPr>
        <w:rPr>
          <w:color w:val="auto"/>
          <w:highlight w:val="none"/>
        </w:rPr>
      </w:pPr>
      <w:r>
        <w:rPr>
          <w:rFonts w:hint="eastAsia"/>
          <w:color w:val="auto"/>
          <w:highlight w:val="none"/>
        </w:rPr>
        <w:drawing>
          <wp:inline distT="0" distB="0" distL="0" distR="0">
            <wp:extent cx="4528185" cy="8277225"/>
            <wp:effectExtent l="0" t="0" r="5715"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a:xfrm>
                      <a:off x="0" y="0"/>
                      <a:ext cx="4533425" cy="8285810"/>
                    </a:xfrm>
                    <a:prstGeom prst="rect">
                      <a:avLst/>
                    </a:prstGeom>
                    <a:noFill/>
                    <a:ln>
                      <a:noFill/>
                    </a:ln>
                  </pic:spPr>
                </pic:pic>
              </a:graphicData>
            </a:graphic>
          </wp:inline>
        </w:drawing>
      </w:r>
    </w:p>
    <w:p w14:paraId="1A1984CC">
      <w:pPr>
        <w:rPr>
          <w:color w:val="auto"/>
          <w:highlight w:val="none"/>
        </w:rPr>
      </w:pPr>
    </w:p>
    <w:p w14:paraId="5951240E">
      <w:pPr>
        <w:rPr>
          <w:color w:val="auto"/>
          <w:highlight w:val="none"/>
        </w:rPr>
      </w:pPr>
    </w:p>
    <w:p w14:paraId="1C301387">
      <w:pPr>
        <w:rPr>
          <w:color w:val="auto"/>
          <w:highlight w:val="none"/>
        </w:rPr>
      </w:pPr>
      <w:r>
        <w:rPr>
          <w:rFonts w:hint="eastAsia"/>
          <w:color w:val="auto"/>
          <w:highlight w:val="none"/>
        </w:rPr>
        <w:drawing>
          <wp:inline distT="0" distB="0" distL="0" distR="0">
            <wp:extent cx="4488180" cy="8324850"/>
            <wp:effectExtent l="0" t="0" r="762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a:xfrm>
                      <a:off x="0" y="0"/>
                      <a:ext cx="4496011" cy="8338606"/>
                    </a:xfrm>
                    <a:prstGeom prst="rect">
                      <a:avLst/>
                    </a:prstGeom>
                    <a:noFill/>
                    <a:ln>
                      <a:noFill/>
                    </a:ln>
                  </pic:spPr>
                </pic:pic>
              </a:graphicData>
            </a:graphic>
          </wp:inline>
        </w:drawing>
      </w:r>
    </w:p>
    <w:p w14:paraId="21A92F47">
      <w:pPr>
        <w:rPr>
          <w:color w:val="auto"/>
          <w:highlight w:val="none"/>
        </w:rPr>
      </w:pPr>
    </w:p>
    <w:p w14:paraId="2A546902">
      <w:pPr>
        <w:rPr>
          <w:color w:val="auto"/>
          <w:highlight w:val="none"/>
        </w:rPr>
      </w:pPr>
      <w:r>
        <w:rPr>
          <w:rFonts w:hint="eastAsia"/>
          <w:color w:val="auto"/>
          <w:highlight w:val="none"/>
        </w:rPr>
        <w:drawing>
          <wp:inline distT="0" distB="0" distL="0" distR="0">
            <wp:extent cx="4439920" cy="8202295"/>
            <wp:effectExtent l="0" t="0" r="0" b="825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a:xfrm>
                      <a:off x="0" y="0"/>
                      <a:ext cx="4445632" cy="8212714"/>
                    </a:xfrm>
                    <a:prstGeom prst="rect">
                      <a:avLst/>
                    </a:prstGeom>
                    <a:noFill/>
                    <a:ln>
                      <a:noFill/>
                    </a:ln>
                  </pic:spPr>
                </pic:pic>
              </a:graphicData>
            </a:graphic>
          </wp:inline>
        </w:drawing>
      </w:r>
    </w:p>
    <w:p w14:paraId="2CF3F521">
      <w:pPr>
        <w:rPr>
          <w:color w:val="auto"/>
          <w:highlight w:val="none"/>
        </w:rPr>
      </w:pPr>
    </w:p>
    <w:p w14:paraId="019ADB58">
      <w:pPr>
        <w:rPr>
          <w:color w:val="auto"/>
          <w:highlight w:val="none"/>
        </w:rPr>
      </w:pPr>
    </w:p>
    <w:p w14:paraId="5AB63159">
      <w:pPr>
        <w:rPr>
          <w:color w:val="auto"/>
          <w:highlight w:val="none"/>
        </w:rPr>
      </w:pPr>
      <w:r>
        <w:rPr>
          <w:rFonts w:hint="eastAsia"/>
          <w:color w:val="auto"/>
          <w:highlight w:val="none"/>
        </w:rPr>
        <w:drawing>
          <wp:inline distT="0" distB="0" distL="0" distR="0">
            <wp:extent cx="4525010" cy="8392795"/>
            <wp:effectExtent l="0" t="0" r="8890" b="8255"/>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4531077" cy="8403643"/>
                    </a:xfrm>
                    <a:prstGeom prst="rect">
                      <a:avLst/>
                    </a:prstGeom>
                    <a:noFill/>
                    <a:ln>
                      <a:noFill/>
                    </a:ln>
                  </pic:spPr>
                </pic:pic>
              </a:graphicData>
            </a:graphic>
          </wp:inline>
        </w:drawing>
      </w:r>
    </w:p>
    <w:p w14:paraId="2363F279">
      <w:pPr>
        <w:rPr>
          <w:color w:val="auto"/>
          <w:highlight w:val="none"/>
        </w:rPr>
      </w:pPr>
    </w:p>
    <w:p w14:paraId="02C91E17">
      <w:pPr>
        <w:rPr>
          <w:color w:val="auto"/>
          <w:highlight w:val="none"/>
        </w:rPr>
      </w:pPr>
      <w:r>
        <w:rPr>
          <w:rFonts w:hint="eastAsia"/>
          <w:color w:val="auto"/>
          <w:highlight w:val="none"/>
        </w:rPr>
        <w:drawing>
          <wp:inline distT="0" distB="0" distL="0" distR="0">
            <wp:extent cx="4641215" cy="8263255"/>
            <wp:effectExtent l="0" t="0" r="6985" b="4445"/>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a:xfrm>
                      <a:off x="0" y="0"/>
                      <a:ext cx="4646166" cy="8271569"/>
                    </a:xfrm>
                    <a:prstGeom prst="rect">
                      <a:avLst/>
                    </a:prstGeom>
                    <a:noFill/>
                    <a:ln>
                      <a:noFill/>
                    </a:ln>
                  </pic:spPr>
                </pic:pic>
              </a:graphicData>
            </a:graphic>
          </wp:inline>
        </w:drawing>
      </w:r>
    </w:p>
    <w:p w14:paraId="7B65E3D1">
      <w:pPr>
        <w:rPr>
          <w:color w:val="auto"/>
          <w:highlight w:val="none"/>
        </w:rPr>
      </w:pPr>
    </w:p>
    <w:p w14:paraId="122B978A">
      <w:pPr>
        <w:rPr>
          <w:color w:val="auto"/>
          <w:highlight w:val="none"/>
        </w:rPr>
      </w:pPr>
    </w:p>
    <w:p w14:paraId="206C7E04">
      <w:pPr>
        <w:rPr>
          <w:color w:val="auto"/>
          <w:highlight w:val="none"/>
        </w:rPr>
      </w:pPr>
      <w:r>
        <w:rPr>
          <w:rFonts w:hint="eastAsia"/>
          <w:color w:val="auto"/>
          <w:highlight w:val="none"/>
        </w:rPr>
        <w:drawing>
          <wp:inline distT="0" distB="0" distL="0" distR="0">
            <wp:extent cx="4458970" cy="825627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4465942" cy="8268924"/>
                    </a:xfrm>
                    <a:prstGeom prst="rect">
                      <a:avLst/>
                    </a:prstGeom>
                    <a:noFill/>
                    <a:ln>
                      <a:noFill/>
                    </a:ln>
                  </pic:spPr>
                </pic:pic>
              </a:graphicData>
            </a:graphic>
          </wp:inline>
        </w:drawing>
      </w:r>
    </w:p>
    <w:p w14:paraId="561F3872">
      <w:pPr>
        <w:rPr>
          <w:color w:val="auto"/>
          <w:highlight w:val="none"/>
        </w:rPr>
      </w:pPr>
    </w:p>
    <w:p w14:paraId="468B89E8">
      <w:pPr>
        <w:rPr>
          <w:color w:val="auto"/>
          <w:highlight w:val="none"/>
        </w:rPr>
      </w:pPr>
    </w:p>
    <w:p w14:paraId="31D36C4C">
      <w:pPr>
        <w:rPr>
          <w:color w:val="auto"/>
          <w:highlight w:val="none"/>
        </w:rPr>
      </w:pPr>
      <w:r>
        <w:rPr>
          <w:rFonts w:hint="eastAsia"/>
          <w:color w:val="auto"/>
          <w:highlight w:val="none"/>
        </w:rPr>
        <w:drawing>
          <wp:inline distT="0" distB="0" distL="0" distR="0">
            <wp:extent cx="4428490" cy="831088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a:xfrm>
                      <a:off x="0" y="0"/>
                      <a:ext cx="4435079" cy="8323165"/>
                    </a:xfrm>
                    <a:prstGeom prst="rect">
                      <a:avLst/>
                    </a:prstGeom>
                    <a:noFill/>
                    <a:ln>
                      <a:noFill/>
                    </a:ln>
                  </pic:spPr>
                </pic:pic>
              </a:graphicData>
            </a:graphic>
          </wp:inline>
        </w:drawing>
      </w:r>
    </w:p>
    <w:p w14:paraId="1AF8E2A2">
      <w:pPr>
        <w:rPr>
          <w:color w:val="auto"/>
          <w:highlight w:val="none"/>
        </w:rPr>
      </w:pPr>
    </w:p>
    <w:p w14:paraId="6F8A1C3B">
      <w:pPr>
        <w:rPr>
          <w:color w:val="auto"/>
          <w:highlight w:val="none"/>
        </w:rPr>
      </w:pPr>
    </w:p>
    <w:p w14:paraId="73E3A904">
      <w:pPr>
        <w:rPr>
          <w:color w:val="auto"/>
          <w:highlight w:val="none"/>
        </w:rPr>
      </w:pPr>
      <w:r>
        <w:rPr>
          <w:rFonts w:hint="eastAsia"/>
          <w:color w:val="auto"/>
          <w:highlight w:val="none"/>
        </w:rPr>
        <w:drawing>
          <wp:inline distT="0" distB="0" distL="0" distR="0">
            <wp:extent cx="4647565" cy="8242935"/>
            <wp:effectExtent l="0" t="0" r="635" b="5715"/>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a:xfrm>
                      <a:off x="0" y="0"/>
                      <a:ext cx="4651521" cy="8250112"/>
                    </a:xfrm>
                    <a:prstGeom prst="rect">
                      <a:avLst/>
                    </a:prstGeom>
                    <a:noFill/>
                    <a:ln>
                      <a:noFill/>
                    </a:ln>
                  </pic:spPr>
                </pic:pic>
              </a:graphicData>
            </a:graphic>
          </wp:inline>
        </w:drawing>
      </w:r>
    </w:p>
    <w:p w14:paraId="047FE5D0">
      <w:pPr>
        <w:rPr>
          <w:color w:val="auto"/>
          <w:highlight w:val="none"/>
        </w:rPr>
      </w:pPr>
    </w:p>
    <w:p w14:paraId="3BE209E1">
      <w:pPr>
        <w:rPr>
          <w:color w:val="auto"/>
          <w:highlight w:val="none"/>
        </w:rPr>
      </w:pPr>
    </w:p>
    <w:p w14:paraId="530A332B">
      <w:pPr>
        <w:rPr>
          <w:color w:val="auto"/>
          <w:highlight w:val="none"/>
        </w:rPr>
      </w:pPr>
      <w:r>
        <w:rPr>
          <w:rFonts w:hint="eastAsia"/>
          <w:color w:val="auto"/>
          <w:highlight w:val="none"/>
        </w:rPr>
        <w:drawing>
          <wp:inline distT="0" distB="0" distL="0" distR="0">
            <wp:extent cx="4441825" cy="823849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a:xfrm>
                      <a:off x="0" y="0"/>
                      <a:ext cx="4451195" cy="8255488"/>
                    </a:xfrm>
                    <a:prstGeom prst="rect">
                      <a:avLst/>
                    </a:prstGeom>
                    <a:noFill/>
                    <a:ln>
                      <a:noFill/>
                    </a:ln>
                  </pic:spPr>
                </pic:pic>
              </a:graphicData>
            </a:graphic>
          </wp:inline>
        </w:drawing>
      </w:r>
    </w:p>
    <w:p w14:paraId="306529C0">
      <w:pPr>
        <w:rPr>
          <w:color w:val="auto"/>
          <w:highlight w:val="none"/>
        </w:rPr>
      </w:pPr>
    </w:p>
    <w:p w14:paraId="5499B946">
      <w:pPr>
        <w:rPr>
          <w:color w:val="auto"/>
          <w:highlight w:val="none"/>
        </w:rPr>
      </w:pPr>
    </w:p>
    <w:p w14:paraId="5DED97ED">
      <w:pPr>
        <w:rPr>
          <w:color w:val="auto"/>
          <w:highlight w:val="none"/>
        </w:rPr>
      </w:pPr>
      <w:r>
        <w:rPr>
          <w:rFonts w:hint="eastAsia"/>
          <w:color w:val="auto"/>
          <w:highlight w:val="none"/>
        </w:rPr>
        <w:drawing>
          <wp:inline distT="0" distB="0" distL="0" distR="0">
            <wp:extent cx="4500880" cy="831088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4504353" cy="8316892"/>
                    </a:xfrm>
                    <a:prstGeom prst="rect">
                      <a:avLst/>
                    </a:prstGeom>
                    <a:noFill/>
                    <a:ln>
                      <a:noFill/>
                    </a:ln>
                  </pic:spPr>
                </pic:pic>
              </a:graphicData>
            </a:graphic>
          </wp:inline>
        </w:drawing>
      </w:r>
    </w:p>
    <w:p w14:paraId="7AD2B362">
      <w:pPr>
        <w:rPr>
          <w:color w:val="auto"/>
          <w:highlight w:val="none"/>
        </w:rPr>
      </w:pPr>
    </w:p>
    <w:p w14:paraId="7635C940">
      <w:pPr>
        <w:rPr>
          <w:color w:val="auto"/>
          <w:highlight w:val="none"/>
        </w:rPr>
      </w:pPr>
    </w:p>
    <w:p w14:paraId="3573F135">
      <w:pPr>
        <w:rPr>
          <w:color w:val="auto"/>
          <w:highlight w:val="none"/>
        </w:rPr>
      </w:pPr>
      <w:r>
        <w:rPr>
          <w:rFonts w:hint="eastAsia"/>
          <w:color w:val="auto"/>
          <w:highlight w:val="none"/>
        </w:rPr>
        <w:drawing>
          <wp:inline distT="0" distB="0" distL="0" distR="0">
            <wp:extent cx="4450715" cy="8338185"/>
            <wp:effectExtent l="0" t="0" r="6985" b="5715"/>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a:xfrm>
                      <a:off x="0" y="0"/>
                      <a:ext cx="4455144" cy="8346944"/>
                    </a:xfrm>
                    <a:prstGeom prst="rect">
                      <a:avLst/>
                    </a:prstGeom>
                    <a:noFill/>
                    <a:ln>
                      <a:noFill/>
                    </a:ln>
                  </pic:spPr>
                </pic:pic>
              </a:graphicData>
            </a:graphic>
          </wp:inline>
        </w:drawing>
      </w:r>
    </w:p>
    <w:p w14:paraId="0741E24E">
      <w:pPr>
        <w:rPr>
          <w:color w:val="auto"/>
          <w:highlight w:val="none"/>
        </w:rPr>
      </w:pPr>
    </w:p>
    <w:p w14:paraId="5563504B">
      <w:pPr>
        <w:rPr>
          <w:color w:val="auto"/>
          <w:highlight w:val="none"/>
        </w:rPr>
      </w:pPr>
      <w:r>
        <w:rPr>
          <w:rFonts w:hint="eastAsia"/>
          <w:color w:val="auto"/>
          <w:highlight w:val="none"/>
        </w:rPr>
        <w:drawing>
          <wp:inline distT="0" distB="0" distL="0" distR="0">
            <wp:extent cx="4752975" cy="8126730"/>
            <wp:effectExtent l="0" t="0" r="0" b="762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a:xfrm>
                      <a:off x="0" y="0"/>
                      <a:ext cx="4755078" cy="8130404"/>
                    </a:xfrm>
                    <a:prstGeom prst="rect">
                      <a:avLst/>
                    </a:prstGeom>
                    <a:noFill/>
                    <a:ln>
                      <a:noFill/>
                    </a:ln>
                  </pic:spPr>
                </pic:pic>
              </a:graphicData>
            </a:graphic>
          </wp:inline>
        </w:drawing>
      </w:r>
    </w:p>
    <w:p w14:paraId="3DD86F75">
      <w:pPr>
        <w:rPr>
          <w:color w:val="auto"/>
          <w:highlight w:val="none"/>
        </w:rPr>
      </w:pPr>
    </w:p>
    <w:p w14:paraId="48419851">
      <w:pPr>
        <w:rPr>
          <w:color w:val="auto"/>
          <w:highlight w:val="none"/>
        </w:rPr>
      </w:pPr>
    </w:p>
    <w:p w14:paraId="4D2F2BA3">
      <w:pPr>
        <w:rPr>
          <w:color w:val="auto"/>
          <w:highlight w:val="none"/>
        </w:rPr>
      </w:pPr>
      <w:r>
        <w:rPr>
          <w:rFonts w:hint="eastAsia"/>
          <w:color w:val="auto"/>
          <w:highlight w:val="none"/>
        </w:rPr>
        <w:drawing>
          <wp:inline distT="0" distB="0" distL="0" distR="0">
            <wp:extent cx="4849495" cy="8277225"/>
            <wp:effectExtent l="0" t="0" r="8255"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4851441" cy="8280199"/>
                    </a:xfrm>
                    <a:prstGeom prst="rect">
                      <a:avLst/>
                    </a:prstGeom>
                    <a:noFill/>
                    <a:ln>
                      <a:noFill/>
                    </a:ln>
                  </pic:spPr>
                </pic:pic>
              </a:graphicData>
            </a:graphic>
          </wp:inline>
        </w:drawing>
      </w:r>
    </w:p>
    <w:p w14:paraId="4240006A">
      <w:pPr>
        <w:rPr>
          <w:color w:val="auto"/>
          <w:highlight w:val="none"/>
        </w:rPr>
      </w:pPr>
    </w:p>
    <w:p w14:paraId="1CE33B78">
      <w:pPr>
        <w:rPr>
          <w:color w:val="auto"/>
          <w:highlight w:val="none"/>
        </w:rPr>
      </w:pPr>
    </w:p>
    <w:p w14:paraId="66D1388B">
      <w:pPr>
        <w:rPr>
          <w:color w:val="auto"/>
          <w:highlight w:val="none"/>
        </w:rPr>
      </w:pPr>
      <w:r>
        <w:rPr>
          <w:rFonts w:hint="eastAsia"/>
          <w:color w:val="auto"/>
          <w:highlight w:val="none"/>
        </w:rPr>
        <w:drawing>
          <wp:inline distT="0" distB="0" distL="0" distR="0">
            <wp:extent cx="4809490" cy="8263255"/>
            <wp:effectExtent l="0" t="0" r="0" b="4445"/>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a:xfrm>
                      <a:off x="0" y="0"/>
                      <a:ext cx="4812210" cy="8267999"/>
                    </a:xfrm>
                    <a:prstGeom prst="rect">
                      <a:avLst/>
                    </a:prstGeom>
                    <a:noFill/>
                    <a:ln>
                      <a:noFill/>
                    </a:ln>
                  </pic:spPr>
                </pic:pic>
              </a:graphicData>
            </a:graphic>
          </wp:inline>
        </w:drawing>
      </w:r>
    </w:p>
    <w:p w14:paraId="1768955D">
      <w:pPr>
        <w:rPr>
          <w:color w:val="auto"/>
          <w:highlight w:val="none"/>
        </w:rPr>
      </w:pPr>
    </w:p>
    <w:p w14:paraId="5CDB82EA">
      <w:pPr>
        <w:rPr>
          <w:color w:val="auto"/>
          <w:highlight w:val="none"/>
        </w:rPr>
      </w:pPr>
    </w:p>
    <w:p w14:paraId="68C8B933">
      <w:pPr>
        <w:rPr>
          <w:color w:val="auto"/>
          <w:highlight w:val="none"/>
        </w:rPr>
      </w:pPr>
      <w:r>
        <w:rPr>
          <w:rFonts w:hint="eastAsia"/>
          <w:color w:val="auto"/>
          <w:highlight w:val="none"/>
        </w:rPr>
        <w:drawing>
          <wp:inline distT="0" distB="0" distL="0" distR="0">
            <wp:extent cx="4878705" cy="8413750"/>
            <wp:effectExtent l="0" t="0" r="0" b="635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a:xfrm>
                      <a:off x="0" y="0"/>
                      <a:ext cx="4882738" cy="8419781"/>
                    </a:xfrm>
                    <a:prstGeom prst="rect">
                      <a:avLst/>
                    </a:prstGeom>
                    <a:noFill/>
                    <a:ln>
                      <a:noFill/>
                    </a:ln>
                  </pic:spPr>
                </pic:pic>
              </a:graphicData>
            </a:graphic>
          </wp:inline>
        </w:drawing>
      </w:r>
    </w:p>
    <w:p w14:paraId="2F92F075">
      <w:pPr>
        <w:rPr>
          <w:color w:val="auto"/>
          <w:highlight w:val="none"/>
        </w:rPr>
      </w:pPr>
    </w:p>
    <w:p w14:paraId="56979A98">
      <w:pPr>
        <w:rPr>
          <w:color w:val="auto"/>
          <w:highlight w:val="none"/>
        </w:rPr>
      </w:pPr>
      <w:r>
        <w:rPr>
          <w:rFonts w:hint="eastAsia"/>
          <w:color w:val="auto"/>
          <w:highlight w:val="none"/>
        </w:rPr>
        <w:drawing>
          <wp:inline distT="0" distB="0" distL="0" distR="0">
            <wp:extent cx="4879340" cy="8359140"/>
            <wp:effectExtent l="0" t="0" r="0" b="381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a:xfrm>
                      <a:off x="0" y="0"/>
                      <a:ext cx="4884502" cy="8367243"/>
                    </a:xfrm>
                    <a:prstGeom prst="rect">
                      <a:avLst/>
                    </a:prstGeom>
                    <a:noFill/>
                    <a:ln>
                      <a:noFill/>
                    </a:ln>
                  </pic:spPr>
                </pic:pic>
              </a:graphicData>
            </a:graphic>
          </wp:inline>
        </w:drawing>
      </w:r>
    </w:p>
    <w:p w14:paraId="06B7D1F3">
      <w:pPr>
        <w:rPr>
          <w:color w:val="auto"/>
          <w:highlight w:val="none"/>
        </w:rPr>
      </w:pPr>
    </w:p>
    <w:p w14:paraId="6C9F4AD6">
      <w:pPr>
        <w:rPr>
          <w:color w:val="auto"/>
          <w:highlight w:val="none"/>
        </w:rPr>
      </w:pPr>
    </w:p>
    <w:p w14:paraId="68D928D5">
      <w:pPr>
        <w:rPr>
          <w:color w:val="auto"/>
          <w:highlight w:val="none"/>
        </w:rPr>
      </w:pPr>
      <w:r>
        <w:rPr>
          <w:rFonts w:hint="eastAsia"/>
          <w:color w:val="auto"/>
          <w:highlight w:val="none"/>
        </w:rPr>
        <w:drawing>
          <wp:inline distT="0" distB="0" distL="0" distR="0">
            <wp:extent cx="4832985" cy="8304530"/>
            <wp:effectExtent l="0" t="0" r="5715" b="127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a:xfrm>
                      <a:off x="0" y="0"/>
                      <a:ext cx="4835294" cy="8307660"/>
                    </a:xfrm>
                    <a:prstGeom prst="rect">
                      <a:avLst/>
                    </a:prstGeom>
                    <a:noFill/>
                    <a:ln>
                      <a:noFill/>
                    </a:ln>
                  </pic:spPr>
                </pic:pic>
              </a:graphicData>
            </a:graphic>
          </wp:inline>
        </w:drawing>
      </w:r>
    </w:p>
    <w:p w14:paraId="711BDC95">
      <w:pPr>
        <w:rPr>
          <w:color w:val="auto"/>
          <w:highlight w:val="none"/>
        </w:rPr>
      </w:pPr>
    </w:p>
    <w:p w14:paraId="23267FAE">
      <w:pPr>
        <w:rPr>
          <w:color w:val="auto"/>
          <w:highlight w:val="none"/>
        </w:rPr>
      </w:pPr>
      <w:r>
        <w:rPr>
          <w:rFonts w:hint="eastAsia"/>
          <w:color w:val="auto"/>
          <w:highlight w:val="none"/>
        </w:rPr>
        <w:drawing>
          <wp:inline distT="0" distB="0" distL="0" distR="0">
            <wp:extent cx="4839335" cy="8154035"/>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a:xfrm>
                      <a:off x="0" y="0"/>
                      <a:ext cx="4842940" cy="8160142"/>
                    </a:xfrm>
                    <a:prstGeom prst="rect">
                      <a:avLst/>
                    </a:prstGeom>
                    <a:noFill/>
                    <a:ln>
                      <a:noFill/>
                    </a:ln>
                  </pic:spPr>
                </pic:pic>
              </a:graphicData>
            </a:graphic>
          </wp:inline>
        </w:drawing>
      </w:r>
    </w:p>
    <w:p w14:paraId="6592FA03">
      <w:pPr>
        <w:rPr>
          <w:color w:val="auto"/>
          <w:highlight w:val="none"/>
        </w:rPr>
      </w:pPr>
    </w:p>
    <w:p w14:paraId="6E9423E5">
      <w:pPr>
        <w:rPr>
          <w:color w:val="auto"/>
          <w:highlight w:val="none"/>
        </w:rPr>
      </w:pPr>
    </w:p>
    <w:p w14:paraId="2C2AACB2">
      <w:pPr>
        <w:rPr>
          <w:color w:val="auto"/>
          <w:highlight w:val="none"/>
        </w:rPr>
      </w:pPr>
      <w:r>
        <w:rPr>
          <w:rFonts w:hint="eastAsia"/>
          <w:color w:val="auto"/>
          <w:highlight w:val="none"/>
        </w:rPr>
        <w:drawing>
          <wp:inline distT="0" distB="0" distL="0" distR="0">
            <wp:extent cx="4873625" cy="8317865"/>
            <wp:effectExtent l="0" t="0" r="3175" b="6985"/>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a:xfrm>
                      <a:off x="0" y="0"/>
                      <a:ext cx="4877694" cy="8325006"/>
                    </a:xfrm>
                    <a:prstGeom prst="rect">
                      <a:avLst/>
                    </a:prstGeom>
                    <a:noFill/>
                    <a:ln>
                      <a:noFill/>
                    </a:ln>
                  </pic:spPr>
                </pic:pic>
              </a:graphicData>
            </a:graphic>
          </wp:inline>
        </w:drawing>
      </w:r>
    </w:p>
    <w:p w14:paraId="57735FC4">
      <w:pPr>
        <w:rPr>
          <w:color w:val="auto"/>
          <w:highlight w:val="none"/>
        </w:rPr>
      </w:pPr>
    </w:p>
    <w:p w14:paraId="30324FA5">
      <w:pPr>
        <w:rPr>
          <w:color w:val="auto"/>
          <w:highlight w:val="none"/>
        </w:rPr>
      </w:pPr>
      <w:r>
        <w:rPr>
          <w:rFonts w:hint="eastAsia"/>
          <w:color w:val="auto"/>
          <w:highlight w:val="none"/>
        </w:rPr>
        <w:drawing>
          <wp:inline distT="0" distB="0" distL="0" distR="0">
            <wp:extent cx="4874895" cy="8270240"/>
            <wp:effectExtent l="0" t="0" r="1905"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4880232" cy="8278982"/>
                    </a:xfrm>
                    <a:prstGeom prst="rect">
                      <a:avLst/>
                    </a:prstGeom>
                    <a:noFill/>
                    <a:ln>
                      <a:noFill/>
                    </a:ln>
                  </pic:spPr>
                </pic:pic>
              </a:graphicData>
            </a:graphic>
          </wp:inline>
        </w:drawing>
      </w:r>
    </w:p>
    <w:p w14:paraId="40BA305B">
      <w:pPr>
        <w:rPr>
          <w:color w:val="auto"/>
          <w:highlight w:val="none"/>
        </w:rPr>
      </w:pPr>
    </w:p>
    <w:p w14:paraId="0EAE9277">
      <w:pPr>
        <w:rPr>
          <w:color w:val="auto"/>
          <w:highlight w:val="none"/>
        </w:rPr>
      </w:pPr>
    </w:p>
    <w:p w14:paraId="77BB8F80">
      <w:pPr>
        <w:rPr>
          <w:color w:val="auto"/>
          <w:highlight w:val="none"/>
        </w:rPr>
      </w:pPr>
      <w:r>
        <w:rPr>
          <w:rFonts w:hint="eastAsia"/>
          <w:color w:val="auto"/>
          <w:highlight w:val="none"/>
        </w:rPr>
        <w:drawing>
          <wp:inline distT="0" distB="0" distL="0" distR="0">
            <wp:extent cx="4831715" cy="8161020"/>
            <wp:effectExtent l="0" t="0" r="6985"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4835582" cy="8167797"/>
                    </a:xfrm>
                    <a:prstGeom prst="rect">
                      <a:avLst/>
                    </a:prstGeom>
                    <a:noFill/>
                    <a:ln>
                      <a:noFill/>
                    </a:ln>
                  </pic:spPr>
                </pic:pic>
              </a:graphicData>
            </a:graphic>
          </wp:inline>
        </w:drawing>
      </w:r>
    </w:p>
    <w:p w14:paraId="3E087558">
      <w:pPr>
        <w:rPr>
          <w:color w:val="auto"/>
          <w:highlight w:val="none"/>
        </w:rPr>
      </w:pPr>
    </w:p>
    <w:p w14:paraId="72CBBF53">
      <w:pPr>
        <w:rPr>
          <w:color w:val="auto"/>
          <w:highlight w:val="none"/>
        </w:rPr>
      </w:pPr>
    </w:p>
    <w:p w14:paraId="138DED97">
      <w:pPr>
        <w:rPr>
          <w:color w:val="auto"/>
          <w:highlight w:val="none"/>
        </w:rPr>
      </w:pPr>
      <w:r>
        <w:rPr>
          <w:rFonts w:hint="eastAsia"/>
          <w:color w:val="auto"/>
          <w:highlight w:val="none"/>
        </w:rPr>
        <w:drawing>
          <wp:inline distT="0" distB="0" distL="0" distR="0">
            <wp:extent cx="4818380" cy="8174990"/>
            <wp:effectExtent l="0" t="0" r="127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4821740" cy="8179754"/>
                    </a:xfrm>
                    <a:prstGeom prst="rect">
                      <a:avLst/>
                    </a:prstGeom>
                    <a:noFill/>
                    <a:ln>
                      <a:noFill/>
                    </a:ln>
                  </pic:spPr>
                </pic:pic>
              </a:graphicData>
            </a:graphic>
          </wp:inline>
        </w:drawing>
      </w:r>
    </w:p>
    <w:p w14:paraId="0EC7776A">
      <w:pPr>
        <w:rPr>
          <w:color w:val="auto"/>
          <w:highlight w:val="none"/>
        </w:rPr>
      </w:pPr>
    </w:p>
    <w:p w14:paraId="1505CD75">
      <w:pPr>
        <w:rPr>
          <w:color w:val="auto"/>
          <w:highlight w:val="none"/>
        </w:rPr>
      </w:pPr>
    </w:p>
    <w:p w14:paraId="0D251E55">
      <w:pPr>
        <w:rPr>
          <w:color w:val="auto"/>
          <w:highlight w:val="none"/>
        </w:rPr>
      </w:pPr>
      <w:r>
        <w:rPr>
          <w:rFonts w:hint="eastAsia"/>
          <w:color w:val="auto"/>
          <w:highlight w:val="none"/>
        </w:rPr>
        <w:drawing>
          <wp:inline distT="0" distB="0" distL="0" distR="0">
            <wp:extent cx="4890770" cy="8277225"/>
            <wp:effectExtent l="0" t="0" r="508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4893829" cy="8281757"/>
                    </a:xfrm>
                    <a:prstGeom prst="rect">
                      <a:avLst/>
                    </a:prstGeom>
                    <a:noFill/>
                    <a:ln>
                      <a:noFill/>
                    </a:ln>
                  </pic:spPr>
                </pic:pic>
              </a:graphicData>
            </a:graphic>
          </wp:inline>
        </w:drawing>
      </w:r>
    </w:p>
    <w:p w14:paraId="51064017">
      <w:pPr>
        <w:rPr>
          <w:color w:val="auto"/>
          <w:highlight w:val="none"/>
        </w:rPr>
      </w:pPr>
    </w:p>
    <w:p w14:paraId="4B203C97">
      <w:pPr>
        <w:rPr>
          <w:color w:val="auto"/>
          <w:highlight w:val="none"/>
        </w:rPr>
      </w:pPr>
    </w:p>
    <w:p w14:paraId="72CBA689">
      <w:pPr>
        <w:rPr>
          <w:color w:val="auto"/>
          <w:highlight w:val="none"/>
        </w:rPr>
      </w:pPr>
      <w:r>
        <w:rPr>
          <w:rFonts w:hint="eastAsia"/>
          <w:color w:val="auto"/>
          <w:highlight w:val="none"/>
        </w:rPr>
        <w:drawing>
          <wp:inline distT="0" distB="0" distL="0" distR="0">
            <wp:extent cx="4845050" cy="8208645"/>
            <wp:effectExtent l="0" t="0" r="0" b="1905"/>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4847937" cy="8213912"/>
                    </a:xfrm>
                    <a:prstGeom prst="rect">
                      <a:avLst/>
                    </a:prstGeom>
                    <a:noFill/>
                    <a:ln>
                      <a:noFill/>
                    </a:ln>
                  </pic:spPr>
                </pic:pic>
              </a:graphicData>
            </a:graphic>
          </wp:inline>
        </w:drawing>
      </w:r>
    </w:p>
    <w:p w14:paraId="65D1CC28">
      <w:pPr>
        <w:rPr>
          <w:color w:val="auto"/>
          <w:highlight w:val="none"/>
        </w:rPr>
      </w:pPr>
    </w:p>
    <w:p w14:paraId="4147F6D1">
      <w:pPr>
        <w:rPr>
          <w:color w:val="auto"/>
          <w:highlight w:val="none"/>
        </w:rPr>
      </w:pPr>
    </w:p>
    <w:p w14:paraId="1BE11C92">
      <w:pPr>
        <w:rPr>
          <w:color w:val="auto"/>
          <w:highlight w:val="none"/>
        </w:rPr>
      </w:pPr>
      <w:r>
        <w:rPr>
          <w:rFonts w:hint="eastAsia"/>
          <w:color w:val="auto"/>
          <w:highlight w:val="none"/>
        </w:rPr>
        <w:drawing>
          <wp:inline distT="0" distB="0" distL="0" distR="0">
            <wp:extent cx="4869180" cy="8249920"/>
            <wp:effectExtent l="0" t="0" r="762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4872414" cy="8255384"/>
                    </a:xfrm>
                    <a:prstGeom prst="rect">
                      <a:avLst/>
                    </a:prstGeom>
                    <a:noFill/>
                    <a:ln>
                      <a:noFill/>
                    </a:ln>
                  </pic:spPr>
                </pic:pic>
              </a:graphicData>
            </a:graphic>
          </wp:inline>
        </w:drawing>
      </w:r>
    </w:p>
    <w:p w14:paraId="222FBDDD">
      <w:pPr>
        <w:rPr>
          <w:color w:val="auto"/>
          <w:highlight w:val="none"/>
        </w:rPr>
      </w:pPr>
    </w:p>
    <w:p w14:paraId="5E5D7738">
      <w:pPr>
        <w:rPr>
          <w:color w:val="auto"/>
          <w:highlight w:val="none"/>
        </w:rPr>
      </w:pPr>
    </w:p>
    <w:p w14:paraId="16B4F03B">
      <w:pPr>
        <w:rPr>
          <w:color w:val="auto"/>
          <w:highlight w:val="none"/>
        </w:rPr>
      </w:pPr>
      <w:r>
        <w:rPr>
          <w:rFonts w:hint="eastAsia"/>
          <w:color w:val="auto"/>
          <w:highlight w:val="none"/>
        </w:rPr>
        <w:drawing>
          <wp:inline distT="0" distB="0" distL="0" distR="0">
            <wp:extent cx="4840605" cy="8256270"/>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4844305" cy="8262880"/>
                    </a:xfrm>
                    <a:prstGeom prst="rect">
                      <a:avLst/>
                    </a:prstGeom>
                    <a:noFill/>
                    <a:ln>
                      <a:noFill/>
                    </a:ln>
                  </pic:spPr>
                </pic:pic>
              </a:graphicData>
            </a:graphic>
          </wp:inline>
        </w:drawing>
      </w:r>
    </w:p>
    <w:p w14:paraId="183D3999">
      <w:pPr>
        <w:rPr>
          <w:color w:val="auto"/>
          <w:highlight w:val="none"/>
        </w:rPr>
      </w:pPr>
    </w:p>
    <w:p w14:paraId="1FDB2EBF">
      <w:pPr>
        <w:rPr>
          <w:color w:val="auto"/>
          <w:highlight w:val="none"/>
        </w:rPr>
      </w:pPr>
    </w:p>
    <w:p w14:paraId="3BE4D6F6">
      <w:pPr>
        <w:rPr>
          <w:color w:val="auto"/>
          <w:highlight w:val="none"/>
        </w:rPr>
      </w:pPr>
      <w:r>
        <w:rPr>
          <w:rFonts w:hint="eastAsia"/>
          <w:color w:val="auto"/>
          <w:highlight w:val="none"/>
        </w:rPr>
        <w:drawing>
          <wp:inline distT="0" distB="0" distL="0" distR="0">
            <wp:extent cx="4898390" cy="832485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4903760" cy="8334028"/>
                    </a:xfrm>
                    <a:prstGeom prst="rect">
                      <a:avLst/>
                    </a:prstGeom>
                    <a:noFill/>
                    <a:ln>
                      <a:noFill/>
                    </a:ln>
                  </pic:spPr>
                </pic:pic>
              </a:graphicData>
            </a:graphic>
          </wp:inline>
        </w:drawing>
      </w:r>
    </w:p>
    <w:p w14:paraId="47601036">
      <w:pPr>
        <w:rPr>
          <w:color w:val="auto"/>
          <w:highlight w:val="none"/>
        </w:rPr>
      </w:pPr>
    </w:p>
    <w:p w14:paraId="663C1A06">
      <w:pPr>
        <w:rPr>
          <w:color w:val="auto"/>
          <w:highlight w:val="none"/>
        </w:rPr>
      </w:pPr>
      <w:r>
        <w:rPr>
          <w:rFonts w:hint="eastAsia"/>
          <w:color w:val="auto"/>
          <w:highlight w:val="none"/>
        </w:rPr>
        <w:drawing>
          <wp:inline distT="0" distB="0" distL="0" distR="0">
            <wp:extent cx="4869815" cy="8235950"/>
            <wp:effectExtent l="0" t="0" r="6985"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a:xfrm>
                      <a:off x="0" y="0"/>
                      <a:ext cx="4872861" cy="8241101"/>
                    </a:xfrm>
                    <a:prstGeom prst="rect">
                      <a:avLst/>
                    </a:prstGeom>
                    <a:noFill/>
                    <a:ln>
                      <a:noFill/>
                    </a:ln>
                  </pic:spPr>
                </pic:pic>
              </a:graphicData>
            </a:graphic>
          </wp:inline>
        </w:drawing>
      </w:r>
    </w:p>
    <w:p w14:paraId="5006F84C">
      <w:pPr>
        <w:rPr>
          <w:color w:val="auto"/>
          <w:highlight w:val="none"/>
        </w:rPr>
      </w:pPr>
    </w:p>
    <w:p w14:paraId="45A138B5">
      <w:pPr>
        <w:rPr>
          <w:color w:val="auto"/>
          <w:highlight w:val="none"/>
        </w:rPr>
      </w:pPr>
    </w:p>
    <w:p w14:paraId="762BCB54">
      <w:pPr>
        <w:rPr>
          <w:color w:val="auto"/>
          <w:highlight w:val="none"/>
        </w:rPr>
      </w:pPr>
      <w:r>
        <w:rPr>
          <w:rFonts w:hint="eastAsia"/>
          <w:color w:val="auto"/>
          <w:highlight w:val="none"/>
        </w:rPr>
        <w:drawing>
          <wp:inline distT="0" distB="0" distL="0" distR="0">
            <wp:extent cx="4897755" cy="8359140"/>
            <wp:effectExtent l="0" t="0" r="0" b="381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a:xfrm>
                      <a:off x="0" y="0"/>
                      <a:ext cx="4900376" cy="8363719"/>
                    </a:xfrm>
                    <a:prstGeom prst="rect">
                      <a:avLst/>
                    </a:prstGeom>
                    <a:noFill/>
                    <a:ln>
                      <a:noFill/>
                    </a:ln>
                  </pic:spPr>
                </pic:pic>
              </a:graphicData>
            </a:graphic>
          </wp:inline>
        </w:drawing>
      </w:r>
    </w:p>
    <w:p w14:paraId="4CAF05F3">
      <w:pPr>
        <w:rPr>
          <w:color w:val="auto"/>
          <w:highlight w:val="none"/>
        </w:rPr>
      </w:pPr>
    </w:p>
    <w:p w14:paraId="47EF2F6D">
      <w:pPr>
        <w:rPr>
          <w:color w:val="auto"/>
          <w:highlight w:val="none"/>
        </w:rPr>
      </w:pPr>
      <w:r>
        <w:rPr>
          <w:rFonts w:hint="eastAsia"/>
          <w:color w:val="auto"/>
          <w:highlight w:val="none"/>
        </w:rPr>
        <w:drawing>
          <wp:inline distT="0" distB="0" distL="0" distR="0">
            <wp:extent cx="4822190" cy="8235950"/>
            <wp:effectExtent l="0" t="0" r="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a:xfrm>
                      <a:off x="0" y="0"/>
                      <a:ext cx="4827394" cy="8244276"/>
                    </a:xfrm>
                    <a:prstGeom prst="rect">
                      <a:avLst/>
                    </a:prstGeom>
                    <a:noFill/>
                    <a:ln>
                      <a:noFill/>
                    </a:ln>
                  </pic:spPr>
                </pic:pic>
              </a:graphicData>
            </a:graphic>
          </wp:inline>
        </w:drawing>
      </w:r>
    </w:p>
    <w:p w14:paraId="30E9334E">
      <w:pPr>
        <w:rPr>
          <w:color w:val="auto"/>
          <w:highlight w:val="none"/>
        </w:rPr>
      </w:pPr>
    </w:p>
    <w:p w14:paraId="4774DB1F">
      <w:pPr>
        <w:rPr>
          <w:color w:val="auto"/>
          <w:highlight w:val="none"/>
        </w:rPr>
      </w:pPr>
    </w:p>
    <w:p w14:paraId="40D7374A">
      <w:pPr>
        <w:rPr>
          <w:color w:val="auto"/>
          <w:highlight w:val="none"/>
        </w:rPr>
      </w:pPr>
      <w:r>
        <w:rPr>
          <w:rFonts w:hint="eastAsia"/>
          <w:color w:val="auto"/>
          <w:highlight w:val="none"/>
        </w:rPr>
        <w:drawing>
          <wp:inline distT="0" distB="0" distL="0" distR="0">
            <wp:extent cx="4812665" cy="8283575"/>
            <wp:effectExtent l="0" t="0" r="6985" b="3175"/>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a:xfrm>
                      <a:off x="0" y="0"/>
                      <a:ext cx="4818103" cy="8293456"/>
                    </a:xfrm>
                    <a:prstGeom prst="rect">
                      <a:avLst/>
                    </a:prstGeom>
                    <a:noFill/>
                    <a:ln>
                      <a:noFill/>
                    </a:ln>
                  </pic:spPr>
                </pic:pic>
              </a:graphicData>
            </a:graphic>
          </wp:inline>
        </w:drawing>
      </w:r>
    </w:p>
    <w:p w14:paraId="63CA2C21">
      <w:pPr>
        <w:rPr>
          <w:color w:val="auto"/>
          <w:highlight w:val="none"/>
        </w:rPr>
      </w:pPr>
    </w:p>
    <w:p w14:paraId="2BD9E1EF">
      <w:pPr>
        <w:rPr>
          <w:color w:val="auto"/>
          <w:highlight w:val="none"/>
        </w:rPr>
      </w:pPr>
    </w:p>
    <w:p w14:paraId="3638772E">
      <w:pPr>
        <w:rPr>
          <w:color w:val="auto"/>
          <w:highlight w:val="none"/>
        </w:rPr>
      </w:pPr>
      <w:r>
        <w:rPr>
          <w:rFonts w:hint="eastAsia"/>
          <w:color w:val="auto"/>
          <w:highlight w:val="none"/>
        </w:rPr>
        <w:drawing>
          <wp:inline distT="0" distB="0" distL="0" distR="0">
            <wp:extent cx="4908550" cy="8140700"/>
            <wp:effectExtent l="0" t="0" r="635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a:xfrm>
                      <a:off x="0" y="0"/>
                      <a:ext cx="4909905" cy="8142687"/>
                    </a:xfrm>
                    <a:prstGeom prst="rect">
                      <a:avLst/>
                    </a:prstGeom>
                    <a:noFill/>
                    <a:ln>
                      <a:noFill/>
                    </a:ln>
                  </pic:spPr>
                </pic:pic>
              </a:graphicData>
            </a:graphic>
          </wp:inline>
        </w:drawing>
      </w:r>
    </w:p>
    <w:p w14:paraId="7D19BA98">
      <w:pPr>
        <w:rPr>
          <w:color w:val="auto"/>
          <w:highlight w:val="none"/>
        </w:rPr>
      </w:pPr>
    </w:p>
    <w:p w14:paraId="4B32DC82">
      <w:pPr>
        <w:rPr>
          <w:color w:val="auto"/>
          <w:highlight w:val="none"/>
        </w:rPr>
      </w:pPr>
    </w:p>
    <w:p w14:paraId="55BA8C1C">
      <w:pPr>
        <w:rPr>
          <w:color w:val="auto"/>
          <w:highlight w:val="none"/>
        </w:rPr>
      </w:pPr>
      <w:r>
        <w:rPr>
          <w:rFonts w:hint="eastAsia"/>
          <w:color w:val="auto"/>
          <w:highlight w:val="none"/>
        </w:rPr>
        <w:drawing>
          <wp:inline distT="0" distB="0" distL="0" distR="0">
            <wp:extent cx="4792980" cy="8017510"/>
            <wp:effectExtent l="0" t="0" r="7620" b="254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a:xfrm>
                      <a:off x="0" y="0"/>
                      <a:ext cx="4794977" cy="8020979"/>
                    </a:xfrm>
                    <a:prstGeom prst="rect">
                      <a:avLst/>
                    </a:prstGeom>
                    <a:noFill/>
                    <a:ln>
                      <a:noFill/>
                    </a:ln>
                  </pic:spPr>
                </pic:pic>
              </a:graphicData>
            </a:graphic>
          </wp:inline>
        </w:drawing>
      </w:r>
    </w:p>
    <w:p w14:paraId="43BDAB39">
      <w:pPr>
        <w:rPr>
          <w:color w:val="auto"/>
          <w:highlight w:val="none"/>
        </w:rPr>
      </w:pPr>
    </w:p>
    <w:p w14:paraId="1939ABB8">
      <w:pPr>
        <w:rPr>
          <w:color w:val="auto"/>
          <w:highlight w:val="none"/>
        </w:rPr>
      </w:pPr>
    </w:p>
    <w:p w14:paraId="39E16544">
      <w:pPr>
        <w:rPr>
          <w:color w:val="auto"/>
          <w:highlight w:val="none"/>
        </w:rPr>
      </w:pPr>
    </w:p>
    <w:p w14:paraId="677BC51C">
      <w:pPr>
        <w:rPr>
          <w:color w:val="auto"/>
          <w:highlight w:val="none"/>
        </w:rPr>
      </w:pPr>
      <w:r>
        <w:rPr>
          <w:rFonts w:hint="eastAsia"/>
          <w:color w:val="auto"/>
          <w:highlight w:val="none"/>
        </w:rPr>
        <w:drawing>
          <wp:inline distT="0" distB="0" distL="0" distR="0">
            <wp:extent cx="4978400" cy="8256270"/>
            <wp:effectExtent l="0" t="0" r="0"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a:xfrm>
                      <a:off x="0" y="0"/>
                      <a:ext cx="4983828" cy="8265283"/>
                    </a:xfrm>
                    <a:prstGeom prst="rect">
                      <a:avLst/>
                    </a:prstGeom>
                    <a:noFill/>
                    <a:ln>
                      <a:noFill/>
                    </a:ln>
                  </pic:spPr>
                </pic:pic>
              </a:graphicData>
            </a:graphic>
          </wp:inline>
        </w:drawing>
      </w:r>
    </w:p>
    <w:p w14:paraId="7471E976">
      <w:pPr>
        <w:rPr>
          <w:color w:val="auto"/>
          <w:highlight w:val="none"/>
        </w:rPr>
      </w:pPr>
    </w:p>
    <w:p w14:paraId="109DE529">
      <w:pPr>
        <w:rPr>
          <w:color w:val="auto"/>
          <w:highlight w:val="none"/>
        </w:rPr>
      </w:pPr>
    </w:p>
    <w:p w14:paraId="20986817">
      <w:pPr>
        <w:rPr>
          <w:color w:val="auto"/>
          <w:highlight w:val="none"/>
        </w:rPr>
      </w:pPr>
      <w:r>
        <w:rPr>
          <w:rFonts w:hint="eastAsia"/>
          <w:color w:val="auto"/>
          <w:highlight w:val="none"/>
        </w:rPr>
        <w:drawing>
          <wp:inline distT="0" distB="0" distL="0" distR="0">
            <wp:extent cx="4981575" cy="8277225"/>
            <wp:effectExtent l="0" t="0" r="9525"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4984643" cy="8282285"/>
                    </a:xfrm>
                    <a:prstGeom prst="rect">
                      <a:avLst/>
                    </a:prstGeom>
                    <a:noFill/>
                    <a:ln>
                      <a:noFill/>
                    </a:ln>
                  </pic:spPr>
                </pic:pic>
              </a:graphicData>
            </a:graphic>
          </wp:inline>
        </w:drawing>
      </w:r>
    </w:p>
    <w:p w14:paraId="5D7049BC">
      <w:pPr>
        <w:rPr>
          <w:color w:val="auto"/>
          <w:highlight w:val="none"/>
        </w:rPr>
      </w:pPr>
    </w:p>
    <w:p w14:paraId="6EDD63DB">
      <w:pPr>
        <w:rPr>
          <w:color w:val="auto"/>
          <w:highlight w:val="none"/>
        </w:rPr>
      </w:pPr>
    </w:p>
    <w:p w14:paraId="726716FA">
      <w:pPr>
        <w:rPr>
          <w:color w:val="auto"/>
          <w:highlight w:val="none"/>
        </w:rPr>
      </w:pPr>
      <w:r>
        <w:rPr>
          <w:rFonts w:hint="eastAsia"/>
          <w:color w:val="auto"/>
          <w:highlight w:val="none"/>
        </w:rPr>
        <w:drawing>
          <wp:inline distT="0" distB="0" distL="0" distR="0">
            <wp:extent cx="4956175" cy="8290560"/>
            <wp:effectExtent l="0" t="0" r="0" 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4958252" cy="8294104"/>
                    </a:xfrm>
                    <a:prstGeom prst="rect">
                      <a:avLst/>
                    </a:prstGeom>
                    <a:noFill/>
                    <a:ln>
                      <a:noFill/>
                    </a:ln>
                  </pic:spPr>
                </pic:pic>
              </a:graphicData>
            </a:graphic>
          </wp:inline>
        </w:drawing>
      </w:r>
    </w:p>
    <w:p w14:paraId="74CAE6A2">
      <w:pPr>
        <w:rPr>
          <w:color w:val="auto"/>
          <w:highlight w:val="none"/>
        </w:rPr>
      </w:pPr>
    </w:p>
    <w:p w14:paraId="37552937">
      <w:pPr>
        <w:rPr>
          <w:color w:val="auto"/>
          <w:highlight w:val="none"/>
        </w:rPr>
      </w:pPr>
    </w:p>
    <w:p w14:paraId="726E5895">
      <w:pPr>
        <w:rPr>
          <w:color w:val="auto"/>
          <w:highlight w:val="none"/>
        </w:rPr>
      </w:pPr>
      <w:r>
        <w:rPr>
          <w:rFonts w:hint="eastAsia"/>
          <w:color w:val="auto"/>
          <w:highlight w:val="none"/>
        </w:rPr>
        <w:drawing>
          <wp:inline distT="0" distB="0" distL="0" distR="0">
            <wp:extent cx="5020310" cy="8310880"/>
            <wp:effectExtent l="0" t="0" r="8890"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a:xfrm>
                      <a:off x="0" y="0"/>
                      <a:ext cx="5024725" cy="8317808"/>
                    </a:xfrm>
                    <a:prstGeom prst="rect">
                      <a:avLst/>
                    </a:prstGeom>
                    <a:noFill/>
                    <a:ln>
                      <a:noFill/>
                    </a:ln>
                  </pic:spPr>
                </pic:pic>
              </a:graphicData>
            </a:graphic>
          </wp:inline>
        </w:drawing>
      </w:r>
    </w:p>
    <w:p w14:paraId="237F6857">
      <w:pPr>
        <w:rPr>
          <w:color w:val="auto"/>
          <w:highlight w:val="none"/>
        </w:rPr>
      </w:pPr>
    </w:p>
    <w:p w14:paraId="5D34B726">
      <w:pPr>
        <w:rPr>
          <w:color w:val="auto"/>
          <w:highlight w:val="none"/>
        </w:rPr>
      </w:pPr>
    </w:p>
    <w:p w14:paraId="13CCB5E0">
      <w:pPr>
        <w:rPr>
          <w:color w:val="auto"/>
          <w:highlight w:val="none"/>
        </w:rPr>
      </w:pPr>
      <w:r>
        <w:rPr>
          <w:rFonts w:hint="eastAsia"/>
          <w:color w:val="auto"/>
          <w:highlight w:val="none"/>
        </w:rPr>
        <w:drawing>
          <wp:inline distT="0" distB="0" distL="0" distR="0">
            <wp:extent cx="5026025" cy="8304530"/>
            <wp:effectExtent l="0" t="0" r="3175" b="127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a:xfrm>
                      <a:off x="0" y="0"/>
                      <a:ext cx="5027631" cy="8307311"/>
                    </a:xfrm>
                    <a:prstGeom prst="rect">
                      <a:avLst/>
                    </a:prstGeom>
                    <a:noFill/>
                    <a:ln>
                      <a:noFill/>
                    </a:ln>
                  </pic:spPr>
                </pic:pic>
              </a:graphicData>
            </a:graphic>
          </wp:inline>
        </w:drawing>
      </w:r>
    </w:p>
    <w:p w14:paraId="0531F06D">
      <w:pPr>
        <w:rPr>
          <w:color w:val="auto"/>
          <w:highlight w:val="none"/>
        </w:rPr>
      </w:pPr>
    </w:p>
    <w:p w14:paraId="3E8F4827">
      <w:pPr>
        <w:rPr>
          <w:color w:val="auto"/>
          <w:highlight w:val="none"/>
        </w:rPr>
      </w:pPr>
    </w:p>
    <w:p w14:paraId="4A51A876">
      <w:pPr>
        <w:rPr>
          <w:color w:val="auto"/>
          <w:highlight w:val="none"/>
        </w:rPr>
      </w:pPr>
      <w:r>
        <w:rPr>
          <w:rFonts w:hint="eastAsia"/>
          <w:color w:val="auto"/>
          <w:highlight w:val="none"/>
        </w:rPr>
        <w:drawing>
          <wp:inline distT="0" distB="0" distL="0" distR="0">
            <wp:extent cx="4966335" cy="8215630"/>
            <wp:effectExtent l="0" t="0" r="5715"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a:xfrm>
                      <a:off x="0" y="0"/>
                      <a:ext cx="4967957" cy="8218637"/>
                    </a:xfrm>
                    <a:prstGeom prst="rect">
                      <a:avLst/>
                    </a:prstGeom>
                    <a:noFill/>
                    <a:ln>
                      <a:noFill/>
                    </a:ln>
                  </pic:spPr>
                </pic:pic>
              </a:graphicData>
            </a:graphic>
          </wp:inline>
        </w:drawing>
      </w:r>
    </w:p>
    <w:p w14:paraId="041FECA3">
      <w:pPr>
        <w:rPr>
          <w:color w:val="auto"/>
          <w:highlight w:val="none"/>
        </w:rPr>
      </w:pPr>
    </w:p>
    <w:p w14:paraId="7226141B">
      <w:pPr>
        <w:rPr>
          <w:color w:val="auto"/>
          <w:highlight w:val="none"/>
        </w:rPr>
      </w:pPr>
    </w:p>
    <w:p w14:paraId="3F04C665">
      <w:pPr>
        <w:rPr>
          <w:color w:val="auto"/>
          <w:highlight w:val="none"/>
        </w:rPr>
      </w:pPr>
      <w:r>
        <w:rPr>
          <w:rFonts w:hint="eastAsia"/>
          <w:color w:val="auto"/>
          <w:highlight w:val="none"/>
        </w:rPr>
        <w:drawing>
          <wp:inline distT="0" distB="0" distL="0" distR="0">
            <wp:extent cx="4965065" cy="8290560"/>
            <wp:effectExtent l="0" t="0" r="6985"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a:xfrm>
                      <a:off x="0" y="0"/>
                      <a:ext cx="4970340" cy="8299191"/>
                    </a:xfrm>
                    <a:prstGeom prst="rect">
                      <a:avLst/>
                    </a:prstGeom>
                    <a:noFill/>
                    <a:ln>
                      <a:noFill/>
                    </a:ln>
                  </pic:spPr>
                </pic:pic>
              </a:graphicData>
            </a:graphic>
          </wp:inline>
        </w:drawing>
      </w:r>
    </w:p>
    <w:p w14:paraId="4F7E0EDF">
      <w:pPr>
        <w:rPr>
          <w:color w:val="auto"/>
          <w:highlight w:val="none"/>
        </w:rPr>
      </w:pPr>
    </w:p>
    <w:p w14:paraId="758DFFE1">
      <w:pPr>
        <w:rPr>
          <w:color w:val="auto"/>
          <w:highlight w:val="none"/>
        </w:rPr>
      </w:pPr>
    </w:p>
    <w:p w14:paraId="2DAB86E7">
      <w:pPr>
        <w:rPr>
          <w:color w:val="auto"/>
          <w:highlight w:val="none"/>
        </w:rPr>
      </w:pPr>
      <w:r>
        <w:rPr>
          <w:rFonts w:hint="eastAsia"/>
          <w:color w:val="auto"/>
          <w:highlight w:val="none"/>
        </w:rPr>
        <w:drawing>
          <wp:inline distT="0" distB="0" distL="0" distR="0">
            <wp:extent cx="4906010" cy="8187055"/>
            <wp:effectExtent l="0" t="0" r="8890" b="4445"/>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a:xfrm>
                      <a:off x="0" y="0"/>
                      <a:ext cx="4909840" cy="8193034"/>
                    </a:xfrm>
                    <a:prstGeom prst="rect">
                      <a:avLst/>
                    </a:prstGeom>
                    <a:noFill/>
                    <a:ln>
                      <a:noFill/>
                    </a:ln>
                  </pic:spPr>
                </pic:pic>
              </a:graphicData>
            </a:graphic>
          </wp:inline>
        </w:drawing>
      </w:r>
    </w:p>
    <w:p w14:paraId="60F45FA5">
      <w:pPr>
        <w:rPr>
          <w:color w:val="auto"/>
          <w:highlight w:val="none"/>
        </w:rPr>
      </w:pPr>
    </w:p>
    <w:p w14:paraId="722F29EC">
      <w:pPr>
        <w:rPr>
          <w:color w:val="auto"/>
          <w:highlight w:val="none"/>
        </w:rPr>
      </w:pPr>
    </w:p>
    <w:p w14:paraId="47CC9A7F">
      <w:pPr>
        <w:rPr>
          <w:color w:val="auto"/>
          <w:highlight w:val="none"/>
        </w:rPr>
      </w:pPr>
      <w:r>
        <w:rPr>
          <w:rFonts w:hint="eastAsia"/>
          <w:color w:val="auto"/>
          <w:highlight w:val="none"/>
        </w:rPr>
        <w:drawing>
          <wp:inline distT="0" distB="0" distL="0" distR="0">
            <wp:extent cx="5045710" cy="8441055"/>
            <wp:effectExtent l="0" t="0" r="254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a:xfrm>
                      <a:off x="0" y="0"/>
                      <a:ext cx="5047913" cy="8444088"/>
                    </a:xfrm>
                    <a:prstGeom prst="rect">
                      <a:avLst/>
                    </a:prstGeom>
                    <a:noFill/>
                    <a:ln>
                      <a:noFill/>
                    </a:ln>
                  </pic:spPr>
                </pic:pic>
              </a:graphicData>
            </a:graphic>
          </wp:inline>
        </w:drawing>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隶书">
    <w:panose1 w:val="02010509060101010101"/>
    <w:charset w:val="86"/>
    <w:family w:val="modern"/>
    <w:pitch w:val="default"/>
    <w:sig w:usb0="00000001" w:usb1="080E0000" w:usb2="00000000" w:usb3="00000000" w:csb0="00040000" w:csb1="00000000"/>
  </w:font>
  <w:font w:name="华文楷体">
    <w:panose1 w:val="02010600040101010101"/>
    <w:charset w:val="86"/>
    <w:family w:val="auto"/>
    <w:pitch w:val="default"/>
    <w:sig w:usb0="00000287" w:usb1="080F0000" w:usb2="00000000" w:usb3="00000000" w:csb0="0004009F" w:csb1="DFD7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9E1AAB">
    <w:pPr>
      <w:pStyle w:val="12"/>
      <w:jc w:val="center"/>
    </w:pPr>
    <w:r>
      <w:fldChar w:fldCharType="begin"/>
    </w:r>
    <w:r>
      <w:instrText xml:space="preserve">PAGE   \* MERGEFORMAT</w:instrText>
    </w:r>
    <w:r>
      <w:fldChar w:fldCharType="separate"/>
    </w:r>
    <w:r>
      <w:rPr>
        <w:lang w:val="zh-CN"/>
      </w:rPr>
      <w:t>11</w:t>
    </w:r>
    <w:r>
      <w:fldChar w:fldCharType="end"/>
    </w:r>
  </w:p>
  <w:p w14:paraId="78413E5A">
    <w:pPr>
      <w:pStyle w:val="1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B08008">
    <w:pPr>
      <w:pStyle w:val="11"/>
      <w:rPr>
        <w:rFonts w:ascii="楷体" w:hAnsi="楷体" w:eastAsia="楷体" w:cs="楷体"/>
        <w:b/>
        <w:bCs/>
        <w:sz w:val="24"/>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revisionView w:markup="0"/>
  <w:trackRevisions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RlYzYyODgwODg0MzE2ZGIxMGNmYmUyOGJiNTAyNjYifQ=="/>
  </w:docVars>
  <w:rsids>
    <w:rsidRoot w:val="00362701"/>
    <w:rsid w:val="0000428B"/>
    <w:rsid w:val="00270C00"/>
    <w:rsid w:val="00362701"/>
    <w:rsid w:val="003D1EF0"/>
    <w:rsid w:val="00433C92"/>
    <w:rsid w:val="0059775E"/>
    <w:rsid w:val="005D46DD"/>
    <w:rsid w:val="00837255"/>
    <w:rsid w:val="00896F6D"/>
    <w:rsid w:val="008E3FB9"/>
    <w:rsid w:val="009A14E6"/>
    <w:rsid w:val="00AB5AEA"/>
    <w:rsid w:val="00C13C00"/>
    <w:rsid w:val="00D656E2"/>
    <w:rsid w:val="00D72450"/>
    <w:rsid w:val="00D81555"/>
    <w:rsid w:val="00DA412F"/>
    <w:rsid w:val="00E76451"/>
    <w:rsid w:val="04311D6F"/>
    <w:rsid w:val="06B01CC5"/>
    <w:rsid w:val="07CA10F2"/>
    <w:rsid w:val="09265ED9"/>
    <w:rsid w:val="092959CA"/>
    <w:rsid w:val="0AC74D3F"/>
    <w:rsid w:val="0B0311D7"/>
    <w:rsid w:val="0B2E4DFF"/>
    <w:rsid w:val="0B417F17"/>
    <w:rsid w:val="0B8B57BA"/>
    <w:rsid w:val="0E974E45"/>
    <w:rsid w:val="108B2C05"/>
    <w:rsid w:val="13CE5E4D"/>
    <w:rsid w:val="152877A1"/>
    <w:rsid w:val="15A048BC"/>
    <w:rsid w:val="170830C2"/>
    <w:rsid w:val="17174999"/>
    <w:rsid w:val="17F465C6"/>
    <w:rsid w:val="185860DD"/>
    <w:rsid w:val="20364C33"/>
    <w:rsid w:val="20D4622B"/>
    <w:rsid w:val="231F4DAE"/>
    <w:rsid w:val="244874F4"/>
    <w:rsid w:val="260B2287"/>
    <w:rsid w:val="28AD5878"/>
    <w:rsid w:val="365900AB"/>
    <w:rsid w:val="370A5D74"/>
    <w:rsid w:val="371F2039"/>
    <w:rsid w:val="37302EB8"/>
    <w:rsid w:val="397C179B"/>
    <w:rsid w:val="3C40347D"/>
    <w:rsid w:val="3DD1395F"/>
    <w:rsid w:val="3F9535BB"/>
    <w:rsid w:val="43DF3C50"/>
    <w:rsid w:val="45661C6A"/>
    <w:rsid w:val="477E4250"/>
    <w:rsid w:val="487A0973"/>
    <w:rsid w:val="4BEE41E8"/>
    <w:rsid w:val="4CE51BB1"/>
    <w:rsid w:val="4CFD022C"/>
    <w:rsid w:val="4F586EBC"/>
    <w:rsid w:val="5012560E"/>
    <w:rsid w:val="50567AE4"/>
    <w:rsid w:val="52C84ED8"/>
    <w:rsid w:val="53656BCB"/>
    <w:rsid w:val="555966BF"/>
    <w:rsid w:val="567F0E06"/>
    <w:rsid w:val="56AD1CFA"/>
    <w:rsid w:val="57F533C7"/>
    <w:rsid w:val="59577DF1"/>
    <w:rsid w:val="5CB13F31"/>
    <w:rsid w:val="5E0C1D0E"/>
    <w:rsid w:val="600328E0"/>
    <w:rsid w:val="663450F1"/>
    <w:rsid w:val="69740463"/>
    <w:rsid w:val="6B3750DB"/>
    <w:rsid w:val="6C4D6722"/>
    <w:rsid w:val="6C677677"/>
    <w:rsid w:val="6C8B12DB"/>
    <w:rsid w:val="6E150BFF"/>
    <w:rsid w:val="6F80296B"/>
    <w:rsid w:val="701B5633"/>
    <w:rsid w:val="72C676CD"/>
    <w:rsid w:val="72E21D4C"/>
    <w:rsid w:val="73AD2DFE"/>
    <w:rsid w:val="74602AE0"/>
    <w:rsid w:val="776A7A4C"/>
    <w:rsid w:val="78B47C36"/>
    <w:rsid w:val="7A9E639B"/>
    <w:rsid w:val="7CBA5668"/>
    <w:rsid w:val="7D1306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iPriority="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next w:val="1"/>
    <w:qFormat/>
    <w:uiPriority w:val="0"/>
    <w:pPr>
      <w:keepNext/>
      <w:keepLines/>
      <w:widowControl w:val="0"/>
      <w:adjustRightInd w:val="0"/>
      <w:spacing w:line="360" w:lineRule="auto"/>
      <w:jc w:val="both"/>
      <w:textAlignment w:val="baseline"/>
      <w:outlineLvl w:val="0"/>
    </w:pPr>
    <w:rPr>
      <w:rFonts w:ascii="宋体" w:hAnsi="Times New Roman" w:eastAsia="宋体" w:cs="Times New Roman"/>
      <w:b/>
      <w:kern w:val="44"/>
      <w:sz w:val="32"/>
      <w:lang w:val="en-US" w:eastAsia="zh-CN" w:bidi="ar-SA"/>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3">
    <w:name w:val="Body Text"/>
    <w:basedOn w:val="4"/>
    <w:qFormat/>
    <w:uiPriority w:val="0"/>
    <w:pPr>
      <w:adjustRightInd w:val="0"/>
      <w:snapToGrid w:val="0"/>
      <w:spacing w:line="360" w:lineRule="auto"/>
      <w:textAlignment w:val="baseline"/>
    </w:pPr>
    <w:rPr>
      <w:rFonts w:ascii="隶书" w:hAnsi="宋体" w:eastAsia="隶书"/>
      <w:b/>
      <w:sz w:val="72"/>
    </w:rPr>
  </w:style>
  <w:style w:type="paragraph" w:customStyle="1" w:styleId="4">
    <w:name w:val="Normal_1"/>
    <w:next w:val="3"/>
    <w:qFormat/>
    <w:uiPriority w:val="0"/>
    <w:pPr>
      <w:widowControl w:val="0"/>
      <w:jc w:val="both"/>
    </w:pPr>
    <w:rPr>
      <w:rFonts w:ascii="Calibri" w:hAnsi="Calibri" w:eastAsia="宋体" w:cs="Times New Roman"/>
      <w:kern w:val="2"/>
      <w:sz w:val="21"/>
      <w:szCs w:val="24"/>
      <w:lang w:val="en-US" w:eastAsia="zh-CN" w:bidi="ar-SA"/>
    </w:rPr>
  </w:style>
  <w:style w:type="paragraph" w:styleId="5">
    <w:name w:val="footer"/>
    <w:basedOn w:val="1"/>
    <w:link w:val="17"/>
    <w:qFormat/>
    <w:uiPriority w:val="0"/>
    <w:pPr>
      <w:tabs>
        <w:tab w:val="center" w:pos="4153"/>
        <w:tab w:val="right" w:pos="8306"/>
      </w:tabs>
      <w:snapToGrid w:val="0"/>
      <w:jc w:val="left"/>
    </w:pPr>
    <w:rPr>
      <w:sz w:val="18"/>
      <w:szCs w:val="18"/>
    </w:rPr>
  </w:style>
  <w:style w:type="paragraph" w:styleId="6">
    <w:name w:val="header"/>
    <w:basedOn w:val="1"/>
    <w:link w:val="16"/>
    <w:qFormat/>
    <w:uiPriority w:val="0"/>
    <w:pPr>
      <w:pBdr>
        <w:bottom w:val="single" w:color="auto" w:sz="6" w:space="1"/>
      </w:pBdr>
      <w:tabs>
        <w:tab w:val="center" w:pos="4153"/>
        <w:tab w:val="right" w:pos="8306"/>
      </w:tabs>
      <w:snapToGrid w:val="0"/>
      <w:jc w:val="center"/>
    </w:pPr>
    <w:rPr>
      <w:sz w:val="18"/>
      <w:szCs w:val="18"/>
    </w:rPr>
  </w:style>
  <w:style w:type="table" w:styleId="8">
    <w:name w:val="Table Grid"/>
    <w:basedOn w:val="7"/>
    <w:semiHidden/>
    <w:unhideWhenUsed/>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
    <w:name w:val="标题 11"/>
    <w:basedOn w:val="4"/>
    <w:next w:val="4"/>
    <w:qFormat/>
    <w:uiPriority w:val="0"/>
    <w:pPr>
      <w:keepNext/>
      <w:keepLines/>
      <w:adjustRightInd w:val="0"/>
      <w:spacing w:line="360" w:lineRule="auto"/>
      <w:textAlignment w:val="baseline"/>
      <w:outlineLvl w:val="0"/>
    </w:pPr>
    <w:rPr>
      <w:rFonts w:ascii="宋体"/>
      <w:b/>
      <w:kern w:val="44"/>
      <w:sz w:val="32"/>
      <w:szCs w:val="20"/>
    </w:rPr>
  </w:style>
  <w:style w:type="paragraph" w:customStyle="1" w:styleId="11">
    <w:name w:val="页眉1"/>
    <w:basedOn w:val="4"/>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customStyle="1" w:styleId="12">
    <w:name w:val="页脚1"/>
    <w:basedOn w:val="4"/>
    <w:qFormat/>
    <w:uiPriority w:val="99"/>
    <w:pPr>
      <w:tabs>
        <w:tab w:val="center" w:pos="4153"/>
        <w:tab w:val="right" w:pos="8306"/>
      </w:tabs>
      <w:snapToGrid w:val="0"/>
      <w:jc w:val="left"/>
    </w:pPr>
    <w:rPr>
      <w:sz w:val="18"/>
    </w:rPr>
  </w:style>
  <w:style w:type="character" w:customStyle="1" w:styleId="13">
    <w:name w:val="font21"/>
    <w:basedOn w:val="9"/>
    <w:qFormat/>
    <w:uiPriority w:val="0"/>
    <w:rPr>
      <w:rFonts w:ascii="Courier New" w:hAnsi="Courier New" w:cs="Courier New"/>
      <w:color w:val="000000"/>
      <w:sz w:val="20"/>
      <w:szCs w:val="20"/>
      <w:u w:val="none"/>
    </w:rPr>
  </w:style>
  <w:style w:type="character" w:customStyle="1" w:styleId="14">
    <w:name w:val="font11"/>
    <w:basedOn w:val="9"/>
    <w:qFormat/>
    <w:uiPriority w:val="0"/>
    <w:rPr>
      <w:rFonts w:hint="eastAsia" w:ascii="宋体" w:hAnsi="宋体" w:eastAsia="宋体" w:cs="宋体"/>
      <w:color w:val="000000"/>
      <w:sz w:val="20"/>
      <w:szCs w:val="20"/>
      <w:u w:val="none"/>
    </w:rPr>
  </w:style>
  <w:style w:type="paragraph" w:customStyle="1" w:styleId="15">
    <w:name w:val="表格字体"/>
    <w:basedOn w:val="1"/>
    <w:qFormat/>
    <w:uiPriority w:val="0"/>
    <w:pPr>
      <w:jc w:val="center"/>
    </w:pPr>
    <w:rPr>
      <w:rFonts w:cs="Arial"/>
      <w:szCs w:val="21"/>
    </w:rPr>
  </w:style>
  <w:style w:type="character" w:customStyle="1" w:styleId="16">
    <w:name w:val="页眉 Char"/>
    <w:basedOn w:val="9"/>
    <w:link w:val="6"/>
    <w:qFormat/>
    <w:uiPriority w:val="0"/>
    <w:rPr>
      <w:rFonts w:asciiTheme="minorHAnsi" w:hAnsiTheme="minorHAnsi" w:eastAsiaTheme="minorEastAsia" w:cstheme="minorBidi"/>
      <w:kern w:val="2"/>
      <w:sz w:val="18"/>
      <w:szCs w:val="18"/>
    </w:rPr>
  </w:style>
  <w:style w:type="character" w:customStyle="1" w:styleId="17">
    <w:name w:val="页脚 Char"/>
    <w:basedOn w:val="9"/>
    <w:link w:val="5"/>
    <w:qFormat/>
    <w:uiPriority w:val="0"/>
    <w:rPr>
      <w:rFonts w:asciiTheme="minorHAnsi" w:hAnsiTheme="minorHAnsi" w:eastAsiaTheme="minorEastAsia" w:cstheme="minorBidi"/>
      <w:kern w:val="2"/>
      <w:sz w:val="18"/>
      <w:szCs w:val="18"/>
    </w:rPr>
  </w:style>
  <w:style w:type="paragraph" w:customStyle="1" w:styleId="18">
    <w:name w:val="WPSOffice手动目录 1"/>
    <w:qFormat/>
    <w:uiPriority w:val="0"/>
    <w:rPr>
      <w:rFonts w:ascii="Times New Roman" w:hAnsi="Times New Roman" w:eastAsia="宋体" w:cs="Times New Roman"/>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2" Type="http://schemas.openxmlformats.org/officeDocument/2006/relationships/fontTable" Target="fontTable.xml"/><Relationship Id="rId191" Type="http://schemas.openxmlformats.org/officeDocument/2006/relationships/image" Target="media/image186.emf"/><Relationship Id="rId190" Type="http://schemas.openxmlformats.org/officeDocument/2006/relationships/image" Target="media/image185.emf"/><Relationship Id="rId19" Type="http://schemas.openxmlformats.org/officeDocument/2006/relationships/image" Target="media/image14.png"/><Relationship Id="rId189" Type="http://schemas.openxmlformats.org/officeDocument/2006/relationships/image" Target="media/image184.emf"/><Relationship Id="rId188" Type="http://schemas.openxmlformats.org/officeDocument/2006/relationships/image" Target="media/image183.emf"/><Relationship Id="rId187" Type="http://schemas.openxmlformats.org/officeDocument/2006/relationships/image" Target="media/image182.emf"/><Relationship Id="rId186" Type="http://schemas.openxmlformats.org/officeDocument/2006/relationships/image" Target="media/image181.emf"/><Relationship Id="rId185" Type="http://schemas.openxmlformats.org/officeDocument/2006/relationships/image" Target="media/image180.emf"/><Relationship Id="rId184" Type="http://schemas.openxmlformats.org/officeDocument/2006/relationships/image" Target="media/image179.emf"/><Relationship Id="rId183" Type="http://schemas.openxmlformats.org/officeDocument/2006/relationships/image" Target="media/image178.emf"/><Relationship Id="rId182" Type="http://schemas.openxmlformats.org/officeDocument/2006/relationships/image" Target="media/image177.emf"/><Relationship Id="rId181" Type="http://schemas.openxmlformats.org/officeDocument/2006/relationships/image" Target="media/image176.emf"/><Relationship Id="rId180" Type="http://schemas.openxmlformats.org/officeDocument/2006/relationships/image" Target="media/image175.emf"/><Relationship Id="rId18" Type="http://schemas.openxmlformats.org/officeDocument/2006/relationships/image" Target="media/image13.png"/><Relationship Id="rId179" Type="http://schemas.openxmlformats.org/officeDocument/2006/relationships/image" Target="media/image174.emf"/><Relationship Id="rId178" Type="http://schemas.openxmlformats.org/officeDocument/2006/relationships/image" Target="media/image173.emf"/><Relationship Id="rId177" Type="http://schemas.openxmlformats.org/officeDocument/2006/relationships/image" Target="media/image172.emf"/><Relationship Id="rId176" Type="http://schemas.openxmlformats.org/officeDocument/2006/relationships/image" Target="media/image171.emf"/><Relationship Id="rId175" Type="http://schemas.openxmlformats.org/officeDocument/2006/relationships/image" Target="media/image170.emf"/><Relationship Id="rId174" Type="http://schemas.openxmlformats.org/officeDocument/2006/relationships/image" Target="media/image169.emf"/><Relationship Id="rId173" Type="http://schemas.openxmlformats.org/officeDocument/2006/relationships/image" Target="media/image168.emf"/><Relationship Id="rId172" Type="http://schemas.openxmlformats.org/officeDocument/2006/relationships/image" Target="media/image167.emf"/><Relationship Id="rId171" Type="http://schemas.openxmlformats.org/officeDocument/2006/relationships/image" Target="media/image166.emf"/><Relationship Id="rId170" Type="http://schemas.openxmlformats.org/officeDocument/2006/relationships/image" Target="media/image165.emf"/><Relationship Id="rId17" Type="http://schemas.openxmlformats.org/officeDocument/2006/relationships/image" Target="media/image12.png"/><Relationship Id="rId169" Type="http://schemas.openxmlformats.org/officeDocument/2006/relationships/image" Target="media/image164.emf"/><Relationship Id="rId168" Type="http://schemas.openxmlformats.org/officeDocument/2006/relationships/image" Target="media/image163.emf"/><Relationship Id="rId167" Type="http://schemas.openxmlformats.org/officeDocument/2006/relationships/image" Target="media/image162.emf"/><Relationship Id="rId166" Type="http://schemas.openxmlformats.org/officeDocument/2006/relationships/image" Target="media/image161.emf"/><Relationship Id="rId165" Type="http://schemas.openxmlformats.org/officeDocument/2006/relationships/image" Target="media/image160.emf"/><Relationship Id="rId164" Type="http://schemas.openxmlformats.org/officeDocument/2006/relationships/image" Target="media/image159.emf"/><Relationship Id="rId163" Type="http://schemas.openxmlformats.org/officeDocument/2006/relationships/image" Target="media/image158.emf"/><Relationship Id="rId162" Type="http://schemas.openxmlformats.org/officeDocument/2006/relationships/image" Target="media/image157.emf"/><Relationship Id="rId161" Type="http://schemas.openxmlformats.org/officeDocument/2006/relationships/image" Target="media/image156.emf"/><Relationship Id="rId160" Type="http://schemas.openxmlformats.org/officeDocument/2006/relationships/image" Target="media/image155.emf"/><Relationship Id="rId16" Type="http://schemas.openxmlformats.org/officeDocument/2006/relationships/image" Target="media/image11.png"/><Relationship Id="rId159" Type="http://schemas.openxmlformats.org/officeDocument/2006/relationships/image" Target="media/image154.emf"/><Relationship Id="rId158" Type="http://schemas.openxmlformats.org/officeDocument/2006/relationships/image" Target="media/image153.emf"/><Relationship Id="rId157" Type="http://schemas.openxmlformats.org/officeDocument/2006/relationships/image" Target="media/image152.emf"/><Relationship Id="rId156" Type="http://schemas.openxmlformats.org/officeDocument/2006/relationships/image" Target="media/image151.emf"/><Relationship Id="rId155" Type="http://schemas.openxmlformats.org/officeDocument/2006/relationships/image" Target="media/image150.emf"/><Relationship Id="rId154" Type="http://schemas.openxmlformats.org/officeDocument/2006/relationships/image" Target="media/image149.emf"/><Relationship Id="rId153" Type="http://schemas.openxmlformats.org/officeDocument/2006/relationships/image" Target="media/image148.emf"/><Relationship Id="rId152" Type="http://schemas.openxmlformats.org/officeDocument/2006/relationships/image" Target="media/image147.emf"/><Relationship Id="rId151" Type="http://schemas.openxmlformats.org/officeDocument/2006/relationships/image" Target="media/image146.emf"/><Relationship Id="rId150" Type="http://schemas.openxmlformats.org/officeDocument/2006/relationships/image" Target="media/image145.emf"/><Relationship Id="rId15" Type="http://schemas.openxmlformats.org/officeDocument/2006/relationships/image" Target="media/image10.png"/><Relationship Id="rId149" Type="http://schemas.openxmlformats.org/officeDocument/2006/relationships/image" Target="media/image144.emf"/><Relationship Id="rId148" Type="http://schemas.openxmlformats.org/officeDocument/2006/relationships/image" Target="media/image143.emf"/><Relationship Id="rId147" Type="http://schemas.openxmlformats.org/officeDocument/2006/relationships/image" Target="media/image142.emf"/><Relationship Id="rId146" Type="http://schemas.openxmlformats.org/officeDocument/2006/relationships/image" Target="media/image141.emf"/><Relationship Id="rId145" Type="http://schemas.openxmlformats.org/officeDocument/2006/relationships/image" Target="media/image140.emf"/><Relationship Id="rId144" Type="http://schemas.openxmlformats.org/officeDocument/2006/relationships/image" Target="media/image139.emf"/><Relationship Id="rId143" Type="http://schemas.openxmlformats.org/officeDocument/2006/relationships/image" Target="media/image138.emf"/><Relationship Id="rId142" Type="http://schemas.openxmlformats.org/officeDocument/2006/relationships/image" Target="media/image137.emf"/><Relationship Id="rId141" Type="http://schemas.openxmlformats.org/officeDocument/2006/relationships/image" Target="media/image136.emf"/><Relationship Id="rId140" Type="http://schemas.openxmlformats.org/officeDocument/2006/relationships/image" Target="media/image135.emf"/><Relationship Id="rId14" Type="http://schemas.openxmlformats.org/officeDocument/2006/relationships/image" Target="media/image9.png"/><Relationship Id="rId139" Type="http://schemas.openxmlformats.org/officeDocument/2006/relationships/image" Target="media/image134.emf"/><Relationship Id="rId138" Type="http://schemas.openxmlformats.org/officeDocument/2006/relationships/image" Target="media/image133.emf"/><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202</Pages>
  <Words>6144</Words>
  <Characters>7938</Characters>
  <Lines>86</Lines>
  <Paragraphs>24</Paragraphs>
  <TotalTime>2</TotalTime>
  <ScaleCrop>false</ScaleCrop>
  <LinksUpToDate>false</LinksUpToDate>
  <CharactersWithSpaces>8436</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2023-11-10T10:07:00Z</dcterms:created>
  <dc:creator>XTMHG</dc:creator>
  <cp:lastModifiedBy>陈涌顺</cp:lastModifiedBy>
  <cp:lastPrinted>2025-08-14T08:49:00Z</cp:lastPrinted>
  <dcterms:modified xsi:type="dcterms:W3CDTF">2025-10-15T07:43:28Z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551EC7A67AD14D088CF720F22BCA9F7C_13</vt:lpwstr>
  </property>
  <property fmtid="{D5CDD505-2E9C-101B-9397-08002B2CF9AE}" pid="4" name="KSOTemplateDocerSaveRecord">
    <vt:lpwstr>eyJoZGlkIjoiN2Y4MTI2M2FmY2YyZDkwYTZlZjEzMGUxMWIwM2Y3MzIiLCJ1c2VySWQiOiIxNjI0Mzk3NTQ3In0=</vt:lpwstr>
  </property>
</Properties>
</file>