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sz w:val="28"/>
          <w:szCs w:val="28"/>
        </w:rPr>
      </w:pPr>
      <w:r>
        <w:rPr>
          <w:rFonts w:hint="eastAsia" w:ascii="宋体" w:hAnsi="宋体" w:cs="宋体"/>
          <w:sz w:val="28"/>
          <w:szCs w:val="28"/>
        </w:rPr>
        <w:t>附录</w:t>
      </w:r>
    </w:p>
    <w:p>
      <w:pPr>
        <w:jc w:val="center"/>
        <w:rPr>
          <w:rFonts w:asciiTheme="minorEastAsia" w:hAnsiTheme="minorEastAsia"/>
          <w:b/>
          <w:sz w:val="32"/>
          <w:szCs w:val="32"/>
        </w:rPr>
      </w:pPr>
      <w:r>
        <w:rPr>
          <w:rFonts w:hint="eastAsia" w:asciiTheme="minorEastAsia" w:hAnsiTheme="minorEastAsia"/>
          <w:b/>
          <w:sz w:val="32"/>
          <w:szCs w:val="32"/>
        </w:rPr>
        <w:t>宁波海运明州高速公路有限公司外包单位安全绩效考核表</w:t>
      </w:r>
    </w:p>
    <w:p/>
    <w:p>
      <w:pPr>
        <w:jc w:val="left"/>
        <w:rPr>
          <w:rFonts w:ascii="宋体" w:hAnsi="宋体"/>
          <w:sz w:val="24"/>
        </w:rPr>
      </w:pPr>
      <w:r>
        <w:rPr>
          <w:rFonts w:hint="eastAsia" w:ascii="宋体" w:hAnsi="宋体"/>
          <w:sz w:val="24"/>
        </w:rPr>
        <w:t>项目</w:t>
      </w:r>
      <w:r>
        <w:rPr>
          <w:rFonts w:hint="eastAsia" w:ascii="宋体" w:hAnsi="宋体" w:cs="宋体"/>
          <w:sz w:val="24"/>
          <w:szCs w:val="24"/>
        </w:rPr>
        <w:t>主管</w:t>
      </w:r>
      <w:r>
        <w:rPr>
          <w:rFonts w:hint="eastAsia" w:ascii="宋体" w:hAnsi="宋体"/>
          <w:sz w:val="24"/>
        </w:rPr>
        <w:t>部门：</w:t>
      </w:r>
    </w:p>
    <w:tbl>
      <w:tblPr>
        <w:tblStyle w:val="4"/>
        <w:tblW w:w="94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8"/>
        <w:gridCol w:w="389"/>
        <w:gridCol w:w="722"/>
        <w:gridCol w:w="53"/>
        <w:gridCol w:w="254"/>
        <w:gridCol w:w="2362"/>
        <w:gridCol w:w="1346"/>
        <w:gridCol w:w="1347"/>
        <w:gridCol w:w="1429"/>
        <w:gridCol w:w="67"/>
        <w:gridCol w:w="642"/>
        <w:gridCol w:w="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7" w:type="dxa"/>
          <w:jc w:val="center"/>
        </w:trPr>
        <w:tc>
          <w:tcPr>
            <w:tcW w:w="1892" w:type="dxa"/>
            <w:gridSpan w:val="4"/>
            <w:tcBorders>
              <w:top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szCs w:val="21"/>
              </w:rPr>
              <w:t>外包单位名称</w:t>
            </w:r>
          </w:p>
        </w:tc>
        <w:tc>
          <w:tcPr>
            <w:tcW w:w="7447" w:type="dxa"/>
            <w:gridSpan w:val="7"/>
            <w:tcBorders>
              <w:top w:val="single" w:color="auto" w:sz="4" w:space="0"/>
              <w:left w:val="single" w:color="auto" w:sz="4" w:space="0"/>
              <w:bottom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7" w:type="dxa"/>
          <w:trHeight w:val="378" w:hRule="atLeast"/>
          <w:jc w:val="center"/>
        </w:trPr>
        <w:tc>
          <w:tcPr>
            <w:tcW w:w="1892" w:type="dxa"/>
            <w:gridSpan w:val="4"/>
            <w:tcBorders>
              <w:top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szCs w:val="21"/>
              </w:rPr>
              <w:t>考核周期</w:t>
            </w:r>
          </w:p>
        </w:tc>
        <w:tc>
          <w:tcPr>
            <w:tcW w:w="7447" w:type="dxa"/>
            <w:gridSpan w:val="7"/>
            <w:tcBorders>
              <w:top w:val="single" w:color="auto" w:sz="4" w:space="0"/>
              <w:left w:val="single" w:color="auto" w:sz="4" w:space="0"/>
              <w:bottom w:val="single" w:color="auto" w:sz="4" w:space="0"/>
            </w:tcBorders>
            <w:vAlign w:val="center"/>
          </w:tcPr>
          <w:p>
            <w:pPr>
              <w:jc w:val="center"/>
              <w:rPr>
                <w:rFonts w:ascii="宋体"/>
                <w:szCs w:val="21"/>
              </w:rPr>
            </w:pPr>
            <w:r>
              <w:rPr>
                <w:rFonts w:hint="eastAsia" w:ascii="宋体" w:hAnsi="宋体"/>
                <w:szCs w:val="21"/>
              </w:rPr>
              <w:t>年 月  日  至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7" w:type="dxa"/>
          <w:cantSplit/>
          <w:jc w:val="center"/>
        </w:trPr>
        <w:tc>
          <w:tcPr>
            <w:tcW w:w="728" w:type="dxa"/>
            <w:vMerge w:val="restart"/>
            <w:tcBorders>
              <w:top w:val="single" w:color="auto" w:sz="4" w:space="0"/>
              <w:right w:val="single" w:color="auto" w:sz="4" w:space="0"/>
            </w:tcBorders>
            <w:vAlign w:val="center"/>
          </w:tcPr>
          <w:p>
            <w:pPr>
              <w:jc w:val="center"/>
              <w:rPr>
                <w:rFonts w:ascii="宋体"/>
                <w:szCs w:val="21"/>
              </w:rPr>
            </w:pPr>
            <w:r>
              <w:rPr>
                <w:rFonts w:hint="eastAsia" w:ascii="宋体" w:hAnsi="宋体"/>
                <w:szCs w:val="21"/>
              </w:rPr>
              <w:t>承接项目</w:t>
            </w:r>
          </w:p>
        </w:tc>
        <w:tc>
          <w:tcPr>
            <w:tcW w:w="378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szCs w:val="21"/>
              </w:rPr>
              <w:t>主要项目名称</w:t>
            </w:r>
          </w:p>
        </w:tc>
        <w:tc>
          <w:tcPr>
            <w:tcW w:w="1346"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szCs w:val="21"/>
              </w:rPr>
              <w:t>项目负责人</w:t>
            </w:r>
          </w:p>
        </w:tc>
        <w:tc>
          <w:tcPr>
            <w:tcW w:w="134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szCs w:val="21"/>
              </w:rPr>
              <w:t>安全负责人</w:t>
            </w:r>
          </w:p>
        </w:tc>
        <w:tc>
          <w:tcPr>
            <w:tcW w:w="2138" w:type="dxa"/>
            <w:gridSpan w:val="3"/>
            <w:tcBorders>
              <w:top w:val="single" w:color="auto" w:sz="4" w:space="0"/>
              <w:left w:val="single" w:color="auto" w:sz="4" w:space="0"/>
              <w:bottom w:val="single" w:color="auto" w:sz="4" w:space="0"/>
            </w:tcBorders>
            <w:vAlign w:val="center"/>
          </w:tcPr>
          <w:p>
            <w:pPr>
              <w:jc w:val="center"/>
              <w:rPr>
                <w:rFonts w:ascii="宋体" w:hAnsi="宋体"/>
                <w:szCs w:val="21"/>
              </w:rPr>
            </w:pPr>
            <w:r>
              <w:rPr>
                <w:rFonts w:hint="eastAsia" w:ascii="宋体" w:hAnsi="宋体"/>
                <w:szCs w:val="21"/>
              </w:rPr>
              <w:t>实施起止时间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7" w:type="dxa"/>
          <w:cantSplit/>
          <w:jc w:val="center"/>
        </w:trPr>
        <w:tc>
          <w:tcPr>
            <w:tcW w:w="728" w:type="dxa"/>
            <w:vMerge w:val="continue"/>
            <w:tcBorders>
              <w:right w:val="single" w:color="auto" w:sz="4" w:space="0"/>
            </w:tcBorders>
            <w:vAlign w:val="center"/>
          </w:tcPr>
          <w:p>
            <w:pPr>
              <w:jc w:val="center"/>
              <w:rPr>
                <w:rFonts w:ascii="宋体"/>
                <w:szCs w:val="21"/>
              </w:rPr>
            </w:pPr>
          </w:p>
        </w:tc>
        <w:tc>
          <w:tcPr>
            <w:tcW w:w="389" w:type="dxa"/>
            <w:tcBorders>
              <w:top w:val="single" w:color="auto" w:sz="4" w:space="0"/>
              <w:left w:val="single" w:color="auto" w:sz="4" w:space="0"/>
              <w:bottom w:val="single" w:color="auto" w:sz="4" w:space="0"/>
              <w:right w:val="single" w:color="auto" w:sz="4" w:space="0"/>
            </w:tcBorders>
          </w:tcPr>
          <w:p>
            <w:pPr>
              <w:jc w:val="center"/>
              <w:rPr>
                <w:rFonts w:ascii="宋体" w:hAnsi="宋体"/>
                <w:szCs w:val="21"/>
              </w:rPr>
            </w:pPr>
            <w:r>
              <w:rPr>
                <w:rFonts w:ascii="宋体" w:hAnsi="宋体"/>
                <w:szCs w:val="21"/>
              </w:rPr>
              <w:t>1</w:t>
            </w:r>
          </w:p>
        </w:tc>
        <w:tc>
          <w:tcPr>
            <w:tcW w:w="3391" w:type="dxa"/>
            <w:gridSpan w:val="4"/>
            <w:tcBorders>
              <w:top w:val="single" w:color="auto" w:sz="4" w:space="0"/>
              <w:left w:val="single" w:color="auto" w:sz="4" w:space="0"/>
              <w:bottom w:val="single" w:color="auto" w:sz="4" w:space="0"/>
              <w:right w:val="single" w:color="auto" w:sz="4" w:space="0"/>
            </w:tcBorders>
          </w:tcPr>
          <w:p>
            <w:pPr>
              <w:jc w:val="center"/>
              <w:rPr>
                <w:rFonts w:ascii="宋体" w:hAnsi="宋体"/>
                <w:szCs w:val="21"/>
              </w:rPr>
            </w:pPr>
          </w:p>
        </w:tc>
        <w:tc>
          <w:tcPr>
            <w:tcW w:w="1346" w:type="dxa"/>
            <w:tcBorders>
              <w:top w:val="single" w:color="auto" w:sz="4" w:space="0"/>
              <w:left w:val="single" w:color="auto" w:sz="4" w:space="0"/>
              <w:bottom w:val="single" w:color="auto" w:sz="4" w:space="0"/>
              <w:right w:val="single" w:color="auto" w:sz="4" w:space="0"/>
            </w:tcBorders>
          </w:tcPr>
          <w:p>
            <w:pPr>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tcPr>
          <w:p>
            <w:pPr>
              <w:jc w:val="center"/>
              <w:rPr>
                <w:rFonts w:ascii="宋体" w:hAnsi="宋体"/>
                <w:szCs w:val="21"/>
              </w:rPr>
            </w:pPr>
          </w:p>
        </w:tc>
        <w:tc>
          <w:tcPr>
            <w:tcW w:w="2138" w:type="dxa"/>
            <w:gridSpan w:val="3"/>
            <w:tcBorders>
              <w:top w:val="single" w:color="auto" w:sz="4" w:space="0"/>
              <w:left w:val="single" w:color="auto" w:sz="4" w:space="0"/>
              <w:bottom w:val="single" w:color="auto" w:sz="4" w:space="0"/>
            </w:tcBorders>
            <w:vAlign w:val="center"/>
          </w:tcPr>
          <w:p>
            <w:pPr>
              <w:ind w:firstLine="28" w:firstLineChars="16"/>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7" w:type="dxa"/>
          <w:cantSplit/>
          <w:trHeight w:val="135" w:hRule="atLeast"/>
          <w:jc w:val="center"/>
        </w:trPr>
        <w:tc>
          <w:tcPr>
            <w:tcW w:w="728" w:type="dxa"/>
            <w:vMerge w:val="restart"/>
            <w:tcBorders>
              <w:top w:val="single" w:color="auto" w:sz="4" w:space="0"/>
              <w:right w:val="single" w:color="auto" w:sz="4" w:space="0"/>
            </w:tcBorders>
            <w:vAlign w:val="center"/>
          </w:tcPr>
          <w:p>
            <w:pPr>
              <w:jc w:val="center"/>
              <w:rPr>
                <w:rFonts w:ascii="宋体"/>
                <w:szCs w:val="21"/>
              </w:rPr>
            </w:pPr>
            <w:r>
              <w:rPr>
                <w:rFonts w:hint="eastAsia" w:ascii="宋体" w:hAnsi="宋体"/>
                <w:szCs w:val="21"/>
              </w:rPr>
              <w:t>安</w:t>
            </w:r>
          </w:p>
          <w:p>
            <w:pPr>
              <w:jc w:val="center"/>
              <w:rPr>
                <w:rFonts w:ascii="宋体"/>
                <w:szCs w:val="21"/>
              </w:rPr>
            </w:pPr>
          </w:p>
          <w:p>
            <w:pPr>
              <w:jc w:val="center"/>
              <w:rPr>
                <w:rFonts w:ascii="宋体"/>
                <w:szCs w:val="21"/>
              </w:rPr>
            </w:pPr>
            <w:r>
              <w:rPr>
                <w:rFonts w:hint="eastAsia" w:ascii="宋体" w:hAnsi="宋体"/>
                <w:szCs w:val="21"/>
              </w:rPr>
              <w:t>全</w:t>
            </w:r>
          </w:p>
          <w:p>
            <w:pPr>
              <w:jc w:val="center"/>
              <w:rPr>
                <w:rFonts w:ascii="宋体"/>
                <w:szCs w:val="21"/>
              </w:rPr>
            </w:pPr>
          </w:p>
          <w:p>
            <w:pPr>
              <w:jc w:val="center"/>
              <w:rPr>
                <w:rFonts w:ascii="宋体"/>
                <w:szCs w:val="21"/>
              </w:rPr>
            </w:pPr>
            <w:r>
              <w:rPr>
                <w:rFonts w:hint="eastAsia" w:ascii="宋体"/>
                <w:szCs w:val="21"/>
              </w:rPr>
              <w:t>绩</w:t>
            </w:r>
          </w:p>
          <w:p>
            <w:pPr>
              <w:jc w:val="center"/>
              <w:rPr>
                <w:rFonts w:ascii="宋体"/>
                <w:szCs w:val="21"/>
              </w:rPr>
            </w:pPr>
          </w:p>
          <w:p>
            <w:pPr>
              <w:jc w:val="center"/>
              <w:rPr>
                <w:rFonts w:ascii="宋体"/>
                <w:szCs w:val="21"/>
              </w:rPr>
            </w:pPr>
            <w:r>
              <w:rPr>
                <w:rFonts w:hint="eastAsia" w:ascii="宋体"/>
                <w:szCs w:val="21"/>
              </w:rPr>
              <w:t>效</w:t>
            </w:r>
          </w:p>
          <w:p>
            <w:pPr>
              <w:rPr>
                <w:rFonts w:ascii="宋体" w:hAnsi="宋体"/>
                <w:szCs w:val="21"/>
              </w:rPr>
            </w:pPr>
          </w:p>
          <w:p>
            <w:pPr>
              <w:jc w:val="center"/>
              <w:rPr>
                <w:rFonts w:ascii="宋体"/>
                <w:szCs w:val="21"/>
              </w:rPr>
            </w:pPr>
            <w:r>
              <w:rPr>
                <w:rFonts w:hint="eastAsia" w:ascii="宋体" w:hAnsi="宋体"/>
                <w:szCs w:val="21"/>
              </w:rPr>
              <w:t>考</w:t>
            </w:r>
          </w:p>
          <w:p>
            <w:pPr>
              <w:jc w:val="center"/>
              <w:rPr>
                <w:rFonts w:ascii="宋体"/>
                <w:szCs w:val="21"/>
              </w:rPr>
            </w:pPr>
          </w:p>
          <w:p>
            <w:pPr>
              <w:jc w:val="center"/>
              <w:rPr>
                <w:rFonts w:ascii="宋体"/>
                <w:szCs w:val="21"/>
              </w:rPr>
            </w:pPr>
            <w:r>
              <w:rPr>
                <w:rFonts w:hint="eastAsia" w:ascii="宋体" w:hAnsi="宋体"/>
                <w:szCs w:val="21"/>
              </w:rPr>
              <w:t>核</w:t>
            </w:r>
          </w:p>
        </w:tc>
        <w:tc>
          <w:tcPr>
            <w:tcW w:w="1111" w:type="dxa"/>
            <w:gridSpan w:val="2"/>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评定内容</w:t>
            </w:r>
          </w:p>
        </w:tc>
        <w:tc>
          <w:tcPr>
            <w:tcW w:w="6791" w:type="dxa"/>
            <w:gridSpan w:val="6"/>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考核标准（标准分</w:t>
            </w:r>
            <w:r>
              <w:rPr>
                <w:rFonts w:ascii="宋体" w:hAnsi="宋体"/>
                <w:szCs w:val="21"/>
              </w:rPr>
              <w:t>100</w:t>
            </w:r>
            <w:r>
              <w:rPr>
                <w:rFonts w:hint="eastAsia" w:ascii="宋体" w:hAnsi="宋体"/>
                <w:szCs w:val="21"/>
              </w:rPr>
              <w:t>分）</w:t>
            </w:r>
          </w:p>
        </w:tc>
        <w:tc>
          <w:tcPr>
            <w:tcW w:w="709" w:type="dxa"/>
            <w:gridSpan w:val="2"/>
            <w:tcBorders>
              <w:top w:val="single" w:color="auto" w:sz="4" w:space="0"/>
              <w:left w:val="single" w:color="auto" w:sz="4" w:space="0"/>
            </w:tcBorders>
            <w:vAlign w:val="center"/>
          </w:tcPr>
          <w:p>
            <w:pPr>
              <w:jc w:val="center"/>
              <w:rPr>
                <w:rFonts w:ascii="宋体" w:hAnsi="宋体"/>
                <w:szCs w:val="21"/>
              </w:rPr>
            </w:pPr>
            <w:r>
              <w:rPr>
                <w:rFonts w:hint="eastAsia" w:ascii="宋体" w:hAnsi="宋体"/>
                <w:szCs w:val="21"/>
              </w:rPr>
              <w:t>扣分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33" w:hRule="atLeast"/>
          <w:jc w:val="center"/>
        </w:trPr>
        <w:tc>
          <w:tcPr>
            <w:tcW w:w="728" w:type="dxa"/>
            <w:vMerge w:val="continue"/>
            <w:tcBorders>
              <w:right w:val="single" w:color="auto" w:sz="4" w:space="0"/>
            </w:tcBorders>
          </w:tcPr>
          <w:p>
            <w:pPr>
              <w:jc w:val="center"/>
              <w:rPr>
                <w:rFonts w:ascii="宋体"/>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ascii="宋体" w:hAnsi="宋体"/>
                <w:szCs w:val="21"/>
              </w:rPr>
              <w:t>1</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事</w:t>
            </w:r>
          </w:p>
          <w:p>
            <w:pPr>
              <w:jc w:val="center"/>
              <w:rPr>
                <w:rFonts w:ascii="宋体" w:hAnsi="宋体"/>
                <w:szCs w:val="21"/>
              </w:rPr>
            </w:pPr>
            <w:r>
              <w:rPr>
                <w:rFonts w:hint="eastAsia" w:ascii="宋体" w:hAnsi="宋体"/>
                <w:szCs w:val="21"/>
              </w:rPr>
              <w:t>故</w:t>
            </w:r>
          </w:p>
          <w:p>
            <w:pPr>
              <w:jc w:val="center"/>
              <w:rPr>
                <w:rFonts w:ascii="宋体" w:hAnsi="宋体"/>
                <w:szCs w:val="21"/>
              </w:rPr>
            </w:pPr>
            <w:r>
              <w:rPr>
                <w:rFonts w:hint="eastAsia" w:ascii="宋体" w:hAnsi="宋体"/>
                <w:szCs w:val="21"/>
              </w:rPr>
              <w:t>情</w:t>
            </w:r>
          </w:p>
          <w:p>
            <w:pPr>
              <w:jc w:val="center"/>
              <w:rPr>
                <w:rFonts w:ascii="宋体"/>
                <w:szCs w:val="21"/>
              </w:rPr>
            </w:pPr>
            <w:r>
              <w:rPr>
                <w:rFonts w:hint="eastAsia" w:ascii="宋体" w:hAnsi="宋体"/>
                <w:szCs w:val="21"/>
              </w:rPr>
              <w:t>况</w:t>
            </w:r>
          </w:p>
        </w:tc>
        <w:tc>
          <w:tcPr>
            <w:tcW w:w="6551" w:type="dxa"/>
            <w:gridSpan w:val="5"/>
            <w:tcBorders>
              <w:top w:val="single" w:color="auto" w:sz="4" w:space="0"/>
              <w:left w:val="single" w:color="auto" w:sz="4" w:space="0"/>
              <w:right w:val="single" w:color="auto" w:sz="4" w:space="0"/>
            </w:tcBorders>
            <w:vAlign w:val="center"/>
          </w:tcPr>
          <w:p>
            <w:pPr>
              <w:ind w:firstLine="420" w:firstLineChars="200"/>
              <w:rPr>
                <w:rFonts w:ascii="宋体" w:hAnsi="宋体"/>
                <w:szCs w:val="21"/>
              </w:rPr>
            </w:pPr>
            <w:r>
              <w:rPr>
                <w:rFonts w:hint="eastAsia" w:ascii="宋体" w:hAnsi="宋体"/>
                <w:szCs w:val="21"/>
              </w:rPr>
              <w:t>1.在一个评定周期内，不发生人身轻微伤及以上事故。如发生人身伤亡事故事件的，按以下标准予以考核：</w:t>
            </w:r>
          </w:p>
          <w:p>
            <w:pPr>
              <w:ind w:firstLine="420" w:firstLineChars="200"/>
              <w:rPr>
                <w:rFonts w:ascii="宋体" w:hAnsi="宋体"/>
                <w:szCs w:val="21"/>
              </w:rPr>
            </w:pPr>
            <w:r>
              <w:rPr>
                <w:rFonts w:hint="eastAsia" w:ascii="宋体" w:hAnsi="宋体"/>
                <w:szCs w:val="21"/>
              </w:rPr>
              <w:t>（1）发生人身轻微伤，每人次扣 100分；</w:t>
            </w:r>
          </w:p>
          <w:p>
            <w:pPr>
              <w:ind w:firstLine="420" w:firstLineChars="200"/>
              <w:rPr>
                <w:rFonts w:ascii="宋体" w:hAnsi="宋体"/>
                <w:szCs w:val="21"/>
              </w:rPr>
            </w:pPr>
            <w:r>
              <w:rPr>
                <w:rFonts w:hint="eastAsia" w:ascii="宋体" w:hAnsi="宋体"/>
                <w:szCs w:val="21"/>
              </w:rPr>
              <w:t>（2）发生人身轻伤，每人次扣100 分；</w:t>
            </w:r>
          </w:p>
          <w:p>
            <w:pPr>
              <w:ind w:firstLine="420" w:firstLineChars="200"/>
              <w:rPr>
                <w:rFonts w:ascii="宋体" w:hAnsi="宋体"/>
                <w:szCs w:val="21"/>
              </w:rPr>
            </w:pPr>
            <w:r>
              <w:rPr>
                <w:rFonts w:hint="eastAsia" w:ascii="宋体" w:hAnsi="宋体"/>
                <w:szCs w:val="21"/>
              </w:rPr>
              <w:t>（3）发生人身重伤，每人次扣 100 分；</w:t>
            </w:r>
          </w:p>
          <w:p>
            <w:pPr>
              <w:ind w:firstLine="420" w:firstLineChars="200"/>
              <w:rPr>
                <w:rFonts w:ascii="宋体" w:hAnsi="宋体"/>
                <w:szCs w:val="21"/>
              </w:rPr>
            </w:pPr>
            <w:r>
              <w:rPr>
                <w:rFonts w:hint="eastAsia" w:ascii="宋体" w:hAnsi="宋体"/>
                <w:szCs w:val="21"/>
              </w:rPr>
              <w:t>（4）发生人生死亡事故，每人次扣100分。</w:t>
            </w:r>
          </w:p>
          <w:p>
            <w:pPr>
              <w:ind w:firstLine="420" w:firstLineChars="200"/>
              <w:jc w:val="left"/>
              <w:rPr>
                <w:rFonts w:ascii="宋体" w:hAnsi="宋体"/>
                <w:szCs w:val="21"/>
              </w:rPr>
            </w:pPr>
            <w:r>
              <w:rPr>
                <w:rFonts w:hint="eastAsia" w:ascii="宋体" w:hAnsi="宋体"/>
                <w:szCs w:val="21"/>
              </w:rPr>
              <w:t>2.在一个评定周期内，不发生火灾事故和火险。</w:t>
            </w:r>
          </w:p>
          <w:p>
            <w:pPr>
              <w:ind w:firstLine="420" w:firstLineChars="200"/>
              <w:jc w:val="left"/>
              <w:rPr>
                <w:rFonts w:ascii="宋体" w:hAnsi="宋体"/>
                <w:szCs w:val="21"/>
              </w:rPr>
            </w:pPr>
            <w:r>
              <w:rPr>
                <w:rFonts w:hint="eastAsia" w:ascii="宋体" w:hAnsi="宋体"/>
                <w:szCs w:val="21"/>
              </w:rPr>
              <w:t>（1）发生火险，每次扣 10 分；</w:t>
            </w:r>
          </w:p>
          <w:p>
            <w:pPr>
              <w:ind w:firstLine="420" w:firstLineChars="200"/>
              <w:jc w:val="left"/>
              <w:rPr>
                <w:rFonts w:ascii="宋体" w:hAnsi="宋体"/>
                <w:szCs w:val="21"/>
              </w:rPr>
            </w:pPr>
            <w:r>
              <w:rPr>
                <w:rFonts w:hint="eastAsia" w:ascii="宋体" w:hAnsi="宋体"/>
                <w:szCs w:val="21"/>
              </w:rPr>
              <w:t>（2）发生直接经济损失 30 万以下火灾事故，每次扣 50分；</w:t>
            </w:r>
          </w:p>
          <w:p>
            <w:pPr>
              <w:ind w:firstLine="420" w:firstLineChars="200"/>
              <w:jc w:val="left"/>
              <w:rPr>
                <w:rFonts w:ascii="宋体" w:hAnsi="宋体"/>
                <w:szCs w:val="21"/>
              </w:rPr>
            </w:pPr>
            <w:r>
              <w:rPr>
                <w:rFonts w:hint="eastAsia" w:ascii="宋体" w:hAnsi="宋体"/>
                <w:szCs w:val="21"/>
              </w:rPr>
              <w:t>（3）发生直接经济损失 30 万以上 100 万以下火灾事故，每次扣100分。</w:t>
            </w:r>
          </w:p>
          <w:p>
            <w:pPr>
              <w:ind w:firstLine="420" w:firstLineChars="200"/>
              <w:jc w:val="left"/>
              <w:rPr>
                <w:rFonts w:ascii="宋体" w:hAnsi="宋体"/>
                <w:szCs w:val="21"/>
              </w:rPr>
            </w:pPr>
            <w:r>
              <w:rPr>
                <w:rFonts w:hint="eastAsia" w:ascii="宋体" w:hAnsi="宋体"/>
                <w:szCs w:val="21"/>
              </w:rPr>
              <w:t>3.在一个评定周期内，不发生设备异常及设备障碍。</w:t>
            </w:r>
          </w:p>
          <w:p>
            <w:pPr>
              <w:ind w:firstLine="420" w:firstLineChars="200"/>
              <w:jc w:val="left"/>
              <w:rPr>
                <w:rFonts w:ascii="宋体" w:hAnsi="宋体"/>
                <w:szCs w:val="21"/>
              </w:rPr>
            </w:pPr>
            <w:r>
              <w:rPr>
                <w:rFonts w:hint="eastAsia" w:ascii="宋体" w:hAnsi="宋体"/>
                <w:szCs w:val="21"/>
              </w:rPr>
              <w:t>（1）发生设备异常，每次扣10分；</w:t>
            </w:r>
          </w:p>
          <w:p>
            <w:pPr>
              <w:ind w:firstLine="420" w:firstLineChars="200"/>
              <w:jc w:val="left"/>
              <w:rPr>
                <w:rFonts w:ascii="宋体" w:hAnsi="宋体"/>
                <w:szCs w:val="21"/>
              </w:rPr>
            </w:pPr>
            <w:r>
              <w:rPr>
                <w:rFonts w:hint="eastAsia" w:ascii="宋体" w:hAnsi="宋体"/>
                <w:szCs w:val="21"/>
              </w:rPr>
              <w:t>（2）发生二类障碍，每次扣20分；</w:t>
            </w:r>
          </w:p>
          <w:p>
            <w:pPr>
              <w:ind w:firstLine="420" w:firstLineChars="200"/>
              <w:jc w:val="left"/>
              <w:rPr>
                <w:rFonts w:ascii="宋体" w:hAnsi="宋体"/>
                <w:szCs w:val="21"/>
              </w:rPr>
            </w:pPr>
            <w:r>
              <w:rPr>
                <w:rFonts w:hint="eastAsia" w:ascii="宋体" w:hAnsi="宋体"/>
                <w:szCs w:val="21"/>
              </w:rPr>
              <w:t>（3）发生一类障碍，每次扣 100 分；</w:t>
            </w:r>
          </w:p>
          <w:p>
            <w:pPr>
              <w:ind w:firstLine="420" w:firstLineChars="200"/>
              <w:jc w:val="left"/>
              <w:rPr>
                <w:rFonts w:ascii="宋体" w:hAnsi="宋体"/>
                <w:szCs w:val="21"/>
              </w:rPr>
            </w:pPr>
            <w:r>
              <w:rPr>
                <w:rFonts w:hint="eastAsia" w:ascii="宋体" w:hAnsi="宋体"/>
                <w:szCs w:val="21"/>
              </w:rPr>
              <w:t>（4）发生考核障碍，每次扣 100分。</w:t>
            </w:r>
          </w:p>
          <w:p>
            <w:pPr>
              <w:ind w:firstLine="420" w:firstLineChars="200"/>
              <w:jc w:val="left"/>
              <w:rPr>
                <w:rFonts w:ascii="宋体" w:hAnsi="宋体"/>
                <w:szCs w:val="21"/>
              </w:rPr>
            </w:pPr>
            <w:r>
              <w:rPr>
                <w:rFonts w:hint="eastAsia" w:ascii="宋体" w:hAnsi="宋体"/>
                <w:szCs w:val="21"/>
              </w:rPr>
              <w:t>4.在一个评定周期内，不发生一般以下环境污染事件。</w:t>
            </w:r>
          </w:p>
          <w:p>
            <w:pPr>
              <w:ind w:firstLine="420" w:firstLineChars="200"/>
              <w:jc w:val="left"/>
              <w:rPr>
                <w:rFonts w:ascii="宋体" w:hAnsi="宋体"/>
                <w:szCs w:val="21"/>
              </w:rPr>
            </w:pPr>
            <w:r>
              <w:rPr>
                <w:rFonts w:hint="eastAsia" w:ascii="宋体" w:hAnsi="宋体"/>
                <w:szCs w:val="21"/>
              </w:rPr>
              <w:t>（1）发生一般以下环境污染事件，每次扣 30 分；</w:t>
            </w:r>
          </w:p>
          <w:p>
            <w:pPr>
              <w:ind w:firstLine="420" w:firstLineChars="200"/>
              <w:jc w:val="left"/>
              <w:rPr>
                <w:rFonts w:ascii="宋体" w:hAnsi="宋体"/>
                <w:szCs w:val="21"/>
              </w:rPr>
            </w:pPr>
            <w:r>
              <w:rPr>
                <w:rFonts w:hint="eastAsia" w:ascii="宋体" w:hAnsi="宋体"/>
                <w:szCs w:val="21"/>
              </w:rPr>
              <w:t>（2）发生一般以上环境污染事件，每次扣 100 分。</w:t>
            </w:r>
          </w:p>
          <w:p>
            <w:pPr>
              <w:ind w:firstLine="420" w:firstLineChars="200"/>
              <w:jc w:val="left"/>
              <w:rPr>
                <w:rFonts w:ascii="宋体" w:hAnsi="宋体"/>
                <w:szCs w:val="21"/>
              </w:rPr>
            </w:pPr>
            <w:r>
              <w:rPr>
                <w:rFonts w:hint="eastAsia" w:ascii="宋体" w:hAnsi="宋体"/>
                <w:szCs w:val="21"/>
              </w:rPr>
              <w:t>5.在一个评定周期内，不发生未遂事件。发生未遂，每次扣 3 分。</w:t>
            </w:r>
          </w:p>
          <w:p>
            <w:pPr>
              <w:ind w:firstLine="420" w:firstLineChars="200"/>
              <w:jc w:val="left"/>
              <w:rPr>
                <w:rFonts w:ascii="宋体" w:hAnsi="宋体"/>
                <w:szCs w:val="21"/>
              </w:rPr>
            </w:pPr>
            <w:r>
              <w:rPr>
                <w:rFonts w:hint="eastAsia" w:ascii="宋体" w:hAnsi="宋体"/>
                <w:szCs w:val="21"/>
              </w:rPr>
              <w:t>6.在一个评定周期内，不发生治安事件。发生外包单位人员滋事、斗殴造成的治安事件，每次扣 2分。</w:t>
            </w:r>
          </w:p>
          <w:p>
            <w:pPr>
              <w:ind w:firstLine="420" w:firstLineChars="200"/>
              <w:jc w:val="left"/>
              <w:rPr>
                <w:rFonts w:ascii="宋体" w:hAnsi="宋体"/>
                <w:szCs w:val="21"/>
              </w:rPr>
            </w:pPr>
            <w:r>
              <w:rPr>
                <w:rFonts w:hint="eastAsia" w:ascii="宋体" w:hAnsi="宋体"/>
                <w:szCs w:val="21"/>
              </w:rPr>
              <w:t>7.当外包单位非主要责任时，扣分减半。</w:t>
            </w:r>
          </w:p>
          <w:p>
            <w:pPr>
              <w:ind w:firstLine="420" w:firstLineChars="200"/>
              <w:jc w:val="left"/>
              <w:rPr>
                <w:rFonts w:ascii="宋体" w:hAnsi="宋体"/>
                <w:szCs w:val="21"/>
              </w:rPr>
            </w:pPr>
            <w:r>
              <w:rPr>
                <w:rFonts w:hint="eastAsia" w:ascii="宋体" w:hAnsi="宋体"/>
                <w:szCs w:val="21"/>
              </w:rPr>
              <w:t>8.若连续发生同一类型事件或事故，或者在同一项目中连续出现不安全情况，每次加扣 10%。</w:t>
            </w:r>
          </w:p>
          <w:p>
            <w:pPr>
              <w:ind w:firstLine="420" w:firstLineChars="200"/>
              <w:jc w:val="left"/>
              <w:rPr>
                <w:rFonts w:ascii="宋体" w:hAnsi="宋体"/>
                <w:szCs w:val="21"/>
              </w:rPr>
            </w:pPr>
            <w:r>
              <w:rPr>
                <w:rFonts w:hint="eastAsia" w:ascii="宋体" w:hAnsi="宋体"/>
                <w:szCs w:val="21"/>
              </w:rPr>
              <w:t>9.外包单位发生未列入本表范围的安全生产事故（事件），可参照本表扣分标准确定扣分值。</w:t>
            </w:r>
          </w:p>
          <w:p>
            <w:pPr>
              <w:ind w:firstLine="420" w:firstLineChars="200"/>
              <w:jc w:val="left"/>
              <w:rPr>
                <w:rFonts w:ascii="宋体" w:hAnsi="宋体"/>
                <w:szCs w:val="21"/>
              </w:rPr>
            </w:pPr>
            <w:r>
              <w:rPr>
                <w:rFonts w:hint="eastAsia" w:ascii="宋体" w:hAnsi="宋体"/>
                <w:szCs w:val="21"/>
              </w:rPr>
              <w:t>10.外包单位若“事故情况”有扣分，请在本页空白处简短说明扣分原因。</w:t>
            </w:r>
          </w:p>
        </w:tc>
        <w:tc>
          <w:tcPr>
            <w:tcW w:w="709" w:type="dxa"/>
            <w:gridSpan w:val="2"/>
            <w:tcBorders>
              <w:top w:val="single" w:color="auto" w:sz="4" w:space="0"/>
              <w:lef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728" w:type="dxa"/>
            <w:vMerge w:val="continue"/>
            <w:tcBorders>
              <w:right w:val="single" w:color="auto" w:sz="4" w:space="0"/>
            </w:tcBorders>
          </w:tcPr>
          <w:p>
            <w:pPr>
              <w:rPr>
                <w:rFonts w:ascii="仿宋_GB2312" w:eastAsia="仿宋_GB2312"/>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ascii="宋体" w:hAnsi="宋体"/>
                <w:szCs w:val="21"/>
              </w:rPr>
              <w:t>2</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违章</w:t>
            </w:r>
          </w:p>
          <w:p>
            <w:pPr>
              <w:jc w:val="center"/>
              <w:rPr>
                <w:rFonts w:ascii="宋体"/>
                <w:szCs w:val="21"/>
              </w:rPr>
            </w:pPr>
            <w:r>
              <w:rPr>
                <w:rFonts w:hint="eastAsia" w:ascii="宋体" w:hAnsi="宋体" w:cs="宋体"/>
                <w:szCs w:val="21"/>
              </w:rPr>
              <w:t>数量</w:t>
            </w:r>
          </w:p>
        </w:tc>
        <w:tc>
          <w:tcPr>
            <w:tcW w:w="6551" w:type="dxa"/>
            <w:gridSpan w:val="5"/>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不发生违章，即“0”，则完成考核指标；发生违章，按《外包工程（项目）安全管理办法》相关标准的10%进行扣减。</w:t>
            </w:r>
          </w:p>
        </w:tc>
        <w:tc>
          <w:tcPr>
            <w:tcW w:w="709" w:type="dxa"/>
            <w:gridSpan w:val="2"/>
            <w:tcBorders>
              <w:top w:val="single" w:color="auto" w:sz="4" w:space="0"/>
              <w:left w:val="single" w:color="auto" w:sz="4" w:space="0"/>
            </w:tcBorders>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728" w:type="dxa"/>
            <w:vMerge w:val="continue"/>
            <w:tcBorders>
              <w:right w:val="single" w:color="auto" w:sz="4" w:space="0"/>
            </w:tcBorders>
          </w:tcPr>
          <w:p>
            <w:pPr>
              <w:rPr>
                <w:rFonts w:ascii="仿宋_GB2312" w:eastAsia="仿宋_GB2312"/>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szCs w:val="21"/>
              </w:rPr>
            </w:pPr>
            <w:r>
              <w:rPr>
                <w:rFonts w:hint="eastAsia" w:ascii="宋体"/>
                <w:szCs w:val="21"/>
              </w:rPr>
              <w:t>隐患发现率</w:t>
            </w:r>
          </w:p>
        </w:tc>
        <w:tc>
          <w:tcPr>
            <w:tcW w:w="6551" w:type="dxa"/>
            <w:gridSpan w:val="5"/>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考核周期内隐患发现率100%，则完成考核指标；反之，每次视情况扣1-5分。</w:t>
            </w:r>
          </w:p>
        </w:tc>
        <w:tc>
          <w:tcPr>
            <w:tcW w:w="709" w:type="dxa"/>
            <w:gridSpan w:val="2"/>
            <w:tcBorders>
              <w:top w:val="single" w:color="auto" w:sz="4" w:space="0"/>
              <w:left w:val="single" w:color="auto" w:sz="4" w:space="0"/>
            </w:tcBorders>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728" w:type="dxa"/>
            <w:vMerge w:val="continue"/>
            <w:tcBorders>
              <w:right w:val="single" w:color="auto" w:sz="4" w:space="0"/>
            </w:tcBorders>
          </w:tcPr>
          <w:p>
            <w:pPr>
              <w:rPr>
                <w:rFonts w:ascii="仿宋_GB2312" w:eastAsia="仿宋_GB2312"/>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szCs w:val="21"/>
              </w:rPr>
            </w:pPr>
            <w:r>
              <w:rPr>
                <w:rFonts w:hint="eastAsia" w:ascii="宋体"/>
                <w:szCs w:val="21"/>
              </w:rPr>
              <w:t>缺陷消除率</w:t>
            </w:r>
          </w:p>
        </w:tc>
        <w:tc>
          <w:tcPr>
            <w:tcW w:w="6551" w:type="dxa"/>
            <w:gridSpan w:val="5"/>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考核周期内所有缺陷均按规定消除，即“100%”，则完成考核指标；反之，每次视情况扣1-5分。</w:t>
            </w:r>
          </w:p>
        </w:tc>
        <w:tc>
          <w:tcPr>
            <w:tcW w:w="709" w:type="dxa"/>
            <w:gridSpan w:val="2"/>
            <w:tcBorders>
              <w:top w:val="single" w:color="auto" w:sz="4" w:space="0"/>
              <w:left w:val="single" w:color="auto" w:sz="4" w:space="0"/>
            </w:tcBorders>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728" w:type="dxa"/>
            <w:vMerge w:val="continue"/>
            <w:tcBorders>
              <w:right w:val="single" w:color="auto" w:sz="4" w:space="0"/>
            </w:tcBorders>
          </w:tcPr>
          <w:p>
            <w:pPr>
              <w:rPr>
                <w:rFonts w:ascii="仿宋_GB2312" w:eastAsia="仿宋_GB2312"/>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szCs w:val="21"/>
              </w:rPr>
            </w:pPr>
            <w:r>
              <w:rPr>
                <w:rFonts w:hint="eastAsia" w:ascii="宋体"/>
                <w:szCs w:val="21"/>
              </w:rPr>
              <w:t>风险作业管控到位率</w:t>
            </w:r>
          </w:p>
        </w:tc>
        <w:tc>
          <w:tcPr>
            <w:tcW w:w="6551" w:type="dxa"/>
            <w:gridSpan w:val="5"/>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考核周期内所有作业风险管控措施均按技术规范书或该风险作业相关要求落实，即“100%”，则完成考核指标；反之，每次视情况扣1-10分。</w:t>
            </w:r>
          </w:p>
        </w:tc>
        <w:tc>
          <w:tcPr>
            <w:tcW w:w="709" w:type="dxa"/>
            <w:gridSpan w:val="2"/>
            <w:tcBorders>
              <w:top w:val="single" w:color="auto" w:sz="4" w:space="0"/>
              <w:left w:val="single" w:color="auto" w:sz="4" w:space="0"/>
            </w:tcBorders>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728" w:type="dxa"/>
            <w:vMerge w:val="continue"/>
            <w:tcBorders>
              <w:right w:val="single" w:color="auto" w:sz="4" w:space="0"/>
            </w:tcBorders>
          </w:tcPr>
          <w:p>
            <w:pPr>
              <w:rPr>
                <w:rFonts w:ascii="仿宋_GB2312" w:eastAsia="仿宋_GB2312"/>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6</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szCs w:val="21"/>
              </w:rPr>
            </w:pPr>
            <w:r>
              <w:rPr>
                <w:rFonts w:hint="eastAsia" w:ascii="宋体"/>
                <w:szCs w:val="21"/>
              </w:rPr>
              <w:t>主要人员到岗率</w:t>
            </w:r>
          </w:p>
        </w:tc>
        <w:tc>
          <w:tcPr>
            <w:tcW w:w="6551" w:type="dxa"/>
            <w:gridSpan w:val="5"/>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考核周期内主要人员到岗情况均符合合同规定条款，即“100%”，则完成考核指标；反之，每次视情况扣1-3分。</w:t>
            </w:r>
          </w:p>
        </w:tc>
        <w:tc>
          <w:tcPr>
            <w:tcW w:w="709" w:type="dxa"/>
            <w:gridSpan w:val="2"/>
            <w:tcBorders>
              <w:top w:val="single" w:color="auto" w:sz="4" w:space="0"/>
              <w:left w:val="single" w:color="auto" w:sz="4" w:space="0"/>
            </w:tcBorders>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728" w:type="dxa"/>
            <w:vMerge w:val="continue"/>
            <w:tcBorders>
              <w:right w:val="single" w:color="auto" w:sz="4" w:space="0"/>
            </w:tcBorders>
          </w:tcPr>
          <w:p>
            <w:pPr>
              <w:rPr>
                <w:rFonts w:ascii="仿宋_GB2312" w:eastAsia="仿宋_GB2312"/>
                <w:szCs w:val="21"/>
              </w:rPr>
            </w:pPr>
          </w:p>
        </w:tc>
        <w:tc>
          <w:tcPr>
            <w:tcW w:w="38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7</w:t>
            </w:r>
          </w:p>
        </w:tc>
        <w:tc>
          <w:tcPr>
            <w:tcW w:w="1029" w:type="dxa"/>
            <w:gridSpan w:val="3"/>
            <w:tcBorders>
              <w:top w:val="single" w:color="auto" w:sz="4" w:space="0"/>
              <w:left w:val="single" w:color="auto" w:sz="4" w:space="0"/>
              <w:right w:val="single" w:color="auto" w:sz="4" w:space="0"/>
            </w:tcBorders>
            <w:vAlign w:val="center"/>
          </w:tcPr>
          <w:p>
            <w:pPr>
              <w:jc w:val="center"/>
              <w:rPr>
                <w:rFonts w:ascii="宋体"/>
                <w:szCs w:val="21"/>
              </w:rPr>
            </w:pPr>
            <w:r>
              <w:rPr>
                <w:rFonts w:hint="eastAsia" w:ascii="宋体"/>
                <w:szCs w:val="21"/>
              </w:rPr>
              <w:t>其他违章情形</w:t>
            </w:r>
          </w:p>
        </w:tc>
        <w:tc>
          <w:tcPr>
            <w:tcW w:w="6551" w:type="dxa"/>
            <w:gridSpan w:val="5"/>
            <w:tcBorders>
              <w:top w:val="single" w:color="auto" w:sz="4" w:space="0"/>
              <w:left w:val="single" w:color="auto" w:sz="4" w:space="0"/>
              <w:right w:val="single" w:color="auto" w:sz="4" w:space="0"/>
            </w:tcBorders>
            <w:vAlign w:val="center"/>
          </w:tcPr>
          <w:p>
            <w:pPr>
              <w:ind w:firstLine="420" w:firstLineChars="200"/>
              <w:jc w:val="left"/>
              <w:rPr>
                <w:rFonts w:cs="Times New Roman" w:asciiTheme="minorEastAsia" w:hAnsiTheme="minorEastAsia"/>
                <w:szCs w:val="21"/>
              </w:rPr>
            </w:pPr>
            <w:r>
              <w:rPr>
                <w:rFonts w:hint="eastAsia" w:cs="Times New Roman" w:asciiTheme="minorEastAsia" w:hAnsiTheme="minorEastAsia"/>
                <w:szCs w:val="21"/>
              </w:rPr>
              <w:t>1.本项目作业人员薪酬问题：</w:t>
            </w:r>
          </w:p>
          <w:p>
            <w:pPr>
              <w:ind w:firstLine="420" w:firstLineChars="200"/>
              <w:jc w:val="left"/>
              <w:rPr>
                <w:rFonts w:cs="Times New Roman" w:asciiTheme="minorEastAsia" w:hAnsiTheme="minorEastAsia"/>
                <w:szCs w:val="21"/>
              </w:rPr>
            </w:pPr>
            <w:r>
              <w:rPr>
                <w:rFonts w:hint="eastAsia" w:cs="Times New Roman" w:asciiTheme="minorEastAsia" w:hAnsiTheme="minorEastAsia"/>
                <w:szCs w:val="21"/>
              </w:rPr>
              <w:t>（1）乙方未按时足额支付作业人员工资，每发生1人次扣1分；</w:t>
            </w:r>
          </w:p>
          <w:p>
            <w:pPr>
              <w:ind w:firstLine="420" w:firstLineChars="200"/>
              <w:jc w:val="left"/>
              <w:rPr>
                <w:rFonts w:cs="Times New Roman" w:asciiTheme="minorEastAsia" w:hAnsiTheme="minorEastAsia"/>
                <w:szCs w:val="21"/>
              </w:rPr>
            </w:pPr>
            <w:r>
              <w:rPr>
                <w:rFonts w:hint="eastAsia" w:cs="Times New Roman" w:asciiTheme="minorEastAsia" w:hAnsiTheme="minorEastAsia"/>
                <w:szCs w:val="21"/>
              </w:rPr>
              <w:t>（2）因欠薪引起投诉/检举/诉讼的，每发生一起扣10分；</w:t>
            </w:r>
          </w:p>
          <w:p>
            <w:pPr>
              <w:ind w:firstLine="420" w:firstLineChars="200"/>
              <w:jc w:val="left"/>
              <w:rPr>
                <w:rFonts w:cs="Times New Roman" w:asciiTheme="minorEastAsia" w:hAnsiTheme="minorEastAsia"/>
                <w:szCs w:val="21"/>
              </w:rPr>
            </w:pPr>
            <w:r>
              <w:rPr>
                <w:rFonts w:hint="eastAsia" w:cs="Times New Roman" w:asciiTheme="minorEastAsia" w:hAnsiTheme="minorEastAsia"/>
                <w:szCs w:val="21"/>
              </w:rPr>
              <w:t>（3）因欠薪问题引发工人罢工/闹事等影响本合同履行或引起维稳问题的，每发生一起扣20分。</w:t>
            </w:r>
          </w:p>
          <w:p>
            <w:pPr>
              <w:ind w:firstLine="420" w:firstLineChars="200"/>
              <w:jc w:val="left"/>
              <w:rPr>
                <w:rFonts w:hint="eastAsia" w:cs="Times New Roman" w:asciiTheme="minorEastAsia" w:hAnsiTheme="minorEastAsia"/>
                <w:szCs w:val="21"/>
              </w:rPr>
            </w:pPr>
            <w:r>
              <w:rPr>
                <w:rFonts w:hint="eastAsia" w:cs="Times New Roman" w:asciiTheme="minorEastAsia" w:hAnsiTheme="minorEastAsia"/>
                <w:szCs w:val="21"/>
              </w:rPr>
              <w:t>2.本项目有关受约谈现象：因乙方安全管理不到位，被发包方、发包方上级单位以及主管机关约谈，每次扣10分。</w:t>
            </w:r>
          </w:p>
          <w:p>
            <w:pPr>
              <w:ind w:firstLine="420" w:firstLineChars="200"/>
              <w:jc w:val="left"/>
              <w:rPr>
                <w:rFonts w:cs="Times New Roman" w:asciiTheme="minorEastAsia" w:hAnsiTheme="minorEastAsia"/>
                <w:szCs w:val="21"/>
              </w:rPr>
            </w:pPr>
            <w:r>
              <w:rPr>
                <w:rFonts w:hint="eastAsia" w:cs="Times New Roman" w:asciiTheme="minorEastAsia" w:hAnsiTheme="minorEastAsia"/>
                <w:szCs w:val="21"/>
              </w:rPr>
              <w:t>3.本项目有关受主管机关处罚现象：因乙方原因造成发包方公司主管机关处罚，每次视情况扣20-50分。</w:t>
            </w:r>
          </w:p>
        </w:tc>
        <w:tc>
          <w:tcPr>
            <w:tcW w:w="709" w:type="dxa"/>
            <w:gridSpan w:val="2"/>
            <w:tcBorders>
              <w:top w:val="single" w:color="auto" w:sz="4" w:space="0"/>
              <w:left w:val="single" w:color="auto" w:sz="4" w:space="0"/>
            </w:tcBorders>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9406" w:type="dxa"/>
            <w:gridSpan w:val="12"/>
            <w:tcBorders>
              <w:top w:val="single" w:color="auto" w:sz="4" w:space="0"/>
            </w:tcBorders>
            <w:vAlign w:val="center"/>
          </w:tcPr>
          <w:p>
            <w:pPr>
              <w:jc w:val="left"/>
              <w:rPr>
                <w:rFonts w:ascii="仿宋_GB2312" w:eastAsia="仿宋_GB2312"/>
                <w:szCs w:val="21"/>
              </w:rPr>
            </w:pPr>
            <w:bookmarkStart w:id="0" w:name="_GoBack"/>
            <w:r>
              <w:rPr>
                <w:rFonts w:hint="eastAsia" w:ascii="宋体" w:hAnsi="宋体"/>
                <w:b/>
                <w:szCs w:val="21"/>
              </w:rPr>
              <w:t>安全绩效考核得分</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 w:hRule="atLeast"/>
          <w:jc w:val="center"/>
        </w:trPr>
        <w:tc>
          <w:tcPr>
            <w:tcW w:w="9406" w:type="dxa"/>
            <w:gridSpan w:val="12"/>
            <w:tcBorders>
              <w:top w:val="single" w:color="auto" w:sz="4" w:space="0"/>
            </w:tcBorders>
          </w:tcPr>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考评人员：                                         考评日期：</w:t>
            </w:r>
          </w:p>
          <w:p>
            <w:pPr>
              <w:rPr>
                <w:rFonts w:ascii="仿宋_GB2312" w:eastAsia="仿宋_GB2312"/>
                <w:szCs w:val="21"/>
              </w:rPr>
            </w:pPr>
          </w:p>
        </w:tc>
      </w:tr>
    </w:tbl>
    <w:p>
      <w:pPr>
        <w:jc w:val="left"/>
        <w:rPr>
          <w:rFonts w:cs="Times New Roman" w:asciiTheme="minorEastAsia" w:hAnsiTheme="minorEastAsia"/>
          <w:szCs w:val="21"/>
        </w:rPr>
      </w:pPr>
      <w:r>
        <w:rPr>
          <w:rFonts w:hint="eastAsia" w:asciiTheme="minorEastAsia" w:hAnsiTheme="minorEastAsia"/>
          <w:szCs w:val="21"/>
        </w:rPr>
        <w:t>备注：</w:t>
      </w:r>
    </w:p>
    <w:p>
      <w:pPr>
        <w:ind w:firstLine="420" w:firstLineChars="200"/>
        <w:jc w:val="left"/>
        <w:rPr>
          <w:rFonts w:asciiTheme="minorEastAsia" w:hAnsiTheme="minorEastAsia"/>
          <w:szCs w:val="21"/>
        </w:rPr>
      </w:pPr>
      <w:r>
        <w:rPr>
          <w:rFonts w:hint="eastAsia" w:asciiTheme="minorEastAsia" w:hAnsiTheme="minorEastAsia"/>
          <w:szCs w:val="21"/>
        </w:rPr>
        <w:t>1. 6项考核指标无扣减分数，则安全绩效考核得分为100分，即全额发放安全绩效考核金，凡考核指标有扣分的，安全绩效考核金发放按相应比例扣减。（如得分考核96分，返回的考核金=合同设定的考核金×96%）。</w:t>
      </w:r>
    </w:p>
    <w:p>
      <w:pPr>
        <w:ind w:firstLine="420" w:firstLineChars="200"/>
        <w:jc w:val="left"/>
        <w:rPr>
          <w:rFonts w:asciiTheme="minorEastAsia" w:hAnsiTheme="minorEastAsia"/>
          <w:szCs w:val="21"/>
        </w:rPr>
      </w:pPr>
      <w:r>
        <w:rPr>
          <w:rFonts w:hint="eastAsia" w:asciiTheme="minorEastAsia" w:hAnsiTheme="minorEastAsia"/>
          <w:szCs w:val="21"/>
        </w:rPr>
        <w:t>2.以上考核费用不包括因乙方原因对甲方造成的损失赔偿费用。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EzNjNmMzIwNzcxN2UxMDU1OWNkM2RkOTc4NTk3NWEifQ=="/>
  </w:docVars>
  <w:rsids>
    <w:rsidRoot w:val="00AC2162"/>
    <w:rsid w:val="0031650F"/>
    <w:rsid w:val="007E2BDA"/>
    <w:rsid w:val="008A0C1E"/>
    <w:rsid w:val="008A5D91"/>
    <w:rsid w:val="00AC2162"/>
    <w:rsid w:val="29BD4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1299</Words>
  <Characters>1379</Characters>
  <Lines>11</Lines>
  <Paragraphs>3</Paragraphs>
  <TotalTime>1</TotalTime>
  <ScaleCrop>false</ScaleCrop>
  <LinksUpToDate>false</LinksUpToDate>
  <CharactersWithSpaces>1453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2024-05-09T02:59:00Z</dcterms:created>
  <dc:creator>sunnyxinr</dc:creator>
  <cp:lastModifiedBy>钱鑫</cp:lastModifiedBy>
  <dcterms:modified xsi:type="dcterms:W3CDTF">2024-05-31T02:49:13Z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6B1D5C65172B477292549149D976BC22_12</vt:lpwstr>
  </property>
</Properties>
</file>