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tbl>
      <w:tblPr>
        <w:tblStyle w:val="12"/>
        <w:tblW w:w="954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40"/>
      </w:tblGrid>
      <w:tr w14:paraId="22A13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0" w:hRule="atLeast"/>
        </w:trPr>
        <w:tc>
          <w:tcPr>
            <w:tcW w:w="9540" w:type="dxa"/>
          </w:tcPr>
          <w:p w14:paraId="7B381100">
            <w:pPr>
              <w:adjustRightInd w:val="0"/>
              <w:snapToGrid w:val="0"/>
              <w:spacing w:line="440" w:lineRule="exact"/>
              <w:ind w:firstLine="420" w:firstLineChars="200"/>
              <w:rPr>
                <w:rFonts w:asciiTheme="minorEastAsia" w:hAnsiTheme="minorEastAsia" w:eastAsiaTheme="minorEastAsia"/>
                <w:b/>
                <w:szCs w:val="21"/>
                <w:highlight w:val="none"/>
              </w:rPr>
            </w:pPr>
            <w:r>
              <w:rPr>
                <w:rFonts w:asciiTheme="minorEastAsia" w:hAnsiTheme="minorEastAsia" w:eastAsiaTheme="minorEastAsia"/>
                <w:b/>
                <w:szCs w:val="21"/>
                <w:highlight w:val="none"/>
              </w:rPr>
              <w:t>一</w:t>
            </w:r>
            <w:r>
              <w:rPr>
                <w:rFonts w:hint="eastAsia" w:asciiTheme="minorEastAsia" w:hAnsiTheme="minorEastAsia" w:eastAsiaTheme="minorEastAsia"/>
                <w:b/>
                <w:szCs w:val="21"/>
                <w:highlight w:val="none"/>
                <w:lang w:val="en-US" w:eastAsia="zh-CN"/>
              </w:rPr>
              <w:t>.</w:t>
            </w:r>
            <w:r>
              <w:rPr>
                <w:rFonts w:asciiTheme="minorEastAsia" w:hAnsiTheme="minorEastAsia" w:eastAsiaTheme="minorEastAsia"/>
                <w:b/>
                <w:szCs w:val="21"/>
                <w:highlight w:val="none"/>
              </w:rPr>
              <w:t>工程概况：</w:t>
            </w:r>
          </w:p>
          <w:p w14:paraId="0C0DCE0D">
            <w:pPr>
              <w:adjustRightInd w:val="0"/>
              <w:snapToGrid w:val="0"/>
              <w:spacing w:line="440" w:lineRule="exact"/>
              <w:ind w:firstLine="420" w:firstLineChars="200"/>
              <w:rPr>
                <w:rFonts w:hint="eastAsia" w:ascii="Times New Roman" w:hAnsi="Times New Roman" w:eastAsia="宋体" w:cs="Times New Roman"/>
                <w:sz w:val="21"/>
                <w:szCs w:val="21"/>
                <w:highlight w:val="none"/>
                <w:lang w:val="zh-CN" w:eastAsia="zh-CN"/>
              </w:rPr>
            </w:pPr>
            <w:r>
              <w:rPr>
                <w:rFonts w:hint="eastAsia" w:ascii="Times New Roman" w:hAnsi="Times New Roman" w:eastAsia="宋体" w:cs="Times New Roman"/>
                <w:sz w:val="21"/>
                <w:szCs w:val="21"/>
                <w:highlight w:val="none"/>
                <w:lang w:val="en-US" w:eastAsia="zh-CN"/>
              </w:rPr>
              <w:t>1</w:t>
            </w:r>
            <w:r>
              <w:rPr>
                <w:rFonts w:hint="eastAsia" w:cs="Times New Roman"/>
                <w:sz w:val="21"/>
                <w:szCs w:val="21"/>
                <w:highlight w:val="none"/>
                <w:lang w:val="en-US" w:eastAsia="zh-CN"/>
              </w:rPr>
              <w:t>.</w:t>
            </w:r>
            <w:r>
              <w:rPr>
                <w:rFonts w:hint="eastAsia" w:ascii="Times New Roman" w:hAnsi="Times New Roman" w:eastAsia="宋体" w:cs="Times New Roman"/>
                <w:sz w:val="21"/>
                <w:szCs w:val="21"/>
                <w:highlight w:val="none"/>
                <w:lang w:val="en-US" w:eastAsia="zh-CN"/>
              </w:rPr>
              <w:t>工程</w:t>
            </w:r>
            <w:r>
              <w:rPr>
                <w:rFonts w:hint="eastAsia" w:ascii="Times New Roman" w:hAnsi="Times New Roman" w:eastAsia="宋体" w:cs="Times New Roman"/>
                <w:sz w:val="21"/>
                <w:szCs w:val="21"/>
                <w:highlight w:val="none"/>
                <w:lang w:val="zh-CN" w:eastAsia="zh-CN"/>
              </w:rPr>
              <w:t>名称：</w:t>
            </w:r>
            <w:r>
              <w:rPr>
                <w:rFonts w:hint="eastAsia" w:ascii="Times New Roman" w:hAnsi="Times New Roman" w:eastAsia="宋体" w:cs="Times New Roman"/>
                <w:sz w:val="21"/>
                <w:szCs w:val="21"/>
                <w:highlight w:val="none"/>
                <w:lang w:val="en-US" w:eastAsia="zh-CN"/>
              </w:rPr>
              <w:t>台州临港热电有限公司扩建项目厂区零星工程</w:t>
            </w:r>
            <w:r>
              <w:rPr>
                <w:rFonts w:hint="eastAsia" w:ascii="Times New Roman" w:hAnsi="Times New Roman" w:eastAsia="宋体" w:cs="Times New Roman"/>
                <w:sz w:val="21"/>
                <w:szCs w:val="21"/>
                <w:highlight w:val="none"/>
                <w:lang w:val="zh-CN" w:eastAsia="zh-CN"/>
              </w:rPr>
              <w:t>。</w:t>
            </w:r>
          </w:p>
          <w:p w14:paraId="6A4FF00B">
            <w:pPr>
              <w:adjustRightInd w:val="0"/>
              <w:snapToGrid w:val="0"/>
              <w:spacing w:line="440" w:lineRule="exact"/>
              <w:ind w:firstLine="420" w:firstLineChars="200"/>
              <w:rPr>
                <w:rFonts w:hint="eastAsia" w:ascii="Times New Roman" w:hAnsi="Times New Roman" w:eastAsia="宋体" w:cs="Times New Roman"/>
                <w:sz w:val="21"/>
                <w:szCs w:val="21"/>
                <w:highlight w:val="none"/>
                <w:lang w:val="zh-CN" w:eastAsia="zh-CN"/>
              </w:rPr>
            </w:pPr>
            <w:r>
              <w:rPr>
                <w:rFonts w:hint="eastAsia" w:ascii="Times New Roman" w:hAnsi="Times New Roman" w:eastAsia="宋体" w:cs="Times New Roman"/>
                <w:sz w:val="21"/>
                <w:szCs w:val="21"/>
                <w:highlight w:val="none"/>
                <w:lang w:val="zh-CN" w:eastAsia="zh-CN"/>
              </w:rPr>
              <w:t>2</w:t>
            </w:r>
            <w:r>
              <w:rPr>
                <w:rFonts w:hint="eastAsia" w:cs="Times New Roman"/>
                <w:sz w:val="21"/>
                <w:szCs w:val="21"/>
                <w:highlight w:val="none"/>
                <w:lang w:val="en-US" w:eastAsia="zh-CN"/>
              </w:rPr>
              <w:t>.</w:t>
            </w:r>
            <w:r>
              <w:rPr>
                <w:rFonts w:hint="eastAsia" w:ascii="Times New Roman" w:hAnsi="Times New Roman" w:eastAsia="宋体" w:cs="Times New Roman"/>
                <w:sz w:val="21"/>
                <w:szCs w:val="21"/>
                <w:highlight w:val="none"/>
                <w:lang w:val="zh-CN" w:eastAsia="zh-CN"/>
              </w:rPr>
              <w:t>工程地点：</w:t>
            </w:r>
            <w:r>
              <w:rPr>
                <w:rFonts w:hint="eastAsia" w:ascii="Times New Roman" w:hAnsi="Times New Roman" w:eastAsia="宋体" w:cs="Times New Roman"/>
                <w:sz w:val="21"/>
                <w:szCs w:val="21"/>
                <w:highlight w:val="none"/>
                <w:lang w:val="en-US" w:eastAsia="zh-CN"/>
              </w:rPr>
              <w:t>浙江省化学原料药基地临海园区，东海第四大道北侧、南洋六路西侧</w:t>
            </w:r>
            <w:r>
              <w:rPr>
                <w:rFonts w:hint="eastAsia" w:ascii="Times New Roman" w:hAnsi="Times New Roman" w:eastAsia="宋体" w:cs="Times New Roman"/>
                <w:sz w:val="21"/>
                <w:szCs w:val="21"/>
                <w:highlight w:val="none"/>
                <w:lang w:val="zh-CN" w:eastAsia="zh-CN"/>
              </w:rPr>
              <w:t>。</w:t>
            </w:r>
          </w:p>
          <w:p w14:paraId="05920493">
            <w:pPr>
              <w:adjustRightInd w:val="0"/>
              <w:snapToGrid w:val="0"/>
              <w:spacing w:line="440" w:lineRule="exact"/>
              <w:ind w:firstLine="420" w:firstLineChars="200"/>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zh-CN" w:eastAsia="zh-CN"/>
              </w:rPr>
              <w:t>3</w:t>
            </w:r>
            <w:r>
              <w:rPr>
                <w:rFonts w:hint="eastAsia" w:cs="Times New Roman"/>
                <w:sz w:val="21"/>
                <w:szCs w:val="21"/>
                <w:highlight w:val="none"/>
                <w:lang w:val="en-US" w:eastAsia="zh-CN"/>
              </w:rPr>
              <w:t>.</w:t>
            </w:r>
            <w:r>
              <w:rPr>
                <w:rFonts w:hint="eastAsia" w:ascii="Times New Roman" w:hAnsi="Times New Roman" w:eastAsia="宋体" w:cs="Times New Roman"/>
                <w:sz w:val="21"/>
                <w:szCs w:val="21"/>
                <w:highlight w:val="none"/>
                <w:lang w:val="zh-CN" w:eastAsia="zh-CN"/>
              </w:rPr>
              <w:t>工程规模：</w:t>
            </w:r>
            <w:r>
              <w:rPr>
                <w:rFonts w:hint="eastAsia" w:ascii="Times New Roman" w:hAnsi="Times New Roman" w:eastAsia="宋体" w:cs="Times New Roman"/>
                <w:sz w:val="21"/>
                <w:szCs w:val="21"/>
                <w:highlight w:val="none"/>
                <w:lang w:val="en-US" w:eastAsia="zh-CN"/>
              </w:rPr>
              <w:t>扩建</w:t>
            </w:r>
            <w:bookmarkStart w:id="0" w:name="OLE_LINK6"/>
            <w:r>
              <w:rPr>
                <w:rFonts w:hint="eastAsia" w:ascii="Times New Roman" w:hAnsi="Times New Roman" w:eastAsia="宋体" w:cs="Times New Roman"/>
                <w:sz w:val="21"/>
                <w:szCs w:val="21"/>
                <w:highlight w:val="none"/>
                <w:lang w:val="en-US" w:eastAsia="zh-CN"/>
              </w:rPr>
              <w:t>1台240t/h高温高压循环流化床锅炉、1台30MW背压式汽轮发电机组，同步建设烟气脱硫、脱硝装置</w:t>
            </w:r>
            <w:bookmarkEnd w:id="0"/>
            <w:r>
              <w:rPr>
                <w:rFonts w:hint="eastAsia" w:ascii="Times New Roman" w:hAnsi="Times New Roman" w:eastAsia="宋体" w:cs="Times New Roman"/>
                <w:sz w:val="21"/>
                <w:szCs w:val="21"/>
                <w:highlight w:val="none"/>
                <w:lang w:val="zh-CN" w:eastAsia="zh-CN"/>
              </w:rPr>
              <w:t>；</w:t>
            </w:r>
            <w:r>
              <w:rPr>
                <w:rFonts w:hint="eastAsia" w:ascii="Times New Roman" w:hAnsi="Times New Roman" w:eastAsia="宋体" w:cs="Times New Roman"/>
                <w:sz w:val="21"/>
                <w:szCs w:val="21"/>
                <w:highlight w:val="none"/>
                <w:lang w:val="en-US" w:eastAsia="zh-CN"/>
              </w:rPr>
              <w:t>本项目为台州临港热电有限公司扩建项目厂区零星工程。</w:t>
            </w:r>
          </w:p>
          <w:p w14:paraId="67B607EE">
            <w:pPr>
              <w:autoSpaceDE w:val="0"/>
              <w:autoSpaceDN w:val="0"/>
              <w:adjustRightInd w:val="0"/>
              <w:snapToGrid w:val="0"/>
              <w:spacing w:line="440" w:lineRule="exact"/>
              <w:ind w:right="100" w:rightChars="48" w:firstLine="411" w:firstLineChars="196"/>
              <w:rPr>
                <w:rFonts w:asciiTheme="minorEastAsia" w:hAnsiTheme="minorEastAsia" w:eastAsiaTheme="minorEastAsia"/>
                <w:szCs w:val="21"/>
                <w:highlight w:val="none"/>
              </w:rPr>
            </w:pPr>
            <w:r>
              <w:rPr>
                <w:rFonts w:asciiTheme="minorEastAsia" w:hAnsiTheme="minorEastAsia" w:eastAsiaTheme="minorEastAsia"/>
                <w:b/>
                <w:szCs w:val="21"/>
                <w:highlight w:val="none"/>
              </w:rPr>
              <w:t>二</w:t>
            </w:r>
            <w:r>
              <w:rPr>
                <w:rFonts w:hint="eastAsia" w:asciiTheme="minorEastAsia" w:hAnsiTheme="minorEastAsia" w:eastAsiaTheme="minorEastAsia"/>
                <w:b/>
                <w:szCs w:val="21"/>
                <w:highlight w:val="none"/>
                <w:lang w:val="en-US" w:eastAsia="zh-CN"/>
              </w:rPr>
              <w:t>.</w:t>
            </w:r>
            <w:r>
              <w:rPr>
                <w:rFonts w:asciiTheme="minorEastAsia" w:hAnsiTheme="minorEastAsia" w:eastAsiaTheme="minorEastAsia"/>
                <w:b/>
                <w:szCs w:val="21"/>
                <w:highlight w:val="none"/>
              </w:rPr>
              <w:t>编制范围</w:t>
            </w:r>
          </w:p>
          <w:p w14:paraId="5C2026C7">
            <w:pPr>
              <w:adjustRightInd w:val="0"/>
              <w:snapToGrid w:val="0"/>
              <w:spacing w:line="440" w:lineRule="exact"/>
              <w:ind w:firstLine="420" w:firstLineChars="200"/>
              <w:rPr>
                <w:rFonts w:hint="eastAsia" w:ascii="Times New Roman" w:hAnsi="Times New Roman" w:eastAsia="宋体" w:cs="Times New Roman"/>
                <w:sz w:val="21"/>
                <w:szCs w:val="21"/>
                <w:highlight w:val="none"/>
                <w:lang w:val="zh-CN"/>
              </w:rPr>
            </w:pPr>
            <w:r>
              <w:rPr>
                <w:rFonts w:hint="eastAsia" w:ascii="Times New Roman" w:hAnsi="Times New Roman" w:eastAsia="宋体" w:cs="Times New Roman"/>
                <w:sz w:val="21"/>
                <w:szCs w:val="21"/>
                <w:highlight w:val="none"/>
                <w:lang w:val="en-US" w:eastAsia="zh-CN"/>
              </w:rPr>
              <w:t>总包单位办公楼、新建</w:t>
            </w:r>
            <w:r>
              <w:rPr>
                <w:rFonts w:hint="default" w:ascii="Times New Roman" w:hAnsi="Times New Roman" w:eastAsia="宋体" w:cs="Times New Roman"/>
                <w:sz w:val="21"/>
                <w:szCs w:val="21"/>
                <w:highlight w:val="none"/>
                <w:lang w:val="en-US" w:eastAsia="zh-CN"/>
              </w:rPr>
              <w:t>临时材料库（材料库、检修车间）</w:t>
            </w:r>
            <w:r>
              <w:rPr>
                <w:rFonts w:hint="eastAsia" w:ascii="Times New Roman" w:hAnsi="Times New Roman" w:eastAsia="宋体" w:cs="Times New Roman"/>
                <w:sz w:val="21"/>
                <w:szCs w:val="21"/>
                <w:highlight w:val="none"/>
                <w:lang w:val="en-US" w:eastAsia="zh-CN"/>
              </w:rPr>
              <w:t>、新建点火油库、施工场地永临结合道路、施工给排水系统、厂区临时围栏和围挡、厂区临时照明、</w:t>
            </w:r>
            <w:r>
              <w:rPr>
                <w:rFonts w:hint="default" w:ascii="Times New Roman" w:hAnsi="Times New Roman" w:eastAsia="宋体" w:cs="Times New Roman"/>
                <w:sz w:val="21"/>
                <w:szCs w:val="21"/>
                <w:highlight w:val="none"/>
                <w:lang w:val="en-US" w:eastAsia="zh-CN"/>
              </w:rPr>
              <w:t>施工出入口</w:t>
            </w:r>
            <w:r>
              <w:rPr>
                <w:rFonts w:hint="eastAsia" w:ascii="Times New Roman" w:hAnsi="Times New Roman" w:eastAsia="宋体" w:cs="Times New Roman"/>
                <w:sz w:val="21"/>
                <w:szCs w:val="21"/>
                <w:highlight w:val="none"/>
                <w:lang w:val="en-US" w:eastAsia="zh-CN"/>
              </w:rPr>
              <w:t>、</w:t>
            </w:r>
            <w:r>
              <w:rPr>
                <w:rFonts w:hint="eastAsia" w:cs="Times New Roman"/>
                <w:sz w:val="21"/>
                <w:szCs w:val="21"/>
                <w:highlight w:val="none"/>
                <w:lang w:val="en-US" w:eastAsia="zh-CN"/>
              </w:rPr>
              <w:t>五</w:t>
            </w:r>
            <w:r>
              <w:rPr>
                <w:rFonts w:hint="eastAsia" w:ascii="Times New Roman" w:hAnsi="Times New Roman" w:eastAsia="宋体" w:cs="Times New Roman"/>
                <w:sz w:val="21"/>
                <w:szCs w:val="21"/>
                <w:highlight w:val="none"/>
                <w:lang w:val="en-US" w:eastAsia="zh-CN"/>
              </w:rPr>
              <w:t>牌二图、其他零星工程、厂区部份拆除项目；具体范围及内容详见技术规范书、施工图纸及工程量清单等</w:t>
            </w:r>
            <w:r>
              <w:rPr>
                <w:rFonts w:hint="eastAsia" w:ascii="Times New Roman" w:hAnsi="Times New Roman" w:eastAsia="宋体" w:cs="Times New Roman"/>
                <w:sz w:val="21"/>
                <w:szCs w:val="21"/>
                <w:highlight w:val="none"/>
                <w:lang w:val="zh-CN"/>
              </w:rPr>
              <w:t>。</w:t>
            </w:r>
          </w:p>
          <w:p w14:paraId="6075F1BC">
            <w:pPr>
              <w:autoSpaceDE w:val="0"/>
              <w:autoSpaceDN w:val="0"/>
              <w:adjustRightInd w:val="0"/>
              <w:snapToGrid w:val="0"/>
              <w:spacing w:line="440" w:lineRule="exact"/>
              <w:ind w:right="100" w:rightChars="48" w:firstLine="411" w:firstLineChars="196"/>
              <w:rPr>
                <w:rFonts w:asciiTheme="minorEastAsia" w:hAnsiTheme="minorEastAsia" w:eastAsiaTheme="minorEastAsia"/>
                <w:b/>
                <w:szCs w:val="21"/>
                <w:highlight w:val="none"/>
              </w:rPr>
            </w:pPr>
            <w:r>
              <w:rPr>
                <w:rFonts w:asciiTheme="minorEastAsia" w:hAnsiTheme="minorEastAsia" w:eastAsiaTheme="minorEastAsia"/>
                <w:b/>
                <w:szCs w:val="21"/>
                <w:highlight w:val="none"/>
              </w:rPr>
              <w:t>三</w:t>
            </w:r>
            <w:r>
              <w:rPr>
                <w:rFonts w:hint="eastAsia" w:asciiTheme="minorEastAsia" w:hAnsiTheme="minorEastAsia" w:eastAsiaTheme="minorEastAsia"/>
                <w:b/>
                <w:szCs w:val="21"/>
                <w:highlight w:val="none"/>
                <w:lang w:val="en-US" w:eastAsia="zh-CN"/>
              </w:rPr>
              <w:t>.</w:t>
            </w:r>
            <w:r>
              <w:rPr>
                <w:rFonts w:asciiTheme="minorEastAsia" w:hAnsiTheme="minorEastAsia" w:eastAsiaTheme="minorEastAsia"/>
                <w:b/>
                <w:szCs w:val="21"/>
                <w:highlight w:val="none"/>
              </w:rPr>
              <w:t>编制依据</w:t>
            </w:r>
          </w:p>
          <w:p w14:paraId="09FD9835">
            <w:pPr>
              <w:adjustRightInd w:val="0"/>
              <w:snapToGrid w:val="0"/>
              <w:spacing w:line="440" w:lineRule="exact"/>
              <w:ind w:firstLine="420"/>
              <w:rPr>
                <w:rFonts w:hint="eastAsia" w:asciiTheme="minorEastAsia" w:hAnsiTheme="minorEastAsia" w:eastAsiaTheme="minorEastAsia"/>
                <w:color w:val="000000" w:themeColor="text1"/>
                <w:szCs w:val="21"/>
                <w:highlight w:val="none"/>
                <w:lang w:eastAsia="zh-CN"/>
                <w14:textFill>
                  <w14:solidFill>
                    <w14:schemeClr w14:val="tx1"/>
                  </w14:solidFill>
                </w14:textFill>
              </w:rPr>
            </w:pPr>
            <w:r>
              <w:rPr>
                <w:rFonts w:hint="eastAsia" w:asciiTheme="minorEastAsia" w:hAnsiTheme="minorEastAsia" w:eastAsiaTheme="minorEastAsia"/>
                <w:color w:val="000000" w:themeColor="text1"/>
                <w:szCs w:val="21"/>
                <w:highlight w:val="none"/>
                <w14:textFill>
                  <w14:solidFill>
                    <w14:schemeClr w14:val="tx1"/>
                  </w14:solidFill>
                </w14:textFill>
              </w:rPr>
              <w:t>1</w:t>
            </w:r>
            <w:r>
              <w:rPr>
                <w:rFonts w:hint="eastAsia" w:asciiTheme="minorEastAsia" w:hAnsiTheme="minorEastAsia" w:eastAsiaTheme="minorEastAsia"/>
                <w:color w:val="000000" w:themeColor="text1"/>
                <w:szCs w:val="21"/>
                <w:highlight w:val="none"/>
                <w:lang w:val="en-US" w:eastAsia="zh-CN"/>
                <w14:textFill>
                  <w14:solidFill>
                    <w14:schemeClr w14:val="tx1"/>
                  </w14:solidFill>
                </w14:textFill>
              </w:rPr>
              <w:t>.浙江东都建筑设计研究院有限公司和浙江城建煤气热电设计院股份有限公司</w:t>
            </w:r>
            <w:r>
              <w:rPr>
                <w:rFonts w:hint="eastAsia" w:cs="Times New Roman" w:asciiTheme="minorEastAsia" w:hAnsiTheme="minorEastAsia" w:eastAsiaTheme="minorEastAsia"/>
                <w:color w:val="000000" w:themeColor="text1"/>
                <w:szCs w:val="21"/>
                <w:highlight w:val="none"/>
                <w:lang w:val="en-US" w:eastAsia="zh-CN"/>
                <w14:textFill>
                  <w14:solidFill>
                    <w14:schemeClr w14:val="tx1"/>
                  </w14:solidFill>
                </w14:textFill>
              </w:rPr>
              <w:t>设计的工程设计图纸（电子版本）；</w:t>
            </w:r>
          </w:p>
          <w:p w14:paraId="095079FF">
            <w:pPr>
              <w:adjustRightInd w:val="0"/>
              <w:snapToGrid w:val="0"/>
              <w:spacing w:line="440" w:lineRule="exact"/>
              <w:ind w:firstLine="420"/>
              <w:rPr>
                <w:rFonts w:hint="eastAsia" w:cs="Times New Roman" w:asciiTheme="minorEastAsia" w:hAnsiTheme="minorEastAsia" w:eastAsiaTheme="minorEastAsia"/>
                <w:color w:val="000000" w:themeColor="text1"/>
                <w:szCs w:val="21"/>
                <w:highlight w:val="none"/>
                <w:lang w:val="en-US" w:eastAsia="zh-CN"/>
                <w14:textFill>
                  <w14:solidFill>
                    <w14:schemeClr w14:val="tx1"/>
                  </w14:solidFill>
                </w14:textFill>
              </w:rPr>
            </w:pPr>
            <w:r>
              <w:rPr>
                <w:rFonts w:hint="eastAsia" w:asciiTheme="minorEastAsia" w:hAnsiTheme="minorEastAsia" w:eastAsiaTheme="minorEastAsia"/>
                <w:color w:val="000000" w:themeColor="text1"/>
                <w:szCs w:val="21"/>
                <w:highlight w:val="none"/>
                <w14:textFill>
                  <w14:solidFill>
                    <w14:schemeClr w14:val="tx1"/>
                  </w14:solidFill>
                </w14:textFill>
              </w:rPr>
              <w:t>2</w:t>
            </w:r>
            <w:r>
              <w:rPr>
                <w:rFonts w:hint="eastAsia" w:asciiTheme="minorEastAsia" w:hAnsiTheme="minorEastAsia" w:eastAsiaTheme="minorEastAsia"/>
                <w:color w:val="000000" w:themeColor="text1"/>
                <w:szCs w:val="21"/>
                <w:highlight w:val="none"/>
                <w:lang w:val="en-US" w:eastAsia="zh-CN"/>
                <w14:textFill>
                  <w14:solidFill>
                    <w14:schemeClr w14:val="tx1"/>
                  </w14:solidFill>
                </w14:textFill>
              </w:rPr>
              <w:t>.</w:t>
            </w:r>
            <w:r>
              <w:rPr>
                <w:rFonts w:hint="eastAsia" w:asciiTheme="minorEastAsia" w:hAnsiTheme="minorEastAsia" w:eastAsiaTheme="minorEastAsia"/>
                <w:color w:val="000000" w:themeColor="text1"/>
                <w:szCs w:val="21"/>
                <w:highlight w:val="none"/>
                <w14:textFill>
                  <w14:solidFill>
                    <w14:schemeClr w14:val="tx1"/>
                  </w14:solidFill>
                </w14:textFill>
              </w:rPr>
              <w:t>工程招标</w:t>
            </w:r>
            <w:r>
              <w:rPr>
                <w:rFonts w:hint="eastAsia" w:cs="Times New Roman" w:asciiTheme="minorEastAsia" w:hAnsiTheme="minorEastAsia" w:eastAsiaTheme="minorEastAsia"/>
                <w:color w:val="000000" w:themeColor="text1"/>
                <w:szCs w:val="21"/>
                <w:highlight w:val="none"/>
                <w:lang w:val="en-US" w:eastAsia="zh-CN"/>
                <w14:textFill>
                  <w14:solidFill>
                    <w14:schemeClr w14:val="tx1"/>
                  </w14:solidFill>
                </w14:textFill>
              </w:rPr>
              <w:t>文件；</w:t>
            </w:r>
          </w:p>
          <w:p w14:paraId="78069456">
            <w:pPr>
              <w:adjustRightInd w:val="0"/>
              <w:snapToGrid w:val="0"/>
              <w:spacing w:line="440" w:lineRule="exact"/>
              <w:ind w:firstLine="420"/>
              <w:rPr>
                <w:rFonts w:hint="eastAsia" w:cs="Times New Roman" w:asciiTheme="minorEastAsia" w:hAnsiTheme="minorEastAsia" w:eastAsiaTheme="minorEastAsia"/>
                <w:color w:val="000000" w:themeColor="text1"/>
                <w:szCs w:val="21"/>
                <w:highlight w:val="none"/>
                <w:lang w:val="en-US" w:eastAsia="zh-CN"/>
                <w14:textFill>
                  <w14:solidFill>
                    <w14:schemeClr w14:val="tx1"/>
                  </w14:solidFill>
                </w14:textFill>
              </w:rPr>
            </w:pPr>
            <w:r>
              <w:rPr>
                <w:rFonts w:hint="eastAsia" w:cs="Times New Roman" w:asciiTheme="minorEastAsia" w:hAnsiTheme="minorEastAsia" w:eastAsiaTheme="minorEastAsia"/>
                <w:color w:val="000000" w:themeColor="text1"/>
                <w:szCs w:val="21"/>
                <w:highlight w:val="none"/>
                <w:lang w:val="en-US" w:eastAsia="zh-CN"/>
                <w14:textFill>
                  <w14:solidFill>
                    <w14:schemeClr w14:val="tx1"/>
                  </w14:solidFill>
                </w14:textFill>
              </w:rPr>
              <w:t>3.《台州临港热电有限公司扩建工程概念设计服务项目勘察报告》；</w:t>
            </w:r>
          </w:p>
          <w:p w14:paraId="2EB63132">
            <w:pPr>
              <w:adjustRightInd w:val="0"/>
              <w:snapToGrid w:val="0"/>
              <w:spacing w:line="440" w:lineRule="exact"/>
              <w:ind w:firstLine="420"/>
              <w:rPr>
                <w:rFonts w:hint="eastAsia" w:cs="Times New Roman" w:asciiTheme="minorEastAsia" w:hAnsiTheme="minorEastAsia" w:eastAsiaTheme="minorEastAsia"/>
                <w:color w:val="000000" w:themeColor="text1"/>
                <w:szCs w:val="21"/>
                <w:highlight w:val="none"/>
                <w:lang w:val="en-US" w:eastAsia="zh-CN"/>
                <w14:textFill>
                  <w14:solidFill>
                    <w14:schemeClr w14:val="tx1"/>
                  </w14:solidFill>
                </w14:textFill>
              </w:rPr>
            </w:pPr>
            <w:r>
              <w:rPr>
                <w:rFonts w:hint="eastAsia" w:cs="Times New Roman" w:asciiTheme="minorEastAsia" w:hAnsiTheme="minorEastAsia" w:eastAsiaTheme="minorEastAsia"/>
                <w:color w:val="000000" w:themeColor="text1"/>
                <w:szCs w:val="21"/>
                <w:highlight w:val="none"/>
                <w:lang w:val="en-US" w:eastAsia="zh-CN"/>
                <w14:textFill>
                  <w14:solidFill>
                    <w14:schemeClr w14:val="tx1"/>
                  </w14:solidFill>
                </w14:textFill>
              </w:rPr>
              <w:t>4.《建设工程工程量清单计价规范》（GB50500-2013）；</w:t>
            </w:r>
          </w:p>
          <w:p w14:paraId="6E1DC026">
            <w:pPr>
              <w:adjustRightInd w:val="0"/>
              <w:snapToGrid w:val="0"/>
              <w:spacing w:line="440" w:lineRule="exact"/>
              <w:ind w:firstLine="420"/>
              <w:rPr>
                <w:rFonts w:hint="eastAsia" w:cs="Times New Roman" w:asciiTheme="minorEastAsia" w:hAnsiTheme="minorEastAsia" w:eastAsiaTheme="minorEastAsia"/>
                <w:color w:val="000000" w:themeColor="text1"/>
                <w:szCs w:val="21"/>
                <w:highlight w:val="none"/>
                <w:lang w:val="en-US" w:eastAsia="zh-CN"/>
                <w14:textFill>
                  <w14:solidFill>
                    <w14:schemeClr w14:val="tx1"/>
                  </w14:solidFill>
                </w14:textFill>
              </w:rPr>
            </w:pPr>
            <w:r>
              <w:rPr>
                <w:rFonts w:hint="eastAsia" w:cs="Times New Roman" w:asciiTheme="minorEastAsia" w:hAnsiTheme="minorEastAsia" w:eastAsiaTheme="minorEastAsia"/>
                <w:color w:val="000000" w:themeColor="text1"/>
                <w:szCs w:val="21"/>
                <w:highlight w:val="none"/>
                <w:lang w:val="en-US" w:eastAsia="zh-CN"/>
                <w14:textFill>
                  <w14:solidFill>
                    <w14:schemeClr w14:val="tx1"/>
                  </w14:solidFill>
                </w14:textFill>
              </w:rPr>
              <w:t>5.《房屋建筑与装饰工程工程量计算规范》(GB50854-2013)、《通用安装工程工程量计算规范》(GB50856-2013)、《市政工程工程量计算规范》（GB50857-2013）及相关补充规定；</w:t>
            </w:r>
          </w:p>
          <w:p w14:paraId="50E22C63">
            <w:pPr>
              <w:adjustRightInd w:val="0"/>
              <w:snapToGrid w:val="0"/>
              <w:spacing w:line="440" w:lineRule="exact"/>
              <w:ind w:firstLine="420"/>
              <w:rPr>
                <w:rFonts w:hint="default" w:cs="Times New Roman" w:asciiTheme="minorEastAsia" w:hAnsiTheme="minorEastAsia" w:eastAsiaTheme="minorEastAsia"/>
                <w:color w:val="000000" w:themeColor="text1"/>
                <w:szCs w:val="21"/>
                <w:highlight w:val="none"/>
                <w:lang w:val="en-US" w:eastAsia="zh-CN"/>
                <w14:textFill>
                  <w14:solidFill>
                    <w14:schemeClr w14:val="tx1"/>
                  </w14:solidFill>
                </w14:textFill>
              </w:rPr>
            </w:pPr>
            <w:r>
              <w:rPr>
                <w:rFonts w:hint="eastAsia" w:cs="Times New Roman" w:asciiTheme="minorEastAsia" w:hAnsiTheme="minorEastAsia" w:eastAsiaTheme="minorEastAsia"/>
                <w:color w:val="000000" w:themeColor="text1"/>
                <w:szCs w:val="21"/>
                <w:highlight w:val="none"/>
                <w:lang w:val="en-US" w:eastAsia="zh-CN"/>
                <w14:textFill>
                  <w14:solidFill>
                    <w14:schemeClr w14:val="tx1"/>
                  </w14:solidFill>
                </w14:textFill>
              </w:rPr>
              <w:t>6.《浙江省房屋建筑与装饰工程预算定额》（2018版）、《浙江省通用安装工程预算定额》（2018版）、《浙江省市政工程预算定额》（2018版）、《浙江省建设工程计价规则》（2018版）及相关补充解释。</w:t>
            </w:r>
          </w:p>
          <w:p w14:paraId="0E6AE307">
            <w:pPr>
              <w:adjustRightInd w:val="0"/>
              <w:snapToGrid w:val="0"/>
              <w:spacing w:line="440" w:lineRule="exact"/>
              <w:ind w:firstLine="420"/>
              <w:rPr>
                <w:rFonts w:hint="eastAsia" w:asciiTheme="minorEastAsia" w:hAnsiTheme="minorEastAsia" w:eastAsiaTheme="minorEastAsia"/>
                <w:szCs w:val="21"/>
                <w:highlight w:val="none"/>
              </w:rPr>
            </w:pPr>
            <w:r>
              <w:rPr>
                <w:rFonts w:hint="eastAsia" w:cs="Times New Roman" w:asciiTheme="minorEastAsia" w:hAnsiTheme="minorEastAsia" w:eastAsiaTheme="minorEastAsia"/>
                <w:color w:val="000000" w:themeColor="text1"/>
                <w:szCs w:val="21"/>
                <w:highlight w:val="none"/>
                <w:lang w:val="en-US" w:eastAsia="zh-CN"/>
                <w14:textFill>
                  <w14:solidFill>
                    <w14:schemeClr w14:val="tx1"/>
                  </w14:solidFill>
                </w14:textFill>
              </w:rPr>
              <w:t>7.与建</w:t>
            </w:r>
            <w:r>
              <w:rPr>
                <w:rFonts w:hint="eastAsia" w:cs="Times New Roman" w:asciiTheme="minorEastAsia" w:hAnsiTheme="minorEastAsia" w:eastAsiaTheme="minorEastAsia"/>
                <w:color w:val="000000" w:themeColor="text1"/>
                <w:szCs w:val="21"/>
                <w:highlight w:val="none"/>
                <w14:textFill>
                  <w14:solidFill>
                    <w14:schemeClr w14:val="tx1"/>
                  </w14:solidFill>
                </w14:textFill>
              </w:rPr>
              <w:t>设项</w:t>
            </w:r>
            <w:r>
              <w:rPr>
                <w:rFonts w:hint="eastAsia" w:cs="Times New Roman" w:asciiTheme="minorEastAsia" w:hAnsiTheme="minorEastAsia" w:eastAsiaTheme="minorEastAsia"/>
                <w:szCs w:val="21"/>
                <w:highlight w:val="none"/>
              </w:rPr>
              <w:t>目相关的标准、图集、规范、技</w:t>
            </w:r>
            <w:r>
              <w:rPr>
                <w:rFonts w:hint="eastAsia" w:ascii="宋体" w:hAnsi="宋体"/>
                <w:szCs w:val="21"/>
                <w:highlight w:val="none"/>
              </w:rPr>
              <w:t>术资料、文件、法律法规和解释</w:t>
            </w:r>
            <w:r>
              <w:rPr>
                <w:rFonts w:hint="eastAsia" w:asciiTheme="minorEastAsia" w:hAnsiTheme="minorEastAsia" w:eastAsiaTheme="minorEastAsia"/>
                <w:szCs w:val="21"/>
                <w:highlight w:val="none"/>
              </w:rPr>
              <w:t>。</w:t>
            </w:r>
          </w:p>
          <w:p w14:paraId="0B97A2E4">
            <w:pPr>
              <w:adjustRightInd w:val="0"/>
              <w:snapToGrid w:val="0"/>
              <w:spacing w:line="440" w:lineRule="exact"/>
              <w:ind w:firstLine="411" w:firstLineChars="196"/>
              <w:rPr>
                <w:rFonts w:asciiTheme="minorEastAsia" w:hAnsiTheme="minorEastAsia" w:eastAsiaTheme="minorEastAsia"/>
                <w:b/>
                <w:szCs w:val="21"/>
                <w:highlight w:val="none"/>
              </w:rPr>
            </w:pPr>
            <w:r>
              <w:rPr>
                <w:rFonts w:asciiTheme="minorEastAsia" w:hAnsiTheme="minorEastAsia" w:eastAsiaTheme="minorEastAsia"/>
                <w:b/>
                <w:szCs w:val="21"/>
                <w:highlight w:val="none"/>
              </w:rPr>
              <w:t>四</w:t>
            </w:r>
            <w:r>
              <w:rPr>
                <w:rFonts w:hint="eastAsia" w:asciiTheme="minorEastAsia" w:hAnsiTheme="minorEastAsia" w:eastAsiaTheme="minorEastAsia"/>
                <w:b/>
                <w:szCs w:val="21"/>
                <w:highlight w:val="none"/>
                <w:lang w:val="en-US" w:eastAsia="zh-CN"/>
              </w:rPr>
              <w:t>.</w:t>
            </w:r>
            <w:r>
              <w:rPr>
                <w:rFonts w:asciiTheme="minorEastAsia" w:hAnsiTheme="minorEastAsia" w:eastAsiaTheme="minorEastAsia"/>
                <w:b/>
                <w:szCs w:val="21"/>
                <w:highlight w:val="none"/>
              </w:rPr>
              <w:t>工程质量、工期、材料、施工等要求</w:t>
            </w:r>
            <w:r>
              <w:rPr>
                <w:rFonts w:hint="eastAsia" w:asciiTheme="minorEastAsia" w:hAnsiTheme="minorEastAsia" w:eastAsiaTheme="minorEastAsia"/>
                <w:b/>
                <w:szCs w:val="21"/>
                <w:highlight w:val="none"/>
              </w:rPr>
              <w:t>：</w:t>
            </w:r>
          </w:p>
          <w:p w14:paraId="65B474F2">
            <w:pPr>
              <w:adjustRightInd w:val="0"/>
              <w:snapToGrid w:val="0"/>
              <w:spacing w:line="440" w:lineRule="exact"/>
              <w:ind w:firstLine="420" w:firstLineChars="200"/>
              <w:rPr>
                <w:rFonts w:asciiTheme="minorEastAsia" w:hAnsiTheme="minorEastAsia" w:eastAsiaTheme="minorEastAsia"/>
                <w:szCs w:val="21"/>
                <w:highlight w:val="none"/>
              </w:rPr>
            </w:pPr>
            <w:r>
              <w:rPr>
                <w:rFonts w:asciiTheme="minorEastAsia" w:hAnsiTheme="minorEastAsia" w:eastAsiaTheme="minorEastAsia"/>
                <w:szCs w:val="21"/>
                <w:highlight w:val="none"/>
              </w:rPr>
              <w:t>1</w:t>
            </w:r>
            <w:r>
              <w:rPr>
                <w:rFonts w:hint="eastAsia" w:asciiTheme="minorEastAsia" w:hAnsiTheme="minorEastAsia" w:eastAsiaTheme="minorEastAsia"/>
                <w:szCs w:val="21"/>
                <w:highlight w:val="none"/>
                <w:lang w:val="en-US" w:eastAsia="zh-CN"/>
              </w:rPr>
              <w:t>.</w:t>
            </w:r>
            <w:r>
              <w:rPr>
                <w:rFonts w:asciiTheme="minorEastAsia" w:hAnsiTheme="minorEastAsia" w:eastAsiaTheme="minorEastAsia"/>
                <w:szCs w:val="21"/>
                <w:highlight w:val="none"/>
              </w:rPr>
              <w:t>工程质量：</w:t>
            </w:r>
            <w:r>
              <w:rPr>
                <w:rFonts w:hint="eastAsia" w:asciiTheme="minorEastAsia" w:hAnsiTheme="minorEastAsia" w:eastAsiaTheme="minorEastAsia"/>
                <w:szCs w:val="21"/>
                <w:highlight w:val="none"/>
              </w:rPr>
              <w:t>根据招标文件要求；</w:t>
            </w:r>
          </w:p>
          <w:p w14:paraId="73C4E26B">
            <w:pPr>
              <w:adjustRightInd w:val="0"/>
              <w:snapToGrid w:val="0"/>
              <w:spacing w:line="440" w:lineRule="exact"/>
              <w:ind w:firstLine="420" w:firstLineChars="200"/>
              <w:rPr>
                <w:rFonts w:asciiTheme="minorEastAsia" w:hAnsiTheme="minorEastAsia" w:eastAsiaTheme="minorEastAsia"/>
                <w:szCs w:val="21"/>
                <w:highlight w:val="none"/>
              </w:rPr>
            </w:pPr>
            <w:r>
              <w:rPr>
                <w:rFonts w:asciiTheme="minorEastAsia" w:hAnsiTheme="minorEastAsia" w:eastAsiaTheme="minorEastAsia"/>
                <w:szCs w:val="21"/>
                <w:highlight w:val="none"/>
              </w:rPr>
              <w:t>2</w:t>
            </w:r>
            <w:r>
              <w:rPr>
                <w:rFonts w:hint="eastAsia" w:asciiTheme="minorEastAsia" w:hAnsiTheme="minorEastAsia" w:eastAsiaTheme="minorEastAsia"/>
                <w:szCs w:val="21"/>
                <w:highlight w:val="none"/>
                <w:lang w:val="en-US" w:eastAsia="zh-CN"/>
              </w:rPr>
              <w:t>.</w:t>
            </w:r>
            <w:r>
              <w:rPr>
                <w:rFonts w:asciiTheme="minorEastAsia" w:hAnsiTheme="minorEastAsia" w:eastAsiaTheme="minorEastAsia"/>
                <w:szCs w:val="21"/>
                <w:highlight w:val="none"/>
              </w:rPr>
              <w:t>工期：详见招标文件要求</w:t>
            </w:r>
            <w:r>
              <w:rPr>
                <w:rFonts w:hint="eastAsia" w:asciiTheme="minorEastAsia" w:hAnsiTheme="minorEastAsia" w:eastAsiaTheme="minorEastAsia"/>
                <w:szCs w:val="21"/>
                <w:highlight w:val="none"/>
              </w:rPr>
              <w:t>；</w:t>
            </w:r>
          </w:p>
          <w:p w14:paraId="744ED515">
            <w:pPr>
              <w:adjustRightInd w:val="0"/>
              <w:snapToGrid w:val="0"/>
              <w:spacing w:line="440" w:lineRule="exact"/>
              <w:ind w:firstLine="420" w:firstLineChars="200"/>
              <w:rPr>
                <w:rFonts w:hint="eastAsia" w:cs="Times New Roman" w:asciiTheme="minorEastAsia" w:hAnsiTheme="minorEastAsia" w:eastAsiaTheme="minorEastAsia"/>
                <w:szCs w:val="21"/>
                <w:highlight w:val="none"/>
                <w:lang w:val="en-US" w:eastAsia="zh-CN"/>
              </w:rPr>
            </w:pPr>
            <w:r>
              <w:rPr>
                <w:rFonts w:hint="eastAsia" w:asciiTheme="minorEastAsia" w:hAnsiTheme="minorEastAsia" w:eastAsiaTheme="minorEastAsia"/>
                <w:szCs w:val="21"/>
                <w:highlight w:val="none"/>
                <w:lang w:val="en-US" w:eastAsia="zh-CN"/>
              </w:rPr>
              <w:t>3.</w:t>
            </w:r>
            <w:r>
              <w:rPr>
                <w:rFonts w:asciiTheme="minorEastAsia" w:hAnsiTheme="minorEastAsia" w:eastAsiaTheme="minorEastAsia"/>
                <w:szCs w:val="21"/>
                <w:highlight w:val="none"/>
              </w:rPr>
              <w:t>具体材料、施工要求详见</w:t>
            </w:r>
            <w:r>
              <w:rPr>
                <w:rFonts w:hint="eastAsia" w:asciiTheme="minorEastAsia" w:hAnsiTheme="minorEastAsia" w:eastAsiaTheme="minorEastAsia"/>
                <w:szCs w:val="21"/>
                <w:highlight w:val="none"/>
                <w:lang w:val="en-US" w:eastAsia="zh-CN"/>
              </w:rPr>
              <w:t>图</w:t>
            </w:r>
            <w:r>
              <w:rPr>
                <w:rFonts w:hint="eastAsia" w:cs="Times New Roman" w:asciiTheme="minorEastAsia" w:hAnsiTheme="minorEastAsia" w:eastAsiaTheme="minorEastAsia"/>
                <w:szCs w:val="21"/>
                <w:highlight w:val="none"/>
                <w:lang w:val="en-US" w:eastAsia="zh-CN"/>
              </w:rPr>
              <w:t>纸</w:t>
            </w:r>
            <w:r>
              <w:rPr>
                <w:rFonts w:hint="eastAsia" w:cs="Times New Roman" w:asciiTheme="minorEastAsia" w:hAnsiTheme="minorEastAsia" w:eastAsiaTheme="minorEastAsia"/>
                <w:szCs w:val="21"/>
                <w:highlight w:val="none"/>
              </w:rPr>
              <w:t>及招标文件技术规范中具体要求</w:t>
            </w:r>
            <w:r>
              <w:rPr>
                <w:rFonts w:hint="eastAsia" w:cs="Times New Roman" w:asciiTheme="minorEastAsia" w:hAnsiTheme="minorEastAsia" w:eastAsiaTheme="minorEastAsia"/>
                <w:szCs w:val="21"/>
                <w:highlight w:val="none"/>
                <w:lang w:val="en-US" w:eastAsia="zh-CN"/>
              </w:rPr>
              <w:t>；</w:t>
            </w:r>
          </w:p>
          <w:p w14:paraId="4627B35B">
            <w:pPr>
              <w:adjustRightInd w:val="0"/>
              <w:snapToGrid w:val="0"/>
              <w:spacing w:line="440" w:lineRule="exact"/>
              <w:ind w:firstLine="420" w:firstLineChars="200"/>
              <w:rPr>
                <w:rFonts w:hint="default" w:cs="Times New Roman" w:asciiTheme="minorEastAsia" w:hAnsiTheme="minorEastAsia" w:eastAsiaTheme="minorEastAsia"/>
                <w:szCs w:val="21"/>
                <w:highlight w:val="none"/>
                <w:lang w:val="en-US" w:eastAsia="zh-CN"/>
              </w:rPr>
            </w:pPr>
            <w:r>
              <w:rPr>
                <w:rFonts w:hint="eastAsia" w:cs="Times New Roman" w:asciiTheme="minorEastAsia" w:hAnsiTheme="minorEastAsia" w:eastAsiaTheme="minorEastAsia"/>
                <w:szCs w:val="21"/>
                <w:highlight w:val="none"/>
                <w:lang w:val="en-US" w:eastAsia="zh-CN"/>
              </w:rPr>
              <w:t>4.</w:t>
            </w:r>
            <w:r>
              <w:rPr>
                <w:rFonts w:hint="eastAsia" w:cs="Times New Roman" w:asciiTheme="minorEastAsia" w:hAnsiTheme="minorEastAsia" w:eastAsiaTheme="minorEastAsia"/>
                <w:szCs w:val="21"/>
                <w:highlight w:val="none"/>
                <w:lang w:eastAsia="zh-CN"/>
              </w:rPr>
              <w:t>本工程不计价甲供材料：</w:t>
            </w:r>
            <w:r>
              <w:rPr>
                <w:rFonts w:hint="eastAsia" w:cs="Times New Roman" w:asciiTheme="minorEastAsia" w:hAnsiTheme="minorEastAsia" w:eastAsiaTheme="minorEastAsia"/>
                <w:szCs w:val="21"/>
                <w:highlight w:val="none"/>
                <w:lang w:val="en-US" w:eastAsia="zh-CN"/>
              </w:rPr>
              <w:t>无。</w:t>
            </w:r>
          </w:p>
          <w:p w14:paraId="584E9617">
            <w:pPr>
              <w:adjustRightInd w:val="0"/>
              <w:snapToGrid w:val="0"/>
              <w:spacing w:line="440" w:lineRule="exact"/>
              <w:ind w:firstLine="411" w:firstLineChars="196"/>
              <w:rPr>
                <w:rFonts w:hint="default" w:asciiTheme="minorEastAsia" w:hAnsiTheme="minorEastAsia" w:eastAsiaTheme="minorEastAsia"/>
                <w:b/>
                <w:color w:val="auto"/>
                <w:szCs w:val="21"/>
                <w:highlight w:val="none"/>
                <w:lang w:val="en-US" w:eastAsia="zh-CN"/>
              </w:rPr>
            </w:pPr>
            <w:r>
              <w:rPr>
                <w:rFonts w:hint="eastAsia" w:asciiTheme="minorEastAsia" w:hAnsiTheme="minorEastAsia" w:eastAsiaTheme="minorEastAsia"/>
                <w:b/>
                <w:color w:val="auto"/>
                <w:szCs w:val="21"/>
                <w:highlight w:val="none"/>
                <w:lang w:val="en-US" w:eastAsia="zh-CN"/>
              </w:rPr>
              <w:t>五.费率要求</w:t>
            </w:r>
          </w:p>
          <w:p w14:paraId="23AAA823">
            <w:pPr>
              <w:adjustRightInd w:val="0"/>
              <w:snapToGrid w:val="0"/>
              <w:spacing w:line="440" w:lineRule="exact"/>
              <w:ind w:firstLine="420" w:firstLineChars="200"/>
              <w:rPr>
                <w:rFonts w:hint="eastAsia"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本工程采用“一般计税方法”：</w:t>
            </w:r>
          </w:p>
          <w:p w14:paraId="2F810A5E">
            <w:pPr>
              <w:numPr>
                <w:ilvl w:val="0"/>
                <w:numId w:val="0"/>
              </w:numPr>
              <w:adjustRightInd w:val="0"/>
              <w:snapToGrid w:val="0"/>
              <w:spacing w:line="440" w:lineRule="exact"/>
              <w:ind w:firstLine="420" w:firstLineChars="200"/>
              <w:rPr>
                <w:rFonts w:hint="eastAsia" w:asciiTheme="minorEastAsia" w:hAnsiTheme="minorEastAsia" w:eastAsiaTheme="minorEastAsia"/>
                <w:color w:val="auto"/>
                <w:szCs w:val="21"/>
                <w:highlight w:val="none"/>
                <w:lang w:val="en-US" w:eastAsia="zh-CN"/>
              </w:rPr>
            </w:pPr>
            <w:r>
              <w:rPr>
                <w:rFonts w:hint="eastAsia" w:cs="Times New Roman" w:asciiTheme="minorEastAsia" w:hAnsiTheme="minorEastAsia" w:eastAsiaTheme="minorEastAsia"/>
                <w:color w:val="auto"/>
                <w:szCs w:val="21"/>
                <w:highlight w:val="none"/>
                <w:lang w:val="en-US" w:eastAsia="zh-CN"/>
              </w:rPr>
              <w:t>1.取</w:t>
            </w:r>
            <w:r>
              <w:rPr>
                <w:rFonts w:hint="eastAsia" w:asciiTheme="minorEastAsia" w:hAnsiTheme="minorEastAsia" w:eastAsiaTheme="minorEastAsia"/>
                <w:color w:val="auto"/>
                <w:szCs w:val="21"/>
                <w:highlight w:val="none"/>
                <w:lang w:val="en-US" w:eastAsia="zh-CN"/>
              </w:rPr>
              <w:t>费基数：人工费+机械费。</w:t>
            </w:r>
          </w:p>
          <w:p w14:paraId="11F34797">
            <w:pPr>
              <w:numPr>
                <w:ilvl w:val="0"/>
                <w:numId w:val="0"/>
              </w:numPr>
              <w:adjustRightInd w:val="0"/>
              <w:snapToGrid w:val="0"/>
              <w:spacing w:line="440" w:lineRule="exact"/>
              <w:ind w:firstLine="420" w:firstLineChars="200"/>
              <w:rPr>
                <w:rFonts w:hint="default" w:asciiTheme="minorEastAsia" w:hAnsi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2.税金：费率按9%计算。</w:t>
            </w:r>
          </w:p>
          <w:p w14:paraId="357ED519">
            <w:pPr>
              <w:adjustRightInd w:val="0"/>
              <w:snapToGrid w:val="0"/>
              <w:spacing w:line="440" w:lineRule="exact"/>
              <w:ind w:firstLine="411" w:firstLineChars="196"/>
              <w:rPr>
                <w:rFonts w:hint="eastAsia" w:cs="Times New Roman" w:asciiTheme="minorEastAsia" w:hAnsiTheme="minorEastAsia" w:eastAsiaTheme="minorEastAsia"/>
                <w:b/>
                <w:szCs w:val="21"/>
                <w:highlight w:val="none"/>
              </w:rPr>
            </w:pPr>
            <w:r>
              <w:rPr>
                <w:rFonts w:hint="eastAsia" w:cs="Times New Roman" w:asciiTheme="minorEastAsia" w:hAnsiTheme="minorEastAsia" w:eastAsiaTheme="minorEastAsia"/>
                <w:b/>
                <w:szCs w:val="21"/>
                <w:highlight w:val="none"/>
                <w:lang w:val="en-US" w:eastAsia="zh-CN"/>
              </w:rPr>
              <w:t>六.</w:t>
            </w:r>
            <w:r>
              <w:rPr>
                <w:rFonts w:hint="eastAsia" w:cs="Times New Roman" w:asciiTheme="minorEastAsia" w:hAnsiTheme="minorEastAsia" w:eastAsiaTheme="minorEastAsia"/>
                <w:b/>
                <w:szCs w:val="21"/>
                <w:highlight w:val="none"/>
              </w:rPr>
              <w:t>通用说明</w:t>
            </w:r>
          </w:p>
          <w:p w14:paraId="14B32E30">
            <w:pPr>
              <w:adjustRightInd w:val="0"/>
              <w:snapToGrid w:val="0"/>
              <w:spacing w:line="440" w:lineRule="exact"/>
              <w:ind w:firstLine="420" w:firstLineChars="200"/>
              <w:rPr>
                <w:rFonts w:hint="eastAsia" w:cs="Times New Roman" w:asciiTheme="minorEastAsia" w:hAnsiTheme="minorEastAsia" w:eastAsiaTheme="minorEastAsia"/>
                <w:szCs w:val="21"/>
                <w:highlight w:val="none"/>
              </w:rPr>
            </w:pPr>
            <w:r>
              <w:rPr>
                <w:rFonts w:hint="eastAsia" w:cs="Times New Roman" w:asciiTheme="minorEastAsia" w:hAnsiTheme="minorEastAsia" w:eastAsiaTheme="minorEastAsia"/>
                <w:szCs w:val="21"/>
                <w:highlight w:val="none"/>
              </w:rPr>
              <w:t>1</w:t>
            </w:r>
            <w:r>
              <w:rPr>
                <w:rFonts w:hint="eastAsia" w:cs="Times New Roman" w:asciiTheme="minorEastAsia" w:hAnsiTheme="minorEastAsia" w:eastAsiaTheme="minorEastAsia"/>
                <w:szCs w:val="21"/>
                <w:highlight w:val="none"/>
                <w:lang w:val="en-US" w:eastAsia="zh-CN"/>
              </w:rPr>
              <w:t>.</w:t>
            </w:r>
            <w:r>
              <w:rPr>
                <w:rFonts w:hint="eastAsia" w:cs="Times New Roman" w:asciiTheme="minorEastAsia" w:hAnsiTheme="minorEastAsia" w:eastAsiaTheme="minorEastAsia"/>
                <w:szCs w:val="21"/>
                <w:highlight w:val="none"/>
              </w:rPr>
              <w:t>工程量清单应与投标须知、合同条件、合同协议条款、技术规范、清单说明及其组成文件等资料结合起来理解或解释。</w:t>
            </w:r>
          </w:p>
          <w:p w14:paraId="2546F2B6">
            <w:pPr>
              <w:adjustRightInd w:val="0"/>
              <w:snapToGrid w:val="0"/>
              <w:spacing w:line="440" w:lineRule="exact"/>
              <w:ind w:firstLine="420" w:firstLineChars="200"/>
              <w:rPr>
                <w:rFonts w:hint="eastAsia" w:cs="Times New Roman" w:asciiTheme="minorEastAsia" w:hAnsiTheme="minorEastAsia" w:eastAsiaTheme="minorEastAsia"/>
                <w:szCs w:val="21"/>
                <w:highlight w:val="none"/>
              </w:rPr>
            </w:pPr>
            <w:r>
              <w:rPr>
                <w:rFonts w:hint="eastAsia" w:cs="Times New Roman" w:asciiTheme="minorEastAsia" w:hAnsiTheme="minorEastAsia" w:eastAsiaTheme="minorEastAsia"/>
                <w:szCs w:val="21"/>
                <w:highlight w:val="none"/>
              </w:rPr>
              <w:t>2</w:t>
            </w:r>
            <w:r>
              <w:rPr>
                <w:rFonts w:hint="eastAsia" w:cs="Times New Roman" w:asciiTheme="minorEastAsia" w:hAnsiTheme="minorEastAsia" w:eastAsiaTheme="minorEastAsia"/>
                <w:szCs w:val="21"/>
                <w:highlight w:val="none"/>
                <w:lang w:val="en-US" w:eastAsia="zh-CN"/>
              </w:rPr>
              <w:t>.</w:t>
            </w:r>
            <w:r>
              <w:rPr>
                <w:rFonts w:hint="eastAsia" w:cs="Times New Roman" w:asciiTheme="minorEastAsia" w:hAnsiTheme="minorEastAsia" w:eastAsiaTheme="minorEastAsia"/>
                <w:szCs w:val="21"/>
                <w:highlight w:val="none"/>
              </w:rPr>
              <w:t>为方便投标人报价与工程结算，本工程量清单在编制时适度的细化了项目特征。</w:t>
            </w:r>
          </w:p>
          <w:p w14:paraId="396EB07B">
            <w:pPr>
              <w:adjustRightInd w:val="0"/>
              <w:snapToGrid w:val="0"/>
              <w:spacing w:line="440" w:lineRule="exact"/>
              <w:ind w:firstLine="420" w:firstLineChars="200"/>
              <w:rPr>
                <w:rFonts w:hint="eastAsia" w:cs="Times New Roman" w:asciiTheme="minorEastAsia" w:hAnsiTheme="minorEastAsia" w:eastAsiaTheme="minorEastAsia"/>
                <w:szCs w:val="21"/>
                <w:highlight w:val="none"/>
              </w:rPr>
            </w:pPr>
            <w:r>
              <w:rPr>
                <w:rFonts w:hint="eastAsia" w:cs="Times New Roman" w:asciiTheme="minorEastAsia" w:hAnsiTheme="minorEastAsia" w:eastAsiaTheme="minorEastAsia"/>
                <w:szCs w:val="21"/>
                <w:highlight w:val="none"/>
              </w:rPr>
              <w:t>3</w:t>
            </w:r>
            <w:r>
              <w:rPr>
                <w:rFonts w:hint="eastAsia" w:cs="Times New Roman" w:asciiTheme="minorEastAsia" w:hAnsiTheme="minorEastAsia" w:eastAsiaTheme="minorEastAsia"/>
                <w:szCs w:val="21"/>
                <w:highlight w:val="none"/>
                <w:lang w:val="en-US" w:eastAsia="zh-CN"/>
              </w:rPr>
              <w:t>.</w:t>
            </w:r>
            <w:r>
              <w:rPr>
                <w:rFonts w:hint="eastAsia" w:cs="Times New Roman" w:asciiTheme="minorEastAsia" w:hAnsiTheme="minorEastAsia" w:eastAsiaTheme="minorEastAsia"/>
                <w:szCs w:val="21"/>
                <w:highlight w:val="none"/>
              </w:rPr>
              <w:t>工程量清单项目名称和项目特征中，未特别注明的单位均为mm。</w:t>
            </w:r>
          </w:p>
          <w:p w14:paraId="5799278B">
            <w:pPr>
              <w:adjustRightInd w:val="0"/>
              <w:snapToGrid w:val="0"/>
              <w:spacing w:line="440" w:lineRule="exact"/>
              <w:ind w:firstLine="420" w:firstLineChars="200"/>
              <w:rPr>
                <w:rFonts w:hint="eastAsia" w:cs="Times New Roman" w:asciiTheme="minorEastAsia" w:hAnsiTheme="minorEastAsia" w:eastAsiaTheme="minorEastAsia"/>
                <w:szCs w:val="21"/>
                <w:highlight w:val="none"/>
              </w:rPr>
            </w:pPr>
            <w:r>
              <w:rPr>
                <w:rFonts w:hint="eastAsia" w:cs="Times New Roman" w:asciiTheme="minorEastAsia" w:hAnsiTheme="minorEastAsia" w:eastAsiaTheme="minorEastAsia"/>
                <w:szCs w:val="21"/>
                <w:highlight w:val="none"/>
              </w:rPr>
              <w:t>4</w:t>
            </w:r>
            <w:r>
              <w:rPr>
                <w:rFonts w:hint="eastAsia" w:cs="Times New Roman" w:asciiTheme="minorEastAsia" w:hAnsiTheme="minorEastAsia" w:eastAsiaTheme="minorEastAsia"/>
                <w:szCs w:val="21"/>
                <w:highlight w:val="none"/>
                <w:lang w:val="en-US" w:eastAsia="zh-CN"/>
              </w:rPr>
              <w:t>.</w:t>
            </w:r>
            <w:r>
              <w:rPr>
                <w:rFonts w:hint="eastAsia" w:cs="Times New Roman" w:asciiTheme="minorEastAsia" w:hAnsiTheme="minorEastAsia" w:eastAsiaTheme="minorEastAsia"/>
                <w:szCs w:val="21"/>
                <w:highlight w:val="none"/>
              </w:rPr>
              <w:t>项目名称中除注明规格、厚度、高度之外，未注明的均为综合规格、厚度、高度等。</w:t>
            </w:r>
          </w:p>
          <w:p w14:paraId="7A658D65">
            <w:pPr>
              <w:adjustRightInd w:val="0"/>
              <w:snapToGrid w:val="0"/>
              <w:spacing w:line="440" w:lineRule="exact"/>
              <w:ind w:firstLine="420" w:firstLineChars="200"/>
              <w:rPr>
                <w:rFonts w:hint="eastAsia" w:cs="Times New Roman" w:asciiTheme="minorEastAsia" w:hAnsiTheme="minorEastAsia" w:eastAsiaTheme="minorEastAsia"/>
                <w:szCs w:val="21"/>
                <w:highlight w:val="none"/>
              </w:rPr>
            </w:pPr>
            <w:r>
              <w:rPr>
                <w:rFonts w:hint="eastAsia" w:cs="Times New Roman" w:asciiTheme="minorEastAsia" w:hAnsiTheme="minorEastAsia" w:eastAsiaTheme="minorEastAsia"/>
                <w:szCs w:val="21"/>
                <w:highlight w:val="none"/>
              </w:rPr>
              <w:t>5</w:t>
            </w:r>
            <w:r>
              <w:rPr>
                <w:rFonts w:hint="eastAsia" w:cs="Times New Roman" w:asciiTheme="minorEastAsia" w:hAnsiTheme="minorEastAsia" w:eastAsiaTheme="minorEastAsia"/>
                <w:szCs w:val="21"/>
                <w:highlight w:val="none"/>
                <w:lang w:val="en-US" w:eastAsia="zh-CN"/>
              </w:rPr>
              <w:t>.</w:t>
            </w:r>
            <w:r>
              <w:rPr>
                <w:rFonts w:hint="eastAsia" w:cs="Times New Roman" w:asciiTheme="minorEastAsia" w:hAnsiTheme="minorEastAsia" w:eastAsiaTheme="minorEastAsia"/>
                <w:szCs w:val="21"/>
                <w:highlight w:val="none"/>
              </w:rPr>
              <w:t>清单项目特征描述扼要的说明了主要工作内容，次要工序、相应配件</w:t>
            </w:r>
            <w:r>
              <w:rPr>
                <w:rFonts w:hint="eastAsia" w:cs="Times New Roman" w:asciiTheme="minorEastAsia" w:hAnsiTheme="minorEastAsia" w:eastAsiaTheme="minorEastAsia"/>
                <w:szCs w:val="21"/>
                <w:highlight w:val="none"/>
                <w:lang w:val="en-US" w:eastAsia="zh-CN"/>
              </w:rPr>
              <w:t>虽</w:t>
            </w:r>
            <w:r>
              <w:rPr>
                <w:rFonts w:hint="eastAsia" w:cs="Times New Roman" w:asciiTheme="minorEastAsia" w:hAnsiTheme="minorEastAsia" w:eastAsiaTheme="minorEastAsia"/>
                <w:szCs w:val="21"/>
                <w:highlight w:val="none"/>
              </w:rPr>
              <w:t>未一一列出</w:t>
            </w:r>
            <w:r>
              <w:rPr>
                <w:rFonts w:hint="eastAsia" w:cs="Times New Roman" w:asciiTheme="minorEastAsia" w:hAnsiTheme="minorEastAsia" w:eastAsiaTheme="minorEastAsia"/>
                <w:szCs w:val="21"/>
                <w:highlight w:val="none"/>
                <w:lang w:eastAsia="zh-CN"/>
              </w:rPr>
              <w:t>，</w:t>
            </w:r>
            <w:r>
              <w:rPr>
                <w:rFonts w:hint="eastAsia" w:cs="Times New Roman" w:asciiTheme="minorEastAsia" w:hAnsiTheme="minorEastAsia" w:eastAsiaTheme="minorEastAsia"/>
                <w:szCs w:val="21"/>
                <w:highlight w:val="none"/>
                <w:lang w:val="en-US" w:eastAsia="zh-CN"/>
              </w:rPr>
              <w:t>投标人在投标报价时均应考虑</w:t>
            </w:r>
            <w:r>
              <w:rPr>
                <w:rFonts w:hint="eastAsia" w:cs="Times New Roman" w:asciiTheme="minorEastAsia" w:hAnsiTheme="minorEastAsia" w:eastAsiaTheme="minorEastAsia"/>
                <w:szCs w:val="21"/>
                <w:highlight w:val="none"/>
              </w:rPr>
              <w:t>。</w:t>
            </w:r>
          </w:p>
          <w:p w14:paraId="503268C5">
            <w:pPr>
              <w:adjustRightInd w:val="0"/>
              <w:snapToGrid w:val="0"/>
              <w:spacing w:line="440" w:lineRule="exact"/>
              <w:ind w:firstLine="411" w:firstLineChars="196"/>
              <w:rPr>
                <w:rFonts w:asciiTheme="minorEastAsia" w:hAnsiTheme="minorEastAsia" w:eastAsiaTheme="minorEastAsia"/>
                <w:b/>
                <w:szCs w:val="21"/>
                <w:highlight w:val="none"/>
              </w:rPr>
            </w:pPr>
            <w:r>
              <w:rPr>
                <w:rFonts w:hint="eastAsia" w:asciiTheme="minorEastAsia" w:hAnsiTheme="minorEastAsia" w:eastAsiaTheme="minorEastAsia"/>
                <w:b/>
                <w:szCs w:val="21"/>
                <w:highlight w:val="none"/>
                <w:lang w:val="en-US" w:eastAsia="zh-CN"/>
              </w:rPr>
              <w:t>七.</w:t>
            </w:r>
            <w:r>
              <w:rPr>
                <w:rFonts w:hint="eastAsia" w:asciiTheme="minorEastAsia" w:hAnsiTheme="minorEastAsia" w:eastAsiaTheme="minorEastAsia"/>
                <w:b/>
                <w:szCs w:val="21"/>
                <w:highlight w:val="none"/>
              </w:rPr>
              <w:t>编制</w:t>
            </w:r>
            <w:r>
              <w:rPr>
                <w:rFonts w:asciiTheme="minorEastAsia" w:hAnsiTheme="minorEastAsia" w:eastAsiaTheme="minorEastAsia"/>
                <w:b/>
                <w:szCs w:val="21"/>
                <w:highlight w:val="none"/>
              </w:rPr>
              <w:t>情况说明</w:t>
            </w:r>
          </w:p>
          <w:p w14:paraId="09132614">
            <w:pPr>
              <w:tabs>
                <w:tab w:val="left" w:pos="540"/>
              </w:tabs>
              <w:autoSpaceDE w:val="0"/>
              <w:autoSpaceDN w:val="0"/>
              <w:adjustRightInd w:val="0"/>
              <w:snapToGrid w:val="0"/>
              <w:spacing w:line="440" w:lineRule="exact"/>
              <w:ind w:left="119" w:leftChars="57" w:right="101" w:firstLine="315" w:firstLineChars="150"/>
              <w:jc w:val="left"/>
              <w:rPr>
                <w:rFonts w:hint="eastAsia" w:ascii="宋体" w:hAnsi="宋体" w:eastAsia="宋体" w:cs="Times New Roman"/>
                <w:szCs w:val="21"/>
                <w:highlight w:val="none"/>
                <w:lang w:val="en-US" w:eastAsia="zh-CN"/>
              </w:rPr>
            </w:pPr>
            <w:r>
              <w:rPr>
                <w:rFonts w:hint="eastAsia" w:ascii="宋体" w:hAnsi="宋体" w:eastAsia="宋体" w:cs="Times New Roman"/>
                <w:szCs w:val="21"/>
                <w:highlight w:val="none"/>
                <w:lang w:val="en-US" w:eastAsia="zh-CN"/>
              </w:rPr>
              <w:t>1.土石方开挖及回填清单工程量均按2018版浙江省预算定额的计算规则计算；红线内土方考虑场地利用以后余土外运及处置，外运运距投标单位综合考虑，处置需满足当地文件规定，清单位于材料库；</w:t>
            </w:r>
          </w:p>
          <w:p w14:paraId="6FADF1E2">
            <w:pPr>
              <w:tabs>
                <w:tab w:val="left" w:pos="540"/>
              </w:tabs>
              <w:autoSpaceDE w:val="0"/>
              <w:autoSpaceDN w:val="0"/>
              <w:adjustRightInd w:val="0"/>
              <w:snapToGrid w:val="0"/>
              <w:spacing w:line="440" w:lineRule="exact"/>
              <w:ind w:left="119" w:leftChars="57" w:right="101" w:firstLine="315" w:firstLineChars="150"/>
              <w:jc w:val="left"/>
              <w:rPr>
                <w:rFonts w:hint="eastAsia" w:ascii="宋体" w:hAnsi="宋体" w:eastAsia="宋体" w:cs="Times New Roman"/>
                <w:szCs w:val="21"/>
                <w:highlight w:val="none"/>
                <w:lang w:val="en-US" w:eastAsia="zh-CN"/>
              </w:rPr>
            </w:pPr>
            <w:r>
              <w:rPr>
                <w:rFonts w:hint="eastAsia" w:ascii="宋体" w:hAnsi="宋体" w:cs="Times New Roman"/>
                <w:szCs w:val="21"/>
                <w:highlight w:val="none"/>
                <w:lang w:val="en-US" w:eastAsia="zh-CN"/>
              </w:rPr>
              <w:t>2</w:t>
            </w:r>
            <w:r>
              <w:rPr>
                <w:rFonts w:hint="eastAsia" w:ascii="宋体" w:hAnsi="宋体" w:eastAsia="宋体" w:cs="Times New Roman"/>
                <w:szCs w:val="21"/>
                <w:highlight w:val="none"/>
                <w:lang w:val="en-US" w:eastAsia="zh-CN"/>
              </w:rPr>
              <w:t>.砼</w:t>
            </w:r>
            <w:r>
              <w:rPr>
                <w:rFonts w:hint="eastAsia" w:ascii="宋体" w:hAnsi="宋体" w:cs="Times New Roman"/>
                <w:szCs w:val="21"/>
                <w:highlight w:val="none"/>
                <w:lang w:val="en-US" w:eastAsia="zh-CN"/>
              </w:rPr>
              <w:t>采用</w:t>
            </w:r>
            <w:r>
              <w:rPr>
                <w:rFonts w:hint="eastAsia" w:ascii="宋体" w:hAnsi="宋体" w:eastAsia="宋体" w:cs="Times New Roman"/>
                <w:szCs w:val="21"/>
                <w:highlight w:val="none"/>
                <w:lang w:val="en-US" w:eastAsia="zh-CN"/>
              </w:rPr>
              <w:t>商品</w:t>
            </w:r>
            <w:r>
              <w:rPr>
                <w:rFonts w:hint="eastAsia" w:ascii="宋体" w:hAnsi="宋体" w:cs="Times New Roman"/>
                <w:szCs w:val="21"/>
                <w:highlight w:val="none"/>
                <w:lang w:val="en-US" w:eastAsia="zh-CN"/>
              </w:rPr>
              <w:t>混凝土</w:t>
            </w:r>
            <w:r>
              <w:rPr>
                <w:rFonts w:hint="eastAsia" w:ascii="宋体" w:hAnsi="宋体" w:eastAsia="宋体" w:cs="Times New Roman"/>
                <w:szCs w:val="21"/>
                <w:highlight w:val="none"/>
                <w:lang w:val="en-US" w:eastAsia="zh-CN"/>
              </w:rPr>
              <w:t>，是否泵送投标单位自行考虑；</w:t>
            </w:r>
          </w:p>
          <w:p w14:paraId="2712227F">
            <w:pPr>
              <w:tabs>
                <w:tab w:val="left" w:pos="540"/>
              </w:tabs>
              <w:autoSpaceDE w:val="0"/>
              <w:autoSpaceDN w:val="0"/>
              <w:adjustRightInd w:val="0"/>
              <w:snapToGrid w:val="0"/>
              <w:spacing w:line="440" w:lineRule="exact"/>
              <w:ind w:left="119" w:leftChars="57" w:right="101" w:firstLine="315" w:firstLineChars="150"/>
              <w:jc w:val="left"/>
              <w:rPr>
                <w:rFonts w:hint="eastAsia" w:ascii="宋体" w:hAnsi="宋体" w:eastAsia="宋体" w:cs="Times New Roman"/>
                <w:szCs w:val="21"/>
                <w:highlight w:val="none"/>
                <w:lang w:val="en-US" w:eastAsia="zh-CN"/>
              </w:rPr>
            </w:pPr>
            <w:r>
              <w:rPr>
                <w:rFonts w:hint="eastAsia" w:ascii="宋体" w:hAnsi="宋体" w:cs="Times New Roman"/>
                <w:szCs w:val="21"/>
                <w:highlight w:val="none"/>
                <w:lang w:val="en-US" w:eastAsia="zh-CN"/>
              </w:rPr>
              <w:t>3</w:t>
            </w:r>
            <w:r>
              <w:rPr>
                <w:rFonts w:hint="eastAsia" w:ascii="宋体" w:hAnsi="宋体" w:eastAsia="宋体" w:cs="Times New Roman"/>
                <w:szCs w:val="21"/>
                <w:highlight w:val="none"/>
                <w:lang w:val="en-US" w:eastAsia="zh-CN"/>
              </w:rPr>
              <w:t>.本工程大型机械进退场及安拆</w:t>
            </w:r>
            <w:r>
              <w:rPr>
                <w:rFonts w:hint="eastAsia" w:ascii="宋体" w:hAnsi="宋体" w:cs="Times New Roman"/>
                <w:szCs w:val="21"/>
                <w:highlight w:val="none"/>
                <w:lang w:val="en-US" w:eastAsia="zh-CN"/>
              </w:rPr>
              <w:t>、施工排水、降水</w:t>
            </w:r>
            <w:r>
              <w:rPr>
                <w:rFonts w:hint="eastAsia" w:ascii="宋体" w:hAnsi="宋体" w:eastAsia="宋体" w:cs="Times New Roman"/>
                <w:szCs w:val="21"/>
                <w:highlight w:val="none"/>
                <w:lang w:val="en-US" w:eastAsia="zh-CN"/>
              </w:rPr>
              <w:t>统一计入“</w:t>
            </w:r>
            <w:r>
              <w:rPr>
                <w:rFonts w:hint="eastAsia" w:ascii="宋体" w:hAnsi="宋体" w:cs="Times New Roman"/>
                <w:szCs w:val="21"/>
                <w:highlight w:val="none"/>
                <w:lang w:val="en-US" w:eastAsia="zh-CN"/>
              </w:rPr>
              <w:t>办公楼</w:t>
            </w:r>
            <w:r>
              <w:rPr>
                <w:rFonts w:hint="eastAsia" w:ascii="宋体" w:hAnsi="宋体" w:eastAsia="宋体" w:cs="Times New Roman"/>
                <w:szCs w:val="21"/>
                <w:highlight w:val="none"/>
                <w:lang w:val="en-US" w:eastAsia="zh-CN"/>
              </w:rPr>
              <w:t>”技术措施费内；</w:t>
            </w:r>
          </w:p>
          <w:p w14:paraId="7DA06869">
            <w:pPr>
              <w:tabs>
                <w:tab w:val="left" w:pos="540"/>
              </w:tabs>
              <w:autoSpaceDE w:val="0"/>
              <w:autoSpaceDN w:val="0"/>
              <w:adjustRightInd w:val="0"/>
              <w:snapToGrid w:val="0"/>
              <w:spacing w:line="440" w:lineRule="exact"/>
              <w:ind w:left="119" w:leftChars="57" w:right="101" w:firstLine="315" w:firstLineChars="150"/>
              <w:jc w:val="left"/>
              <w:rPr>
                <w:rFonts w:hint="eastAsia" w:ascii="宋体" w:hAnsi="宋体" w:cs="Times New Roman"/>
                <w:szCs w:val="21"/>
                <w:highlight w:val="none"/>
                <w:lang w:val="en-US" w:eastAsia="zh-CN"/>
              </w:rPr>
            </w:pPr>
            <w:r>
              <w:rPr>
                <w:rFonts w:hint="eastAsia" w:ascii="宋体" w:hAnsi="宋体" w:cs="Times New Roman"/>
                <w:szCs w:val="21"/>
                <w:highlight w:val="none"/>
                <w:lang w:val="en-US" w:eastAsia="zh-CN"/>
              </w:rPr>
              <w:t>4.本工程门窗、钢结构等清单报价</w:t>
            </w:r>
            <w:r>
              <w:rPr>
                <w:rFonts w:hint="eastAsia" w:ascii="宋体" w:hAnsi="宋体" w:eastAsia="宋体" w:cs="Times New Roman"/>
                <w:szCs w:val="21"/>
                <w:highlight w:val="none"/>
                <w:lang w:val="en-US" w:eastAsia="zh-CN"/>
              </w:rPr>
              <w:t>应包含二次深化设计图的绘制、审核、出图费</w:t>
            </w:r>
            <w:r>
              <w:rPr>
                <w:rFonts w:hint="eastAsia" w:ascii="宋体" w:hAnsi="宋体" w:cs="Times New Roman"/>
                <w:szCs w:val="21"/>
                <w:highlight w:val="none"/>
                <w:lang w:val="en-US" w:eastAsia="zh-CN"/>
              </w:rPr>
              <w:t>；</w:t>
            </w:r>
          </w:p>
          <w:p w14:paraId="6AAC5408">
            <w:pPr>
              <w:tabs>
                <w:tab w:val="left" w:pos="540"/>
              </w:tabs>
              <w:autoSpaceDE w:val="0"/>
              <w:autoSpaceDN w:val="0"/>
              <w:adjustRightInd w:val="0"/>
              <w:snapToGrid w:val="0"/>
              <w:spacing w:line="440" w:lineRule="exact"/>
              <w:ind w:left="119" w:leftChars="57" w:right="101" w:firstLine="315" w:firstLineChars="150"/>
              <w:jc w:val="left"/>
              <w:rPr>
                <w:rFonts w:hint="eastAsia" w:ascii="宋体" w:hAnsi="宋体" w:eastAsia="宋体" w:cs="Times New Roman"/>
                <w:szCs w:val="21"/>
                <w:highlight w:val="none"/>
                <w:lang w:val="en-US" w:eastAsia="zh-CN"/>
              </w:rPr>
            </w:pPr>
            <w:r>
              <w:rPr>
                <w:rFonts w:hint="eastAsia" w:ascii="宋体" w:hAnsi="宋体" w:cs="Times New Roman"/>
                <w:szCs w:val="21"/>
                <w:highlight w:val="none"/>
                <w:lang w:val="en-US" w:eastAsia="zh-CN"/>
              </w:rPr>
              <w:t>5.</w:t>
            </w:r>
            <w:r>
              <w:rPr>
                <w:rFonts w:hint="eastAsia" w:ascii="宋体" w:hAnsi="宋体"/>
                <w:szCs w:val="21"/>
              </w:rPr>
              <w:t>钢结构吊装及安装措施增加费由施工单位自行考虑，若实际吊装专项方案与投标时不同，视施工单位在投标时已综合考虑，结算时不作调整</w:t>
            </w:r>
            <w:r>
              <w:rPr>
                <w:rFonts w:hint="eastAsia" w:ascii="宋体" w:hAnsi="宋体"/>
                <w:szCs w:val="21"/>
                <w:lang w:eastAsia="zh-CN"/>
              </w:rPr>
              <w:t>；</w:t>
            </w:r>
          </w:p>
          <w:p w14:paraId="5C2C6C16">
            <w:pPr>
              <w:tabs>
                <w:tab w:val="left" w:pos="540"/>
              </w:tabs>
              <w:autoSpaceDE w:val="0"/>
              <w:autoSpaceDN w:val="0"/>
              <w:adjustRightInd w:val="0"/>
              <w:snapToGrid w:val="0"/>
              <w:spacing w:line="440" w:lineRule="exact"/>
              <w:ind w:left="119" w:leftChars="57" w:right="101" w:firstLine="315" w:firstLineChars="150"/>
              <w:jc w:val="left"/>
              <w:rPr>
                <w:rFonts w:hint="default" w:ascii="宋体" w:hAnsi="宋体" w:eastAsia="宋体" w:cs="Times New Roman"/>
                <w:szCs w:val="21"/>
                <w:highlight w:val="none"/>
                <w:lang w:val="en-US" w:eastAsia="zh-CN"/>
              </w:rPr>
            </w:pPr>
            <w:r>
              <w:rPr>
                <w:rFonts w:hint="eastAsia" w:ascii="宋体" w:hAnsi="宋体" w:cs="Times New Roman"/>
                <w:szCs w:val="21"/>
                <w:highlight w:val="none"/>
                <w:lang w:val="en-US" w:eastAsia="zh-CN"/>
              </w:rPr>
              <w:t>6</w:t>
            </w:r>
            <w:r>
              <w:rPr>
                <w:rFonts w:hint="eastAsia" w:ascii="宋体" w:hAnsi="宋体" w:eastAsia="宋体" w:cs="Times New Roman"/>
                <w:szCs w:val="21"/>
                <w:highlight w:val="none"/>
                <w:lang w:val="en-US" w:eastAsia="zh-CN"/>
              </w:rPr>
              <w:t>.永临结合道路范围为厂区东侧场地硬化阴影线范围；</w:t>
            </w:r>
          </w:p>
          <w:p w14:paraId="39E6501F">
            <w:pPr>
              <w:tabs>
                <w:tab w:val="left" w:pos="540"/>
              </w:tabs>
              <w:autoSpaceDE w:val="0"/>
              <w:autoSpaceDN w:val="0"/>
              <w:adjustRightInd w:val="0"/>
              <w:snapToGrid w:val="0"/>
              <w:spacing w:line="440" w:lineRule="exact"/>
              <w:ind w:left="119" w:leftChars="57" w:right="101" w:firstLine="315" w:firstLineChars="150"/>
              <w:jc w:val="left"/>
              <w:rPr>
                <w:rFonts w:hint="default" w:ascii="宋体" w:hAnsi="宋体" w:eastAsia="宋体" w:cs="Times New Roman"/>
                <w:szCs w:val="21"/>
                <w:highlight w:val="none"/>
                <w:lang w:val="en-US" w:eastAsia="zh-CN"/>
              </w:rPr>
            </w:pPr>
            <w:r>
              <w:rPr>
                <w:rFonts w:hint="eastAsia" w:ascii="宋体" w:hAnsi="宋体" w:cs="Times New Roman"/>
                <w:szCs w:val="21"/>
                <w:highlight w:val="none"/>
                <w:lang w:val="en-US" w:eastAsia="zh-CN"/>
              </w:rPr>
              <w:t>7</w:t>
            </w:r>
            <w:r>
              <w:rPr>
                <w:rFonts w:hint="eastAsia" w:ascii="宋体" w:hAnsi="宋体" w:eastAsia="宋体" w:cs="Times New Roman"/>
                <w:szCs w:val="21"/>
                <w:highlight w:val="none"/>
                <w:lang w:val="en-US" w:eastAsia="zh-CN"/>
              </w:rPr>
              <w:t>.电动葫芦及其配电箱</w:t>
            </w:r>
            <w:r>
              <w:rPr>
                <w:rFonts w:hint="eastAsia" w:ascii="宋体" w:hAnsi="宋体" w:cs="Times New Roman"/>
                <w:szCs w:val="21"/>
                <w:highlight w:val="none"/>
                <w:lang w:val="en-US" w:eastAsia="zh-CN"/>
              </w:rPr>
              <w:t>、轨道（梁）利旧，仅计算安拆费。</w:t>
            </w:r>
          </w:p>
          <w:p w14:paraId="28717DE5">
            <w:pPr>
              <w:adjustRightInd w:val="0"/>
              <w:snapToGrid w:val="0"/>
              <w:spacing w:line="440" w:lineRule="exact"/>
              <w:ind w:firstLine="420" w:firstLineChars="200"/>
              <w:rPr>
                <w:rFonts w:cs="宋体" w:asciiTheme="minorEastAsia" w:hAnsiTheme="minorEastAsia" w:eastAsiaTheme="minorEastAsia"/>
                <w:b/>
                <w:szCs w:val="21"/>
                <w:highlight w:val="none"/>
              </w:rPr>
            </w:pPr>
            <w:r>
              <w:rPr>
                <w:rFonts w:hint="eastAsia" w:cs="宋体" w:asciiTheme="minorEastAsia" w:hAnsiTheme="minorEastAsia" w:eastAsiaTheme="minorEastAsia"/>
                <w:b/>
                <w:szCs w:val="21"/>
                <w:highlight w:val="none"/>
                <w:lang w:val="en-US" w:eastAsia="zh-CN"/>
              </w:rPr>
              <w:t>八.</w:t>
            </w:r>
            <w:r>
              <w:rPr>
                <w:rFonts w:hint="eastAsia" w:cs="宋体" w:asciiTheme="minorEastAsia" w:hAnsiTheme="minorEastAsia" w:eastAsiaTheme="minorEastAsia"/>
                <w:b/>
                <w:szCs w:val="21"/>
                <w:highlight w:val="none"/>
              </w:rPr>
              <w:t>其他有关事项的说明：</w:t>
            </w:r>
            <w:bookmarkStart w:id="3" w:name="_GoBack"/>
            <w:bookmarkEnd w:id="3"/>
          </w:p>
          <w:p w14:paraId="4C8F3921">
            <w:pPr>
              <w:adjustRightInd w:val="0"/>
              <w:snapToGrid w:val="0"/>
              <w:spacing w:line="440" w:lineRule="exact"/>
              <w:ind w:firstLine="420" w:firstLineChars="200"/>
              <w:rPr>
                <w:rFonts w:hint="eastAsia" w:asciiTheme="minorEastAsia" w:hAnsiTheme="minorEastAsia" w:eastAsiaTheme="minorEastAsia"/>
                <w:szCs w:val="21"/>
                <w:highlight w:val="none"/>
                <w:lang w:val="en-US" w:eastAsia="zh-CN"/>
              </w:rPr>
            </w:pPr>
            <w:r>
              <w:rPr>
                <w:rFonts w:hint="eastAsia" w:asciiTheme="minorEastAsia" w:hAnsiTheme="minorEastAsia" w:eastAsiaTheme="minorEastAsia"/>
                <w:szCs w:val="21"/>
                <w:highlight w:val="none"/>
                <w:lang w:val="en-US" w:eastAsia="zh-CN"/>
              </w:rPr>
              <w:t>1.各投标</w:t>
            </w:r>
            <w:bookmarkStart w:id="1" w:name="OLE_LINK2"/>
            <w:bookmarkStart w:id="2" w:name="OLE_LINK1"/>
            <w:r>
              <w:rPr>
                <w:rFonts w:hint="eastAsia" w:asciiTheme="minorEastAsia" w:hAnsiTheme="minorEastAsia" w:eastAsiaTheme="minorEastAsia"/>
                <w:szCs w:val="21"/>
                <w:highlight w:val="none"/>
                <w:lang w:val="en-US" w:eastAsia="zh-CN"/>
              </w:rPr>
              <w:t>单位</w:t>
            </w:r>
            <w:bookmarkEnd w:id="1"/>
            <w:bookmarkEnd w:id="2"/>
            <w:r>
              <w:rPr>
                <w:rFonts w:hint="eastAsia" w:asciiTheme="minorEastAsia" w:hAnsiTheme="minorEastAsia" w:eastAsiaTheme="minorEastAsia"/>
                <w:szCs w:val="21"/>
                <w:highlight w:val="none"/>
                <w:lang w:val="en-US" w:eastAsia="zh-CN"/>
              </w:rPr>
              <w:t>在进行综合单价报价时必须结合图纸、施工规范、技术标准、图集、地质勘查报告、招标文件中的相关条款及清单描述进行报价，清单子目中未能对各节点详图进行完全性描述的必须结合图纸详细节点进行报价，否则视为已计入相应项目综合单价中；若招标文件中的相关条款与清单描述有冲突，投标单位在答疑时提出疑问，未提出的以招标人解释为准。</w:t>
            </w:r>
          </w:p>
          <w:p w14:paraId="2E4B27F7">
            <w:pPr>
              <w:adjustRightInd w:val="0"/>
              <w:snapToGrid w:val="0"/>
              <w:spacing w:line="440" w:lineRule="exact"/>
              <w:ind w:firstLine="420" w:firstLineChars="200"/>
              <w:rPr>
                <w:rFonts w:hint="default" w:asciiTheme="minorEastAsia" w:hAnsiTheme="minorEastAsia" w:eastAsiaTheme="minorEastAsia"/>
                <w:szCs w:val="21"/>
                <w:highlight w:val="none"/>
                <w:lang w:val="en-US" w:eastAsia="zh-CN"/>
              </w:rPr>
            </w:pPr>
            <w:r>
              <w:rPr>
                <w:rFonts w:hint="eastAsia" w:asciiTheme="minorEastAsia" w:hAnsiTheme="minorEastAsia" w:eastAsiaTheme="minorEastAsia"/>
                <w:szCs w:val="21"/>
                <w:highlight w:val="none"/>
                <w:lang w:val="en-US" w:eastAsia="zh-CN"/>
              </w:rPr>
              <w:t>2.</w:t>
            </w:r>
            <w:r>
              <w:rPr>
                <w:rFonts w:hint="default" w:asciiTheme="minorEastAsia" w:hAnsiTheme="minorEastAsia" w:eastAsiaTheme="minorEastAsia"/>
                <w:szCs w:val="21"/>
                <w:highlight w:val="none"/>
                <w:lang w:val="en-US" w:eastAsia="zh-CN"/>
              </w:rPr>
              <w:t>投标人未填报综合单价或合价的项目，其费用视为已分摊在其他项目的综合单价与合价中，该项工作实施后，招标人将不予支付。</w:t>
            </w:r>
          </w:p>
          <w:p w14:paraId="2B68F7AB">
            <w:pPr>
              <w:adjustRightInd w:val="0"/>
              <w:snapToGrid w:val="0"/>
              <w:spacing w:line="440" w:lineRule="exact"/>
              <w:ind w:firstLine="420" w:firstLineChars="200"/>
              <w:rPr>
                <w:rFonts w:hint="default" w:asciiTheme="minorEastAsia" w:hAnsiTheme="minorEastAsia" w:eastAsiaTheme="minorEastAsia"/>
                <w:szCs w:val="21"/>
                <w:highlight w:val="none"/>
                <w:lang w:val="en-US" w:eastAsia="zh-CN"/>
              </w:rPr>
            </w:pPr>
            <w:r>
              <w:rPr>
                <w:rFonts w:hint="eastAsia" w:asciiTheme="minorEastAsia" w:hAnsiTheme="minorEastAsia" w:eastAsiaTheme="minorEastAsia"/>
                <w:szCs w:val="21"/>
                <w:highlight w:val="none"/>
                <w:lang w:val="en-US" w:eastAsia="zh-CN"/>
              </w:rPr>
              <w:t>3.</w:t>
            </w:r>
            <w:r>
              <w:rPr>
                <w:rFonts w:hint="default" w:asciiTheme="minorEastAsia" w:hAnsiTheme="minorEastAsia" w:eastAsiaTheme="minorEastAsia"/>
                <w:szCs w:val="21"/>
                <w:highlight w:val="none"/>
                <w:lang w:val="en-US" w:eastAsia="zh-CN"/>
              </w:rPr>
              <w:t>本工程量清单应与招标文件中的投标人须知、通用合同条款、专用合同条款、技术标准和要求及图纸等一起阅读和理解。</w:t>
            </w:r>
          </w:p>
          <w:p w14:paraId="3A629221">
            <w:pPr>
              <w:adjustRightInd w:val="0"/>
              <w:snapToGrid w:val="0"/>
              <w:spacing w:line="440" w:lineRule="exact"/>
              <w:ind w:firstLine="420" w:firstLineChars="200"/>
              <w:rPr>
                <w:rFonts w:hint="eastAsia" w:asciiTheme="minorEastAsia" w:hAnsiTheme="minorEastAsia" w:eastAsiaTheme="minorEastAsia"/>
                <w:szCs w:val="21"/>
                <w:highlight w:val="none"/>
                <w:lang w:val="en-US" w:eastAsia="zh-CN"/>
              </w:rPr>
            </w:pPr>
            <w:r>
              <w:rPr>
                <w:rFonts w:hint="eastAsia" w:asciiTheme="minorEastAsia" w:hAnsiTheme="minorEastAsia" w:eastAsiaTheme="minorEastAsia"/>
                <w:szCs w:val="21"/>
                <w:highlight w:val="none"/>
                <w:lang w:val="en-US" w:eastAsia="zh-CN"/>
              </w:rPr>
              <w:t>4.</w:t>
            </w:r>
            <w:r>
              <w:rPr>
                <w:rFonts w:hint="default" w:asciiTheme="minorEastAsia" w:hAnsiTheme="minorEastAsia" w:eastAsiaTheme="minorEastAsia"/>
                <w:szCs w:val="21"/>
                <w:highlight w:val="none"/>
                <w:lang w:val="en-US" w:eastAsia="zh-CN"/>
              </w:rPr>
              <w:t>投标人必须充分考虑与各配套单位的协调配合，费用综合考虑计入报价。</w:t>
            </w:r>
            <w:r>
              <w:rPr>
                <w:rFonts w:hint="eastAsia" w:asciiTheme="minorEastAsia" w:hAnsiTheme="minorEastAsia" w:eastAsiaTheme="minorEastAsia"/>
                <w:szCs w:val="21"/>
                <w:highlight w:val="none"/>
                <w:lang w:val="en-US" w:eastAsia="zh-CN"/>
              </w:rPr>
              <w:t xml:space="preserve"> </w:t>
            </w:r>
          </w:p>
        </w:tc>
      </w:tr>
    </w:tbl>
    <w:p w14:paraId="78DDCF34">
      <w:pPr>
        <w:spacing w:line="400" w:lineRule="exact"/>
        <w:ind w:right="315"/>
        <w:jc w:val="right"/>
      </w:pPr>
    </w:p>
    <w:sectPr>
      <w:headerReference r:id="rId3" w:type="default"/>
      <w:footerReference r:id="rId4" w:type="default"/>
      <w:footerReference r:id="rId5" w:type="even"/>
      <w:pgSz w:w="11906" w:h="16838"/>
      <w:pgMar w:top="1418" w:right="1418" w:bottom="1418" w:left="1418" w:header="851" w:footer="992" w:gutter="0"/>
      <w:pgNumType w:start="1"/>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6632A3">
    <w:pPr>
      <w:pStyle w:val="8"/>
      <w:framePr w:wrap="around" w:vAnchor="text" w:hAnchor="page" w:x="5830" w:y="9"/>
      <w:rPr>
        <w:rStyle w:val="14"/>
        <w:sz w:val="21"/>
        <w:szCs w:val="21"/>
      </w:rPr>
    </w:pPr>
    <w:r>
      <w:rPr>
        <w:sz w:val="21"/>
        <w:szCs w:val="21"/>
      </w:rPr>
      <w:fldChar w:fldCharType="begin"/>
    </w:r>
    <w:r>
      <w:rPr>
        <w:rStyle w:val="14"/>
        <w:sz w:val="21"/>
        <w:szCs w:val="21"/>
      </w:rPr>
      <w:instrText xml:space="preserve">PAGE  </w:instrText>
    </w:r>
    <w:r>
      <w:rPr>
        <w:sz w:val="21"/>
        <w:szCs w:val="21"/>
      </w:rPr>
      <w:fldChar w:fldCharType="separate"/>
    </w:r>
    <w:r>
      <w:rPr>
        <w:rStyle w:val="14"/>
        <w:sz w:val="21"/>
        <w:szCs w:val="21"/>
      </w:rPr>
      <w:t>7</w:t>
    </w:r>
    <w:r>
      <w:rPr>
        <w:sz w:val="21"/>
        <w:szCs w:val="21"/>
      </w:rPr>
      <w:fldChar w:fldCharType="end"/>
    </w:r>
  </w:p>
  <w:p w14:paraId="09AD8578">
    <w:pPr>
      <w:pStyle w:val="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45F9BC">
    <w:pPr>
      <w:pStyle w:val="8"/>
      <w:framePr w:wrap="around" w:vAnchor="text" w:hAnchor="margin" w:xAlign="center" w:y="1"/>
      <w:rPr>
        <w:rStyle w:val="14"/>
      </w:rPr>
    </w:pPr>
    <w:r>
      <w:fldChar w:fldCharType="begin"/>
    </w:r>
    <w:r>
      <w:rPr>
        <w:rStyle w:val="14"/>
      </w:rPr>
      <w:instrText xml:space="preserve">PAGE  </w:instrText>
    </w:r>
    <w:r>
      <w:fldChar w:fldCharType="end"/>
    </w:r>
  </w:p>
  <w:p w14:paraId="60DD5514">
    <w:pPr>
      <w:pStyle w:val="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A088A0">
    <w:pPr>
      <w:pStyle w:val="9"/>
      <w:pBdr>
        <w:bottom w:val="none" w:color="auto" w:sz="0" w:space="0"/>
      </w:pBdr>
      <w:jc w:val="both"/>
      <w:rPr>
        <w:sz w:val="36"/>
        <w:szCs w:val="36"/>
      </w:rPr>
    </w:pPr>
  </w:p>
  <w:p w14:paraId="04846D20">
    <w:pPr>
      <w:pStyle w:val="9"/>
      <w:pBdr>
        <w:bottom w:val="none" w:color="auto" w:sz="0" w:space="0"/>
      </w:pBdr>
      <w:rPr>
        <w:rFonts w:ascii="黑体" w:eastAsia="黑体"/>
        <w:sz w:val="36"/>
        <w:szCs w:val="36"/>
      </w:rPr>
    </w:pPr>
    <w:r>
      <w:rPr>
        <w:rFonts w:hint="eastAsia" w:ascii="黑体" w:eastAsia="黑体"/>
        <w:sz w:val="36"/>
        <w:szCs w:val="36"/>
      </w:rPr>
      <w:t>工程量清单编制说明</w:t>
    </w:r>
  </w:p>
  <w:p w14:paraId="391B681B">
    <w:pPr>
      <w:pStyle w:val="9"/>
      <w:pBdr>
        <w:bottom w:val="none" w:color="auto" w:sz="0" w:space="0"/>
      </w:pBdr>
      <w:jc w:val="left"/>
      <w:rPr>
        <w:sz w:val="21"/>
        <w:szCs w:val="21"/>
      </w:rPr>
    </w:pPr>
    <w:r>
      <w:rPr>
        <w:rFonts w:hint="eastAsia"/>
        <w:sz w:val="21"/>
        <w:szCs w:val="21"/>
      </w:rPr>
      <w:t>工程名称：</w:t>
    </w:r>
    <w:r>
      <w:rPr>
        <w:rFonts w:hint="eastAsia" w:ascii="宋体" w:hAnsi="宋体" w:eastAsia="宋体" w:cs="Times New Roman"/>
        <w:spacing w:val="20"/>
        <w:sz w:val="24"/>
        <w:highlight w:val="none"/>
        <w:lang w:val="en-US" w:eastAsia="zh-CN"/>
      </w:rPr>
      <w:t>台州临港热电有限公司扩建项目厂区零星工程</w:t>
    </w:r>
    <w:r>
      <w:rPr>
        <w:rFonts w:hint="eastAsia"/>
        <w:sz w:val="21"/>
        <w:szCs w:val="21"/>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6"/>
  <w:bordersDoNotSurroundHeader w:val="0"/>
  <w:bordersDoNotSurroundFooter w:val="0"/>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NiMmJjMGUyMDNhMGI0MjllZTc4OTE3ODRjOTBjMWQifQ=="/>
  </w:docVars>
  <w:rsids>
    <w:rsidRoot w:val="00172A27"/>
    <w:rsid w:val="00000F35"/>
    <w:rsid w:val="00001A82"/>
    <w:rsid w:val="00006299"/>
    <w:rsid w:val="00007700"/>
    <w:rsid w:val="00013B2E"/>
    <w:rsid w:val="00014201"/>
    <w:rsid w:val="00014661"/>
    <w:rsid w:val="00017101"/>
    <w:rsid w:val="00022709"/>
    <w:rsid w:val="0003126B"/>
    <w:rsid w:val="0003774F"/>
    <w:rsid w:val="0004260D"/>
    <w:rsid w:val="0006147E"/>
    <w:rsid w:val="00064A7E"/>
    <w:rsid w:val="00067EE2"/>
    <w:rsid w:val="00077C1C"/>
    <w:rsid w:val="00077D4A"/>
    <w:rsid w:val="00082030"/>
    <w:rsid w:val="0008314F"/>
    <w:rsid w:val="000845F0"/>
    <w:rsid w:val="000860FC"/>
    <w:rsid w:val="00091FD9"/>
    <w:rsid w:val="000943D8"/>
    <w:rsid w:val="0009441F"/>
    <w:rsid w:val="000948D1"/>
    <w:rsid w:val="000953BD"/>
    <w:rsid w:val="00096F67"/>
    <w:rsid w:val="000A26EE"/>
    <w:rsid w:val="000A3DE5"/>
    <w:rsid w:val="000A5991"/>
    <w:rsid w:val="000A7349"/>
    <w:rsid w:val="000B4A61"/>
    <w:rsid w:val="000B79DE"/>
    <w:rsid w:val="000C7BF9"/>
    <w:rsid w:val="000D2956"/>
    <w:rsid w:val="000D48EF"/>
    <w:rsid w:val="000D515E"/>
    <w:rsid w:val="000E6E22"/>
    <w:rsid w:val="000F3921"/>
    <w:rsid w:val="000F7AB8"/>
    <w:rsid w:val="00102C9D"/>
    <w:rsid w:val="001043F5"/>
    <w:rsid w:val="00106138"/>
    <w:rsid w:val="001103D6"/>
    <w:rsid w:val="00115C62"/>
    <w:rsid w:val="00115E43"/>
    <w:rsid w:val="00123764"/>
    <w:rsid w:val="001252EE"/>
    <w:rsid w:val="00126892"/>
    <w:rsid w:val="001326EA"/>
    <w:rsid w:val="00133766"/>
    <w:rsid w:val="00144413"/>
    <w:rsid w:val="0014495C"/>
    <w:rsid w:val="001449BD"/>
    <w:rsid w:val="001466C8"/>
    <w:rsid w:val="001510D3"/>
    <w:rsid w:val="00152BD9"/>
    <w:rsid w:val="00163E55"/>
    <w:rsid w:val="0016680D"/>
    <w:rsid w:val="00167D16"/>
    <w:rsid w:val="00170D2A"/>
    <w:rsid w:val="00172A27"/>
    <w:rsid w:val="00174379"/>
    <w:rsid w:val="00174597"/>
    <w:rsid w:val="001828FE"/>
    <w:rsid w:val="00195317"/>
    <w:rsid w:val="00195A59"/>
    <w:rsid w:val="00196A67"/>
    <w:rsid w:val="00197060"/>
    <w:rsid w:val="001A0383"/>
    <w:rsid w:val="001A4215"/>
    <w:rsid w:val="001A5E9D"/>
    <w:rsid w:val="001A6500"/>
    <w:rsid w:val="001B0EC0"/>
    <w:rsid w:val="001B3962"/>
    <w:rsid w:val="001B77F5"/>
    <w:rsid w:val="001C189A"/>
    <w:rsid w:val="001C2217"/>
    <w:rsid w:val="001D749F"/>
    <w:rsid w:val="001D75BD"/>
    <w:rsid w:val="001E16D1"/>
    <w:rsid w:val="001E199B"/>
    <w:rsid w:val="001E70C2"/>
    <w:rsid w:val="001F0AB1"/>
    <w:rsid w:val="001F386D"/>
    <w:rsid w:val="00205CFE"/>
    <w:rsid w:val="00207960"/>
    <w:rsid w:val="00212022"/>
    <w:rsid w:val="00213E07"/>
    <w:rsid w:val="0021539C"/>
    <w:rsid w:val="00216249"/>
    <w:rsid w:val="00221940"/>
    <w:rsid w:val="002226CD"/>
    <w:rsid w:val="002230A9"/>
    <w:rsid w:val="00223A70"/>
    <w:rsid w:val="00227558"/>
    <w:rsid w:val="00231BAF"/>
    <w:rsid w:val="00232429"/>
    <w:rsid w:val="002338B0"/>
    <w:rsid w:val="0023409A"/>
    <w:rsid w:val="00242552"/>
    <w:rsid w:val="002427D6"/>
    <w:rsid w:val="00245EE5"/>
    <w:rsid w:val="00252E4E"/>
    <w:rsid w:val="00257D32"/>
    <w:rsid w:val="002644D5"/>
    <w:rsid w:val="00271B7D"/>
    <w:rsid w:val="00275441"/>
    <w:rsid w:val="002863B1"/>
    <w:rsid w:val="00287925"/>
    <w:rsid w:val="002A301B"/>
    <w:rsid w:val="002A7651"/>
    <w:rsid w:val="002B4327"/>
    <w:rsid w:val="002B5B7F"/>
    <w:rsid w:val="002C03D3"/>
    <w:rsid w:val="002C53C5"/>
    <w:rsid w:val="002D01E6"/>
    <w:rsid w:val="002D5306"/>
    <w:rsid w:val="002E2486"/>
    <w:rsid w:val="002E3B20"/>
    <w:rsid w:val="002E5F4F"/>
    <w:rsid w:val="002F0431"/>
    <w:rsid w:val="002F0CD4"/>
    <w:rsid w:val="002F17C3"/>
    <w:rsid w:val="002F768E"/>
    <w:rsid w:val="003047FC"/>
    <w:rsid w:val="003068DE"/>
    <w:rsid w:val="00312E23"/>
    <w:rsid w:val="00316033"/>
    <w:rsid w:val="00321037"/>
    <w:rsid w:val="003221E9"/>
    <w:rsid w:val="00322E3B"/>
    <w:rsid w:val="0033069A"/>
    <w:rsid w:val="00331B3E"/>
    <w:rsid w:val="00332803"/>
    <w:rsid w:val="003400AB"/>
    <w:rsid w:val="003455E2"/>
    <w:rsid w:val="0035340D"/>
    <w:rsid w:val="003541EC"/>
    <w:rsid w:val="003653DD"/>
    <w:rsid w:val="00366238"/>
    <w:rsid w:val="003753F7"/>
    <w:rsid w:val="0037610E"/>
    <w:rsid w:val="00380269"/>
    <w:rsid w:val="00383E45"/>
    <w:rsid w:val="003842DE"/>
    <w:rsid w:val="00384BDE"/>
    <w:rsid w:val="00386E2A"/>
    <w:rsid w:val="00394D56"/>
    <w:rsid w:val="00395C89"/>
    <w:rsid w:val="003A0F1D"/>
    <w:rsid w:val="003A52BF"/>
    <w:rsid w:val="003B0671"/>
    <w:rsid w:val="003B3313"/>
    <w:rsid w:val="003B3BEA"/>
    <w:rsid w:val="003B7923"/>
    <w:rsid w:val="003C6AC1"/>
    <w:rsid w:val="003C73B0"/>
    <w:rsid w:val="003D2DD9"/>
    <w:rsid w:val="003D6DEF"/>
    <w:rsid w:val="003E2159"/>
    <w:rsid w:val="003E305D"/>
    <w:rsid w:val="003E32B3"/>
    <w:rsid w:val="003E55C6"/>
    <w:rsid w:val="003E58A6"/>
    <w:rsid w:val="003E76FA"/>
    <w:rsid w:val="003F0E52"/>
    <w:rsid w:val="003F1F3A"/>
    <w:rsid w:val="003F2569"/>
    <w:rsid w:val="003F5C12"/>
    <w:rsid w:val="004022FB"/>
    <w:rsid w:val="00402EBD"/>
    <w:rsid w:val="004042E6"/>
    <w:rsid w:val="00405DA9"/>
    <w:rsid w:val="004061FA"/>
    <w:rsid w:val="00406E2C"/>
    <w:rsid w:val="00410009"/>
    <w:rsid w:val="00416293"/>
    <w:rsid w:val="004168E0"/>
    <w:rsid w:val="004202B2"/>
    <w:rsid w:val="0042381B"/>
    <w:rsid w:val="004256D1"/>
    <w:rsid w:val="00426715"/>
    <w:rsid w:val="00431B4C"/>
    <w:rsid w:val="004346F4"/>
    <w:rsid w:val="004356F8"/>
    <w:rsid w:val="0043651A"/>
    <w:rsid w:val="00440EFB"/>
    <w:rsid w:val="00451FD8"/>
    <w:rsid w:val="00452D94"/>
    <w:rsid w:val="004544CB"/>
    <w:rsid w:val="0045450E"/>
    <w:rsid w:val="00464B08"/>
    <w:rsid w:val="00470B79"/>
    <w:rsid w:val="00476029"/>
    <w:rsid w:val="004829A7"/>
    <w:rsid w:val="00483EDB"/>
    <w:rsid w:val="00484125"/>
    <w:rsid w:val="00487FFE"/>
    <w:rsid w:val="004A1973"/>
    <w:rsid w:val="004B7F55"/>
    <w:rsid w:val="004C3D87"/>
    <w:rsid w:val="004C5940"/>
    <w:rsid w:val="004D0804"/>
    <w:rsid w:val="004D106C"/>
    <w:rsid w:val="004D3F2A"/>
    <w:rsid w:val="004D4F8E"/>
    <w:rsid w:val="004D6E6A"/>
    <w:rsid w:val="004E0B17"/>
    <w:rsid w:val="004E1199"/>
    <w:rsid w:val="004E466D"/>
    <w:rsid w:val="004E6F92"/>
    <w:rsid w:val="004F1180"/>
    <w:rsid w:val="004F27AD"/>
    <w:rsid w:val="00505C0A"/>
    <w:rsid w:val="00507E15"/>
    <w:rsid w:val="00512D6C"/>
    <w:rsid w:val="005207CC"/>
    <w:rsid w:val="00525CED"/>
    <w:rsid w:val="005321E1"/>
    <w:rsid w:val="00532890"/>
    <w:rsid w:val="00534F89"/>
    <w:rsid w:val="00537A5F"/>
    <w:rsid w:val="00552DE7"/>
    <w:rsid w:val="005550E1"/>
    <w:rsid w:val="00557654"/>
    <w:rsid w:val="0056008B"/>
    <w:rsid w:val="0056125C"/>
    <w:rsid w:val="0056214A"/>
    <w:rsid w:val="005623A2"/>
    <w:rsid w:val="00565A97"/>
    <w:rsid w:val="00571BFD"/>
    <w:rsid w:val="005742AD"/>
    <w:rsid w:val="00575A1A"/>
    <w:rsid w:val="00577EC4"/>
    <w:rsid w:val="00581BAA"/>
    <w:rsid w:val="00590669"/>
    <w:rsid w:val="005A2E8A"/>
    <w:rsid w:val="005A3DBC"/>
    <w:rsid w:val="005A57F3"/>
    <w:rsid w:val="005B058A"/>
    <w:rsid w:val="005B1098"/>
    <w:rsid w:val="005B2875"/>
    <w:rsid w:val="005B336A"/>
    <w:rsid w:val="005C15C2"/>
    <w:rsid w:val="005C34D3"/>
    <w:rsid w:val="005C3F3E"/>
    <w:rsid w:val="005C52CB"/>
    <w:rsid w:val="005C7E67"/>
    <w:rsid w:val="005D2477"/>
    <w:rsid w:val="005D2873"/>
    <w:rsid w:val="005D6753"/>
    <w:rsid w:val="005D7556"/>
    <w:rsid w:val="005E071A"/>
    <w:rsid w:val="005E6E74"/>
    <w:rsid w:val="005F34A6"/>
    <w:rsid w:val="005F6FAD"/>
    <w:rsid w:val="00600216"/>
    <w:rsid w:val="006017AE"/>
    <w:rsid w:val="00602D7C"/>
    <w:rsid w:val="00607442"/>
    <w:rsid w:val="0061532F"/>
    <w:rsid w:val="00615CD3"/>
    <w:rsid w:val="00616B6B"/>
    <w:rsid w:val="006265E0"/>
    <w:rsid w:val="00635211"/>
    <w:rsid w:val="0063726E"/>
    <w:rsid w:val="00646097"/>
    <w:rsid w:val="006473FE"/>
    <w:rsid w:val="00647A87"/>
    <w:rsid w:val="0065742C"/>
    <w:rsid w:val="00661596"/>
    <w:rsid w:val="006630C1"/>
    <w:rsid w:val="00664D69"/>
    <w:rsid w:val="00670F7D"/>
    <w:rsid w:val="00673A81"/>
    <w:rsid w:val="00674601"/>
    <w:rsid w:val="0068158D"/>
    <w:rsid w:val="00683552"/>
    <w:rsid w:val="00684A9C"/>
    <w:rsid w:val="00685D98"/>
    <w:rsid w:val="00687E42"/>
    <w:rsid w:val="00691BE6"/>
    <w:rsid w:val="0069415F"/>
    <w:rsid w:val="006A06AC"/>
    <w:rsid w:val="006A5278"/>
    <w:rsid w:val="006A560D"/>
    <w:rsid w:val="006A6169"/>
    <w:rsid w:val="006C3E55"/>
    <w:rsid w:val="006D11AE"/>
    <w:rsid w:val="006D1D50"/>
    <w:rsid w:val="006D6472"/>
    <w:rsid w:val="006D6528"/>
    <w:rsid w:val="006D6E0A"/>
    <w:rsid w:val="006E33B7"/>
    <w:rsid w:val="006E4639"/>
    <w:rsid w:val="0070065E"/>
    <w:rsid w:val="00702497"/>
    <w:rsid w:val="00702620"/>
    <w:rsid w:val="007032BD"/>
    <w:rsid w:val="0070777C"/>
    <w:rsid w:val="00715685"/>
    <w:rsid w:val="00715CB5"/>
    <w:rsid w:val="00727C22"/>
    <w:rsid w:val="00741A58"/>
    <w:rsid w:val="00743DDE"/>
    <w:rsid w:val="00746F3F"/>
    <w:rsid w:val="007476DD"/>
    <w:rsid w:val="00752917"/>
    <w:rsid w:val="007657FB"/>
    <w:rsid w:val="0077044A"/>
    <w:rsid w:val="00770D46"/>
    <w:rsid w:val="0077460F"/>
    <w:rsid w:val="00777E16"/>
    <w:rsid w:val="00781FB7"/>
    <w:rsid w:val="007827F0"/>
    <w:rsid w:val="00785B03"/>
    <w:rsid w:val="00786464"/>
    <w:rsid w:val="0079133D"/>
    <w:rsid w:val="00791E83"/>
    <w:rsid w:val="007920F2"/>
    <w:rsid w:val="00794317"/>
    <w:rsid w:val="00795110"/>
    <w:rsid w:val="007977A1"/>
    <w:rsid w:val="007A3D53"/>
    <w:rsid w:val="007A4EF7"/>
    <w:rsid w:val="007B434B"/>
    <w:rsid w:val="007B465E"/>
    <w:rsid w:val="007B5BD1"/>
    <w:rsid w:val="007C1611"/>
    <w:rsid w:val="007C1915"/>
    <w:rsid w:val="007C29E7"/>
    <w:rsid w:val="007C507B"/>
    <w:rsid w:val="007C7370"/>
    <w:rsid w:val="007C7967"/>
    <w:rsid w:val="007D1344"/>
    <w:rsid w:val="007D3C1D"/>
    <w:rsid w:val="007E6975"/>
    <w:rsid w:val="007F25A3"/>
    <w:rsid w:val="007F7187"/>
    <w:rsid w:val="00800242"/>
    <w:rsid w:val="008119C4"/>
    <w:rsid w:val="008125E2"/>
    <w:rsid w:val="008126EE"/>
    <w:rsid w:val="00813186"/>
    <w:rsid w:val="0082351B"/>
    <w:rsid w:val="00830515"/>
    <w:rsid w:val="00830DA6"/>
    <w:rsid w:val="00833454"/>
    <w:rsid w:val="0083586A"/>
    <w:rsid w:val="00835E82"/>
    <w:rsid w:val="0083724D"/>
    <w:rsid w:val="00843012"/>
    <w:rsid w:val="0084530A"/>
    <w:rsid w:val="00846494"/>
    <w:rsid w:val="00850737"/>
    <w:rsid w:val="00853A57"/>
    <w:rsid w:val="008637EF"/>
    <w:rsid w:val="00864F54"/>
    <w:rsid w:val="0086621A"/>
    <w:rsid w:val="00866B21"/>
    <w:rsid w:val="008678A9"/>
    <w:rsid w:val="0087250F"/>
    <w:rsid w:val="00876725"/>
    <w:rsid w:val="0088013F"/>
    <w:rsid w:val="00883F58"/>
    <w:rsid w:val="00884B7E"/>
    <w:rsid w:val="0088636E"/>
    <w:rsid w:val="0089109A"/>
    <w:rsid w:val="0089291A"/>
    <w:rsid w:val="008A5503"/>
    <w:rsid w:val="008B0125"/>
    <w:rsid w:val="008B0412"/>
    <w:rsid w:val="008B08A7"/>
    <w:rsid w:val="008B574C"/>
    <w:rsid w:val="008B69E6"/>
    <w:rsid w:val="008C0197"/>
    <w:rsid w:val="008C1AEA"/>
    <w:rsid w:val="008C205B"/>
    <w:rsid w:val="008C2736"/>
    <w:rsid w:val="008D24AF"/>
    <w:rsid w:val="008D48FC"/>
    <w:rsid w:val="008E134F"/>
    <w:rsid w:val="008E20C3"/>
    <w:rsid w:val="008E32E9"/>
    <w:rsid w:val="008E6FDC"/>
    <w:rsid w:val="008F529B"/>
    <w:rsid w:val="008F5E4B"/>
    <w:rsid w:val="008F7D28"/>
    <w:rsid w:val="00912106"/>
    <w:rsid w:val="00915905"/>
    <w:rsid w:val="00925622"/>
    <w:rsid w:val="0092728F"/>
    <w:rsid w:val="0092784D"/>
    <w:rsid w:val="009278D9"/>
    <w:rsid w:val="00931D9D"/>
    <w:rsid w:val="0093319A"/>
    <w:rsid w:val="0094220E"/>
    <w:rsid w:val="009570EF"/>
    <w:rsid w:val="009571D3"/>
    <w:rsid w:val="00961855"/>
    <w:rsid w:val="009672BD"/>
    <w:rsid w:val="00967FC2"/>
    <w:rsid w:val="00970E9C"/>
    <w:rsid w:val="009846E5"/>
    <w:rsid w:val="00987629"/>
    <w:rsid w:val="00991F19"/>
    <w:rsid w:val="0099489F"/>
    <w:rsid w:val="009A7BF4"/>
    <w:rsid w:val="009B0AF1"/>
    <w:rsid w:val="009B5AA6"/>
    <w:rsid w:val="009C14A2"/>
    <w:rsid w:val="009C283F"/>
    <w:rsid w:val="009C525C"/>
    <w:rsid w:val="009C6C40"/>
    <w:rsid w:val="009D030D"/>
    <w:rsid w:val="009D2E5C"/>
    <w:rsid w:val="009D5403"/>
    <w:rsid w:val="009D74BA"/>
    <w:rsid w:val="009E46C7"/>
    <w:rsid w:val="009E6AF0"/>
    <w:rsid w:val="009F42B0"/>
    <w:rsid w:val="009F4B90"/>
    <w:rsid w:val="00A02769"/>
    <w:rsid w:val="00A04BB4"/>
    <w:rsid w:val="00A1083E"/>
    <w:rsid w:val="00A12F67"/>
    <w:rsid w:val="00A15CFD"/>
    <w:rsid w:val="00A24390"/>
    <w:rsid w:val="00A32938"/>
    <w:rsid w:val="00A33723"/>
    <w:rsid w:val="00A34CC9"/>
    <w:rsid w:val="00A404A7"/>
    <w:rsid w:val="00A40553"/>
    <w:rsid w:val="00A4776B"/>
    <w:rsid w:val="00A5226B"/>
    <w:rsid w:val="00A534A7"/>
    <w:rsid w:val="00A53657"/>
    <w:rsid w:val="00A538FB"/>
    <w:rsid w:val="00A55C90"/>
    <w:rsid w:val="00A61A76"/>
    <w:rsid w:val="00A651D7"/>
    <w:rsid w:val="00A70915"/>
    <w:rsid w:val="00A71ECB"/>
    <w:rsid w:val="00A73126"/>
    <w:rsid w:val="00AA1502"/>
    <w:rsid w:val="00AA43B0"/>
    <w:rsid w:val="00AA4DD2"/>
    <w:rsid w:val="00AA5158"/>
    <w:rsid w:val="00AB1BEF"/>
    <w:rsid w:val="00AB3CE8"/>
    <w:rsid w:val="00AB3DE1"/>
    <w:rsid w:val="00AB7E8A"/>
    <w:rsid w:val="00AC450B"/>
    <w:rsid w:val="00AC6A45"/>
    <w:rsid w:val="00AD1B6C"/>
    <w:rsid w:val="00AE00D5"/>
    <w:rsid w:val="00AE27CA"/>
    <w:rsid w:val="00AF124A"/>
    <w:rsid w:val="00AF23C9"/>
    <w:rsid w:val="00AF26CA"/>
    <w:rsid w:val="00AF4229"/>
    <w:rsid w:val="00AF6418"/>
    <w:rsid w:val="00AF7CD6"/>
    <w:rsid w:val="00B013F9"/>
    <w:rsid w:val="00B0583F"/>
    <w:rsid w:val="00B15FB5"/>
    <w:rsid w:val="00B26EFD"/>
    <w:rsid w:val="00B414C0"/>
    <w:rsid w:val="00B445E0"/>
    <w:rsid w:val="00B512EF"/>
    <w:rsid w:val="00B51A58"/>
    <w:rsid w:val="00B60496"/>
    <w:rsid w:val="00B63A0A"/>
    <w:rsid w:val="00B64CDA"/>
    <w:rsid w:val="00B67603"/>
    <w:rsid w:val="00B7079D"/>
    <w:rsid w:val="00B72941"/>
    <w:rsid w:val="00B72FDE"/>
    <w:rsid w:val="00B74723"/>
    <w:rsid w:val="00B775A0"/>
    <w:rsid w:val="00B836CD"/>
    <w:rsid w:val="00B90177"/>
    <w:rsid w:val="00B90D5E"/>
    <w:rsid w:val="00B92E40"/>
    <w:rsid w:val="00BA431B"/>
    <w:rsid w:val="00BA53E4"/>
    <w:rsid w:val="00BA79AE"/>
    <w:rsid w:val="00BB0C81"/>
    <w:rsid w:val="00BB5BE5"/>
    <w:rsid w:val="00BB644E"/>
    <w:rsid w:val="00BB67C4"/>
    <w:rsid w:val="00BC07D8"/>
    <w:rsid w:val="00BC2E41"/>
    <w:rsid w:val="00BC46C9"/>
    <w:rsid w:val="00BC5FD2"/>
    <w:rsid w:val="00BC63FB"/>
    <w:rsid w:val="00BC6597"/>
    <w:rsid w:val="00BC6B38"/>
    <w:rsid w:val="00BD29B2"/>
    <w:rsid w:val="00BD69AA"/>
    <w:rsid w:val="00BD69BE"/>
    <w:rsid w:val="00BE05C5"/>
    <w:rsid w:val="00BE5B36"/>
    <w:rsid w:val="00BE69B4"/>
    <w:rsid w:val="00BE6D95"/>
    <w:rsid w:val="00BE732B"/>
    <w:rsid w:val="00BE7B7B"/>
    <w:rsid w:val="00BF1A53"/>
    <w:rsid w:val="00BF27A5"/>
    <w:rsid w:val="00C02A1C"/>
    <w:rsid w:val="00C110C9"/>
    <w:rsid w:val="00C22D06"/>
    <w:rsid w:val="00C25505"/>
    <w:rsid w:val="00C26A47"/>
    <w:rsid w:val="00C31E5C"/>
    <w:rsid w:val="00C32633"/>
    <w:rsid w:val="00C35BB3"/>
    <w:rsid w:val="00C37679"/>
    <w:rsid w:val="00C37760"/>
    <w:rsid w:val="00C46204"/>
    <w:rsid w:val="00C50FE7"/>
    <w:rsid w:val="00C5202B"/>
    <w:rsid w:val="00C53384"/>
    <w:rsid w:val="00C53533"/>
    <w:rsid w:val="00C564E5"/>
    <w:rsid w:val="00C63F49"/>
    <w:rsid w:val="00C70817"/>
    <w:rsid w:val="00C75D8B"/>
    <w:rsid w:val="00C75E70"/>
    <w:rsid w:val="00C80C1A"/>
    <w:rsid w:val="00C83961"/>
    <w:rsid w:val="00C84B2A"/>
    <w:rsid w:val="00C90D0F"/>
    <w:rsid w:val="00C92C87"/>
    <w:rsid w:val="00C93D48"/>
    <w:rsid w:val="00C95317"/>
    <w:rsid w:val="00C95627"/>
    <w:rsid w:val="00C9591B"/>
    <w:rsid w:val="00C97593"/>
    <w:rsid w:val="00CA45ED"/>
    <w:rsid w:val="00CA5AEB"/>
    <w:rsid w:val="00CA5BDA"/>
    <w:rsid w:val="00CB25E1"/>
    <w:rsid w:val="00CB5565"/>
    <w:rsid w:val="00CB6ECB"/>
    <w:rsid w:val="00CC2588"/>
    <w:rsid w:val="00CC2BAB"/>
    <w:rsid w:val="00CC4960"/>
    <w:rsid w:val="00CC65D6"/>
    <w:rsid w:val="00CC69E6"/>
    <w:rsid w:val="00CC6BB0"/>
    <w:rsid w:val="00CD3EDA"/>
    <w:rsid w:val="00CD40B7"/>
    <w:rsid w:val="00CD464D"/>
    <w:rsid w:val="00CD589B"/>
    <w:rsid w:val="00CD77A5"/>
    <w:rsid w:val="00CE2979"/>
    <w:rsid w:val="00CF030A"/>
    <w:rsid w:val="00CF296C"/>
    <w:rsid w:val="00CF3A8D"/>
    <w:rsid w:val="00CF4324"/>
    <w:rsid w:val="00D03535"/>
    <w:rsid w:val="00D06BFD"/>
    <w:rsid w:val="00D079F4"/>
    <w:rsid w:val="00D11CC2"/>
    <w:rsid w:val="00D13ECC"/>
    <w:rsid w:val="00D1511C"/>
    <w:rsid w:val="00D15443"/>
    <w:rsid w:val="00D16CAC"/>
    <w:rsid w:val="00D16E04"/>
    <w:rsid w:val="00D21903"/>
    <w:rsid w:val="00D21C0E"/>
    <w:rsid w:val="00D2330A"/>
    <w:rsid w:val="00D25F1C"/>
    <w:rsid w:val="00D33266"/>
    <w:rsid w:val="00D341DA"/>
    <w:rsid w:val="00D37499"/>
    <w:rsid w:val="00D419A5"/>
    <w:rsid w:val="00D4535A"/>
    <w:rsid w:val="00D51743"/>
    <w:rsid w:val="00D51DE3"/>
    <w:rsid w:val="00D654A9"/>
    <w:rsid w:val="00D70150"/>
    <w:rsid w:val="00D75184"/>
    <w:rsid w:val="00D753A7"/>
    <w:rsid w:val="00D82E47"/>
    <w:rsid w:val="00D84A2B"/>
    <w:rsid w:val="00D92482"/>
    <w:rsid w:val="00D93850"/>
    <w:rsid w:val="00D95160"/>
    <w:rsid w:val="00D970C0"/>
    <w:rsid w:val="00DA0230"/>
    <w:rsid w:val="00DA1848"/>
    <w:rsid w:val="00DA34B8"/>
    <w:rsid w:val="00DB21FD"/>
    <w:rsid w:val="00DB2F04"/>
    <w:rsid w:val="00DB77B0"/>
    <w:rsid w:val="00DC1EBC"/>
    <w:rsid w:val="00DC386B"/>
    <w:rsid w:val="00DC5B40"/>
    <w:rsid w:val="00DC603E"/>
    <w:rsid w:val="00DC6961"/>
    <w:rsid w:val="00DD7A0F"/>
    <w:rsid w:val="00DE3566"/>
    <w:rsid w:val="00DE364D"/>
    <w:rsid w:val="00DE4598"/>
    <w:rsid w:val="00DF06D6"/>
    <w:rsid w:val="00DF6A7A"/>
    <w:rsid w:val="00E00E9C"/>
    <w:rsid w:val="00E05674"/>
    <w:rsid w:val="00E0576E"/>
    <w:rsid w:val="00E312FD"/>
    <w:rsid w:val="00E31B03"/>
    <w:rsid w:val="00E33399"/>
    <w:rsid w:val="00E35EF8"/>
    <w:rsid w:val="00E41B7C"/>
    <w:rsid w:val="00E4241C"/>
    <w:rsid w:val="00E531F2"/>
    <w:rsid w:val="00E542C5"/>
    <w:rsid w:val="00E605EA"/>
    <w:rsid w:val="00E6489C"/>
    <w:rsid w:val="00E64F65"/>
    <w:rsid w:val="00E6629C"/>
    <w:rsid w:val="00E66F7F"/>
    <w:rsid w:val="00E6731A"/>
    <w:rsid w:val="00E71A49"/>
    <w:rsid w:val="00E7391B"/>
    <w:rsid w:val="00E74E20"/>
    <w:rsid w:val="00E80D08"/>
    <w:rsid w:val="00E81FCF"/>
    <w:rsid w:val="00E82174"/>
    <w:rsid w:val="00E844BE"/>
    <w:rsid w:val="00E85B0E"/>
    <w:rsid w:val="00E8741C"/>
    <w:rsid w:val="00E87CD4"/>
    <w:rsid w:val="00E90E6B"/>
    <w:rsid w:val="00E9114E"/>
    <w:rsid w:val="00E91E61"/>
    <w:rsid w:val="00E95299"/>
    <w:rsid w:val="00EA1462"/>
    <w:rsid w:val="00EA19B4"/>
    <w:rsid w:val="00EA77CD"/>
    <w:rsid w:val="00EB1908"/>
    <w:rsid w:val="00EB3EAA"/>
    <w:rsid w:val="00EB45B2"/>
    <w:rsid w:val="00EB735D"/>
    <w:rsid w:val="00EC094F"/>
    <w:rsid w:val="00EC0A60"/>
    <w:rsid w:val="00EC14B4"/>
    <w:rsid w:val="00EC7005"/>
    <w:rsid w:val="00ED1FDB"/>
    <w:rsid w:val="00ED306B"/>
    <w:rsid w:val="00ED45F1"/>
    <w:rsid w:val="00ED5D01"/>
    <w:rsid w:val="00ED70D2"/>
    <w:rsid w:val="00EE338C"/>
    <w:rsid w:val="00EE6D8E"/>
    <w:rsid w:val="00EE7316"/>
    <w:rsid w:val="00EF0F33"/>
    <w:rsid w:val="00EF2BB2"/>
    <w:rsid w:val="00F069AD"/>
    <w:rsid w:val="00F06ABC"/>
    <w:rsid w:val="00F07307"/>
    <w:rsid w:val="00F21049"/>
    <w:rsid w:val="00F21E40"/>
    <w:rsid w:val="00F24BE8"/>
    <w:rsid w:val="00F35747"/>
    <w:rsid w:val="00F415A2"/>
    <w:rsid w:val="00F4445C"/>
    <w:rsid w:val="00F51420"/>
    <w:rsid w:val="00F51F90"/>
    <w:rsid w:val="00F542E9"/>
    <w:rsid w:val="00F57D73"/>
    <w:rsid w:val="00F61C94"/>
    <w:rsid w:val="00F651C6"/>
    <w:rsid w:val="00F65F9D"/>
    <w:rsid w:val="00F701E2"/>
    <w:rsid w:val="00F714B1"/>
    <w:rsid w:val="00F730E8"/>
    <w:rsid w:val="00F76DC1"/>
    <w:rsid w:val="00F91B99"/>
    <w:rsid w:val="00F93183"/>
    <w:rsid w:val="00F93A07"/>
    <w:rsid w:val="00F959C4"/>
    <w:rsid w:val="00F95F2B"/>
    <w:rsid w:val="00F96BBB"/>
    <w:rsid w:val="00FA2795"/>
    <w:rsid w:val="00FA2B02"/>
    <w:rsid w:val="00FA3105"/>
    <w:rsid w:val="00FA334E"/>
    <w:rsid w:val="00FA35A8"/>
    <w:rsid w:val="00FA3B6D"/>
    <w:rsid w:val="00FB049E"/>
    <w:rsid w:val="00FB1D4F"/>
    <w:rsid w:val="00FB2003"/>
    <w:rsid w:val="00FC0CFF"/>
    <w:rsid w:val="00FC0E2F"/>
    <w:rsid w:val="00FC206B"/>
    <w:rsid w:val="00FC3CC1"/>
    <w:rsid w:val="00FC5555"/>
    <w:rsid w:val="00FE1C0C"/>
    <w:rsid w:val="00FE217F"/>
    <w:rsid w:val="00FE2D2F"/>
    <w:rsid w:val="00FE6D53"/>
    <w:rsid w:val="00FF0053"/>
    <w:rsid w:val="00FF165B"/>
    <w:rsid w:val="00FF6F30"/>
    <w:rsid w:val="027A4005"/>
    <w:rsid w:val="03BA5E7F"/>
    <w:rsid w:val="03D16135"/>
    <w:rsid w:val="0405748B"/>
    <w:rsid w:val="044D005B"/>
    <w:rsid w:val="050F4BEB"/>
    <w:rsid w:val="055C3A53"/>
    <w:rsid w:val="05A806DC"/>
    <w:rsid w:val="05B279FD"/>
    <w:rsid w:val="06287461"/>
    <w:rsid w:val="067F02EE"/>
    <w:rsid w:val="06BF7651"/>
    <w:rsid w:val="06F31148"/>
    <w:rsid w:val="079C1EB4"/>
    <w:rsid w:val="0AC12061"/>
    <w:rsid w:val="0BC67A9B"/>
    <w:rsid w:val="0C7E64B8"/>
    <w:rsid w:val="0CE37C1B"/>
    <w:rsid w:val="0D02127D"/>
    <w:rsid w:val="0D7B42A6"/>
    <w:rsid w:val="0D942010"/>
    <w:rsid w:val="0E366549"/>
    <w:rsid w:val="0E77591A"/>
    <w:rsid w:val="101E7F5F"/>
    <w:rsid w:val="11B662AF"/>
    <w:rsid w:val="120E530E"/>
    <w:rsid w:val="12BF10B9"/>
    <w:rsid w:val="12DD3A56"/>
    <w:rsid w:val="13511DA5"/>
    <w:rsid w:val="13787AE1"/>
    <w:rsid w:val="13885434"/>
    <w:rsid w:val="147320BA"/>
    <w:rsid w:val="14F23FF4"/>
    <w:rsid w:val="15602773"/>
    <w:rsid w:val="167E122A"/>
    <w:rsid w:val="16D4448D"/>
    <w:rsid w:val="16E373DC"/>
    <w:rsid w:val="17511A6B"/>
    <w:rsid w:val="17905B43"/>
    <w:rsid w:val="17AA5B9E"/>
    <w:rsid w:val="19A70BD7"/>
    <w:rsid w:val="1A134258"/>
    <w:rsid w:val="1A547EA2"/>
    <w:rsid w:val="1A840CB2"/>
    <w:rsid w:val="1B130DF0"/>
    <w:rsid w:val="1BC60287"/>
    <w:rsid w:val="1C73679C"/>
    <w:rsid w:val="1D8E7FD9"/>
    <w:rsid w:val="1E26176C"/>
    <w:rsid w:val="1E29043F"/>
    <w:rsid w:val="1EA24F57"/>
    <w:rsid w:val="1F6E3CDF"/>
    <w:rsid w:val="1FAA2B73"/>
    <w:rsid w:val="2044023D"/>
    <w:rsid w:val="2069136F"/>
    <w:rsid w:val="206D18DC"/>
    <w:rsid w:val="20877F58"/>
    <w:rsid w:val="20C174F7"/>
    <w:rsid w:val="213510EA"/>
    <w:rsid w:val="21A155FD"/>
    <w:rsid w:val="223611FA"/>
    <w:rsid w:val="23326FAC"/>
    <w:rsid w:val="241D683A"/>
    <w:rsid w:val="247176A7"/>
    <w:rsid w:val="24D80B8D"/>
    <w:rsid w:val="251D7019"/>
    <w:rsid w:val="25842905"/>
    <w:rsid w:val="26617636"/>
    <w:rsid w:val="26C64244"/>
    <w:rsid w:val="27787DF0"/>
    <w:rsid w:val="27911EF8"/>
    <w:rsid w:val="28A91F9B"/>
    <w:rsid w:val="292871BF"/>
    <w:rsid w:val="292D69B8"/>
    <w:rsid w:val="2939535D"/>
    <w:rsid w:val="296C2C44"/>
    <w:rsid w:val="299A593A"/>
    <w:rsid w:val="2A346B62"/>
    <w:rsid w:val="2AB91E7C"/>
    <w:rsid w:val="2B1A6465"/>
    <w:rsid w:val="2B4F6764"/>
    <w:rsid w:val="2C60493C"/>
    <w:rsid w:val="2CAE1BBE"/>
    <w:rsid w:val="2D5627F5"/>
    <w:rsid w:val="2D7159C5"/>
    <w:rsid w:val="2E2C6B5E"/>
    <w:rsid w:val="2E4801CD"/>
    <w:rsid w:val="2E716D54"/>
    <w:rsid w:val="2EAF0FB9"/>
    <w:rsid w:val="2EC63424"/>
    <w:rsid w:val="2ED35EB4"/>
    <w:rsid w:val="2EDF3511"/>
    <w:rsid w:val="2FAD38B1"/>
    <w:rsid w:val="2FFD3AB7"/>
    <w:rsid w:val="305F1531"/>
    <w:rsid w:val="30DA79D5"/>
    <w:rsid w:val="30F61DFB"/>
    <w:rsid w:val="314F1BC2"/>
    <w:rsid w:val="32613D9B"/>
    <w:rsid w:val="330E5BA5"/>
    <w:rsid w:val="332B431F"/>
    <w:rsid w:val="33400366"/>
    <w:rsid w:val="33943B57"/>
    <w:rsid w:val="33EA5F00"/>
    <w:rsid w:val="348B0334"/>
    <w:rsid w:val="34AA3C4B"/>
    <w:rsid w:val="34B10636"/>
    <w:rsid w:val="34D11437"/>
    <w:rsid w:val="34E466C0"/>
    <w:rsid w:val="357C6CFE"/>
    <w:rsid w:val="3780481E"/>
    <w:rsid w:val="393861DD"/>
    <w:rsid w:val="39DE1454"/>
    <w:rsid w:val="3AC25A1D"/>
    <w:rsid w:val="3ACE5442"/>
    <w:rsid w:val="3B620744"/>
    <w:rsid w:val="3BC07D92"/>
    <w:rsid w:val="3BD77B33"/>
    <w:rsid w:val="3C363190"/>
    <w:rsid w:val="3CC206F2"/>
    <w:rsid w:val="3D616DCC"/>
    <w:rsid w:val="3D6F0EF6"/>
    <w:rsid w:val="3D7A63D4"/>
    <w:rsid w:val="3E2B7E81"/>
    <w:rsid w:val="3E312248"/>
    <w:rsid w:val="3E412EAB"/>
    <w:rsid w:val="3E993586"/>
    <w:rsid w:val="3EBD28FC"/>
    <w:rsid w:val="400965A3"/>
    <w:rsid w:val="405D2EA9"/>
    <w:rsid w:val="40610214"/>
    <w:rsid w:val="407F52E0"/>
    <w:rsid w:val="40851129"/>
    <w:rsid w:val="409E7004"/>
    <w:rsid w:val="40AB5DC1"/>
    <w:rsid w:val="40DA62B6"/>
    <w:rsid w:val="416E39A7"/>
    <w:rsid w:val="42042280"/>
    <w:rsid w:val="426B6130"/>
    <w:rsid w:val="42E2259D"/>
    <w:rsid w:val="43026B44"/>
    <w:rsid w:val="43BD7479"/>
    <w:rsid w:val="44817E8C"/>
    <w:rsid w:val="452E7CB3"/>
    <w:rsid w:val="453049F3"/>
    <w:rsid w:val="458F0220"/>
    <w:rsid w:val="45EB47D8"/>
    <w:rsid w:val="4669507C"/>
    <w:rsid w:val="466B1473"/>
    <w:rsid w:val="469D511F"/>
    <w:rsid w:val="470C69EF"/>
    <w:rsid w:val="473811F9"/>
    <w:rsid w:val="48486194"/>
    <w:rsid w:val="4AF1615A"/>
    <w:rsid w:val="4B29539B"/>
    <w:rsid w:val="4BCE5D3C"/>
    <w:rsid w:val="4C646B2B"/>
    <w:rsid w:val="4CB72594"/>
    <w:rsid w:val="4D774A87"/>
    <w:rsid w:val="4DA249DE"/>
    <w:rsid w:val="4E5C2728"/>
    <w:rsid w:val="4E686959"/>
    <w:rsid w:val="4EBE1CDD"/>
    <w:rsid w:val="5079623D"/>
    <w:rsid w:val="50796447"/>
    <w:rsid w:val="50950237"/>
    <w:rsid w:val="5100157F"/>
    <w:rsid w:val="5134057D"/>
    <w:rsid w:val="519D3E2C"/>
    <w:rsid w:val="52652A9F"/>
    <w:rsid w:val="52A51BF5"/>
    <w:rsid w:val="52C7652D"/>
    <w:rsid w:val="52DC1FC9"/>
    <w:rsid w:val="535B7777"/>
    <w:rsid w:val="53881E75"/>
    <w:rsid w:val="53A56FC8"/>
    <w:rsid w:val="54664607"/>
    <w:rsid w:val="54682884"/>
    <w:rsid w:val="55B962AA"/>
    <w:rsid w:val="565C6063"/>
    <w:rsid w:val="56975AD9"/>
    <w:rsid w:val="56C00BAE"/>
    <w:rsid w:val="57E8758D"/>
    <w:rsid w:val="580C7188"/>
    <w:rsid w:val="58613E05"/>
    <w:rsid w:val="586212CD"/>
    <w:rsid w:val="58A67759"/>
    <w:rsid w:val="58BF0B2C"/>
    <w:rsid w:val="592B7E1E"/>
    <w:rsid w:val="59777132"/>
    <w:rsid w:val="5988716F"/>
    <w:rsid w:val="5A767B18"/>
    <w:rsid w:val="5BA62F66"/>
    <w:rsid w:val="5BC246B9"/>
    <w:rsid w:val="5C2802CE"/>
    <w:rsid w:val="5C5E2128"/>
    <w:rsid w:val="5CDB3E8C"/>
    <w:rsid w:val="5D385AF0"/>
    <w:rsid w:val="5E986FA3"/>
    <w:rsid w:val="5F732E10"/>
    <w:rsid w:val="5FA621C4"/>
    <w:rsid w:val="5FB76A00"/>
    <w:rsid w:val="6021282E"/>
    <w:rsid w:val="60432C6A"/>
    <w:rsid w:val="60B12D19"/>
    <w:rsid w:val="60B64F60"/>
    <w:rsid w:val="60E90C0A"/>
    <w:rsid w:val="61F65390"/>
    <w:rsid w:val="61FF06CB"/>
    <w:rsid w:val="623B2254"/>
    <w:rsid w:val="623E4AD0"/>
    <w:rsid w:val="62592EEE"/>
    <w:rsid w:val="625E50C6"/>
    <w:rsid w:val="632F68AE"/>
    <w:rsid w:val="63665E9A"/>
    <w:rsid w:val="636B41A3"/>
    <w:rsid w:val="63CE60C7"/>
    <w:rsid w:val="63DE35C9"/>
    <w:rsid w:val="64444E79"/>
    <w:rsid w:val="659831F2"/>
    <w:rsid w:val="65C14F9A"/>
    <w:rsid w:val="6625014D"/>
    <w:rsid w:val="66AE5763"/>
    <w:rsid w:val="67083DB5"/>
    <w:rsid w:val="672D47F6"/>
    <w:rsid w:val="67676E56"/>
    <w:rsid w:val="676D5891"/>
    <w:rsid w:val="67A07C7D"/>
    <w:rsid w:val="67DD2A4B"/>
    <w:rsid w:val="68F06C77"/>
    <w:rsid w:val="69102B27"/>
    <w:rsid w:val="694A2693"/>
    <w:rsid w:val="698B0CB7"/>
    <w:rsid w:val="6A5247FE"/>
    <w:rsid w:val="6AC12C7F"/>
    <w:rsid w:val="6B1C15B3"/>
    <w:rsid w:val="6C1F48FD"/>
    <w:rsid w:val="6C8055A9"/>
    <w:rsid w:val="6CA257B3"/>
    <w:rsid w:val="6DED54E0"/>
    <w:rsid w:val="6DF752B6"/>
    <w:rsid w:val="6E817321"/>
    <w:rsid w:val="6EC32924"/>
    <w:rsid w:val="6EE82732"/>
    <w:rsid w:val="6F5021BD"/>
    <w:rsid w:val="6F6E72B9"/>
    <w:rsid w:val="6F8B2B09"/>
    <w:rsid w:val="6FD67088"/>
    <w:rsid w:val="6FF21757"/>
    <w:rsid w:val="706368DC"/>
    <w:rsid w:val="70BA3C5B"/>
    <w:rsid w:val="710F044A"/>
    <w:rsid w:val="711A1289"/>
    <w:rsid w:val="71713E12"/>
    <w:rsid w:val="72234E23"/>
    <w:rsid w:val="72AC6534"/>
    <w:rsid w:val="732B120B"/>
    <w:rsid w:val="735C36EF"/>
    <w:rsid w:val="738E104D"/>
    <w:rsid w:val="73C22660"/>
    <w:rsid w:val="749E536C"/>
    <w:rsid w:val="74D0113C"/>
    <w:rsid w:val="74E251C8"/>
    <w:rsid w:val="75952A7F"/>
    <w:rsid w:val="772A22BC"/>
    <w:rsid w:val="77530B8C"/>
    <w:rsid w:val="79910794"/>
    <w:rsid w:val="7A571B6D"/>
    <w:rsid w:val="7A7F3A56"/>
    <w:rsid w:val="7B181B8C"/>
    <w:rsid w:val="7B5353D8"/>
    <w:rsid w:val="7B757A83"/>
    <w:rsid w:val="7BE57DD3"/>
    <w:rsid w:val="7BEB373C"/>
    <w:rsid w:val="7C235D0F"/>
    <w:rsid w:val="7C4D15EC"/>
    <w:rsid w:val="7D09344F"/>
    <w:rsid w:val="7D6E1D76"/>
    <w:rsid w:val="7D6F6E6D"/>
    <w:rsid w:val="7EB84A57"/>
    <w:rsid w:val="7F2A6A9E"/>
    <w:rsid w:val="7FD604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iPriority="0" w:semiHidden="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3">
    <w:name w:val="Default Paragraph Font"/>
    <w:autoRedefine/>
    <w:semiHidden/>
    <w:unhideWhenUsed/>
    <w:qFormat/>
    <w:uiPriority w:val="1"/>
  </w:style>
  <w:style w:type="table" w:default="1" w:styleId="12">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link w:val="29"/>
    <w:autoRedefine/>
    <w:qFormat/>
    <w:uiPriority w:val="0"/>
    <w:pPr>
      <w:jc w:val="left"/>
    </w:pPr>
    <w:rPr>
      <w:rFonts w:eastAsia="仿宋_GB2312"/>
      <w:sz w:val="30"/>
      <w:szCs w:val="20"/>
    </w:rPr>
  </w:style>
  <w:style w:type="paragraph" w:styleId="3">
    <w:name w:val="Body Text"/>
    <w:basedOn w:val="1"/>
    <w:autoRedefine/>
    <w:qFormat/>
    <w:uiPriority w:val="0"/>
    <w:pPr>
      <w:spacing w:after="120"/>
    </w:pPr>
    <w:rPr>
      <w:rFonts w:ascii="宋体"/>
      <w:sz w:val="28"/>
      <w:szCs w:val="20"/>
    </w:rPr>
  </w:style>
  <w:style w:type="paragraph" w:styleId="4">
    <w:name w:val="Body Text Indent"/>
    <w:basedOn w:val="1"/>
    <w:autoRedefine/>
    <w:qFormat/>
    <w:uiPriority w:val="0"/>
    <w:pPr>
      <w:ind w:firstLine="430" w:firstLineChars="205"/>
    </w:pPr>
  </w:style>
  <w:style w:type="paragraph" w:styleId="5">
    <w:name w:val="Plain Text"/>
    <w:basedOn w:val="6"/>
    <w:autoRedefine/>
    <w:unhideWhenUsed/>
    <w:qFormat/>
    <w:uiPriority w:val="0"/>
    <w:rPr>
      <w:rFonts w:ascii="宋体" w:hAnsi="Courier New"/>
      <w:kern w:val="0"/>
      <w:sz w:val="20"/>
    </w:rPr>
  </w:style>
  <w:style w:type="paragraph" w:customStyle="1" w:styleId="6">
    <w:name w:val="正文_2"/>
    <w:autoRedefine/>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7">
    <w:name w:val="Balloon Text"/>
    <w:basedOn w:val="1"/>
    <w:link w:val="28"/>
    <w:autoRedefine/>
    <w:semiHidden/>
    <w:qFormat/>
    <w:uiPriority w:val="0"/>
    <w:rPr>
      <w:sz w:val="18"/>
      <w:szCs w:val="18"/>
    </w:rPr>
  </w:style>
  <w:style w:type="paragraph" w:styleId="8">
    <w:name w:val="footer"/>
    <w:basedOn w:val="1"/>
    <w:autoRedefine/>
    <w:qFormat/>
    <w:uiPriority w:val="0"/>
    <w:pPr>
      <w:tabs>
        <w:tab w:val="center" w:pos="4153"/>
        <w:tab w:val="right" w:pos="8306"/>
      </w:tabs>
      <w:snapToGrid w:val="0"/>
      <w:jc w:val="left"/>
    </w:pPr>
    <w:rPr>
      <w:sz w:val="18"/>
      <w:szCs w:val="18"/>
    </w:rPr>
  </w:style>
  <w:style w:type="paragraph" w:styleId="9">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autoRedefine/>
    <w:semiHidden/>
    <w:unhideWhenUsed/>
    <w:qFormat/>
    <w:uiPriority w:val="0"/>
    <w:pPr>
      <w:spacing w:before="0" w:beforeAutospacing="1" w:after="0" w:afterAutospacing="1"/>
      <w:ind w:left="0" w:right="0"/>
      <w:jc w:val="left"/>
    </w:pPr>
    <w:rPr>
      <w:kern w:val="0"/>
      <w:sz w:val="24"/>
      <w:lang w:val="en-US" w:eastAsia="zh-CN" w:bidi="ar"/>
    </w:rPr>
  </w:style>
  <w:style w:type="paragraph" w:styleId="11">
    <w:name w:val="annotation subject"/>
    <w:basedOn w:val="2"/>
    <w:next w:val="2"/>
    <w:link w:val="30"/>
    <w:autoRedefine/>
    <w:qFormat/>
    <w:uiPriority w:val="0"/>
    <w:rPr>
      <w:rFonts w:eastAsia="宋体"/>
      <w:b/>
      <w:bCs/>
      <w:sz w:val="21"/>
      <w:szCs w:val="24"/>
    </w:rPr>
  </w:style>
  <w:style w:type="character" w:styleId="14">
    <w:name w:val="page number"/>
    <w:basedOn w:val="13"/>
    <w:autoRedefine/>
    <w:qFormat/>
    <w:uiPriority w:val="0"/>
  </w:style>
  <w:style w:type="character" w:styleId="15">
    <w:name w:val="annotation reference"/>
    <w:autoRedefine/>
    <w:qFormat/>
    <w:uiPriority w:val="0"/>
    <w:rPr>
      <w:sz w:val="21"/>
      <w:szCs w:val="21"/>
    </w:rPr>
  </w:style>
  <w:style w:type="paragraph" w:styleId="16">
    <w:name w:val="List Paragraph"/>
    <w:basedOn w:val="1"/>
    <w:autoRedefine/>
    <w:qFormat/>
    <w:uiPriority w:val="34"/>
    <w:pPr>
      <w:ind w:firstLine="420" w:firstLineChars="200"/>
    </w:pPr>
    <w:rPr>
      <w:rFonts w:asciiTheme="minorHAnsi" w:hAnsiTheme="minorHAnsi" w:eastAsiaTheme="minorEastAsia" w:cstheme="minorBidi"/>
      <w:szCs w:val="22"/>
    </w:rPr>
  </w:style>
  <w:style w:type="character" w:customStyle="1" w:styleId="17">
    <w:name w:val="bulletintext"/>
    <w:basedOn w:val="13"/>
    <w:autoRedefine/>
    <w:qFormat/>
    <w:uiPriority w:val="0"/>
  </w:style>
  <w:style w:type="paragraph" w:customStyle="1" w:styleId="18">
    <w:name w:val="Char Char Char Char Char Char Char Char Char Char Char Char Char"/>
    <w:basedOn w:val="1"/>
    <w:autoRedefine/>
    <w:qFormat/>
    <w:uiPriority w:val="0"/>
    <w:rPr>
      <w:rFonts w:ascii="仿宋_GB2312" w:eastAsia="仿宋_GB2312"/>
      <w:b/>
      <w:sz w:val="32"/>
      <w:szCs w:val="32"/>
    </w:rPr>
  </w:style>
  <w:style w:type="paragraph" w:customStyle="1" w:styleId="19">
    <w:name w:val="Char Char Char Char Char Char Char Char Char Char Char Char Char Char Char Char Char Char Char Char Char Char Char Char Char Char Char Char Char Char Char Char Char"/>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20">
    <w:name w:val="Char Char Char Char"/>
    <w:basedOn w:val="1"/>
    <w:autoRedefine/>
    <w:qFormat/>
    <w:uiPriority w:val="0"/>
    <w:rPr>
      <w:rFonts w:ascii="仿宋_GB2312" w:eastAsia="仿宋_GB2312"/>
      <w:b/>
      <w:sz w:val="32"/>
      <w:szCs w:val="32"/>
    </w:rPr>
  </w:style>
  <w:style w:type="paragraph" w:customStyle="1" w:styleId="21">
    <w:name w:val="列出段落1"/>
    <w:basedOn w:val="1"/>
    <w:autoRedefine/>
    <w:qFormat/>
    <w:uiPriority w:val="0"/>
    <w:pPr>
      <w:ind w:firstLine="420" w:firstLineChars="200"/>
    </w:pPr>
    <w:rPr>
      <w:rFonts w:ascii="Calibri" w:hAnsi="Calibri"/>
      <w:szCs w:val="22"/>
    </w:rPr>
  </w:style>
  <w:style w:type="paragraph" w:customStyle="1" w:styleId="22">
    <w:name w:val="_Style 7"/>
    <w:basedOn w:val="1"/>
    <w:autoRedefine/>
    <w:qFormat/>
    <w:uiPriority w:val="0"/>
    <w:rPr>
      <w:rFonts w:ascii="仿宋_GB2312" w:eastAsia="仿宋_GB2312"/>
      <w:b/>
      <w:sz w:val="32"/>
      <w:szCs w:val="32"/>
    </w:rPr>
  </w:style>
  <w:style w:type="paragraph" w:customStyle="1" w:styleId="23">
    <w:name w:val="Char Char Char Char Char Char Char Char Char Char Char Char Char Char Char Char Char Char Char Char Char Char Char Char Char Char Char Char Char Char Char Char Char1"/>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24">
    <w:name w:val="默认段落字体 Para Char"/>
    <w:basedOn w:val="1"/>
    <w:autoRedefine/>
    <w:qFormat/>
    <w:uiPriority w:val="0"/>
    <w:pPr>
      <w:tabs>
        <w:tab w:val="left" w:pos="1080"/>
      </w:tabs>
      <w:ind w:left="360" w:hanging="360"/>
    </w:pPr>
  </w:style>
  <w:style w:type="paragraph" w:customStyle="1" w:styleId="25">
    <w:name w:val="Char Char4 Char"/>
    <w:basedOn w:val="1"/>
    <w:autoRedefine/>
    <w:qFormat/>
    <w:uiPriority w:val="0"/>
    <w:rPr>
      <w:szCs w:val="20"/>
    </w:rPr>
  </w:style>
  <w:style w:type="paragraph" w:customStyle="1" w:styleId="26">
    <w:name w:val="_Style 10"/>
    <w:basedOn w:val="1"/>
    <w:autoRedefine/>
    <w:qFormat/>
    <w:uiPriority w:val="0"/>
    <w:rPr>
      <w:rFonts w:ascii="仿宋_GB2312" w:eastAsia="仿宋_GB2312"/>
      <w:b/>
      <w:sz w:val="32"/>
      <w:szCs w:val="32"/>
    </w:rPr>
  </w:style>
  <w:style w:type="paragraph" w:customStyle="1" w:styleId="27">
    <w:name w:val="Char Char"/>
    <w:basedOn w:val="1"/>
    <w:autoRedefine/>
    <w:qFormat/>
    <w:uiPriority w:val="0"/>
    <w:rPr>
      <w:rFonts w:ascii="仿宋_GB2312" w:eastAsia="仿宋_GB2312"/>
      <w:b/>
      <w:sz w:val="32"/>
      <w:szCs w:val="32"/>
    </w:rPr>
  </w:style>
  <w:style w:type="character" w:customStyle="1" w:styleId="28">
    <w:name w:val="批注框文本 Char"/>
    <w:link w:val="7"/>
    <w:autoRedefine/>
    <w:qFormat/>
    <w:uiPriority w:val="0"/>
    <w:rPr>
      <w:rFonts w:eastAsia="宋体"/>
      <w:kern w:val="2"/>
      <w:sz w:val="18"/>
      <w:szCs w:val="18"/>
      <w:lang w:val="en-US" w:eastAsia="zh-CN" w:bidi="ar-SA"/>
    </w:rPr>
  </w:style>
  <w:style w:type="character" w:customStyle="1" w:styleId="29">
    <w:name w:val="批注文字 Char1"/>
    <w:basedOn w:val="13"/>
    <w:link w:val="2"/>
    <w:autoRedefine/>
    <w:semiHidden/>
    <w:qFormat/>
    <w:uiPriority w:val="0"/>
    <w:rPr>
      <w:rFonts w:eastAsia="仿宋_GB2312"/>
      <w:kern w:val="2"/>
      <w:sz w:val="30"/>
    </w:rPr>
  </w:style>
  <w:style w:type="character" w:customStyle="1" w:styleId="30">
    <w:name w:val="批注主题 Char"/>
    <w:basedOn w:val="29"/>
    <w:link w:val="11"/>
    <w:autoRedefine/>
    <w:qFormat/>
    <w:uiPriority w:val="0"/>
    <w:rPr>
      <w:rFonts w:eastAsia="仿宋_GB2312"/>
      <w:kern w:val="2"/>
      <w:sz w:val="30"/>
    </w:rPr>
  </w:style>
  <w:style w:type="paragraph" w:customStyle="1" w:styleId="31">
    <w:name w:val="样式3"/>
    <w:basedOn w:val="1"/>
    <w:autoRedefine/>
    <w:qFormat/>
    <w:uiPriority w:val="0"/>
    <w:pPr>
      <w:spacing w:line="360" w:lineRule="auto"/>
      <w:ind w:left="252" w:leftChars="120" w:firstLine="206" w:firstLineChars="98"/>
    </w:pPr>
    <w:rPr>
      <w:rFonts w:ascii="宋体" w:hAnsi="宋体"/>
      <w:szCs w:val="44"/>
    </w:rPr>
  </w:style>
  <w:style w:type="character" w:customStyle="1" w:styleId="32">
    <w:name w:val="批注文字 Char"/>
    <w:basedOn w:val="13"/>
    <w:autoRedefine/>
    <w:qFormat/>
    <w:uiPriority w:val="0"/>
    <w:rPr>
      <w:rFonts w:ascii="仿宋_GB2312" w:eastAsia="仿宋_GB2312"/>
      <w:b/>
      <w:kern w:val="2"/>
      <w:sz w:val="21"/>
      <w:szCs w:val="24"/>
    </w:rPr>
  </w:style>
  <w:style w:type="paragraph" w:customStyle="1" w:styleId="33">
    <w:name w:val="修订1"/>
    <w:autoRedefine/>
    <w:hidden/>
    <w:unhideWhenUsed/>
    <w:qFormat/>
    <w:uiPriority w:val="99"/>
    <w:rPr>
      <w:rFonts w:ascii="Times New Roman" w:hAnsi="Times New Roman" w:eastAsia="宋体" w:cs="Times New Roman"/>
      <w:kern w:val="2"/>
      <w:sz w:val="21"/>
      <w:szCs w:val="24"/>
      <w:lang w:val="en-US" w:eastAsia="zh-CN" w:bidi="ar-SA"/>
    </w:rPr>
  </w:style>
  <w:style w:type="paragraph" w:customStyle="1" w:styleId="34">
    <w:name w:val="Revision"/>
    <w:autoRedefine/>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933461-CF27-4B84-95B9-BCD6D0BF2583}">
  <ds:schemaRefs/>
</ds:datastoreItem>
</file>

<file path=docProps/app.xml><?xml version="1.0" encoding="utf-8"?>
<Properties xmlns="http://schemas.openxmlformats.org/officeDocument/2006/extended-properties" xmlns:vt="http://schemas.openxmlformats.org/officeDocument/2006/docPropsVTypes">
  <Template>Normal</Template>
  <Company>Microsoft China</Company>
  <Pages>2</Pages>
  <Words>1586</Words>
  <Characters>1692</Characters>
  <Lines>39</Lines>
  <Paragraphs>11</Paragraphs>
  <TotalTime>11</TotalTime>
  <ScaleCrop>false</ScaleCrop>
  <LinksUpToDate>false</LinksUpToDate>
  <CharactersWithSpaces>1693</CharactersWithSpaces>
  <Application>WPS Office_12.1.0.20288_F1E327BC-269C-435d-A152-05C5408002CA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2016-05-26T04:05:00Z</dcterms:created>
  <dc:creator>叶新君</dc:creator>
  <cp:lastModifiedBy>Chenang</cp:lastModifiedBy>
  <cp:lastPrinted>2019-05-15T03:40:00Z</cp:lastPrinted>
  <dcterms:modified xsi:type="dcterms:W3CDTF">2025-10-23T01:51:02Z</dcterms:modified>
  <dc:title>工程量清单编制说明</dc:title>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2052-12.1.0.20288</vt:lpwstr>
  </property>
  <property fmtid="{D5CDD505-2E9C-101B-9397-08002B2CF9AE}" pid="3" name="ICV">
    <vt:lpwstr>F317E824E36C45C185AB22EB0B73161A_13</vt:lpwstr>
  </property>
  <property fmtid="{D5CDD505-2E9C-101B-9397-08002B2CF9AE}" pid="4" name="KSOTemplateDocerSaveRecord">
    <vt:lpwstr>eyJoZGlkIjoiMzEwNTM5NzYwMDRjMzkwZTVkZjY2ODkwMGIxNGU0OTUiLCJ1c2VySWQiOiI1OTkwMDgyMTgifQ==</vt:lpwstr>
  </property>
</Properties>
</file>