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4F986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一、工程概况</w:t>
      </w:r>
    </w:p>
    <w:p w14:paraId="10802503">
      <w:pPr>
        <w:spacing w:line="520" w:lineRule="exact"/>
        <w:ind w:firstLine="560"/>
        <w:jc w:val="left"/>
        <w:rPr>
          <w:rFonts w:ascii="宋体" w:hAnsi="宋体" w:eastAsia="宋体" w:cs="宋体"/>
          <w:kern w:val="22"/>
          <w:sz w:val="24"/>
        </w:rPr>
      </w:pPr>
      <w:bookmarkStart w:id="0" w:name="_Toc5791753"/>
      <w:r>
        <w:rPr>
          <w:rFonts w:hint="eastAsia" w:ascii="宋体" w:hAnsi="宋体" w:eastAsia="宋体" w:cs="宋体"/>
          <w:kern w:val="22"/>
          <w:sz w:val="24"/>
        </w:rPr>
        <w:t>新疆伊犁新天煤化工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有限责任公司</w:t>
      </w:r>
      <w:r>
        <w:rPr>
          <w:rFonts w:hint="eastAsia" w:ascii="宋体" w:hAnsi="宋体" w:eastAsia="宋体" w:cs="宋体"/>
          <w:kern w:val="22"/>
          <w:sz w:val="24"/>
        </w:rPr>
        <w:t>位于伊犁哈萨克自治州伊宁市巴彦岱镇，厂区用地面积约2平方千米，场地呈梯形分布，北高南低，厂区海拔在1000-1070米之间。</w:t>
      </w:r>
    </w:p>
    <w:p w14:paraId="20B1FC68">
      <w:pPr>
        <w:spacing w:line="520" w:lineRule="exact"/>
        <w:ind w:firstLine="56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厂区所在区域为湿陷性黄土区，在雨雪天气或运行排水的影响下较易发生沉降，为了及时了解的沉降情况，确保安全，202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22"/>
          <w:sz w:val="24"/>
        </w:rPr>
        <w:t>年根据上一年度沉降观测情况，继续对厂区主要建构筑物进行水准沉降观测，对厂区高边坡进行沉降观测及平面位移观测。</w:t>
      </w:r>
    </w:p>
    <w:p w14:paraId="7DFBDDCA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二、</w:t>
      </w:r>
      <w:bookmarkEnd w:id="0"/>
      <w:r>
        <w:rPr>
          <w:rFonts w:hint="eastAsia" w:ascii="宋体" w:hAnsi="宋体" w:eastAsia="宋体" w:cs="宋体"/>
          <w:b/>
          <w:kern w:val="22"/>
          <w:sz w:val="28"/>
          <w:szCs w:val="28"/>
        </w:rPr>
        <w:t>工作范围及内容：</w:t>
      </w:r>
    </w:p>
    <w:p w14:paraId="1E57B615">
      <w:pPr>
        <w:spacing w:line="520" w:lineRule="exact"/>
        <w:ind w:firstLine="480" w:firstLineChars="200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1、安排测量技术人员3名（常驻新天公司，主测1名，协测2名），配备一辆工程车辆，用于远距离测量设备和人员的运输。</w:t>
      </w:r>
    </w:p>
    <w:p w14:paraId="1249B79F">
      <w:pPr>
        <w:spacing w:line="520" w:lineRule="exact"/>
        <w:ind w:firstLine="480" w:firstLineChars="200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2、全年3次（1、2、12月不计），每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3</w:t>
      </w:r>
      <w:bookmarkStart w:id="4" w:name="_GoBack"/>
      <w:bookmarkEnd w:id="4"/>
      <w:r>
        <w:rPr>
          <w:rFonts w:hint="eastAsia" w:ascii="宋体" w:hAnsi="宋体" w:eastAsia="宋体" w:cs="宋体"/>
          <w:kern w:val="22"/>
          <w:sz w:val="24"/>
        </w:rPr>
        <w:t>个月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22"/>
          <w:sz w:val="24"/>
        </w:rPr>
        <w:t>次对全厂各装置及配套工程（含刚性暂存池、厂外各级泵站泵房、高位水池、配套管线及外线基础等）、建构筑物、设备基础、水池、筒仓、高塔、罐体等的沉降观测工作，护坡的平面位移和沉降观测工作，维护和修正现有的沉降观测点及新增观测点的安装工作。</w:t>
      </w:r>
    </w:p>
    <w:p w14:paraId="5FBC6DA5">
      <w:pPr>
        <w:spacing w:line="520" w:lineRule="exact"/>
        <w:ind w:firstLine="480" w:firstLineChars="200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3、重点区域观测按每月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kern w:val="22"/>
          <w:sz w:val="24"/>
        </w:rPr>
        <w:t>次频次执行，不少于9个月的记录（1、2、12月不计）。</w:t>
      </w:r>
    </w:p>
    <w:p w14:paraId="6204E971">
      <w:pPr>
        <w:spacing w:line="520" w:lineRule="exact"/>
        <w:ind w:firstLine="480" w:firstLineChars="200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4、对所观测的数据进行记录、分析及处理建议，并编制监测成果报告，季度及重点观测报告要于每月25号前上报管理部门。</w:t>
      </w:r>
    </w:p>
    <w:p w14:paraId="1F2D5823">
      <w:pPr>
        <w:spacing w:line="520" w:lineRule="exact"/>
        <w:ind w:firstLine="480" w:firstLineChars="200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5、对所有观测点位增加不锈钢保护盒及不锈钢铭牌（所有观测点位名称刻印在铭牌上），含安装及成品不锈钢保护盒及铭牌，不锈钢保护盒规格长宽高15cm*15cm*10cm，不锈钢铭牌规格长宽15cm*10cm，共2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kern w:val="22"/>
          <w:sz w:val="24"/>
        </w:rPr>
        <w:t>00组。</w:t>
      </w:r>
    </w:p>
    <w:p w14:paraId="4D8E7767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三、执行的技术标准</w:t>
      </w:r>
    </w:p>
    <w:p w14:paraId="600C71F3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1、《国家一、二等水准测量规范》（GB/T12897）</w:t>
      </w:r>
    </w:p>
    <w:p w14:paraId="087F37DC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 xml:space="preserve">2、《全球定位系统实时动态测量(RTK)技术规范》CH/T </w:t>
      </w:r>
    </w:p>
    <w:p w14:paraId="59DA5BCD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3、《建筑变形测量规范》（JGJ 8）</w:t>
      </w:r>
    </w:p>
    <w:p w14:paraId="55E64B25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4、《测绘技术总结编写规定》CH/T1001</w:t>
      </w:r>
    </w:p>
    <w:p w14:paraId="6190167A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5、《测绘成果质量检查与验收标准》 GB /T24356</w:t>
      </w:r>
    </w:p>
    <w:p w14:paraId="480A1B82">
      <w:pPr>
        <w:spacing w:line="520" w:lineRule="exac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执行的标准规范包括但不限于上述内容，如果采用其它标准，其要求不得低于上述标准。上述标准如有新版本，以最新的版本为准。</w:t>
      </w:r>
    </w:p>
    <w:p w14:paraId="0F37B3FE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四、测量人员要求：</w:t>
      </w:r>
    </w:p>
    <w:p w14:paraId="0B407ECB">
      <w:pPr>
        <w:spacing w:line="520" w:lineRule="exact"/>
        <w:ind w:firstLine="562" w:firstLineChars="200"/>
        <w:jc w:val="left"/>
        <w:rPr>
          <w:rFonts w:ascii="宋体" w:hAnsi="宋体" w:eastAsia="宋体" w:cs="宋体"/>
          <w:b/>
          <w:kern w:val="22"/>
          <w:sz w:val="24"/>
        </w:rPr>
      </w:pPr>
      <w:r>
        <w:rPr>
          <w:rFonts w:ascii="宋体" w:hAnsi="宋体" w:eastAsia="宋体" w:cs="宋体"/>
          <w:b/>
          <w:kern w:val="2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22"/>
          <w:sz w:val="24"/>
        </w:rPr>
        <w:t>要求测量专业大学专科以上毕业，具有3年以上专业测量工作经验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，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主测具有测量专业中级职称，</w:t>
      </w:r>
      <w:r>
        <w:rPr>
          <w:rFonts w:hint="eastAsia" w:ascii="宋体" w:hAnsi="宋体" w:eastAsia="宋体" w:cs="宋体"/>
          <w:kern w:val="22"/>
          <w:sz w:val="24"/>
        </w:rPr>
        <w:t>熟悉测量相关的国家规范，能够熟练使用GPS、电子全站仪、电子经纬仪、电子水准仪等测量设备，按期向相关政府部门报检测量设备；能够按照二等水准测量精度进行测量及编制测量记录，制作沉降观测成果表、沉降观测曲线图并形成沉降观测成果报告。在缺失沉降观测点的区域和位置增加沉降观测点。能够利用RTK设备测量地域区域内的地形特征值，可以按照方格网对大型土石方的进行挖填平衡计算，提交最优高程建议。</w:t>
      </w:r>
    </w:p>
    <w:p w14:paraId="30046C55">
      <w:pPr>
        <w:numPr>
          <w:ilvl w:val="0"/>
          <w:numId w:val="1"/>
        </w:numPr>
        <w:tabs>
          <w:tab w:val="left" w:pos="1002"/>
        </w:tabs>
        <w:spacing w:line="500" w:lineRule="exact"/>
        <w:jc w:val="left"/>
        <w:rPr>
          <w:rFonts w:hint="eastAsia"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测量仪器要求：</w:t>
      </w:r>
    </w:p>
    <w:p w14:paraId="48078203">
      <w:pPr>
        <w:numPr>
          <w:ilvl w:val="0"/>
          <w:numId w:val="2"/>
        </w:numPr>
        <w:tabs>
          <w:tab w:val="left" w:pos="1002"/>
        </w:tabs>
        <w:spacing w:line="520" w:lineRule="exact"/>
        <w:jc w:val="left"/>
        <w:rPr>
          <w:rFonts w:hint="eastAsia"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主要设备为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kern w:val="22"/>
          <w:sz w:val="24"/>
        </w:rPr>
        <w:t>提供</w:t>
      </w:r>
    </w:p>
    <w:p w14:paraId="5F922EB1">
      <w:pPr>
        <w:numPr>
          <w:ilvl w:val="0"/>
          <w:numId w:val="0"/>
        </w:numPr>
        <w:tabs>
          <w:tab w:val="left" w:pos="1002"/>
        </w:tabs>
        <w:spacing w:line="520" w:lineRule="exact"/>
        <w:jc w:val="left"/>
        <w:rPr>
          <w:rFonts w:hint="default" w:ascii="宋体" w:hAnsi="宋体" w:eastAsia="宋体" w:cs="宋体"/>
          <w:kern w:val="22"/>
          <w:sz w:val="24"/>
          <w:lang w:val="en-US" w:eastAsia="zh-CN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(1)RTK</w:t>
      </w:r>
    </w:p>
    <w:p w14:paraId="66BCD3DA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准确度等级：坐标精度8mm+1ppm，高程精度2.5mm+0.5ppm</w:t>
      </w:r>
    </w:p>
    <w:p w14:paraId="5F7D906F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参考品牌型号：</w:t>
      </w:r>
      <w:r>
        <w:rPr>
          <w:rFonts w:hint="eastAsia" w:ascii="宋体" w:hAnsi="宋体" w:eastAsia="宋体" w:cs="宋体"/>
          <w:kern w:val="22"/>
          <w:sz w:val="24"/>
        </w:rPr>
        <w:t>中海达A12</w:t>
      </w:r>
    </w:p>
    <w:p w14:paraId="65242322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（2）电子经纬仪</w:t>
      </w:r>
    </w:p>
    <w:p w14:paraId="5C86699A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准确度等级：测距精度3mm+2ppm，测角精度不大于2″</w:t>
      </w:r>
    </w:p>
    <w:p w14:paraId="1CCB2447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参考品牌型号</w:t>
      </w:r>
      <w:r>
        <w:rPr>
          <w:rFonts w:hint="eastAsia" w:ascii="宋体" w:hAnsi="宋体" w:eastAsia="宋体" w:cs="宋体"/>
          <w:kern w:val="22"/>
          <w:sz w:val="24"/>
        </w:rPr>
        <w:t>：南方测绘NT-023</w:t>
      </w:r>
    </w:p>
    <w:p w14:paraId="7C38E53E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（3）电子水准仪</w:t>
      </w:r>
    </w:p>
    <w:p w14:paraId="72B389EB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准确度等级：每公里往返测量高差0.5mm以内</w:t>
      </w:r>
    </w:p>
    <w:p w14:paraId="20E266BF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参考品牌型号</w:t>
      </w:r>
      <w:r>
        <w:rPr>
          <w:rFonts w:hint="eastAsia" w:ascii="宋体" w:hAnsi="宋体" w:eastAsia="宋体" w:cs="宋体"/>
          <w:kern w:val="22"/>
          <w:sz w:val="24"/>
        </w:rPr>
        <w:t>：徕卡Sprinter350M-CN</w:t>
      </w:r>
    </w:p>
    <w:p w14:paraId="03582C71">
      <w:pPr>
        <w:tabs>
          <w:tab w:val="left" w:pos="1002"/>
        </w:tabs>
        <w:spacing w:line="520" w:lineRule="exact"/>
        <w:jc w:val="left"/>
        <w:rPr>
          <w:rFonts w:hint="default" w:ascii="宋体" w:hAnsi="宋体" w:eastAsia="宋体" w:cs="宋体"/>
          <w:color w:val="ED7D31" w:themeColor="accent2"/>
          <w:kern w:val="22"/>
          <w:sz w:val="24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宋体" w:hAnsi="宋体" w:eastAsia="宋体" w:cs="宋体"/>
          <w:color w:val="ED7D31" w:themeColor="accent2"/>
          <w:kern w:val="22"/>
          <w:sz w:val="24"/>
          <w:lang w:val="en-US" w:eastAsia="zh-CN"/>
          <w14:textFill>
            <w14:solidFill>
              <w14:schemeClr w14:val="accent2"/>
            </w14:solidFill>
          </w14:textFill>
        </w:rPr>
        <w:t>以上测量仪器为参考品牌和型号，投标人提供的测量仪器的精度不低于上述所列。</w:t>
      </w:r>
    </w:p>
    <w:p w14:paraId="7D0726F0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2、其他设备由测量单位提供，按照以下要求操作。</w:t>
      </w:r>
    </w:p>
    <w:p w14:paraId="685B3D9E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（1）沉降观测和高程测量仪器须采用精密水准仪，配合2米数码铟钢尺。</w:t>
      </w:r>
    </w:p>
    <w:p w14:paraId="50FC40AE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（2）高边坡水平移仪器采用全站仪，仪器标称精度测角2秒，测边2mm＋2PPm。</w:t>
      </w:r>
    </w:p>
    <w:p w14:paraId="7AAF6775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（3）观测仪器应国家计量法规要求定期送检，经认证授权的仪器检定部门检定合格后方可使用。平时使用要按国家规范要求进行日常检测维护，保证观测仪器处于良好状态，不影响测量成果的质量。</w:t>
      </w:r>
    </w:p>
    <w:p w14:paraId="77C72CE9">
      <w:pPr>
        <w:tabs>
          <w:tab w:val="left" w:pos="1002"/>
        </w:tabs>
        <w:spacing w:line="520" w:lineRule="exact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（4）测量软件应选用合格的测量平差软件。</w:t>
      </w:r>
    </w:p>
    <w:p w14:paraId="742A72CB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六、测量监测要求</w:t>
      </w:r>
    </w:p>
    <w:p w14:paraId="78793391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1、高程起算点</w:t>
      </w:r>
    </w:p>
    <w:p w14:paraId="485FBFEF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沉降观测的高程为1985国家高程基准，采用E201为厂区高程控制点起算点。坐标采用国家2000坐标系。</w:t>
      </w:r>
    </w:p>
    <w:p w14:paraId="0E8E0511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2、沉降工作基点</w:t>
      </w:r>
    </w:p>
    <w:p w14:paraId="3A3AE504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新天公司厂内已做5个桩基沉降观测工作基点，编号分别为K1～K5，工作基点平均分布于厂区内，深度约10m。首次从E201引测高程，后期以此5桩基点做为以后各次观测的基准点。</w:t>
      </w:r>
    </w:p>
    <w:p w14:paraId="3A2C7FBA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3、沉降观测点</w:t>
      </w:r>
    </w:p>
    <w:p w14:paraId="1A781E94">
      <w:pPr>
        <w:tabs>
          <w:tab w:val="left" w:pos="1002"/>
        </w:tabs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22"/>
          <w:sz w:val="24"/>
          <w:lang w:eastAsia="zh-CN"/>
        </w:rPr>
      </w:pPr>
      <w:r>
        <w:rPr>
          <w:rFonts w:hint="eastAsia" w:ascii="宋体" w:hAnsi="宋体" w:eastAsia="宋体" w:cs="宋体"/>
          <w:kern w:val="22"/>
          <w:sz w:val="24"/>
        </w:rPr>
        <w:t>202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5年已有点位2666，2026年观测点位共3040个，其中</w:t>
      </w:r>
      <w:r>
        <w:rPr>
          <w:rFonts w:hint="eastAsia" w:ascii="宋体" w:hAnsi="宋体" w:eastAsia="宋体" w:cs="宋体"/>
          <w:kern w:val="22"/>
          <w:sz w:val="24"/>
        </w:rPr>
        <w:t>观测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kern w:val="22"/>
          <w:sz w:val="24"/>
        </w:rPr>
        <w:t>次的点位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2619</w:t>
      </w:r>
      <w:r>
        <w:rPr>
          <w:rFonts w:hint="eastAsia" w:ascii="宋体" w:hAnsi="宋体" w:eastAsia="宋体" w:cs="宋体"/>
          <w:kern w:val="22"/>
          <w:sz w:val="24"/>
        </w:rPr>
        <w:t>个点，观测9次的点位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265</w:t>
      </w:r>
      <w:r>
        <w:rPr>
          <w:rFonts w:hint="eastAsia" w:ascii="宋体" w:hAnsi="宋体" w:eastAsia="宋体" w:cs="宋体"/>
          <w:kern w:val="22"/>
          <w:sz w:val="24"/>
        </w:rPr>
        <w:t>个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点</w:t>
      </w:r>
      <w:r>
        <w:rPr>
          <w:rFonts w:hint="eastAsia" w:ascii="宋体" w:hAnsi="宋体" w:eastAsia="宋体" w:cs="宋体"/>
          <w:kern w:val="22"/>
          <w:sz w:val="24"/>
        </w:rPr>
        <w:t>，总观测次数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10242</w:t>
      </w:r>
      <w:r>
        <w:rPr>
          <w:rFonts w:hint="eastAsia" w:ascii="宋体" w:hAnsi="宋体" w:eastAsia="宋体" w:cs="宋体"/>
          <w:kern w:val="22"/>
          <w:sz w:val="24"/>
        </w:rPr>
        <w:t>次；边坡平面监测15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22"/>
          <w:sz w:val="24"/>
        </w:rPr>
        <w:t>个点（全年监测3次），垂直监测97个点（全年监测三次）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，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其中边坡平面监测点位包含垂直监测</w:t>
      </w:r>
      <w:r>
        <w:rPr>
          <w:rFonts w:hint="eastAsia" w:ascii="宋体" w:hAnsi="宋体" w:eastAsia="宋体" w:cs="宋体"/>
          <w:kern w:val="22"/>
          <w:sz w:val="24"/>
        </w:rPr>
        <w:t>；基准网共28km，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以上点位均为</w:t>
      </w:r>
      <w:r>
        <w:rPr>
          <w:rFonts w:hint="eastAsia" w:ascii="宋体" w:hAnsi="宋体" w:eastAsia="宋体" w:cs="宋体"/>
          <w:kern w:val="22"/>
          <w:sz w:val="24"/>
        </w:rPr>
        <w:t>二等点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。</w:t>
      </w:r>
    </w:p>
    <w:p w14:paraId="1245F29D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注：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2026年</w:t>
      </w:r>
      <w:r>
        <w:rPr>
          <w:rFonts w:hint="eastAsia" w:ascii="宋体" w:hAnsi="宋体" w:eastAsia="宋体" w:cs="宋体"/>
          <w:kern w:val="22"/>
          <w:sz w:val="24"/>
        </w:rPr>
        <w:t>新增沉降观测点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374个，所</w:t>
      </w:r>
      <w:r>
        <w:rPr>
          <w:rFonts w:hint="eastAsia" w:ascii="宋体" w:hAnsi="宋体" w:eastAsia="宋体" w:cs="宋体"/>
          <w:kern w:val="22"/>
          <w:sz w:val="24"/>
        </w:rPr>
        <w:t>有新增沉降观测点的安装和维护的费用(含材料），在投标报价中由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kern w:val="22"/>
          <w:sz w:val="24"/>
        </w:rPr>
        <w:t>综合考虑。（L型沉降观测钉（镀锌），直径14mm*长度150mm）。</w:t>
      </w:r>
    </w:p>
    <w:p w14:paraId="44D7655E">
      <w:pPr>
        <w:tabs>
          <w:tab w:val="left" w:pos="1002"/>
        </w:tabs>
        <w:spacing w:line="520" w:lineRule="exact"/>
        <w:ind w:firstLine="960" w:firstLineChars="4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二等点沉降观测点埋设原则如下：</w:t>
      </w:r>
    </w:p>
    <w:p w14:paraId="58D932BA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建筑物的四角、大转角及沿外墙20m处。</w:t>
      </w:r>
    </w:p>
    <w:p w14:paraId="2B3CD0E9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高低层建筑、新旧建筑等交接处的两侧。</w:t>
      </w:r>
    </w:p>
    <w:p w14:paraId="52458FEE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重型设备基础和动力设备基础的四角。</w:t>
      </w:r>
    </w:p>
    <w:p w14:paraId="179F90D8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烟囱、水塔、油罐、炼油塔、高炉等高耸建筑设在沿周边与基础轴线相交的对称位置上，点数不少于4点。</w:t>
      </w:r>
    </w:p>
    <w:p w14:paraId="298AB8EE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bookmarkStart w:id="1" w:name="_Toc468107785"/>
      <w:r>
        <w:rPr>
          <w:rFonts w:hint="eastAsia" w:ascii="宋体" w:hAnsi="宋体" w:eastAsia="宋体" w:cs="宋体"/>
          <w:kern w:val="22"/>
          <w:sz w:val="24"/>
        </w:rPr>
        <w:t>4、沉降观测周期</w:t>
      </w:r>
      <w:bookmarkEnd w:id="1"/>
    </w:p>
    <w:p w14:paraId="258D6092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根据上年度沉降观测情况，对厂区大部分建构筑及护坡每年观测3次，部分重点建构筑物每年观测9次。（见下汇总表，具体数量要根据实际进行增减）</w:t>
      </w:r>
    </w:p>
    <w:p w14:paraId="44B04A5A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bookmarkStart w:id="2" w:name="_Toc468107786"/>
      <w:r>
        <w:rPr>
          <w:rFonts w:hint="eastAsia" w:ascii="宋体" w:hAnsi="宋体" w:eastAsia="宋体" w:cs="宋体"/>
          <w:kern w:val="22"/>
          <w:sz w:val="24"/>
        </w:rPr>
        <w:t>5、沉降观测方法</w:t>
      </w:r>
      <w:bookmarkEnd w:id="2"/>
    </w:p>
    <w:p w14:paraId="1C01B31C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（1）建构筑物的沉降观测按两级布网，沉降观测基准网和沉降观测工作基点构成沉降观测基准网，沉降观测工作基点与附近的建构筑物的沉降点构成沉降观测网。</w:t>
      </w:r>
    </w:p>
    <w:p w14:paraId="457ADAE0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（2）沉降观测的主要技术要求如表5.1的规定。</w:t>
      </w:r>
    </w:p>
    <w:p w14:paraId="13F8E815">
      <w:pPr>
        <w:tabs>
          <w:tab w:val="left" w:pos="1002"/>
        </w:tabs>
        <w:spacing w:line="520" w:lineRule="exact"/>
        <w:ind w:firstLine="480" w:firstLineChars="200"/>
        <w:jc w:val="center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表5.1  沉降观测的主要技术要求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2292"/>
        <w:gridCol w:w="2292"/>
        <w:gridCol w:w="2292"/>
      </w:tblGrid>
      <w:tr w14:paraId="09E2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83" w:type="dxa"/>
            <w:vAlign w:val="center"/>
          </w:tcPr>
          <w:p w14:paraId="1965E82E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等级</w:t>
            </w:r>
          </w:p>
        </w:tc>
        <w:tc>
          <w:tcPr>
            <w:tcW w:w="2292" w:type="dxa"/>
            <w:vAlign w:val="center"/>
          </w:tcPr>
          <w:p w14:paraId="068CC4AC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相邻基准点高差中误差（mm）</w:t>
            </w:r>
          </w:p>
        </w:tc>
        <w:tc>
          <w:tcPr>
            <w:tcW w:w="2292" w:type="dxa"/>
            <w:vAlign w:val="center"/>
          </w:tcPr>
          <w:p w14:paraId="7276A05B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每站高差中误差（mm）</w:t>
            </w:r>
          </w:p>
        </w:tc>
        <w:tc>
          <w:tcPr>
            <w:tcW w:w="2292" w:type="dxa"/>
            <w:vAlign w:val="center"/>
          </w:tcPr>
          <w:p w14:paraId="3802D84C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往返较差或附合或环线闭合差（mm）</w:t>
            </w:r>
          </w:p>
        </w:tc>
      </w:tr>
      <w:tr w14:paraId="4915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1483" w:type="dxa"/>
            <w:vAlign w:val="center"/>
          </w:tcPr>
          <w:p w14:paraId="4B5FB709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二等</w:t>
            </w:r>
          </w:p>
        </w:tc>
        <w:tc>
          <w:tcPr>
            <w:tcW w:w="2292" w:type="dxa"/>
            <w:vAlign w:val="center"/>
          </w:tcPr>
          <w:p w14:paraId="5A4E780E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0.5</w:t>
            </w:r>
          </w:p>
        </w:tc>
        <w:tc>
          <w:tcPr>
            <w:tcW w:w="2292" w:type="dxa"/>
            <w:vAlign w:val="center"/>
          </w:tcPr>
          <w:p w14:paraId="5B6119CD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0.15</w:t>
            </w:r>
          </w:p>
        </w:tc>
        <w:tc>
          <w:tcPr>
            <w:tcW w:w="2292" w:type="dxa"/>
            <w:vAlign w:val="center"/>
          </w:tcPr>
          <w:p w14:paraId="6508E603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0.30</w:t>
            </w:r>
            <w:r>
              <w:rPr>
                <w:rFonts w:hint="eastAsia" w:ascii="宋体" w:hAnsi="宋体" w:eastAsia="宋体" w:cs="宋体"/>
                <w:kern w:val="22"/>
                <w:sz w:val="24"/>
              </w:rPr>
              <w:object>
                <v:shape id="_x0000_i1025" o:spt="75" type="#_x0000_t75" style="height:22.8pt;width:24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</w:p>
        </w:tc>
      </w:tr>
      <w:tr w14:paraId="2126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  <w:jc w:val="center"/>
        </w:trPr>
        <w:tc>
          <w:tcPr>
            <w:tcW w:w="1483" w:type="dxa"/>
            <w:vAlign w:val="center"/>
          </w:tcPr>
          <w:p w14:paraId="796FFCAF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三等</w:t>
            </w:r>
          </w:p>
        </w:tc>
        <w:tc>
          <w:tcPr>
            <w:tcW w:w="2292" w:type="dxa"/>
            <w:vAlign w:val="center"/>
          </w:tcPr>
          <w:p w14:paraId="0E904C06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1.0</w:t>
            </w:r>
          </w:p>
        </w:tc>
        <w:tc>
          <w:tcPr>
            <w:tcW w:w="2292" w:type="dxa"/>
            <w:vAlign w:val="center"/>
          </w:tcPr>
          <w:p w14:paraId="7BF5AB2D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0.30</w:t>
            </w:r>
          </w:p>
        </w:tc>
        <w:tc>
          <w:tcPr>
            <w:tcW w:w="2292" w:type="dxa"/>
            <w:vAlign w:val="center"/>
          </w:tcPr>
          <w:p w14:paraId="301CFEA5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0.60</w:t>
            </w:r>
            <w:r>
              <w:rPr>
                <w:rFonts w:hint="eastAsia" w:ascii="宋体" w:hAnsi="宋体" w:eastAsia="宋体" w:cs="宋体"/>
                <w:kern w:val="22"/>
                <w:sz w:val="24"/>
              </w:rPr>
              <w:object>
                <v:shape id="_x0000_i1026" o:spt="75" type="#_x0000_t75" style="height:22.8pt;width:24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</w:p>
        </w:tc>
      </w:tr>
    </w:tbl>
    <w:p w14:paraId="0C41E269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（3）水准观测的主要技术要求如下表5.2的规定。</w:t>
      </w:r>
    </w:p>
    <w:p w14:paraId="45036FF6">
      <w:pPr>
        <w:tabs>
          <w:tab w:val="left" w:pos="1002"/>
        </w:tabs>
        <w:spacing w:line="520" w:lineRule="exact"/>
        <w:ind w:firstLine="480" w:firstLineChars="200"/>
        <w:jc w:val="center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表5.2  水准观测的主要技术要求</w:t>
      </w:r>
    </w:p>
    <w:tbl>
      <w:tblPr>
        <w:tblStyle w:val="15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164"/>
        <w:gridCol w:w="1330"/>
        <w:gridCol w:w="997"/>
        <w:gridCol w:w="1330"/>
        <w:gridCol w:w="1551"/>
        <w:gridCol w:w="1825"/>
      </w:tblGrid>
      <w:tr w14:paraId="6C34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061" w:type="dxa"/>
            <w:vAlign w:val="center"/>
          </w:tcPr>
          <w:p w14:paraId="7FEAA4D2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等级</w:t>
            </w:r>
          </w:p>
        </w:tc>
        <w:tc>
          <w:tcPr>
            <w:tcW w:w="1164" w:type="dxa"/>
            <w:vAlign w:val="center"/>
          </w:tcPr>
          <w:p w14:paraId="55B4AE36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视线长度（m）≤</w:t>
            </w:r>
          </w:p>
        </w:tc>
        <w:tc>
          <w:tcPr>
            <w:tcW w:w="1330" w:type="dxa"/>
            <w:vAlign w:val="center"/>
          </w:tcPr>
          <w:p w14:paraId="449CCBC6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前后视较差（m）≤</w:t>
            </w:r>
          </w:p>
        </w:tc>
        <w:tc>
          <w:tcPr>
            <w:tcW w:w="997" w:type="dxa"/>
            <w:vAlign w:val="center"/>
          </w:tcPr>
          <w:p w14:paraId="2B1BB02A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前后视累积差（m）≤</w:t>
            </w:r>
          </w:p>
        </w:tc>
        <w:tc>
          <w:tcPr>
            <w:tcW w:w="1330" w:type="dxa"/>
            <w:vAlign w:val="center"/>
          </w:tcPr>
          <w:p w14:paraId="186C1B2D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视线离地面最低高度（m）≥</w:t>
            </w:r>
          </w:p>
        </w:tc>
        <w:tc>
          <w:tcPr>
            <w:tcW w:w="1551" w:type="dxa"/>
            <w:vAlign w:val="center"/>
          </w:tcPr>
          <w:p w14:paraId="26C8F4C0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基本分划、辅助分划读数较差（㎜）≤</w:t>
            </w:r>
          </w:p>
        </w:tc>
        <w:tc>
          <w:tcPr>
            <w:tcW w:w="1825" w:type="dxa"/>
            <w:vAlign w:val="center"/>
          </w:tcPr>
          <w:p w14:paraId="459332E6">
            <w:pPr>
              <w:tabs>
                <w:tab w:val="left" w:pos="1002"/>
              </w:tabs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基本分划、辅助分划所测高差较差（㎜）≤</w:t>
            </w:r>
          </w:p>
        </w:tc>
      </w:tr>
      <w:tr w14:paraId="1AC2C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61" w:type="dxa"/>
            <w:vAlign w:val="center"/>
          </w:tcPr>
          <w:p w14:paraId="32E71228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二等</w:t>
            </w:r>
          </w:p>
        </w:tc>
        <w:tc>
          <w:tcPr>
            <w:tcW w:w="1164" w:type="dxa"/>
            <w:vAlign w:val="center"/>
          </w:tcPr>
          <w:p w14:paraId="39F52BE0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30</w:t>
            </w:r>
          </w:p>
        </w:tc>
        <w:tc>
          <w:tcPr>
            <w:tcW w:w="1330" w:type="dxa"/>
            <w:vAlign w:val="center"/>
          </w:tcPr>
          <w:p w14:paraId="7800344A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0.5</w:t>
            </w:r>
          </w:p>
        </w:tc>
        <w:tc>
          <w:tcPr>
            <w:tcW w:w="997" w:type="dxa"/>
            <w:vAlign w:val="center"/>
          </w:tcPr>
          <w:p w14:paraId="3A198B57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1.5</w:t>
            </w:r>
          </w:p>
        </w:tc>
        <w:tc>
          <w:tcPr>
            <w:tcW w:w="1330" w:type="dxa"/>
            <w:vAlign w:val="center"/>
          </w:tcPr>
          <w:p w14:paraId="03C3D08F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0.5</w:t>
            </w:r>
          </w:p>
        </w:tc>
        <w:tc>
          <w:tcPr>
            <w:tcW w:w="1551" w:type="dxa"/>
            <w:vAlign w:val="center"/>
          </w:tcPr>
          <w:p w14:paraId="6838804B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0.3</w:t>
            </w:r>
          </w:p>
        </w:tc>
        <w:tc>
          <w:tcPr>
            <w:tcW w:w="1825" w:type="dxa"/>
            <w:vAlign w:val="center"/>
          </w:tcPr>
          <w:p w14:paraId="64987834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0.4</w:t>
            </w:r>
          </w:p>
        </w:tc>
      </w:tr>
      <w:tr w14:paraId="7020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061" w:type="dxa"/>
            <w:vAlign w:val="center"/>
          </w:tcPr>
          <w:p w14:paraId="4EDAAD87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三等</w:t>
            </w:r>
          </w:p>
        </w:tc>
        <w:tc>
          <w:tcPr>
            <w:tcW w:w="1164" w:type="dxa"/>
            <w:vAlign w:val="center"/>
          </w:tcPr>
          <w:p w14:paraId="18A5D9EA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50</w:t>
            </w:r>
          </w:p>
        </w:tc>
        <w:tc>
          <w:tcPr>
            <w:tcW w:w="1330" w:type="dxa"/>
            <w:vAlign w:val="center"/>
          </w:tcPr>
          <w:p w14:paraId="5207F355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2.0</w:t>
            </w:r>
          </w:p>
        </w:tc>
        <w:tc>
          <w:tcPr>
            <w:tcW w:w="997" w:type="dxa"/>
            <w:vAlign w:val="center"/>
          </w:tcPr>
          <w:p w14:paraId="7461ED71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3.0</w:t>
            </w:r>
          </w:p>
        </w:tc>
        <w:tc>
          <w:tcPr>
            <w:tcW w:w="1330" w:type="dxa"/>
            <w:vAlign w:val="center"/>
          </w:tcPr>
          <w:p w14:paraId="1A2AE9C8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0.3</w:t>
            </w:r>
          </w:p>
        </w:tc>
        <w:tc>
          <w:tcPr>
            <w:tcW w:w="1551" w:type="dxa"/>
            <w:vAlign w:val="center"/>
          </w:tcPr>
          <w:p w14:paraId="061C1599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0.5</w:t>
            </w:r>
          </w:p>
        </w:tc>
        <w:tc>
          <w:tcPr>
            <w:tcW w:w="1825" w:type="dxa"/>
            <w:vAlign w:val="center"/>
          </w:tcPr>
          <w:p w14:paraId="6D7A76FA">
            <w:pPr>
              <w:tabs>
                <w:tab w:val="left" w:pos="1002"/>
              </w:tabs>
              <w:spacing w:line="520" w:lineRule="exact"/>
              <w:jc w:val="center"/>
              <w:rPr>
                <w:rFonts w:ascii="宋体" w:hAnsi="宋体" w:eastAsia="宋体" w:cs="宋体"/>
                <w:kern w:val="22"/>
                <w:sz w:val="24"/>
              </w:rPr>
            </w:pPr>
            <w:r>
              <w:rPr>
                <w:rFonts w:hint="eastAsia" w:ascii="宋体" w:hAnsi="宋体" w:eastAsia="宋体" w:cs="宋体"/>
                <w:kern w:val="22"/>
                <w:sz w:val="24"/>
              </w:rPr>
              <w:t>0.7</w:t>
            </w:r>
          </w:p>
        </w:tc>
      </w:tr>
    </w:tbl>
    <w:p w14:paraId="66D604B5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（4）沉降观测采用精密几何水准测量法，往、返奇数站时，按后视-前视-前视-后视的观测顺序进行观测，往返偶数站时，按前视-后视-后视-前视的观测顺序进行观测。</w:t>
      </w:r>
    </w:p>
    <w:p w14:paraId="24955EDA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（5）观测应遵守“四固定”原则，即观测所用仪器及水准尺固定；观测人员固定；观测路线固定；观测环境和条件基本相同，以减少系统误差的影响。</w:t>
      </w:r>
    </w:p>
    <w:p w14:paraId="7A485776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（6） 沉降观测基准网平差采用严密间接平差，平差配赋后的各沉降点高程取至0.01㎜。</w:t>
      </w:r>
    </w:p>
    <w:p w14:paraId="464F05D7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6、边坡监测按照水平三等精度，按照监测方案设置国标观测点，每季度观测一遍。</w:t>
      </w:r>
    </w:p>
    <w:p w14:paraId="4E9513B7">
      <w:pPr>
        <w:tabs>
          <w:tab w:val="left" w:pos="1002"/>
        </w:tabs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7、在已生产的化工厂区内作业，须严格按照新天公司相关规定办理入场手续、劳动保护齐全、在限定区域内要办理相关票证、编制监测专项技术方案。</w:t>
      </w:r>
    </w:p>
    <w:p w14:paraId="04C3C96A">
      <w:pPr>
        <w:tabs>
          <w:tab w:val="left" w:pos="1002"/>
        </w:tabs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8、</w:t>
      </w:r>
      <w:r>
        <w:rPr>
          <w:rFonts w:hint="eastAsia" w:ascii="宋体" w:hAnsi="宋体" w:eastAsia="宋体" w:cs="宋体"/>
          <w:kern w:val="22"/>
          <w:sz w:val="24"/>
        </w:rPr>
        <w:t>禁止夜间测量；测量设备不得阻碍道路交通。</w:t>
      </w:r>
    </w:p>
    <w:p w14:paraId="07B72D5C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bookmarkStart w:id="3" w:name="_Toc480371238"/>
      <w:r>
        <w:rPr>
          <w:rFonts w:hint="eastAsia" w:ascii="宋体" w:hAnsi="宋体" w:eastAsia="宋体" w:cs="宋体"/>
          <w:b/>
          <w:kern w:val="22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b/>
          <w:kern w:val="22"/>
          <w:sz w:val="28"/>
          <w:szCs w:val="28"/>
        </w:rPr>
        <w:t>、工作及考核要求：</w:t>
      </w:r>
    </w:p>
    <w:bookmarkEnd w:id="3"/>
    <w:p w14:paraId="17E32815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 xml:space="preserve">1、依据《建筑变形测量规范》（JGJ 8-2016）及其他执行的技术标准，结合新天公司装置区及场外实际情况，观测单位必须从建筑物的重要性程度上系统、全面、完整的分析后制定测量制定针对性的变形测量大纲，对观测工作负总责。避免重点位置未分析遗漏观测或未结合实际情况观测不及时、数据分析不到位而引起的观测事故。 </w:t>
      </w:r>
    </w:p>
    <w:p w14:paraId="18AF4E32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（1）观测成果必须具有真实性，测量流程满足测量规范要求。</w:t>
      </w:r>
    </w:p>
    <w:p w14:paraId="5818FA45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（2）对于日常测量管理中不到位情况，主管部门有权根据测量单位履约到位情况检查，发现不及时经提醒后仍无效或效果不明显的给予1000元-5000元的考核。</w:t>
      </w:r>
    </w:p>
    <w:p w14:paraId="1A3831AA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2、按照要求按时提交沉降观测成果及报告。</w:t>
      </w:r>
    </w:p>
    <w:p w14:paraId="15F76F26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（1）入场前提交企业资质、测量人员资质。</w:t>
      </w:r>
    </w:p>
    <w:p w14:paraId="72BD70C0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 xml:space="preserve">（2）各建筑物沉降观测点示意图。   </w:t>
      </w:r>
    </w:p>
    <w:p w14:paraId="1CAAFA81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（3）各建构筑物沉降观测成果表。</w:t>
      </w:r>
    </w:p>
    <w:p w14:paraId="15C86254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（4）每季度提交边坡位移的分析对比、结论，每年提交3次电子版及书面盖章版成果报告、并提交季度及年底技术总结；各边坡的监测示意图和成果表。</w:t>
      </w:r>
    </w:p>
    <w:p w14:paraId="3DA67173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（5）按时每月提交重点区域的观测报告。</w:t>
      </w:r>
    </w:p>
    <w:p w14:paraId="33DFFA58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（6）每季度提交测量器具台账及校验记录。</w:t>
      </w:r>
    </w:p>
    <w:p w14:paraId="1787EB9E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（7）所有工作人员需要购买意外伤害险、工伤保险、安全生产责任险。</w:t>
      </w:r>
    </w:p>
    <w:p w14:paraId="1D4EABB7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</w:t>
      </w:r>
      <w:r>
        <w:rPr>
          <w:rFonts w:hint="eastAsia" w:ascii="宋体" w:hAnsi="宋体" w:eastAsia="宋体" w:cs="宋体"/>
          <w:color w:val="ED7D31" w:themeColor="accent2"/>
          <w:kern w:val="22"/>
          <w:sz w:val="24"/>
          <w14:textFill>
            <w14:solidFill>
              <w14:schemeClr w14:val="accent2"/>
            </w14:solidFill>
          </w14:textFill>
        </w:rPr>
        <w:t>8）对测量工作不认真不仔细造成数据误差过大，</w:t>
      </w:r>
      <w:r>
        <w:rPr>
          <w:rFonts w:hint="eastAsia" w:ascii="宋体" w:hAnsi="宋体" w:eastAsia="宋体" w:cs="宋体"/>
          <w:color w:val="ED7D31" w:themeColor="accent2"/>
          <w:kern w:val="22"/>
          <w:sz w:val="24"/>
          <w:lang w:val="en-US" w:eastAsia="zh-CN"/>
          <w14:textFill>
            <w14:solidFill>
              <w14:schemeClr w14:val="accent2"/>
            </w14:solidFill>
          </w14:textFill>
        </w:rPr>
        <w:t>经过复测仍数据异常，</w:t>
      </w:r>
      <w:r>
        <w:rPr>
          <w:rFonts w:hint="eastAsia" w:ascii="宋体" w:hAnsi="宋体" w:eastAsia="宋体" w:cs="宋体"/>
          <w:color w:val="ED7D31" w:themeColor="accent2"/>
          <w:kern w:val="22"/>
          <w:sz w:val="24"/>
          <w14:textFill>
            <w14:solidFill>
              <w14:schemeClr w14:val="accent2"/>
            </w14:solidFill>
          </w14:textFill>
        </w:rPr>
        <w:t>造成无法判断结论或造成错误结论的，根据造成影响程度每次考核500元-5000元；对没有按时完成测量工作，每次考核1000元；对涉嫌观测数据造假经</w:t>
      </w:r>
      <w:r>
        <w:rPr>
          <w:rFonts w:hint="eastAsia" w:ascii="宋体" w:hAnsi="宋体" w:eastAsia="宋体" w:cs="宋体"/>
          <w:color w:val="ED7D31" w:themeColor="accent2"/>
          <w:kern w:val="22"/>
          <w:sz w:val="24"/>
          <w:lang w:val="en-US" w:eastAsia="zh-CN"/>
          <w14:textFill>
            <w14:solidFill>
              <w14:schemeClr w14:val="accent2"/>
            </w14:solidFill>
          </w14:textFill>
        </w:rPr>
        <w:t>复测</w:t>
      </w:r>
      <w:r>
        <w:rPr>
          <w:rFonts w:hint="eastAsia" w:ascii="宋体" w:hAnsi="宋体" w:eastAsia="宋体" w:cs="宋体"/>
          <w:color w:val="ED7D31" w:themeColor="accent2"/>
          <w:kern w:val="22"/>
          <w:sz w:val="24"/>
          <w14:textFill>
            <w14:solidFill>
              <w14:schemeClr w14:val="accent2"/>
            </w14:solidFill>
          </w14:textFill>
        </w:rPr>
        <w:t>属实后，每次考核5000元。</w:t>
      </w:r>
    </w:p>
    <w:p w14:paraId="71615DF7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3、按照沉降观测管理职责相关的配合工作。</w:t>
      </w:r>
    </w:p>
    <w:p w14:paraId="4AD100AD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（1）按时参加湿陷性黄土治理例会；按时参加要求参加的专题会议，并提供支撑性材料及数据。对参加会议迟到、旷会，根据情况，每次给予考核100元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-</w:t>
      </w:r>
      <w:r>
        <w:rPr>
          <w:rFonts w:hint="eastAsia" w:ascii="宋体" w:hAnsi="宋体" w:eastAsia="宋体" w:cs="宋体"/>
          <w:kern w:val="22"/>
          <w:sz w:val="24"/>
        </w:rPr>
        <w:t>500元。</w:t>
      </w:r>
    </w:p>
    <w:p w14:paraId="177D15E8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（2）对有要求的区域进行测绘方格网成果表及土方计算书。</w:t>
      </w:r>
    </w:p>
    <w:p w14:paraId="48BC5C13">
      <w:pPr>
        <w:tabs>
          <w:tab w:val="left" w:pos="1002"/>
        </w:tabs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（3）其他沉降观测管理职责相关的配合工作。</w:t>
      </w:r>
    </w:p>
    <w:p w14:paraId="5F5C9BD4">
      <w:pPr>
        <w:tabs>
          <w:tab w:val="left" w:pos="1002"/>
        </w:tabs>
        <w:spacing w:line="520" w:lineRule="exact"/>
        <w:ind w:firstLine="480" w:firstLineChars="200"/>
        <w:jc w:val="left"/>
        <w:rPr>
          <w:rFonts w:hint="default" w:ascii="宋体" w:hAnsi="宋体" w:eastAsia="宋体" w:cs="宋体"/>
          <w:kern w:val="22"/>
          <w:sz w:val="24"/>
          <w:lang w:val="en-US" w:eastAsia="zh-CN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4、考核通知由主管部门或相关部门（车间）下达后，观测单位如有异议，可在5个工作日内提出申述，逾期不申诉，考核自动生效。</w:t>
      </w:r>
    </w:p>
    <w:p w14:paraId="1C236900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kern w:val="22"/>
          <w:sz w:val="24"/>
        </w:rPr>
        <w:t>、由</w:t>
      </w:r>
      <w:r>
        <w:rPr>
          <w:rFonts w:hint="eastAsia" w:ascii="宋体" w:hAnsi="宋体" w:eastAsia="宋体" w:cs="宋体"/>
          <w:kern w:val="22"/>
          <w:sz w:val="24"/>
          <w:lang w:eastAsia="zh-CN"/>
        </w:rPr>
        <w:t>招标人</w:t>
      </w:r>
      <w:r>
        <w:rPr>
          <w:rFonts w:hint="eastAsia" w:ascii="宋体" w:hAnsi="宋体" w:eastAsia="宋体" w:cs="宋体"/>
          <w:kern w:val="22"/>
          <w:sz w:val="24"/>
        </w:rPr>
        <w:t>相关部门按相应职责负责维护管理、维护质量、安全文明生产工作的考核。考核按月进行，每月5日前将上月的考核结果通报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kern w:val="22"/>
          <w:sz w:val="24"/>
        </w:rPr>
        <w:t>。</w:t>
      </w:r>
    </w:p>
    <w:p w14:paraId="570F03A6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（Q/XT212082）《安全生产考核标准》附件一：《伊犁新天煤化工有限责任公司安全生产月度考核标准》</w:t>
      </w:r>
    </w:p>
    <w:p w14:paraId="7C02AC64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（Q/XT212082）《安全生产考核标准》附件二：《伊犁新天煤化工有限责任公司安全生产年度考核标准》</w:t>
      </w:r>
    </w:p>
    <w:p w14:paraId="7EF3D9E2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（Q/XT212004）《反习惯性违章安全管理规定》</w:t>
      </w:r>
    </w:p>
    <w:p w14:paraId="5C392F01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（Q/XT204001）《设备检修管理标准》</w:t>
      </w:r>
    </w:p>
    <w:p w14:paraId="27D05493">
      <w:pPr>
        <w:tabs>
          <w:tab w:val="left" w:pos="1002"/>
        </w:tabs>
        <w:spacing w:line="520" w:lineRule="exact"/>
        <w:ind w:firstLine="480" w:firstLineChars="200"/>
        <w:jc w:val="left"/>
      </w:pPr>
      <w:r>
        <w:rPr>
          <w:rFonts w:hint="eastAsia" w:ascii="宋体" w:hAnsi="宋体" w:eastAsia="宋体" w:cs="宋体"/>
          <w:kern w:val="22"/>
          <w:sz w:val="24"/>
        </w:rPr>
        <w:t>（Q/XT205051）《常年维检外包单位日常管理规定》</w:t>
      </w:r>
    </w:p>
    <w:p w14:paraId="7C16BFCF">
      <w:p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八、服务时间：</w:t>
      </w:r>
    </w:p>
    <w:p w14:paraId="50FBB731">
      <w:pPr>
        <w:tabs>
          <w:tab w:val="left" w:pos="1002"/>
        </w:tabs>
        <w:spacing w:line="520" w:lineRule="exact"/>
        <w:ind w:firstLine="480" w:firstLineChars="200"/>
        <w:jc w:val="left"/>
        <w:rPr>
          <w:rFonts w:ascii="宋体" w:hAnsi="宋体" w:eastAsia="宋体" w:cs="宋体"/>
          <w:kern w:val="22"/>
          <w:sz w:val="24"/>
        </w:rPr>
      </w:pPr>
      <w:r>
        <w:rPr>
          <w:rFonts w:hint="eastAsia" w:ascii="宋体" w:hAnsi="宋体" w:eastAsia="宋体" w:cs="宋体"/>
          <w:kern w:val="22"/>
          <w:sz w:val="24"/>
        </w:rPr>
        <w:t>服务期：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275</w:t>
      </w:r>
      <w:r>
        <w:rPr>
          <w:rFonts w:hint="eastAsia" w:ascii="宋体" w:hAnsi="宋体" w:eastAsia="宋体" w:cs="宋体"/>
          <w:kern w:val="22"/>
          <w:sz w:val="24"/>
        </w:rPr>
        <w:t>天。计划服务时间202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22"/>
          <w:sz w:val="24"/>
        </w:rPr>
        <w:t>年0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kern w:val="22"/>
          <w:sz w:val="24"/>
        </w:rPr>
        <w:t>月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01</w:t>
      </w:r>
      <w:r>
        <w:rPr>
          <w:rFonts w:hint="eastAsia" w:ascii="宋体" w:hAnsi="宋体" w:eastAsia="宋体" w:cs="宋体"/>
          <w:kern w:val="22"/>
          <w:sz w:val="24"/>
        </w:rPr>
        <w:t>日-202</w:t>
      </w:r>
      <w:r>
        <w:rPr>
          <w:rFonts w:hint="eastAsia" w:ascii="宋体" w:hAnsi="宋体" w:eastAsia="宋体" w:cs="宋体"/>
          <w:kern w:val="22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22"/>
          <w:sz w:val="24"/>
        </w:rPr>
        <w:t>年11月30日。</w:t>
      </w:r>
    </w:p>
    <w:p w14:paraId="0B57141E">
      <w:pPr>
        <w:numPr>
          <w:ilvl w:val="0"/>
          <w:numId w:val="3"/>
        </w:numPr>
        <w:tabs>
          <w:tab w:val="left" w:pos="1002"/>
        </w:tabs>
        <w:spacing w:line="500" w:lineRule="exact"/>
        <w:jc w:val="left"/>
        <w:rPr>
          <w:rFonts w:ascii="宋体" w:hAnsi="宋体" w:eastAsia="宋体" w:cs="宋体"/>
          <w:b/>
          <w:kern w:val="22"/>
          <w:sz w:val="28"/>
          <w:szCs w:val="28"/>
        </w:rPr>
      </w:pPr>
      <w:r>
        <w:rPr>
          <w:rFonts w:hint="eastAsia" w:ascii="宋体" w:hAnsi="宋体" w:eastAsia="宋体" w:cs="宋体"/>
          <w:b/>
          <w:kern w:val="22"/>
          <w:sz w:val="28"/>
          <w:szCs w:val="28"/>
        </w:rPr>
        <w:t>沉降观测点汇总表</w:t>
      </w:r>
    </w:p>
    <w:p w14:paraId="598B0D49">
      <w:pPr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64BCAF0B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</w:t>
      </w:r>
    </w:p>
    <w:p w14:paraId="521379D3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kern w:val="22"/>
          <w:sz w:val="28"/>
          <w:szCs w:val="28"/>
        </w:rPr>
        <w:t>全年3次（1、2、12月不计），每3</w:t>
      </w:r>
      <w:r>
        <w:rPr>
          <w:rFonts w:hint="eastAsia" w:ascii="黑体" w:hAnsi="黑体" w:eastAsia="黑体" w:cs="黑体"/>
          <w:kern w:val="22"/>
          <w:sz w:val="28"/>
          <w:szCs w:val="28"/>
          <w:lang w:val="en-US" w:eastAsia="zh-CN"/>
        </w:rPr>
        <w:t>个</w:t>
      </w:r>
      <w:r>
        <w:rPr>
          <w:rFonts w:hint="eastAsia" w:ascii="黑体" w:hAnsi="黑体" w:eastAsia="黑体" w:cs="黑体"/>
          <w:kern w:val="22"/>
          <w:sz w:val="28"/>
          <w:szCs w:val="28"/>
        </w:rPr>
        <w:t>月1次的沉降观测点位</w:t>
      </w:r>
    </w:p>
    <w:tbl>
      <w:tblPr>
        <w:tblStyle w:val="15"/>
        <w:tblW w:w="8997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2016"/>
        <w:gridCol w:w="2851"/>
        <w:gridCol w:w="1399"/>
      </w:tblGrid>
      <w:tr w14:paraId="54421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4E2E80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建（构）筑物名称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86B0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观测点数</w:t>
            </w:r>
          </w:p>
        </w:tc>
        <w:tc>
          <w:tcPr>
            <w:tcW w:w="2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4F787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建（构）筑物名称</w:t>
            </w:r>
          </w:p>
        </w:tc>
        <w:tc>
          <w:tcPr>
            <w:tcW w:w="13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095A0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观测点数</w:t>
            </w:r>
          </w:p>
        </w:tc>
      </w:tr>
      <w:tr w14:paraId="3C5F7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E0C4D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 综合办公楼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8415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CF94E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31 塔161T209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6C50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29ABC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84A23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 消防气防站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35C5E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AF950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32 塔161T210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5A7A8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2826F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C4E1D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 酸碱站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4BBC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3FB02F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33 塔161T204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7ECFF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4184C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176B8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 全厂火炬塔架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98B8DC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69726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34 塔161T109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2ABF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322B0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329D4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 净水厂房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77A6F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2C700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35 净化循环水泵房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9BF30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14F35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C7DC7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 清水池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D6674B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1B71B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36净化循环水泵房水池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B4D4C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4DC21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996FD3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 水池220V006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DEBB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A9419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37 酚回收126A系列氨气净化塔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9345B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:lang w:val="en-US" w:eastAsia="zh-CN"/>
              </w:rPr>
              <w:t>4</w:t>
            </w:r>
          </w:p>
        </w:tc>
      </w:tr>
      <w:tr w14:paraId="0BC5D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CBF67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 水池220V008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A99E617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73C86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38 酚回收126A系列脱氨塔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ADF032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7BBB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CC0A7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 脱水吸收塔A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5134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93E2A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39 酚回收126A系</w:t>
            </w:r>
            <w:r>
              <w:rPr>
                <w:rFonts w:hint="eastAsia" w:ascii="宋体" w:hAnsi="宋体" w:eastAsia="宋体" w:cs="宋体"/>
                <w:kern w:val="0"/>
              </w:rPr>
              <w:t>列萃取塔A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5116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33D00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D81F2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 汽包及废锅框架A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D49422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6A3D6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40 酚回收126A系列水塔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5143D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77BEE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D368D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 辅助框架A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7AFDAC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D391C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41 酚回收126A系列酚塔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EAA41F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14DF4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E8692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 脱水吸收塔B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21927B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06E6A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42 酚回收126A系</w:t>
            </w:r>
            <w:r>
              <w:rPr>
                <w:rFonts w:hint="eastAsia" w:ascii="宋体" w:hAnsi="宋体" w:eastAsia="宋体" w:cs="宋体"/>
                <w:kern w:val="0"/>
              </w:rPr>
              <w:t>列萃取塔B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7744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0F3AB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7609A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 汽包及废锅框架B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622A1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F7758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43 酚回收126A系</w:t>
            </w:r>
            <w:r>
              <w:rPr>
                <w:rFonts w:hint="eastAsia" w:ascii="宋体" w:hAnsi="宋体" w:eastAsia="宋体" w:cs="宋体"/>
                <w:kern w:val="0"/>
              </w:rPr>
              <w:t>列脱酸塔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85A0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184BA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53015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 辅助框架B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5F674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943A2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44 酚回收126B系列氨气净化塔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6CA4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68783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A6BBE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 塔161T107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90A2B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4CFCE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45 酚回收126B系列脱氨塔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6855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79712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3B274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 塔161T108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6AFAA7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65C45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46 酚回收126B系列萃取塔A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9AD3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419F9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5BA05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 塔161T101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71E1A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8CBDA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47 酚回收126B系列水塔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2490E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15CEE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AB753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 塔161T106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B478A8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6F231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48 酚回收126B系列酚塔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848AD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6F712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90FAE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 塔161T103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C9CC47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EE048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49 酚回收126B系列萃取塔B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5773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1F650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8D844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20 塔161T102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013CA1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C5346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50 酚回收126B系列脱酸塔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5485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21353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F7E59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21 塔161T105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D527E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7094FF">
            <w:pPr>
              <w:widowControl/>
              <w:ind w:left="420" w:hanging="420" w:hangingChars="200"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51 酚回收126C系列氨气净化塔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6BB3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3346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C453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22 塔161T110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0002E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B4521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52 酚回收126C系列脱氨塔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E403A4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4D0F2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A293E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23 塔161T104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A9792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3998A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53 酚回收126C系列萃取塔A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D0FC9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:lang w:val="en-US" w:eastAsia="zh-CN"/>
              </w:rPr>
              <w:t>4</w:t>
            </w:r>
          </w:p>
        </w:tc>
      </w:tr>
      <w:tr w14:paraId="514AA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C439C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24 塔161T207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86CF9C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4AAA3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54 酚回收126C系列水塔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1A76A4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1781A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AEFE3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25 塔161T208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9016F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5BF3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55 酚回收126C系列酚塔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3AAAE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2114F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10F0E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26 塔161T201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9D0AD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D6B6C4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56 酚回收126C系列萃取塔B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959BA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</w:tr>
      <w:tr w14:paraId="42FBA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4550E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27 塔161T206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AAEB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69569C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57 酚回收126C系列脱酸塔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1DD85E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60207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572A0F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28 塔161T203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78BED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40DA3E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58 生化回用水池263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7000F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4838A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A37CB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29 塔161T202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9125A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C0386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59 含盐回用水池264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9ABBE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5C98C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19DA9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30 塔161T205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230F0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</w:rPr>
              <w:t>4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FBF37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60 石膏仓库水池</w:t>
            </w: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F9C31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610C1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F1F3EF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8357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0"/>
                <w:szCs w:val="22"/>
              </w:rPr>
              <w:instrText xml:space="preserve"> = sum(B2:B31) \* MERGEFORMAT </w:instrText>
            </w:r>
            <w:r>
              <w:rPr>
                <w:rFonts w:hint="eastAsia" w:ascii="宋体" w:hAnsi="宋体" w:eastAsia="宋体" w:cs="宋体"/>
                <w:kern w:val="0"/>
                <w:szCs w:val="22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Cs w:val="22"/>
              </w:rPr>
              <w:t>165</w:t>
            </w:r>
            <w:r>
              <w:rPr>
                <w:rFonts w:hint="eastAsia" w:ascii="宋体" w:hAnsi="宋体" w:eastAsia="宋体" w:cs="宋体"/>
                <w:kern w:val="0"/>
                <w:szCs w:val="22"/>
              </w:rPr>
              <w:fldChar w:fldCharType="end"/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540B7A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3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FF8059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sum(D2:D31)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140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</w:tr>
    </w:tbl>
    <w:p w14:paraId="1794A3CA">
      <w:pPr>
        <w:jc w:val="center"/>
        <w:rPr>
          <w:sz w:val="24"/>
        </w:rPr>
      </w:pPr>
    </w:p>
    <w:p w14:paraId="07D50300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沉降观测点汇总表（续表）</w:t>
      </w:r>
    </w:p>
    <w:tbl>
      <w:tblPr>
        <w:tblStyle w:val="15"/>
        <w:tblW w:w="9219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9"/>
        <w:gridCol w:w="1110"/>
        <w:gridCol w:w="3390"/>
        <w:gridCol w:w="1290"/>
      </w:tblGrid>
      <w:tr w14:paraId="49A4E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0A1D98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6C3680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3B3B94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E55A45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</w:tr>
      <w:tr w14:paraId="595E5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1110D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61 联合水池249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428861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03EB8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87 煤气水125B系列泥浆液槽B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8BB20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1EA9C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14EFE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62 二级生化池A</w:t>
            </w:r>
          </w:p>
        </w:tc>
        <w:tc>
          <w:tcPr>
            <w:tcW w:w="11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F2562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18</w:t>
            </w:r>
          </w:p>
        </w:tc>
        <w:tc>
          <w:tcPr>
            <w:tcW w:w="33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A1E0D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88 煤气水125C系列煤气水贮槽c</w:t>
            </w:r>
          </w:p>
        </w:tc>
        <w:tc>
          <w:tcPr>
            <w:tcW w:w="12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994B8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0686A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BD4E9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63 二级生化池B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36601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10E66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89 煤气水125C系列冲洗槽C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A026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1A4A9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5EDF6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64 247缓冲池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1C94D4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724DE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90 煤气水125C系列泥浆液槽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C2996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:lang w:val="en-US" w:eastAsia="zh-CN"/>
              </w:rPr>
              <w:t>4</w:t>
            </w:r>
          </w:p>
        </w:tc>
      </w:tr>
      <w:tr w14:paraId="662DD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B18D2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65 二沉池A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F6F2D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8F3AF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91 煤气水125D系列煤气水贮槽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09A3D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3AC21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18C59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66 二沉池B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60C06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21BD0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92 煤气水125D系列冲洗槽D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505698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27C28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8E5E4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67 二级生化池污泥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7A6C3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A4176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93 煤气水125D系列煤气水贮槽D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DE529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10D7F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BE744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68 中沉池A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0D859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13F89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94 煤气水125D系列冲洗槽D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6A04CC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5369E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5957F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69 中沉池B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3A37F7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900F5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95 煤气水125D系列泥浆液槽D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5237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4A115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82A17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70 一级生化池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229A0C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36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D53EA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96 煤气水125E系列煤气水贮槽E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93630F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01B59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205CA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71 匀质罐A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B896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721A4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97 煤气水125E系列冲洗槽E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B8527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</w:tr>
      <w:tr w14:paraId="15409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2E73D3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72 匀质罐B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4AFEA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BC9F5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98 煤气水125E系列泥浆液槽E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A02957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</w:tr>
      <w:tr w14:paraId="47091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92CC5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73 匀质罐C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96195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F8281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99 煤气水125F系列煤气水贮槽F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3A085C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</w:tr>
      <w:tr w14:paraId="51775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B8F28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74 匀质罐D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998A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ECC18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100 煤气水125F系列冲洗槽F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3840D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</w:tr>
      <w:tr w14:paraId="24B67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96E58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75 匀质罐E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957C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099F7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101 煤气水125F系列泥浆液槽F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3C22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351F1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51AF88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76 排水池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1F62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E6900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102 热电循环水泵房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F2F0E1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</w:tr>
      <w:tr w14:paraId="36A86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49C13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77 气化冷却塔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5FF058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4CBEC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103 加压气化框架A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08F63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</w:t>
            </w:r>
          </w:p>
        </w:tc>
      </w:tr>
      <w:tr w14:paraId="58022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DBC49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78 气化循环水站泵房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1B1A4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09770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104 转运站133N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A19C8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FA7A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72F577">
            <w:pPr>
              <w:widowControl/>
              <w:ind w:left="420" w:hanging="420" w:hangingChars="200"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79 煤气水125A系列煤气水贮槽A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4D0AD5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59296A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105 转运站133P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C456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0DB55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91DF68">
            <w:pPr>
              <w:widowControl/>
              <w:ind w:left="420" w:hanging="420" w:hangingChars="200"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80 煤气水125A系列冲洗槽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FE243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BC6AAD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106 转运站133Q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D152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2926F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8199B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81 煤气水125A系列泥浆液槽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8A77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839EE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107 加压气化框架B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45CE6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69538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34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ACB1D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82 煤气水125B系列煤气水贮槽B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5F2FC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60DF4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108 转运站133S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08C0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385E5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781BF8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83 加压气化框架C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69274D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BEA05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109 转运站133T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9BF2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10BB3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B5C180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84 转运站133X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66AE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49318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110 转运站133U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169A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169DC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E7357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85 转运站133Y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0159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F2DDA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111 转运站133J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00C0C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</w:tr>
      <w:tr w14:paraId="18014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62C5E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86 煤气水125B系列冲洗槽B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033B6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523DB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112 加压气柜A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DBB3C6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</w:t>
            </w:r>
          </w:p>
        </w:tc>
      </w:tr>
      <w:tr w14:paraId="2AA59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34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702073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B2D45F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sum(B2:B27)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194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  <w:tc>
          <w:tcPr>
            <w:tcW w:w="33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BE0ECF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0325D6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sum(D2:D27)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152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</w:tr>
    </w:tbl>
    <w:p w14:paraId="25D86EEF">
      <w:pPr>
        <w:rPr>
          <w:sz w:val="24"/>
        </w:rPr>
      </w:pPr>
    </w:p>
    <w:p w14:paraId="4BB025A2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沉降观测点汇总表（续表）</w:t>
      </w:r>
    </w:p>
    <w:tbl>
      <w:tblPr>
        <w:tblStyle w:val="15"/>
        <w:tblW w:w="9208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359"/>
        <w:gridCol w:w="3179"/>
        <w:gridCol w:w="1250"/>
      </w:tblGrid>
      <w:tr w14:paraId="05015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2C7E67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485F6D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E1FF1B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1DEC88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</w:tr>
      <w:tr w14:paraId="7F14C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2AE3BE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113 加压气柜B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544F48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404EF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132 硫铵厂房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BC58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</w:tr>
      <w:tr w14:paraId="5BCC9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BBC825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114 筛分楼</w:t>
            </w:r>
          </w:p>
        </w:tc>
        <w:tc>
          <w:tcPr>
            <w:tcW w:w="13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D9D498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31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B054A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133 热电泵房#1</w:t>
            </w:r>
          </w:p>
        </w:tc>
        <w:tc>
          <w:tcPr>
            <w:tcW w:w="12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133FD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60A97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6F6AEA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115 转运站133C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1A128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BD699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134脱硫吸收塔#1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222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541CC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E03EB9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116 脱盐水站水箱A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D3B9A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4D41B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135脱硫循环槽#1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C4D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20821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DC84C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117 脱盐水站水箱B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E5769B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378AB2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136脱硫吸收塔#1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AB2A19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</w:tr>
      <w:tr w14:paraId="25455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29DBA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118 脱盐水站水箱C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327CDE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265DC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137脱硫循环槽#1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282CA9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</w:tr>
      <w:tr w14:paraId="456A4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C1D870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119 脱盐水站水箱D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B8B6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88EEFB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138脱硫循环槽#2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6285C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</w:tr>
      <w:tr w14:paraId="36B92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61E30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120 脱盐水站水箱E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B1D74D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F47C4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139脱硫吸收塔#2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BBE8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06530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8747D8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121 脱盐水站水箱F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FBAD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D77EB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140脱硫吸收塔#3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6E2B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7E4CD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78718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122 脱盐水站厂房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905E87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672F4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141脱硫循环槽#3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7E76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48BE5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</w:trPr>
        <w:tc>
          <w:tcPr>
            <w:tcW w:w="3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C6739B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123 脱盐水站变电所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952B74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31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DB0611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142脱硫循环槽#4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52BD7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</w:tr>
      <w:tr w14:paraId="570F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37D683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124  转运站#1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C97E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E79AD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143脱硫吸收塔 #4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C3BC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59A16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0D716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125 空分水站变电所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40FCD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ACBDEC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144 烟道支架A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9A285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</w:tr>
      <w:tr w14:paraId="621C5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2FAC9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126 空分水站泵房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CB075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7940B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145 烟道支架B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27DD8B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69F90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4BA7A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127 空分水站冷却塔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B1D92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20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3AE5F5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146 热电空压机房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8D2BD1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2B96B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894828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128 硫回收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B80AF2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D7574F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147 引风支架A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5A4752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67DA7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9BD1A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129 灰库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2C8C5F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8DBC0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148 引风支架B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204696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251E2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F7036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130 脱硫冷却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3729F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81B28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149 引风支架C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A7EDFC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0B8FC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8075C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131 脱硫冷却泵房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64911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E47141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150 引风支架D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28B9DF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462E2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3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3179E5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88976E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sum(B2:B20)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98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  <w:tc>
          <w:tcPr>
            <w:tcW w:w="3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37475B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4D4C42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sum(D2:D20)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69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</w:tr>
    </w:tbl>
    <w:p w14:paraId="03558830">
      <w:pPr>
        <w:rPr>
          <w:rFonts w:ascii="黑体" w:hAnsi="黑体" w:eastAsia="黑体" w:cs="黑体"/>
          <w:sz w:val="28"/>
          <w:szCs w:val="28"/>
        </w:rPr>
      </w:pPr>
    </w:p>
    <w:p w14:paraId="27B362BE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沉降观测点汇总表（续表）</w:t>
      </w:r>
    </w:p>
    <w:tbl>
      <w:tblPr>
        <w:tblStyle w:val="15"/>
        <w:tblW w:w="8997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2016"/>
        <w:gridCol w:w="2427"/>
        <w:gridCol w:w="1823"/>
      </w:tblGrid>
      <w:tr w14:paraId="514A3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9A90EC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2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E3A151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  <w:tc>
          <w:tcPr>
            <w:tcW w:w="2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E2AB3E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建（构）筑物名称</w:t>
            </w:r>
          </w:p>
        </w:tc>
        <w:tc>
          <w:tcPr>
            <w:tcW w:w="18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46FE7F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观测点数</w:t>
            </w:r>
          </w:p>
        </w:tc>
      </w:tr>
      <w:tr w14:paraId="3EE0C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BC924D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151 锅炉房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5046A64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C8301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173脱硫循环槽#5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2F99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428AD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1C587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152 热电主厂房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8B1B7C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7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4C219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174脱硫吸收塔#6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12B0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02C6E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20F3F5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153 气化渣池A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30A95C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29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44788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175脱硫循环槽#6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2314C2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501C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5ACD2C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154 气化渣池B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0FBAF8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29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199FD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176加氨槽#5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77AA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1EEB7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E1AAE3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155 气化渣池C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528BB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29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1A7FE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177清水循环箱#4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B3B7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603D0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A8AD36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156 环保水池1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6C397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1050F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178加氨槽#1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D16A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056D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C3E4E9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157 环保水池2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F4649C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34DF8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179加氨槽#2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AE7E3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9258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E85481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158 环保水池3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BB4A22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9CF2A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180清水循环箱#2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63C9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2FC43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869622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159 环保水池4</w:t>
            </w:r>
          </w:p>
        </w:tc>
        <w:tc>
          <w:tcPr>
            <w:tcW w:w="20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1664340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4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5F398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181清水循环箱#3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54D6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4B3E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A9C5E9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160 一级水站泵房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356B2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5BB24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182</w:t>
            </w:r>
            <w:r>
              <w:rPr>
                <w:rFonts w:hint="eastAsia" w:ascii="宋体" w:hAnsi="宋体" w:cs="宋体"/>
                <w:kern w:val="0"/>
              </w:rPr>
              <w:t>加氨槽#3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CE38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3</w:t>
            </w:r>
          </w:p>
        </w:tc>
      </w:tr>
      <w:tr w14:paraId="01796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AE929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161 一级水站水池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8F9DC0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381D7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183加氨槽#4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68F1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72B08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0884B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162 二级水站泵房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29EB3B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C749E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184清水循环箱#4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CC84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34FF8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7C4C7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163 二级水站水池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444F30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2AF740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185渣场泵房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9A0DC4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76982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A4492A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164 三级水站泵房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B7C11F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C0E106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186 RTO烟囱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5114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</w:tr>
      <w:tr w14:paraId="72512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F946FC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165 三级水站水池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A27DD9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16CCA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187仪控室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47792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7569B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4486D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166 空分冷却塔1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0CA364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65241D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188 1#RTO炉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AF71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7ED1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2DDEA3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167 空分冷却塔3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4759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F2446E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189 2#RTO炉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757B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144AF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D93177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168 第五泵房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4C86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01E222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190 3#RTO炉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602E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11E3E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228F84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169 浓盐水结晶厂房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BFA61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A4D098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191 4#RTO炉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632D0E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</w:tr>
      <w:tr w14:paraId="38C88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2E1D21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170 母液干化厂房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261057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8BDC63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192 5#RTO炉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98ACEB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</w:tr>
      <w:tr w14:paraId="02BD1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CF8AF5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171 曝气生物滤池248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41D0B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7C788E"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193 6#RTO炉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03BD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</w:tr>
      <w:tr w14:paraId="56854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75E3C93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172 脱硫吸收塔#5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3EBFF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AA1FC3B">
            <w:pPr>
              <w:widowControl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194 462储运罐区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EA4D0AA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33</w:t>
            </w:r>
          </w:p>
        </w:tc>
      </w:tr>
      <w:tr w14:paraId="6751B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90AD9E"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F6C8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instrText xml:space="preserve"> = sum(B2:B23) \* MERGEFORMAT </w:instrTex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197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fldChar w:fldCharType="end"/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989C0F">
            <w:pPr>
              <w:widowControl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D1E47B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fldChar w:fldCharType="begin"/>
            </w:r>
            <w:r>
              <w:rPr>
                <w:rFonts w:hint="eastAsia" w:ascii="宋体" w:hAnsi="宋体" w:cs="宋体"/>
                <w:kern w:val="0"/>
              </w:rPr>
              <w:instrText xml:space="preserve"> = sum(D2:D23) \* MERGEFORMAT </w:instrText>
            </w:r>
            <w:r>
              <w:rPr>
                <w:rFonts w:hint="eastAsia" w:ascii="宋体" w:hAnsi="宋体" w:cs="宋体"/>
                <w:kern w:val="0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</w:rPr>
              <w:t>99</w:t>
            </w:r>
            <w:r>
              <w:rPr>
                <w:rFonts w:hint="eastAsia" w:ascii="宋体" w:hAnsi="宋体" w:cs="宋体"/>
                <w:kern w:val="0"/>
              </w:rPr>
              <w:fldChar w:fldCharType="end"/>
            </w:r>
          </w:p>
        </w:tc>
      </w:tr>
    </w:tbl>
    <w:p w14:paraId="55D6590B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续表</w:t>
      </w:r>
    </w:p>
    <w:tbl>
      <w:tblPr>
        <w:tblStyle w:val="15"/>
        <w:tblW w:w="10063" w:type="dxa"/>
        <w:tblInd w:w="-3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339"/>
        <w:gridCol w:w="5895"/>
        <w:gridCol w:w="682"/>
        <w:gridCol w:w="1268"/>
      </w:tblGrid>
      <w:tr w14:paraId="4C88C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E0E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D8D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E19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位置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6979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E2B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4FC9D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C5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FFB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水处理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1680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碳汇林泵房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FBD9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19CE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4C37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F0F47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20F3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46A7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酸碱站盐酸A/B/C/D、液碱A/B储罐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CC85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ADD0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FB8D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39E1B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7E34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E7B7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净水厂净水间配水井、反应池、沉淀池、滤池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3BA3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C10C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49E3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E1351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DB4A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4DB6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净化循环水冷却塔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及集水池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42B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AF7C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82D7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D170C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DD6A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5648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热电循环水冷却塔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及集水池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8C4A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D76C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1241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76B41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2BC6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6F2A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265多效蒸发预处理联合水池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9D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EEF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387E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0BD23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B37E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1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263、264汽水反冲滤池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B727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6388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E7F5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695BB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A3F2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061F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危废填埋场渗滤液收集池和泵房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B031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730B6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5220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6A55A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4432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24AD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241隔油气浮池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2DB3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CBBD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FDF4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9A8B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5058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77BE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242调节池1、2、3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51A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3EFC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BB42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4E63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6B2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C0E1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243水解酸化池A/B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BCE6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6863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8EEE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8451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70E3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EFF9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246混凝气浮池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7BE4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4ACE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6CD8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11DE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C3DB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8738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247臭氧催化氧化厂房(包括催化塔）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0685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DA84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D2C5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D2F5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A773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3949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247臭氧处理厂房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53B8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51B96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26B7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05C0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0F70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55F2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249浸没式超滤厂房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9B91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B40D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237B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F3F7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9F3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066E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269纳滤浓水蒸发结晶装置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CCA7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353D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DA45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1AC1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13F6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05F8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空分循环水集水池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C5B0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B5CC6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E60C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110B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7BE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3459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气化循环水集水池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BC72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528E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E8A8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A576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0CE1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A3E4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空分循环水站吸水池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AF14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0124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4475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0188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529A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38B3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气化循环水站吸水池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C280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6DF5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372E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8DB6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9C99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4533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热电循环水站吸水池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DC4D3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ED5C9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56A8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5F01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73B0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7D67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事故水池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0A5C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0900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F1F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129C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CF3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7CAE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混凝沉淀池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D54A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6E31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567C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6A21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234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19C1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过滤吸附间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6557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43DD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5FF5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FDE3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079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B7DF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碳再生间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7BD9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A6BE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A136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DE2E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8DEB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FC82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鼓风机房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7664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A4F8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D882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600D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9690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94CD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加药脱水间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6512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E6A0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7512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B5DC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0B0F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5480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除臭间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1B6B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B8EB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7FFD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CB90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163E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404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含盐污水澄清池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9C58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2B83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BAEB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50C7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C79E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2FED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生化回用澄清池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B349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2B7F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7ABE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87FB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293D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65C3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污泥泵站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3374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0AEC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5F8B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325D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F3AB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6999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含盐污水过滤及回用厂房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5497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ABF5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78C6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9B45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995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8CB7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生化污水过滤及回用厂房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7810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6227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ED43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EAA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34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50B3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备煤车间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C87C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备煤变电所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EFFD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74526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0521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D0F8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61B0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E61A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破碎机基础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9E81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54EB9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2B47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3CD22"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 w:bidi="ar"/>
              </w:rPr>
              <w:t>36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944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净化车间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BA37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低温甲醇洗A系列地下槽（161V109/110）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7CDF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26BA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DD4D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C480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29CA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5735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低温甲醇洗A系列排污液氨槽(161V111)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 w14:paraId="5911E4C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20BC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B649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EF1A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D19D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E679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低温甲醇洗B系列地下槽(161V209/210)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 w14:paraId="6D07F12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859C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1D3B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F103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E973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CFC6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低温甲醇洗B系列排污液氨槽(161V211)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 w14:paraId="15760B1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6F85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289F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C62F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940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D259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低温甲醇洗A系列甲醇水冷却器（161E111）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4675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4ECB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E253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D45C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055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9FF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低温甲醇洗B系列甲醇水冷却器（161E211）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3220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A6B7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80C5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FE86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D6F3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7C4E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低温甲醇洗A系列循环气闪蒸罐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1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（161V102）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761C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CB2A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FA6F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FB7E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BD98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AB7B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低温甲醇洗B系列循环气闪蒸罐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1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（161V202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78BD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74B8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16A6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AE03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7EE9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94B3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低温甲醇洗A系列循环气闪蒸罐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2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（161V103）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E4A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879F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62FD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190B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1B4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22A4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低温甲醇洗B系列循环气闪蒸罐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2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（161V203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BB52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81EE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4679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58FB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E344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41BD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低温甲醇洗A系列甲醇换热器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4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IV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（161E110A-D）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8A81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747D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956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8E14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2437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1366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低温甲醇洗B系列甲醇换热器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4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IV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（161E210A-D）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2A2D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FC2A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A2B5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3AE7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EE67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A251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低温甲醇洗A系列甲醇换热器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3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III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（161E119A-E）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2878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FBFC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3175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5A00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118F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CB60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低温甲醇洗B系列甲醇换热器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instrText xml:space="preserve">= 3 \* ROMAN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separate"/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III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（161E219A-E）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DCD3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BD93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C8B3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8FE7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1F7D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17C8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低温甲醇洗A系列1#、2#、3#/4#框架地面水泥支撑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E240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BEDA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6F7A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B4B8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AFDC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B31C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低温甲醇洗B系列1#、2#、3#/4#框架地面水泥支撑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952E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CB9A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7028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8DDB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A171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2937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低温甲醇洗A/B系列泵房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16EB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3424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1518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B2B8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6615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34B5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低温甲醇洗A/B系列循环气压缩机厂房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341D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E59B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66CF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930A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16D3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494D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氨压缩机厂房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2706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5F6C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0581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EAE5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18D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486F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稀酚水换热器162E002基础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253A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4BE4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42A7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AE8D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0CD3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8A47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液氨储槽161V101/201A/B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43BB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39D4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01DA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19FD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949B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BCFE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混合制冷精馏塔162T101AB/201AB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31BA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3289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E0DE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C585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CD0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4F47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混合制冷氨水地下槽162V103/203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4CD3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E8E9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98BC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F269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75CB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99C5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稀酚水水冷器162E001（L）基础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F5F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D369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685F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FA16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527D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69F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混合制冷氨水泵房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9883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F045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4930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1DE4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D69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84E5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混合制冷地下槽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0CDD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9B81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343E3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E473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2DFD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CF77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混合制冷吸收框架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EB79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1DB7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2516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C850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EF9D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0E6A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RTO装置1#锅炉厂房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C2C7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8503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D74C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876E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6AA5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D3CB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RTO装置2#锅炉厂房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E915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3E48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2A29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5E1F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E88C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1F58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全厂火炬开工事故火炬水封罐（430V001）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07CD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77D8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69A9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69F1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BA90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7B8F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多元烃储罐B（450V002B）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C2E2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1FEB6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071F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B9AD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E566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124A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重沸炉167F101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9E5A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E173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95E3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7F9A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0CD2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5910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加热炉167F102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7C3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FBA9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7672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237A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FAD7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E1E4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深加工1#泵房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AABC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BC08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A8B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9BFC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E6B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2BA4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深加工2#泵房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8500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33D0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8651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4629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2EFF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5C3A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深加工3#泵房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D788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81A3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2900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F80E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909B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BDE3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深加工三相离心机厂房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5799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CDA2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895C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A668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ADF7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56DC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储运罐区雨水池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9473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41FE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922D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F618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E5C9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C0E8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综合罐区变电所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C3DD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0A39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D546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BF41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9913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1E44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2#余热锅炉厂房外西侧烟气管道基础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A5BD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65FD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E70F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661C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75F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1EFE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2#余热锅炉厂房外西侧污水泵基础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605C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7E91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81D8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B466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68D7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DADC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2#余热锅炉厂房外西侧排水池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5676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2C61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C3B5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2108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4A59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4B21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全厂火炬污水池430V006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E5CF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5C4C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109C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708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79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4F34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回收车间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1C73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酚回收126A系列溶剂贮槽126V114AB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10A9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4C21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888F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DCAC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715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87DB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酚回收126B系列溶剂贮槽126V214AB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5E31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4ABE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54F9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9111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26C3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AAC0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酚回收126C系列溶剂贮槽126V314AB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D3EB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5165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3AA0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3381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DD67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6E3D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煤气水125A系列焦油污水槽125V108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2DC2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6084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6369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39C2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0323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82CF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煤气水125B系列焦油污水槽125V208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599A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B01F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57B2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8259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649E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1505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煤气水125C系列焦油污水槽125V308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FF9A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0BDC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77FE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5143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6A3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64C3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煤气水125D系列焦油污水槽125V408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6514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8E5E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B9ED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20AA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7030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144A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煤气水125E系列焦油污水槽125V508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3EBC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1E9A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07AE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FB8E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0335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3089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煤气水125F系列焦油污水槽125V608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AF6E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6234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EB40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E8DE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FB1E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FDA0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油分离器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（12个）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DE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36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5007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D1B6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E8B7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3222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AF47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酚回收35KV变电站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A4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C990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543E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4E6A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DBD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0ECC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煤气水分离变电所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34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908F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1B27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6F0F0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91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CB80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气化车间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AD4A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变换冷却A系列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33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B8FB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850A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4F3F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1B9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154C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变换冷却B系列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8B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4EBC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09FA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E19F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C576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61E6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除氧站A系列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9C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96549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EE14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0176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8D6C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2F51E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除氧站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 w:bidi="ar"/>
              </w:rPr>
              <w:t>B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系列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1C1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B8A4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CBA6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17EB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5DB7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999B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煤锁气压缩机厂房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41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5FB8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682B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010C8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96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23CA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热电车间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4ED62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脱硫浆液缓存槽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2C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265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D31D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48BC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DE50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2F655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脱硫控制室楼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CA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A3FE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B732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46BD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86F4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E1D04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脱硫#1、#2末端水池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38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CB20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0491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EA92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0255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19B52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#1仓泵房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CBB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725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676A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EF4C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99B9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BD997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#2仓泵房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49F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72DA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F001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CEBF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8752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56D05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#3仓泵房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C93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15D2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1E84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A534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1841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E0775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#4仓泵房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F6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3FFF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54AF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BC3F2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290C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087A3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给水加氨小室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5BA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404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807E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91E3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8102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9E063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#1升压变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81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32E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ACB5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504E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8908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05030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#2升压变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D5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80D3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5B25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1623F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A52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22CA9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#3升压变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D8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E22C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FBC1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5DE0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2560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1D15E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#6加氨槽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12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9A93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9D94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9A9D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CBA9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43778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脱硫#2泵房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37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DC6C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7505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0270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37F0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A028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脱硫#5泵房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51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0158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9049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6800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B5F5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1F595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脱硫#6泵房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13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41A7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D97E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F4F3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0B4A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3C5C1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#1湿电循环水箱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A19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7E6D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83B5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2E15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89FA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ED4D7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#2湿电循环水箱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AE8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DB4A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5673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B9F1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7D3F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A0CF8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#3湿电循环水箱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E5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DBA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C33A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07B7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B997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EB593">
            <w:pPr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#4湿电循环水箱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F6E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315A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F2D7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A407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9134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3560E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#1、#2湿电泵房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8F6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8233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27F5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0DF0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1047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DF4F1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#3、#4湿电泵房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C5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CAFE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92DE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478A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D847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E286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#1检修槽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1C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57EF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62AE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3B811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EC03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E3ABA"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cs="Calibri"/>
                <w:szCs w:val="21"/>
              </w:rPr>
              <w:t>#2检修槽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046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A3DE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9E3B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ADC8A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119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7008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甲烷化车间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407DC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天然气压缩机183a系列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53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3A6C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E953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4618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6806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7A2A0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合成181a系列锅炉给水泵房内泵基础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63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5300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8993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0A139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4B8F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18A25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合成181b系列锅炉给水泵房内泵基础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71E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F24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C207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5651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7822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5E263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合成181a系列余热回收废热锅炉基础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A93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F6E8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D3A7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9965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60D3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C3BA9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合成181b系列余热回收废热锅炉基础。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BFE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1BDC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F53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59B2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D07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41006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锅炉水泵厂房A/B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CD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A484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BA16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66BDE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126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8FC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空分车间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53BA1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压缩厂房A/B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57B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1AF1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A291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7FBBB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8817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63C4E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泵房A/B/C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68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06DC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FAF5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FB149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758B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11DF3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膨胀机房A/B/C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58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4CF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AD3A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D4E70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3C01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380F7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eastAsia="宋体" w:cs="Calibri"/>
                <w:szCs w:val="21"/>
              </w:rPr>
              <w:t>空压站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B0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67A9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EC33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68B7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BA6D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FF157">
            <w:pPr>
              <w:jc w:val="center"/>
              <w:rPr>
                <w:rFonts w:eastAsia="宋体" w:cs="Calibri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空分冷却塔2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D2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AED8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B7A7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1CD8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56BC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98072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空分10KV变电所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83E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AD3A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335E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1874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BFEC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215C8">
            <w:pPr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空分控制室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A9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A1B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0A00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CE9CE">
            <w:pPr>
              <w:tabs>
                <w:tab w:val="left" w:pos="576"/>
              </w:tabs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133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F625A">
            <w:pPr>
              <w:tabs>
                <w:tab w:val="left" w:pos="576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公用工程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BB726">
            <w:pPr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食堂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C7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69F8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7A43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3C90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7685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51A37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厂前区变电所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FD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E99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E4C1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61A8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2DD5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81B5F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中心化验室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D1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E50E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DB57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630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6EB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671A0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职工之家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B4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5F15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3931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228F6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E4AE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管廊基础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3EFB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总长约11000m，每40m布置观测点，共布置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 w:bidi="ar"/>
              </w:rPr>
              <w:t>259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点，实际观测时按现场实际情况调整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4F8F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259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AEE6F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A1A3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1D894">
            <w:pPr>
              <w:jc w:val="center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138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F80F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封闭式煤场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01D8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输煤控制室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FB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7F16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1532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D6DFA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698B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F82E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电锅炉房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B3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5995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15DB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BCE9A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140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986B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1015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雨水沉淀池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51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5958B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044E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7F960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141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E1C1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20BF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栈桥基础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35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219D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CFB0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B1711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142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CAB8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F1C6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转运站（2个）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93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E84C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B685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A7FBB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150</w:t>
            </w:r>
          </w:p>
        </w:tc>
        <w:tc>
          <w:tcPr>
            <w:tcW w:w="13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A37F0">
            <w:pPr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其他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13BE4"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危废填埋场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716B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108</w:t>
            </w:r>
          </w:p>
        </w:tc>
        <w:tc>
          <w:tcPr>
            <w:tcW w:w="1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D097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70D9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1231C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585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8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综合仓库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B8D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7A66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4502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AAA99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5CB5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7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净水泵房及变电所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1A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192E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FA7F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CD915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153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27BA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C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Style w:val="24"/>
                <w:lang w:val="en-US" w:eastAsia="zh-CN" w:bidi="ar"/>
              </w:rPr>
              <w:t>净化装置变电所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D90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9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A200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60306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567FE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154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DB7C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7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净化循环水变电所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50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2B2C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03D6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5656A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155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EE4D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0D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气化水站变电所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BD0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9B5F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5033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12313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156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F8CB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33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第二换热站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C3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4BDF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E302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6FB36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157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D70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6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热电循环水变电所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DF2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6119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D45D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7AEA6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158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347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6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启动锅炉房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DED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9A7A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C859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17FA0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159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65DA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6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0C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83DA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3485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4AEED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160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4DB1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9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中央控制室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FD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DAC8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6BD0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162FC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161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7EA4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6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第一换热站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B4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5960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0A15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C809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162</w:t>
            </w:r>
          </w:p>
        </w:tc>
        <w:tc>
          <w:tcPr>
            <w:tcW w:w="13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E0CCC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7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总变电站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51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F046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88F1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2CEE4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F79CC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7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化学品库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8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D069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6ECB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E500A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EC56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E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氧化风机房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3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8D46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B002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9FFC3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0E686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A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8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599A4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0FD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FAE5E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9269D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3D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10KV变电所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B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4581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1124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015A5">
            <w:pPr>
              <w:jc w:val="center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E7ABD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A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引风机房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6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8F95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C6A2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8CBCC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ED8C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5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#5锅炉脱硫电控楼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1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1B93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2F26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F0B59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DE60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4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脱硫#7泵房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8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555D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2119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4D19D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675E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6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#5锅炉除尘支架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B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23FD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00BF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DD244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85F85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F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#5锅炉风机变频室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79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63E1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0E71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24044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31437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B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#5锅炉高架桥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FDA1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1C0A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6ACB8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73C4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C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55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1CBB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1B35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88232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ACCD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6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#3检修槽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C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0DF0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BF2A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E1CF6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9FB6D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C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#7脱硫塔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1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206F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C874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EFF0C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93CA7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0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#7循环槽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B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0F24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681F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FDD7E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52785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91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#5锅炉净烟道支架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F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5D56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E58A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AA159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E4EBC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A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#5锅炉前烟道支架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C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4A29A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ED1E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2F917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365A0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3F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#5锅炉原烟道支架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2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E678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989D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C78F2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364CD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E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#5锅炉引风机房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9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06C9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214F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4C1E4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D2BF1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6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#7脱硫原烟气CEMS小室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0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C4DE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76C2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BE269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2170D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6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#7脱硫净烟气CEMS小室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B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D0D03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2092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FF4AF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9E3EA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2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#5锅炉主厂房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8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B4F5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568B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7D6DE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54D72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31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#2工艺水箱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8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F550D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F283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F1202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2AB61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8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7#RTO炉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3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D2B1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6000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36D94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251F7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A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8#RTO炉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5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134C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9CDE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A8798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23CD1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1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451加药间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3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5189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0104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97E32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25424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DB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247臭氧反洗水池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C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CA985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C628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80ED7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190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CF215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1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252污泥浓缩罐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7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ED7D31" w:themeColor="accent2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4</w:t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72EBE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1F94A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F45F0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191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6966B">
            <w:pPr>
              <w:jc w:val="center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B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以上合计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2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= sum(D2:D182)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FF928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DA0D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AC101">
            <w:pPr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192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A11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4AF9B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ED7D31" w:themeColor="accent2"/>
                <w:szCs w:val="21"/>
                <w14:textFill>
                  <w14:solidFill>
                    <w14:schemeClr w14:val="accent2"/>
                  </w14:solidFill>
                </w14:textFill>
              </w:rPr>
              <w:t>余量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7E92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0AA8D">
            <w:pPr>
              <w:rPr>
                <w:rFonts w:ascii="宋体" w:hAnsi="宋体" w:eastAsia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所有点位进行沉降观测，全年3次（1、2、12月不计），每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3个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次观测</w:t>
            </w:r>
          </w:p>
        </w:tc>
      </w:tr>
    </w:tbl>
    <w:p w14:paraId="52BED15A"/>
    <w:p w14:paraId="507C2D99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沉降观测点汇总表</w:t>
      </w:r>
    </w:p>
    <w:p w14:paraId="35454FAD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kern w:val="22"/>
          <w:sz w:val="28"/>
          <w:szCs w:val="28"/>
        </w:rPr>
        <w:t>全年9次</w:t>
      </w:r>
      <w:r>
        <w:rPr>
          <w:rFonts w:hint="eastAsia" w:ascii="黑体" w:hAnsi="黑体" w:eastAsia="黑体" w:cs="黑体"/>
          <w:sz w:val="28"/>
          <w:szCs w:val="28"/>
        </w:rPr>
        <w:t>（1、2、12月不计）</w:t>
      </w:r>
      <w:r>
        <w:rPr>
          <w:rFonts w:hint="eastAsia" w:ascii="黑体" w:hAnsi="黑体" w:eastAsia="黑体" w:cs="黑体"/>
          <w:kern w:val="22"/>
          <w:sz w:val="28"/>
          <w:szCs w:val="28"/>
        </w:rPr>
        <w:t>，</w:t>
      </w:r>
      <w:r>
        <w:rPr>
          <w:rFonts w:hint="eastAsia" w:ascii="黑体" w:hAnsi="黑体" w:eastAsia="黑体" w:cs="黑体"/>
          <w:sz w:val="28"/>
          <w:szCs w:val="28"/>
        </w:rPr>
        <w:t>重点区域每月1次的沉降观测点位</w:t>
      </w:r>
    </w:p>
    <w:tbl>
      <w:tblPr>
        <w:tblStyle w:val="15"/>
        <w:tblW w:w="8994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055"/>
        <w:gridCol w:w="2849"/>
        <w:gridCol w:w="1381"/>
      </w:tblGrid>
      <w:tr w14:paraId="19CD2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62CA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建（构）筑物名称</w:t>
            </w:r>
          </w:p>
        </w:tc>
        <w:tc>
          <w:tcPr>
            <w:tcW w:w="20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B236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观测点数</w:t>
            </w:r>
          </w:p>
        </w:tc>
        <w:tc>
          <w:tcPr>
            <w:tcW w:w="2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06D9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建（构）筑物名称</w:t>
            </w: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DAC8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观测点数</w:t>
            </w:r>
          </w:p>
        </w:tc>
      </w:tr>
      <w:tr w14:paraId="2BAC1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2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D89C2C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 液氨球罐</w:t>
            </w:r>
          </w:p>
        </w:tc>
        <w:tc>
          <w:tcPr>
            <w:tcW w:w="20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75F919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F3FB21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17 煤筒仓2</w:t>
            </w:r>
          </w:p>
        </w:tc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4F535F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</w:tr>
      <w:tr w14:paraId="4B7FA6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6E496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 氨水球罐</w:t>
            </w:r>
          </w:p>
        </w:tc>
        <w:tc>
          <w:tcPr>
            <w:tcW w:w="20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3222C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839988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18 煤筒仓1</w:t>
            </w:r>
          </w:p>
        </w:tc>
        <w:tc>
          <w:tcPr>
            <w:tcW w:w="13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C541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8</w:t>
            </w:r>
          </w:p>
        </w:tc>
      </w:tr>
      <w:tr w14:paraId="29418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83A12A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 甲醇储罐A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0EB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4AA3F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19 烟囱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8717987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</w:p>
        </w:tc>
      </w:tr>
      <w:tr w14:paraId="7C14F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BB1680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 甲醇储罐B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A4532E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CBE13B">
            <w:pPr>
              <w:widowControl/>
              <w:jc w:val="left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20 热电引风机房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22C515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20</w:t>
            </w:r>
          </w:p>
        </w:tc>
      </w:tr>
      <w:tr w14:paraId="2E0B5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D0080B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 轻烃储罐A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561D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9BA81D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21 刚性池1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7C6E3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12</w:t>
            </w:r>
          </w:p>
        </w:tc>
      </w:tr>
      <w:tr w14:paraId="08DBE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D0F19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6 轻烃储罐B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C04C7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0BFC1F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22 刚性池2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7F9DD6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2FDEE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60D170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7 多元烃储罐A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8A97C0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A1EBDC9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23 刚性池3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F5CBA4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0F835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E6EB8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 混合酚储罐A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C6A41B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0FDD7C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24 刚性池4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C9B02F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12</w:t>
            </w:r>
          </w:p>
        </w:tc>
      </w:tr>
      <w:tr w14:paraId="07C57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3E1ABD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 混合酚储罐B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8BD574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240390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25 刚性池5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0CF377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46635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FE795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10 重芳烃储罐A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80394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287F59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26 刚性池6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2305C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12</w:t>
            </w:r>
          </w:p>
        </w:tc>
      </w:tr>
      <w:tr w14:paraId="204BC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03DA3B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11 重芳烃储罐B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09D34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13E54B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27 刚性池7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4FFC4A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12</w:t>
            </w:r>
          </w:p>
        </w:tc>
      </w:tr>
      <w:tr w14:paraId="0EE6D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03228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12 煤筒仓7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F62CA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7CBF9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28 刚性池8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137E23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</w:tr>
      <w:tr w14:paraId="29475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7D8BB4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13 煤筒仓6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17E8C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95A15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29 刚性池9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D0699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12</w:t>
            </w:r>
          </w:p>
        </w:tc>
      </w:tr>
      <w:tr w14:paraId="5851D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5BF48A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14 煤筒仓5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1FC3F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F19907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30 13号道路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038A68">
            <w:pPr>
              <w:widowControl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16</w:t>
            </w:r>
          </w:p>
        </w:tc>
      </w:tr>
      <w:tr w14:paraId="5E79B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D1003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15 煤筒仓4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D8C4AE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1F5F54">
            <w:pPr>
              <w:widowControl/>
              <w:jc w:val="left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31 气化装置东侧道路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E60955">
            <w:pPr>
              <w:widowControl/>
              <w:jc w:val="center"/>
              <w:rPr>
                <w:rFonts w:ascii="宋体" w:hAnsi="宋体" w:eastAsia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15</w:t>
            </w:r>
          </w:p>
        </w:tc>
      </w:tr>
      <w:tr w14:paraId="39D99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5DC19AC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16 煤筒仓3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2A5E9B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BD7A59C">
            <w:pPr>
              <w:widowControl/>
              <w:jc w:val="left"/>
              <w:rPr>
                <w:rFonts w:hint="default" w:ascii="宋体" w:hAnsi="宋体" w:cs="宋体" w:eastAsiaTheme="minorEastAsia"/>
                <w:color w:val="5B9BD5" w:themeColor="accent1"/>
                <w:kern w:val="0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多元烃储罐B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964671B">
            <w:pPr>
              <w:widowControl/>
              <w:jc w:val="center"/>
              <w:rPr>
                <w:rFonts w:hint="eastAsia" w:ascii="宋体" w:hAnsi="宋体" w:cs="宋体" w:eastAsiaTheme="minorEastAsia"/>
                <w:color w:val="5B9BD5" w:themeColor="accent1"/>
                <w:kern w:val="0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kern w:val="0"/>
                <w:lang w:val="en-US" w:eastAsia="zh-CN"/>
              </w:rPr>
              <w:t>3</w:t>
            </w:r>
          </w:p>
        </w:tc>
      </w:tr>
      <w:tr w14:paraId="38378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709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203729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BA8B0CE"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instrText xml:space="preserve"> = sum(B2:B17) \* MERGEFORMAT </w:instrTex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83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fldChar w:fldCharType="end"/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9124D9C">
            <w:pPr>
              <w:widowControl/>
              <w:jc w:val="center"/>
              <w:rPr>
                <w:rFonts w:hint="default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合计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2D2E403">
            <w:pPr>
              <w:widowControl/>
              <w:jc w:val="center"/>
              <w:rPr>
                <w:rFonts w:hint="default" w:ascii="宋体" w:hAnsi="宋体" w:cs="宋体"/>
                <w:color w:val="5B9BD5" w:themeColor="accent1"/>
                <w:kern w:val="0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kern w:val="0"/>
                <w:lang w:val="en-US" w:eastAsia="zh-CN"/>
              </w:rPr>
              <w:t>182</w:t>
            </w:r>
          </w:p>
        </w:tc>
      </w:tr>
    </w:tbl>
    <w:p w14:paraId="04E2BE28">
      <w:pPr>
        <w:spacing w:line="480" w:lineRule="auto"/>
        <w:rPr>
          <w:rFonts w:ascii="黑体" w:hAnsi="黑体" w:eastAsia="黑体" w:cs="黑体"/>
          <w:sz w:val="28"/>
          <w:szCs w:val="28"/>
        </w:rPr>
      </w:pPr>
    </w:p>
    <w:p w14:paraId="03109A87">
      <w:pPr>
        <w:spacing w:line="48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边坡监测点汇总表</w:t>
      </w:r>
    </w:p>
    <w:p w14:paraId="130EB73F">
      <w:pPr>
        <w:jc w:val="center"/>
      </w:pPr>
      <w:r>
        <w:rPr>
          <w:rFonts w:hint="eastAsia" w:ascii="黑体" w:hAnsi="黑体" w:eastAsia="黑体" w:cs="黑体"/>
          <w:kern w:val="22"/>
          <w:sz w:val="28"/>
          <w:szCs w:val="28"/>
        </w:rPr>
        <w:t>全年3次（1、2、12月不计），每3</w:t>
      </w:r>
      <w:r>
        <w:rPr>
          <w:rFonts w:hint="eastAsia" w:ascii="黑体" w:hAnsi="黑体" w:eastAsia="黑体" w:cs="黑体"/>
          <w:kern w:val="22"/>
          <w:sz w:val="28"/>
          <w:szCs w:val="28"/>
          <w:lang w:val="en-US" w:eastAsia="zh-CN"/>
        </w:rPr>
        <w:t>个</w:t>
      </w:r>
      <w:r>
        <w:rPr>
          <w:rFonts w:hint="eastAsia" w:ascii="黑体" w:hAnsi="黑体" w:eastAsia="黑体" w:cs="黑体"/>
          <w:kern w:val="22"/>
          <w:sz w:val="28"/>
          <w:szCs w:val="28"/>
        </w:rPr>
        <w:t>月1次的沉降观测点位</w:t>
      </w:r>
    </w:p>
    <w:tbl>
      <w:tblPr>
        <w:tblStyle w:val="15"/>
        <w:tblW w:w="953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3150"/>
        <w:gridCol w:w="2085"/>
        <w:gridCol w:w="2340"/>
      </w:tblGrid>
      <w:tr w14:paraId="1C0ED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9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4CE328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边坡监测点</w:t>
            </w:r>
          </w:p>
        </w:tc>
        <w:tc>
          <w:tcPr>
            <w:tcW w:w="31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0E7CA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监测点数</w:t>
            </w:r>
          </w:p>
        </w:tc>
        <w:tc>
          <w:tcPr>
            <w:tcW w:w="20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E70A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边坡监测点</w:t>
            </w:r>
          </w:p>
        </w:tc>
        <w:tc>
          <w:tcPr>
            <w:tcW w:w="23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1008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监测点数</w:t>
            </w:r>
          </w:p>
        </w:tc>
      </w:tr>
      <w:tr w14:paraId="48634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exact"/>
          <w:jc w:val="center"/>
        </w:trPr>
        <w:tc>
          <w:tcPr>
            <w:tcW w:w="19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89FC15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A坡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（10号路北侧）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4C1BCA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  <w:r>
              <w:rPr>
                <w:rFonts w:hint="eastAsia" w:ascii="宋体" w:hAnsi="宋体" w:cs="宋体"/>
                <w:kern w:val="0"/>
                <w:szCs w:val="21"/>
              </w:rPr>
              <w:t>（其中沉降观测6个点，水平位移观测点12个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1B166B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（18号路北侧）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CB92A2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4（其中沉降观测9个点，水平位移观测点14个）</w:t>
            </w:r>
          </w:p>
        </w:tc>
      </w:tr>
      <w:tr w14:paraId="14DF8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  <w:jc w:val="center"/>
        </w:trPr>
        <w:tc>
          <w:tcPr>
            <w:tcW w:w="19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251691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B坡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（12号路北侧）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EAFE74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kern w:val="0"/>
                <w:szCs w:val="21"/>
              </w:rPr>
              <w:t>（其中沉降观测7个点，水平位移观测点14个）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83179D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F坡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（总变电站南侧）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1C8736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14（其中沉降观测5个点，水平位移观测点14个）</w:t>
            </w:r>
          </w:p>
        </w:tc>
      </w:tr>
      <w:tr w14:paraId="48522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exact"/>
          <w:jc w:val="center"/>
        </w:trPr>
        <w:tc>
          <w:tcPr>
            <w:tcW w:w="19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D55F96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（14号路北侧）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288D40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kern w:val="0"/>
                <w:szCs w:val="21"/>
              </w:rPr>
              <w:t>（其中沉降观测7个点，水平位移观测点14个）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B4D507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G坡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（13号路东侧）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9F9304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19（其中沉降观测6个点，水平位移观测点19个）</w:t>
            </w:r>
          </w:p>
        </w:tc>
      </w:tr>
      <w:tr w14:paraId="395E3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exact"/>
          <w:jc w:val="center"/>
        </w:trPr>
        <w:tc>
          <w:tcPr>
            <w:tcW w:w="19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3FA08D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D坡</w:t>
            </w:r>
            <w:r>
              <w:rPr>
                <w:rFonts w:hint="eastAsia" w:ascii="宋体" w:hAnsi="宋体" w:cs="宋体"/>
                <w:kern w:val="0"/>
                <w:szCs w:val="21"/>
              </w:rPr>
              <w:t>（16号路北侧）</w:t>
            </w: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6BE379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kern w:val="0"/>
                <w:szCs w:val="21"/>
              </w:rPr>
              <w:t>（其中沉降观测7个点，水平位移观测点14个）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E29E26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H坡（热电渣场暂存池）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FF1625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3（其中沉降观测3个点，水平位移观测点3个）</w:t>
            </w:r>
          </w:p>
        </w:tc>
      </w:tr>
      <w:tr w14:paraId="0F193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  <w:jc w:val="center"/>
        </w:trPr>
        <w:tc>
          <w:tcPr>
            <w:tcW w:w="19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BB1F26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J坡（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13号路气化段护坡）</w:t>
            </w: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7A4116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3（其中沉降观测3个点，水平位移点观测3个）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85757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蒸发塘挡水坝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571B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44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</w:rPr>
              <w:t>其中沉降观测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44</w:t>
            </w:r>
            <w:r>
              <w:rPr>
                <w:rFonts w:hint="eastAsia" w:ascii="宋体" w:hAnsi="宋体" w:cs="宋体"/>
                <w:kern w:val="0"/>
                <w:szCs w:val="21"/>
              </w:rPr>
              <w:t>个点，水平位移观测点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44个）</w:t>
            </w:r>
          </w:p>
        </w:tc>
      </w:tr>
    </w:tbl>
    <w:p w14:paraId="19975B75">
      <w:pPr>
        <w:spacing w:line="36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 w14:paraId="38A2D510">
      <w:pPr>
        <w:spacing w:line="36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4FA9A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4B19D9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4B19D9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5E762E"/>
    <w:multiLevelType w:val="singleLevel"/>
    <w:tmpl w:val="F45E76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F6B128C"/>
    <w:multiLevelType w:val="singleLevel"/>
    <w:tmpl w:val="2F6B128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882970"/>
    <w:multiLevelType w:val="singleLevel"/>
    <w:tmpl w:val="3988297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MGRjYjY4MzAyYjk5YTJlZjEwZjk2YjI4M2I0NGYifQ=="/>
  </w:docVars>
  <w:rsids>
    <w:rsidRoot w:val="3B251EF2"/>
    <w:rsid w:val="00550A55"/>
    <w:rsid w:val="00851711"/>
    <w:rsid w:val="00D00E9F"/>
    <w:rsid w:val="03762F3D"/>
    <w:rsid w:val="03C4456E"/>
    <w:rsid w:val="071A3125"/>
    <w:rsid w:val="07456B02"/>
    <w:rsid w:val="08003DC4"/>
    <w:rsid w:val="0C361222"/>
    <w:rsid w:val="0D415E68"/>
    <w:rsid w:val="0FDF77FF"/>
    <w:rsid w:val="0FE11555"/>
    <w:rsid w:val="10176F44"/>
    <w:rsid w:val="10927ABC"/>
    <w:rsid w:val="118A3A71"/>
    <w:rsid w:val="12521101"/>
    <w:rsid w:val="12B02014"/>
    <w:rsid w:val="148B3EC5"/>
    <w:rsid w:val="15352214"/>
    <w:rsid w:val="16017190"/>
    <w:rsid w:val="1627382C"/>
    <w:rsid w:val="16AB3C91"/>
    <w:rsid w:val="16EC6246"/>
    <w:rsid w:val="180D7253"/>
    <w:rsid w:val="1B2D73DF"/>
    <w:rsid w:val="1C2D6AC9"/>
    <w:rsid w:val="1D505927"/>
    <w:rsid w:val="1F0D674C"/>
    <w:rsid w:val="1F0F036E"/>
    <w:rsid w:val="25F435D2"/>
    <w:rsid w:val="264F276B"/>
    <w:rsid w:val="266F390A"/>
    <w:rsid w:val="28BA7766"/>
    <w:rsid w:val="2AB70C30"/>
    <w:rsid w:val="2BFB2D9E"/>
    <w:rsid w:val="2DAE6380"/>
    <w:rsid w:val="2F50600F"/>
    <w:rsid w:val="2FBC319F"/>
    <w:rsid w:val="2FCB07D4"/>
    <w:rsid w:val="304E5B92"/>
    <w:rsid w:val="312C0D16"/>
    <w:rsid w:val="33E34843"/>
    <w:rsid w:val="34285A89"/>
    <w:rsid w:val="345F1D80"/>
    <w:rsid w:val="35551BA3"/>
    <w:rsid w:val="35A005DB"/>
    <w:rsid w:val="381C67DA"/>
    <w:rsid w:val="389F323F"/>
    <w:rsid w:val="391D6287"/>
    <w:rsid w:val="3B0A5CC9"/>
    <w:rsid w:val="3B251EF2"/>
    <w:rsid w:val="3B7B1805"/>
    <w:rsid w:val="3C603459"/>
    <w:rsid w:val="3C9613C2"/>
    <w:rsid w:val="41540B2E"/>
    <w:rsid w:val="422C131F"/>
    <w:rsid w:val="42550F44"/>
    <w:rsid w:val="44972926"/>
    <w:rsid w:val="470C131E"/>
    <w:rsid w:val="484A3F46"/>
    <w:rsid w:val="4885061E"/>
    <w:rsid w:val="48FC12F8"/>
    <w:rsid w:val="4A064990"/>
    <w:rsid w:val="4BAF5B59"/>
    <w:rsid w:val="4C14476F"/>
    <w:rsid w:val="4CFF1768"/>
    <w:rsid w:val="4E8731F8"/>
    <w:rsid w:val="4FB2325B"/>
    <w:rsid w:val="53C226D3"/>
    <w:rsid w:val="55152B56"/>
    <w:rsid w:val="55922A70"/>
    <w:rsid w:val="56570656"/>
    <w:rsid w:val="576762F6"/>
    <w:rsid w:val="5E017410"/>
    <w:rsid w:val="5ED56A95"/>
    <w:rsid w:val="60F82E2D"/>
    <w:rsid w:val="65151512"/>
    <w:rsid w:val="66A62A76"/>
    <w:rsid w:val="68B4213A"/>
    <w:rsid w:val="6B7B7558"/>
    <w:rsid w:val="6C043ADD"/>
    <w:rsid w:val="6C127228"/>
    <w:rsid w:val="6C7D6736"/>
    <w:rsid w:val="73030436"/>
    <w:rsid w:val="734A7A4B"/>
    <w:rsid w:val="748E651C"/>
    <w:rsid w:val="761E10D8"/>
    <w:rsid w:val="7A0D55EF"/>
    <w:rsid w:val="7AD700E0"/>
    <w:rsid w:val="7C495837"/>
    <w:rsid w:val="7CFA4897"/>
    <w:rsid w:val="7F08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line="360" w:lineRule="auto"/>
      <w:textAlignment w:val="baseline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ascii="黑体" w:hAnsi="黑体" w:eastAsia="黑体"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widowControl/>
    </w:pPr>
    <w:rPr>
      <w:spacing w:val="20"/>
      <w:kern w:val="0"/>
      <w:szCs w:val="20"/>
    </w:rPr>
  </w:style>
  <w:style w:type="paragraph" w:styleId="6">
    <w:name w:val="Body Text Indent"/>
    <w:basedOn w:val="1"/>
    <w:next w:val="7"/>
    <w:qFormat/>
    <w:uiPriority w:val="99"/>
    <w:pPr>
      <w:spacing w:after="120"/>
      <w:ind w:left="420" w:leftChars="200"/>
    </w:pPr>
  </w:style>
  <w:style w:type="paragraph" w:customStyle="1" w:styleId="7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</w:rPr>
  </w:style>
  <w:style w:type="paragraph" w:styleId="8">
    <w:name w:val="Balloon Text"/>
    <w:basedOn w:val="1"/>
    <w:link w:val="23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unhideWhenUsed/>
    <w:qFormat/>
    <w:uiPriority w:val="39"/>
    <w:pPr>
      <w:tabs>
        <w:tab w:val="right" w:leader="dot" w:pos="8665"/>
      </w:tabs>
    </w:pPr>
  </w:style>
  <w:style w:type="paragraph" w:styleId="1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1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">
    <w:name w:val="Body Text First Indent 2"/>
    <w:basedOn w:val="6"/>
    <w:next w:val="1"/>
    <w:unhideWhenUsed/>
    <w:qFormat/>
    <w:uiPriority w:val="99"/>
    <w:pPr>
      <w:ind w:firstLine="420"/>
    </w:pPr>
    <w:rPr>
      <w:rFonts w:ascii="Calibri" w:hAnsi="Calibri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  <w:rPr>
      <w:rFonts w:ascii="宋体" w:eastAsia="宋体"/>
      <w:sz w:val="18"/>
    </w:rPr>
  </w:style>
  <w:style w:type="character" w:styleId="19">
    <w:name w:val="Hyperlink"/>
    <w:basedOn w:val="17"/>
    <w:unhideWhenUsed/>
    <w:qFormat/>
    <w:uiPriority w:val="99"/>
    <w:rPr>
      <w:color w:val="0000FF"/>
      <w:u w:val="single"/>
    </w:rPr>
  </w:style>
  <w:style w:type="paragraph" w:customStyle="1" w:styleId="20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1">
    <w:name w:val="TOC 标题1"/>
    <w:basedOn w:val="3"/>
    <w:next w:val="1"/>
    <w:semiHidden/>
    <w:unhideWhenUsed/>
    <w:qFormat/>
    <w:uiPriority w:val="39"/>
    <w:pPr>
      <w:widowControl/>
      <w:adjustRightInd/>
      <w:spacing w:before="480" w:line="276" w:lineRule="auto"/>
      <w:jc w:val="left"/>
      <w:textAlignment w:val="auto"/>
      <w:outlineLvl w:val="9"/>
    </w:pPr>
    <w:rPr>
      <w:rFonts w:asciiTheme="majorHAnsi" w:hAnsiTheme="majorHAnsi" w:eastAsiaTheme="majorEastAsia" w:cstheme="majorBidi"/>
      <w:bCs/>
      <w:color w:val="2E75B6" w:themeColor="accent1" w:themeShade="BF"/>
      <w:kern w:val="0"/>
      <w:sz w:val="28"/>
      <w:szCs w:val="28"/>
    </w:rPr>
  </w:style>
  <w:style w:type="paragraph" w:customStyle="1" w:styleId="22">
    <w:name w:val="纯文本不缩"/>
    <w:basedOn w:val="1"/>
    <w:qFormat/>
    <w:uiPriority w:val="0"/>
    <w:pPr>
      <w:spacing w:line="360" w:lineRule="auto"/>
      <w:jc w:val="left"/>
    </w:pPr>
    <w:rPr>
      <w:rFonts w:ascii="宋体" w:hAnsi="宋体"/>
      <w:bCs/>
      <w:szCs w:val="32"/>
      <w:lang w:val="zh-CN"/>
    </w:rPr>
  </w:style>
  <w:style w:type="character" w:customStyle="1" w:styleId="23">
    <w:name w:val="批注框文本 Char"/>
    <w:basedOn w:val="17"/>
    <w:link w:val="8"/>
    <w:qFormat/>
    <w:uiPriority w:val="0"/>
    <w:rPr>
      <w:kern w:val="2"/>
      <w:sz w:val="18"/>
      <w:szCs w:val="18"/>
    </w:rPr>
  </w:style>
  <w:style w:type="character" w:customStyle="1" w:styleId="24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7783</Words>
  <Characters>9588</Characters>
  <Lines>83</Lines>
  <Paragraphs>23</Paragraphs>
  <TotalTime>7</TotalTime>
  <ScaleCrop>false</ScaleCrop>
  <LinksUpToDate>false</LinksUpToDate>
  <CharactersWithSpaces>9806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2022-08-30T04:49:00Z</dcterms:created>
  <dc:creator>书生</dc:creator>
  <cp:lastModifiedBy>李鹏程</cp:lastModifiedBy>
  <cp:lastPrinted>2025-10-31T11:51:00Z</cp:lastPrinted>
  <dcterms:modified xsi:type="dcterms:W3CDTF">2025-12-15T01:54:37Z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D43F957A3450498C8F271537952D9D84_13</vt:lpwstr>
  </property>
  <property fmtid="{D5CDD505-2E9C-101B-9397-08002B2CF9AE}" pid="4" name="KSOTemplateDocerSaveRecord">
    <vt:lpwstr>eyJoZGlkIjoiNGZjMjg5NWFmMmFjZTcxMzk0YmYzMzgxNzUxZDNmOWMiLCJ1c2VySWQiOiIxNTY5NDgyOTM2In0=</vt:lpwstr>
  </property>
</Properties>
</file>