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spacing w:after="62"/>
        <w:jc w:val="center"/>
        <w:rPr>
          <w:rFonts w:ascii="Times New Roman" w:hAnsi="Times New Roman" w:eastAsia="黑体"/>
          <w:color w:val="auto"/>
          <w:sz w:val="48"/>
          <w:szCs w:val="48"/>
          <w:highlight w:val="none"/>
        </w:rPr>
      </w:pPr>
      <w:bookmarkStart w:id="0" w:name="_Toc518454430"/>
      <w:bookmarkStart w:id="1" w:name="_Ref465896524"/>
    </w:p>
    <w:p>
      <w:pPr>
        <w:pStyle w:val="18"/>
        <w:spacing w:after="62"/>
        <w:jc w:val="center"/>
        <w:rPr>
          <w:rFonts w:ascii="Times New Roman" w:hAnsi="Times New Roman" w:eastAsia="黑体"/>
          <w:color w:val="auto"/>
          <w:sz w:val="48"/>
          <w:szCs w:val="48"/>
          <w:highlight w:val="none"/>
        </w:rPr>
      </w:pPr>
    </w:p>
    <w:p>
      <w:pPr>
        <w:pStyle w:val="18"/>
        <w:spacing w:after="62"/>
        <w:jc w:val="center"/>
        <w:rPr>
          <w:rFonts w:ascii="Times New Roman" w:hAnsi="Times New Roman" w:eastAsia="黑体"/>
          <w:color w:val="auto"/>
          <w:sz w:val="48"/>
          <w:szCs w:val="48"/>
          <w:highlight w:val="none"/>
        </w:rPr>
      </w:pPr>
      <w:r>
        <w:rPr>
          <w:rFonts w:ascii="Times New Roman" w:hAnsi="Times New Roman" w:eastAsia="黑体"/>
          <w:color w:val="auto"/>
          <w:sz w:val="48"/>
          <w:szCs w:val="48"/>
          <w:highlight w:val="none"/>
        </w:rPr>
        <w:t>浙江浙石油综合能源销售有限公司</w:t>
      </w:r>
    </w:p>
    <w:p>
      <w:pPr>
        <w:pStyle w:val="18"/>
        <w:spacing w:after="62"/>
        <w:jc w:val="center"/>
        <w:rPr>
          <w:rFonts w:hAnsi="宋体"/>
          <w:b/>
          <w:bCs/>
          <w:color w:val="auto"/>
          <w:sz w:val="40"/>
          <w:szCs w:val="40"/>
          <w:highlight w:val="none"/>
        </w:rPr>
      </w:pPr>
      <w:r>
        <w:rPr>
          <w:rFonts w:hint="eastAsia" w:ascii="Times New Roman" w:hAnsi="Times New Roman" w:eastAsia="黑体"/>
          <w:color w:val="auto"/>
          <w:sz w:val="48"/>
          <w:szCs w:val="48"/>
          <w:highlight w:val="none"/>
        </w:rPr>
        <w:t>零售管理</w:t>
      </w:r>
      <w:r>
        <w:rPr>
          <w:rFonts w:ascii="Times New Roman" w:hAnsi="Times New Roman" w:eastAsia="黑体"/>
          <w:color w:val="auto"/>
          <w:sz w:val="48"/>
          <w:szCs w:val="48"/>
          <w:highlight w:val="none"/>
        </w:rPr>
        <w:t>系统</w:t>
      </w:r>
      <w:r>
        <w:rPr>
          <w:rFonts w:hint="eastAsia" w:ascii="Times New Roman" w:hAnsi="Times New Roman" w:eastAsia="黑体"/>
          <w:color w:val="auto"/>
          <w:sz w:val="48"/>
          <w:szCs w:val="48"/>
          <w:highlight w:val="none"/>
        </w:rPr>
        <w:t>软件开发及集成实施服务</w:t>
      </w:r>
    </w:p>
    <w:p>
      <w:pPr>
        <w:pStyle w:val="18"/>
        <w:spacing w:after="62"/>
        <w:jc w:val="center"/>
        <w:rPr>
          <w:rFonts w:hAnsi="宋体"/>
          <w:b/>
          <w:bCs/>
          <w:color w:val="auto"/>
          <w:sz w:val="40"/>
          <w:szCs w:val="40"/>
          <w:highlight w:val="none"/>
        </w:rPr>
      </w:pPr>
    </w:p>
    <w:p>
      <w:pPr>
        <w:pStyle w:val="18"/>
        <w:spacing w:after="62"/>
        <w:jc w:val="center"/>
        <w:rPr>
          <w:rFonts w:hAnsi="宋体"/>
          <w:b/>
          <w:bCs/>
          <w:color w:val="auto"/>
          <w:sz w:val="40"/>
          <w:szCs w:val="40"/>
          <w:highlight w:val="none"/>
        </w:rPr>
      </w:pPr>
    </w:p>
    <w:p>
      <w:pPr>
        <w:pStyle w:val="18"/>
        <w:spacing w:after="62"/>
        <w:jc w:val="center"/>
        <w:rPr>
          <w:rFonts w:hAnsi="宋体"/>
          <w:b/>
          <w:bCs/>
          <w:color w:val="auto"/>
          <w:sz w:val="40"/>
          <w:szCs w:val="40"/>
          <w:highlight w:val="none"/>
        </w:rPr>
      </w:pPr>
    </w:p>
    <w:p>
      <w:pPr>
        <w:pStyle w:val="18"/>
        <w:spacing w:after="62"/>
        <w:jc w:val="center"/>
        <w:rPr>
          <w:rFonts w:ascii="Times New Roman" w:hAnsi="Times New Roman" w:eastAsia="黑体"/>
          <w:color w:val="auto"/>
          <w:sz w:val="32"/>
          <w:szCs w:val="32"/>
          <w:highlight w:val="none"/>
        </w:rPr>
      </w:pPr>
      <w:bookmarkStart w:id="2" w:name="_Toc271926558"/>
      <w:bookmarkStart w:id="3" w:name="_Toc1568783388"/>
      <w:r>
        <w:rPr>
          <w:rFonts w:ascii="Times New Roman" w:hAnsi="Times New Roman" w:eastAsia="黑体"/>
          <w:color w:val="auto"/>
          <w:sz w:val="48"/>
          <w:szCs w:val="48"/>
          <w:highlight w:val="none"/>
        </w:rPr>
        <w:t>技术规范书</w:t>
      </w:r>
      <w:bookmarkEnd w:id="2"/>
      <w:bookmarkEnd w:id="3"/>
    </w:p>
    <w:p>
      <w:pPr>
        <w:pStyle w:val="18"/>
        <w:spacing w:after="62"/>
        <w:ind w:left="1470" w:leftChars="700"/>
        <w:rPr>
          <w:rFonts w:ascii="Times New Roman" w:hAnsi="Times New Roman" w:eastAsia="黑体"/>
          <w:color w:val="auto"/>
          <w:sz w:val="32"/>
          <w:szCs w:val="32"/>
          <w:highlight w:val="none"/>
        </w:rPr>
      </w:pPr>
    </w:p>
    <w:p>
      <w:pPr>
        <w:pStyle w:val="18"/>
        <w:spacing w:after="62"/>
        <w:ind w:left="1470" w:leftChars="700"/>
        <w:rPr>
          <w:rFonts w:ascii="Times New Roman" w:hAnsi="Times New Roman" w:eastAsia="黑体"/>
          <w:color w:val="auto"/>
          <w:sz w:val="32"/>
          <w:szCs w:val="32"/>
          <w:highlight w:val="none"/>
        </w:rPr>
      </w:pPr>
    </w:p>
    <w:p>
      <w:pPr>
        <w:pStyle w:val="18"/>
        <w:spacing w:after="62"/>
        <w:rPr>
          <w:rFonts w:ascii="Times New Roman" w:hAnsi="Times New Roman" w:eastAsia="黑体"/>
          <w:color w:val="auto"/>
          <w:sz w:val="32"/>
          <w:szCs w:val="32"/>
          <w:highlight w:val="none"/>
        </w:rPr>
      </w:pPr>
    </w:p>
    <w:p>
      <w:pPr>
        <w:pStyle w:val="18"/>
        <w:spacing w:after="62"/>
        <w:rPr>
          <w:rFonts w:ascii="Times New Roman" w:hAnsi="Times New Roman" w:eastAsia="黑体"/>
          <w:color w:val="auto"/>
          <w:sz w:val="32"/>
          <w:szCs w:val="32"/>
          <w:highlight w:val="none"/>
        </w:rPr>
      </w:pPr>
    </w:p>
    <w:p>
      <w:pPr>
        <w:pStyle w:val="18"/>
        <w:spacing w:after="62"/>
        <w:rPr>
          <w:rFonts w:ascii="Times New Roman" w:hAnsi="Times New Roman" w:eastAsia="黑体"/>
          <w:color w:val="auto"/>
          <w:sz w:val="32"/>
          <w:szCs w:val="32"/>
          <w:highlight w:val="none"/>
        </w:rPr>
      </w:pPr>
    </w:p>
    <w:p>
      <w:pPr>
        <w:pStyle w:val="46"/>
        <w:spacing w:line="240" w:lineRule="auto"/>
        <w:jc w:val="center"/>
        <w:rPr>
          <w:rFonts w:ascii="宋体" w:hAnsi="宋体"/>
          <w:b/>
          <w:bCs/>
          <w:color w:val="auto"/>
          <w:sz w:val="32"/>
          <w:szCs w:val="32"/>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720" w:num="1"/>
          <w:docGrid w:type="lines" w:linePitch="312" w:charSpace="0"/>
        </w:sectPr>
      </w:pPr>
    </w:p>
    <w:p>
      <w:pPr>
        <w:pStyle w:val="46"/>
        <w:spacing w:line="240" w:lineRule="auto"/>
        <w:jc w:val="center"/>
        <w:rPr>
          <w:rFonts w:ascii="宋体" w:hAnsi="宋体"/>
          <w:b/>
          <w:bCs/>
          <w:color w:val="auto"/>
          <w:sz w:val="32"/>
          <w:szCs w:val="32"/>
          <w:highlight w:val="none"/>
        </w:rPr>
      </w:pPr>
    </w:p>
    <w:p>
      <w:pPr>
        <w:pStyle w:val="46"/>
        <w:spacing w:line="240" w:lineRule="auto"/>
        <w:jc w:val="center"/>
        <w:rPr>
          <w:b/>
          <w:bCs/>
          <w:color w:val="auto"/>
          <w:sz w:val="32"/>
          <w:szCs w:val="32"/>
          <w:highlight w:val="none"/>
        </w:rPr>
      </w:pPr>
      <w:bookmarkStart w:id="4" w:name="_Toc2004166100"/>
      <w:bookmarkStart w:id="5" w:name="_Toc2097456743"/>
      <w:r>
        <w:rPr>
          <w:rFonts w:ascii="宋体" w:hAnsi="宋体"/>
          <w:b/>
          <w:bCs/>
          <w:color w:val="auto"/>
          <w:sz w:val="32"/>
          <w:szCs w:val="32"/>
          <w:highlight w:val="none"/>
        </w:rPr>
        <w:t>目</w:t>
      </w:r>
      <w:r>
        <w:rPr>
          <w:rFonts w:hint="eastAsia" w:ascii="宋体" w:hAnsi="宋体"/>
          <w:b/>
          <w:bCs/>
          <w:color w:val="auto"/>
          <w:sz w:val="32"/>
          <w:szCs w:val="32"/>
          <w:highlight w:val="none"/>
        </w:rPr>
        <w:t xml:space="preserve">    </w:t>
      </w:r>
      <w:r>
        <w:rPr>
          <w:rFonts w:ascii="宋体" w:hAnsi="宋体"/>
          <w:b/>
          <w:bCs/>
          <w:color w:val="auto"/>
          <w:sz w:val="32"/>
          <w:szCs w:val="32"/>
          <w:highlight w:val="none"/>
        </w:rPr>
        <w:t>录</w:t>
      </w:r>
      <w:bookmarkEnd w:id="4"/>
      <w:bookmarkEnd w:id="5"/>
    </w:p>
    <w:p>
      <w:pPr>
        <w:pStyle w:val="28"/>
        <w:tabs>
          <w:tab w:val="right" w:leader="dot" w:pos="9354"/>
        </w:tabs>
        <w:spacing w:after="62" w:line="360" w:lineRule="auto"/>
        <w:rPr>
          <w:rFonts w:ascii="宋体" w:hAnsi="宋体" w:cs="宋体"/>
          <w:color w:val="auto"/>
          <w:sz w:val="24"/>
          <w:highlight w:val="none"/>
        </w:rPr>
      </w:pPr>
    </w:p>
    <w:bookmarkEnd w:id="0"/>
    <w:bookmarkEnd w:id="1"/>
    <w:p>
      <w:pPr>
        <w:pStyle w:val="25"/>
        <w:tabs>
          <w:tab w:val="right" w:leader="dot" w:pos="9354"/>
        </w:tabs>
        <w:rPr>
          <w:color w:val="auto"/>
          <w:highlight w:val="none"/>
        </w:rPr>
      </w:pPr>
      <w:bookmarkStart w:id="6" w:name="_Toc9683"/>
      <w:bookmarkStart w:id="7" w:name="_Toc23664"/>
      <w:bookmarkStart w:id="8" w:name="_Toc3393"/>
      <w:bookmarkStart w:id="9" w:name="_Toc21056"/>
      <w:bookmarkStart w:id="10" w:name="_Toc5518"/>
      <w:bookmarkStart w:id="11" w:name="_Toc24242"/>
      <w:bookmarkStart w:id="12" w:name="_Toc6887"/>
      <w:bookmarkStart w:id="13" w:name="_Toc18877"/>
      <w:bookmarkStart w:id="14" w:name="_Toc6252"/>
      <w:bookmarkStart w:id="15" w:name="_Toc3583"/>
      <w:bookmarkStart w:id="16" w:name="_Toc29648"/>
      <w:bookmarkStart w:id="17" w:name="_Toc27755"/>
      <w:bookmarkStart w:id="18" w:name="_Toc13347"/>
      <w:bookmarkStart w:id="19" w:name="_Toc18827"/>
      <w:bookmarkStart w:id="20" w:name="_Toc29664"/>
      <w:bookmarkStart w:id="21" w:name="_Toc7065"/>
      <w:bookmarkStart w:id="22" w:name="_Toc27816"/>
      <w:bookmarkStart w:id="23" w:name="_Toc5522"/>
      <w:bookmarkStart w:id="24" w:name="_Toc74161958"/>
      <w:bookmarkStart w:id="25" w:name="_Toc16197"/>
      <w:bookmarkStart w:id="26" w:name="_Toc3864"/>
      <w:bookmarkStart w:id="27" w:name="_Toc4572"/>
      <w:bookmarkStart w:id="28" w:name="_Toc29373"/>
      <w:bookmarkStart w:id="29" w:name="_Toc13408"/>
      <w:bookmarkStart w:id="30" w:name="_Toc12210"/>
      <w:bookmarkStart w:id="31" w:name="_Toc594"/>
      <w:bookmarkStart w:id="32" w:name="_Toc15079"/>
      <w:bookmarkStart w:id="33" w:name="_Toc27687"/>
      <w:bookmarkStart w:id="34" w:name="_Toc26083"/>
      <w:bookmarkStart w:id="35" w:name="_Toc18519"/>
      <w:bookmarkStart w:id="36" w:name="_Toc31656"/>
      <w:bookmarkStart w:id="37" w:name="_Toc2671"/>
      <w:bookmarkStart w:id="38" w:name="_Toc15944"/>
      <w:bookmarkStart w:id="39" w:name="_Toc28831"/>
      <w:bookmarkStart w:id="40" w:name="_Toc23366"/>
      <w:bookmarkStart w:id="41" w:name="_Toc3396"/>
      <w:bookmarkStart w:id="42" w:name="_Toc20044"/>
      <w:bookmarkStart w:id="43" w:name="_Toc7692"/>
      <w:bookmarkStart w:id="44" w:name="_Toc25504"/>
      <w:bookmarkStart w:id="45" w:name="_Toc10160"/>
      <w:bookmarkStart w:id="46" w:name="_Toc16483"/>
      <w:bookmarkStart w:id="47" w:name="_Toc16867"/>
      <w:bookmarkStart w:id="48" w:name="_Toc13217"/>
      <w:bookmarkStart w:id="49" w:name="_Toc27405"/>
      <w:bookmarkStart w:id="50" w:name="_Toc17211"/>
      <w:bookmarkStart w:id="51" w:name="_Toc11923"/>
      <w:bookmarkStart w:id="52" w:name="_Toc479206193"/>
      <w:bookmarkStart w:id="53" w:name="_Toc518454431"/>
      <w:bookmarkStart w:id="54" w:name="_Toc479198223"/>
      <w:bookmarkStart w:id="55" w:name="_Ref465889605"/>
      <w:r>
        <w:rPr>
          <w:rFonts w:hint="eastAsia" w:ascii="宋体" w:hAnsi="宋体" w:cs="宋体"/>
          <w:color w:val="auto"/>
          <w:sz w:val="24"/>
          <w:highlight w:val="none"/>
        </w:rPr>
        <w:fldChar w:fldCharType="begin"/>
      </w:r>
      <w:r>
        <w:rPr>
          <w:rFonts w:ascii="宋体" w:hAnsi="宋体" w:cs="宋体"/>
          <w:color w:val="auto"/>
          <w:sz w:val="24"/>
          <w:highlight w:val="none"/>
        </w:rPr>
        <w:instrText xml:space="preserve">TOC \o "1-2" \h \u </w:instrText>
      </w:r>
      <w:r>
        <w:rPr>
          <w:rFonts w:hint="eastAsia" w:ascii="宋体" w:hAnsi="宋体" w:cs="宋体"/>
          <w:color w:val="auto"/>
          <w:sz w:val="24"/>
          <w:highlight w:val="none"/>
        </w:rPr>
        <w:fldChar w:fldCharType="separate"/>
      </w: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_Toc1854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 </w:t>
      </w:r>
      <w:r>
        <w:rPr>
          <w:rFonts w:hint="eastAsia" w:ascii="宋体" w:hAnsi="宋体" w:cs="宋体"/>
          <w:color w:val="auto"/>
          <w:szCs w:val="21"/>
          <w:highlight w:val="none"/>
        </w:rPr>
        <w:t>总则</w:t>
      </w:r>
      <w:r>
        <w:rPr>
          <w:color w:val="auto"/>
          <w:highlight w:val="none"/>
        </w:rPr>
        <w:tab/>
      </w:r>
      <w:r>
        <w:rPr>
          <w:color w:val="auto"/>
          <w:highlight w:val="none"/>
        </w:rPr>
        <w:fldChar w:fldCharType="begin"/>
      </w:r>
      <w:r>
        <w:rPr>
          <w:color w:val="auto"/>
          <w:highlight w:val="none"/>
        </w:rPr>
        <w:instrText xml:space="preserve"> PAGEREF _Toc1854 \h </w:instrText>
      </w:r>
      <w:r>
        <w:rPr>
          <w:color w:val="auto"/>
          <w:highlight w:val="none"/>
        </w:rPr>
        <w:fldChar w:fldCharType="separate"/>
      </w:r>
      <w:r>
        <w:rPr>
          <w:color w:val="auto"/>
          <w:highlight w:val="none"/>
        </w:rPr>
        <w:t>1</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_Toc3427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2. </w:t>
      </w:r>
      <w:r>
        <w:rPr>
          <w:rFonts w:hint="eastAsia" w:ascii="宋体" w:hAnsi="宋体" w:cs="宋体"/>
          <w:color w:val="auto"/>
          <w:szCs w:val="21"/>
          <w:highlight w:val="none"/>
        </w:rPr>
        <w:t>项目概述</w:t>
      </w:r>
      <w:r>
        <w:rPr>
          <w:color w:val="auto"/>
          <w:highlight w:val="none"/>
        </w:rPr>
        <w:tab/>
      </w:r>
      <w:r>
        <w:rPr>
          <w:color w:val="auto"/>
          <w:highlight w:val="none"/>
        </w:rPr>
        <w:fldChar w:fldCharType="begin"/>
      </w:r>
      <w:r>
        <w:rPr>
          <w:color w:val="auto"/>
          <w:highlight w:val="none"/>
        </w:rPr>
        <w:instrText xml:space="preserve"> PAGEREF _Toc3427 \h </w:instrText>
      </w:r>
      <w:r>
        <w:rPr>
          <w:color w:val="auto"/>
          <w:highlight w:val="none"/>
        </w:rPr>
        <w:fldChar w:fldCharType="separate"/>
      </w:r>
      <w:r>
        <w:rPr>
          <w:color w:val="auto"/>
          <w:highlight w:val="none"/>
        </w:rPr>
        <w:t>3</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_Toc28686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2.1. </w:t>
      </w:r>
      <w:r>
        <w:rPr>
          <w:rFonts w:hint="eastAsia" w:ascii="宋体" w:hAnsi="宋体" w:cs="宋体"/>
          <w:color w:val="auto"/>
          <w:szCs w:val="21"/>
          <w:highlight w:val="none"/>
        </w:rPr>
        <w:t>项目建设单位及背景</w:t>
      </w:r>
      <w:r>
        <w:rPr>
          <w:color w:val="auto"/>
          <w:highlight w:val="none"/>
        </w:rPr>
        <w:tab/>
      </w:r>
      <w:r>
        <w:rPr>
          <w:color w:val="auto"/>
          <w:highlight w:val="none"/>
        </w:rPr>
        <w:fldChar w:fldCharType="begin"/>
      </w:r>
      <w:r>
        <w:rPr>
          <w:color w:val="auto"/>
          <w:highlight w:val="none"/>
        </w:rPr>
        <w:instrText xml:space="preserve"> PAGEREF _Toc28686 \h </w:instrText>
      </w:r>
      <w:r>
        <w:rPr>
          <w:color w:val="auto"/>
          <w:highlight w:val="none"/>
        </w:rPr>
        <w:fldChar w:fldCharType="separate"/>
      </w:r>
      <w:r>
        <w:rPr>
          <w:color w:val="auto"/>
          <w:highlight w:val="none"/>
        </w:rPr>
        <w:t>3</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_Toc18669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2.2. </w:t>
      </w:r>
      <w:r>
        <w:rPr>
          <w:rFonts w:hint="eastAsia" w:ascii="宋体" w:hAnsi="宋体" w:cs="宋体"/>
          <w:color w:val="auto"/>
          <w:szCs w:val="21"/>
          <w:highlight w:val="none"/>
        </w:rPr>
        <w:t>项目概述</w:t>
      </w:r>
      <w:r>
        <w:rPr>
          <w:color w:val="auto"/>
          <w:highlight w:val="none"/>
        </w:rPr>
        <w:tab/>
      </w:r>
      <w:r>
        <w:rPr>
          <w:color w:val="auto"/>
          <w:highlight w:val="none"/>
        </w:rPr>
        <w:fldChar w:fldCharType="begin"/>
      </w:r>
      <w:r>
        <w:rPr>
          <w:color w:val="auto"/>
          <w:highlight w:val="none"/>
        </w:rPr>
        <w:instrText xml:space="preserve"> PAGEREF _Toc18669 \h </w:instrText>
      </w:r>
      <w:r>
        <w:rPr>
          <w:color w:val="auto"/>
          <w:highlight w:val="none"/>
        </w:rPr>
        <w:fldChar w:fldCharType="separate"/>
      </w:r>
      <w:r>
        <w:rPr>
          <w:color w:val="auto"/>
          <w:highlight w:val="none"/>
        </w:rPr>
        <w:t>3</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_Toc23323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 </w:t>
      </w:r>
      <w:r>
        <w:rPr>
          <w:rFonts w:hint="eastAsia" w:ascii="宋体" w:hAnsi="宋体" w:cs="宋体"/>
          <w:color w:val="auto"/>
          <w:szCs w:val="21"/>
          <w:highlight w:val="none"/>
        </w:rPr>
        <w:t>技术要求</w:t>
      </w:r>
      <w:r>
        <w:rPr>
          <w:color w:val="auto"/>
          <w:highlight w:val="none"/>
        </w:rPr>
        <w:tab/>
      </w:r>
      <w:r>
        <w:rPr>
          <w:color w:val="auto"/>
          <w:highlight w:val="none"/>
        </w:rPr>
        <w:fldChar w:fldCharType="begin"/>
      </w:r>
      <w:r>
        <w:rPr>
          <w:color w:val="auto"/>
          <w:highlight w:val="none"/>
        </w:rPr>
        <w:instrText xml:space="preserve"> PAGEREF _Toc23323 \h </w:instrText>
      </w:r>
      <w:r>
        <w:rPr>
          <w:color w:val="auto"/>
          <w:highlight w:val="none"/>
        </w:rPr>
        <w:fldChar w:fldCharType="separate"/>
      </w:r>
      <w:r>
        <w:rPr>
          <w:color w:val="auto"/>
          <w:highlight w:val="none"/>
        </w:rPr>
        <w:t>5</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_Toc12251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3.1. </w:t>
      </w:r>
      <w:r>
        <w:rPr>
          <w:rFonts w:hint="eastAsia" w:ascii="宋体" w:hAnsi="宋体" w:cs="宋体"/>
          <w:color w:val="auto"/>
          <w:szCs w:val="21"/>
          <w:highlight w:val="none"/>
        </w:rPr>
        <w:t>总体技术要求</w:t>
      </w:r>
      <w:r>
        <w:rPr>
          <w:color w:val="auto"/>
          <w:highlight w:val="none"/>
        </w:rPr>
        <w:tab/>
      </w:r>
      <w:r>
        <w:rPr>
          <w:color w:val="auto"/>
          <w:highlight w:val="none"/>
        </w:rPr>
        <w:fldChar w:fldCharType="begin"/>
      </w:r>
      <w:r>
        <w:rPr>
          <w:color w:val="auto"/>
          <w:highlight w:val="none"/>
        </w:rPr>
        <w:instrText xml:space="preserve"> PAGEREF _Toc12251 \h </w:instrText>
      </w:r>
      <w:r>
        <w:rPr>
          <w:color w:val="auto"/>
          <w:highlight w:val="none"/>
        </w:rPr>
        <w:fldChar w:fldCharType="separate"/>
      </w:r>
      <w:r>
        <w:rPr>
          <w:color w:val="auto"/>
          <w:highlight w:val="none"/>
        </w:rPr>
        <w:t>5</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_Toc10925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3.2. </w:t>
      </w:r>
      <w:r>
        <w:rPr>
          <w:rFonts w:hint="eastAsia" w:ascii="宋体" w:hAnsi="宋体" w:cs="宋体"/>
          <w:color w:val="auto"/>
          <w:szCs w:val="21"/>
          <w:highlight w:val="none"/>
        </w:rPr>
        <w:t>应用开发、物联技术及其他服务要求</w:t>
      </w:r>
      <w:r>
        <w:rPr>
          <w:color w:val="auto"/>
          <w:highlight w:val="none"/>
        </w:rPr>
        <w:tab/>
      </w:r>
      <w:r>
        <w:rPr>
          <w:color w:val="auto"/>
          <w:highlight w:val="none"/>
        </w:rPr>
        <w:fldChar w:fldCharType="begin"/>
      </w:r>
      <w:r>
        <w:rPr>
          <w:color w:val="auto"/>
          <w:highlight w:val="none"/>
        </w:rPr>
        <w:instrText xml:space="preserve"> PAGEREF _Toc10925 \h </w:instrText>
      </w:r>
      <w:r>
        <w:rPr>
          <w:color w:val="auto"/>
          <w:highlight w:val="none"/>
        </w:rPr>
        <w:fldChar w:fldCharType="separate"/>
      </w:r>
      <w:r>
        <w:rPr>
          <w:color w:val="auto"/>
          <w:highlight w:val="none"/>
        </w:rPr>
        <w:t>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_Toc15922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3.3. </w:t>
      </w:r>
      <w:r>
        <w:rPr>
          <w:rFonts w:hint="eastAsia" w:ascii="宋体" w:hAnsi="宋体" w:cs="宋体"/>
          <w:color w:val="auto"/>
          <w:szCs w:val="21"/>
          <w:highlight w:val="none"/>
        </w:rPr>
        <w:t>非功能性要求</w:t>
      </w:r>
      <w:r>
        <w:rPr>
          <w:color w:val="auto"/>
          <w:highlight w:val="none"/>
        </w:rPr>
        <w:tab/>
      </w:r>
      <w:r>
        <w:rPr>
          <w:color w:val="auto"/>
          <w:highlight w:val="none"/>
        </w:rPr>
        <w:fldChar w:fldCharType="begin"/>
      </w:r>
      <w:r>
        <w:rPr>
          <w:color w:val="auto"/>
          <w:highlight w:val="none"/>
        </w:rPr>
        <w:instrText xml:space="preserve"> PAGEREF _Toc15922 \h </w:instrText>
      </w:r>
      <w:r>
        <w:rPr>
          <w:color w:val="auto"/>
          <w:highlight w:val="none"/>
        </w:rPr>
        <w:fldChar w:fldCharType="separate"/>
      </w:r>
      <w:r>
        <w:rPr>
          <w:color w:val="auto"/>
          <w:highlight w:val="none"/>
        </w:rPr>
        <w:t>8</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_Toc27173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3.4. </w:t>
      </w:r>
      <w:r>
        <w:rPr>
          <w:rFonts w:hint="eastAsia" w:ascii="宋体" w:hAnsi="宋体" w:cs="宋体"/>
          <w:color w:val="auto"/>
          <w:szCs w:val="21"/>
          <w:highlight w:val="none"/>
        </w:rPr>
        <w:t>开发标准</w:t>
      </w:r>
      <w:r>
        <w:rPr>
          <w:color w:val="auto"/>
          <w:highlight w:val="none"/>
        </w:rPr>
        <w:tab/>
      </w:r>
      <w:r>
        <w:rPr>
          <w:color w:val="auto"/>
          <w:highlight w:val="none"/>
        </w:rPr>
        <w:fldChar w:fldCharType="begin"/>
      </w:r>
      <w:r>
        <w:rPr>
          <w:color w:val="auto"/>
          <w:highlight w:val="none"/>
        </w:rPr>
        <w:instrText xml:space="preserve"> PAGEREF _Toc27173 \h </w:instrText>
      </w:r>
      <w:r>
        <w:rPr>
          <w:color w:val="auto"/>
          <w:highlight w:val="none"/>
        </w:rPr>
        <w:fldChar w:fldCharType="separate"/>
      </w:r>
      <w:r>
        <w:rPr>
          <w:color w:val="auto"/>
          <w:highlight w:val="none"/>
        </w:rPr>
        <w:t>15</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_Toc7028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3.5. </w:t>
      </w:r>
      <w:r>
        <w:rPr>
          <w:rFonts w:hint="eastAsia" w:ascii="宋体" w:hAnsi="宋体" w:cs="宋体"/>
          <w:color w:val="auto"/>
          <w:szCs w:val="21"/>
          <w:highlight w:val="none"/>
        </w:rPr>
        <w:t>系统部署要求</w:t>
      </w:r>
      <w:r>
        <w:rPr>
          <w:color w:val="auto"/>
          <w:highlight w:val="none"/>
        </w:rPr>
        <w:tab/>
      </w:r>
      <w:r>
        <w:rPr>
          <w:color w:val="auto"/>
          <w:highlight w:val="none"/>
        </w:rPr>
        <w:fldChar w:fldCharType="begin"/>
      </w:r>
      <w:r>
        <w:rPr>
          <w:color w:val="auto"/>
          <w:highlight w:val="none"/>
        </w:rPr>
        <w:instrText xml:space="preserve"> PAGEREF _Toc7028 \h </w:instrText>
      </w:r>
      <w:r>
        <w:rPr>
          <w:color w:val="auto"/>
          <w:highlight w:val="none"/>
        </w:rPr>
        <w:fldChar w:fldCharType="separate"/>
      </w:r>
      <w:r>
        <w:rPr>
          <w:color w:val="auto"/>
          <w:highlight w:val="none"/>
        </w:rPr>
        <w:t>16</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_Toc28158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4. </w:t>
      </w:r>
      <w:r>
        <w:rPr>
          <w:rFonts w:hint="eastAsia" w:ascii="宋体" w:hAnsi="宋体" w:cs="宋体"/>
          <w:color w:val="auto"/>
          <w:szCs w:val="21"/>
          <w:highlight w:val="none"/>
        </w:rPr>
        <w:t>建设内容</w:t>
      </w:r>
      <w:r>
        <w:rPr>
          <w:color w:val="auto"/>
          <w:highlight w:val="none"/>
        </w:rPr>
        <w:tab/>
      </w:r>
      <w:r>
        <w:rPr>
          <w:color w:val="auto"/>
          <w:highlight w:val="none"/>
        </w:rPr>
        <w:fldChar w:fldCharType="begin"/>
      </w:r>
      <w:r>
        <w:rPr>
          <w:color w:val="auto"/>
          <w:highlight w:val="none"/>
        </w:rPr>
        <w:instrText xml:space="preserve"> PAGEREF _Toc28158 \h </w:instrText>
      </w:r>
      <w:r>
        <w:rPr>
          <w:color w:val="auto"/>
          <w:highlight w:val="none"/>
        </w:rPr>
        <w:fldChar w:fldCharType="separate"/>
      </w:r>
      <w:r>
        <w:rPr>
          <w:color w:val="auto"/>
          <w:highlight w:val="none"/>
        </w:rPr>
        <w:t>17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_Toc28975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4.1. </w:t>
      </w:r>
      <w:r>
        <w:rPr>
          <w:rFonts w:hint="eastAsia" w:ascii="宋体" w:hAnsi="宋体" w:cs="宋体"/>
          <w:color w:val="auto"/>
          <w:szCs w:val="21"/>
          <w:highlight w:val="none"/>
        </w:rPr>
        <w:t>站级应用</w:t>
      </w:r>
      <w:r>
        <w:rPr>
          <w:color w:val="auto"/>
          <w:highlight w:val="none"/>
        </w:rPr>
        <w:tab/>
      </w:r>
      <w:r>
        <w:rPr>
          <w:color w:val="auto"/>
          <w:highlight w:val="none"/>
        </w:rPr>
        <w:fldChar w:fldCharType="begin"/>
      </w:r>
      <w:r>
        <w:rPr>
          <w:color w:val="auto"/>
          <w:highlight w:val="none"/>
        </w:rPr>
        <w:instrText xml:space="preserve"> PAGEREF _Toc28975 \h </w:instrText>
      </w:r>
      <w:r>
        <w:rPr>
          <w:color w:val="auto"/>
          <w:highlight w:val="none"/>
        </w:rPr>
        <w:fldChar w:fldCharType="separate"/>
      </w:r>
      <w:r>
        <w:rPr>
          <w:color w:val="auto"/>
          <w:highlight w:val="none"/>
        </w:rPr>
        <w:t>23</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_Toc11424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4.2. </w:t>
      </w:r>
      <w:r>
        <w:rPr>
          <w:rFonts w:hint="eastAsia" w:ascii="宋体" w:hAnsi="宋体" w:cs="宋体"/>
          <w:color w:val="auto"/>
          <w:szCs w:val="21"/>
          <w:highlight w:val="none"/>
        </w:rPr>
        <w:t>客户移动端应用</w:t>
      </w:r>
      <w:r>
        <w:rPr>
          <w:color w:val="auto"/>
          <w:highlight w:val="none"/>
        </w:rPr>
        <w:tab/>
      </w:r>
      <w:r>
        <w:rPr>
          <w:color w:val="auto"/>
          <w:highlight w:val="none"/>
        </w:rPr>
        <w:fldChar w:fldCharType="begin"/>
      </w:r>
      <w:r>
        <w:rPr>
          <w:color w:val="auto"/>
          <w:highlight w:val="none"/>
        </w:rPr>
        <w:instrText xml:space="preserve"> PAGEREF _Toc11424 \h </w:instrText>
      </w:r>
      <w:r>
        <w:rPr>
          <w:color w:val="auto"/>
          <w:highlight w:val="none"/>
        </w:rPr>
        <w:fldChar w:fldCharType="separate"/>
      </w:r>
      <w:r>
        <w:rPr>
          <w:color w:val="auto"/>
          <w:highlight w:val="none"/>
        </w:rPr>
        <w:t>39</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_Toc19186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4.3. </w:t>
      </w:r>
      <w:r>
        <w:rPr>
          <w:rFonts w:hint="eastAsia" w:ascii="宋体" w:hAnsi="宋体" w:cs="宋体"/>
          <w:color w:val="auto"/>
          <w:szCs w:val="21"/>
          <w:highlight w:val="none"/>
        </w:rPr>
        <w:t>客户WEB平台</w:t>
      </w:r>
      <w:r>
        <w:rPr>
          <w:color w:val="auto"/>
          <w:highlight w:val="none"/>
        </w:rPr>
        <w:tab/>
      </w:r>
      <w:r>
        <w:rPr>
          <w:color w:val="auto"/>
          <w:highlight w:val="none"/>
        </w:rPr>
        <w:fldChar w:fldCharType="begin"/>
      </w:r>
      <w:r>
        <w:rPr>
          <w:color w:val="auto"/>
          <w:highlight w:val="none"/>
        </w:rPr>
        <w:instrText xml:space="preserve"> PAGEREF _Toc19186 \h </w:instrText>
      </w:r>
      <w:r>
        <w:rPr>
          <w:color w:val="auto"/>
          <w:highlight w:val="none"/>
        </w:rPr>
        <w:fldChar w:fldCharType="separate"/>
      </w:r>
      <w:r>
        <w:rPr>
          <w:color w:val="auto"/>
          <w:highlight w:val="none"/>
        </w:rPr>
        <w:t>48</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_Toc24321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4.4. </w:t>
      </w:r>
      <w:r>
        <w:rPr>
          <w:rFonts w:hint="eastAsia" w:ascii="宋体" w:hAnsi="宋体" w:cs="宋体"/>
          <w:color w:val="auto"/>
          <w:szCs w:val="21"/>
          <w:highlight w:val="none"/>
        </w:rPr>
        <w:t>总部级应用</w:t>
      </w:r>
      <w:r>
        <w:rPr>
          <w:color w:val="auto"/>
          <w:highlight w:val="none"/>
        </w:rPr>
        <w:tab/>
      </w:r>
      <w:r>
        <w:rPr>
          <w:color w:val="auto"/>
          <w:highlight w:val="none"/>
        </w:rPr>
        <w:fldChar w:fldCharType="begin"/>
      </w:r>
      <w:r>
        <w:rPr>
          <w:color w:val="auto"/>
          <w:highlight w:val="none"/>
        </w:rPr>
        <w:instrText xml:space="preserve"> PAGEREF _Toc24321 \h </w:instrText>
      </w:r>
      <w:r>
        <w:rPr>
          <w:color w:val="auto"/>
          <w:highlight w:val="none"/>
        </w:rPr>
        <w:fldChar w:fldCharType="separate"/>
      </w:r>
      <w:r>
        <w:rPr>
          <w:color w:val="auto"/>
          <w:highlight w:val="none"/>
        </w:rPr>
        <w:t>50</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_Toc29426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5. </w:t>
      </w:r>
      <w:r>
        <w:rPr>
          <w:rFonts w:hint="eastAsia" w:ascii="宋体" w:hAnsi="宋体" w:cs="宋体"/>
          <w:color w:val="auto"/>
          <w:szCs w:val="21"/>
          <w:highlight w:val="none"/>
        </w:rPr>
        <w:t>系统集成要求</w:t>
      </w:r>
      <w:r>
        <w:rPr>
          <w:color w:val="auto"/>
          <w:highlight w:val="none"/>
        </w:rPr>
        <w:tab/>
      </w:r>
      <w:r>
        <w:rPr>
          <w:color w:val="auto"/>
          <w:highlight w:val="none"/>
        </w:rPr>
        <w:fldChar w:fldCharType="begin"/>
      </w:r>
      <w:r>
        <w:rPr>
          <w:color w:val="auto"/>
          <w:highlight w:val="none"/>
        </w:rPr>
        <w:instrText xml:space="preserve"> PAGEREF _Toc29426 \h </w:instrText>
      </w:r>
      <w:r>
        <w:rPr>
          <w:color w:val="auto"/>
          <w:highlight w:val="none"/>
        </w:rPr>
        <w:fldChar w:fldCharType="separate"/>
      </w:r>
      <w:r>
        <w:rPr>
          <w:color w:val="auto"/>
          <w:highlight w:val="none"/>
        </w:rPr>
        <w:t>72</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_Toc12081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5.1. </w:t>
      </w:r>
      <w:r>
        <w:rPr>
          <w:rFonts w:hint="eastAsia" w:ascii="宋体" w:hAnsi="宋体" w:cs="宋体"/>
          <w:color w:val="auto"/>
          <w:szCs w:val="21"/>
          <w:highlight w:val="none"/>
        </w:rPr>
        <w:t>软件系统集成要求</w:t>
      </w:r>
      <w:r>
        <w:rPr>
          <w:color w:val="auto"/>
          <w:highlight w:val="none"/>
        </w:rPr>
        <w:tab/>
      </w:r>
      <w:r>
        <w:rPr>
          <w:color w:val="auto"/>
          <w:highlight w:val="none"/>
        </w:rPr>
        <w:fldChar w:fldCharType="begin"/>
      </w:r>
      <w:r>
        <w:rPr>
          <w:color w:val="auto"/>
          <w:highlight w:val="none"/>
        </w:rPr>
        <w:instrText xml:space="preserve"> PAGEREF _Toc12081 \h </w:instrText>
      </w:r>
      <w:r>
        <w:rPr>
          <w:color w:val="auto"/>
          <w:highlight w:val="none"/>
        </w:rPr>
        <w:fldChar w:fldCharType="separate"/>
      </w:r>
      <w:r>
        <w:rPr>
          <w:color w:val="auto"/>
          <w:highlight w:val="none"/>
        </w:rPr>
        <w:t>72</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_Toc6383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5.2. </w:t>
      </w:r>
      <w:r>
        <w:rPr>
          <w:rFonts w:hint="eastAsia" w:ascii="宋体" w:hAnsi="宋体" w:cs="宋体"/>
          <w:color w:val="auto"/>
          <w:szCs w:val="21"/>
          <w:highlight w:val="none"/>
        </w:rPr>
        <w:t>硬件系统集成要求</w:t>
      </w:r>
      <w:r>
        <w:rPr>
          <w:color w:val="auto"/>
          <w:highlight w:val="none"/>
        </w:rPr>
        <w:tab/>
      </w:r>
      <w:r>
        <w:rPr>
          <w:color w:val="auto"/>
          <w:highlight w:val="none"/>
        </w:rPr>
        <w:fldChar w:fldCharType="begin"/>
      </w:r>
      <w:r>
        <w:rPr>
          <w:color w:val="auto"/>
          <w:highlight w:val="none"/>
        </w:rPr>
        <w:instrText xml:space="preserve"> PAGEREF _Toc6383 \h </w:instrText>
      </w:r>
      <w:r>
        <w:rPr>
          <w:color w:val="auto"/>
          <w:highlight w:val="none"/>
        </w:rPr>
        <w:fldChar w:fldCharType="separate"/>
      </w:r>
      <w:r>
        <w:rPr>
          <w:color w:val="auto"/>
          <w:highlight w:val="none"/>
        </w:rPr>
        <w:t>74</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_Toc11317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6. </w:t>
      </w:r>
      <w:r>
        <w:rPr>
          <w:rFonts w:hint="eastAsia" w:ascii="宋体" w:hAnsi="宋体" w:cs="宋体"/>
          <w:color w:val="auto"/>
          <w:szCs w:val="21"/>
          <w:highlight w:val="none"/>
        </w:rPr>
        <w:t>进度及人员要求</w:t>
      </w:r>
      <w:r>
        <w:rPr>
          <w:color w:val="auto"/>
          <w:highlight w:val="none"/>
        </w:rPr>
        <w:tab/>
      </w:r>
      <w:r>
        <w:rPr>
          <w:color w:val="auto"/>
          <w:highlight w:val="none"/>
        </w:rPr>
        <w:fldChar w:fldCharType="begin"/>
      </w:r>
      <w:r>
        <w:rPr>
          <w:color w:val="auto"/>
          <w:highlight w:val="none"/>
        </w:rPr>
        <w:instrText xml:space="preserve"> PAGEREF _Toc11317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_Toc15633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6.1. </w:t>
      </w:r>
      <w:r>
        <w:rPr>
          <w:rFonts w:hint="eastAsia" w:ascii="宋体" w:hAnsi="宋体" w:cs="宋体"/>
          <w:color w:val="auto"/>
          <w:szCs w:val="21"/>
          <w:highlight w:val="none"/>
        </w:rPr>
        <w:t>概述</w:t>
      </w:r>
      <w:r>
        <w:rPr>
          <w:color w:val="auto"/>
          <w:highlight w:val="none"/>
        </w:rPr>
        <w:tab/>
      </w:r>
      <w:r>
        <w:rPr>
          <w:color w:val="auto"/>
          <w:highlight w:val="none"/>
        </w:rPr>
        <w:fldChar w:fldCharType="begin"/>
      </w:r>
      <w:r>
        <w:rPr>
          <w:color w:val="auto"/>
          <w:highlight w:val="none"/>
        </w:rPr>
        <w:instrText xml:space="preserve"> PAGEREF _Toc15633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_Toc13799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6.2. </w:t>
      </w:r>
      <w:r>
        <w:rPr>
          <w:rFonts w:hint="eastAsia" w:ascii="宋体" w:hAnsi="宋体" w:cs="宋体"/>
          <w:color w:val="auto"/>
          <w:szCs w:val="21"/>
          <w:highlight w:val="none"/>
        </w:rPr>
        <w:t>进度要求</w:t>
      </w:r>
      <w:r>
        <w:rPr>
          <w:color w:val="auto"/>
          <w:highlight w:val="none"/>
        </w:rPr>
        <w:tab/>
      </w:r>
      <w:r>
        <w:rPr>
          <w:color w:val="auto"/>
          <w:highlight w:val="none"/>
        </w:rPr>
        <w:fldChar w:fldCharType="begin"/>
      </w:r>
      <w:r>
        <w:rPr>
          <w:color w:val="auto"/>
          <w:highlight w:val="none"/>
        </w:rPr>
        <w:instrText xml:space="preserve"> PAGEREF _Toc13799 \h </w:instrText>
      </w:r>
      <w:r>
        <w:rPr>
          <w:color w:val="auto"/>
          <w:highlight w:val="none"/>
        </w:rPr>
        <w:fldChar w:fldCharType="separate"/>
      </w:r>
      <w:r>
        <w:rPr>
          <w:color w:val="auto"/>
          <w:highlight w:val="none"/>
        </w:rPr>
        <w:t>77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_Toc26323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6.3. </w:t>
      </w:r>
      <w:r>
        <w:rPr>
          <w:rFonts w:hint="eastAsia" w:ascii="宋体" w:hAnsi="宋体" w:cs="宋体"/>
          <w:color w:val="auto"/>
          <w:szCs w:val="21"/>
          <w:highlight w:val="none"/>
        </w:rPr>
        <w:t>人员及驻场要求</w:t>
      </w:r>
      <w:r>
        <w:rPr>
          <w:color w:val="auto"/>
          <w:highlight w:val="none"/>
        </w:rPr>
        <w:tab/>
      </w:r>
      <w:r>
        <w:rPr>
          <w:color w:val="auto"/>
          <w:highlight w:val="none"/>
        </w:rPr>
        <w:fldChar w:fldCharType="begin"/>
      </w:r>
      <w:r>
        <w:rPr>
          <w:color w:val="auto"/>
          <w:highlight w:val="none"/>
        </w:rPr>
        <w:instrText xml:space="preserve"> PAGEREF _Toc26323 \h </w:instrText>
      </w:r>
      <w:r>
        <w:rPr>
          <w:color w:val="auto"/>
          <w:highlight w:val="none"/>
        </w:rPr>
        <w:fldChar w:fldCharType="separate"/>
      </w:r>
      <w:r>
        <w:rPr>
          <w:color w:val="auto"/>
          <w:highlight w:val="none"/>
        </w:rPr>
        <w:t>78</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_Toc26808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 </w:t>
      </w:r>
      <w:r>
        <w:rPr>
          <w:rFonts w:hint="eastAsia" w:ascii="宋体" w:hAnsi="宋体" w:cs="宋体"/>
          <w:color w:val="auto"/>
          <w:szCs w:val="21"/>
          <w:highlight w:val="none"/>
        </w:rPr>
        <w:t>项目实施服务</w:t>
      </w:r>
      <w:r>
        <w:rPr>
          <w:color w:val="auto"/>
          <w:highlight w:val="none"/>
        </w:rPr>
        <w:tab/>
      </w:r>
      <w:r>
        <w:rPr>
          <w:color w:val="auto"/>
          <w:highlight w:val="none"/>
        </w:rPr>
        <w:fldChar w:fldCharType="begin"/>
      </w:r>
      <w:r>
        <w:rPr>
          <w:color w:val="auto"/>
          <w:highlight w:val="none"/>
        </w:rPr>
        <w:instrText xml:space="preserve"> PAGEREF _Toc26808 \h </w:instrText>
      </w:r>
      <w:r>
        <w:rPr>
          <w:color w:val="auto"/>
          <w:highlight w:val="none"/>
        </w:rPr>
        <w:fldChar w:fldCharType="separate"/>
      </w:r>
      <w:r>
        <w:rPr>
          <w:color w:val="auto"/>
          <w:highlight w:val="none"/>
        </w:rPr>
        <w:t>80</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_Toc12350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7.1. </w:t>
      </w:r>
      <w:r>
        <w:rPr>
          <w:rFonts w:hint="eastAsia" w:ascii="宋体" w:hAnsi="宋体" w:cs="宋体"/>
          <w:color w:val="auto"/>
          <w:szCs w:val="21"/>
          <w:highlight w:val="none"/>
        </w:rPr>
        <w:t>项目实施方案要求</w:t>
      </w:r>
      <w:r>
        <w:rPr>
          <w:color w:val="auto"/>
          <w:highlight w:val="none"/>
        </w:rPr>
        <w:tab/>
      </w:r>
      <w:r>
        <w:rPr>
          <w:color w:val="auto"/>
          <w:highlight w:val="none"/>
        </w:rPr>
        <w:fldChar w:fldCharType="begin"/>
      </w:r>
      <w:r>
        <w:rPr>
          <w:color w:val="auto"/>
          <w:highlight w:val="none"/>
        </w:rPr>
        <w:instrText xml:space="preserve"> PAGEREF _Toc12350 \h </w:instrText>
      </w:r>
      <w:r>
        <w:rPr>
          <w:color w:val="auto"/>
          <w:highlight w:val="none"/>
        </w:rPr>
        <w:fldChar w:fldCharType="separate"/>
      </w:r>
      <w:r>
        <w:rPr>
          <w:color w:val="auto"/>
          <w:highlight w:val="none"/>
        </w:rPr>
        <w:t>80</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_Toc4219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7.2. </w:t>
      </w:r>
      <w:r>
        <w:rPr>
          <w:rFonts w:hint="eastAsia" w:ascii="宋体" w:hAnsi="宋体" w:cs="宋体"/>
          <w:color w:val="auto"/>
          <w:szCs w:val="21"/>
          <w:highlight w:val="none"/>
        </w:rPr>
        <w:t>系统技术要求</w:t>
      </w:r>
      <w:r>
        <w:rPr>
          <w:color w:val="auto"/>
          <w:highlight w:val="none"/>
        </w:rPr>
        <w:tab/>
      </w:r>
      <w:r>
        <w:rPr>
          <w:color w:val="auto"/>
          <w:highlight w:val="none"/>
        </w:rPr>
        <w:fldChar w:fldCharType="begin"/>
      </w:r>
      <w:r>
        <w:rPr>
          <w:color w:val="auto"/>
          <w:highlight w:val="none"/>
        </w:rPr>
        <w:instrText xml:space="preserve"> PAGEREF _Toc4219 \h </w:instrText>
      </w:r>
      <w:r>
        <w:rPr>
          <w:color w:val="auto"/>
          <w:highlight w:val="none"/>
        </w:rPr>
        <w:fldChar w:fldCharType="separate"/>
      </w:r>
      <w:r>
        <w:rPr>
          <w:color w:val="auto"/>
          <w:highlight w:val="none"/>
        </w:rPr>
        <w:t>81</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_Toc12288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7.3. </w:t>
      </w:r>
      <w:r>
        <w:rPr>
          <w:rFonts w:hint="eastAsia" w:ascii="宋体" w:hAnsi="宋体" w:cs="宋体"/>
          <w:color w:val="auto"/>
          <w:szCs w:val="21"/>
          <w:highlight w:val="none"/>
        </w:rPr>
        <w:t>系统测试要求</w:t>
      </w:r>
      <w:r>
        <w:rPr>
          <w:color w:val="auto"/>
          <w:highlight w:val="none"/>
        </w:rPr>
        <w:tab/>
      </w:r>
      <w:r>
        <w:rPr>
          <w:color w:val="auto"/>
          <w:highlight w:val="none"/>
        </w:rPr>
        <w:fldChar w:fldCharType="begin"/>
      </w:r>
      <w:r>
        <w:rPr>
          <w:color w:val="auto"/>
          <w:highlight w:val="none"/>
        </w:rPr>
        <w:instrText xml:space="preserve"> PAGEREF _Toc12288 \h </w:instrText>
      </w:r>
      <w:r>
        <w:rPr>
          <w:color w:val="auto"/>
          <w:highlight w:val="none"/>
        </w:rPr>
        <w:fldChar w:fldCharType="separate"/>
      </w:r>
      <w:r>
        <w:rPr>
          <w:color w:val="auto"/>
          <w:highlight w:val="none"/>
        </w:rPr>
        <w:t>81</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_Toc8879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7.4. </w:t>
      </w:r>
      <w:r>
        <w:rPr>
          <w:rFonts w:hint="eastAsia" w:ascii="宋体" w:hAnsi="宋体" w:cs="宋体"/>
          <w:color w:val="auto"/>
          <w:szCs w:val="21"/>
          <w:highlight w:val="none"/>
        </w:rPr>
        <w:t>项</w:t>
      </w:r>
      <w:r>
        <w:rPr>
          <w:rFonts w:hint="eastAsia" w:ascii="宋体" w:hAnsi="宋体" w:cs="宋体"/>
          <w:color w:val="auto"/>
          <w:szCs w:val="21"/>
          <w:highlight w:val="none"/>
          <w:lang w:eastAsia="zh"/>
        </w:rPr>
        <w:t>目保密要求</w:t>
      </w:r>
      <w:r>
        <w:rPr>
          <w:color w:val="auto"/>
          <w:highlight w:val="none"/>
        </w:rPr>
        <w:tab/>
      </w:r>
      <w:r>
        <w:rPr>
          <w:color w:val="auto"/>
          <w:highlight w:val="none"/>
        </w:rPr>
        <w:fldChar w:fldCharType="begin"/>
      </w:r>
      <w:r>
        <w:rPr>
          <w:color w:val="auto"/>
          <w:highlight w:val="none"/>
        </w:rPr>
        <w:instrText xml:space="preserve"> PAGEREF _Toc8879 \h </w:instrText>
      </w:r>
      <w:r>
        <w:rPr>
          <w:color w:val="auto"/>
          <w:highlight w:val="none"/>
        </w:rPr>
        <w:fldChar w:fldCharType="separate"/>
      </w:r>
      <w:r>
        <w:rPr>
          <w:color w:val="auto"/>
          <w:highlight w:val="none"/>
        </w:rPr>
        <w:t>82</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_Toc24860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7.5. </w:t>
      </w:r>
      <w:r>
        <w:rPr>
          <w:rFonts w:hint="eastAsia" w:ascii="宋体" w:hAnsi="宋体" w:cs="宋体"/>
          <w:color w:val="auto"/>
          <w:szCs w:val="21"/>
          <w:highlight w:val="none"/>
        </w:rPr>
        <w:t>成果提交</w:t>
      </w:r>
      <w:r>
        <w:rPr>
          <w:color w:val="auto"/>
          <w:highlight w:val="none"/>
        </w:rPr>
        <w:tab/>
      </w:r>
      <w:r>
        <w:rPr>
          <w:color w:val="auto"/>
          <w:highlight w:val="none"/>
        </w:rPr>
        <w:fldChar w:fldCharType="begin"/>
      </w:r>
      <w:r>
        <w:rPr>
          <w:color w:val="auto"/>
          <w:highlight w:val="none"/>
        </w:rPr>
        <w:instrText xml:space="preserve"> PAGEREF _Toc24860 \h </w:instrText>
      </w:r>
      <w:r>
        <w:rPr>
          <w:color w:val="auto"/>
          <w:highlight w:val="none"/>
        </w:rPr>
        <w:fldChar w:fldCharType="separate"/>
      </w:r>
      <w:r>
        <w:rPr>
          <w:color w:val="auto"/>
          <w:highlight w:val="none"/>
        </w:rPr>
        <w:t>83</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_Toc983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8. </w:t>
      </w:r>
      <w:r>
        <w:rPr>
          <w:rFonts w:hint="eastAsia" w:ascii="宋体" w:hAnsi="宋体" w:cs="宋体"/>
          <w:color w:val="auto"/>
          <w:szCs w:val="21"/>
          <w:highlight w:val="none"/>
        </w:rPr>
        <w:t>验收及相关资料</w:t>
      </w:r>
      <w:r>
        <w:rPr>
          <w:color w:val="auto"/>
          <w:highlight w:val="none"/>
        </w:rPr>
        <w:tab/>
      </w:r>
      <w:r>
        <w:rPr>
          <w:color w:val="auto"/>
          <w:highlight w:val="none"/>
        </w:rPr>
        <w:fldChar w:fldCharType="begin"/>
      </w:r>
      <w:r>
        <w:rPr>
          <w:color w:val="auto"/>
          <w:highlight w:val="none"/>
        </w:rPr>
        <w:instrText xml:space="preserve"> PAGEREF _Toc983 \h </w:instrText>
      </w:r>
      <w:r>
        <w:rPr>
          <w:color w:val="auto"/>
          <w:highlight w:val="none"/>
        </w:rPr>
        <w:fldChar w:fldCharType="separate"/>
      </w:r>
      <w:r>
        <w:rPr>
          <w:color w:val="auto"/>
          <w:highlight w:val="none"/>
        </w:rPr>
        <w:t>85</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_Toc23885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8.1. </w:t>
      </w:r>
      <w:r>
        <w:rPr>
          <w:rFonts w:hint="eastAsia" w:ascii="宋体" w:hAnsi="宋体" w:cs="宋体"/>
          <w:color w:val="auto"/>
          <w:szCs w:val="21"/>
          <w:highlight w:val="none"/>
        </w:rPr>
        <w:t>系统方案验收</w:t>
      </w:r>
      <w:r>
        <w:rPr>
          <w:color w:val="auto"/>
          <w:highlight w:val="none"/>
        </w:rPr>
        <w:tab/>
      </w:r>
      <w:r>
        <w:rPr>
          <w:color w:val="auto"/>
          <w:highlight w:val="none"/>
        </w:rPr>
        <w:fldChar w:fldCharType="begin"/>
      </w:r>
      <w:r>
        <w:rPr>
          <w:color w:val="auto"/>
          <w:highlight w:val="none"/>
        </w:rPr>
        <w:instrText xml:space="preserve"> PAGEREF _Toc23885 \h </w:instrText>
      </w:r>
      <w:r>
        <w:rPr>
          <w:color w:val="auto"/>
          <w:highlight w:val="none"/>
        </w:rPr>
        <w:fldChar w:fldCharType="separate"/>
      </w:r>
      <w:r>
        <w:rPr>
          <w:color w:val="auto"/>
          <w:highlight w:val="none"/>
        </w:rPr>
        <w:t>85</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_Toc14568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8.2. </w:t>
      </w:r>
      <w:r>
        <w:rPr>
          <w:rFonts w:hint="eastAsia" w:ascii="宋体" w:hAnsi="宋体" w:cs="宋体"/>
          <w:color w:val="auto"/>
          <w:szCs w:val="21"/>
          <w:highlight w:val="none"/>
        </w:rPr>
        <w:t>系统试点验证</w:t>
      </w:r>
      <w:r>
        <w:rPr>
          <w:color w:val="auto"/>
          <w:highlight w:val="none"/>
        </w:rPr>
        <w:tab/>
      </w:r>
      <w:r>
        <w:rPr>
          <w:color w:val="auto"/>
          <w:highlight w:val="none"/>
        </w:rPr>
        <w:fldChar w:fldCharType="begin"/>
      </w:r>
      <w:r>
        <w:rPr>
          <w:color w:val="auto"/>
          <w:highlight w:val="none"/>
        </w:rPr>
        <w:instrText xml:space="preserve"> PAGEREF _Toc14568 \h </w:instrText>
      </w:r>
      <w:r>
        <w:rPr>
          <w:color w:val="auto"/>
          <w:highlight w:val="none"/>
        </w:rPr>
        <w:fldChar w:fldCharType="separate"/>
      </w:r>
      <w:r>
        <w:rPr>
          <w:color w:val="auto"/>
          <w:highlight w:val="none"/>
        </w:rPr>
        <w:t>86</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_Toc10066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8.3. </w:t>
      </w:r>
      <w:r>
        <w:rPr>
          <w:rFonts w:hint="eastAsia" w:ascii="宋体" w:hAnsi="宋体" w:cs="宋体"/>
          <w:color w:val="auto"/>
          <w:szCs w:val="21"/>
          <w:highlight w:val="none"/>
        </w:rPr>
        <w:t>全省推广及验收</w:t>
      </w:r>
      <w:r>
        <w:rPr>
          <w:color w:val="auto"/>
          <w:highlight w:val="none"/>
        </w:rPr>
        <w:tab/>
      </w:r>
      <w:r>
        <w:rPr>
          <w:color w:val="auto"/>
          <w:highlight w:val="none"/>
        </w:rPr>
        <w:fldChar w:fldCharType="begin"/>
      </w:r>
      <w:r>
        <w:rPr>
          <w:color w:val="auto"/>
          <w:highlight w:val="none"/>
        </w:rPr>
        <w:instrText xml:space="preserve"> PAGEREF _Toc10066 \h </w:instrText>
      </w:r>
      <w:r>
        <w:rPr>
          <w:color w:val="auto"/>
          <w:highlight w:val="none"/>
        </w:rPr>
        <w:fldChar w:fldCharType="separate"/>
      </w:r>
      <w:r>
        <w:rPr>
          <w:color w:val="auto"/>
          <w:highlight w:val="none"/>
        </w:rPr>
        <w:t>86</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_Toc27862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8.4. </w:t>
      </w:r>
      <w:r>
        <w:rPr>
          <w:rFonts w:hint="eastAsia" w:ascii="宋体" w:hAnsi="宋体" w:cs="宋体"/>
          <w:color w:val="auto"/>
          <w:szCs w:val="21"/>
          <w:highlight w:val="none"/>
        </w:rPr>
        <w:t>最终验收</w:t>
      </w:r>
      <w:r>
        <w:rPr>
          <w:color w:val="auto"/>
          <w:highlight w:val="none"/>
        </w:rPr>
        <w:tab/>
      </w:r>
      <w:r>
        <w:rPr>
          <w:color w:val="auto"/>
          <w:highlight w:val="none"/>
        </w:rPr>
        <w:fldChar w:fldCharType="begin"/>
      </w:r>
      <w:r>
        <w:rPr>
          <w:color w:val="auto"/>
          <w:highlight w:val="none"/>
        </w:rPr>
        <w:instrText xml:space="preserve"> PAGEREF _Toc27862 \h </w:instrText>
      </w:r>
      <w:r>
        <w:rPr>
          <w:color w:val="auto"/>
          <w:highlight w:val="none"/>
        </w:rPr>
        <w:fldChar w:fldCharType="separate"/>
      </w:r>
      <w:r>
        <w:rPr>
          <w:color w:val="auto"/>
          <w:highlight w:val="none"/>
        </w:rPr>
        <w:t>86</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_Toc27830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9. </w:t>
      </w:r>
      <w:r>
        <w:rPr>
          <w:rFonts w:hint="eastAsia" w:ascii="宋体" w:hAnsi="宋体" w:cs="宋体"/>
          <w:color w:val="auto"/>
          <w:szCs w:val="21"/>
          <w:highlight w:val="none"/>
        </w:rPr>
        <w:t>技术支持及售后服务要求</w:t>
      </w:r>
      <w:r>
        <w:rPr>
          <w:color w:val="auto"/>
          <w:highlight w:val="none"/>
        </w:rPr>
        <w:tab/>
      </w:r>
      <w:r>
        <w:rPr>
          <w:color w:val="auto"/>
          <w:highlight w:val="none"/>
        </w:rPr>
        <w:fldChar w:fldCharType="begin"/>
      </w:r>
      <w:r>
        <w:rPr>
          <w:color w:val="auto"/>
          <w:highlight w:val="none"/>
        </w:rPr>
        <w:instrText xml:space="preserve"> PAGEREF _Toc27830 \h </w:instrText>
      </w:r>
      <w:r>
        <w:rPr>
          <w:color w:val="auto"/>
          <w:highlight w:val="none"/>
        </w:rPr>
        <w:fldChar w:fldCharType="separate"/>
      </w:r>
      <w:r>
        <w:rPr>
          <w:color w:val="auto"/>
          <w:highlight w:val="none"/>
        </w:rPr>
        <w:t>87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_Toc13246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9.1. </w:t>
      </w:r>
      <w:r>
        <w:rPr>
          <w:rFonts w:hint="eastAsia" w:ascii="宋体" w:hAnsi="宋体" w:cs="宋体"/>
          <w:color w:val="auto"/>
          <w:szCs w:val="21"/>
          <w:highlight w:val="none"/>
        </w:rPr>
        <w:t>技术支持要求</w:t>
      </w:r>
      <w:r>
        <w:rPr>
          <w:color w:val="auto"/>
          <w:highlight w:val="none"/>
        </w:rPr>
        <w:tab/>
      </w:r>
      <w:r>
        <w:rPr>
          <w:color w:val="auto"/>
          <w:highlight w:val="none"/>
        </w:rPr>
        <w:fldChar w:fldCharType="begin"/>
      </w:r>
      <w:r>
        <w:rPr>
          <w:color w:val="auto"/>
          <w:highlight w:val="none"/>
        </w:rPr>
        <w:instrText xml:space="preserve"> PAGEREF _Toc13246 \h </w:instrText>
      </w:r>
      <w:r>
        <w:rPr>
          <w:color w:val="auto"/>
          <w:highlight w:val="none"/>
        </w:rPr>
        <w:fldChar w:fldCharType="separate"/>
      </w:r>
      <w:r>
        <w:rPr>
          <w:color w:val="auto"/>
          <w:highlight w:val="none"/>
        </w:rPr>
        <w:t>87</w:t>
      </w:r>
      <w:r>
        <w:rPr>
          <w:color w:val="auto"/>
          <w:highlight w:val="none"/>
        </w:rPr>
        <w:fldChar w:fldCharType="end"/>
      </w:r>
      <w:r>
        <w:rPr>
          <w:rFonts w:hint="eastAsia" w:ascii="宋体" w:hAnsi="宋体" w:cs="宋体"/>
          <w:color w:val="auto"/>
          <w:szCs w:val="24"/>
          <w:highlight w:val="none"/>
        </w:rPr>
        <w:fldChar w:fldCharType="end"/>
      </w:r>
    </w:p>
    <w:p>
      <w:pPr>
        <w:pStyle w:val="28"/>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_Toc8925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9.2. </w:t>
      </w:r>
      <w:r>
        <w:rPr>
          <w:rFonts w:hint="eastAsia" w:ascii="宋体" w:hAnsi="宋体" w:cs="宋体"/>
          <w:color w:val="auto"/>
          <w:szCs w:val="21"/>
          <w:highlight w:val="none"/>
        </w:rPr>
        <w:t>售后要求</w:t>
      </w:r>
      <w:r>
        <w:rPr>
          <w:color w:val="auto"/>
          <w:highlight w:val="none"/>
        </w:rPr>
        <w:tab/>
      </w:r>
      <w:r>
        <w:rPr>
          <w:color w:val="auto"/>
          <w:highlight w:val="none"/>
        </w:rPr>
        <w:fldChar w:fldCharType="begin"/>
      </w:r>
      <w:r>
        <w:rPr>
          <w:color w:val="auto"/>
          <w:highlight w:val="none"/>
        </w:rPr>
        <w:instrText xml:space="preserve"> PAGEREF _Toc8925 \h </w:instrText>
      </w:r>
      <w:r>
        <w:rPr>
          <w:color w:val="auto"/>
          <w:highlight w:val="none"/>
        </w:rPr>
        <w:fldChar w:fldCharType="separate"/>
      </w:r>
      <w:r>
        <w:rPr>
          <w:color w:val="auto"/>
          <w:highlight w:val="none"/>
        </w:rPr>
        <w:t>87</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_Toc75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10. </w:t>
      </w:r>
      <w:r>
        <w:rPr>
          <w:rFonts w:hint="eastAsia" w:ascii="宋体" w:hAnsi="宋体" w:cs="宋体"/>
          <w:color w:val="auto"/>
          <w:szCs w:val="21"/>
          <w:highlight w:val="none"/>
        </w:rPr>
        <w:t>培训和设计联络</w:t>
      </w:r>
      <w:r>
        <w:rPr>
          <w:color w:val="auto"/>
          <w:highlight w:val="none"/>
        </w:rPr>
        <w:tab/>
      </w:r>
      <w:r>
        <w:rPr>
          <w:color w:val="auto"/>
          <w:highlight w:val="none"/>
        </w:rPr>
        <w:fldChar w:fldCharType="begin"/>
      </w:r>
      <w:r>
        <w:rPr>
          <w:color w:val="auto"/>
          <w:highlight w:val="none"/>
        </w:rPr>
        <w:instrText xml:space="preserve"> PAGEREF _Toc75 \h </w:instrText>
      </w:r>
      <w:r>
        <w:rPr>
          <w:color w:val="auto"/>
          <w:highlight w:val="none"/>
        </w:rPr>
        <w:fldChar w:fldCharType="separate"/>
      </w:r>
      <w:r>
        <w:rPr>
          <w:color w:val="auto"/>
          <w:highlight w:val="none"/>
        </w:rPr>
        <w:t>87</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_Toc16722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11. </w:t>
      </w:r>
      <w:r>
        <w:rPr>
          <w:rFonts w:hint="eastAsia" w:ascii="宋体" w:hAnsi="宋体" w:cs="宋体"/>
          <w:color w:val="auto"/>
          <w:szCs w:val="21"/>
          <w:highlight w:val="none"/>
        </w:rPr>
        <w:t>知识产权</w:t>
      </w:r>
      <w:r>
        <w:rPr>
          <w:color w:val="auto"/>
          <w:highlight w:val="none"/>
        </w:rPr>
        <w:tab/>
      </w:r>
      <w:r>
        <w:rPr>
          <w:color w:val="auto"/>
          <w:highlight w:val="none"/>
        </w:rPr>
        <w:fldChar w:fldCharType="begin"/>
      </w:r>
      <w:r>
        <w:rPr>
          <w:color w:val="auto"/>
          <w:highlight w:val="none"/>
        </w:rPr>
        <w:instrText xml:space="preserve"> PAGEREF _Toc16722 \h </w:instrText>
      </w:r>
      <w:r>
        <w:rPr>
          <w:color w:val="auto"/>
          <w:highlight w:val="none"/>
        </w:rPr>
        <w:fldChar w:fldCharType="separate"/>
      </w:r>
      <w:r>
        <w:rPr>
          <w:color w:val="auto"/>
          <w:highlight w:val="none"/>
        </w:rPr>
        <w:t>88</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_Toc9533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12. </w:t>
      </w:r>
      <w:r>
        <w:rPr>
          <w:rFonts w:hint="eastAsia" w:ascii="宋体" w:hAnsi="宋体" w:cs="宋体"/>
          <w:color w:val="auto"/>
          <w:szCs w:val="21"/>
          <w:highlight w:val="none"/>
        </w:rPr>
        <w:t>供货及服务范围</w:t>
      </w:r>
      <w:r>
        <w:rPr>
          <w:color w:val="auto"/>
          <w:highlight w:val="none"/>
        </w:rPr>
        <w:tab/>
      </w:r>
      <w:r>
        <w:rPr>
          <w:color w:val="auto"/>
          <w:highlight w:val="none"/>
        </w:rPr>
        <w:fldChar w:fldCharType="begin"/>
      </w:r>
      <w:r>
        <w:rPr>
          <w:color w:val="auto"/>
          <w:highlight w:val="none"/>
        </w:rPr>
        <w:instrText xml:space="preserve"> PAGEREF _Toc9533 \h </w:instrText>
      </w:r>
      <w:r>
        <w:rPr>
          <w:color w:val="auto"/>
          <w:highlight w:val="none"/>
        </w:rPr>
        <w:fldChar w:fldCharType="separate"/>
      </w:r>
      <w:r>
        <w:rPr>
          <w:color w:val="auto"/>
          <w:highlight w:val="none"/>
        </w:rPr>
        <w:t>88</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_Toc11178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13. </w:t>
      </w:r>
      <w:r>
        <w:rPr>
          <w:rFonts w:hint="eastAsia" w:ascii="宋体" w:hAnsi="宋体" w:cs="宋体"/>
          <w:color w:val="auto"/>
          <w:szCs w:val="21"/>
          <w:highlight w:val="none"/>
        </w:rPr>
        <w:t>性能考核</w:t>
      </w:r>
      <w:r>
        <w:rPr>
          <w:color w:val="auto"/>
          <w:highlight w:val="none"/>
        </w:rPr>
        <w:tab/>
      </w:r>
      <w:r>
        <w:rPr>
          <w:color w:val="auto"/>
          <w:highlight w:val="none"/>
        </w:rPr>
        <w:fldChar w:fldCharType="begin"/>
      </w:r>
      <w:r>
        <w:rPr>
          <w:color w:val="auto"/>
          <w:highlight w:val="none"/>
        </w:rPr>
        <w:instrText xml:space="preserve"> PAGEREF _Toc11178 \h </w:instrText>
      </w:r>
      <w:r>
        <w:rPr>
          <w:color w:val="auto"/>
          <w:highlight w:val="none"/>
        </w:rPr>
        <w:fldChar w:fldCharType="separate"/>
      </w:r>
      <w:r>
        <w:rPr>
          <w:color w:val="auto"/>
          <w:highlight w:val="none"/>
        </w:rPr>
        <w:t>90</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_Toc19524 </w:instrText>
      </w:r>
      <w:r>
        <w:rPr>
          <w:rFonts w:hint="eastAsia" w:ascii="宋体" w:hAnsi="宋体" w:cs="宋体"/>
          <w:color w:val="auto"/>
          <w:szCs w:val="24"/>
          <w:highlight w:val="none"/>
        </w:rPr>
        <w:fldChar w:fldCharType="separate"/>
      </w:r>
      <w:r>
        <w:rPr>
          <w:rFonts w:hint="default" w:ascii="宋体" w:hAnsi="宋体" w:cs="宋体"/>
          <w:color w:val="auto"/>
          <w:szCs w:val="21"/>
          <w:highlight w:val="none"/>
        </w:rPr>
        <w:t xml:space="preserve">14. </w:t>
      </w:r>
      <w:r>
        <w:rPr>
          <w:rFonts w:hint="eastAsia" w:ascii="宋体" w:hAnsi="宋体" w:cs="宋体"/>
          <w:color w:val="auto"/>
          <w:szCs w:val="21"/>
          <w:highlight w:val="none"/>
        </w:rPr>
        <w:t>技术差异表</w:t>
      </w:r>
      <w:r>
        <w:rPr>
          <w:color w:val="auto"/>
          <w:highlight w:val="none"/>
        </w:rPr>
        <w:tab/>
      </w:r>
      <w:r>
        <w:rPr>
          <w:color w:val="auto"/>
          <w:highlight w:val="none"/>
        </w:rPr>
        <w:fldChar w:fldCharType="begin"/>
      </w:r>
      <w:r>
        <w:rPr>
          <w:color w:val="auto"/>
          <w:highlight w:val="none"/>
        </w:rPr>
        <w:instrText xml:space="preserve"> PAGEREF _Toc19524 \h </w:instrText>
      </w:r>
      <w:r>
        <w:rPr>
          <w:color w:val="auto"/>
          <w:highlight w:val="none"/>
        </w:rPr>
        <w:fldChar w:fldCharType="separate"/>
      </w:r>
      <w:r>
        <w:rPr>
          <w:color w:val="auto"/>
          <w:highlight w:val="none"/>
        </w:rPr>
        <w:t>90</w:t>
      </w:r>
      <w:r>
        <w:rPr>
          <w:color w:val="auto"/>
          <w:highlight w:val="none"/>
        </w:rPr>
        <w:fldChar w:fldCharType="end"/>
      </w:r>
      <w:r>
        <w:rPr>
          <w:rFonts w:hint="eastAsia" w:ascii="宋体" w:hAnsi="宋体" w:cs="宋体"/>
          <w:color w:val="auto"/>
          <w:szCs w:val="24"/>
          <w:highlight w:val="none"/>
        </w:rPr>
        <w:fldChar w:fldCharType="end"/>
      </w:r>
    </w:p>
    <w:p>
      <w:pPr>
        <w:pStyle w:val="25"/>
        <w:tabs>
          <w:tab w:val="right" w:leader="dot" w:pos="9354"/>
        </w:tabs>
        <w:rPr>
          <w:color w:val="auto"/>
          <w:highlight w:val="none"/>
        </w:rPr>
      </w:pPr>
      <w:r>
        <w:rPr>
          <w:rFonts w:hint="eastAsia" w:ascii="宋体" w:hAnsi="宋体" w:cs="宋体"/>
          <w:color w:val="auto"/>
          <w:szCs w:val="24"/>
          <w:highlight w:val="none"/>
        </w:rPr>
        <w:fldChar w:fldCharType="begin"/>
      </w:r>
      <w:r>
        <w:rPr>
          <w:rFonts w:hint="eastAsia" w:ascii="宋体" w:hAnsi="宋体" w:cs="宋体"/>
          <w:color w:val="auto"/>
          <w:szCs w:val="24"/>
          <w:highlight w:val="none"/>
        </w:rPr>
        <w:instrText xml:space="preserve"> HYPERLINK \l _Toc12165 </w:instrText>
      </w:r>
      <w:r>
        <w:rPr>
          <w:rFonts w:hint="eastAsia" w:ascii="宋体" w:hAnsi="宋体" w:cs="宋体"/>
          <w:color w:val="auto"/>
          <w:szCs w:val="24"/>
          <w:highlight w:val="none"/>
        </w:rPr>
        <w:fldChar w:fldCharType="separate"/>
      </w:r>
      <w:r>
        <w:rPr>
          <w:rFonts w:hint="default" w:ascii="宋体" w:hAnsi="宋体" w:eastAsia="宋体" w:cs="宋体"/>
          <w:color w:val="auto"/>
          <w:highlight w:val="none"/>
          <w:lang w:val="en-US" w:eastAsia="zh-CN"/>
        </w:rPr>
        <w:t xml:space="preserve">15. </w:t>
      </w:r>
      <w:r>
        <w:rPr>
          <w:rFonts w:hint="eastAsia" w:ascii="宋体" w:hAnsi="宋体" w:cs="宋体"/>
          <w:color w:val="auto"/>
          <w:szCs w:val="21"/>
          <w:highlight w:val="none"/>
          <w:lang w:val="en-US" w:eastAsia="zh-CN"/>
        </w:rPr>
        <w:t>驻场承诺书</w:t>
      </w:r>
      <w:r>
        <w:rPr>
          <w:color w:val="auto"/>
          <w:highlight w:val="none"/>
        </w:rPr>
        <w:tab/>
      </w:r>
      <w:r>
        <w:rPr>
          <w:color w:val="auto"/>
          <w:highlight w:val="none"/>
        </w:rPr>
        <w:fldChar w:fldCharType="begin"/>
      </w:r>
      <w:r>
        <w:rPr>
          <w:color w:val="auto"/>
          <w:highlight w:val="none"/>
        </w:rPr>
        <w:instrText xml:space="preserve"> PAGEREF _Toc12165 \h </w:instrText>
      </w:r>
      <w:r>
        <w:rPr>
          <w:color w:val="auto"/>
          <w:highlight w:val="none"/>
        </w:rPr>
        <w:fldChar w:fldCharType="separate"/>
      </w:r>
      <w:r>
        <w:rPr>
          <w:color w:val="auto"/>
          <w:highlight w:val="none"/>
        </w:rPr>
        <w:t>90</w:t>
      </w:r>
      <w:r>
        <w:rPr>
          <w:color w:val="auto"/>
          <w:highlight w:val="none"/>
        </w:rPr>
        <w:fldChar w:fldCharType="end"/>
      </w:r>
      <w:r>
        <w:rPr>
          <w:rFonts w:hint="eastAsia" w:ascii="宋体" w:hAnsi="宋体" w:cs="宋体"/>
          <w:color w:val="auto"/>
          <w:szCs w:val="24"/>
          <w:highlight w:val="none"/>
        </w:rPr>
        <w:fldChar w:fldCharType="end"/>
      </w:r>
    </w:p>
    <w:p>
      <w:pPr>
        <w:pStyle w:val="46"/>
        <w:spacing w:line="360" w:lineRule="auto"/>
        <w:rPr>
          <w:color w:val="auto"/>
          <w:highlight w:val="none"/>
        </w:rPr>
        <w:sectPr>
          <w:footerReference r:id="rId11" w:type="default"/>
          <w:pgSz w:w="11906" w:h="16838"/>
          <w:pgMar w:top="1247" w:right="1134" w:bottom="1418" w:left="1418" w:header="851" w:footer="992" w:gutter="0"/>
          <w:pgNumType w:start="1"/>
          <w:cols w:space="720" w:num="1"/>
          <w:docGrid w:type="lines" w:linePitch="312" w:charSpace="0"/>
        </w:sectPr>
      </w:pPr>
      <w:r>
        <w:rPr>
          <w:rFonts w:hint="eastAsia" w:ascii="宋体" w:hAnsi="宋体" w:cs="宋体"/>
          <w:color w:val="auto"/>
          <w:szCs w:val="24"/>
          <w:highlight w:val="none"/>
        </w:rPr>
        <w:fldChar w:fldCharType="end"/>
      </w:r>
    </w:p>
    <w:p>
      <w:pPr>
        <w:pStyle w:val="2"/>
        <w:spacing w:before="0" w:beforeLines="0" w:after="0" w:afterLines="0" w:line="360" w:lineRule="auto"/>
        <w:rPr>
          <w:rFonts w:ascii="宋体" w:hAnsi="宋体" w:cs="宋体"/>
          <w:color w:val="auto"/>
          <w:sz w:val="21"/>
          <w:szCs w:val="21"/>
          <w:highlight w:val="none"/>
        </w:rPr>
      </w:pPr>
      <w:bookmarkStart w:id="56" w:name="_Toc738639505"/>
      <w:bookmarkStart w:id="57" w:name="_Toc176784317"/>
      <w:bookmarkStart w:id="58" w:name="_Toc214972565"/>
      <w:bookmarkStart w:id="59" w:name="_Toc2887"/>
      <w:bookmarkStart w:id="60" w:name="_Toc17990"/>
      <w:bookmarkStart w:id="61" w:name="_Toc1854"/>
      <w:r>
        <w:rPr>
          <w:rFonts w:hint="eastAsia" w:ascii="宋体" w:hAnsi="宋体" w:cs="宋体"/>
          <w:color w:val="auto"/>
          <w:sz w:val="21"/>
          <w:szCs w:val="21"/>
          <w:highlight w:val="none"/>
        </w:rPr>
        <w:t>总则</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6"/>
      <w:bookmarkEnd w:id="57"/>
      <w:bookmarkEnd w:id="58"/>
      <w:bookmarkEnd w:id="59"/>
      <w:bookmarkEnd w:id="60"/>
      <w:bookmarkEnd w:id="61"/>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本技术规范书适用于浙江浙石油综合能源销售有限公司（以下简称“浙石油销售”）零售管理系统软件开发及集成实施服务</w:t>
      </w:r>
      <w:r>
        <w:rPr>
          <w:rFonts w:hint="eastAsia"/>
          <w:color w:val="auto"/>
          <w:highlight w:val="none"/>
        </w:rPr>
        <w:t>项目</w:t>
      </w:r>
      <w:r>
        <w:rPr>
          <w:rFonts w:hint="eastAsia" w:ascii="宋体" w:hAnsi="宋体" w:cs="宋体"/>
          <w:color w:val="auto"/>
          <w:szCs w:val="21"/>
          <w:highlight w:val="none"/>
        </w:rPr>
        <w:t>技术规范、要求和供货范围。内容包括系统的功能、技术要求、软件要求、</w:t>
      </w:r>
      <w:r>
        <w:rPr>
          <w:rFonts w:hint="eastAsia" w:ascii="宋体" w:hAnsi="宋体" w:cs="宋体"/>
          <w:color w:val="auto"/>
          <w:szCs w:val="21"/>
          <w:highlight w:val="none"/>
        </w:rPr>
        <w:t>硬件参考配置、人员培训、试验以及所有必需的其它事项</w:t>
      </w:r>
      <w:r>
        <w:rPr>
          <w:rFonts w:hint="eastAsia" w:ascii="宋体" w:hAnsi="宋体" w:cs="宋体"/>
          <w:color w:val="auto"/>
          <w:szCs w:val="21"/>
          <w:highlight w:val="none"/>
        </w:rPr>
        <w:t>。投标人应仔细阅读本技术规范书内的全部条款，投标人提供的系统应满足本技术规范书所规定的要求。</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招标人在本招标文件中提出了最低限度的技术要求，并未规定所有的技术要求和适用的标准，投标人应提供满足本招标文件和所列标准要求的高质量产品及其相应服务，并同时满足国家有关安全、信创等强制性标准要求。</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应在投标文件中，对于招标文件逐段应答，表明是否接受和同意本招标文件的要求，如：接受和同意招标文件某条款的要求，则在该条款后注明：“理解并承诺完全响应上述条款的要求”；若针对某条款，投标人有特别的建议、方案、技术特点或差异，请在该条款下加以描述和说明，并在“技术差异表”中列出。</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投标人如对本招标文件有偏差</w:t>
      </w:r>
      <w:r>
        <w:rPr>
          <w:rFonts w:hint="eastAsia" w:ascii="宋体" w:hAnsi="宋体" w:cs="宋体"/>
          <w:color w:val="auto"/>
          <w:szCs w:val="21"/>
          <w:highlight w:val="none"/>
          <w:lang w:eastAsia="zh-CN"/>
        </w:rPr>
        <w:t>（</w:t>
      </w:r>
      <w:r>
        <w:rPr>
          <w:rFonts w:hint="eastAsia" w:ascii="宋体" w:hAnsi="宋体" w:cs="宋体"/>
          <w:color w:val="auto"/>
          <w:szCs w:val="21"/>
          <w:highlight w:val="none"/>
        </w:rPr>
        <w:t>无论多少或微小</w:t>
      </w:r>
      <w:r>
        <w:rPr>
          <w:rFonts w:hint="eastAsia" w:ascii="宋体" w:hAnsi="宋体" w:cs="宋体"/>
          <w:color w:val="auto"/>
          <w:szCs w:val="21"/>
          <w:highlight w:val="none"/>
          <w:lang w:eastAsia="zh-CN"/>
        </w:rPr>
        <w:t>）</w:t>
      </w:r>
      <w:r>
        <w:rPr>
          <w:rFonts w:hint="eastAsia" w:ascii="宋体" w:hAnsi="宋体" w:cs="宋体"/>
          <w:color w:val="auto"/>
          <w:szCs w:val="21"/>
          <w:highlight w:val="none"/>
        </w:rPr>
        <w:t>都必须清楚地表示在本招标文件的附件“技术差异表”中。否则招标人将认为投标人完全接受和同意本招标文件的要求。</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应执行本招标文件所列标准，有不一致时，按较高标准执行。投标人在设备设计和制造中所涉及的各项规程、规范和标准必须遵循现行最新标准版本。若投标人所提供的投标文件前后有不一致的地方，应以更有利于设备安装运行、工程质量为原则，由招标人确定。</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在合同签订后，招标人有权因规范、标准、规程发生变化而提出一些补充要求，投标人在系统详细设计前</w:t>
      </w:r>
      <w:r>
        <w:rPr>
          <w:rFonts w:hint="eastAsia" w:ascii="宋体" w:hAnsi="宋体" w:cs="宋体"/>
          <w:color w:val="auto"/>
          <w:szCs w:val="21"/>
          <w:highlight w:val="none"/>
          <w:lang w:eastAsia="zh-CN"/>
        </w:rPr>
        <w:t>应予</w:t>
      </w:r>
      <w:r>
        <w:rPr>
          <w:rFonts w:hint="eastAsia" w:ascii="宋体" w:hAnsi="宋体" w:cs="宋体"/>
          <w:color w:val="auto"/>
          <w:szCs w:val="21"/>
          <w:highlight w:val="none"/>
        </w:rPr>
        <w:t>以修改。</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规范书经招标人、投标人双方确认后，作为合同的附件，与合同正文具有同等的法律效力。投标人中标后，投标文件经技术澄清后，承诺内容和技术协议具有同等约束力，与合同正文具有同等效力。</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设备及软件操作系统的采用</w:t>
      </w:r>
      <w:r>
        <w:rPr>
          <w:rFonts w:hint="eastAsia" w:ascii="宋体" w:hAnsi="宋体" w:cs="宋体"/>
          <w:color w:val="auto"/>
          <w:szCs w:val="21"/>
          <w:highlight w:val="none"/>
          <w:lang w:eastAsia="zh-CN"/>
        </w:rPr>
        <w:t>涉及</w:t>
      </w:r>
      <w:r>
        <w:rPr>
          <w:rFonts w:hint="eastAsia" w:ascii="宋体" w:hAnsi="宋体" w:cs="宋体"/>
          <w:color w:val="auto"/>
          <w:szCs w:val="21"/>
          <w:highlight w:val="none"/>
        </w:rPr>
        <w:t>知识产权的全部费用均被认为已包含在设备报价中，投标人应保证招标人不承担有关知识产权的一切责任。</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投标人所提供的所有软件应为正版软件且应有软件使用许可证。招标人应享有设备原供应商对最终用户提供的各种优惠服务，包括今后软件升级、备品备件补充等。在投产后三年内提供无偿的软件升级服务。</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如果本技术规范的描述存在矛盾或不一致之处，或本技术规范的技术部分和商务部分在供货范围的描述存在矛盾或不一致之处，由招标人决定最终采用哪种描述。</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招标人在设计、开发过程中对于投标人技术方案的确认，并不代表招标人将为相关的技术方案承担责任，投标人完全保证所供软件及系统开发功能的安全可靠性、合理性、完整性和优良性。无论是否经过招标人确认，投标人都无条件对系统中存在的缺陷、不足和与合同不符的地方进行修改、补充，而不增加任何费用。</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须全面负责与本项目相关的所有系统工作，包括但不限于前期的方案设计与技术论证、中期的系统研发与功能实现、后期的安装部署与系统集成，以及系统测试、试运行期间的性能调优、正式运行后的质量保证与运维服务。同时，投标人还需提供针对系统使用人员和管理人员的技术培训，确保相关人员能够熟练掌握系统的操作与维护。</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在项目实施过程中，如因系统建设需要对现有运行中的相关系统进行升级改造、架构调整、性能优化或配置变更等工作，这些均属于项目实施过程中的连带责任范畴。投标人必须承担这些工作的全部责任，确保相关系统的平稳过渡和正常运行，不得以任何理由推诿或延误。</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必须确保软件系统中使用的所有商业模块和插件均获得原厂商的正式授权或许可，并提供完整的授权证明文件。在整个项目生命周期内，如因软件版权问题引发任何纠纷或法律诉讼，投标人将承担全部法律责任和经济赔偿，包括但不限于侵权赔偿、诉讼费用及其他相关损失。</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需建立健全的项目管理体系，包括但不限于项目进度管理、质量管理、风险管理以及沟通管理机制，确保项目各阶段工作有序推进。投标人应定期向招标人提交项目进展报告，详细说明当前完成的工作内容、存在的问题及解决方案，并接受招标人的监督检查。对于项目中可能出现的重大变更或风险，投标人应及时提出应对措施并征得招标人同意后实施。</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在系统交付阶段，投标人需提供完整的文档资料，包括系统设计说明书、安装部署手册、用户操作指南、维护手册以及测试报告等，所有文档需符合国家相关标准和招标人的具体要求。同时，投标人应确保文档内容与实际系统一致，便于后续系统的运维和升级工作。</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 xml:space="preserve">投标人应在项目验收后提供不少于一年的免费运维服务，服务内容包括系统故障排查、性能优化、安全加固以及必要的功能调整。在此期间，投标人应设立专门的服务响应团队，以确保在接到招标人通知后的2小时内做出响应，并于规定时间内解决问题。此外，在质保期间，投标人需至少派4名员工到浙石油销售公司，提供现场支持，以保障系统尽快恢复正常运行。 </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需制定详细的应急预案，以应对系统运行过程中可能出现的突发情况，如硬件故障、网络中断或数据丢失等。应急预案应包括具体的处理流程、责任人分工以及恢复时间目标（RTO），并在项目实施过程中进行必要的演练，以验证其可行性和有效性。招标人有权对应急预案的执行情况进行检查和评估。</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需配合招标人完成与第三方系统的对接工作，确保新系统能够无缝集成到招标人现有的信息化生态中。投标人应主动协调相关方解决对接过程中出现的技术问题，并承担由此产生的全部责任和费用。若因投标人原因导致对接失败或延迟，投标人需承担相应的赔偿责任。</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投标人开展系统实施时，投标人要响应招标人对程序的要求，以使程序满足招标人的管理模式及工作流程要求，保证系统软件适合招标人的现场实际和工作需要。</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b/>
          <w:bCs/>
          <w:color w:val="auto"/>
          <w:szCs w:val="21"/>
          <w:highlight w:val="none"/>
        </w:rPr>
        <w:t>投标人承诺在招标人提供的代码管理平台开发并基于招标人源代码管理平台做代码开发管理，100%源码交付。</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投标人客户化后的应用软件版权归招标人所有。</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投标人应按招标人指定的项目所在地开展工作。</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本技术规范书将作为合同的附件，与合同正文具有同等效力。</w:t>
      </w:r>
    </w:p>
    <w:p>
      <w:pPr>
        <w:pStyle w:val="46"/>
        <w:numPr>
          <w:ilvl w:val="1"/>
          <w:numId w:val="5"/>
        </w:numPr>
        <w:adjustRightInd w:val="0"/>
        <w:snapToGrid w:val="0"/>
        <w:spacing w:line="360" w:lineRule="auto"/>
        <w:ind w:left="0" w:firstLine="0"/>
        <w:rPr>
          <w:rFonts w:ascii="宋体" w:hAnsi="宋体" w:cs="宋体"/>
          <w:color w:val="auto"/>
          <w:szCs w:val="21"/>
          <w:highlight w:val="none"/>
        </w:rPr>
      </w:pPr>
      <w:r>
        <w:rPr>
          <w:rFonts w:hint="eastAsia" w:ascii="宋体" w:hAnsi="宋体" w:cs="宋体"/>
          <w:color w:val="auto"/>
          <w:szCs w:val="21"/>
          <w:highlight w:val="none"/>
        </w:rPr>
        <w:t>本技术规范书未尽事宜，经双方协商解决。</w:t>
      </w:r>
    </w:p>
    <w:p>
      <w:pPr>
        <w:pStyle w:val="2"/>
        <w:numPr>
          <w:ilvl w:val="0"/>
          <w:numId w:val="5"/>
        </w:numPr>
        <w:spacing w:before="0" w:beforeLines="0" w:after="0" w:afterLines="0" w:line="360" w:lineRule="auto"/>
        <w:rPr>
          <w:rFonts w:ascii="宋体" w:hAnsi="宋体" w:cs="宋体"/>
          <w:color w:val="auto"/>
          <w:sz w:val="21"/>
          <w:szCs w:val="21"/>
          <w:highlight w:val="none"/>
        </w:rPr>
      </w:pPr>
      <w:bookmarkStart w:id="62" w:name="_Toc214972566"/>
      <w:bookmarkEnd w:id="62"/>
      <w:bookmarkStart w:id="63" w:name="_Toc6956"/>
      <w:bookmarkStart w:id="64" w:name="_Toc24108"/>
      <w:bookmarkStart w:id="65" w:name="_Toc19183"/>
      <w:bookmarkStart w:id="66" w:name="_Toc18790"/>
      <w:bookmarkStart w:id="67" w:name="_Toc32293"/>
      <w:bookmarkStart w:id="68" w:name="_Toc4074"/>
      <w:bookmarkStart w:id="69" w:name="_Toc479206194"/>
      <w:bookmarkStart w:id="70" w:name="_Toc30180"/>
      <w:bookmarkStart w:id="71" w:name="_Toc3858"/>
      <w:bookmarkStart w:id="72" w:name="_Toc24207"/>
      <w:bookmarkStart w:id="73" w:name="_Toc74161959"/>
      <w:bookmarkStart w:id="74" w:name="_Toc8570"/>
      <w:bookmarkStart w:id="75" w:name="_Toc10398"/>
      <w:bookmarkStart w:id="76" w:name="_Toc7945"/>
      <w:bookmarkStart w:id="77" w:name="_Toc518454434"/>
      <w:bookmarkStart w:id="78" w:name="_Toc27256"/>
      <w:bookmarkStart w:id="79" w:name="_Toc24197"/>
      <w:bookmarkStart w:id="80" w:name="_Toc1638"/>
      <w:bookmarkStart w:id="81" w:name="_Toc15332"/>
      <w:bookmarkStart w:id="82" w:name="_Toc1858680875"/>
      <w:bookmarkStart w:id="83" w:name="_Toc32555"/>
      <w:bookmarkStart w:id="84" w:name="_Toc4651"/>
      <w:bookmarkStart w:id="85" w:name="_Toc26612"/>
      <w:bookmarkStart w:id="86" w:name="_Toc7573"/>
      <w:bookmarkStart w:id="87" w:name="_Toc214972567"/>
      <w:bookmarkStart w:id="88" w:name="_Toc23939"/>
      <w:bookmarkStart w:id="89" w:name="_Toc18085"/>
      <w:bookmarkStart w:id="90" w:name="_Toc22653"/>
      <w:bookmarkStart w:id="91" w:name="_Toc3248"/>
      <w:bookmarkStart w:id="92" w:name="_Toc9931"/>
      <w:bookmarkStart w:id="93" w:name="_Toc31867"/>
      <w:bookmarkStart w:id="94" w:name="_Toc26299"/>
      <w:bookmarkStart w:id="95" w:name="_Toc21592"/>
      <w:bookmarkStart w:id="96" w:name="_Toc8121"/>
      <w:bookmarkStart w:id="97" w:name="_Toc24288"/>
      <w:bookmarkStart w:id="98" w:name="_Toc30673"/>
      <w:bookmarkStart w:id="99" w:name="_Toc8860"/>
      <w:bookmarkStart w:id="100" w:name="_Toc22539"/>
      <w:bookmarkStart w:id="101" w:name="_Toc6700"/>
      <w:bookmarkStart w:id="102" w:name="_Toc14393"/>
      <w:bookmarkStart w:id="103" w:name="_Toc17276"/>
      <w:bookmarkStart w:id="104" w:name="_Toc2536"/>
      <w:bookmarkStart w:id="105" w:name="_Toc25214"/>
      <w:bookmarkStart w:id="106" w:name="_Toc17905"/>
      <w:bookmarkStart w:id="107" w:name="_Toc9291"/>
      <w:bookmarkStart w:id="108" w:name="_Toc11361"/>
      <w:bookmarkStart w:id="109" w:name="_Toc176784318"/>
      <w:bookmarkStart w:id="110" w:name="_Toc19741"/>
      <w:bookmarkStart w:id="111" w:name="_Toc8256"/>
      <w:bookmarkStart w:id="112" w:name="_Toc15784"/>
      <w:bookmarkStart w:id="113" w:name="_Toc32047"/>
      <w:bookmarkStart w:id="114" w:name="_Toc9816"/>
      <w:bookmarkStart w:id="115" w:name="_Toc3427"/>
      <w:bookmarkStart w:id="116" w:name="_Toc9361"/>
      <w:r>
        <w:rPr>
          <w:rFonts w:hint="eastAsia" w:ascii="宋体" w:hAnsi="宋体" w:cs="宋体"/>
          <w:color w:val="auto"/>
          <w:sz w:val="21"/>
          <w:szCs w:val="21"/>
          <w:highlight w:val="none"/>
        </w:rPr>
        <w:t>项目概述</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Start w:id="117" w:name="_Toc11814"/>
      <w:bookmarkStart w:id="118" w:name="_Toc31147"/>
      <w:bookmarkStart w:id="119" w:name="_Toc13822"/>
      <w:bookmarkStart w:id="120" w:name="_Toc18997"/>
      <w:bookmarkStart w:id="121" w:name="_Toc7020"/>
      <w:bookmarkStart w:id="122" w:name="_Toc421712432"/>
      <w:bookmarkStart w:id="123" w:name="_Toc13237"/>
      <w:bookmarkStart w:id="124" w:name="_Toc7094"/>
      <w:bookmarkStart w:id="125" w:name="_Toc25255"/>
      <w:bookmarkStart w:id="126" w:name="_Toc24687"/>
      <w:bookmarkStart w:id="127" w:name="_Toc30196"/>
      <w:bookmarkStart w:id="128" w:name="_Toc19756"/>
      <w:bookmarkStart w:id="129" w:name="_Toc17533"/>
      <w:bookmarkStart w:id="130" w:name="_Toc5437"/>
      <w:bookmarkStart w:id="131" w:name="_Toc20768"/>
      <w:bookmarkStart w:id="132" w:name="_Toc18851"/>
      <w:bookmarkStart w:id="133" w:name="_Toc13071"/>
      <w:bookmarkStart w:id="134" w:name="_Toc494"/>
      <w:bookmarkStart w:id="135" w:name="_Toc25110"/>
      <w:bookmarkStart w:id="136" w:name="_Toc1552336863"/>
      <w:bookmarkStart w:id="137" w:name="_Toc20536"/>
      <w:bookmarkStart w:id="138" w:name="_Toc21907"/>
      <w:bookmarkStart w:id="139" w:name="_Toc24117"/>
      <w:bookmarkStart w:id="140" w:name="_Toc17100"/>
      <w:bookmarkStart w:id="141" w:name="_Toc10093"/>
      <w:bookmarkStart w:id="142" w:name="_Toc2944"/>
      <w:bookmarkStart w:id="143" w:name="_Toc14711"/>
      <w:bookmarkStart w:id="144" w:name="_Toc23883"/>
      <w:bookmarkStart w:id="145" w:name="_Toc23834"/>
      <w:bookmarkStart w:id="146" w:name="_Toc9735"/>
      <w:bookmarkStart w:id="147" w:name="_Toc176784319"/>
      <w:bookmarkStart w:id="148" w:name="_Toc28376"/>
      <w:bookmarkStart w:id="149" w:name="_Toc4327"/>
      <w:bookmarkStart w:id="150" w:name="_Toc30967"/>
      <w:bookmarkStart w:id="151" w:name="_Toc74161960"/>
      <w:bookmarkStart w:id="152" w:name="_Toc8987"/>
      <w:bookmarkStart w:id="153" w:name="_Toc11321"/>
      <w:bookmarkStart w:id="154" w:name="_Toc9664"/>
      <w:bookmarkStart w:id="155" w:name="_Toc29088"/>
      <w:bookmarkStart w:id="156" w:name="_Toc10717"/>
      <w:bookmarkStart w:id="157" w:name="_Toc23261"/>
      <w:bookmarkStart w:id="158" w:name="_Toc479206195"/>
      <w:bookmarkStart w:id="159" w:name="_Toc12725"/>
      <w:bookmarkStart w:id="160" w:name="_Toc22167"/>
      <w:bookmarkStart w:id="161" w:name="_Toc23152"/>
      <w:bookmarkStart w:id="162" w:name="_Toc4102"/>
      <w:bookmarkStart w:id="163" w:name="_Toc18810"/>
      <w:bookmarkStart w:id="164" w:name="_Toc518454435"/>
      <w:bookmarkStart w:id="165" w:name="_Toc21259"/>
      <w:bookmarkStart w:id="166" w:name="_Toc32242"/>
      <w:bookmarkStart w:id="167" w:name="_Toc16795"/>
      <w:bookmarkStart w:id="168" w:name="_Toc20677"/>
    </w:p>
    <w:p>
      <w:pPr>
        <w:pStyle w:val="3"/>
        <w:numPr>
          <w:ilvl w:val="1"/>
          <w:numId w:val="5"/>
        </w:numPr>
        <w:spacing w:before="0" w:beforeLines="0" w:after="0" w:afterLines="0" w:line="360" w:lineRule="auto"/>
        <w:rPr>
          <w:rFonts w:ascii="宋体" w:hAnsi="宋体" w:cs="宋体"/>
          <w:color w:val="auto"/>
          <w:szCs w:val="21"/>
          <w:highlight w:val="none"/>
        </w:rPr>
      </w:pPr>
      <w:bookmarkStart w:id="169" w:name="_Toc31321"/>
      <w:bookmarkStart w:id="170" w:name="_Toc28686"/>
      <w:bookmarkStart w:id="171" w:name="_Toc214972568"/>
      <w:r>
        <w:rPr>
          <w:rFonts w:hint="eastAsia" w:ascii="宋体" w:hAnsi="宋体" w:cs="宋体"/>
          <w:color w:val="auto"/>
          <w:szCs w:val="21"/>
          <w:highlight w:val="none"/>
        </w:rPr>
        <w:t>项目建设单位及背景</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pPr>
        <w:pStyle w:val="118"/>
        <w:tabs>
          <w:tab w:val="left" w:pos="408"/>
        </w:tabs>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浙石油销售公司作为浙江省能源集团有限公司旗下聚焦于石油销售领域的核心业务单元，是浙江省能源产业布局中至关重要且不可或缺的组成部分。公司的主营业务覆盖全省</w:t>
      </w:r>
      <w:r>
        <w:rPr>
          <w:rFonts w:hint="eastAsia" w:ascii="宋体" w:hAnsi="宋体"/>
          <w:color w:val="auto"/>
          <w:sz w:val="21"/>
          <w:szCs w:val="21"/>
          <w:highlight w:val="none"/>
          <w:lang w:val="en-US" w:eastAsia="zh-CN"/>
        </w:rPr>
        <w:t>300</w:t>
      </w:r>
      <w:r>
        <w:rPr>
          <w:rFonts w:hint="eastAsia" w:ascii="宋体" w:hAnsi="宋体"/>
          <w:color w:val="auto"/>
          <w:sz w:val="21"/>
          <w:szCs w:val="21"/>
          <w:highlight w:val="none"/>
        </w:rPr>
        <w:t>座</w:t>
      </w:r>
      <w:r>
        <w:rPr>
          <w:rFonts w:hint="eastAsia" w:ascii="宋体" w:hAnsi="宋体"/>
          <w:color w:val="auto"/>
          <w:sz w:val="21"/>
          <w:szCs w:val="21"/>
          <w:highlight w:val="none"/>
          <w:lang w:val="en-US" w:eastAsia="zh-CN"/>
        </w:rPr>
        <w:t>以内的</w:t>
      </w:r>
      <w:r>
        <w:rPr>
          <w:rFonts w:hint="eastAsia" w:ascii="宋体" w:hAnsi="宋体"/>
          <w:color w:val="auto"/>
          <w:sz w:val="21"/>
          <w:szCs w:val="21"/>
          <w:highlight w:val="none"/>
        </w:rPr>
        <w:t>综合供能站及十余座非油品门店的全链条业务，构建起了完备的能源销售服务体系。经过多年的发展，公司已建立起规模庞大的客户群体，累计注册会员数量超过300万。在业务范围上，公司形成了包含油品采购、批发贸易、直分销业务、物流配送、终端零售、收银结算、发票管理、财务核算等核心业务环节的完整产业链，并初步形成了一套核心信息系统。</w:t>
      </w:r>
    </w:p>
    <w:p>
      <w:pPr>
        <w:pStyle w:val="118"/>
        <w:tabs>
          <w:tab w:val="left" w:pos="408"/>
        </w:tabs>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lang w:val="en-US" w:eastAsia="zh-CN"/>
        </w:rPr>
        <w:t>浙江</w:t>
      </w:r>
      <w:r>
        <w:rPr>
          <w:rFonts w:hint="eastAsia" w:ascii="宋体" w:hAnsi="宋体"/>
          <w:color w:val="auto"/>
          <w:sz w:val="21"/>
          <w:szCs w:val="21"/>
          <w:highlight w:val="none"/>
        </w:rPr>
        <w:t xml:space="preserve">浙能数字科技有限公司（以下简称“浙能数科”）作为本项目的总承包方和实施主导单位，是浙江省能源集团有限公司推进数字化转型战略的核心实施平台。在本项目中，浙能数科将全面承担项目的整体规划编制、技术架构设计、项目实施管理以及质量管控等关键工作。中标单位需全面配合并严格遵循浙能数科所制定的统一管理规范和管控措施，具体包括在项目实施过程中接受其系统性的监督、指导与协调，确保各项工作均按照浙能数科的要求和标准执行，以保障整体项目的顺利推进和预期目标的达成。 </w:t>
      </w:r>
    </w:p>
    <w:p>
      <w:pPr>
        <w:pStyle w:val="3"/>
        <w:numPr>
          <w:ilvl w:val="1"/>
          <w:numId w:val="5"/>
        </w:numPr>
        <w:spacing w:before="0" w:beforeLines="0" w:after="0" w:afterLines="0" w:line="360" w:lineRule="auto"/>
        <w:rPr>
          <w:rFonts w:ascii="宋体" w:hAnsi="宋体" w:cs="宋体"/>
          <w:color w:val="auto"/>
          <w:szCs w:val="21"/>
          <w:highlight w:val="none"/>
        </w:rPr>
      </w:pPr>
      <w:bookmarkStart w:id="172" w:name="_Toc214972569"/>
      <w:bookmarkStart w:id="173" w:name="_Toc3051"/>
      <w:bookmarkStart w:id="174" w:name="_Toc8876"/>
      <w:bookmarkStart w:id="175" w:name="_Toc346829038"/>
      <w:bookmarkStart w:id="176" w:name="_Toc176784320"/>
      <w:bookmarkStart w:id="177" w:name="_Toc18669"/>
      <w:r>
        <w:rPr>
          <w:rFonts w:hint="eastAsia" w:ascii="宋体" w:hAnsi="宋体" w:cs="宋体"/>
          <w:color w:val="auto"/>
          <w:szCs w:val="21"/>
          <w:highlight w:val="none"/>
        </w:rPr>
        <w:t>项目概述</w:t>
      </w:r>
      <w:bookmarkEnd w:id="172"/>
      <w:bookmarkEnd w:id="173"/>
      <w:bookmarkEnd w:id="174"/>
      <w:bookmarkEnd w:id="175"/>
      <w:bookmarkEnd w:id="176"/>
      <w:bookmarkEnd w:id="177"/>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本项目致力于打造一个全新的</w:t>
      </w:r>
      <w:r>
        <w:rPr>
          <w:rFonts w:hint="eastAsia" w:ascii="宋体" w:hAnsi="宋体" w:cs="宋体"/>
          <w:color w:val="auto"/>
          <w:kern w:val="2"/>
          <w:szCs w:val="21"/>
          <w:highlight w:val="none"/>
          <w:lang w:eastAsia="zh-CN"/>
        </w:rPr>
        <w:t>浙石油数智销售系统</w:t>
      </w:r>
      <w:r>
        <w:rPr>
          <w:rFonts w:hint="eastAsia" w:ascii="宋体" w:hAnsi="宋体" w:cs="宋体"/>
          <w:color w:val="auto"/>
          <w:kern w:val="2"/>
          <w:szCs w:val="21"/>
          <w:highlight w:val="none"/>
        </w:rPr>
        <w:t>，用以替换现有系统并适应企业未来发展需求。新系统将运用先进的微服务架构设计，达成前后端分离，显著增强系统的扩展性与灵活性。通过采用国产化的基础软硬件，全方位满足国家信创政策要求，保障技术供应链的安全与可控。此外，项目将着重提升系统的响应速度与处理能力，确保在业务高峰期依旧能够维持流畅的用户体验。</w:t>
      </w:r>
    </w:p>
    <w:p>
      <w:pPr>
        <w:pStyle w:val="5"/>
        <w:numPr>
          <w:ilvl w:val="2"/>
          <w:numId w:val="5"/>
        </w:numPr>
        <w:spacing w:before="0" w:beforeLines="0" w:after="0" w:afterLines="0" w:line="360" w:lineRule="auto"/>
        <w:ind w:left="573" w:hanging="573"/>
        <w:rPr>
          <w:rFonts w:ascii="宋体" w:hAnsi="宋体" w:cs="宋体"/>
          <w:color w:val="auto"/>
          <w:szCs w:val="21"/>
          <w:highlight w:val="none"/>
        </w:rPr>
      </w:pPr>
      <w:bookmarkStart w:id="178" w:name="_Toc885023708"/>
      <w:r>
        <w:rPr>
          <w:rFonts w:hint="eastAsia" w:ascii="宋体" w:hAnsi="宋体" w:cs="宋体"/>
          <w:color w:val="auto"/>
          <w:szCs w:val="21"/>
          <w:highlight w:val="none"/>
        </w:rPr>
        <w:t>项目建设思路</w:t>
      </w:r>
      <w:bookmarkEnd w:id="178"/>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本项目围绕浙石油销售信息系统零售管理系统采购需求，秉持“统一规划、分步实施、技术引领、业务驱动”的总体策略，以微服务架构为基石，打造具备前瞻性与稳定性的新一代零管系统。具体建设思路阐述如下：</w:t>
      </w:r>
    </w:p>
    <w:p>
      <w:pPr>
        <w:numPr>
          <w:ilvl w:val="0"/>
          <w:numId w:val="6"/>
        </w:numPr>
        <w:spacing w:after="0" w:afterLines="0"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架构转型与升级</w:t>
      </w:r>
    </w:p>
    <w:p>
      <w:pPr>
        <w:numPr>
          <w:ilvl w:val="0"/>
          <w:numId w:val="7"/>
        </w:numPr>
        <w:spacing w:after="0" w:afterLines="0" w:line="360" w:lineRule="auto"/>
        <w:rPr>
          <w:rFonts w:ascii="宋体" w:hAnsi="宋体" w:cs="宋体"/>
          <w:color w:val="auto"/>
          <w:szCs w:val="21"/>
          <w:highlight w:val="none"/>
        </w:rPr>
      </w:pPr>
      <w:r>
        <w:rPr>
          <w:rFonts w:hint="eastAsia" w:ascii="宋体" w:hAnsi="宋体" w:cs="宋体"/>
          <w:color w:val="auto"/>
          <w:szCs w:val="21"/>
          <w:highlight w:val="none"/>
        </w:rPr>
        <w:t>技术架构革新：全面推行前后端分离与微服务体系架构，完成技术架构的升级，有力支撑全业务流程的数字化协同与高效运转。</w:t>
      </w:r>
    </w:p>
    <w:p>
      <w:pPr>
        <w:numPr>
          <w:ilvl w:val="0"/>
          <w:numId w:val="7"/>
        </w:numPr>
        <w:spacing w:after="0" w:afterLines="0" w:line="360" w:lineRule="auto"/>
        <w:rPr>
          <w:rFonts w:ascii="宋体" w:hAnsi="宋体" w:cs="宋体"/>
          <w:color w:val="auto"/>
          <w:szCs w:val="21"/>
          <w:highlight w:val="none"/>
        </w:rPr>
      </w:pPr>
      <w:r>
        <w:rPr>
          <w:rFonts w:hint="eastAsia" w:ascii="宋体" w:hAnsi="宋体" w:cs="宋体"/>
          <w:color w:val="auto"/>
          <w:szCs w:val="21"/>
          <w:highlight w:val="none"/>
        </w:rPr>
        <w:t>核心业务架构搭建：精心构建“1+8+N”核心业务架构，其中“1”指一个稳固的技术基座；“8”代表八大核心业务中心，涵盖财务、物流、采购、直批、零售、非能、会员及营销领域；“N”则指代面向各类用户的多个前端应用。</w:t>
      </w:r>
    </w:p>
    <w:p>
      <w:pPr>
        <w:numPr>
          <w:ilvl w:val="0"/>
          <w:numId w:val="6"/>
        </w:numPr>
        <w:spacing w:after="0" w:afterLines="0"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业务创新与价值提升</w:t>
      </w:r>
    </w:p>
    <w:p>
      <w:pPr>
        <w:numPr>
          <w:ilvl w:val="0"/>
          <w:numId w:val="8"/>
        </w:numPr>
        <w:spacing w:after="0" w:afterLines="0" w:line="360" w:lineRule="auto"/>
        <w:ind w:hangingChars="200"/>
        <w:rPr>
          <w:rFonts w:ascii="宋体" w:hAnsi="宋体" w:cs="宋体"/>
          <w:color w:val="auto"/>
          <w:kern w:val="0"/>
          <w:szCs w:val="21"/>
          <w:highlight w:val="none"/>
        </w:rPr>
      </w:pPr>
      <w:r>
        <w:rPr>
          <w:rFonts w:hint="eastAsia" w:ascii="宋体" w:hAnsi="宋体" w:cs="宋体"/>
          <w:color w:val="auto"/>
          <w:kern w:val="0"/>
          <w:szCs w:val="21"/>
          <w:highlight w:val="none"/>
        </w:rPr>
        <w:t>新兴业务场景支持：积极支持油电一体、无感支付等新兴业务场景，拓展服务边界，构建“人</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车</w:t>
      </w:r>
      <w:r>
        <w:rPr>
          <w:rFonts w:hint="eastAsia" w:ascii="宋体" w:hAnsi="宋体" w:cs="宋体"/>
          <w:color w:val="auto"/>
          <w:kern w:val="0"/>
          <w:szCs w:val="21"/>
          <w:highlight w:val="none"/>
          <w:lang w:eastAsia="zh-CN"/>
        </w:rPr>
        <w:t>－</w:t>
      </w:r>
      <w:r>
        <w:rPr>
          <w:rFonts w:hint="eastAsia" w:ascii="宋体" w:hAnsi="宋体" w:cs="宋体"/>
          <w:color w:val="auto"/>
          <w:kern w:val="0"/>
          <w:szCs w:val="21"/>
          <w:highlight w:val="none"/>
        </w:rPr>
        <w:t>生活”融合发展的综合服务生态。</w:t>
      </w:r>
    </w:p>
    <w:p>
      <w:pPr>
        <w:numPr>
          <w:ilvl w:val="0"/>
          <w:numId w:val="8"/>
        </w:numPr>
        <w:spacing w:after="0" w:afterLines="0" w:line="360" w:lineRule="auto"/>
        <w:ind w:hangingChars="200"/>
        <w:rPr>
          <w:rFonts w:ascii="宋体" w:hAnsi="宋体" w:cs="宋体"/>
          <w:color w:val="auto"/>
          <w:kern w:val="0"/>
          <w:szCs w:val="21"/>
          <w:highlight w:val="none"/>
        </w:rPr>
      </w:pPr>
      <w:r>
        <w:rPr>
          <w:rFonts w:hint="eastAsia" w:ascii="宋体" w:hAnsi="宋体" w:cs="宋体"/>
          <w:color w:val="auto"/>
          <w:kern w:val="0"/>
          <w:szCs w:val="21"/>
          <w:highlight w:val="none"/>
        </w:rPr>
        <w:t>业务与数据中台赋能：打造统一的业务中台与数据中台，实现用户行为数据的深度分析与精准画像，支撑智能化营销决策与精细化客户服务。</w:t>
      </w:r>
    </w:p>
    <w:p>
      <w:pPr>
        <w:numPr>
          <w:ilvl w:val="0"/>
          <w:numId w:val="8"/>
        </w:numPr>
        <w:spacing w:after="0" w:afterLines="0" w:line="360" w:lineRule="auto"/>
        <w:ind w:hangingChars="200"/>
        <w:rPr>
          <w:rFonts w:ascii="宋体" w:hAnsi="宋体" w:cs="宋体"/>
          <w:color w:val="auto"/>
          <w:kern w:val="0"/>
          <w:szCs w:val="21"/>
          <w:highlight w:val="none"/>
        </w:rPr>
      </w:pPr>
      <w:r>
        <w:rPr>
          <w:rFonts w:hint="eastAsia" w:ascii="宋体" w:hAnsi="宋体" w:cs="宋体"/>
          <w:color w:val="auto"/>
          <w:kern w:val="0"/>
          <w:szCs w:val="21"/>
          <w:highlight w:val="none"/>
        </w:rPr>
        <w:t>国产化与运维优化：推进国产化硬件替代工作，有效降低运维成本，同时提升系统稳定性，缩短故障修复时长，保障业务连续性。</w:t>
      </w:r>
    </w:p>
    <w:p>
      <w:pPr>
        <w:pStyle w:val="5"/>
        <w:numPr>
          <w:ilvl w:val="2"/>
          <w:numId w:val="5"/>
        </w:numPr>
        <w:spacing w:before="0" w:beforeLines="0" w:after="0" w:afterLines="0" w:line="360" w:lineRule="auto"/>
        <w:rPr>
          <w:rFonts w:ascii="宋体" w:hAnsi="宋体" w:cs="宋体"/>
          <w:color w:val="auto"/>
          <w:szCs w:val="21"/>
          <w:highlight w:val="none"/>
        </w:rPr>
      </w:pPr>
      <w:bookmarkStart w:id="179" w:name="_Toc1121721234"/>
      <w:bookmarkStart w:id="180" w:name="_Toc518454437"/>
      <w:bookmarkStart w:id="181" w:name="_Toc479206196"/>
      <w:bookmarkStart w:id="182" w:name="_Toc518454436"/>
      <w:r>
        <w:rPr>
          <w:rFonts w:hint="eastAsia" w:ascii="宋体" w:hAnsi="宋体" w:cs="宋体"/>
          <w:color w:val="auto"/>
          <w:szCs w:val="21"/>
          <w:highlight w:val="none"/>
        </w:rPr>
        <w:t>项目建设目标</w:t>
      </w:r>
      <w:bookmarkEnd w:id="179"/>
    </w:p>
    <w:bookmarkEnd w:id="180"/>
    <w:bookmarkEnd w:id="181"/>
    <w:bookmarkEnd w:id="182"/>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经本项目的建设与实施，新系统将对现有的零售管理系统展开全面的升级改造工作，运用先进的物联网技术与云计算架构，搭建新一代智能化管理平台。此系统将达成对供能站内各类终端设备（涵盖加油机、液位仪、支付终端等）的集中化监控与统一管理，借助可视化界面实时掌握设备的运行状况。</w:t>
      </w:r>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在技术路线层面，系统将全面达成国产化替代，选用自主可控的软硬件产品，以确保系统的安全可靠，契合国家信创产业的要求。</w:t>
      </w:r>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在系统性能方面，通过优化架构设计并引入分布式处理技术，大幅提升系统的处理能力与稳定性，可从容应对高并发交易场景，为业务运营提供持续且稳定的技术支撑。</w:t>
      </w:r>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 xml:space="preserve">此外，新系统将构建标准化的数据接口规范，实现与总部核心业务系统的无缝衔接，保障数据的实时交互与业务协同，为管理决策提供全面且准确的数据依据。 </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项目建设范围</w:t>
      </w:r>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本项目建设范围涵盖浙石油销售</w:t>
      </w:r>
      <w:r>
        <w:rPr>
          <w:rFonts w:hint="eastAsia" w:ascii="宋体" w:hAnsi="宋体" w:cs="宋体"/>
          <w:color w:val="auto"/>
          <w:kern w:val="2"/>
          <w:szCs w:val="21"/>
          <w:highlight w:val="none"/>
          <w:lang w:val="en-US" w:eastAsia="zh-CN"/>
        </w:rPr>
        <w:t>公司</w:t>
      </w:r>
      <w:r>
        <w:rPr>
          <w:rFonts w:hint="eastAsia" w:ascii="宋体" w:hAnsi="宋体" w:cs="宋体"/>
          <w:color w:val="auto"/>
          <w:kern w:val="2"/>
          <w:szCs w:val="21"/>
          <w:highlight w:val="none"/>
          <w:lang w:eastAsia="zh-CN"/>
        </w:rPr>
        <w:t>数智销售系统</w:t>
      </w:r>
      <w:r>
        <w:rPr>
          <w:rFonts w:hint="eastAsia" w:ascii="宋体" w:hAnsi="宋体" w:cs="宋体"/>
          <w:color w:val="auto"/>
          <w:kern w:val="2"/>
          <w:szCs w:val="21"/>
          <w:highlight w:val="none"/>
        </w:rPr>
        <w:t>的全面升级改造，具体包括零管系统整体替换与优化。新的零管系统将覆盖全省</w:t>
      </w:r>
      <w:r>
        <w:rPr>
          <w:rFonts w:hint="eastAsia" w:ascii="宋体" w:hAnsi="宋体" w:cs="宋体"/>
          <w:color w:val="auto"/>
          <w:kern w:val="2"/>
          <w:szCs w:val="21"/>
          <w:highlight w:val="none"/>
          <w:lang w:val="en-US" w:eastAsia="zh-CN"/>
        </w:rPr>
        <w:t>300座以内的</w:t>
      </w:r>
      <w:r>
        <w:rPr>
          <w:rFonts w:hint="eastAsia" w:ascii="宋体" w:hAnsi="宋体" w:cs="宋体"/>
          <w:color w:val="auto"/>
          <w:kern w:val="2"/>
          <w:szCs w:val="21"/>
          <w:highlight w:val="none"/>
        </w:rPr>
        <w:t>综合供能站的运营管理需求，支持油品、非油品的零售业务管理。项目建设内容涉及系统功能设计、技术架构搭建、软硬件部署、测试及集成、数据迁移与治理、用户培训及后续运维支持等多个方面。在功能层面，系统需满足站端前台销售、运营管理、物联应用、会员管理、会员营销、交易管理、钱包/卡应用、财务管理，非油品采购、批发等多个核心功能的需求，并为未来业务扩展预留接口。同时，项目实施范围还包括数据割接和站点实施，确保新旧系统间的数据平滑过渡与无缝衔接。此外，项目建设还需完成国产化软硬件的适配与部署，保障技术供应链的安全可控，并满足国家信创政策的相关要求。</w:t>
      </w:r>
    </w:p>
    <w:p>
      <w:pPr>
        <w:pStyle w:val="46"/>
        <w:adjustRightInd w:val="0"/>
        <w:snapToGrid w:val="0"/>
        <w:spacing w:line="360" w:lineRule="auto"/>
        <w:ind w:firstLine="420"/>
        <w:rPr>
          <w:rFonts w:ascii="宋体" w:hAnsi="宋体" w:cs="宋体"/>
          <w:color w:val="auto"/>
          <w:kern w:val="2"/>
          <w:szCs w:val="21"/>
          <w:highlight w:val="none"/>
        </w:rPr>
      </w:pPr>
      <w:r>
        <w:rPr>
          <w:rFonts w:hint="eastAsia" w:ascii="宋体" w:hAnsi="宋体" w:cs="宋体"/>
          <w:color w:val="auto"/>
          <w:kern w:val="2"/>
          <w:szCs w:val="21"/>
          <w:highlight w:val="none"/>
        </w:rPr>
        <w:t>具体范围包括但不限于：</w:t>
      </w:r>
    </w:p>
    <w:p>
      <w:pPr>
        <w:pStyle w:val="46"/>
        <w:numPr>
          <w:ilvl w:val="0"/>
          <w:numId w:val="9"/>
        </w:numPr>
        <w:adjustRightInd w:val="0"/>
        <w:snapToGrid w:val="0"/>
        <w:spacing w:line="360" w:lineRule="auto"/>
        <w:ind w:left="0" w:firstLine="420" w:firstLineChars="200"/>
        <w:rPr>
          <w:rFonts w:ascii="宋体" w:hAnsi="宋体" w:cs="宋体"/>
          <w:color w:val="auto"/>
          <w:kern w:val="2"/>
          <w:szCs w:val="21"/>
          <w:highlight w:val="none"/>
        </w:rPr>
      </w:pPr>
      <w:r>
        <w:rPr>
          <w:rFonts w:hint="eastAsia" w:ascii="宋体" w:hAnsi="宋体" w:cs="宋体"/>
          <w:color w:val="auto"/>
          <w:kern w:val="2"/>
          <w:szCs w:val="21"/>
          <w:highlight w:val="none"/>
        </w:rPr>
        <w:t>组织机构范围：浙石油销售公司本部、分公司、子公司、站点（</w:t>
      </w:r>
      <w:r>
        <w:rPr>
          <w:rFonts w:hint="eastAsia" w:ascii="宋体" w:hAnsi="宋体" w:cs="宋体"/>
          <w:color w:val="auto"/>
          <w:kern w:val="2"/>
          <w:szCs w:val="21"/>
          <w:highlight w:val="none"/>
          <w:lang w:val="en-US" w:eastAsia="zh-CN"/>
        </w:rPr>
        <w:t xml:space="preserve">300座以内的综合供能站点，最终数量以实际数量为准 </w:t>
      </w:r>
      <w:r>
        <w:rPr>
          <w:rFonts w:hint="eastAsia" w:ascii="宋体" w:hAnsi="宋体" w:cs="宋体"/>
          <w:color w:val="auto"/>
          <w:kern w:val="2"/>
          <w:szCs w:val="21"/>
          <w:highlight w:val="none"/>
        </w:rPr>
        <w:t>）</w:t>
      </w:r>
      <w:r>
        <w:rPr>
          <w:rFonts w:hint="eastAsia" w:ascii="宋体" w:hAnsi="宋体" w:cs="宋体"/>
          <w:color w:val="auto"/>
          <w:kern w:val="2"/>
          <w:szCs w:val="21"/>
          <w:highlight w:val="none"/>
          <w:lang w:eastAsia="zh-CN"/>
        </w:rPr>
        <w:t>。</w:t>
      </w:r>
    </w:p>
    <w:p>
      <w:pPr>
        <w:pStyle w:val="46"/>
        <w:numPr>
          <w:ilvl w:val="0"/>
          <w:numId w:val="9"/>
        </w:numPr>
        <w:adjustRightInd w:val="0"/>
        <w:snapToGrid w:val="0"/>
        <w:spacing w:line="360" w:lineRule="auto"/>
        <w:ind w:left="0" w:firstLine="420" w:firstLineChars="200"/>
        <w:rPr>
          <w:rFonts w:ascii="宋体" w:hAnsi="宋体" w:cs="宋体"/>
          <w:color w:val="auto"/>
          <w:kern w:val="2"/>
          <w:szCs w:val="21"/>
          <w:highlight w:val="none"/>
        </w:rPr>
      </w:pPr>
      <w:r>
        <w:rPr>
          <w:rFonts w:hint="eastAsia" w:ascii="宋体" w:hAnsi="宋体" w:cs="宋体"/>
          <w:color w:val="auto"/>
          <w:kern w:val="2"/>
          <w:szCs w:val="21"/>
          <w:highlight w:val="none"/>
        </w:rPr>
        <w:t>功能范围：</w:t>
      </w:r>
    </w:p>
    <w:p>
      <w:pPr>
        <w:pStyle w:val="46"/>
        <w:numPr>
          <w:ilvl w:val="1"/>
          <w:numId w:val="10"/>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浙石油销售公司本部及分子公司</w:t>
      </w:r>
      <w:r>
        <w:rPr>
          <w:rFonts w:hint="eastAsia" w:ascii="宋体" w:hAnsi="宋体" w:cs="宋体"/>
          <w:color w:val="auto"/>
          <w:kern w:val="2"/>
          <w:szCs w:val="21"/>
          <w:highlight w:val="none"/>
          <w:lang w:eastAsia="zh-CN"/>
        </w:rPr>
        <w:t>浙石油数智销售系统</w:t>
      </w:r>
      <w:r>
        <w:rPr>
          <w:rFonts w:hint="eastAsia" w:ascii="宋体" w:hAnsi="宋体" w:cs="宋体"/>
          <w:color w:val="auto"/>
          <w:kern w:val="2"/>
          <w:szCs w:val="21"/>
          <w:highlight w:val="none"/>
        </w:rPr>
        <w:t>零售相关功能模块：包含油品、非油品经营，零售管理，会员管理，营销管理等功能，详见章节4.4总部级应用；</w:t>
      </w:r>
    </w:p>
    <w:p>
      <w:pPr>
        <w:pStyle w:val="46"/>
        <w:numPr>
          <w:ilvl w:val="1"/>
          <w:numId w:val="10"/>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站点（</w:t>
      </w:r>
      <w:r>
        <w:rPr>
          <w:rFonts w:hint="eastAsia" w:ascii="宋体" w:hAnsi="宋体" w:cs="宋体"/>
          <w:color w:val="auto"/>
          <w:kern w:val="2"/>
          <w:szCs w:val="21"/>
          <w:highlight w:val="none"/>
          <w:lang w:val="en-US" w:eastAsia="zh-CN"/>
        </w:rPr>
        <w:t>300座以内的</w:t>
      </w:r>
      <w:r>
        <w:rPr>
          <w:rFonts w:hint="eastAsia" w:ascii="宋体" w:hAnsi="宋体" w:cs="宋体"/>
          <w:color w:val="auto"/>
          <w:kern w:val="2"/>
          <w:szCs w:val="21"/>
          <w:highlight w:val="none"/>
        </w:rPr>
        <w:t>综合供能站点，最终数量以实际数量为准）零售管理系统：包含前台销售，油品、非油品管理，POS系统（包含PC端及移动端），物联应用与设备集成等功能，详见章节4.1站级应用；</w:t>
      </w:r>
    </w:p>
    <w:p>
      <w:pPr>
        <w:pStyle w:val="46"/>
        <w:numPr>
          <w:ilvl w:val="1"/>
          <w:numId w:val="10"/>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客户触达与应用系统：微信小程序/支付宝小程序/微信公众号/客户web平台等，包含会员信息及权益，交易在线，电子钱包，电子卡管理，发票申请等功能，详见章节4.2章及4.3章。</w:t>
      </w:r>
    </w:p>
    <w:p>
      <w:pPr>
        <w:pStyle w:val="46"/>
        <w:numPr>
          <w:ilvl w:val="0"/>
          <w:numId w:val="9"/>
        </w:numPr>
        <w:adjustRightInd w:val="0"/>
        <w:snapToGrid w:val="0"/>
        <w:spacing w:line="360" w:lineRule="auto"/>
        <w:ind w:left="0" w:firstLine="420" w:firstLineChars="200"/>
        <w:rPr>
          <w:rFonts w:ascii="宋体" w:hAnsi="宋体" w:cs="宋体"/>
          <w:color w:val="auto"/>
          <w:kern w:val="2"/>
          <w:szCs w:val="21"/>
          <w:highlight w:val="none"/>
        </w:rPr>
      </w:pPr>
      <w:r>
        <w:rPr>
          <w:rFonts w:hint="eastAsia" w:ascii="宋体" w:hAnsi="宋体" w:cs="宋体"/>
          <w:color w:val="auto"/>
          <w:kern w:val="2"/>
          <w:szCs w:val="21"/>
          <w:highlight w:val="none"/>
        </w:rPr>
        <w:t>业务范围：</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浙石油销售公司本部集中管控的供能站零售相关业务；</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供能站所属子公司对外采购、批发及结算等业务；</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供能站零售业务；</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打通浙石油销售公司本部与供能站所属子公司之间油品、润滑油、尿素等物资在采购、批发、配送、收货及结算等环节的全流程业务。</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实现与浙能集团核心业务系统（如ERP、合同管理、主数据、财司等）互联互通工作。</w:t>
      </w:r>
    </w:p>
    <w:p>
      <w:pPr>
        <w:pStyle w:val="46"/>
        <w:numPr>
          <w:ilvl w:val="1"/>
          <w:numId w:val="11"/>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实现站端生产设备的物联互通，实现异业合作的互联互通。</w:t>
      </w:r>
    </w:p>
    <w:p>
      <w:pPr>
        <w:pStyle w:val="46"/>
        <w:numPr>
          <w:ilvl w:val="0"/>
          <w:numId w:val="9"/>
        </w:numPr>
        <w:adjustRightInd w:val="0"/>
        <w:snapToGrid w:val="0"/>
        <w:spacing w:line="360" w:lineRule="auto"/>
        <w:ind w:left="0" w:firstLine="420" w:firstLineChars="200"/>
        <w:rPr>
          <w:rFonts w:ascii="宋体" w:hAnsi="宋体" w:cs="宋体"/>
          <w:color w:val="auto"/>
          <w:kern w:val="2"/>
          <w:szCs w:val="21"/>
          <w:highlight w:val="none"/>
        </w:rPr>
      </w:pPr>
      <w:r>
        <w:rPr>
          <w:rFonts w:hint="eastAsia" w:ascii="宋体" w:hAnsi="宋体" w:cs="宋体"/>
          <w:color w:val="auto"/>
          <w:kern w:val="2"/>
          <w:szCs w:val="21"/>
          <w:highlight w:val="none"/>
        </w:rPr>
        <w:t>实施范围：</w:t>
      </w:r>
    </w:p>
    <w:p>
      <w:pPr>
        <w:pStyle w:val="46"/>
        <w:numPr>
          <w:ilvl w:val="1"/>
          <w:numId w:val="12"/>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系统条件：完成数据收集及迁移工作，包</w:t>
      </w:r>
      <w:r>
        <w:rPr>
          <w:rFonts w:hint="eastAsia" w:ascii="宋体" w:hAnsi="宋体" w:cs="宋体"/>
          <w:color w:val="auto"/>
          <w:kern w:val="2"/>
          <w:szCs w:val="21"/>
          <w:highlight w:val="none"/>
          <w:lang w:eastAsia="zh-CN"/>
        </w:rPr>
        <w:t>括但</w:t>
      </w:r>
      <w:r>
        <w:rPr>
          <w:rFonts w:hint="eastAsia" w:ascii="宋体" w:hAnsi="宋体" w:cs="宋体"/>
          <w:color w:val="auto"/>
          <w:kern w:val="2"/>
          <w:szCs w:val="21"/>
          <w:highlight w:val="none"/>
        </w:rPr>
        <w:t>不限于浙石油销售公司本部、分公司、子公司、站点（</w:t>
      </w:r>
      <w:r>
        <w:rPr>
          <w:rFonts w:hint="eastAsia" w:ascii="宋体" w:hAnsi="宋体" w:cs="宋体"/>
          <w:color w:val="auto"/>
          <w:kern w:val="2"/>
          <w:szCs w:val="21"/>
          <w:highlight w:val="none"/>
          <w:lang w:val="en-US" w:eastAsia="zh-CN"/>
        </w:rPr>
        <w:t>300座以内的</w:t>
      </w:r>
      <w:r>
        <w:rPr>
          <w:rFonts w:hint="eastAsia" w:ascii="宋体" w:hAnsi="宋体" w:cs="宋体"/>
          <w:color w:val="auto"/>
          <w:kern w:val="2"/>
          <w:szCs w:val="21"/>
          <w:highlight w:val="none"/>
        </w:rPr>
        <w:t>综合供能站点，最终数量以实际数量为准）的数据割接及系统实施，形成数据迁移方案，确保新旧系统间的数据平滑过渡与无缝衔接；</w:t>
      </w:r>
    </w:p>
    <w:p>
      <w:pPr>
        <w:pStyle w:val="46"/>
        <w:numPr>
          <w:ilvl w:val="1"/>
          <w:numId w:val="12"/>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硬件条件：完成站点国产化硬件设备调试及过渡衔接工作，辅助业务侧实现相关功能互联互通。</w:t>
      </w:r>
    </w:p>
    <w:p>
      <w:pPr>
        <w:pStyle w:val="46"/>
        <w:numPr>
          <w:ilvl w:val="1"/>
          <w:numId w:val="12"/>
        </w:numPr>
        <w:adjustRightInd w:val="0"/>
        <w:snapToGrid w:val="0"/>
        <w:spacing w:line="360" w:lineRule="auto"/>
        <w:ind w:left="420" w:firstLine="420"/>
        <w:rPr>
          <w:rFonts w:ascii="宋体" w:hAnsi="宋体" w:cs="宋体"/>
          <w:color w:val="auto"/>
          <w:kern w:val="2"/>
          <w:szCs w:val="21"/>
          <w:highlight w:val="none"/>
        </w:rPr>
      </w:pPr>
      <w:r>
        <w:rPr>
          <w:rFonts w:hint="eastAsia" w:ascii="宋体" w:hAnsi="宋体" w:cs="宋体"/>
          <w:color w:val="auto"/>
          <w:kern w:val="2"/>
          <w:szCs w:val="21"/>
          <w:highlight w:val="none"/>
        </w:rPr>
        <w:t xml:space="preserve">双甲方情况：浙石油销售公司负责招标及采购工作，浙能数科公司负责项目管理与项目验收。 </w:t>
      </w:r>
    </w:p>
    <w:p>
      <w:pPr>
        <w:pStyle w:val="46"/>
        <w:numPr>
          <w:ilvl w:val="0"/>
          <w:numId w:val="9"/>
        </w:numPr>
        <w:adjustRightInd w:val="0"/>
        <w:snapToGrid w:val="0"/>
        <w:spacing w:line="360" w:lineRule="auto"/>
        <w:ind w:left="0" w:firstLine="420" w:firstLineChars="200"/>
        <w:rPr>
          <w:rFonts w:ascii="宋体" w:hAnsi="宋体" w:cs="宋体"/>
          <w:color w:val="auto"/>
          <w:kern w:val="2"/>
          <w:szCs w:val="21"/>
          <w:highlight w:val="none"/>
        </w:rPr>
      </w:pPr>
      <w:r>
        <w:rPr>
          <w:rFonts w:hint="eastAsia" w:ascii="宋体" w:hAnsi="宋体" w:cs="宋体"/>
          <w:color w:val="auto"/>
          <w:kern w:val="2"/>
          <w:szCs w:val="21"/>
          <w:highlight w:val="none"/>
        </w:rPr>
        <w:t>其他说明：供能站根据其所属子公司性质，区分为标准化接入（自营新建站点）、非标准化接入站点（十余座加盟站及改造站）。</w:t>
      </w:r>
    </w:p>
    <w:p>
      <w:pPr>
        <w:pStyle w:val="2"/>
        <w:numPr>
          <w:ilvl w:val="0"/>
          <w:numId w:val="5"/>
        </w:numPr>
        <w:spacing w:before="0" w:beforeLines="0" w:after="0" w:afterLines="0" w:line="360" w:lineRule="auto"/>
        <w:rPr>
          <w:rFonts w:ascii="宋体" w:hAnsi="宋体" w:cs="宋体"/>
          <w:color w:val="auto"/>
          <w:sz w:val="21"/>
          <w:szCs w:val="21"/>
          <w:highlight w:val="none"/>
        </w:rPr>
      </w:pPr>
      <w:bookmarkStart w:id="183" w:name="_Toc214972572"/>
      <w:bookmarkEnd w:id="183"/>
      <w:bookmarkStart w:id="184" w:name="_Toc214972581"/>
      <w:bookmarkEnd w:id="184"/>
      <w:bookmarkStart w:id="185" w:name="_Toc214972576"/>
      <w:bookmarkEnd w:id="185"/>
      <w:bookmarkStart w:id="186" w:name="_Toc214972578"/>
      <w:bookmarkEnd w:id="186"/>
      <w:bookmarkStart w:id="187" w:name="_Toc214972570"/>
      <w:bookmarkEnd w:id="187"/>
      <w:bookmarkStart w:id="188" w:name="_Toc214972579"/>
      <w:bookmarkEnd w:id="188"/>
      <w:bookmarkStart w:id="189" w:name="_Toc214972580"/>
      <w:bookmarkEnd w:id="189"/>
      <w:bookmarkStart w:id="190" w:name="_Toc214972577"/>
      <w:bookmarkEnd w:id="190"/>
      <w:bookmarkStart w:id="191" w:name="_Toc214972573"/>
      <w:bookmarkEnd w:id="191"/>
      <w:bookmarkStart w:id="192" w:name="_Toc214972571"/>
      <w:bookmarkEnd w:id="192"/>
      <w:bookmarkStart w:id="193" w:name="_Toc214972575"/>
      <w:bookmarkEnd w:id="193"/>
      <w:bookmarkStart w:id="194" w:name="_Toc214972574"/>
      <w:bookmarkEnd w:id="194"/>
      <w:bookmarkStart w:id="195" w:name="_Toc26127"/>
      <w:bookmarkStart w:id="196" w:name="_Toc5130"/>
      <w:bookmarkStart w:id="197" w:name="_Toc20638"/>
      <w:bookmarkStart w:id="198" w:name="_Toc26231"/>
      <w:bookmarkStart w:id="199" w:name="_Toc21543"/>
      <w:bookmarkStart w:id="200" w:name="_Toc7871"/>
      <w:bookmarkStart w:id="201" w:name="_Toc28620"/>
      <w:bookmarkStart w:id="202" w:name="_Toc17760"/>
      <w:bookmarkStart w:id="203" w:name="_Toc19381"/>
      <w:bookmarkStart w:id="204" w:name="_Toc19205"/>
      <w:bookmarkStart w:id="205" w:name="_Toc19612"/>
      <w:bookmarkStart w:id="206" w:name="_Toc2402"/>
      <w:bookmarkStart w:id="207" w:name="_Toc2199"/>
      <w:bookmarkStart w:id="208" w:name="_Toc19440"/>
      <w:bookmarkStart w:id="209" w:name="_Toc30094"/>
      <w:bookmarkStart w:id="210" w:name="_Toc225"/>
      <w:bookmarkStart w:id="211" w:name="_Toc19070"/>
      <w:bookmarkStart w:id="212" w:name="_Toc22786"/>
      <w:bookmarkStart w:id="213" w:name="_Toc4933"/>
      <w:bookmarkStart w:id="214" w:name="_Toc30028"/>
      <w:bookmarkStart w:id="215" w:name="_Toc17689"/>
      <w:bookmarkStart w:id="216" w:name="_Toc18586"/>
      <w:bookmarkStart w:id="217" w:name="_Toc26291"/>
      <w:bookmarkStart w:id="218" w:name="_Toc30745"/>
      <w:bookmarkStart w:id="219" w:name="_Toc19988"/>
      <w:bookmarkStart w:id="220" w:name="_Toc12143"/>
      <w:bookmarkStart w:id="221" w:name="_Toc25606"/>
      <w:bookmarkStart w:id="222" w:name="_Toc17999"/>
      <w:bookmarkStart w:id="223" w:name="_Toc28725"/>
      <w:bookmarkStart w:id="224" w:name="_Toc21879"/>
      <w:bookmarkStart w:id="225" w:name="_Toc22599"/>
      <w:bookmarkStart w:id="226" w:name="_Toc11272"/>
      <w:bookmarkStart w:id="227" w:name="_Toc30835"/>
      <w:bookmarkStart w:id="228" w:name="_Toc4817"/>
      <w:bookmarkStart w:id="229" w:name="_Toc11399"/>
      <w:bookmarkStart w:id="230" w:name="_Toc72118956"/>
      <w:bookmarkStart w:id="231" w:name="_Toc26296"/>
      <w:bookmarkStart w:id="232" w:name="_Toc24168"/>
      <w:bookmarkStart w:id="233" w:name="_Toc6572"/>
      <w:bookmarkStart w:id="234" w:name="_Toc20416"/>
      <w:bookmarkStart w:id="235" w:name="_Toc518454440"/>
      <w:bookmarkStart w:id="236" w:name="_Toc17860"/>
      <w:bookmarkStart w:id="237" w:name="_Toc7884"/>
      <w:bookmarkStart w:id="238" w:name="_Toc176784322"/>
      <w:bookmarkStart w:id="239" w:name="_Toc25126"/>
      <w:bookmarkStart w:id="240" w:name="_Toc74161969"/>
      <w:bookmarkStart w:id="241" w:name="_Toc25656"/>
      <w:bookmarkStart w:id="242" w:name="_Toc214972582"/>
      <w:bookmarkStart w:id="243" w:name="_Toc23323"/>
      <w:bookmarkStart w:id="244" w:name="_Toc30436"/>
      <w:bookmarkStart w:id="245" w:name="_Toc2959"/>
      <w:bookmarkStart w:id="246" w:name="_Toc12947"/>
      <w:bookmarkStart w:id="247" w:name="_Toc22783"/>
      <w:r>
        <w:rPr>
          <w:rFonts w:hint="eastAsia" w:ascii="宋体" w:hAnsi="宋体" w:cs="宋体"/>
          <w:color w:val="auto"/>
          <w:sz w:val="21"/>
          <w:szCs w:val="21"/>
          <w:highlight w:val="none"/>
        </w:rPr>
        <w:t>技术要求</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Start w:id="248" w:name="_Toc321"/>
      <w:bookmarkStart w:id="249" w:name="_Toc9166"/>
      <w:bookmarkStart w:id="250" w:name="_Toc5040"/>
      <w:bookmarkStart w:id="251" w:name="_Toc16848"/>
      <w:bookmarkStart w:id="252" w:name="_Toc25925"/>
      <w:bookmarkStart w:id="253" w:name="_Toc25077"/>
      <w:bookmarkStart w:id="254" w:name="_Toc22596"/>
      <w:bookmarkStart w:id="255" w:name="_Toc3398"/>
      <w:bookmarkStart w:id="256" w:name="_Toc22051"/>
      <w:bookmarkStart w:id="257" w:name="_Toc6673"/>
      <w:bookmarkStart w:id="258" w:name="_Toc16903"/>
      <w:bookmarkStart w:id="259" w:name="_Toc8715"/>
      <w:bookmarkStart w:id="260" w:name="_Toc913"/>
      <w:bookmarkStart w:id="261" w:name="_Toc8413"/>
      <w:bookmarkStart w:id="262" w:name="_Toc13348"/>
      <w:bookmarkStart w:id="263" w:name="_Toc28380"/>
      <w:bookmarkStart w:id="264" w:name="_Toc18897"/>
      <w:bookmarkStart w:id="265" w:name="_Toc23784"/>
      <w:bookmarkStart w:id="266" w:name="_Toc3461"/>
      <w:bookmarkStart w:id="267" w:name="_Toc18574"/>
      <w:bookmarkStart w:id="268" w:name="_Toc6607"/>
      <w:bookmarkStart w:id="269" w:name="_Toc15039"/>
      <w:bookmarkStart w:id="270" w:name="_Toc32704"/>
      <w:bookmarkStart w:id="271" w:name="_Toc176784323"/>
      <w:bookmarkStart w:id="272" w:name="_Toc24841"/>
      <w:bookmarkStart w:id="273" w:name="_Toc3147"/>
      <w:bookmarkStart w:id="274" w:name="_Toc8189"/>
      <w:bookmarkStart w:id="275" w:name="_Toc10010"/>
      <w:bookmarkStart w:id="276" w:name="_Toc10767"/>
      <w:bookmarkStart w:id="277" w:name="_Toc28010"/>
      <w:bookmarkStart w:id="278" w:name="_Toc2141"/>
      <w:bookmarkStart w:id="279" w:name="_Toc3988"/>
      <w:bookmarkStart w:id="280" w:name="_Toc922516584"/>
      <w:bookmarkStart w:id="281" w:name="_Toc214972583"/>
      <w:bookmarkStart w:id="282" w:name="_Toc26198"/>
      <w:bookmarkStart w:id="283" w:name="_Toc7207"/>
      <w:bookmarkStart w:id="284" w:name="_Toc3078"/>
      <w:bookmarkStart w:id="285" w:name="_Toc5368"/>
      <w:bookmarkStart w:id="286" w:name="_Toc29421"/>
      <w:bookmarkStart w:id="287" w:name="_Toc21477"/>
      <w:bookmarkStart w:id="288" w:name="_Toc23398"/>
      <w:bookmarkStart w:id="289" w:name="_Toc31285"/>
      <w:bookmarkStart w:id="290" w:name="_Toc28667"/>
      <w:bookmarkStart w:id="291" w:name="_Toc3739"/>
      <w:bookmarkStart w:id="292" w:name="_Toc13534"/>
      <w:bookmarkStart w:id="293" w:name="_Toc27248"/>
      <w:bookmarkStart w:id="294" w:name="_Toc16351"/>
      <w:bookmarkStart w:id="295" w:name="_Toc23702"/>
      <w:bookmarkStart w:id="296" w:name="_Toc24128"/>
      <w:bookmarkStart w:id="297" w:name="_Toc74161970"/>
      <w:bookmarkStart w:id="298" w:name="_Toc518454442"/>
    </w:p>
    <w:p>
      <w:pPr>
        <w:pStyle w:val="2"/>
        <w:numPr>
          <w:ilvl w:val="1"/>
          <w:numId w:val="5"/>
        </w:numPr>
        <w:spacing w:before="0" w:beforeLines="0" w:after="0" w:afterLines="0" w:line="360" w:lineRule="auto"/>
        <w:rPr>
          <w:rFonts w:ascii="宋体" w:hAnsi="宋体" w:cs="宋体"/>
          <w:color w:val="auto"/>
          <w:sz w:val="21"/>
          <w:szCs w:val="21"/>
          <w:highlight w:val="none"/>
        </w:rPr>
      </w:pPr>
      <w:bookmarkStart w:id="299" w:name="_Toc3866"/>
      <w:bookmarkStart w:id="300" w:name="_Toc12251"/>
      <w:r>
        <w:rPr>
          <w:rFonts w:hint="eastAsia" w:ascii="宋体" w:hAnsi="宋体" w:cs="宋体"/>
          <w:color w:val="auto"/>
          <w:sz w:val="21"/>
          <w:szCs w:val="21"/>
          <w:highlight w:val="none"/>
        </w:rPr>
        <w:t>总体技术要求</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9"/>
      <w:bookmarkEnd w:id="300"/>
    </w:p>
    <w:p>
      <w:pPr>
        <w:spacing w:after="62"/>
        <w:rPr>
          <w:rFonts w:ascii="宋体" w:hAnsi="宋体" w:cs="宋体"/>
          <w:color w:val="auto"/>
          <w:kern w:val="0"/>
          <w:szCs w:val="21"/>
          <w:highlight w:val="none"/>
        </w:rPr>
      </w:pPr>
      <w:r>
        <w:rPr>
          <w:rFonts w:hint="eastAsia" w:ascii="宋体" w:hAnsi="宋体" w:cs="宋体"/>
          <w:color w:val="auto"/>
          <w:szCs w:val="21"/>
          <w:highlight w:val="none"/>
        </w:rPr>
        <w:tab/>
      </w:r>
      <w:r>
        <w:rPr>
          <w:rFonts w:hint="eastAsia" w:ascii="宋体" w:hAnsi="宋体" w:cs="宋体"/>
          <w:color w:val="auto"/>
          <w:szCs w:val="21"/>
          <w:highlight w:val="none"/>
        </w:rPr>
        <w:tab/>
      </w:r>
      <w:r>
        <w:rPr>
          <w:rFonts w:hint="eastAsia" w:ascii="宋体" w:hAnsi="宋体" w:cs="宋体"/>
          <w:color w:val="auto"/>
          <w:szCs w:val="21"/>
          <w:highlight w:val="none"/>
        </w:rPr>
        <w:tab/>
      </w:r>
      <w:r>
        <w:rPr>
          <w:rFonts w:hint="eastAsia" w:ascii="宋体" w:hAnsi="宋体" w:cs="宋体"/>
          <w:color w:val="auto"/>
          <w:szCs w:val="21"/>
          <w:highlight w:val="none"/>
        </w:rPr>
        <w:tab/>
      </w:r>
      <w:r>
        <w:rPr>
          <w:rFonts w:hint="eastAsia" w:ascii="宋体" w:hAnsi="宋体" w:cs="宋体"/>
          <w:color w:val="auto"/>
          <w:szCs w:val="21"/>
          <w:highlight w:val="none"/>
        </w:rPr>
        <w:tab/>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系统应采用主流、成熟、开放的技术平台和架构，避免使用封闭、小众、即将被淘汰的技术，以保障系统的长期生命力和技术支持能力。系统必须提供清晰、标准的接口方案，实现与</w:t>
      </w:r>
      <w:r>
        <w:rPr>
          <w:rFonts w:hint="eastAsia" w:ascii="宋体" w:hAnsi="宋体" w:cs="宋体"/>
          <w:color w:val="auto"/>
          <w:kern w:val="0"/>
          <w:szCs w:val="21"/>
          <w:highlight w:val="none"/>
          <w:lang w:eastAsia="zh-CN"/>
        </w:rPr>
        <w:t>浙石油数智销售系统</w:t>
      </w:r>
      <w:r>
        <w:rPr>
          <w:rFonts w:hint="eastAsia" w:ascii="宋体" w:hAnsi="宋体" w:cs="宋体"/>
          <w:color w:val="auto"/>
          <w:kern w:val="0"/>
          <w:szCs w:val="21"/>
          <w:highlight w:val="none"/>
        </w:rPr>
        <w:t>、集团财务系统等现有系统的无缝数据交换和业务协同。</w:t>
      </w:r>
      <w:bookmarkStart w:id="301" w:name="_Toc2114733286"/>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整体架构要求</w:t>
      </w:r>
      <w:bookmarkEnd w:id="301"/>
    </w:p>
    <w:p>
      <w:pPr>
        <w:pStyle w:val="46"/>
        <w:numPr>
          <w:ilvl w:val="0"/>
          <w:numId w:val="13"/>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总体系统架构：项目应采用分布式、多层体系架构，自顶向下分为展示层、应用层、数据层、设备层，建立统一的标准规范体系、安全管理体系、运维保障体系下，系统应部署在招标人私有云环境。</w:t>
      </w:r>
    </w:p>
    <w:p>
      <w:pPr>
        <w:pStyle w:val="46"/>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drawing>
          <wp:inline distT="0" distB="0" distL="114300" distR="114300">
            <wp:extent cx="5269865" cy="2900045"/>
            <wp:effectExtent l="0" t="0" r="0" b="0"/>
            <wp:docPr id="5" name="图片 5" descr="零管系统整体架构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零管系统整体架构v1"/>
                    <pic:cNvPicPr>
                      <a:picLocks noChangeAspect="1"/>
                    </pic:cNvPicPr>
                  </pic:nvPicPr>
                  <pic:blipFill>
                    <a:blip r:embed="rId14"/>
                    <a:stretch>
                      <a:fillRect/>
                    </a:stretch>
                  </pic:blipFill>
                  <pic:spPr>
                    <a:xfrm>
                      <a:off x="0" y="0"/>
                      <a:ext cx="5269865" cy="2900045"/>
                    </a:xfrm>
                    <a:prstGeom prst="rect">
                      <a:avLst/>
                    </a:prstGeom>
                  </pic:spPr>
                </pic:pic>
              </a:graphicData>
            </a:graphic>
          </wp:inline>
        </w:drawing>
      </w:r>
    </w:p>
    <w:p>
      <w:pPr>
        <w:pStyle w:val="46"/>
        <w:adjustRightInd w:val="0"/>
        <w:snapToGrid w:val="0"/>
        <w:spacing w:line="360" w:lineRule="auto"/>
        <w:ind w:firstLine="420" w:firstLineChars="200"/>
        <w:jc w:val="center"/>
        <w:rPr>
          <w:rFonts w:ascii="宋体" w:hAnsi="宋体" w:cs="宋体"/>
          <w:color w:val="auto"/>
          <w:szCs w:val="21"/>
          <w:highlight w:val="none"/>
        </w:rPr>
      </w:pPr>
      <w:r>
        <w:rPr>
          <w:rFonts w:hint="eastAsia" w:ascii="宋体" w:hAnsi="宋体" w:cs="宋体"/>
          <w:color w:val="auto"/>
          <w:szCs w:val="21"/>
          <w:highlight w:val="none"/>
        </w:rPr>
        <w:t>总体系统架构图</w:t>
      </w:r>
    </w:p>
    <w:p>
      <w:pPr>
        <w:pStyle w:val="46"/>
        <w:numPr>
          <w:ilvl w:val="0"/>
          <w:numId w:val="13"/>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分布式部署架构：采用用户访问层、本部系统层、供能站现场层的三层分布式部署架构，确保云端本部中心与供能站站端系统的无缝协同与高效联动。</w:t>
      </w:r>
    </w:p>
    <w:p>
      <w:pPr>
        <w:pStyle w:val="46"/>
        <w:ind w:firstLine="420" w:firstLineChars="200"/>
        <w:rPr>
          <w:rFonts w:ascii="宋体" w:hAnsi="宋体" w:cs="宋体"/>
          <w:color w:val="auto"/>
          <w:szCs w:val="21"/>
          <w:highlight w:val="none"/>
        </w:rPr>
      </w:pPr>
      <w:r>
        <w:rPr>
          <w:rFonts w:hint="eastAsia" w:ascii="宋体" w:hAnsi="宋体" w:cs="宋体"/>
          <w:color w:val="auto"/>
          <w:szCs w:val="21"/>
          <w:highlight w:val="none"/>
        </w:rPr>
        <w:t>微服务与前端技术栈：后端采用微服务治理体系，确保服务的高可用与弹性扩展；前端运用Vue3+UniApp框架，构建跨平台、优体验的应用界面；整体采用Docker容器化部署，提升部署效率与环境一致性。</w:t>
      </w:r>
    </w:p>
    <w:p>
      <w:pPr>
        <w:pStyle w:val="46"/>
        <w:ind w:firstLine="420" w:firstLineChars="200"/>
        <w:rPr>
          <w:rFonts w:ascii="宋体" w:hAnsi="宋体" w:cs="宋体"/>
          <w:color w:val="auto"/>
          <w:szCs w:val="21"/>
          <w:highlight w:val="none"/>
        </w:rPr>
      </w:pPr>
      <w:r>
        <w:rPr>
          <w:rFonts w:hint="eastAsia" w:ascii="宋体" w:hAnsi="宋体" w:cs="宋体"/>
          <w:color w:val="auto"/>
          <w:szCs w:val="21"/>
          <w:highlight w:val="none"/>
        </w:rPr>
        <w:t>数据治理体系构建：建立健全数据源层、数据存储层、数据模型层、业务应用层的四层数据治理体系，深度挖掘数据价值，实现数据资产化管理与应用。</w:t>
      </w:r>
    </w:p>
    <w:p>
      <w:pPr>
        <w:pStyle w:val="46"/>
        <w:ind w:firstLine="420" w:firstLineChars="200"/>
        <w:rPr>
          <w:rFonts w:ascii="宋体" w:hAnsi="宋体" w:cs="宋体"/>
          <w:color w:val="auto"/>
          <w:szCs w:val="21"/>
          <w:highlight w:val="none"/>
        </w:rPr>
      </w:pPr>
      <w:r>
        <w:rPr>
          <w:rFonts w:hint="eastAsia" w:ascii="宋体" w:hAnsi="宋体" w:cs="宋体"/>
          <w:color w:val="auto"/>
          <w:szCs w:val="21"/>
          <w:highlight w:val="none"/>
        </w:rPr>
        <w:t>安全防护体系建设：严格依据等保2.0三级标准要求，构建覆盖石油销售系统全场景的纵深防御安全体系，保障系统与数据的安全可靠。</w:t>
      </w:r>
    </w:p>
    <w:p>
      <w:pPr>
        <w:pStyle w:val="5"/>
        <w:numPr>
          <w:ilvl w:val="2"/>
          <w:numId w:val="5"/>
        </w:numPr>
        <w:spacing w:before="0" w:beforeLines="0" w:after="0" w:afterLines="0" w:line="360" w:lineRule="auto"/>
        <w:rPr>
          <w:rFonts w:ascii="宋体" w:hAnsi="宋体" w:cs="宋体"/>
          <w:color w:val="auto"/>
          <w:szCs w:val="21"/>
          <w:highlight w:val="none"/>
        </w:rPr>
      </w:pPr>
      <w:bookmarkStart w:id="302" w:name="_Toc2046916528"/>
      <w:r>
        <w:rPr>
          <w:rFonts w:hint="eastAsia" w:ascii="宋体" w:hAnsi="宋体" w:cs="宋体"/>
          <w:color w:val="auto"/>
          <w:szCs w:val="21"/>
          <w:highlight w:val="none"/>
        </w:rPr>
        <w:t>软件架构要求</w:t>
      </w:r>
      <w:bookmarkEnd w:id="302"/>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功能要求包括但不限于：</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提供供能站物联网设备（包括加油机、液位仪、支付终端、车牌识别监控等）的统一接入、数据汇聚、模型映射与本地控制能力。系统兼容 Modbus、CAN 总线、OPC UA、MQTT 等多种工业通信协议标准，有效屏蔽不同厂商设备在接口与数据格式上的差异，实现异构设备的快速接入与互联互通，为供能站数字化管理奠定底层数据基础。</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实现对各类接入设备的集中化宏观管理与远程调控，支持对供能站内多种设备进行实时状态监控、参数配置、在线诊断和故障预警，并提供远程控制能力。该功能有效提升设备管理效率，降低现场运维频次，助力供能站实现智能化运营与维护。</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系统具备良好的可扩展性，通过模块化的协议适配器框架，可灵活、快速地接入支持新协议的新型设备，适应物联网技术及加油设备规范的持续演进。该设计显著降低系统对接新设备的开发成本与周期，保障平台的长周期适用性。</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架构设计注重高稳定性和可靠性，能够在供能站高温、潮湿、电磁干扰等复杂工业环境下持续稳定运行。通过组件冗余、故障自恢复及本地缓存等机制，确保在网络波动或部分故障情况下，核心业务不中断，设备控制指令可靠执行。</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系统作为连接感知网络与传统信息系统的枢纽，不仅实现感知层与网络层之间的数据贯通，还能在不同类型的感知网络（如加油机控制网络、视频监控网络）之间进行协议转换与数据交换，支持设备在局域网内的协同工作，也满足数据向云平台或上级系统的广域传输需求。</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全面保障数据通信安全，支持数据传输过程中的加密与完整性保护，优先采用SM2/SM4等国密算法，对支付交易、油品库存等敏感数据进行重点保护，防止数据在传输过程中被窃取或篡改，满足行业信息安全规范与监管要求。</w:t>
      </w:r>
    </w:p>
    <w:p>
      <w:pPr>
        <w:pStyle w:val="46"/>
        <w:numPr>
          <w:ilvl w:val="0"/>
          <w:numId w:val="14"/>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提供完善的系统可运维性功能，包括远程升级、参数配置、故障告警、日志采集与分析等。运维人员可实时掌握系统健康状态，快速定位并处理异常，从而有效提升系统平均无故障时间，保障供能站业务连续稳定运行。</w:t>
      </w:r>
    </w:p>
    <w:p>
      <w:pPr>
        <w:pStyle w:val="3"/>
        <w:numPr>
          <w:ilvl w:val="1"/>
          <w:numId w:val="5"/>
        </w:numPr>
        <w:spacing w:before="0" w:beforeLines="0" w:after="0" w:afterLines="0" w:line="360" w:lineRule="auto"/>
        <w:rPr>
          <w:rFonts w:ascii="宋体" w:hAnsi="宋体" w:cs="宋体"/>
          <w:color w:val="auto"/>
          <w:szCs w:val="21"/>
          <w:highlight w:val="none"/>
        </w:rPr>
      </w:pPr>
      <w:bookmarkStart w:id="303" w:name="_Toc1303113288"/>
      <w:bookmarkStart w:id="304" w:name="_Toc10925"/>
      <w:bookmarkStart w:id="305" w:name="_Toc21129"/>
      <w:bookmarkStart w:id="306" w:name="_Toc214972584"/>
      <w:bookmarkStart w:id="307" w:name="_Toc17996"/>
      <w:bookmarkStart w:id="308" w:name="_Toc1245"/>
      <w:bookmarkStart w:id="309" w:name="_Toc8076"/>
      <w:bookmarkStart w:id="310" w:name="_Toc7601"/>
      <w:bookmarkStart w:id="311" w:name="_Toc12057"/>
      <w:bookmarkStart w:id="312" w:name="_Toc20239"/>
      <w:bookmarkStart w:id="313" w:name="_Toc23947"/>
      <w:bookmarkStart w:id="314" w:name="_Toc18962"/>
      <w:bookmarkStart w:id="315" w:name="_Toc9744"/>
      <w:bookmarkStart w:id="316" w:name="_Toc16729"/>
      <w:bookmarkStart w:id="317" w:name="_Toc20423"/>
      <w:bookmarkStart w:id="318" w:name="_Toc21177"/>
      <w:bookmarkStart w:id="319" w:name="_Toc17673"/>
      <w:bookmarkStart w:id="320" w:name="_Toc25537"/>
      <w:bookmarkStart w:id="321" w:name="_Toc17101"/>
      <w:bookmarkStart w:id="322" w:name="_Toc3291"/>
      <w:bookmarkStart w:id="323" w:name="_Toc18904"/>
      <w:bookmarkStart w:id="324" w:name="_Toc10406"/>
      <w:bookmarkStart w:id="325" w:name="_Toc8664"/>
      <w:bookmarkStart w:id="326" w:name="_Toc7095"/>
      <w:bookmarkStart w:id="327" w:name="_Toc32192"/>
      <w:bookmarkStart w:id="328" w:name="_Toc16926"/>
      <w:bookmarkStart w:id="329" w:name="_Toc22576"/>
      <w:bookmarkStart w:id="330" w:name="_Toc28938"/>
      <w:bookmarkStart w:id="331" w:name="_Toc74161971"/>
      <w:bookmarkStart w:id="332" w:name="_Toc11373"/>
      <w:bookmarkStart w:id="333" w:name="_Toc31704"/>
      <w:bookmarkStart w:id="334" w:name="_Toc20623"/>
      <w:bookmarkStart w:id="335" w:name="_Toc28933"/>
      <w:bookmarkStart w:id="336" w:name="_Toc1212"/>
      <w:bookmarkStart w:id="337" w:name="_Toc7112"/>
      <w:bookmarkStart w:id="338" w:name="_Toc13979"/>
      <w:bookmarkStart w:id="339" w:name="_Toc26780"/>
      <w:bookmarkStart w:id="340" w:name="_Toc15614"/>
      <w:bookmarkStart w:id="341" w:name="_Toc696"/>
      <w:bookmarkStart w:id="342" w:name="_Toc21733"/>
      <w:bookmarkStart w:id="343" w:name="_Toc176784324"/>
      <w:bookmarkStart w:id="344" w:name="_Toc24393"/>
      <w:bookmarkStart w:id="345" w:name="_Toc6501"/>
      <w:bookmarkStart w:id="346" w:name="_Toc7678"/>
      <w:bookmarkStart w:id="347" w:name="_Toc21227"/>
      <w:bookmarkStart w:id="348" w:name="_Toc14757"/>
      <w:bookmarkStart w:id="349" w:name="_Toc4012"/>
      <w:bookmarkStart w:id="350" w:name="_Toc14399"/>
      <w:bookmarkStart w:id="351" w:name="_Toc26947"/>
      <w:bookmarkStart w:id="352" w:name="_Toc8762"/>
      <w:bookmarkStart w:id="353" w:name="_Toc8822"/>
      <w:bookmarkStart w:id="354" w:name="_Toc18895"/>
      <w:r>
        <w:rPr>
          <w:rFonts w:hint="eastAsia" w:ascii="宋体" w:hAnsi="宋体" w:cs="宋体"/>
          <w:color w:val="auto"/>
          <w:szCs w:val="21"/>
          <w:highlight w:val="none"/>
        </w:rPr>
        <w:t>应用开发、物联技术及其他服务要求</w:t>
      </w:r>
      <w:bookmarkEnd w:id="303"/>
      <w:bookmarkEnd w:id="304"/>
      <w:bookmarkEnd w:id="305"/>
      <w:bookmarkEnd w:id="306"/>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供能站站级操作</w:t>
      </w:r>
    </w:p>
    <w:p>
      <w:pPr>
        <w:pStyle w:val="46"/>
        <w:widowControl/>
        <w:adjustRightInd w:val="0"/>
        <w:snapToGrid w:val="0"/>
        <w:spacing w:line="360" w:lineRule="auto"/>
        <w:ind w:firstLine="420" w:firstLineChars="200"/>
        <w:textAlignment w:val="center"/>
        <w:rPr>
          <w:rFonts w:ascii="宋体" w:hAnsi="宋体" w:cs="宋体"/>
          <w:color w:val="auto"/>
          <w:szCs w:val="21"/>
          <w:highlight w:val="none"/>
        </w:rPr>
      </w:pPr>
      <w:r>
        <w:rPr>
          <w:rFonts w:hint="eastAsia" w:ascii="宋体" w:hAnsi="宋体" w:cs="宋体"/>
          <w:color w:val="auto"/>
          <w:szCs w:val="21"/>
          <w:highlight w:val="none"/>
        </w:rPr>
        <w:t>系统需支持覆盖供能站日常运营中的核心业务环节，涵盖油品进货、销售、存储、支付、开票及交接班管理等关键操作。在进货环节，系统支持标准化的卸油操作流程，可记录油罐车信息、承运方、油品类型、卸油前后油高、水高及温度等多维度数据，自动生成进货单据并计算进油损溢。系统提供损溢智能分析功能，支持超标预警与责任追溯，有效辅助管理人员把控进货质量、防范跑冒滴漏，提升进货环节的规范化与透明度。</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供能站前庭设备接入</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系统</w:t>
      </w:r>
      <w:r>
        <w:rPr>
          <w:rFonts w:hint="eastAsia" w:ascii="宋体" w:hAnsi="宋体" w:cs="宋体"/>
          <w:color w:val="auto"/>
          <w:szCs w:val="21"/>
          <w:highlight w:val="none"/>
          <w:lang w:eastAsia="zh-CN"/>
        </w:rPr>
        <w:t>需要</w:t>
      </w:r>
      <w:r>
        <w:rPr>
          <w:rFonts w:hint="eastAsia" w:ascii="宋体" w:hAnsi="宋体" w:cs="宋体"/>
          <w:color w:val="auto"/>
          <w:szCs w:val="21"/>
          <w:highlight w:val="none"/>
        </w:rPr>
        <w:t>实现对前庭设备的全面接入与智能化管理，包括加油机、液位仪、价格牌、监控摄像头等核心设备。通过标准化接口协议和灵活的适配机制，确保各类设备能够无缝集成到统一的管理平台中。在技术实现层面，系统应采用模块化设计，支持石油行业各种通信协议（包括浙石油销售公司定制化的IFSF协议），以兼容不同厂商设备的接入需求。通过协议转换与数据映射，屏蔽设备间的异构性，实现统一的数据汇聚与业务联动。同时，系统</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强大的扩展能力，能够快速适配新型设备或升级现有设备的功能，适应未来供能站物联网生态的发展需求。</w:t>
      </w:r>
    </w:p>
    <w:p>
      <w:pPr>
        <w:pStyle w:val="46"/>
        <w:adjustRightInd w:val="0"/>
        <w:snapToGrid w:val="0"/>
        <w:spacing w:line="360" w:lineRule="auto"/>
        <w:ind w:firstLine="420"/>
        <w:rPr>
          <w:rFonts w:ascii="宋体" w:hAnsi="宋体" w:cs="宋体"/>
          <w:color w:val="auto"/>
          <w:kern w:val="2"/>
          <w:szCs w:val="21"/>
          <w:highlight w:val="none"/>
          <w:shd w:val="clear" w:color="auto" w:fill="E6F0FF"/>
        </w:rPr>
      </w:pPr>
      <w:r>
        <w:rPr>
          <w:rFonts w:hint="eastAsia" w:ascii="宋体" w:hAnsi="宋体" w:cs="宋体"/>
          <w:color w:val="auto"/>
          <w:szCs w:val="21"/>
          <w:highlight w:val="none"/>
        </w:rPr>
        <w:t>为提升运维效率，系统还需提供设备状态的集中监控与远程诊断功能，支持实时查看设备运行参数、在线诊断故障原因，并生成详细的日志记录。当设备出现异常时，系统应自动触发告警机制，并提供针对性</w:t>
      </w:r>
      <w:r>
        <w:rPr>
          <w:rFonts w:hint="eastAsia" w:ascii="宋体" w:hAnsi="宋体" w:cs="宋体"/>
          <w:color w:val="auto"/>
          <w:szCs w:val="21"/>
          <w:highlight w:val="none"/>
          <w:lang w:val="en-US" w:eastAsia="zh-CN"/>
        </w:rPr>
        <w:t>的</w:t>
      </w:r>
      <w:r>
        <w:rPr>
          <w:rFonts w:hint="eastAsia" w:ascii="宋体" w:hAnsi="宋体" w:cs="宋体"/>
          <w:color w:val="auto"/>
          <w:szCs w:val="21"/>
          <w:highlight w:val="none"/>
        </w:rPr>
        <w:t>解决方案，最大限度减少人工干预与现场维护成本。此外，所有设备的操作与管理权限需严格分级，确保操作安全与数据保密，符合行业监管要求。</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其他服务要求</w:t>
      </w:r>
    </w:p>
    <w:p>
      <w:pPr>
        <w:pStyle w:val="46"/>
        <w:widowControl/>
        <w:adjustRightInd w:val="0"/>
        <w:snapToGrid w:val="0"/>
        <w:spacing w:line="360" w:lineRule="auto"/>
        <w:ind w:firstLine="420" w:firstLineChars="200"/>
        <w:textAlignment w:val="center"/>
        <w:rPr>
          <w:rFonts w:ascii="宋体" w:hAnsi="宋体" w:cs="宋体"/>
          <w:color w:val="auto"/>
          <w:szCs w:val="21"/>
          <w:highlight w:val="none"/>
        </w:rPr>
      </w:pPr>
      <w:r>
        <w:rPr>
          <w:rFonts w:hint="eastAsia" w:ascii="宋体" w:hAnsi="宋体" w:cs="宋体"/>
          <w:color w:val="auto"/>
          <w:szCs w:val="21"/>
          <w:highlight w:val="none"/>
        </w:rPr>
        <w:t>系统需构建完整的移动端与Web端应用体系，实现运营管理与客户服务的全面覆盖。系统应具备会员全生命周期管理、多元化支付解决方案、前庭设备智能监控、站点运营数据分析、精准营销活动管理、安全防控体系及财务对账机制等核心功能。投标人需确保以上基础功能的完整实现，并可基于对智慧供能站发展趋势的理解，拓展系统在能源管理、环境监测等领域的创新应用。</w:t>
      </w:r>
    </w:p>
    <w:p>
      <w:pPr>
        <w:pStyle w:val="46"/>
        <w:widowControl/>
        <w:adjustRightInd w:val="0"/>
        <w:snapToGrid w:val="0"/>
        <w:spacing w:line="360" w:lineRule="auto"/>
        <w:ind w:firstLine="420" w:firstLineChars="200"/>
        <w:textAlignment w:val="center"/>
        <w:rPr>
          <w:rFonts w:ascii="宋体" w:hAnsi="宋体" w:cs="宋体"/>
          <w:color w:val="auto"/>
          <w:szCs w:val="21"/>
          <w:highlight w:val="none"/>
        </w:rPr>
      </w:pPr>
      <w:r>
        <w:rPr>
          <w:rFonts w:hint="eastAsia" w:ascii="宋体" w:hAnsi="宋体" w:cs="宋体"/>
          <w:color w:val="auto"/>
          <w:szCs w:val="21"/>
          <w:highlight w:val="none"/>
        </w:rPr>
        <w:t>系统需集成供能站数据，建立数字化运营管理中心。平台应实现运营总览、能耗监测、安全态势感知、交易分析、设备运维监控等可视化功能模块，通过数据驾驶舱的形式实时呈现关键运营指标，为管理决策提供可视化支撑。</w:t>
      </w:r>
    </w:p>
    <w:p>
      <w:pPr>
        <w:pStyle w:val="3"/>
        <w:numPr>
          <w:ilvl w:val="1"/>
          <w:numId w:val="5"/>
        </w:numPr>
        <w:spacing w:before="0" w:beforeLines="0" w:after="0" w:afterLines="0" w:line="360" w:lineRule="auto"/>
        <w:rPr>
          <w:rFonts w:ascii="宋体" w:hAnsi="宋体" w:cs="宋体"/>
          <w:color w:val="auto"/>
          <w:szCs w:val="21"/>
          <w:highlight w:val="none"/>
        </w:rPr>
      </w:pPr>
      <w:bookmarkStart w:id="355" w:name="_Toc214972586"/>
      <w:bookmarkEnd w:id="355"/>
      <w:bookmarkStart w:id="356" w:name="_Toc214972590"/>
      <w:bookmarkEnd w:id="356"/>
      <w:bookmarkStart w:id="357" w:name="_Toc214972588"/>
      <w:bookmarkEnd w:id="357"/>
      <w:bookmarkStart w:id="358" w:name="_Toc214972589"/>
      <w:bookmarkEnd w:id="358"/>
      <w:bookmarkStart w:id="359" w:name="_Toc214972587"/>
      <w:bookmarkEnd w:id="359"/>
      <w:bookmarkStart w:id="360" w:name="_Toc214972585"/>
      <w:bookmarkEnd w:id="360"/>
      <w:bookmarkStart w:id="361" w:name="_Toc214972591"/>
      <w:bookmarkEnd w:id="361"/>
      <w:bookmarkStart w:id="362" w:name="_Toc32511"/>
      <w:bookmarkStart w:id="363" w:name="_Toc9896"/>
      <w:bookmarkStart w:id="364" w:name="_Toc20596"/>
      <w:bookmarkStart w:id="365" w:name="_Toc23887"/>
      <w:bookmarkStart w:id="366" w:name="_Toc6088"/>
      <w:bookmarkStart w:id="367" w:name="_Toc214972592"/>
      <w:bookmarkStart w:id="368" w:name="_Toc25219"/>
      <w:bookmarkStart w:id="369" w:name="_Toc20333"/>
      <w:bookmarkStart w:id="370" w:name="_Toc23989"/>
      <w:bookmarkStart w:id="371" w:name="_Toc20447"/>
      <w:bookmarkStart w:id="372" w:name="_Toc28683"/>
      <w:bookmarkStart w:id="373" w:name="_Toc7779"/>
      <w:bookmarkStart w:id="374" w:name="_Toc18949"/>
      <w:bookmarkStart w:id="375" w:name="_Toc24858"/>
      <w:bookmarkStart w:id="376" w:name="_Toc26307"/>
      <w:bookmarkStart w:id="377" w:name="_Toc8149"/>
      <w:bookmarkStart w:id="378" w:name="_Toc12058"/>
      <w:bookmarkStart w:id="379" w:name="_Toc5092"/>
      <w:bookmarkStart w:id="380" w:name="_Toc23401"/>
      <w:bookmarkStart w:id="381" w:name="_Toc31253"/>
      <w:bookmarkStart w:id="382" w:name="_Toc11115"/>
      <w:bookmarkStart w:id="383" w:name="_Toc14499"/>
      <w:bookmarkStart w:id="384" w:name="_Toc21515"/>
      <w:bookmarkStart w:id="385" w:name="_Toc32166"/>
      <w:bookmarkStart w:id="386" w:name="_Toc3146"/>
      <w:bookmarkStart w:id="387" w:name="_Toc176784326"/>
      <w:bookmarkStart w:id="388" w:name="_Toc655979313"/>
      <w:bookmarkStart w:id="389" w:name="_Toc18710"/>
      <w:bookmarkStart w:id="390" w:name="_Toc13713"/>
      <w:bookmarkStart w:id="391" w:name="_Toc11749"/>
      <w:bookmarkStart w:id="392" w:name="_Toc2811"/>
      <w:bookmarkStart w:id="393" w:name="_Toc11390"/>
      <w:bookmarkStart w:id="394" w:name="_Toc12676"/>
      <w:bookmarkStart w:id="395" w:name="_Toc26176"/>
      <w:bookmarkStart w:id="396" w:name="_Toc20078"/>
      <w:bookmarkStart w:id="397" w:name="_Toc9730"/>
      <w:bookmarkStart w:id="398" w:name="_Toc12550"/>
      <w:bookmarkStart w:id="399" w:name="_Toc16322"/>
      <w:bookmarkStart w:id="400" w:name="_Toc6604"/>
      <w:bookmarkStart w:id="401" w:name="_Toc10610"/>
      <w:bookmarkStart w:id="402" w:name="_Toc30170"/>
      <w:bookmarkStart w:id="403" w:name="_Toc74161974"/>
      <w:bookmarkStart w:id="404" w:name="_Toc24702"/>
      <w:bookmarkStart w:id="405" w:name="_Toc10391"/>
      <w:bookmarkStart w:id="406" w:name="_Toc1396"/>
      <w:bookmarkStart w:id="407" w:name="_Toc15922"/>
      <w:bookmarkStart w:id="408" w:name="_Toc31850"/>
      <w:bookmarkStart w:id="409" w:name="_Toc30596"/>
      <w:bookmarkStart w:id="410" w:name="_Toc20322"/>
      <w:bookmarkStart w:id="411" w:name="_Toc16373"/>
      <w:bookmarkStart w:id="412" w:name="_Toc31915"/>
      <w:bookmarkStart w:id="413" w:name="_Toc13984"/>
      <w:bookmarkStart w:id="414" w:name="_Toc971521097"/>
      <w:r>
        <w:rPr>
          <w:rFonts w:hint="eastAsia" w:ascii="宋体" w:hAnsi="宋体" w:cs="宋体"/>
          <w:color w:val="auto"/>
          <w:szCs w:val="21"/>
          <w:highlight w:val="none"/>
        </w:rPr>
        <w:t>非功能性要求</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性能要求</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结构化数据库支持最大并发数大于500，满足供能站至少10年运行数据的存储。</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时序数据库支持不低于2万测点的秒级数据存储及处理，满足供能站至少10年运行数据存储，查询单个测点1年数据响应时间不高于2秒。</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资源可靠性：服务器CPU占用率&lt;=75%，内存占用率&lt;=75%，网络占用率&lt;=50%，因系统资源不足导致性能不满足要求的情况，投标人应及时优化系统资源，必要时和招标人协商解决。</w:t>
      </w:r>
    </w:p>
    <w:p>
      <w:pPr>
        <w:pStyle w:val="6"/>
        <w:numPr>
          <w:ilvl w:val="3"/>
          <w:numId w:val="5"/>
        </w:numPr>
        <w:spacing w:before="0" w:beforeLines="0" w:after="0" w:afterLines="0" w:line="360" w:lineRule="auto"/>
        <w:ind w:left="862" w:hanging="862"/>
        <w:rPr>
          <w:rFonts w:ascii="宋体" w:hAnsi="宋体" w:cs="宋体"/>
          <w:color w:val="auto"/>
          <w:szCs w:val="21"/>
          <w:highlight w:val="none"/>
        </w:rPr>
      </w:pPr>
      <w:r>
        <w:rPr>
          <w:rFonts w:hint="eastAsia" w:ascii="宋体" w:hAnsi="宋体" w:cs="宋体"/>
          <w:color w:val="auto"/>
          <w:szCs w:val="21"/>
          <w:highlight w:val="none"/>
        </w:rPr>
        <w:t>总体性能要求</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8"/>
        <w:gridCol w:w="2588"/>
        <w:gridCol w:w="39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指标项</w:t>
            </w:r>
          </w:p>
        </w:tc>
        <w:tc>
          <w:tcPr>
            <w:tcW w:w="1518"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目标值</w:t>
            </w:r>
          </w:p>
        </w:tc>
        <w:tc>
          <w:tcPr>
            <w:tcW w:w="2303"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系统可用性</w:t>
            </w:r>
          </w:p>
        </w:tc>
        <w:tc>
          <w:tcPr>
            <w:tcW w:w="151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&gt; 99.99%</w:t>
            </w:r>
          </w:p>
        </w:tc>
        <w:tc>
          <w:tcPr>
            <w:tcW w:w="230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年度计划外停机时间不超过约1小时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交易处理能力 (TPS)</w:t>
            </w:r>
          </w:p>
        </w:tc>
        <w:tc>
          <w:tcPr>
            <w:tcW w:w="151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&gt; 10,000</w:t>
            </w:r>
          </w:p>
        </w:tc>
        <w:tc>
          <w:tcPr>
            <w:tcW w:w="230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以核心交易（如加油、支付）为基准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系统并发用户数</w:t>
            </w:r>
          </w:p>
        </w:tc>
        <w:tc>
          <w:tcPr>
            <w:tcW w:w="151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&gt; 2,000 人</w:t>
            </w:r>
          </w:p>
        </w:tc>
        <w:tc>
          <w:tcPr>
            <w:tcW w:w="230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同时在线进行各类操作的用户总数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支持站点数</w:t>
            </w:r>
          </w:p>
        </w:tc>
        <w:tc>
          <w:tcPr>
            <w:tcW w:w="151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&gt; 1,000 个</w:t>
            </w:r>
          </w:p>
        </w:tc>
        <w:tc>
          <w:tcPr>
            <w:tcW w:w="2303" w:type="pct"/>
            <w:vAlign w:val="center"/>
          </w:tcPr>
          <w:p>
            <w:pPr>
              <w:spacing w:after="62" w:line="240" w:lineRule="auto"/>
              <w:jc w:val="left"/>
              <w:rPr>
                <w:rFonts w:ascii="宋体" w:hAnsi="宋体" w:cs="宋体"/>
                <w:color w:val="auto"/>
                <w:kern w:val="0"/>
                <w:szCs w:val="21"/>
                <w:highlight w:val="none"/>
              </w:rPr>
            </w:pPr>
            <w:r>
              <w:rPr>
                <w:rFonts w:hint="eastAsia" w:ascii="宋体" w:hAnsi="宋体" w:cs="宋体"/>
                <w:color w:val="auto"/>
                <w:kern w:val="0"/>
                <w:szCs w:val="21"/>
                <w:highlight w:val="non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7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支持会员数</w:t>
            </w:r>
          </w:p>
        </w:tc>
        <w:tc>
          <w:tcPr>
            <w:tcW w:w="151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&gt; 1,000 万</w:t>
            </w:r>
          </w:p>
        </w:tc>
        <w:tc>
          <w:tcPr>
            <w:tcW w:w="2303" w:type="pct"/>
          </w:tcPr>
          <w:p>
            <w:pPr>
              <w:spacing w:after="62" w:line="240" w:lineRule="auto"/>
              <w:rPr>
                <w:rFonts w:ascii="宋体" w:hAnsi="宋体" w:cs="宋体"/>
                <w:color w:val="auto"/>
                <w:kern w:val="0"/>
                <w:szCs w:val="21"/>
                <w:highlight w:val="none"/>
              </w:rPr>
            </w:pPr>
            <w:r>
              <w:rPr>
                <w:rFonts w:hint="eastAsia" w:ascii="宋体" w:hAnsi="宋体" w:cs="宋体"/>
                <w:color w:val="auto"/>
                <w:kern w:val="0"/>
                <w:szCs w:val="21"/>
                <w:highlight w:val="none"/>
              </w:rPr>
              <w:t>-</w:t>
            </w:r>
          </w:p>
        </w:tc>
      </w:tr>
    </w:tbl>
    <w:p>
      <w:pPr>
        <w:pStyle w:val="6"/>
        <w:numPr>
          <w:ilvl w:val="3"/>
          <w:numId w:val="5"/>
        </w:numPr>
        <w:spacing w:before="156" w:after="0" w:afterLines="0" w:line="360" w:lineRule="auto"/>
        <w:ind w:left="862" w:hanging="862"/>
        <w:rPr>
          <w:rFonts w:ascii="宋体" w:hAnsi="宋体" w:cs="宋体"/>
          <w:color w:val="auto"/>
          <w:szCs w:val="21"/>
          <w:highlight w:val="none"/>
        </w:rPr>
      </w:pPr>
      <w:r>
        <w:rPr>
          <w:rFonts w:hint="eastAsia" w:ascii="宋体" w:hAnsi="宋体" w:cs="宋体"/>
          <w:color w:val="auto"/>
          <w:szCs w:val="21"/>
          <w:highlight w:val="none"/>
        </w:rPr>
        <w:t>系统响应要求</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2672"/>
        <w:gridCol w:w="1892"/>
        <w:gridCol w:w="18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业务类型</w:t>
            </w:r>
          </w:p>
        </w:tc>
        <w:tc>
          <w:tcPr>
            <w:tcW w:w="1568"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描述</w:t>
            </w:r>
          </w:p>
        </w:tc>
        <w:tc>
          <w:tcPr>
            <w:tcW w:w="1110"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平均响应时间参考值 (秒)</w:t>
            </w:r>
          </w:p>
        </w:tc>
        <w:tc>
          <w:tcPr>
            <w:tcW w:w="1073" w:type="pct"/>
            <w:shd w:val="clear" w:color="auto" w:fill="D0D0D0" w:themeFill="background2" w:themeFillShade="E5"/>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高峰期响应时间参考值 (秒)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交互类业务​</w:t>
            </w:r>
          </w:p>
        </w:tc>
        <w:tc>
          <w:tcPr>
            <w:tcW w:w="156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涉及数据增、删、改的操作，如支付、核销、数据提交。</w:t>
            </w:r>
          </w:p>
        </w:tc>
        <w:tc>
          <w:tcPr>
            <w:tcW w:w="1110"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0.5 - 2</w:t>
            </w:r>
          </w:p>
        </w:tc>
        <w:tc>
          <w:tcPr>
            <w:tcW w:w="107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1 - 3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49"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查询类业务​</w:t>
            </w:r>
          </w:p>
        </w:tc>
        <w:tc>
          <w:tcPr>
            <w:tcW w:w="156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涉及数据查询的操作，如商品查询、交易记录查询。</w:t>
            </w:r>
          </w:p>
        </w:tc>
        <w:tc>
          <w:tcPr>
            <w:tcW w:w="1110"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1 - 3</w:t>
            </w:r>
          </w:p>
        </w:tc>
        <w:tc>
          <w:tcPr>
            <w:tcW w:w="107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3 - 5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批处理与大数据量业务​</w:t>
            </w:r>
          </w:p>
        </w:tc>
        <w:tc>
          <w:tcPr>
            <w:tcW w:w="1568"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数据导入导出、BI分析、统计报表生成。</w:t>
            </w:r>
          </w:p>
        </w:tc>
        <w:tc>
          <w:tcPr>
            <w:tcW w:w="1110"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3 - 15</w:t>
            </w:r>
          </w:p>
        </w:tc>
        <w:tc>
          <w:tcPr>
            <w:tcW w:w="1073" w:type="pct"/>
            <w:vAlign w:val="center"/>
          </w:tcPr>
          <w:p>
            <w:pPr>
              <w:widowControl/>
              <w:spacing w:after="62" w:line="240" w:lineRule="auto"/>
              <w:jc w:val="left"/>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15 - 30</w:t>
            </w:r>
          </w:p>
        </w:tc>
      </w:tr>
    </w:tbl>
    <w:p>
      <w:pPr>
        <w:pStyle w:val="6"/>
        <w:numPr>
          <w:ilvl w:val="3"/>
          <w:numId w:val="5"/>
        </w:numPr>
        <w:spacing w:before="156" w:after="0" w:afterLines="0" w:line="360" w:lineRule="auto"/>
        <w:ind w:left="862" w:hanging="862"/>
        <w:rPr>
          <w:rFonts w:ascii="宋体" w:hAnsi="宋体" w:cs="宋体"/>
          <w:color w:val="auto"/>
          <w:szCs w:val="21"/>
          <w:highlight w:val="none"/>
        </w:rPr>
      </w:pPr>
      <w:r>
        <w:rPr>
          <w:rFonts w:hint="eastAsia" w:ascii="宋体" w:hAnsi="宋体" w:cs="宋体"/>
          <w:color w:val="auto"/>
          <w:szCs w:val="21"/>
          <w:highlight w:val="none"/>
        </w:rPr>
        <w:t>核心业务功能性能要求</w:t>
      </w:r>
    </w:p>
    <w:tbl>
      <w:tblPr>
        <w:tblStyle w:val="3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9"/>
        <w:gridCol w:w="2224"/>
        <w:gridCol w:w="4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shd w:val="clear" w:color="auto" w:fill="D0D0D0" w:themeFill="background2" w:themeFillShade="E5"/>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业务类型</w:t>
            </w:r>
          </w:p>
        </w:tc>
        <w:tc>
          <w:tcPr>
            <w:tcW w:w="1305" w:type="pct"/>
            <w:shd w:val="clear" w:color="auto" w:fill="D0D0D0" w:themeFill="background2" w:themeFillShade="E5"/>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描述</w:t>
            </w:r>
          </w:p>
        </w:tc>
        <w:tc>
          <w:tcPr>
            <w:tcW w:w="2445" w:type="pct"/>
            <w:shd w:val="clear" w:color="auto" w:fill="D0D0D0" w:themeFill="background2" w:themeFillShade="E5"/>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性能要求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支付业务</w:t>
            </w:r>
          </w:p>
        </w:tc>
        <w:tc>
          <w:tcPr>
            <w:tcW w:w="130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处理主流支付方式的请求、与第三方网关交互、完成资金清算。</w:t>
            </w:r>
          </w:p>
        </w:tc>
        <w:tc>
          <w:tcPr>
            <w:tcW w:w="244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1.支持每秒处理 ≥ 800笔支付请求</w:t>
            </w:r>
          </w:p>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2.支付请求处理（含第三方交互）：≤ 2 秒</w:t>
            </w:r>
          </w:p>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3.支付结果回调与确认：≤ 1 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会员业务</w:t>
            </w:r>
          </w:p>
        </w:tc>
        <w:tc>
          <w:tcPr>
            <w:tcW w:w="130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处理会员身份认证、账户余额查询、会员余额消费、积分变动、优惠券发放与核销等业务。</w:t>
            </w:r>
          </w:p>
        </w:tc>
        <w:tc>
          <w:tcPr>
            <w:tcW w:w="2445" w:type="pct"/>
            <w:vAlign w:val="center"/>
          </w:tcPr>
          <w:p>
            <w:pPr>
              <w:widowControl/>
              <w:spacing w:after="62" w:line="240" w:lineRule="auto"/>
              <w:textAlignment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1.支持每秒处理 ≥ 1000笔会员业务请求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加油机控制</w:t>
            </w:r>
          </w:p>
        </w:tc>
        <w:tc>
          <w:tcPr>
            <w:tcW w:w="130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支持IFSF协议集成；支持自定义协议集成；支持与油机管理系统集成。</w:t>
            </w:r>
          </w:p>
        </w:tc>
        <w:tc>
          <w:tcPr>
            <w:tcW w:w="244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 指令下发（如授权、预置、停止）至加油机响应：≤ 1 秒</w:t>
            </w:r>
          </w:p>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2. 加油机状态变化（如挂枪）至系统接收：≤ 1 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班日结业务</w:t>
            </w:r>
          </w:p>
        </w:tc>
        <w:tc>
          <w:tcPr>
            <w:tcW w:w="130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交接班时，统计本班次油品与非油品销售、库存变动、收款金额等数据，核对账目与实物，生成班次报表，确保账实一致后交接。</w:t>
            </w:r>
          </w:p>
        </w:tc>
        <w:tc>
          <w:tcPr>
            <w:tcW w:w="244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1.班结操作（单站）：≤ 10秒</w:t>
            </w:r>
          </w:p>
          <w:p>
            <w:pPr>
              <w:widowControl/>
              <w:spacing w:after="62" w:line="240" w:lineRule="auto"/>
              <w:textAlignment w:val="center"/>
              <w:rPr>
                <w:rFonts w:hint="eastAsia" w:ascii="宋体" w:hAnsi="宋体" w:cs="宋体"/>
                <w:color w:val="auto"/>
                <w:kern w:val="0"/>
                <w:szCs w:val="21"/>
                <w:highlight w:val="none"/>
              </w:rPr>
            </w:pPr>
            <w:r>
              <w:rPr>
                <w:rFonts w:hint="eastAsia" w:ascii="宋体" w:hAnsi="宋体" w:cs="宋体"/>
                <w:color w:val="auto"/>
                <w:kern w:val="0"/>
                <w:szCs w:val="21"/>
                <w:highlight w:val="none"/>
              </w:rPr>
              <w:t>2.日结操作（单站）：≤ 30秒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49"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油品调价业务</w:t>
            </w:r>
          </w:p>
        </w:tc>
        <w:tc>
          <w:tcPr>
            <w:tcW w:w="130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下发调价指令至各站点油机完成自动变价；反馈变价消息至指定管理人员。</w:t>
            </w:r>
          </w:p>
        </w:tc>
        <w:tc>
          <w:tcPr>
            <w:tcW w:w="2445" w:type="pct"/>
            <w:vAlign w:val="center"/>
          </w:tcPr>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1.调价指令下发至所有站点（300个）：≤ 5分钟</w:t>
            </w:r>
          </w:p>
          <w:p>
            <w:pPr>
              <w:widowControl/>
              <w:spacing w:after="62" w:line="240" w:lineRule="auto"/>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2.单站点接收并启用新价格：≤ 10秒</w:t>
            </w:r>
          </w:p>
        </w:tc>
      </w:tr>
    </w:tbl>
    <w:p>
      <w:pPr>
        <w:pStyle w:val="6"/>
        <w:numPr>
          <w:ilvl w:val="3"/>
          <w:numId w:val="5"/>
        </w:numPr>
        <w:spacing w:before="156" w:after="0" w:afterLines="0" w:line="360" w:lineRule="auto"/>
        <w:ind w:left="862" w:hanging="862"/>
        <w:rPr>
          <w:rFonts w:ascii="宋体" w:hAnsi="宋体" w:cs="宋体"/>
          <w:color w:val="auto"/>
          <w:szCs w:val="21"/>
          <w:highlight w:val="none"/>
        </w:rPr>
      </w:pPr>
      <w:r>
        <w:rPr>
          <w:rFonts w:hint="eastAsia" w:ascii="宋体" w:hAnsi="宋体" w:cs="宋体"/>
          <w:color w:val="auto"/>
          <w:szCs w:val="21"/>
          <w:highlight w:val="none"/>
        </w:rPr>
        <w:t>其他性能要求</w:t>
      </w:r>
    </w:p>
    <w:tbl>
      <w:tblPr>
        <w:tblStyle w:val="35"/>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shd w:val="clear" w:color="auto" w:fill="D0D0D0" w:themeFill="background2" w:themeFillShade="E5"/>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指标项</w:t>
            </w:r>
          </w:p>
        </w:tc>
        <w:tc>
          <w:tcPr>
            <w:tcW w:w="2500" w:type="pct"/>
            <w:shd w:val="clear" w:color="auto" w:fill="D0D0D0" w:themeFill="background2" w:themeFillShade="E5"/>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目标值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CPU占用率</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内存占用率</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网络带宽占用率</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故障时间</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1小时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普通故障恢复</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30分钟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重大灾难恢复</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4小时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数据存储时间</w:t>
            </w:r>
          </w:p>
        </w:tc>
        <w:tc>
          <w:tcPr>
            <w:tcW w:w="2500" w:type="pct"/>
            <w:vAlign w:val="center"/>
          </w:tcPr>
          <w:p>
            <w:pPr>
              <w:widowControl/>
              <w:spacing w:after="62" w:line="240" w:lineRule="auto"/>
              <w:jc w:val="center"/>
              <w:textAlignment w:val="center"/>
              <w:rPr>
                <w:rFonts w:ascii="宋体" w:hAnsi="宋体" w:cs="宋体"/>
                <w:color w:val="auto"/>
                <w:kern w:val="0"/>
                <w:szCs w:val="21"/>
                <w:highlight w:val="none"/>
              </w:rPr>
            </w:pPr>
            <w:r>
              <w:rPr>
                <w:rFonts w:hint="eastAsia" w:ascii="宋体" w:hAnsi="宋体" w:cs="宋体"/>
                <w:color w:val="auto"/>
                <w:kern w:val="0"/>
                <w:szCs w:val="21"/>
                <w:highlight w:val="none"/>
              </w:rPr>
              <w:t>≥ 10年</w:t>
            </w:r>
          </w:p>
        </w:tc>
      </w:tr>
    </w:tbl>
    <w:p>
      <w:pPr>
        <w:spacing w:after="62"/>
        <w:rPr>
          <w:color w:val="auto"/>
          <w:highlight w:val="none"/>
        </w:rPr>
      </w:pPr>
    </w:p>
    <w:p>
      <w:pPr>
        <w:pStyle w:val="5"/>
        <w:numPr>
          <w:ilvl w:val="2"/>
          <w:numId w:val="5"/>
        </w:numPr>
        <w:spacing w:before="156" w:after="0" w:afterLines="0" w:line="360" w:lineRule="auto"/>
        <w:rPr>
          <w:rFonts w:ascii="宋体" w:hAnsi="宋体" w:cs="宋体"/>
          <w:color w:val="auto"/>
          <w:szCs w:val="21"/>
          <w:highlight w:val="none"/>
        </w:rPr>
      </w:pPr>
      <w:r>
        <w:rPr>
          <w:rFonts w:hint="eastAsia" w:ascii="宋体" w:hAnsi="宋体" w:cs="宋体"/>
          <w:color w:val="auto"/>
          <w:szCs w:val="21"/>
          <w:highlight w:val="none"/>
        </w:rPr>
        <w:t>安全性需求</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系统安全性需严格符合等保2.0三级要求，数据安全性严格遵循《</w:t>
      </w:r>
      <w:r>
        <w:rPr>
          <w:rFonts w:hint="eastAsia" w:ascii="宋体" w:hAnsi="宋体" w:cs="宋体"/>
          <w:color w:val="auto"/>
          <w:szCs w:val="21"/>
          <w:highlight w:val="none"/>
          <w:lang w:eastAsia="zh-CN"/>
        </w:rPr>
        <w:t>中华人民共和国网络安全法</w:t>
      </w:r>
      <w:r>
        <w:rPr>
          <w:rFonts w:hint="eastAsia" w:ascii="宋体" w:hAnsi="宋体" w:cs="宋体"/>
          <w:color w:val="auto"/>
          <w:szCs w:val="21"/>
          <w:highlight w:val="none"/>
        </w:rPr>
        <w:t>》《</w:t>
      </w:r>
      <w:r>
        <w:rPr>
          <w:rFonts w:hint="eastAsia" w:ascii="宋体" w:hAnsi="宋体" w:cs="宋体"/>
          <w:color w:val="auto"/>
          <w:szCs w:val="21"/>
          <w:highlight w:val="none"/>
          <w:lang w:eastAsia="zh-CN"/>
        </w:rPr>
        <w:t>中华人民共和国数据安全法</w:t>
      </w:r>
      <w:r>
        <w:rPr>
          <w:rFonts w:hint="eastAsia" w:ascii="宋体" w:hAnsi="宋体" w:cs="宋体"/>
          <w:color w:val="auto"/>
          <w:szCs w:val="21"/>
          <w:highlight w:val="none"/>
        </w:rPr>
        <w:t>》《</w:t>
      </w:r>
      <w:r>
        <w:rPr>
          <w:rFonts w:hint="eastAsia" w:ascii="宋体" w:hAnsi="宋体" w:cs="宋体"/>
          <w:color w:val="auto"/>
          <w:szCs w:val="21"/>
          <w:highlight w:val="none"/>
          <w:lang w:eastAsia="zh-CN"/>
        </w:rPr>
        <w:t>中华人民共和国个人信息保护法</w:t>
      </w:r>
      <w:r>
        <w:rPr>
          <w:rFonts w:hint="eastAsia" w:ascii="宋体" w:hAnsi="宋体" w:cs="宋体"/>
          <w:color w:val="auto"/>
          <w:szCs w:val="21"/>
          <w:highlight w:val="none"/>
        </w:rPr>
        <w:t>》等国家最新法律法规，</w:t>
      </w:r>
      <w:r>
        <w:rPr>
          <w:rFonts w:hint="eastAsia"/>
          <w:color w:val="auto"/>
          <w:highlight w:val="none"/>
        </w:rPr>
        <w:t>统一考虑系统安全保障体系的总体安全策略、安全技术框架、安全管理策略、总体建设规划和详细设计方案。包括不限于以下方面：</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身份鉴别</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应提供专用的登录控制模块对登录用户进行身份标识和鉴别；</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应对同一用户的关键操作采用两种或两种以上组合的鉴别技术；</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应提供用户身份唯一性和鉴别信息复杂度检查功能，保证应用系统中不存在重复用户身份标识，身份鉴别信息不易被冒用；</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具备用户密码复杂度设置功能（可设置</w:t>
      </w:r>
      <w:r>
        <w:rPr>
          <w:rFonts w:hint="eastAsia" w:ascii="宋体" w:hAnsi="宋体"/>
          <w:color w:val="auto"/>
          <w:kern w:val="0"/>
          <w:sz w:val="21"/>
          <w:szCs w:val="21"/>
          <w:highlight w:val="none"/>
          <w:lang w:eastAsia="zh-CN"/>
        </w:rPr>
        <w:t>至少8位</w:t>
      </w:r>
      <w:r>
        <w:rPr>
          <w:rFonts w:hint="eastAsia" w:ascii="宋体" w:hAnsi="宋体"/>
          <w:color w:val="auto"/>
          <w:kern w:val="0"/>
          <w:sz w:val="21"/>
          <w:szCs w:val="21"/>
          <w:highlight w:val="none"/>
        </w:rPr>
        <w:t>、两种以上密码复杂度要求的密码策略），具备设置用户定期变更密码策略功能；</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对于系统用户，用户预设的密码，系统应强制用户首次登录时修改初始密码，修改用户密码时，不允许新设定的密码与旧密码相同；</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应提供登录失败处理功能，可采取结束会话、限制非法登录次数和自动退出等措施，根据安全策略配置相关参数。</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访问控制</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应提供访问控制功能，依据安全策略控制用户对文件、数据库表等客体的访问；</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应授权不同账户为完成各自承担任务所需的最小权限，并在它们之间形成相互制约的关系；</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提供系统关键账户与权限的关系表；</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访问控制的覆盖范围应包括与资源访问相关的主体、客体及它们之间的操作；</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应由授权主体配置访问控制策略，并严格限制默认账户的访问权限；</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应具有对重要信息资源设置敏感标记的功能；</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应依据安全策略严格控制用户对有敏感标记重要信息资源的操作。</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安全审计</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w:t>
      </w:r>
      <w:r>
        <w:rPr>
          <w:rFonts w:hint="eastAsia" w:ascii="宋体" w:hAnsi="宋体"/>
          <w:color w:val="auto"/>
          <w:kern w:val="0"/>
          <w:sz w:val="21"/>
          <w:szCs w:val="21"/>
          <w:highlight w:val="none"/>
          <w:lang w:eastAsia="zh-CN"/>
        </w:rPr>
        <w:t>覆盖</w:t>
      </w:r>
      <w:r>
        <w:rPr>
          <w:rFonts w:hint="eastAsia" w:ascii="宋体" w:hAnsi="宋体"/>
          <w:color w:val="auto"/>
          <w:kern w:val="0"/>
          <w:sz w:val="21"/>
          <w:szCs w:val="21"/>
          <w:highlight w:val="none"/>
        </w:rPr>
        <w:t>每个用户的安全审计功能，对应用系统重要安全事件进行审计；</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应保证无法单独中断审计进程，无法删除、修改或覆盖审计记录；</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审计记录的内容至少应包括事件的日期、时间、发起者信息、类型、描述和结果等；</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应提供对审计记录数据进行统计、查询、分析及生成审计报表的功能。</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通信完整性</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应采用密码技术保证通信过程中数据的完整性。</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通信保密性</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在通信双方建立连接之前，应用系统应利用密码技术进行会话初始化验证；</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应对通信过程中的整个报文或会话过程进行加密。</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软件容错</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应提供数据有效性检验功能，保证通过人机接口输入或通过通信接口输入的数据格式或长度符合系统设定要求；</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应提供自动保护功能，当故障发生时自动保护当前所有状态，保证系统能够进行恢复；</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应能够有效屏蔽系统技术错误信息，不将系统产生的错误信息直接反馈给客户。</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资源控制</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当应用系统的通信双方中的一方在一段时间内未作任何响应，另一方应能够自动结束会话；</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应能够对系统的最大并发会话连接数进行限制；</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应能够对单个账户的多重并发会话进行限制；</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应能够对一个时间段内可能的并发会话连接数进行限制；</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应能够对一个访问账户或一个请求进程占用的资源分配最大限额和最小限额；</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应能够对系统服务水平降低到预先规定的</w:t>
      </w:r>
      <w:r>
        <w:rPr>
          <w:rFonts w:hint="eastAsia" w:ascii="宋体" w:hAnsi="宋体"/>
          <w:color w:val="auto"/>
          <w:kern w:val="0"/>
          <w:sz w:val="21"/>
          <w:szCs w:val="21"/>
          <w:highlight w:val="none"/>
          <w:lang w:eastAsia="zh-CN"/>
        </w:rPr>
        <w:t>最低</w:t>
      </w:r>
      <w:r>
        <w:rPr>
          <w:rFonts w:hint="eastAsia" w:ascii="宋体" w:hAnsi="宋体"/>
          <w:color w:val="auto"/>
          <w:kern w:val="0"/>
          <w:sz w:val="21"/>
          <w:szCs w:val="21"/>
          <w:highlight w:val="none"/>
        </w:rPr>
        <w:t>值进行检测和报警；</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应提供服务优先级设定功能，并在安装后根据安全策略设定访问账户或请求进程的优先级，根据优先级分配系统资源。</w:t>
      </w:r>
    </w:p>
    <w:p>
      <w:pPr>
        <w:pStyle w:val="118"/>
        <w:numPr>
          <w:ilvl w:val="0"/>
          <w:numId w:val="15"/>
        </w:numPr>
        <w:adjustRightInd w:val="0"/>
        <w:snapToGrid w:val="0"/>
        <w:spacing w:before="0" w:after="0"/>
        <w:ind w:left="0" w:firstLine="420"/>
        <w:rPr>
          <w:rFonts w:ascii="宋体" w:hAnsi="宋体"/>
          <w:color w:val="auto"/>
          <w:kern w:val="0"/>
          <w:sz w:val="21"/>
          <w:szCs w:val="21"/>
          <w:highlight w:val="none"/>
        </w:rPr>
      </w:pPr>
      <w:r>
        <w:rPr>
          <w:rFonts w:hint="eastAsia" w:ascii="宋体" w:hAnsi="宋体"/>
          <w:color w:val="auto"/>
          <w:kern w:val="0"/>
          <w:sz w:val="21"/>
          <w:szCs w:val="21"/>
          <w:highlight w:val="none"/>
        </w:rPr>
        <w:t>数据安全</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s="宋体"/>
          <w:color w:val="auto"/>
          <w:szCs w:val="21"/>
          <w:highlight w:val="none"/>
          <w:lang w:val="en-US" w:eastAsia="zh-CN"/>
        </w:rPr>
        <w:t>应</w:t>
      </w:r>
      <w:r>
        <w:rPr>
          <w:rFonts w:hint="eastAsia" w:ascii="宋体" w:hAnsi="宋体" w:cs="宋体"/>
          <w:color w:val="auto"/>
          <w:szCs w:val="21"/>
          <w:highlight w:val="none"/>
        </w:rPr>
        <w:t>实现数据分类分级管控，对客户身份证等敏感隐私数据采取加密存储、脱敏展示，并利用国密算法等技术防护手段保障数据在采集、传输、存储、使用、销毁各环节的安全。</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可靠性</w:t>
      </w:r>
      <w:r>
        <w:rPr>
          <w:rFonts w:hint="eastAsia" w:ascii="宋体" w:hAnsi="宋体" w:cs="宋体"/>
          <w:color w:val="auto"/>
          <w:szCs w:val="21"/>
          <w:highlight w:val="none"/>
        </w:rPr>
        <w:t>需求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在设计时需充分考虑输入环节的引导与校验机制，通过智能提示功能辅助用户正确输入，同时建立完善的数据检查机制，对输入数据进行有效性验证，确保数据格式、范围等符合规范要求，有效预防数据异常情况的发生。在系统运行过程中，应当具备完善的异常处理能力，能够妥善应对各类突发状况，包括但不限于：用户误操作导致的异常、非法数据输入引发的错误、硬件设备突发故障等问题。系统需要采取合理的容错措施，通过错误捕获、异常隔离、自动恢复等技术手段，确保系统能够正确识别异常并采取恰当的处理策略，避免异常情况影响系统整体运行。</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系统可用性方面，必须保证系统能够实现7×24小时不间断稳定运行，全年365天持续提供服务。系统架构设计应采用高可用方案，通过冗余部署、负载均衡、故障自动转移等技术手段，确保系统具备足够的容灾能力。全年累计非计划性停机时间需严格控制在1小时以内，对于关键业务系统，建议通过建立完善的监控预警机制和应急预案，进一步提升系统的可靠性和稳定性。同时，系统应建立完善的日志记录机制，便于故障排查和性能优化，确保系统长期稳定运行。</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color w:val="auto"/>
          <w:highlight w:val="none"/>
        </w:rPr>
        <w:t>容错性</w:t>
      </w:r>
      <w:r>
        <w:rPr>
          <w:rFonts w:hint="eastAsia" w:ascii="宋体" w:hAnsi="宋体" w:cs="宋体"/>
          <w:color w:val="auto"/>
          <w:szCs w:val="21"/>
          <w:highlight w:val="none"/>
        </w:rPr>
        <w:t>需求</w:t>
      </w:r>
    </w:p>
    <w:p>
      <w:pPr>
        <w:pStyle w:val="46"/>
        <w:adjustRightInd w:val="0"/>
        <w:snapToGrid w:val="0"/>
        <w:spacing w:line="360" w:lineRule="auto"/>
        <w:ind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系统提供有效的故障诊断及维护工具，处理程序运行时出现的任何意外或异常情况，具备系统错误记录和错误预警能力；具备较高的容错能力，在出错时具备自动恢复功能。对用户在程序中的非法输入进行控制和提示，以防程序崩溃。当错误发生时，按照如下标准确认错误的严重程度处理区分。</w:t>
      </w:r>
    </w:p>
    <w:p>
      <w:pPr>
        <w:pStyle w:val="46"/>
        <w:numPr>
          <w:ilvl w:val="0"/>
          <w:numId w:val="16"/>
        </w:numPr>
        <w:adjustRightInd w:val="0"/>
        <w:snapToGrid w:val="0"/>
        <w:spacing w:line="360" w:lineRule="auto"/>
        <w:ind w:left="0"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失败透明</w:t>
      </w:r>
    </w:p>
    <w:p>
      <w:pPr>
        <w:pStyle w:val="46"/>
        <w:adjustRightInd w:val="0"/>
        <w:snapToGrid w:val="0"/>
        <w:spacing w:line="360" w:lineRule="auto"/>
        <w:ind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代码的运行保证能成功并满足所有的约束条件，即使存在异常情况。如果出现了异常，将不会对外进一步抛出该异常。</w:t>
      </w:r>
    </w:p>
    <w:p>
      <w:pPr>
        <w:pStyle w:val="46"/>
        <w:numPr>
          <w:ilvl w:val="0"/>
          <w:numId w:val="16"/>
        </w:numPr>
        <w:adjustRightInd w:val="0"/>
        <w:snapToGrid w:val="0"/>
        <w:spacing w:line="360" w:lineRule="auto"/>
        <w:ind w:left="0"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提交或卷回</w:t>
      </w:r>
    </w:p>
    <w:p>
      <w:pPr>
        <w:pStyle w:val="46"/>
        <w:adjustRightInd w:val="0"/>
        <w:snapToGrid w:val="0"/>
        <w:spacing w:line="360" w:lineRule="auto"/>
        <w:ind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运行可以是失败，但失败的运行保证不会有负效应，因此所有涉及的数据都保持代码运行前的初始值。</w:t>
      </w:r>
    </w:p>
    <w:p>
      <w:pPr>
        <w:pStyle w:val="46"/>
        <w:numPr>
          <w:ilvl w:val="0"/>
          <w:numId w:val="16"/>
        </w:numPr>
        <w:adjustRightInd w:val="0"/>
        <w:snapToGrid w:val="0"/>
        <w:spacing w:line="360" w:lineRule="auto"/>
        <w:ind w:left="0"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基本异常安全</w:t>
      </w:r>
    </w:p>
    <w:p>
      <w:pPr>
        <w:pStyle w:val="46"/>
        <w:adjustRightInd w:val="0"/>
        <w:snapToGrid w:val="0"/>
        <w:spacing w:line="360" w:lineRule="auto"/>
        <w:ind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失败运行的已执行的操作可能引起副作用，但会保证状态不变。所有存储数据保持有效值，即使这些数据与异常发生前的值有所不同。</w:t>
      </w:r>
    </w:p>
    <w:p>
      <w:pPr>
        <w:pStyle w:val="46"/>
        <w:numPr>
          <w:ilvl w:val="0"/>
          <w:numId w:val="16"/>
        </w:numPr>
        <w:adjustRightInd w:val="0"/>
        <w:snapToGrid w:val="0"/>
        <w:spacing w:line="360" w:lineRule="auto"/>
        <w:ind w:left="0" w:firstLine="420" w:firstLineChars="200"/>
        <w:rPr>
          <w:rFonts w:ascii="宋体" w:hAnsi="宋体" w:cs="宋体"/>
          <w:color w:val="auto"/>
          <w:szCs w:val="21"/>
          <w:highlight w:val="none"/>
          <w:lang w:val="zh-CN"/>
        </w:rPr>
      </w:pPr>
      <w:r>
        <w:rPr>
          <w:rFonts w:hint="eastAsia" w:ascii="宋体" w:hAnsi="宋体" w:cs="宋体"/>
          <w:color w:val="auto"/>
          <w:szCs w:val="21"/>
          <w:highlight w:val="none"/>
          <w:lang w:val="zh-CN"/>
        </w:rPr>
        <w:t>最小异常安全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lang w:val="zh-CN"/>
        </w:rPr>
        <w:t>失败运行的已执行的操作可能在存储数据中保存了无效的值，但不会引起崩溃，资源不会泄漏。</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兼容性</w:t>
      </w:r>
      <w:r>
        <w:rPr>
          <w:rFonts w:hint="eastAsia" w:ascii="宋体" w:hAnsi="宋体" w:cs="宋体"/>
          <w:color w:val="auto"/>
          <w:szCs w:val="21"/>
          <w:highlight w:val="none"/>
        </w:rPr>
        <w:t>需求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系统PC端需支持Windows</w:t>
      </w:r>
      <w:r>
        <w:rPr>
          <w:rFonts w:ascii="宋体" w:hAnsi="宋体" w:cs="宋体"/>
          <w:color w:val="auto"/>
          <w:szCs w:val="21"/>
          <w:highlight w:val="none"/>
        </w:rPr>
        <w:t xml:space="preserve"> </w:t>
      </w:r>
      <w:r>
        <w:rPr>
          <w:rFonts w:hint="eastAsia" w:ascii="宋体" w:hAnsi="宋体" w:cs="宋体"/>
          <w:color w:val="auto"/>
          <w:szCs w:val="21"/>
          <w:highlight w:val="none"/>
        </w:rPr>
        <w:t>10及以上版本、银河麒麟、统信UOS、MacOS、鸿蒙</w:t>
      </w:r>
      <w:r>
        <w:rPr>
          <w:rFonts w:hint="eastAsia"/>
          <w:color w:val="auto"/>
          <w:highlight w:val="none"/>
        </w:rPr>
        <w:t>等主流操作系统</w:t>
      </w:r>
      <w:r>
        <w:rPr>
          <w:rFonts w:hint="eastAsia" w:ascii="宋体" w:hAnsi="宋体" w:cs="宋体"/>
          <w:color w:val="auto"/>
          <w:szCs w:val="21"/>
          <w:highlight w:val="none"/>
        </w:rPr>
        <w:t>。</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系统应具备对主流浏览器的支持能力，像Chrome、Edge、Safari这类被广泛使用的主流浏览器均在支持范围内。</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系统服务端可支持部署于当前市场上处于主流地位的服务器，其中涵盖曙光、浪潮、华为、联想等品牌的服务器。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系统服务器端的操作系统应兼容当前市场上主流的国产操作系统，例如麒麟、统信等操作系统，且不限于这些。 </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在兼容性需求方面，还需确保系统能够与各类常见的办公软件和工具实现无缝协作，例如Microsoft Office套件、WPS Office等。系统应支持多种文件格式的导入和导出功能，包括但不限于PDF、Word、Excel、PPT等，以便用户能够在不同平台和应用之间灵活切换和共享数据。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此外，系统需提供标准化的API接口，便于与招标人现有的业务系统进行深度集成。这些接口应遵循RESTful或SOAP协议，并具备良好的文档说明，方便开发人员快速理解和使用。同时，系统需支持主流的消息队列中间件，如Kafka、RabbitMQ等，以满足异步通信和高并发场景的需求。</w:t>
      </w:r>
    </w:p>
    <w:p>
      <w:pPr>
        <w:pStyle w:val="46"/>
        <w:adjustRightInd w:val="0"/>
        <w:snapToGrid w:val="0"/>
        <w:spacing w:line="360" w:lineRule="auto"/>
        <w:ind w:firstLine="420" w:firstLineChars="200"/>
        <w:rPr>
          <w:rFonts w:ascii="宋体" w:hAnsi="宋体" w:cs="宋体"/>
          <w:color w:val="auto"/>
          <w:szCs w:val="21"/>
          <w:highlight w:val="none"/>
          <w:shd w:val="clear" w:color="auto" w:fill="E6F0FF"/>
        </w:rPr>
      </w:pPr>
      <w:r>
        <w:rPr>
          <w:rFonts w:hint="eastAsia" w:ascii="宋体" w:hAnsi="宋体" w:cs="宋体"/>
          <w:color w:val="auto"/>
          <w:szCs w:val="21"/>
          <w:highlight w:val="none"/>
        </w:rPr>
        <w:t>为保证系统的长期稳定运行，投标人需承诺对新发布的操作系统版本、浏览器版本以及其他相关软件环境的变化进行及时适配和更新。在每次重大更新后，投标人应主动进行兼容性测试，并向招标人提交详细的测试报告，确保系统的功能和性能不受影响。若因兼容性问题导致系统故障或性能下降，投标人需承担相应的责任并迅速解决。</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易用性</w:t>
      </w:r>
      <w:r>
        <w:rPr>
          <w:rFonts w:hint="eastAsia" w:ascii="宋体" w:hAnsi="宋体" w:cs="宋体"/>
          <w:color w:val="auto"/>
          <w:szCs w:val="21"/>
          <w:highlight w:val="none"/>
        </w:rPr>
        <w:t>需求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内所有业务功能的界面风格与操作流程均保持高度一致；信息录入能够完全借助键盘来完成；界面设计兼具美观性、简洁性与高效性；界面各个部件的布局应当维持合理性与一致性；前端应配备一些智能化的校验功能；需提供友好的联机帮助信息，针对各种状态以及操作结果进行及时</w:t>
      </w:r>
      <w:r>
        <w:rPr>
          <w:rFonts w:hint="eastAsia" w:ascii="宋体" w:hAnsi="宋体" w:cs="宋体"/>
          <w:color w:val="auto"/>
          <w:szCs w:val="21"/>
          <w:highlight w:val="none"/>
          <w:lang w:val="en-US" w:eastAsia="zh-CN"/>
        </w:rPr>
        <w:t>的</w:t>
      </w:r>
      <w:r>
        <w:rPr>
          <w:rFonts w:hint="eastAsia" w:ascii="宋体" w:hAnsi="宋体" w:cs="宋体"/>
          <w:color w:val="auto"/>
          <w:szCs w:val="21"/>
          <w:highlight w:val="none"/>
        </w:rPr>
        <w:t xml:space="preserve">反馈与提示。 </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系统的交互设计方面，操作流程应尽量简化，减少用户的学习成本和操作步骤。系统需支持快捷键操作，方便熟练用户快速完成任务，同时为新手用户提供清晰的引导和提示信息。界面中的功能按钮、菜单选项和操作区域应具备明确的标识，避免用户因界面复杂或功能隐藏而产生困惑。此外，系统应提供灵活的个性化配置选项，允许用户根据自身习惯调整界面布局以及常用功能的显示方式，从而提升用户体验。</w:t>
      </w:r>
    </w:p>
    <w:p>
      <w:pPr>
        <w:pStyle w:val="46"/>
        <w:adjustRightInd w:val="0"/>
        <w:snapToGrid w:val="0"/>
        <w:spacing w:line="360" w:lineRule="auto"/>
        <w:ind w:firstLine="420" w:firstLineChars="200"/>
        <w:rPr>
          <w:rFonts w:ascii="宋体" w:hAnsi="宋体" w:cs="宋体"/>
          <w:color w:val="auto"/>
          <w:szCs w:val="21"/>
          <w:highlight w:val="none"/>
          <w:shd w:val="clear" w:color="auto" w:fill="E6F0FF"/>
        </w:rPr>
      </w:pPr>
      <w:r>
        <w:rPr>
          <w:rFonts w:hint="eastAsia" w:ascii="宋体" w:hAnsi="宋体" w:cs="宋体"/>
          <w:color w:val="auto"/>
          <w:szCs w:val="21"/>
          <w:highlight w:val="none"/>
        </w:rPr>
        <w:t>针对用户可能遇到的问题，系统应内置详细的帮助文档和操作指南。这些帮助文档和操作指南需采用通俗易懂的语言编写，避免使用过于专业的术语，确保不同技术水平的用户都能轻松理解。</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可用性需求</w:t>
      </w:r>
    </w:p>
    <w:p>
      <w:pPr>
        <w:pStyle w:val="46"/>
        <w:numPr>
          <w:ilvl w:val="0"/>
          <w:numId w:val="0"/>
        </w:numPr>
        <w:adjustRightInd w:val="0"/>
        <w:snapToGrid w:val="0"/>
        <w:spacing w:line="360" w:lineRule="auto"/>
        <w:ind w:leftChars="0" w:firstLine="420" w:firstLineChars="200"/>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（1）</w:t>
      </w:r>
      <w:r>
        <w:rPr>
          <w:rFonts w:hint="eastAsia" w:ascii="宋体" w:hAnsi="宋体" w:eastAsia="宋体" w:cs="宋体"/>
          <w:color w:val="auto"/>
          <w:sz w:val="21"/>
          <w:szCs w:val="21"/>
          <w:highlight w:val="none"/>
          <w:lang w:val="en-US" w:eastAsia="zh-CN"/>
        </w:rPr>
        <w:t>网络环境较差或网络连接不稳定的情况：系统应当具备完善的容错机制和错误处理能力，确保即使在网络传输质量不佳时也能够正确识别当前状态，并及时向用户反馈功能受限的具体情况。同时，系统必须提供完整的数据备份和恢复功能模块，这一功能应当包含定期自动备份和手动备份两种方式，并支持多种备份策略配置。当系统由于内部错误、外部攻击或其他不可预见的异常情况导致关键数据丢失或数据完整性遭到破坏时，系统能够通过预先设置的恢复机制，快速定位最近的可用备份点，确保业务数据能够及时、完整地恢复到最近的有效状态，最大限度地减少数据损失和业务中断时间。</w:t>
      </w:r>
    </w:p>
    <w:p>
      <w:pPr>
        <w:pStyle w:val="46"/>
        <w:adjustRightInd w:val="0"/>
        <w:snapToGrid w:val="0"/>
        <w:spacing w:line="360" w:lineRule="auto"/>
        <w:ind w:firstLine="420" w:firstLineChars="200"/>
        <w:rPr>
          <w:rFonts w:hint="default" w:ascii="宋体" w:hAnsi="宋体" w:cs="宋体"/>
          <w:color w:val="auto"/>
          <w:sz w:val="21"/>
          <w:szCs w:val="21"/>
          <w:highlight w:val="none"/>
          <w:lang w:eastAsia="zh-CN"/>
        </w:rPr>
      </w:pPr>
      <w:r>
        <w:rPr>
          <w:rFonts w:hint="eastAsia" w:ascii="宋体" w:hAnsi="宋体" w:cs="宋体"/>
          <w:color w:val="auto"/>
          <w:sz w:val="21"/>
          <w:szCs w:val="21"/>
          <w:highlight w:val="none"/>
          <w:lang w:val="en-US" w:eastAsia="zh-CN"/>
        </w:rPr>
        <w:t>（2）</w:t>
      </w:r>
      <w:r>
        <w:rPr>
          <w:rFonts w:hint="eastAsia" w:ascii="宋体" w:hAnsi="宋体" w:eastAsia="宋体" w:cs="宋体"/>
          <w:color w:val="auto"/>
          <w:sz w:val="21"/>
          <w:szCs w:val="21"/>
          <w:highlight w:val="none"/>
          <w:lang w:val="en-US" w:eastAsia="zh-CN"/>
        </w:rPr>
        <w:t>离线情况：</w:t>
      </w:r>
      <w:r>
        <w:rPr>
          <w:rFonts w:hint="default" w:ascii="宋体" w:hAnsi="宋体" w:cs="宋体"/>
          <w:color w:val="auto"/>
          <w:sz w:val="21"/>
          <w:szCs w:val="21"/>
          <w:highlight w:val="none"/>
          <w:lang w:eastAsia="zh-CN"/>
        </w:rPr>
        <w:t>投标方根据招标方提供的网络双链路(目前为MSTP专线+4G vpdn链路），完成信息系统对应的功能开发及配置部署，并将功能应用上线于所有的供能站。系统需在主链路断网离线情况下，能够无感切换至备用链路，在备用链路情况下，信息系统所有核心业务功能</w:t>
      </w:r>
      <w:r>
        <w:rPr>
          <w:rFonts w:hint="eastAsia" w:ascii="宋体" w:hAnsi="宋体" w:cs="宋体"/>
          <w:color w:val="auto"/>
          <w:sz w:val="21"/>
          <w:szCs w:val="21"/>
          <w:highlight w:val="none"/>
          <w:lang w:eastAsia="zh-CN"/>
        </w:rPr>
        <w:t>均</w:t>
      </w:r>
      <w:r>
        <w:rPr>
          <w:rFonts w:hint="default" w:ascii="宋体" w:hAnsi="宋体" w:cs="宋体"/>
          <w:color w:val="auto"/>
          <w:sz w:val="21"/>
          <w:szCs w:val="21"/>
          <w:highlight w:val="none"/>
          <w:lang w:eastAsia="zh-CN"/>
        </w:rPr>
        <w:t>不受影响。并在主链路网络恢复情况下，系统自动无感切换回主链路。</w:t>
      </w:r>
    </w:p>
    <w:p>
      <w:pPr>
        <w:pStyle w:val="46"/>
        <w:adjustRightInd w:val="0"/>
        <w:snapToGrid w:val="0"/>
        <w:spacing w:line="360" w:lineRule="auto"/>
        <w:ind w:firstLine="420" w:firstLineChars="200"/>
        <w:rPr>
          <w:rFonts w:hint="default" w:ascii="宋体" w:hAnsi="宋体" w:cs="宋体"/>
          <w:color w:val="auto"/>
          <w:sz w:val="21"/>
          <w:szCs w:val="21"/>
          <w:highlight w:val="none"/>
          <w:lang w:eastAsia="zh-CN"/>
        </w:rPr>
      </w:pPr>
      <w:r>
        <w:rPr>
          <w:rFonts w:hint="default" w:ascii="宋体" w:hAnsi="宋体" w:cs="宋体"/>
          <w:color w:val="auto"/>
          <w:sz w:val="21"/>
          <w:szCs w:val="21"/>
          <w:highlight w:val="none"/>
          <w:lang w:eastAsia="zh-CN"/>
        </w:rPr>
        <w:t>（3）系统的所有网络切换过程，应该通过系统消息和短信通知等方式告知给相关系统用户，并在系统上可查询对应的网络切换记录。</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可维护性需求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为保障系统实现稳定且高效</w:t>
      </w:r>
      <w:r>
        <w:rPr>
          <w:rFonts w:hint="eastAsia" w:ascii="宋体" w:hAnsi="宋体" w:cs="宋体"/>
          <w:color w:val="auto"/>
          <w:szCs w:val="21"/>
          <w:highlight w:val="none"/>
          <w:lang w:eastAsia="zh-CN"/>
        </w:rPr>
        <w:t>地</w:t>
      </w:r>
      <w:r>
        <w:rPr>
          <w:rFonts w:hint="eastAsia" w:ascii="宋体" w:hAnsi="宋体" w:cs="宋体"/>
          <w:color w:val="auto"/>
          <w:szCs w:val="21"/>
          <w:highlight w:val="none"/>
        </w:rPr>
        <w:t xml:space="preserve">运行，系统的支撑软件与应用软件必须配备内容详尽、体系完善的维护手册。此手册应具备全面覆盖的特性、技术精准的要求以及人性化的交互设计，能够为维护人员提供清晰、明确的操作指引。与此同时，系统需构建完善的运行记录机制。这些记录不仅要详细记录系统在标准工况下的运行状态与性能参数，还需完整记载系统遭遇各类异常情况时的表现特征，以及发生故障时的详细诊断信息，涵盖故障现象、发生时间、影响范围和处理过程等关键数据，从而为后续的系统维护与优化提供可靠的依据。 </w:t>
      </w:r>
    </w:p>
    <w:p>
      <w:pPr>
        <w:pStyle w:val="5"/>
        <w:numPr>
          <w:ilvl w:val="2"/>
          <w:numId w:val="5"/>
        </w:numPr>
        <w:spacing w:before="0" w:beforeLines="0" w:after="0" w:afterLines="0" w:line="360" w:lineRule="auto"/>
        <w:rPr>
          <w:rFonts w:ascii="宋体" w:hAnsi="宋体" w:cs="宋体"/>
          <w:color w:val="auto"/>
          <w:szCs w:val="21"/>
          <w:highlight w:val="none"/>
        </w:rPr>
      </w:pPr>
      <w:bookmarkStart w:id="415" w:name="_Toc156810071"/>
      <w:r>
        <w:rPr>
          <w:rFonts w:hint="eastAsia" w:ascii="宋体" w:hAnsi="宋体" w:cs="宋体"/>
          <w:color w:val="auto"/>
          <w:szCs w:val="21"/>
          <w:highlight w:val="none"/>
        </w:rPr>
        <w:t>数据迁移要</w:t>
      </w:r>
      <w:r>
        <w:rPr>
          <w:rFonts w:hint="eastAsia" w:ascii="宋体" w:hAnsi="宋体" w:cs="宋体"/>
          <w:color w:val="auto"/>
          <w:szCs w:val="21"/>
          <w:highlight w:val="none"/>
          <w:lang w:val="en-US" w:eastAsia="zh-CN"/>
        </w:rPr>
        <w:t>求</w:t>
      </w:r>
      <w:bookmarkEnd w:id="415"/>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支持对原有系统数据进行全量迁移，投标方需提供详尽的迁移方案，并配备自动化验证手段，以保障数据迁移的质量，要求数据迁移的准确率100%。原有系统的数据库部署于华为云</w:t>
      </w:r>
      <w:r>
        <w:rPr>
          <w:rFonts w:hint="eastAsia" w:ascii="宋体" w:hAnsi="宋体" w:cs="宋体"/>
          <w:color w:val="auto"/>
          <w:szCs w:val="21"/>
          <w:highlight w:val="none"/>
          <w:lang w:val="en-US" w:eastAsia="zh-CN"/>
        </w:rPr>
        <w:t>和站端服务器</w:t>
      </w:r>
      <w:r>
        <w:rPr>
          <w:rFonts w:hint="eastAsia" w:ascii="宋体" w:hAnsi="宋体" w:cs="宋体"/>
          <w:color w:val="auto"/>
          <w:szCs w:val="21"/>
          <w:highlight w:val="none"/>
        </w:rPr>
        <w:t>，数据库类型</w:t>
      </w:r>
      <w:r>
        <w:rPr>
          <w:rFonts w:hint="eastAsia" w:ascii="宋体" w:hAnsi="宋体" w:cs="宋体"/>
          <w:color w:val="auto"/>
          <w:szCs w:val="21"/>
          <w:highlight w:val="none"/>
          <w:lang w:val="en-US" w:eastAsia="zh-CN"/>
        </w:rPr>
        <w:t>主要</w:t>
      </w:r>
      <w:r>
        <w:rPr>
          <w:rFonts w:hint="eastAsia" w:ascii="宋体" w:hAnsi="宋体" w:cs="宋体"/>
          <w:color w:val="auto"/>
          <w:szCs w:val="21"/>
          <w:highlight w:val="none"/>
        </w:rPr>
        <w:t>为 MySQL，存储用量约2T，新系统需依据新系统数据库重新设计表结构。</w:t>
      </w:r>
    </w:p>
    <w:p>
      <w:pPr>
        <w:pStyle w:val="5"/>
        <w:numPr>
          <w:ilvl w:val="2"/>
          <w:numId w:val="5"/>
        </w:numPr>
        <w:spacing w:before="0" w:beforeLines="0" w:after="0" w:afterLines="0" w:line="360" w:lineRule="auto"/>
        <w:rPr>
          <w:rFonts w:ascii="宋体" w:hAnsi="宋体" w:cs="宋体"/>
          <w:color w:val="auto"/>
          <w:szCs w:val="21"/>
          <w:highlight w:val="none"/>
        </w:rPr>
      </w:pPr>
      <w:bookmarkStart w:id="416" w:name="_Toc214972597"/>
      <w:bookmarkEnd w:id="416"/>
      <w:bookmarkStart w:id="417" w:name="_Toc214972605"/>
      <w:bookmarkEnd w:id="417"/>
      <w:bookmarkStart w:id="418" w:name="_Toc214972599"/>
      <w:bookmarkEnd w:id="418"/>
      <w:bookmarkStart w:id="419" w:name="_Toc214972604"/>
      <w:bookmarkEnd w:id="419"/>
      <w:bookmarkStart w:id="420" w:name="_Toc214972596"/>
      <w:bookmarkEnd w:id="420"/>
      <w:bookmarkStart w:id="421" w:name="_Toc214972598"/>
      <w:bookmarkEnd w:id="421"/>
      <w:bookmarkStart w:id="422" w:name="_Toc214972600"/>
      <w:bookmarkEnd w:id="422"/>
      <w:bookmarkStart w:id="423" w:name="_Toc214972601"/>
      <w:bookmarkEnd w:id="423"/>
      <w:bookmarkStart w:id="424" w:name="_Toc214972603"/>
      <w:bookmarkEnd w:id="424"/>
      <w:bookmarkStart w:id="425" w:name="_Toc214972593"/>
      <w:bookmarkEnd w:id="425"/>
      <w:bookmarkStart w:id="426" w:name="_Toc214972594"/>
      <w:bookmarkEnd w:id="426"/>
      <w:bookmarkStart w:id="427" w:name="_Toc214972595"/>
      <w:bookmarkEnd w:id="427"/>
      <w:bookmarkStart w:id="428" w:name="_Toc214972602"/>
      <w:bookmarkEnd w:id="428"/>
      <w:bookmarkStart w:id="429" w:name="_Toc214972607"/>
      <w:bookmarkEnd w:id="429"/>
      <w:bookmarkStart w:id="430" w:name="_Toc214972606"/>
      <w:bookmarkEnd w:id="430"/>
      <w:bookmarkStart w:id="431" w:name="_Toc24573"/>
      <w:bookmarkStart w:id="432" w:name="_Toc5649"/>
      <w:bookmarkStart w:id="433" w:name="_Toc22111"/>
      <w:bookmarkStart w:id="434" w:name="_Toc19618"/>
      <w:bookmarkStart w:id="435" w:name="_Toc25903"/>
      <w:bookmarkStart w:id="436" w:name="_Toc3238"/>
      <w:bookmarkStart w:id="437" w:name="_Toc16613"/>
      <w:bookmarkStart w:id="438" w:name="_Toc18094"/>
      <w:bookmarkStart w:id="439" w:name="_Toc7083"/>
      <w:bookmarkStart w:id="440" w:name="_Toc74161975"/>
      <w:bookmarkStart w:id="441" w:name="_Toc19010"/>
      <w:bookmarkStart w:id="442" w:name="_Toc13476"/>
      <w:bookmarkStart w:id="443" w:name="_Toc23079"/>
      <w:bookmarkStart w:id="444" w:name="_Toc1254"/>
      <w:bookmarkStart w:id="445" w:name="_Toc30273"/>
      <w:bookmarkStart w:id="446" w:name="_Toc15089"/>
      <w:bookmarkStart w:id="447" w:name="_Toc8308"/>
      <w:bookmarkStart w:id="448" w:name="_Toc19043"/>
      <w:bookmarkStart w:id="449" w:name="_Toc12906"/>
      <w:bookmarkStart w:id="450" w:name="_Toc214972608"/>
      <w:bookmarkStart w:id="451" w:name="_Toc5819"/>
      <w:bookmarkStart w:id="452" w:name="_Toc8477"/>
      <w:bookmarkStart w:id="453" w:name="_Toc27428"/>
      <w:bookmarkStart w:id="454" w:name="_Toc11877"/>
      <w:bookmarkStart w:id="455" w:name="_Toc30117"/>
      <w:bookmarkStart w:id="456" w:name="_Toc27801"/>
      <w:bookmarkStart w:id="457" w:name="_Toc10134"/>
      <w:bookmarkStart w:id="458" w:name="_Toc17454"/>
      <w:bookmarkStart w:id="459" w:name="_Toc1298"/>
      <w:bookmarkStart w:id="460" w:name="_Toc6492"/>
      <w:bookmarkStart w:id="461" w:name="_Toc13523"/>
      <w:bookmarkStart w:id="462" w:name="_Toc4658"/>
      <w:bookmarkStart w:id="463" w:name="_Toc28186"/>
      <w:bookmarkStart w:id="464" w:name="_Toc1932077588"/>
      <w:bookmarkStart w:id="465" w:name="_Toc12802"/>
      <w:bookmarkStart w:id="466" w:name="_Toc9957"/>
      <w:bookmarkStart w:id="467" w:name="_Toc13025"/>
      <w:bookmarkStart w:id="468" w:name="_Toc10229"/>
      <w:bookmarkStart w:id="469" w:name="_Toc32720"/>
      <w:bookmarkStart w:id="470" w:name="_Toc22472"/>
      <w:bookmarkStart w:id="471" w:name="_Toc24533"/>
      <w:bookmarkStart w:id="472" w:name="_Toc25048"/>
      <w:bookmarkStart w:id="473" w:name="_Toc20370"/>
      <w:bookmarkStart w:id="474" w:name="_Toc6522"/>
      <w:bookmarkStart w:id="475" w:name="_Toc12772"/>
      <w:bookmarkStart w:id="476" w:name="_Toc24727"/>
      <w:bookmarkStart w:id="477" w:name="_Toc176784327"/>
      <w:bookmarkStart w:id="478" w:name="_Toc28741"/>
      <w:bookmarkStart w:id="479" w:name="_Toc25020"/>
      <w:bookmarkStart w:id="480" w:name="_Toc5122"/>
      <w:bookmarkStart w:id="481" w:name="_Toc479206200"/>
      <w:r>
        <w:rPr>
          <w:rFonts w:hint="eastAsia" w:ascii="宋体" w:hAnsi="宋体" w:cs="宋体"/>
          <w:color w:val="auto"/>
          <w:szCs w:val="21"/>
          <w:highlight w:val="none"/>
        </w:rPr>
        <w:t>开发语言要求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系统开发采用Java作为后端核心开发语言，确保跨平台兼容性和企业级应用稳定性；前端采用Vue.js框架结合Element UI组件库，实现响应式界面开发；数据处理模块支持Python语言进行数据分析与模型训练，满足复杂业务逻辑及AI算法集成需求。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开发时梳理、提取代码公共部分，提高系统的代码复用性，充分考虑系统的扩展性，便于后期的修改、升级和数据迁移，并提供详细开发规范文档。</w:t>
      </w:r>
    </w:p>
    <w:p>
      <w:pPr>
        <w:pStyle w:val="46"/>
        <w:numPr>
          <w:ilvl w:val="0"/>
          <w:numId w:val="17"/>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参数化：对于系统中的关键参数、配置信息、模板要实现参数化或原子化，保证系统的灵活性，在不修改软件代码的前提下，方便地对参数进行修改，并可通过软件设置立即生效；</w:t>
      </w:r>
    </w:p>
    <w:p>
      <w:pPr>
        <w:pStyle w:val="46"/>
        <w:numPr>
          <w:ilvl w:val="0"/>
          <w:numId w:val="17"/>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扩展性：系统要具备很强的扩展性，对于接口、交易、功能模块等，在不修改软件代码的前提下，通过参数、文件、模板的配置，快速实现系统功能的扩展，从而保证系统的高扩展性；</w:t>
      </w:r>
      <w:r>
        <w:rPr>
          <w:rFonts w:hint="eastAsia" w:ascii="宋体" w:hAnsi="宋体" w:cs="宋体"/>
          <w:color w:val="auto"/>
          <w:szCs w:val="21"/>
          <w:highlight w:val="none"/>
          <w:lang w:eastAsia="zh-CN"/>
        </w:rPr>
        <w:t>必须</w:t>
      </w:r>
      <w:r>
        <w:rPr>
          <w:rFonts w:hint="eastAsia" w:ascii="宋体" w:hAnsi="宋体" w:cs="宋体"/>
          <w:color w:val="auto"/>
          <w:szCs w:val="21"/>
          <w:highlight w:val="none"/>
        </w:rPr>
        <w:t>保证应用系统功能随日后业务的调整和拓展实现持续灵活的扩展和优化；未来系统升级时</w:t>
      </w:r>
      <w:r>
        <w:rPr>
          <w:rFonts w:hint="eastAsia" w:ascii="宋体" w:hAnsi="宋体" w:cs="宋体"/>
          <w:color w:val="auto"/>
          <w:szCs w:val="21"/>
          <w:highlight w:val="none"/>
          <w:lang w:eastAsia="zh-CN"/>
        </w:rPr>
        <w:t>应</w:t>
      </w:r>
      <w:r>
        <w:rPr>
          <w:rFonts w:hint="eastAsia" w:ascii="宋体" w:hAnsi="宋体" w:cs="宋体"/>
          <w:color w:val="auto"/>
          <w:szCs w:val="21"/>
          <w:highlight w:val="none"/>
        </w:rPr>
        <w:t>保证开发成果能平滑升级；</w:t>
      </w:r>
    </w:p>
    <w:p>
      <w:pPr>
        <w:pStyle w:val="46"/>
        <w:numPr>
          <w:ilvl w:val="0"/>
          <w:numId w:val="17"/>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模块化：软件开发要实现模块化，对于不同的功能模块，要进行清晰划分，并理清各个功能模块间的接口，保证新增模块与原有模块的兼容性；</w:t>
      </w:r>
    </w:p>
    <w:p>
      <w:pPr>
        <w:pStyle w:val="46"/>
        <w:numPr>
          <w:ilvl w:val="0"/>
          <w:numId w:val="17"/>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高效率：软件代码要具有很高的运行效率，对于代码的内存消耗、CPU占用、运行逻辑都要进行细致分析，避免冗余代码的出现。对于代码的运行效率要进行测试，保证系统的整体运行效率。</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开发环境要求</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代码仓库：使用招标人私有云部署的GitLab代码仓库，实现代码版本控制、分支管理及权限分级管控，确保代码资产安全与团队协作效率。</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发布工具：采用Jenkins作为持续集成/持续部署（CI/CD）工具，配置自动化构建、测试及部署流程，支持多环境（开发、测试、生产）一键发布，同时集成SonarQube进行代码质量检测，确保发布版本稳定性。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基础环境：开发服务器配置为Linux操作系统，数据库采用TDSql（主从架构），应用服务器使用Tomcat 9.0，缓存层采用Redis 6.2，容器化部署基于Docker 20.10+及Kubernetes 1.23+实现服务编排。</w:t>
      </w:r>
    </w:p>
    <w:p>
      <w:pPr>
        <w:pStyle w:val="5"/>
        <w:numPr>
          <w:ilvl w:val="2"/>
          <w:numId w:val="5"/>
        </w:numPr>
        <w:spacing w:before="0" w:beforeLines="0" w:after="0" w:afterLines="0" w:line="360" w:lineRule="auto"/>
        <w:rPr>
          <w:rFonts w:ascii="宋体" w:hAnsi="宋体" w:cs="宋体"/>
          <w:color w:val="auto"/>
          <w:szCs w:val="21"/>
          <w:highlight w:val="none"/>
        </w:rPr>
      </w:pPr>
      <w:bookmarkStart w:id="482" w:name="_Toc156810068"/>
      <w:r>
        <w:rPr>
          <w:rFonts w:hint="eastAsia" w:ascii="宋体" w:hAnsi="宋体" w:cs="宋体"/>
          <w:color w:val="auto"/>
          <w:szCs w:val="21"/>
          <w:highlight w:val="none"/>
        </w:rPr>
        <w:t>日志要求</w:t>
      </w:r>
      <w:bookmarkEnd w:id="482"/>
    </w:p>
    <w:p>
      <w:pPr>
        <w:pStyle w:val="4"/>
        <w:spacing w:before="60" w:after="62" w:line="360" w:lineRule="auto"/>
        <w:ind w:firstLine="420" w:firstLineChars="200"/>
        <w:rPr>
          <w:rFonts w:ascii="宋体" w:hAnsi="宋体" w:cs="宋体"/>
          <w:color w:val="auto"/>
          <w:highlight w:val="none"/>
          <w:lang w:val="zh-CN"/>
        </w:rPr>
      </w:pPr>
      <w:r>
        <w:rPr>
          <w:rFonts w:hint="eastAsia" w:ascii="宋体" w:hAnsi="宋体" w:cs="宋体"/>
          <w:color w:val="auto"/>
          <w:highlight w:val="none"/>
          <w:lang w:val="zh-CN"/>
        </w:rPr>
        <w:t>系统具有完备的日志系统，须完整地连续地集中记录存储应用系统、中间件、数据库、操作系统的运行日志、交易日志、操作日志等，要求系统具备防止篡改的审计追踪功能，对业务操作的动作和操作结果进行日志记载和分析，包括对业务交易、系统参数、用户数据的增删改操作，以及其它重要操作，如系统登录等，并实现日志集中存储与管理、统计分析、告警预警功能，为系统排错定位、识别系统瓶颈、性能调优、可用性评估、安全风险评估提供数据依据，提供可视化管理操作界面。系统收集、存储、分析、展示日志时，不得影响核心业务系统运行性能。</w:t>
      </w:r>
    </w:p>
    <w:p>
      <w:pPr>
        <w:pStyle w:val="3"/>
        <w:numPr>
          <w:ilvl w:val="1"/>
          <w:numId w:val="5"/>
        </w:numPr>
        <w:spacing w:before="0" w:beforeLines="0" w:after="0" w:afterLines="0" w:line="360" w:lineRule="auto"/>
        <w:rPr>
          <w:rFonts w:ascii="宋体" w:hAnsi="宋体" w:cs="宋体"/>
          <w:color w:val="auto"/>
          <w:szCs w:val="21"/>
          <w:highlight w:val="none"/>
        </w:rPr>
      </w:pPr>
      <w:bookmarkStart w:id="483" w:name="_Toc27173"/>
      <w:bookmarkStart w:id="484" w:name="_Toc3769"/>
      <w:r>
        <w:rPr>
          <w:rFonts w:hint="eastAsia" w:ascii="宋体" w:hAnsi="宋体" w:cs="宋体"/>
          <w:color w:val="auto"/>
          <w:szCs w:val="21"/>
          <w:highlight w:val="none"/>
        </w:rPr>
        <w:t>开发标准</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3"/>
      <w:bookmarkEnd w:id="484"/>
    </w:p>
    <w:p>
      <w:pPr>
        <w:pStyle w:val="46"/>
        <w:numPr>
          <w:ilvl w:val="0"/>
          <w:numId w:val="18"/>
        </w:numPr>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软件工程与质量管理：</w:t>
      </w:r>
    </w:p>
    <w:bookmarkEnd w:id="481"/>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8566-</w:t>
      </w:r>
      <w:r>
        <w:rPr>
          <w:rFonts w:hint="eastAsia" w:ascii="宋体" w:hAnsi="宋体"/>
          <w:color w:val="auto"/>
          <w:sz w:val="21"/>
          <w:szCs w:val="21"/>
          <w:highlight w:val="none"/>
        </w:rPr>
        <w:t>2007</w:t>
      </w:r>
      <w:r>
        <w:rPr>
          <w:rFonts w:hint="eastAsia" w:ascii="宋体" w:hAnsi="宋体"/>
          <w:color w:val="auto"/>
          <w:sz w:val="21"/>
          <w:szCs w:val="21"/>
          <w:highlight w:val="none"/>
        </w:rPr>
        <w:t>《信息技术软件生存周期过程》；</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30975-2014《信息技术基于计算机的软件系统的性能测量与评级》；</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14394-2008《计算机软件可靠性和可维护性管理》；</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11457-2006《信息技术软件工程术语》；</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19003-2008《软件工程 GB/T19001-2000应用于计算机软件的指南》；</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15532-2008《计算机软件测试规范》；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9385-2008《计算机软件需求规格说明规范》；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9386-2008《计算机软件测试文档编制规范》；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8567-2006《计算机软件文档编制规范》；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32904-2016《软件质量量化评价规范》；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32911-2016《软件测试成本度量规范》；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32421-2015《软件工程软件评审与审核》；</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30998-2014《信息技术软件安全保障规范》；</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30999-2014《系统和软件工程生存周期管理过程描述指南》；</w:t>
      </w:r>
    </w:p>
    <w:p>
      <w:pPr>
        <w:pStyle w:val="118"/>
        <w:numPr>
          <w:ilvl w:val="0"/>
          <w:numId w:val="19"/>
        </w:numPr>
        <w:adjustRightInd w:val="0"/>
        <w:snapToGrid w:val="0"/>
        <w:spacing w:before="0" w:after="0"/>
        <w:ind w:firstLineChars="0"/>
        <w:rPr>
          <w:rFonts w:ascii="宋体" w:hAnsi="宋体"/>
          <w:color w:val="auto"/>
          <w:sz w:val="21"/>
          <w:szCs w:val="21"/>
          <w:highlight w:val="none"/>
        </w:rPr>
      </w:pPr>
      <w:r>
        <w:rPr>
          <w:rFonts w:hint="eastAsia" w:ascii="宋体" w:hAnsi="宋体"/>
          <w:color w:val="auto"/>
          <w:sz w:val="21"/>
          <w:szCs w:val="21"/>
          <w:highlight w:val="none"/>
        </w:rPr>
        <w:t>信息安全与等级保护：</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 17859 计算机信息系统安全保护等级划分准则</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22239 信息安全技术 网络安全等级保护基本要求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22240 信息安全技术 网络安全等级保护定级指南</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25070 信息安全技术 网络安全等级保护安全设计技术要求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28448 信息安全技术 网络安全等级保护测评要求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28449 信息安全技术 信息系统安全等级保护测评过程指南</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36627 信息安全技术 网络安全等级保护测试评估技术指南</w:t>
      </w:r>
    </w:p>
    <w:p>
      <w:pPr>
        <w:pStyle w:val="118"/>
        <w:numPr>
          <w:ilvl w:val="0"/>
          <w:numId w:val="20"/>
        </w:numPr>
        <w:adjustRightInd w:val="0"/>
        <w:snapToGrid w:val="0"/>
        <w:spacing w:before="0" w:after="0"/>
        <w:ind w:firstLineChars="0"/>
        <w:rPr>
          <w:rFonts w:ascii="宋体" w:hAnsi="宋体"/>
          <w:color w:val="auto"/>
          <w:sz w:val="21"/>
          <w:szCs w:val="21"/>
          <w:highlight w:val="none"/>
        </w:rPr>
      </w:pPr>
      <w:r>
        <w:rPr>
          <w:rFonts w:hint="eastAsia" w:ascii="宋体" w:hAnsi="宋体"/>
          <w:color w:val="auto"/>
          <w:sz w:val="21"/>
          <w:szCs w:val="21"/>
          <w:highlight w:val="none"/>
        </w:rPr>
        <w:t>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20269 信息安全技术 信息系统安全管理要求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20270 信息安全技术 网络基础安全技术要求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20271 信息安全技术 信息系统通用安全技术要求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20272 信息安全技术 操作系统安全技术要求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20273 信息安全技术 数据库管理系统安全技术要求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21028 信息安全技术 服务器安全技术要求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GB/T 39720 信息安全技术 移动智能终端安全技术要求及测试评价方法</w:t>
      </w:r>
    </w:p>
    <w:p>
      <w:pPr>
        <w:pStyle w:val="118"/>
        <w:numPr>
          <w:ilvl w:val="0"/>
          <w:numId w:val="20"/>
        </w:numPr>
        <w:adjustRightInd w:val="0"/>
        <w:snapToGrid w:val="0"/>
        <w:spacing w:before="0" w:after="0"/>
        <w:ind w:firstLineChars="0"/>
        <w:rPr>
          <w:rFonts w:ascii="宋体" w:hAnsi="宋体"/>
          <w:color w:val="auto"/>
          <w:sz w:val="21"/>
          <w:szCs w:val="21"/>
          <w:highlight w:val="none"/>
        </w:rPr>
      </w:pPr>
      <w:r>
        <w:rPr>
          <w:rFonts w:hint="eastAsia" w:ascii="宋体" w:hAnsi="宋体"/>
          <w:color w:val="auto"/>
          <w:sz w:val="21"/>
          <w:szCs w:val="21"/>
          <w:highlight w:val="none"/>
        </w:rPr>
        <w:t>系统与设备可靠性</w:t>
      </w:r>
    </w:p>
    <w:p>
      <w:pPr>
        <w:pStyle w:val="118"/>
        <w:adjustRightInd w:val="0"/>
        <w:snapToGrid w:val="0"/>
        <w:spacing w:before="0" w:after="0"/>
        <w:ind w:firstLine="420" w:firstLineChars="0"/>
        <w:rPr>
          <w:rFonts w:ascii="宋体" w:hAnsi="宋体"/>
          <w:color w:val="auto"/>
          <w:sz w:val="21"/>
          <w:szCs w:val="21"/>
          <w:highlight w:val="none"/>
        </w:rPr>
      </w:pPr>
      <w:r>
        <w:rPr>
          <w:rFonts w:hint="eastAsia" w:ascii="宋体" w:hAnsi="宋体"/>
          <w:color w:val="auto"/>
          <w:sz w:val="21"/>
          <w:szCs w:val="21"/>
          <w:highlight w:val="none"/>
        </w:rPr>
        <w:t>GB/T 18492 信息技术 系统及软件完整性级别</w:t>
      </w:r>
    </w:p>
    <w:p>
      <w:pPr>
        <w:pStyle w:val="118"/>
        <w:adjustRightInd w:val="0"/>
        <w:snapToGrid w:val="0"/>
        <w:spacing w:before="0" w:after="0"/>
        <w:ind w:firstLine="420" w:firstLineChars="0"/>
        <w:rPr>
          <w:rFonts w:ascii="宋体" w:hAnsi="宋体"/>
          <w:color w:val="auto"/>
          <w:sz w:val="21"/>
          <w:szCs w:val="21"/>
          <w:highlight w:val="none"/>
        </w:rPr>
      </w:pPr>
      <w:r>
        <w:rPr>
          <w:rFonts w:hint="eastAsia" w:ascii="宋体" w:hAnsi="宋体"/>
          <w:color w:val="auto"/>
          <w:sz w:val="21"/>
          <w:szCs w:val="21"/>
          <w:highlight w:val="none"/>
        </w:rPr>
        <w:t>GB/T 37079 设备可靠性 可靠性评估方法</w:t>
      </w:r>
    </w:p>
    <w:p>
      <w:pPr>
        <w:pStyle w:val="118"/>
        <w:adjustRightInd w:val="0"/>
        <w:snapToGrid w:val="0"/>
        <w:spacing w:before="0" w:after="0"/>
        <w:ind w:firstLine="420" w:firstLineChars="0"/>
        <w:rPr>
          <w:rFonts w:ascii="宋体" w:hAnsi="宋体"/>
          <w:color w:val="auto"/>
          <w:sz w:val="21"/>
          <w:szCs w:val="21"/>
          <w:highlight w:val="none"/>
        </w:rPr>
      </w:pPr>
      <w:r>
        <w:rPr>
          <w:rFonts w:hint="eastAsia" w:ascii="宋体" w:hAnsi="宋体"/>
          <w:color w:val="auto"/>
          <w:sz w:val="21"/>
          <w:szCs w:val="21"/>
          <w:highlight w:val="none"/>
        </w:rPr>
        <w:t>GB/T 37044 信息安全技术 物联网安全参考模型</w:t>
      </w:r>
    </w:p>
    <w:p>
      <w:pPr>
        <w:pStyle w:val="118"/>
        <w:adjustRightInd w:val="0"/>
        <w:snapToGrid w:val="0"/>
        <w:spacing w:before="0" w:after="0"/>
        <w:ind w:firstLine="420" w:firstLineChars="0"/>
        <w:rPr>
          <w:rFonts w:ascii="宋体" w:hAnsi="宋体"/>
          <w:color w:val="auto"/>
          <w:sz w:val="21"/>
          <w:szCs w:val="21"/>
          <w:highlight w:val="none"/>
        </w:rPr>
      </w:pPr>
      <w:r>
        <w:rPr>
          <w:rFonts w:hint="eastAsia" w:ascii="宋体" w:hAnsi="宋体"/>
          <w:color w:val="auto"/>
          <w:sz w:val="21"/>
          <w:szCs w:val="21"/>
          <w:highlight w:val="none"/>
        </w:rPr>
        <w:t>GB/T 39786 信息安全技术 信息系统密码应用基本要求</w:t>
      </w:r>
    </w:p>
    <w:p>
      <w:pPr>
        <w:pStyle w:val="118"/>
        <w:adjustRightInd w:val="0"/>
        <w:snapToGrid w:val="0"/>
        <w:spacing w:before="0" w:after="0"/>
        <w:ind w:firstLine="420" w:firstLineChars="0"/>
        <w:rPr>
          <w:rFonts w:ascii="宋体" w:hAnsi="宋体"/>
          <w:color w:val="auto"/>
          <w:sz w:val="21"/>
          <w:szCs w:val="21"/>
          <w:highlight w:val="none"/>
        </w:rPr>
      </w:pPr>
      <w:r>
        <w:rPr>
          <w:rFonts w:hint="eastAsia" w:ascii="宋体" w:hAnsi="宋体"/>
          <w:color w:val="auto"/>
          <w:sz w:val="21"/>
          <w:szCs w:val="21"/>
          <w:highlight w:val="none"/>
        </w:rPr>
        <w:t>GB/T 39204-</w:t>
      </w:r>
      <w:r>
        <w:rPr>
          <w:rFonts w:hint="eastAsia" w:ascii="宋体" w:hAnsi="宋体"/>
          <w:color w:val="auto"/>
          <w:sz w:val="21"/>
          <w:szCs w:val="21"/>
          <w:highlight w:val="none"/>
        </w:rPr>
        <w:t>2022</w:t>
      </w:r>
      <w:r>
        <w:rPr>
          <w:rFonts w:hint="eastAsia" w:ascii="宋体" w:hAnsi="宋体"/>
          <w:color w:val="auto"/>
          <w:sz w:val="21"/>
          <w:szCs w:val="21"/>
          <w:highlight w:val="none"/>
        </w:rPr>
        <w:t xml:space="preserve"> 信息安全技术 关键信息基础设施安全保护要求</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以及其他国家、行业主管部门颁布的相关标准。</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系统开发过程中，需严格遵循上述国家标准，确保软件设计、开发、测试和维护等各阶段的规范性和一致性。开发团队应具备对这些标准的深入理解，并在项目初期制定详细的实施计划，明确各阶段的目标与交付物。同时，开发文档的编写应符合GB/T 8567-2006的要求，确保文档内容完整、结构清晰，便于后续的审查与维护。</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在软件需求分析阶段，应按照GB/T 9385-2008的规定，准确描述系统的功能需求、性能需求及其他非功能性需求，并通过评审机制确认需求的合理性和完整性。需求变更需经过严格的控制流程，以避免对项目进度和质量造成不利影响。</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软件测试环节需依据GB/T 15532-2008的标准执行，覆盖单元测试、集成测试、系统测试及验收测试等多个层面。测试用例的设计应充分考虑各种边界条件和异常场景，确保系统的稳定性和可靠性。此外，测试结果需形成标准化的文档，便于问题追踪和整改。</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为保证软件的可靠性和可维护性，开发团队应参照GB/T 14394-2008的要求，在系统架构设计中引入容错机制和模块化思想，降低系统复杂度并提高可扩展性。同时，需定期对软件进行性能评估，结合GB/T 30975-2014的指导优化系统运行效率。</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最后，在软件交付后，开发方应持续跟踪系统的实际运行情况，及时响应用户反馈，并根据GB/T 30998-2014的要求，定期开展安全评估和漏洞修复工作，确保系统长期处于良好状态。</w:t>
      </w:r>
    </w:p>
    <w:p>
      <w:pPr>
        <w:pStyle w:val="3"/>
        <w:numPr>
          <w:ilvl w:val="1"/>
          <w:numId w:val="5"/>
        </w:numPr>
        <w:spacing w:before="0" w:beforeLines="0" w:after="0" w:afterLines="0" w:line="360" w:lineRule="auto"/>
        <w:rPr>
          <w:rFonts w:ascii="宋体" w:hAnsi="宋体" w:cs="宋体"/>
          <w:color w:val="auto"/>
          <w:szCs w:val="21"/>
          <w:highlight w:val="none"/>
        </w:rPr>
      </w:pPr>
      <w:bookmarkStart w:id="485" w:name="_Toc214972609"/>
      <w:bookmarkEnd w:id="485"/>
      <w:bookmarkStart w:id="486" w:name="_Toc214972611"/>
      <w:bookmarkEnd w:id="486"/>
      <w:bookmarkStart w:id="487" w:name="_Toc214972610"/>
      <w:bookmarkEnd w:id="487"/>
      <w:bookmarkStart w:id="488" w:name="_Toc214972717"/>
      <w:bookmarkStart w:id="489" w:name="_Toc19269"/>
      <w:bookmarkStart w:id="490" w:name="_Toc7028"/>
      <w:r>
        <w:rPr>
          <w:rFonts w:hint="eastAsia" w:ascii="宋体" w:hAnsi="宋体" w:cs="宋体"/>
          <w:color w:val="auto"/>
          <w:szCs w:val="21"/>
          <w:highlight w:val="none"/>
        </w:rPr>
        <w:t>系统部署要求</w:t>
      </w:r>
      <w:bookmarkEnd w:id="488"/>
      <w:bookmarkEnd w:id="489"/>
      <w:bookmarkEnd w:id="490"/>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系统部署需满足国家及招标人相应的安全管理要求，具体如下：</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系统部署于招标人私有云环境，采用高可用集群架构，关键服务采用多节点负载均衡与故障自动切换机制，以确保系统的高可靠性。基础软件平台选用主流成熟产品，如 Kubernetes 容器编排平台、Nginx 作为负载均衡与反向代理工具，并可根据实际需要集成 Prometheus 监控栈。所有软件均具备合法授权，供应商需提供相应的软件许可证明、技术文档及原厂或认证代理商的技术支持与售后服务保障。</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基于B/S架构进行设计，用户可通过主流浏览器访问系统，无需安装额外客户端插件，实现客户端的无关性与跨平台使用。系统配置支持水平扩展，可通过增加应用节点或调整资源配额轻松应对高并发用户访问需求，保障业务高峰期的系统响应性能与用户体验。</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采用微服务架构，将业务功能拆分为独立部署、松耦合的微服务单元，每个服务可独立开发、部署与扩缩容。服务均封装为Docker镜像，实现在容器化环境中的标准化交付与运行。配合自动化运维监控工具，实现对服务状态、资源使用情况的实时采集与可视化展示，提升系统可观测性与运维效率。</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基于Kubernetes的容器编排与调度能力，能够根据业务负载变化实现微服务的弹性扩缩容。平台集成监控告警体系，当服务资源使用率或异常次数超过阈值时，可自动触发短信推送通知运维人员，实现资源与服务的及时预警与快速干预。</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内置多组织架构管理功能，支持按本部、分公司、子公司、部门、供能站等多层级结构划分数据权限。本部可查看全域数据，各供能站仅可查看本站数据，实现纵向数据汇总与横向数据隔离。系统采用RBAC模型进行权限控制，可根据角色灵活配置数据访问与操作权限，在保证数据安全隔离的同时，兼顾管理的灵活性与可扩展性。</w:t>
      </w:r>
    </w:p>
    <w:p>
      <w:pPr>
        <w:pStyle w:val="46"/>
        <w:adjustRightInd w:val="0"/>
        <w:snapToGrid w:val="0"/>
        <w:spacing w:line="360" w:lineRule="auto"/>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投标人需提供站端部署的硬件设备推荐清单（包括型号、参数、数量等），以及对应的部署建议（包括系统架构、网络拓扑等）。</w:t>
      </w:r>
    </w:p>
    <w:p>
      <w:pPr>
        <w:pStyle w:val="46"/>
        <w:adjustRightInd w:val="0"/>
        <w:snapToGrid w:val="0"/>
        <w:spacing w:line="360" w:lineRule="auto"/>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投标人需满足以下系统中间件要求：</w:t>
      </w:r>
    </w:p>
    <w:tbl>
      <w:tblPr>
        <w:tblStyle w:val="35"/>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91"/>
        <w:gridCol w:w="5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755" w:type="pct"/>
          </w:tcPr>
          <w:p>
            <w:pPr>
              <w:spacing w:after="62" w:line="240" w:lineRule="auto"/>
              <w:jc w:val="left"/>
              <w:rPr>
                <w:b/>
                <w:bCs/>
                <w:color w:val="auto"/>
                <w:highlight w:val="none"/>
              </w:rPr>
            </w:pPr>
            <w:r>
              <w:rPr>
                <w:rFonts w:hint="eastAsia"/>
                <w:b/>
                <w:bCs/>
                <w:color w:val="auto"/>
                <w:highlight w:val="none"/>
              </w:rPr>
              <w:t>类别</w:t>
            </w:r>
          </w:p>
        </w:tc>
        <w:tc>
          <w:tcPr>
            <w:tcW w:w="3244" w:type="pct"/>
          </w:tcPr>
          <w:p>
            <w:pPr>
              <w:spacing w:after="62" w:line="240" w:lineRule="auto"/>
              <w:jc w:val="left"/>
              <w:rPr>
                <w:b/>
                <w:bCs/>
                <w:color w:val="auto"/>
                <w:highlight w:val="none"/>
              </w:rPr>
            </w:pPr>
            <w:r>
              <w:rPr>
                <w:rFonts w:hint="eastAsia"/>
                <w:b/>
                <w:bCs/>
                <w:color w:val="auto"/>
                <w:highlight w:val="none"/>
              </w:rPr>
              <w:t>选型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消息队列</w:t>
            </w:r>
          </w:p>
        </w:tc>
        <w:tc>
          <w:tcPr>
            <w:tcW w:w="3244" w:type="pct"/>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RocketMQ</w:t>
            </w:r>
            <w:r>
              <w:rPr>
                <w:rFonts w:hint="eastAsia" w:ascii="宋体" w:hAnsi="宋体" w:cs="宋体"/>
                <w:color w:val="auto"/>
                <w:sz w:val="24"/>
                <w:highlight w:val="none"/>
              </w:rPr>
              <w:t>、Kafka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注册中心</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Nacos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API网关</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Spring Cloud Gateway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分布式事务</w:t>
            </w:r>
          </w:p>
        </w:tc>
        <w:tc>
          <w:tcPr>
            <w:tcW w:w="3244" w:type="pct"/>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Seata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shd w:val="clear" w:color="auto" w:fill="auto"/>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容器化</w:t>
            </w:r>
          </w:p>
        </w:tc>
        <w:tc>
          <w:tcPr>
            <w:tcW w:w="3244" w:type="pct"/>
            <w:shd w:val="clear" w:color="auto" w:fill="auto"/>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Docker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编排工具</w:t>
            </w:r>
          </w:p>
        </w:tc>
        <w:tc>
          <w:tcPr>
            <w:tcW w:w="3244"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Kubernetes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CI/CD​​</w:t>
            </w:r>
          </w:p>
        </w:tc>
        <w:tc>
          <w:tcPr>
            <w:tcW w:w="3244"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GitLab、Jenkins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监控</w:t>
            </w:r>
          </w:p>
        </w:tc>
        <w:tc>
          <w:tcPr>
            <w:tcW w:w="3244" w:type="pct"/>
            <w:shd w:val="clear" w:color="auto" w:fill="auto"/>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Sentinel</w:t>
            </w:r>
            <w:r>
              <w:rPr>
                <w:rFonts w:hint="eastAsia" w:ascii="宋体" w:hAnsi="宋体" w:cs="宋体"/>
                <w:color w:val="auto"/>
                <w:sz w:val="24"/>
                <w:highlight w:val="none"/>
              </w:rPr>
              <w:t>、Monitor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755" w:type="pct"/>
            <w:shd w:val="clear" w:color="auto" w:fill="auto"/>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日志系统</w:t>
            </w:r>
          </w:p>
        </w:tc>
        <w:tc>
          <w:tcPr>
            <w:tcW w:w="3244" w:type="pct"/>
            <w:shd w:val="clear" w:color="auto" w:fill="auto"/>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ELK Stack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ascii="宋体" w:hAnsi="宋体" w:cs="宋体"/>
                <w:color w:val="auto"/>
                <w:sz w:val="24"/>
                <w:highlight w:val="none"/>
              </w:rPr>
              <w:t>主数据库</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TDSql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缓存</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Redis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搜索引擎​</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Elasticsearch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对象存储​</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MinIO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5"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时序数据库</w:t>
            </w:r>
          </w:p>
        </w:tc>
        <w:tc>
          <w:tcPr>
            <w:tcW w:w="3244" w:type="pct"/>
            <w:vAlign w:val="center"/>
          </w:tcPr>
          <w:p>
            <w:pPr>
              <w:spacing w:after="62" w:line="240" w:lineRule="auto"/>
              <w:rPr>
                <w:rFonts w:ascii="宋体" w:hAnsi="宋体" w:cs="宋体"/>
                <w:color w:val="auto"/>
                <w:sz w:val="24"/>
                <w:highlight w:val="none"/>
              </w:rPr>
            </w:pPr>
            <w:r>
              <w:rPr>
                <w:rFonts w:hint="eastAsia" w:ascii="宋体" w:hAnsi="宋体" w:cs="宋体"/>
                <w:color w:val="auto"/>
                <w:sz w:val="24"/>
                <w:highlight w:val="none"/>
              </w:rPr>
              <w:t>青鸿时序数据管理平台</w:t>
            </w:r>
          </w:p>
        </w:tc>
      </w:tr>
    </w:tbl>
    <w:p>
      <w:pPr>
        <w:pStyle w:val="46"/>
        <w:adjustRightInd w:val="0"/>
        <w:snapToGrid w:val="0"/>
        <w:spacing w:line="360" w:lineRule="auto"/>
        <w:ind w:firstLine="422" w:firstLineChars="200"/>
        <w:rPr>
          <w:rFonts w:ascii="宋体" w:hAnsi="宋体" w:cs="宋体"/>
          <w:b/>
          <w:bCs/>
          <w:color w:val="auto"/>
          <w:szCs w:val="21"/>
          <w:highlight w:val="none"/>
        </w:rPr>
      </w:pPr>
    </w:p>
    <w:p>
      <w:pPr>
        <w:pStyle w:val="2"/>
        <w:numPr>
          <w:ilvl w:val="0"/>
          <w:numId w:val="5"/>
        </w:numPr>
        <w:spacing w:before="0" w:beforeLines="0" w:after="0" w:afterLines="0" w:line="360" w:lineRule="auto"/>
        <w:ind w:left="431" w:hanging="431"/>
        <w:rPr>
          <w:rFonts w:ascii="宋体" w:hAnsi="宋体" w:cs="宋体"/>
          <w:color w:val="auto"/>
          <w:sz w:val="21"/>
          <w:szCs w:val="21"/>
          <w:highlight w:val="none"/>
        </w:rPr>
      </w:pPr>
      <w:bookmarkStart w:id="491" w:name="_Toc214972718"/>
      <w:bookmarkEnd w:id="491"/>
      <w:bookmarkStart w:id="492" w:name="_Toc214972719"/>
      <w:bookmarkStart w:id="493" w:name="_Toc4425"/>
      <w:bookmarkStart w:id="494" w:name="_Toc28158"/>
      <w:r>
        <w:rPr>
          <w:rFonts w:hint="eastAsia" w:ascii="宋体" w:hAnsi="宋体" w:cs="宋体"/>
          <w:color w:val="auto"/>
          <w:sz w:val="21"/>
          <w:szCs w:val="21"/>
          <w:highlight w:val="none"/>
        </w:rPr>
        <w:t>建设</w:t>
      </w:r>
      <w:bookmarkEnd w:id="298"/>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414"/>
      <w:r>
        <w:rPr>
          <w:rFonts w:hint="eastAsia" w:ascii="宋体" w:hAnsi="宋体" w:cs="宋体"/>
          <w:color w:val="auto"/>
          <w:sz w:val="21"/>
          <w:szCs w:val="21"/>
          <w:highlight w:val="none"/>
        </w:rPr>
        <w:t>内容</w:t>
      </w:r>
      <w:bookmarkEnd w:id="492"/>
      <w:bookmarkEnd w:id="493"/>
      <w:bookmarkEnd w:id="494"/>
    </w:p>
    <w:bookmarkEnd w:id="54"/>
    <w:p>
      <w:pPr>
        <w:spacing w:after="0" w:afterLines="0" w:line="360" w:lineRule="auto"/>
        <w:ind w:firstLine="420" w:firstLineChars="200"/>
        <w:rPr>
          <w:rFonts w:ascii="宋体" w:hAnsi="宋体" w:cs="宋体"/>
          <w:color w:val="auto"/>
          <w:szCs w:val="21"/>
          <w:highlight w:val="none"/>
        </w:rPr>
      </w:pPr>
      <w:bookmarkStart w:id="495" w:name="_Toc214972989"/>
      <w:bookmarkEnd w:id="495"/>
      <w:bookmarkStart w:id="496" w:name="_Toc214973000"/>
      <w:bookmarkEnd w:id="496"/>
      <w:bookmarkStart w:id="497" w:name="_Toc214973012"/>
      <w:bookmarkEnd w:id="497"/>
      <w:bookmarkStart w:id="498" w:name="_Toc214972950"/>
      <w:bookmarkEnd w:id="498"/>
      <w:bookmarkStart w:id="499" w:name="_Toc214972949"/>
      <w:bookmarkEnd w:id="499"/>
      <w:bookmarkStart w:id="500" w:name="_Toc214972944"/>
      <w:bookmarkEnd w:id="500"/>
      <w:bookmarkStart w:id="501" w:name="_Toc214972941"/>
      <w:bookmarkEnd w:id="501"/>
      <w:bookmarkStart w:id="502" w:name="_Toc214972933"/>
      <w:bookmarkEnd w:id="502"/>
      <w:bookmarkStart w:id="503" w:name="_Toc214973010"/>
      <w:bookmarkEnd w:id="503"/>
      <w:bookmarkStart w:id="504" w:name="_Toc214972947"/>
      <w:bookmarkEnd w:id="504"/>
      <w:bookmarkStart w:id="505" w:name="_Toc214972959"/>
      <w:bookmarkEnd w:id="505"/>
      <w:bookmarkStart w:id="506" w:name="_Toc214972972"/>
      <w:bookmarkEnd w:id="506"/>
      <w:bookmarkStart w:id="507" w:name="_Toc214972966"/>
      <w:bookmarkEnd w:id="507"/>
      <w:bookmarkStart w:id="508" w:name="_Toc214972997"/>
      <w:bookmarkEnd w:id="508"/>
      <w:bookmarkStart w:id="509" w:name="_Toc214973011"/>
      <w:bookmarkEnd w:id="509"/>
      <w:bookmarkStart w:id="510" w:name="_Toc214972999"/>
      <w:bookmarkEnd w:id="510"/>
      <w:bookmarkStart w:id="511" w:name="_Toc214972987"/>
      <w:bookmarkEnd w:id="511"/>
      <w:bookmarkStart w:id="512" w:name="_Toc214972967"/>
      <w:bookmarkEnd w:id="512"/>
      <w:bookmarkStart w:id="513" w:name="_Toc214973013"/>
      <w:bookmarkEnd w:id="513"/>
      <w:bookmarkStart w:id="514" w:name="_Toc214972934"/>
      <w:bookmarkEnd w:id="514"/>
      <w:bookmarkStart w:id="515" w:name="_Toc214972968"/>
      <w:bookmarkEnd w:id="515"/>
      <w:bookmarkStart w:id="516" w:name="_Toc214972945"/>
      <w:bookmarkEnd w:id="516"/>
      <w:bookmarkStart w:id="517" w:name="_Toc214973007"/>
      <w:bookmarkEnd w:id="517"/>
      <w:bookmarkStart w:id="518" w:name="_Toc214972971"/>
      <w:bookmarkEnd w:id="518"/>
      <w:bookmarkStart w:id="519" w:name="_Toc214972940"/>
      <w:bookmarkEnd w:id="519"/>
      <w:bookmarkStart w:id="520" w:name="_Toc214973004"/>
      <w:bookmarkEnd w:id="520"/>
      <w:bookmarkStart w:id="521" w:name="_Toc214972996"/>
      <w:bookmarkEnd w:id="521"/>
      <w:bookmarkStart w:id="522" w:name="_Toc214972936"/>
      <w:bookmarkEnd w:id="522"/>
      <w:bookmarkStart w:id="523" w:name="_Toc214972948"/>
      <w:bookmarkEnd w:id="523"/>
      <w:bookmarkStart w:id="524" w:name="_Toc214972990"/>
      <w:bookmarkEnd w:id="524"/>
      <w:bookmarkStart w:id="525" w:name="_Toc214972998"/>
      <w:bookmarkEnd w:id="525"/>
      <w:bookmarkStart w:id="526" w:name="_Toc214973001"/>
      <w:bookmarkEnd w:id="526"/>
      <w:bookmarkStart w:id="527" w:name="_Toc214972963"/>
      <w:bookmarkEnd w:id="527"/>
      <w:bookmarkStart w:id="528" w:name="_Toc214972951"/>
      <w:bookmarkEnd w:id="528"/>
      <w:bookmarkStart w:id="529" w:name="_Toc214972937"/>
      <w:bookmarkEnd w:id="529"/>
      <w:bookmarkStart w:id="530" w:name="_Toc214972938"/>
      <w:bookmarkEnd w:id="530"/>
      <w:bookmarkStart w:id="531" w:name="_Toc214972969"/>
      <w:bookmarkEnd w:id="531"/>
      <w:bookmarkStart w:id="532" w:name="_Toc214972978"/>
      <w:bookmarkEnd w:id="532"/>
      <w:bookmarkStart w:id="533" w:name="_Toc214973002"/>
      <w:bookmarkEnd w:id="533"/>
      <w:bookmarkStart w:id="534" w:name="_Toc214972935"/>
      <w:bookmarkEnd w:id="534"/>
      <w:bookmarkStart w:id="535" w:name="_Toc214972977"/>
      <w:bookmarkEnd w:id="535"/>
      <w:bookmarkStart w:id="536" w:name="_Toc214973014"/>
      <w:bookmarkEnd w:id="536"/>
      <w:bookmarkStart w:id="537" w:name="_Toc214972962"/>
      <w:bookmarkEnd w:id="537"/>
      <w:bookmarkStart w:id="538" w:name="_Toc214972975"/>
      <w:bookmarkEnd w:id="538"/>
      <w:bookmarkStart w:id="539" w:name="_Toc214973008"/>
      <w:bookmarkEnd w:id="539"/>
      <w:bookmarkStart w:id="540" w:name="_Toc214972939"/>
      <w:bookmarkEnd w:id="540"/>
      <w:bookmarkStart w:id="541" w:name="_Toc214973006"/>
      <w:bookmarkEnd w:id="541"/>
      <w:bookmarkStart w:id="542" w:name="_Toc214973003"/>
      <w:bookmarkEnd w:id="542"/>
      <w:bookmarkStart w:id="543" w:name="_Toc214972984"/>
      <w:bookmarkEnd w:id="543"/>
      <w:bookmarkStart w:id="544" w:name="_Toc214972970"/>
      <w:bookmarkEnd w:id="544"/>
      <w:bookmarkStart w:id="545" w:name="_Toc214972983"/>
      <w:bookmarkEnd w:id="545"/>
      <w:bookmarkStart w:id="546" w:name="_Toc214972994"/>
      <w:bookmarkEnd w:id="546"/>
      <w:bookmarkStart w:id="547" w:name="_Toc214972986"/>
      <w:bookmarkEnd w:id="547"/>
      <w:bookmarkStart w:id="548" w:name="_Toc214972965"/>
      <w:bookmarkEnd w:id="548"/>
      <w:bookmarkStart w:id="549" w:name="_Toc214972991"/>
      <w:bookmarkEnd w:id="549"/>
      <w:bookmarkStart w:id="550" w:name="_Toc214973009"/>
      <w:bookmarkEnd w:id="550"/>
      <w:bookmarkStart w:id="551" w:name="_Toc214972957"/>
      <w:bookmarkEnd w:id="551"/>
      <w:bookmarkStart w:id="552" w:name="_Toc214972995"/>
      <w:bookmarkEnd w:id="552"/>
      <w:bookmarkStart w:id="553" w:name="_Toc214972973"/>
      <w:bookmarkEnd w:id="553"/>
      <w:bookmarkStart w:id="554" w:name="_Toc214972946"/>
      <w:bookmarkEnd w:id="554"/>
      <w:bookmarkStart w:id="555" w:name="_Toc214972953"/>
      <w:bookmarkEnd w:id="555"/>
      <w:bookmarkStart w:id="556" w:name="_Toc214972993"/>
      <w:bookmarkEnd w:id="556"/>
      <w:bookmarkStart w:id="557" w:name="_Toc214972961"/>
      <w:bookmarkEnd w:id="557"/>
      <w:bookmarkStart w:id="558" w:name="_Toc214972974"/>
      <w:bookmarkEnd w:id="558"/>
      <w:bookmarkStart w:id="559" w:name="_Toc214972985"/>
      <w:bookmarkEnd w:id="559"/>
      <w:bookmarkStart w:id="560" w:name="_Toc214972982"/>
      <w:bookmarkEnd w:id="560"/>
      <w:bookmarkStart w:id="561" w:name="_Toc214972992"/>
      <w:bookmarkEnd w:id="561"/>
      <w:bookmarkStart w:id="562" w:name="_Toc214972943"/>
      <w:bookmarkEnd w:id="562"/>
      <w:bookmarkStart w:id="563" w:name="_Toc214972988"/>
      <w:bookmarkEnd w:id="563"/>
      <w:bookmarkStart w:id="564" w:name="_Toc214972954"/>
      <w:bookmarkEnd w:id="564"/>
      <w:bookmarkStart w:id="565" w:name="_Toc214972964"/>
      <w:bookmarkEnd w:id="565"/>
      <w:bookmarkStart w:id="566" w:name="_Toc214972976"/>
      <w:bookmarkEnd w:id="566"/>
      <w:bookmarkStart w:id="567" w:name="_Toc214972955"/>
      <w:bookmarkEnd w:id="567"/>
      <w:bookmarkStart w:id="568" w:name="_Toc214972960"/>
      <w:bookmarkEnd w:id="568"/>
      <w:bookmarkStart w:id="569" w:name="_Toc214972942"/>
      <w:bookmarkEnd w:id="569"/>
      <w:bookmarkStart w:id="570" w:name="_Toc214972979"/>
      <w:bookmarkEnd w:id="570"/>
      <w:bookmarkStart w:id="571" w:name="_Toc214972956"/>
      <w:bookmarkEnd w:id="571"/>
      <w:bookmarkStart w:id="572" w:name="_Toc214972952"/>
      <w:bookmarkEnd w:id="572"/>
      <w:bookmarkStart w:id="573" w:name="_Toc214973005"/>
      <w:bookmarkEnd w:id="573"/>
      <w:bookmarkStart w:id="574" w:name="_Toc214972981"/>
      <w:bookmarkEnd w:id="574"/>
      <w:bookmarkStart w:id="575" w:name="_Toc214972980"/>
      <w:bookmarkEnd w:id="575"/>
      <w:bookmarkStart w:id="576" w:name="_Toc214972958"/>
      <w:bookmarkEnd w:id="576"/>
      <w:bookmarkStart w:id="577" w:name="_Toc141864025"/>
      <w:bookmarkStart w:id="578" w:name="_Toc10624"/>
      <w:bookmarkStart w:id="579" w:name="_Toc29854"/>
      <w:bookmarkStart w:id="580" w:name="_Toc18020"/>
      <w:bookmarkStart w:id="581" w:name="_Toc13519"/>
      <w:bookmarkStart w:id="582" w:name="_Toc26172"/>
      <w:bookmarkStart w:id="583" w:name="_Toc24042"/>
      <w:bookmarkStart w:id="584" w:name="_Toc16313"/>
      <w:bookmarkStart w:id="585" w:name="_Toc18918"/>
      <w:bookmarkStart w:id="586" w:name="_Toc7753"/>
      <w:bookmarkStart w:id="587" w:name="_Toc24766"/>
      <w:bookmarkStart w:id="588" w:name="_Toc31519"/>
      <w:bookmarkStart w:id="589" w:name="_Toc14142"/>
      <w:bookmarkStart w:id="590" w:name="_Toc32237"/>
      <w:bookmarkStart w:id="591" w:name="_Toc214973015"/>
      <w:bookmarkStart w:id="592" w:name="_Toc2984"/>
      <w:bookmarkStart w:id="593" w:name="_Toc28352"/>
      <w:bookmarkStart w:id="594" w:name="_Toc15942"/>
      <w:bookmarkStart w:id="595" w:name="_Toc30533"/>
      <w:bookmarkStart w:id="596" w:name="_Toc3816"/>
      <w:bookmarkStart w:id="597" w:name="_Toc13177"/>
      <w:bookmarkStart w:id="598" w:name="_Toc2758"/>
      <w:bookmarkStart w:id="599" w:name="_Toc4111"/>
      <w:bookmarkStart w:id="600" w:name="_Toc30451"/>
      <w:bookmarkStart w:id="601" w:name="_Toc14237"/>
      <w:bookmarkStart w:id="602" w:name="_Toc2122"/>
      <w:bookmarkStart w:id="603" w:name="_Toc9297"/>
      <w:bookmarkStart w:id="604" w:name="_Toc9226"/>
      <w:bookmarkStart w:id="605" w:name="_Toc22356"/>
      <w:bookmarkStart w:id="606" w:name="_Toc12900"/>
      <w:bookmarkStart w:id="607" w:name="_Toc29051"/>
      <w:bookmarkStart w:id="608" w:name="_Toc881"/>
      <w:bookmarkStart w:id="609" w:name="_Toc786"/>
      <w:bookmarkStart w:id="610" w:name="_Toc10378"/>
      <w:bookmarkStart w:id="611" w:name="_Toc14575"/>
      <w:bookmarkStart w:id="612" w:name="_Toc25436"/>
      <w:bookmarkStart w:id="613" w:name="_Toc21994"/>
      <w:bookmarkStart w:id="614" w:name="_Toc10679"/>
      <w:bookmarkStart w:id="615" w:name="_Toc19609"/>
      <w:bookmarkStart w:id="616" w:name="_Toc540"/>
      <w:bookmarkStart w:id="617" w:name="_Toc694"/>
      <w:bookmarkStart w:id="618" w:name="_Toc2615"/>
      <w:bookmarkStart w:id="619" w:name="_Toc20952"/>
      <w:bookmarkStart w:id="620" w:name="_Toc25014"/>
      <w:bookmarkStart w:id="621" w:name="_Toc22175"/>
      <w:bookmarkStart w:id="622" w:name="_Toc4187"/>
      <w:bookmarkStart w:id="623" w:name="_Toc19163"/>
      <w:bookmarkStart w:id="624" w:name="_Toc15918"/>
      <w:bookmarkStart w:id="625" w:name="_Toc814"/>
      <w:bookmarkStart w:id="626" w:name="_Toc7298"/>
      <w:bookmarkStart w:id="627" w:name="_Toc12376"/>
      <w:bookmarkStart w:id="628" w:name="_Toc17439"/>
      <w:bookmarkStart w:id="629" w:name="_Toc19657"/>
      <w:bookmarkStart w:id="630" w:name="_Toc13912"/>
      <w:bookmarkStart w:id="631" w:name="_Toc27757"/>
      <w:bookmarkStart w:id="632" w:name="_Toc4717"/>
      <w:bookmarkStart w:id="633" w:name="_Toc12963"/>
      <w:bookmarkStart w:id="634" w:name="_Toc74161976"/>
      <w:bookmarkStart w:id="635" w:name="_Toc3095"/>
      <w:bookmarkStart w:id="636" w:name="_Toc9002"/>
      <w:bookmarkStart w:id="637" w:name="_Toc22759"/>
      <w:bookmarkStart w:id="638" w:name="_Toc176784330"/>
      <w:bookmarkStart w:id="639" w:name="_Toc830094048"/>
      <w:bookmarkStart w:id="640" w:name="_Toc28261"/>
      <w:bookmarkStart w:id="641" w:name="_Toc13308"/>
      <w:bookmarkStart w:id="642" w:name="_Toc518454448"/>
      <w:r>
        <w:rPr>
          <w:rFonts w:hint="eastAsia" w:ascii="宋体" w:hAnsi="宋体" w:cs="宋体"/>
          <w:color w:val="auto"/>
          <w:kern w:val="0"/>
          <w:szCs w:val="21"/>
          <w:highlight w:val="none"/>
        </w:rPr>
        <w:t>本系统需提供供能站相关经营管理服务及零售管理服务，涵盖站点日常基础管理、油品经营、非油品</w:t>
      </w:r>
      <w:r>
        <w:rPr>
          <w:rFonts w:hint="eastAsia" w:ascii="宋体" w:hAnsi="宋体" w:cs="宋体"/>
          <w:color w:val="auto"/>
          <w:kern w:val="0"/>
          <w:szCs w:val="21"/>
          <w:highlight w:val="none"/>
          <w:lang w:eastAsia="zh-CN"/>
        </w:rPr>
        <w:t>经营</w:t>
      </w:r>
      <w:r>
        <w:rPr>
          <w:rFonts w:hint="eastAsia" w:ascii="宋体" w:hAnsi="宋体" w:cs="宋体"/>
          <w:color w:val="auto"/>
          <w:kern w:val="0"/>
          <w:szCs w:val="21"/>
          <w:highlight w:val="none"/>
        </w:rPr>
        <w:t>、支付收银管理、营销管理、会员管理等相关内容。</w:t>
      </w:r>
      <w:r>
        <w:rPr>
          <w:rFonts w:hint="eastAsia" w:ascii="宋体" w:hAnsi="宋体" w:cs="宋体"/>
          <w:color w:val="auto"/>
          <w:szCs w:val="21"/>
          <w:highlight w:val="none"/>
        </w:rPr>
        <w:t>具体功能要求包括但不限于：</w:t>
      </w:r>
    </w:p>
    <w:tbl>
      <w:tblPr>
        <w:tblStyle w:val="34"/>
        <w:tblW w:w="4998" w:type="pct"/>
        <w:tblInd w:w="0" w:type="dxa"/>
        <w:tblLayout w:type="fixed"/>
        <w:tblCellMar>
          <w:top w:w="0" w:type="dxa"/>
          <w:left w:w="108" w:type="dxa"/>
          <w:bottom w:w="0" w:type="dxa"/>
          <w:right w:w="108" w:type="dxa"/>
        </w:tblCellMar>
      </w:tblPr>
      <w:tblGrid>
        <w:gridCol w:w="1351"/>
        <w:gridCol w:w="1578"/>
        <w:gridCol w:w="1725"/>
        <w:gridCol w:w="3866"/>
      </w:tblGrid>
      <w:tr>
        <w:tblPrEx>
          <w:tblCellMar>
            <w:top w:w="0" w:type="dxa"/>
            <w:left w:w="108" w:type="dxa"/>
            <w:bottom w:w="0" w:type="dxa"/>
            <w:right w:w="108" w:type="dxa"/>
          </w:tblCellMar>
        </w:tblPrEx>
        <w:trPr>
          <w:trHeight w:val="560" w:hRule="atLeast"/>
        </w:trPr>
        <w:tc>
          <w:tcPr>
            <w:tcW w:w="792" w:type="pct"/>
            <w:tcBorders>
              <w:top w:val="single" w:color="000000" w:sz="4" w:space="0"/>
              <w:left w:val="single" w:color="000000" w:sz="4" w:space="0"/>
              <w:bottom w:val="single" w:color="000000" w:sz="4" w:space="0"/>
              <w:right w:val="single" w:color="000000" w:sz="4" w:space="0"/>
            </w:tcBorders>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场景应用</w:t>
            </w:r>
          </w:p>
        </w:tc>
        <w:tc>
          <w:tcPr>
            <w:tcW w:w="926" w:type="pct"/>
            <w:tcBorders>
              <w:top w:val="single" w:color="000000" w:sz="4" w:space="0"/>
              <w:left w:val="single" w:color="000000" w:sz="4" w:space="0"/>
              <w:bottom w:val="single" w:color="000000" w:sz="4" w:space="0"/>
              <w:right w:val="single" w:color="000000" w:sz="4" w:space="0"/>
            </w:tcBorders>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一级功能</w:t>
            </w:r>
          </w:p>
        </w:tc>
        <w:tc>
          <w:tcPr>
            <w:tcW w:w="1012" w:type="pct"/>
            <w:tcBorders>
              <w:top w:val="single" w:color="000000" w:sz="4" w:space="0"/>
              <w:left w:val="single" w:color="000000" w:sz="4" w:space="0"/>
              <w:bottom w:val="single" w:color="000000" w:sz="4" w:space="0"/>
              <w:right w:val="single" w:color="000000" w:sz="4" w:space="0"/>
            </w:tcBorders>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二级功能</w:t>
            </w:r>
          </w:p>
        </w:tc>
        <w:tc>
          <w:tcPr>
            <w:tcW w:w="2268" w:type="pct"/>
            <w:tcBorders>
              <w:top w:val="single" w:color="000000" w:sz="4" w:space="0"/>
              <w:left w:val="single" w:color="000000" w:sz="4" w:space="0"/>
              <w:bottom w:val="single" w:color="000000" w:sz="4" w:space="0"/>
              <w:right w:val="single" w:color="000000" w:sz="4" w:space="0"/>
            </w:tcBorders>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三级功能</w:t>
            </w:r>
          </w:p>
        </w:tc>
      </w:tr>
      <w:tr>
        <w:tblPrEx>
          <w:tblCellMar>
            <w:top w:w="0" w:type="dxa"/>
            <w:left w:w="108" w:type="dxa"/>
            <w:bottom w:w="0" w:type="dxa"/>
            <w:right w:w="108" w:type="dxa"/>
          </w:tblCellMar>
        </w:tblPrEx>
        <w:trPr>
          <w:trHeight w:val="280" w:hRule="atLeast"/>
        </w:trPr>
        <w:tc>
          <w:tcPr>
            <w:tcW w:w="7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站级应用</w:t>
            </w: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前台销售</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油品销售</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罐枪监控管理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油品流水管理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油品收银</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油品订单管理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盘点</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回罐</w:t>
            </w:r>
          </w:p>
        </w:tc>
      </w:tr>
      <w:tr>
        <w:tblPrEx>
          <w:tblCellMar>
            <w:top w:w="0" w:type="dxa"/>
            <w:left w:w="108" w:type="dxa"/>
            <w:bottom w:w="0" w:type="dxa"/>
            <w:right w:w="108" w:type="dxa"/>
          </w:tblCellMar>
        </w:tblPrEx>
        <w:trPr>
          <w:trHeight w:val="9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非油品销售</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商品销售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临期商品销售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团购销售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常用商品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商品收银</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赠品核销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凭票退换货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支付收银</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室内/室外收银</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会员识别</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电子券识别</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促销推荐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统一促销处理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多种混合支付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挂单销售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会员充值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小票打印</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订单退款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补打小票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发票开具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运营管理</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变价管理</w:t>
            </w:r>
          </w:p>
        </w:tc>
      </w:tr>
      <w:tr>
        <w:tblPrEx>
          <w:tblCellMar>
            <w:top w:w="0" w:type="dxa"/>
            <w:left w:w="108" w:type="dxa"/>
            <w:bottom w:w="0" w:type="dxa"/>
            <w:right w:w="108" w:type="dxa"/>
          </w:tblCellMar>
        </w:tblPrEx>
        <w:trPr>
          <w:trHeight w:val="9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油罐及罐容表管理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接卸管理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验收入账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调拨管理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盘点管理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清罐管理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移罐（倒灌）管理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油枪检定管理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变类管理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加油机跳变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库存管理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回罐管理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油品损溢管理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在售商品查询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变价管理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智能要货管理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验收管理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烟草收货预警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退货管理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退货售后管理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报损/报溢管理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站间调拨管理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盘点管理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订单冲销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订单作废</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补打补开票据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资金管理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找赎金管理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缴款管理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班日结管理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班结管理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日结管理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异常处理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账单管理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台账电子化</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运营监控</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报表统计</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综合监控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经营动态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营销动态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消息管理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进出站车牌及客流监控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异常报警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员工信息与账号管理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员工卡挂失及变更</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员工绩效管理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物联应用</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手持POS应用</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交易收款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泵岛销售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接卸油</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非油品验收</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非油品盘点</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设备集成</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加油机</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液位仪</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洗车机</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品牌柱价格牌</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加油机大屏</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智慧支付</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车牌付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物联监测</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可燃气体报警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油气回收监测</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center"/>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right w:val="single" w:color="000000" w:sz="4" w:space="0"/>
            </w:tcBorders>
            <w:shd w:val="clear" w:color="auto" w:fill="auto"/>
            <w:vAlign w:val="center"/>
          </w:tcPr>
          <w:p>
            <w:pPr>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员工卡管理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员工卡管理</w:t>
            </w:r>
          </w:p>
        </w:tc>
      </w:tr>
      <w:tr>
        <w:tblPrEx>
          <w:tblCellMar>
            <w:top w:w="0" w:type="dxa"/>
            <w:left w:w="108" w:type="dxa"/>
            <w:bottom w:w="0" w:type="dxa"/>
            <w:right w:w="108" w:type="dxa"/>
          </w:tblCellMar>
        </w:tblPrEx>
        <w:trPr>
          <w:trHeight w:val="560" w:hRule="atLeast"/>
        </w:trPr>
        <w:tc>
          <w:tcPr>
            <w:tcW w:w="7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客户移动端应用</w:t>
            </w:r>
          </w:p>
        </w:tc>
        <w:tc>
          <w:tcPr>
            <w:tcW w:w="926"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触达渠道</w:t>
            </w: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触达渠道</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公众号/微信小程序、支付宝小程序</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会员在线</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基础服务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账户注册</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会员登录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我的消息</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会员二维码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实名认证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优惠设置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会员权益</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我的积分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我的电子券</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会员支付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客户服务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我的订单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调查问卷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最新油价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油站导航</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资讯动态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关联公众号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车牌绑定</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加油评价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微信/支付宝</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交易在线</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我的发票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发票抬头</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消费开票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充值开票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发票红冲</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发票查看</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电子钱包</w:t>
            </w:r>
            <w:r>
              <w:rPr>
                <w:rStyle w:val="265"/>
                <w:rFonts w:hint="default"/>
                <w:color w:val="auto"/>
                <w:sz w:val="21"/>
                <w:szCs w:val="21"/>
                <w:highlight w:val="none"/>
                <w:lang w:bidi="ar"/>
              </w:rPr>
              <w:br w:type="textWrapping"/>
            </w:r>
            <w:r>
              <w:rPr>
                <w:rStyle w:val="265"/>
                <w:rFonts w:hint="default"/>
                <w:color w:val="auto"/>
                <w:sz w:val="21"/>
                <w:szCs w:val="21"/>
                <w:highlight w:val="none"/>
                <w:lang w:bidi="ar"/>
              </w:rPr>
              <w:t>（电子卡）</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企业钱包</w:t>
            </w:r>
            <w:r>
              <w:rPr>
                <w:rStyle w:val="265"/>
                <w:rFonts w:hint="default"/>
                <w:color w:val="auto"/>
                <w:sz w:val="21"/>
                <w:szCs w:val="21"/>
                <w:highlight w:val="none"/>
                <w:lang w:bidi="ar"/>
              </w:rPr>
              <w:br w:type="textWrapping"/>
            </w:r>
            <w:r>
              <w:rPr>
                <w:rStyle w:val="265"/>
                <w:rFonts w:hint="default"/>
                <w:color w:val="auto"/>
                <w:sz w:val="21"/>
                <w:szCs w:val="21"/>
                <w:highlight w:val="none"/>
                <w:lang w:bidi="ar"/>
              </w:rPr>
              <w:t>（企业卡）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企业申请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企业信息概览</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车牌管理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司机管理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企业充值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套餐充值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子卡余额分配</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子卡优惠券/积分划转</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企业账户退款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企业账户注销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个人钱包</w:t>
            </w:r>
            <w:r>
              <w:rPr>
                <w:rStyle w:val="265"/>
                <w:rFonts w:hint="default"/>
                <w:color w:val="auto"/>
                <w:sz w:val="21"/>
                <w:szCs w:val="21"/>
                <w:highlight w:val="none"/>
                <w:lang w:bidi="ar"/>
              </w:rPr>
              <w:br w:type="textWrapping"/>
            </w:r>
            <w:r>
              <w:rPr>
                <w:rStyle w:val="265"/>
                <w:rFonts w:hint="default"/>
                <w:color w:val="auto"/>
                <w:sz w:val="21"/>
                <w:szCs w:val="21"/>
                <w:highlight w:val="none"/>
                <w:lang w:bidi="ar"/>
              </w:rPr>
              <w:t>（个人卡）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个人卡开卡</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个人卡信息概览</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个人充值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子卡余额分配</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车牌管理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子卡优惠券/积分划转</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个人套餐充值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个人账户退款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个人账户注销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营销在线</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营销互动</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营销活动专题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电子券销售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会员身份销售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组合权益销售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游戏互动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签到有礼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电子券兑换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拉新分享</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领券中心</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电子券转赠</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专题营销</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行业客户</w:t>
            </w:r>
          </w:p>
        </w:tc>
      </w:tr>
      <w:tr>
        <w:tblPrEx>
          <w:tblCellMar>
            <w:top w:w="0" w:type="dxa"/>
            <w:left w:w="108" w:type="dxa"/>
            <w:bottom w:w="0" w:type="dxa"/>
            <w:right w:w="108" w:type="dxa"/>
          </w:tblCellMar>
        </w:tblPrEx>
        <w:trPr>
          <w:trHeight w:val="280" w:hRule="atLeast"/>
        </w:trPr>
        <w:tc>
          <w:tcPr>
            <w:tcW w:w="79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客户web</w:t>
            </w:r>
            <w:r>
              <w:rPr>
                <w:rStyle w:val="265"/>
                <w:rFonts w:hint="default"/>
                <w:color w:val="auto"/>
                <w:sz w:val="21"/>
                <w:szCs w:val="21"/>
                <w:highlight w:val="none"/>
                <w:lang w:bidi="ar"/>
              </w:rPr>
              <w:br w:type="textWrapping"/>
            </w:r>
            <w:r>
              <w:rPr>
                <w:rStyle w:val="265"/>
                <w:rFonts w:hint="default"/>
                <w:color w:val="auto"/>
                <w:sz w:val="21"/>
                <w:szCs w:val="21"/>
                <w:highlight w:val="none"/>
                <w:lang w:bidi="ar"/>
              </w:rPr>
              <w:t>平台</w:t>
            </w:r>
          </w:p>
        </w:tc>
        <w:tc>
          <w:tcPr>
            <w:tcW w:w="926"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电子卡管理</w:t>
            </w:r>
          </w:p>
        </w:tc>
        <w:tc>
          <w:tcPr>
            <w:tcW w:w="1012" w:type="pct"/>
            <w:tcBorders>
              <w:top w:val="single" w:color="000000" w:sz="4" w:space="0"/>
              <w:left w:val="single" w:color="000000" w:sz="4" w:space="0"/>
              <w:bottom w:val="single" w:color="auto"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账号与权限管理</w:t>
            </w:r>
          </w:p>
        </w:tc>
        <w:tc>
          <w:tcPr>
            <w:tcW w:w="2268" w:type="pct"/>
            <w:tcBorders>
              <w:top w:val="single" w:color="000000" w:sz="4" w:space="0"/>
              <w:left w:val="single" w:color="000000" w:sz="4" w:space="0"/>
              <w:bottom w:val="single" w:color="auto"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restart"/>
            <w:tcBorders>
              <w:top w:val="single" w:color="auto"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电子卡管理</w:t>
            </w:r>
          </w:p>
        </w:tc>
        <w:tc>
          <w:tcPr>
            <w:tcW w:w="2268" w:type="pct"/>
            <w:tcBorders>
              <w:top w:val="single" w:color="auto"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客户信息概览</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子卡管理</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车牌管理</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司机管理</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充值查询</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子卡余额分配</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账户提现</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发票申请</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消费查询及导出</w:t>
            </w:r>
          </w:p>
        </w:tc>
      </w:tr>
      <w:tr>
        <w:tblPrEx>
          <w:tblCellMar>
            <w:top w:w="0" w:type="dxa"/>
            <w:left w:w="108" w:type="dxa"/>
            <w:bottom w:w="0" w:type="dxa"/>
            <w:right w:w="108" w:type="dxa"/>
          </w:tblCellMar>
        </w:tblPrEx>
        <w:trPr>
          <w:trHeight w:val="280" w:hRule="atLeast"/>
        </w:trPr>
        <w:tc>
          <w:tcPr>
            <w:tcW w:w="79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926"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账户注销</w:t>
            </w:r>
          </w:p>
        </w:tc>
      </w:tr>
      <w:tr>
        <w:tblPrEx>
          <w:tblCellMar>
            <w:top w:w="0" w:type="dxa"/>
            <w:left w:w="108" w:type="dxa"/>
            <w:bottom w:w="0" w:type="dxa"/>
            <w:right w:w="108" w:type="dxa"/>
          </w:tblCellMar>
        </w:tblPrEx>
        <w:trPr>
          <w:trHeight w:val="280" w:hRule="atLeast"/>
        </w:trPr>
        <w:tc>
          <w:tcPr>
            <w:tcW w:w="79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总部级应用</w:t>
            </w: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基础管理</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系统管理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权限认证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系统管理</w:t>
            </w:r>
          </w:p>
        </w:tc>
      </w:tr>
      <w:tr>
        <w:tblPrEx>
          <w:tblCellMar>
            <w:top w:w="0" w:type="dxa"/>
            <w:left w:w="108" w:type="dxa"/>
            <w:bottom w:w="0" w:type="dxa"/>
            <w:right w:w="108" w:type="dxa"/>
          </w:tblCellMar>
        </w:tblPrEx>
        <w:trPr>
          <w:trHeight w:val="9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任务管理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待办已办</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流程管理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消息管理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导出管理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组织管理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内部企业</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外部企业</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供应商管理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业务配置</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网点管理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设备管理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配置管理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初始化管理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油品经营</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主数据管理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主数据维护</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分配可售油品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价格管理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油品发改/整体价格调整</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油品个体价格调整</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销售管理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加油流水</w:t>
            </w:r>
          </w:p>
        </w:tc>
      </w:tr>
      <w:tr>
        <w:tblPrEx>
          <w:tblCellMar>
            <w:top w:w="0" w:type="dxa"/>
            <w:left w:w="108" w:type="dxa"/>
            <w:bottom w:w="0" w:type="dxa"/>
            <w:right w:w="108" w:type="dxa"/>
          </w:tblCellMar>
        </w:tblPrEx>
        <w:trPr>
          <w:trHeight w:val="9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盘点管理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自用油管理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油品换号/清罐/倒罐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非油品经营</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主数据管理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非油品主数据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分配可售商品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采购管理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要货管理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采购价格管理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采购合同与结算付款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批发合同与结算付款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烟草发票入账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非油品收货查询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非油品退货至供应商查询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销售管理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非油品盘点管理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非油品报损管理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非油品调拨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非油品销售查询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客户退货管理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非油品库存管理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非油品库存管理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零售运营</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订单管理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站点订单管理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一键加油订单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班日结管理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班日结监控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班日结查看</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联量绩效</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员工信息管理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绩效规则</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绩效计算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绩效查看</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客户触达</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触达管理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资讯广告内容管理</w:t>
            </w:r>
          </w:p>
        </w:tc>
      </w:tr>
      <w:tr>
        <w:tblPrEx>
          <w:tblCellMar>
            <w:top w:w="0" w:type="dxa"/>
            <w:left w:w="108" w:type="dxa"/>
            <w:bottom w:w="0" w:type="dxa"/>
            <w:right w:w="108" w:type="dxa"/>
          </w:tblCellMar>
        </w:tblPrEx>
        <w:trPr>
          <w:trHeight w:val="9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生态内容管理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right w:val="single" w:color="000000" w:sz="4" w:space="0"/>
            </w:tcBorders>
            <w:shd w:val="clear" w:color="auto" w:fill="auto"/>
            <w:vAlign w:val="center"/>
          </w:tcPr>
          <w:p>
            <w:pPr>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电子钱包</w:t>
            </w:r>
            <w:r>
              <w:rPr>
                <w:rStyle w:val="265"/>
                <w:rFonts w:hint="default"/>
                <w:color w:val="auto"/>
                <w:sz w:val="21"/>
                <w:szCs w:val="21"/>
                <w:highlight w:val="none"/>
                <w:lang w:bidi="ar"/>
              </w:rPr>
              <w:br w:type="textWrapping"/>
            </w:r>
            <w:r>
              <w:rPr>
                <w:rStyle w:val="265"/>
                <w:rFonts w:hint="default"/>
                <w:color w:val="auto"/>
                <w:sz w:val="21"/>
                <w:szCs w:val="21"/>
                <w:highlight w:val="none"/>
                <w:lang w:bidi="ar"/>
              </w:rPr>
              <w:t>（电子卡）</w:t>
            </w: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szCs w:val="21"/>
                <w:highlight w:val="none"/>
              </w:rPr>
              <w:t>客户web端账号管理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szCs w:val="21"/>
                <w:highlight w:val="none"/>
              </w:rPr>
              <w:t>客户web平台账号管理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卡规则</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个人电子卡规则设置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企业电子卡规则设置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交易查询</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电子卡查询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充值记录</w:t>
            </w:r>
            <w:r>
              <w:rPr>
                <w:rFonts w:hint="eastAsia" w:ascii="宋体" w:hAnsi="宋体" w:cs="宋体"/>
                <w:color w:val="auto"/>
                <w:kern w:val="0"/>
                <w:szCs w:val="21"/>
                <w:highlight w:val="none"/>
                <w:lang w:eastAsia="zh-CN" w:bidi="ar"/>
              </w:rPr>
              <w:t>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消费记录查询</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提现记录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储值套餐销售记录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电子卡日结</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电子卡管理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企业注册审核</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企业群组管理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企业卡管理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个人卡管理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电子卡风控</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企业风控设置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个人风控设置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其他风控设置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风控记录</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会员营销</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注册会员管理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会员协议管理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统一会员ID</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会员成长值</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会员等级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会员等级/标签权益</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客户标签</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会员分组管理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客户圈群</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黑名单管理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权益管理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积分管理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电子券管理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直降优惠管理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主题管理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营销活动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互动营销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游戏营销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消费营销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充值营销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拉新营销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积分营销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小票促销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客户服务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常见问题</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意见建议处理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调查问卷</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消息模块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运营营销</w:t>
            </w: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促销管理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油品直接促销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非油品直接促销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油非互促促销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联合营销</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企微身份打通</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微信生态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支付宝生态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抖音生态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三方合作</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卡券核销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平台订单核销</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平台引流</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财务管理</w:t>
            </w: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支付管理</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支付接入配置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支付交易集成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支付自主配置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日常账务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对账管理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账户管理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账期管理</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电子卡清分清算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日结对账</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月结清算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油品结算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非油品结算</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非油品存货</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非油品采购</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非油品销售</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财务统计</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报表统计</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月末、年末结账业务</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数据分析</w:t>
            </w:r>
          </w:p>
        </w:tc>
        <w:tc>
          <w:tcPr>
            <w:tcW w:w="1012" w:type="pct"/>
            <w:vMerge w:val="restart"/>
            <w:tcBorders>
              <w:top w:val="single" w:color="000000" w:sz="4" w:space="0"/>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统计报表</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油品经营报表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非油品经营报表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1012" w:type="pct"/>
            <w:vMerge w:val="continue"/>
            <w:tcBorders>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会员营销报表</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经营分析</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综合经营分析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零售经营分析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经营预警分析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财务经营分析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单站经营分析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营销分析</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客户经营分析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会员画像分析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营销评估分析</w:t>
            </w:r>
          </w:p>
        </w:tc>
      </w:tr>
      <w:tr>
        <w:tblPrEx>
          <w:tblCellMar>
            <w:top w:w="0" w:type="dxa"/>
            <w:left w:w="108" w:type="dxa"/>
            <w:bottom w:w="0" w:type="dxa"/>
            <w:right w:w="108" w:type="dxa"/>
          </w:tblCellMar>
        </w:tblPrEx>
        <w:trPr>
          <w:trHeight w:val="280" w:hRule="atLeast"/>
        </w:trPr>
        <w:tc>
          <w:tcPr>
            <w:tcW w:w="79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after="0" w:afterLines="0" w:line="240" w:lineRule="auto"/>
              <w:jc w:val="left"/>
              <w:rPr>
                <w:rFonts w:ascii="宋体" w:hAnsi="宋体" w:cs="宋体"/>
                <w:color w:val="auto"/>
                <w:szCs w:val="21"/>
                <w:highlight w:val="none"/>
              </w:rPr>
            </w:pPr>
          </w:p>
        </w:tc>
        <w:tc>
          <w:tcPr>
            <w:tcW w:w="926" w:type="pct"/>
            <w:vMerge w:val="continue"/>
            <w:tcBorders>
              <w:left w:val="single" w:color="000000" w:sz="4" w:space="0"/>
              <w:bottom w:val="single" w:color="000000" w:sz="4" w:space="0"/>
              <w:right w:val="single" w:color="000000" w:sz="4" w:space="0"/>
            </w:tcBorders>
            <w:shd w:val="clear" w:color="auto" w:fill="auto"/>
            <w:vAlign w:val="center"/>
          </w:tcPr>
          <w:p>
            <w:pPr>
              <w:spacing w:after="0" w:afterLines="0" w:line="240" w:lineRule="auto"/>
              <w:rPr>
                <w:rFonts w:ascii="宋体" w:hAnsi="宋体" w:cs="宋体"/>
                <w:color w:val="auto"/>
                <w:szCs w:val="21"/>
                <w:highlight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风控分析</w:t>
            </w:r>
          </w:p>
        </w:tc>
        <w:tc>
          <w:tcPr>
            <w:tcW w:w="2268" w:type="pc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风险综合分析</w:t>
            </w:r>
          </w:p>
        </w:tc>
      </w:tr>
    </w:tbl>
    <w:p>
      <w:pPr>
        <w:pStyle w:val="3"/>
        <w:numPr>
          <w:ilvl w:val="1"/>
          <w:numId w:val="5"/>
        </w:numPr>
        <w:spacing w:before="156" w:after="0" w:afterLines="0" w:line="360" w:lineRule="auto"/>
        <w:ind w:left="573" w:hanging="573"/>
        <w:rPr>
          <w:rFonts w:ascii="宋体" w:hAnsi="宋体" w:cs="宋体"/>
          <w:color w:val="auto"/>
          <w:szCs w:val="21"/>
          <w:highlight w:val="none"/>
        </w:rPr>
      </w:pPr>
      <w:bookmarkStart w:id="643" w:name="_Toc214972890"/>
      <w:bookmarkEnd w:id="643"/>
      <w:bookmarkStart w:id="644" w:name="_Toc214972910"/>
      <w:bookmarkEnd w:id="644"/>
      <w:bookmarkStart w:id="645" w:name="_Toc214972790"/>
      <w:bookmarkEnd w:id="645"/>
      <w:bookmarkStart w:id="646" w:name="_Toc214972870"/>
      <w:bookmarkEnd w:id="646"/>
      <w:bookmarkStart w:id="647" w:name="_Toc214972785"/>
      <w:bookmarkEnd w:id="647"/>
      <w:bookmarkStart w:id="648" w:name="_Toc214972745"/>
      <w:bookmarkEnd w:id="648"/>
      <w:bookmarkStart w:id="649" w:name="_Toc214972725"/>
      <w:bookmarkEnd w:id="649"/>
      <w:bookmarkStart w:id="650" w:name="_Toc214972835"/>
      <w:bookmarkEnd w:id="650"/>
      <w:bookmarkStart w:id="651" w:name="_Toc214972845"/>
      <w:bookmarkEnd w:id="651"/>
      <w:bookmarkStart w:id="652" w:name="_Toc214972820"/>
      <w:bookmarkEnd w:id="652"/>
      <w:bookmarkStart w:id="653" w:name="_Toc214972750"/>
      <w:bookmarkEnd w:id="653"/>
      <w:bookmarkStart w:id="654" w:name="_Toc214972825"/>
      <w:bookmarkEnd w:id="654"/>
      <w:bookmarkStart w:id="655" w:name="_Toc214972875"/>
      <w:bookmarkEnd w:id="655"/>
      <w:bookmarkStart w:id="656" w:name="_Toc214972915"/>
      <w:bookmarkEnd w:id="656"/>
      <w:bookmarkStart w:id="657" w:name="_Toc214972860"/>
      <w:bookmarkEnd w:id="657"/>
      <w:bookmarkStart w:id="658" w:name="_Toc214972905"/>
      <w:bookmarkEnd w:id="658"/>
      <w:bookmarkStart w:id="659" w:name="_Toc214972925"/>
      <w:bookmarkEnd w:id="659"/>
      <w:bookmarkStart w:id="660" w:name="_Toc214972805"/>
      <w:bookmarkEnd w:id="660"/>
      <w:bookmarkStart w:id="661" w:name="_Toc214972770"/>
      <w:bookmarkEnd w:id="661"/>
      <w:bookmarkStart w:id="662" w:name="_Toc214972895"/>
      <w:bookmarkEnd w:id="662"/>
      <w:bookmarkStart w:id="663" w:name="_Toc214972780"/>
      <w:bookmarkEnd w:id="663"/>
      <w:bookmarkStart w:id="664" w:name="_Toc214972740"/>
      <w:bookmarkEnd w:id="664"/>
      <w:bookmarkStart w:id="665" w:name="_Toc214972755"/>
      <w:bookmarkEnd w:id="665"/>
      <w:bookmarkStart w:id="666" w:name="_Toc214972920"/>
      <w:bookmarkEnd w:id="666"/>
      <w:bookmarkStart w:id="667" w:name="_Toc214972815"/>
      <w:bookmarkEnd w:id="667"/>
      <w:bookmarkStart w:id="668" w:name="_Toc214972730"/>
      <w:bookmarkEnd w:id="668"/>
      <w:bookmarkStart w:id="669" w:name="_Toc214972775"/>
      <w:bookmarkEnd w:id="669"/>
      <w:bookmarkStart w:id="670" w:name="_Toc214972810"/>
      <w:bookmarkEnd w:id="670"/>
      <w:bookmarkStart w:id="671" w:name="_Toc214972900"/>
      <w:bookmarkEnd w:id="671"/>
      <w:bookmarkStart w:id="672" w:name="_Toc214972765"/>
      <w:bookmarkEnd w:id="672"/>
      <w:bookmarkStart w:id="673" w:name="_Toc214972865"/>
      <w:bookmarkEnd w:id="673"/>
      <w:bookmarkStart w:id="674" w:name="_Toc214972760"/>
      <w:bookmarkEnd w:id="674"/>
      <w:bookmarkStart w:id="675" w:name="_Toc214972795"/>
      <w:bookmarkEnd w:id="675"/>
      <w:bookmarkStart w:id="676" w:name="_Toc214972885"/>
      <w:bookmarkEnd w:id="676"/>
      <w:bookmarkStart w:id="677" w:name="_Toc214972880"/>
      <w:bookmarkEnd w:id="677"/>
      <w:bookmarkStart w:id="678" w:name="_Toc214972735"/>
      <w:bookmarkEnd w:id="678"/>
      <w:bookmarkStart w:id="679" w:name="_Toc214972840"/>
      <w:bookmarkEnd w:id="679"/>
      <w:bookmarkStart w:id="680" w:name="_Toc214972855"/>
      <w:bookmarkEnd w:id="680"/>
      <w:bookmarkStart w:id="681" w:name="_Toc214972830"/>
      <w:bookmarkEnd w:id="681"/>
      <w:bookmarkStart w:id="682" w:name="_Toc214972850"/>
      <w:bookmarkEnd w:id="682"/>
      <w:bookmarkStart w:id="683" w:name="_Toc214972800"/>
      <w:bookmarkEnd w:id="683"/>
      <w:bookmarkStart w:id="684" w:name="_Toc214972926"/>
      <w:bookmarkStart w:id="685" w:name="_Toc19699"/>
      <w:bookmarkStart w:id="686" w:name="_Toc28975"/>
      <w:r>
        <w:rPr>
          <w:rFonts w:hint="eastAsia" w:ascii="宋体" w:hAnsi="宋体" w:cs="宋体"/>
          <w:color w:val="auto"/>
          <w:szCs w:val="21"/>
          <w:highlight w:val="none"/>
        </w:rPr>
        <w:t>站级应用</w:t>
      </w:r>
      <w:bookmarkEnd w:id="684"/>
      <w:bookmarkEnd w:id="685"/>
      <w:bookmarkEnd w:id="686"/>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站级应用需要具备高效的数据处理能力，能够实时更新和展示各类状态信息。系统应支持多终端同步操作，确保数据的一致性和及时性。此外，还需提供灵活的权限管理功能，根据不同岗位职责分配相应的操作权限，保障系统的安全性和稳定性。为提升用户体验，界面设计应简洁直观，关键信息一目了然。</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前台销售</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油品销售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罐枪监控管理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对</w:t>
      </w:r>
      <w:r>
        <w:rPr>
          <w:rFonts w:hint="eastAsia" w:ascii="宋体" w:hAnsi="宋体" w:cs="宋体"/>
          <w:color w:val="auto"/>
          <w:szCs w:val="21"/>
          <w:highlight w:val="none"/>
        </w:rPr>
        <w:t>供能站</w:t>
      </w:r>
      <w:r>
        <w:rPr>
          <w:rFonts w:hint="eastAsia" w:ascii="宋体" w:hAnsi="宋体" w:cs="宋体"/>
          <w:color w:val="auto"/>
          <w:szCs w:val="21"/>
          <w:highlight w:val="none"/>
        </w:rPr>
        <w:t xml:space="preserve">的各类设备及储罐的实时运行状态和工作参数实施实时监测，涵盖油枪、储油罐等关键设备的运行数据；对设备忙闲状态的变化情况进行全面监控，及时掌握设备使用率；动态跟踪油品的库存变化，精准统计库存量；依据实际业务需求与管理要求，灵活支持对加油枪开展远程锁定与解锁操作，以保障设备的安全使用及业务的规范管理。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油品流水管理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集成加注设备可实时获取并完整记录每一笔加油交易的详细流水数据，涵盖交易时间、加油量、金额等关键信息。与此同时，系统会自动将这些交易流水以清晰直观的方式呈现于操作界面。该系统不仅要支持对已记录的流水数据进行查询与回溯查看，还</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 xml:space="preserve">人工补录功能。当出现特殊情况致使自动记录不完整时，操作人员能够手动补充录入相关交易流水信息，以保证所有交易数据均能完整且准确地保存。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油品收银</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负责油品销售业务的收款全流程管理，包括但不限于支持多种支付方式的交易处理（涵盖微信支付、支付宝支付、现金收款、银行卡以及会员电子钱包/电子卡支付等常用支付方式以及第三方合作收款等现代化支付手段），实现交易流水的灵活锁定与解锁功能，确保资金安全与账务准确。在交易完成后，系统自动生成并打印标准化交易票据，同时支持特殊业务场景下的回罐操作结算和自用油业务结算。此外，系统还提供高效的批量结算功能，可对加油业务流水进行集中处理，大幅提升财务结算效率，满足供能站日常运营中的多样化结算需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油品订单管理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全面负责成品油销售业务中线上线下全渠道订单管理工作，包括但不限于：根据客户需求，关联加油机等设备及时准确地创建各类销售订单，对已提交订单进行必要的信息修改与更新，提供便捷高效的订单查询服务以便客户随时掌握交易进度；实时监控并详细记录订单流转状态；同时妥善处理订单相关的售后服务事宜，包括质量投诉、发票开具等各类售后问题，确保客户满意度并维护良好的商业合作关系。</w:t>
      </w:r>
    </w:p>
    <w:p>
      <w:pPr>
        <w:pStyle w:val="7"/>
        <w:numPr>
          <w:ilvl w:val="4"/>
          <w:numId w:val="5"/>
        </w:numPr>
        <w:spacing w:before="0" w:beforeLines="0" w:after="0" w:afterLines="0" w:line="360" w:lineRule="auto"/>
        <w:ind w:left="0" w:firstLine="0"/>
        <w:rPr>
          <w:rFonts w:ascii="宋体" w:hAnsi="宋体" w:cs="宋体"/>
          <w:color w:val="auto"/>
          <w:sz w:val="21"/>
          <w:szCs w:val="21"/>
          <w:highlight w:val="none"/>
        </w:rPr>
      </w:pPr>
      <w:r>
        <w:rPr>
          <w:rFonts w:hint="eastAsia" w:ascii="宋体" w:hAnsi="宋体" w:cs="宋体"/>
          <w:color w:val="auto"/>
          <w:sz w:val="21"/>
          <w:szCs w:val="21"/>
          <w:highlight w:val="none"/>
        </w:rPr>
        <w:t>盘点</w:t>
      </w:r>
    </w:p>
    <w:p>
      <w:pPr>
        <w:spacing w:after="0" w:afterLines="0" w:line="360" w:lineRule="auto"/>
        <w:ind w:firstLine="420" w:firstLineChars="200"/>
        <w:rPr>
          <w:rFonts w:ascii="宋体" w:hAnsi="宋体" w:cs="宋体"/>
          <w:color w:val="auto"/>
          <w:szCs w:val="21"/>
          <w:highlight w:val="none"/>
        </w:rPr>
      </w:pPr>
      <w:r>
        <w:rPr>
          <w:rFonts w:hint="eastAsia" w:ascii="宋体" w:hAnsi="宋体" w:cs="宋体"/>
          <w:color w:val="auto"/>
          <w:kern w:val="0"/>
          <w:szCs w:val="21"/>
          <w:highlight w:val="none"/>
        </w:rPr>
        <w:t>前台pos支持盘点操作，即盘点时自动锁定油枪油罐，记录库存数据与油枪走字码。</w:t>
      </w:r>
    </w:p>
    <w:p>
      <w:pPr>
        <w:pStyle w:val="7"/>
        <w:numPr>
          <w:ilvl w:val="4"/>
          <w:numId w:val="5"/>
        </w:numPr>
        <w:spacing w:before="0" w:beforeLines="0" w:after="0" w:afterLines="0" w:line="360" w:lineRule="auto"/>
        <w:ind w:left="0" w:firstLine="0"/>
        <w:rPr>
          <w:rFonts w:ascii="宋体" w:hAnsi="宋体" w:cs="宋体"/>
          <w:color w:val="auto"/>
          <w:sz w:val="21"/>
          <w:szCs w:val="21"/>
          <w:highlight w:val="none"/>
        </w:rPr>
      </w:pPr>
      <w:r>
        <w:rPr>
          <w:rFonts w:hint="eastAsia" w:ascii="宋体" w:hAnsi="宋体" w:cs="宋体"/>
          <w:color w:val="auto"/>
          <w:sz w:val="21"/>
          <w:szCs w:val="21"/>
          <w:highlight w:val="none"/>
        </w:rPr>
        <w:t>回罐</w:t>
      </w:r>
    </w:p>
    <w:p>
      <w:pPr>
        <w:spacing w:after="0" w:afterLines="0" w:line="360" w:lineRule="auto"/>
        <w:ind w:firstLine="420" w:firstLineChars="200"/>
        <w:rPr>
          <w:rFonts w:ascii="宋体" w:hAnsi="宋体" w:cs="宋体"/>
          <w:color w:val="auto"/>
          <w:szCs w:val="21"/>
          <w:highlight w:val="none"/>
        </w:rPr>
      </w:pPr>
      <w:r>
        <w:rPr>
          <w:rFonts w:hint="eastAsia" w:ascii="宋体" w:hAnsi="宋体" w:cs="宋体"/>
          <w:color w:val="auto"/>
          <w:kern w:val="0"/>
          <w:szCs w:val="21"/>
          <w:highlight w:val="none"/>
        </w:rPr>
        <w:t>前台POS支持回罐操作，使用维修卡/校验卡授权加油的订单，需人工选择或输入回罐原因，记录存档，并完成回罐结算。</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非油品销售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商品销售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开展非油品销售业务时，顾客选购商品后，工作人员用收银设备扫描或手动录入商品条码，将商品基本信息自动录入销售管理系统，系统记录销售数量形成销售数据记录。这些数据为收银结算提供依据，也为后续工作提供数据支持。标准化销售流程确保交易数据准确，实现商品全流程信息化管理。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临期商品销售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非油品收银作业期间，收银员对商品条码进行扫描时，系统将自动识别出临近保质期的商品。此类临期商品于系统中均已预先设定特定的促销价格，收银员仅需依照系统所提示的优惠价格完成结算流程。 临期促销价格应支持根据到期</w:t>
      </w:r>
      <w:r>
        <w:rPr>
          <w:rFonts w:hint="eastAsia" w:ascii="宋体" w:hAnsi="宋体" w:cs="宋体"/>
          <w:color w:val="auto"/>
          <w:szCs w:val="21"/>
          <w:highlight w:val="none"/>
          <w:lang w:eastAsia="zh-CN"/>
        </w:rPr>
        <w:t>时间</w:t>
      </w:r>
      <w:r>
        <w:rPr>
          <w:rFonts w:hint="eastAsia" w:ascii="宋体" w:hAnsi="宋体" w:cs="宋体"/>
          <w:color w:val="auto"/>
          <w:szCs w:val="21"/>
          <w:highlight w:val="none"/>
        </w:rPr>
        <w:t>设置阶梯促销价格。</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团购销售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员工在与团购客户开展线下面对面沟通时，待双方就团购采购价格达成共识后，员工需在系统内发起团购订单申请。公司收到申请后，会依据企业客户的采购规模、合作历史等因素，按照公司既定的团购优惠政策予以审核。审核通过后，供能站可按照获批的团购价格向该客户销售油品，同时需做好相关的销售记录以及客户资料备案工作。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常用商品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为优化收银流程、提升结账效率，系统需设置高频销售的非油品商品快捷选择功能。此功能借助大数据对顾客购买习惯展开分析，提前筛选出矿泉水、玻璃水、纸巾、车载充电器等购买频次最高的商品，构建智能推荐列表。收银员在结账过程中，能够直接从预设商品栏中一键调取这些畅销商品，无需手动输入商品编码，也无需翻页查找，极大地缩短每单交易时长。与此同时，系统会依据季节变化和销售数据动态更新推荐商品，以确保快捷栏中的商品始终契合当下顾客的实际需求，为顾客提供更为便捷高效的购物体验。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商品收银</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于供能站便利店等应用场景下，工作人员需高效处理各类非油品商品的收款业务，涵盖食品饮料、日用品、汽车用品等商品的销售结算工作。该系统需全方位支持现金、聚合支付、银行卡、移动支付（例如微信支付、支付宝）、电子钱包、第三方合作收款等多种支付形式，以契合不同顾客的支付偏好。与此同时，系统需对油品加油业务与非油品零售业务的收银流程进行整合，借助智能化的结算平台，达成加油商品与便利店商品的一单多品混合结算功能，提高收银效率，优化顾客的购物感受，缩减排队等候时长。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赠品核销</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赠品收银核销，系统应支持专属赠品核销及在售商品作为赠品核销两种模式，支持按供应商承担、站点承担两种模式核算赠品成本，适配不同业务场景，助力门店规范赠品管理、清晰统计成本，提升收银与库存管控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凭票退换货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依据销售票据记录，严格遵循公司所规定的非油品商品退换货管理流程开展操作。系统需仔细核验客户所提供销售票据的真伪，涵盖检查票据编号、销售日期、商品信息等关键要素是否完整且有效。在确认票据真实有效且商品符合退换货条件之后，根据客户需求选择办理退款或换货手续。办理退款时，需精准计算应退金额；换货时，需保证新换商品与客户需求相符。系统需支持跨日跨月退换货。且整个处理过程应注重维护客户的合法权益，同时做好相关记录的存档工作，确保退换货流程规范、透明且可追溯。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支付收银</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室内/室外收银</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为充分满足不同商业场景下支付结算的实际需求，系统需针对室内与室外环境的各自特点，开展差异化设计。在室内场景，诸如便利店收银台、商场柜台等固定场所，收银操作可凭借稳定的网络环境与完备的硬件设施，实现对多种支付方式完整流程的支持；于室外场景，例如加油岛旁的移动收银，则选用便携式移动设备，通过优化操作界面并简化操作流程，以契合移动支付的需求。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会员识别</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当支持运用多种便捷的会员身份识别手段，包括但不限于会员卡号、手机号码、车牌信息以及电子会员二维码等，以快速且精准地确认会员身份。在成功识别会员之后，系统将自动关联该会员账户内的各项信息与数据，诸如当前会员余额、累积的积分、会员等级状态以及所享有的专属权益内容等。识别会员身份后展示相关信息及权益，根据既定规则当会员进行消费交易时，系统会依据预设的会员规则体系，智能化地自动匹配并应用相应的会员专属优惠方案，同时严格遵循积分获取与兑换的相关规则，确保会员权益能够及时、准确地得以兑现。且系统需支持手动调整优惠应用优先级。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电子券识别</w:t>
      </w:r>
    </w:p>
    <w:p>
      <w:pPr>
        <w:spacing w:after="0" w:afterLines="0"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除识别会员智能匹配相应优惠外，系统应当支持单独识别电子券码，支持手动</w:t>
      </w:r>
      <w:r>
        <w:rPr>
          <w:rFonts w:hint="eastAsia" w:ascii="宋体" w:hAnsi="宋体" w:cs="宋体"/>
          <w:color w:val="auto"/>
          <w:szCs w:val="21"/>
          <w:highlight w:val="none"/>
          <w:shd w:val="clear" w:color="auto" w:fill="FCFCFC"/>
        </w:rPr>
        <w:t>录入券码或识别电子凭证，自动验证券的有效性、使用期限及适用商品范围。识别成功后，会实时计算优惠金额并抵扣订单款项，同步生成核销记录，确保每笔优惠使用可追溯，提升收银效率与顾客消费体验，满足自有及联合营销活动开展要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促销推荐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w:t>
      </w:r>
      <w:r>
        <w:rPr>
          <w:rFonts w:hint="eastAsia" w:ascii="宋体" w:hAnsi="宋体" w:cs="宋体"/>
          <w:color w:val="auto"/>
          <w:szCs w:val="21"/>
          <w:highlight w:val="none"/>
          <w:lang w:eastAsia="zh-CN"/>
        </w:rPr>
        <w:t>客户</w:t>
      </w:r>
      <w:r>
        <w:rPr>
          <w:rFonts w:hint="eastAsia" w:ascii="宋体" w:hAnsi="宋体" w:cs="宋体"/>
          <w:color w:val="auto"/>
          <w:szCs w:val="21"/>
          <w:highlight w:val="none"/>
        </w:rPr>
        <w:t>历史订单信息，结合系统后台预先配置的商品关联规则和营销策略，同时整合会员账户中的电子优惠券、积分兑换等各类权益信息，通过智能算法分析客户的消费偏好和潜在需求，最终生成个性化的商品推荐清单或优惠活动引导方案。这一流程旨在精准匹配客户需求，提供有针对性的加购建议，从而有效提升客户购买转化率和客单价，促进整体销售业绩增长。系统会实时更新推荐策略，确保在不同营销节点为客户提供最合适的消费引导。</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统一促销处理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将对供能站点的油品及非油商品的促销活动信息进行全面整合。在客户下单结算期间，系统会自动识别并匹配当前订单所契合的各项促销条件（涵盖但不限于满减优惠、折扣活动、会员专享价等），运用智能算法精确计算出应享受的优惠金额，并严格依照预设的促销规则自动执行优惠减免，以保障每笔订单都能准确享受到相应的促销权益。同时，系统还需实时更新促销活动状态，防止出现过期优惠或重复优惠的现象，为顾客提供智能化、精准化的促销服务体验。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多种混合支付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本系统需全方位支持多种支付方式，包含传统支付及现代化数字支付渠道，具体如下：现金支付、各类银行卡（借记卡与信用卡）刷卡交易、主流移动支付平台（例如微信支付、支付宝等第三方支付工具）、聚合支付、银联支付、电子卡钱包支付方式（涵盖各类虚拟钱包应用）、积分抵扣支付（准许客户运用累积的会员积分进行消费）、电子优惠券核销（支持各类电子促销券的使用）、第三方平台优惠券/订单核销等收款等多种支付解决方案，且需支持第三方合作收款记账（如饭卡合作、地方性消费券等）；为减轻收银员工作量，应合并入口扫码收款，由系统自动识别付款通道；支持非油品与油品订单合并收款。支持支付数据打通与第三方合作活动的收款优惠分摊结算。</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挂单销售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具备订单挂起功能。当客户需暂时中止购物流程时，可将当前订单进行暂时保存。被挂起的订单会完整留存所有已选商品信息、优惠活动以及支付方式等数据。客户能够在任意时间重新载入该订单，以继续完成购买流程。此功能适用于需要增购商品的情形，客户可随时返回订单添加新商品，而不必重新选择此前的所有商品，从而提升购物体验的便捷性与灵活性。同时，系统会为挂起的订单设定合理的有效期，以确保订单数据的安全性和时效性。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会员充值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站级应用需支持会员充值功能。完成会员识别后，支持使用多种电子支付方式，如支付宝、微信、云闪付等完成充值款收款，收银员可选择预设充值档位或自定义金额，系统实时到账并同步更新会员余额。充值完成后自动推送到账通知，助力门店锁客留存，简化充值流程的同时提升会员消费粘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小票打印</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依据实际业务场景与客户使用需求，系统应提供完备的个性化消费小票打印功能，支持向不同类型客户提供不同内容形式的小票（如企业会员消费小票不展示优惠信息）。当客户或业务部门提出具体需求时，能够迅速打印包含完整订单关键信息的消费凭证小票，这些信息涵盖但不限于订单编号、消费时间、商品明细、金额总计等核心数据。其中如同一订单里有多个商品，小票展示信息应体现单个商品优惠和合计优惠。同时，为增强会员服务体验与营销成效，小票需支持打印二维码，客户扫描二维码即可快速完成会员注册加入流程，或领取专属优惠。此外，系统还需实现基于小票二维码的电子发票开具功能，客户仅需扫描小票上的二维码，便能便捷地申请并获取电子发票，进而简化传统发票开具的繁杂流程，为客户提供更为智能高效的消费体验。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订单管理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订单查询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提供灵活且多样化的订单查询功能。用户可依据实际业务需求，通过输入订单编号、选择时间区间或指定客户信息等多种条件组合方式，迅速检索与油品及非油品相关订单的完整交易记录。查询结果将详尽展示每笔订单的商品明细清单（涵盖商品名称、规格型号、单价、数量等内容）、支付状态（分为已支付、未支付、部分支付）以及配送进度（包含已发货、运输中、已签收等关键节点信息）。这些详尽的订单数据用于支持日常业务的对账核销工作，同时为售后服务提供完整且可靠的凭证依据。此外，系统需支持将查询结果进行导出和打印的功能，以便于进行线下存档以及</w:t>
      </w:r>
      <w:r>
        <w:rPr>
          <w:rFonts w:hint="eastAsia" w:ascii="宋体" w:hAnsi="宋体" w:cs="宋体"/>
          <w:color w:val="auto"/>
          <w:szCs w:val="21"/>
          <w:highlight w:val="none"/>
          <w:lang w:eastAsia="zh-CN"/>
        </w:rPr>
        <w:t>更进一步</w:t>
      </w:r>
      <w:r>
        <w:rPr>
          <w:rFonts w:hint="eastAsia" w:ascii="宋体" w:hAnsi="宋体" w:cs="宋体"/>
          <w:color w:val="auto"/>
          <w:szCs w:val="21"/>
          <w:highlight w:val="none"/>
        </w:rPr>
        <w:t xml:space="preserve">的分析使用。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订单退款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处理客户所提交的订单退款申请时，系统需对各项退款条件进行核对与验证，以确定其是否符合要求，涵盖确认订单是否处于未消费状态、申请时间是否在规定的退款时效范围之内等关键要素。在确认所有退款条件均已满足之后，系统将执行退款操作，同时需详细记录退款的具体缘由、退款金额等关键信息。完成退款处理工作后，还需及时同步更新订单状态，以确保系统中订单信息的准确性与时效性，并将处理结果反馈至相关部门与客户，从而维持业务流程的完整性与透明度。</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补打小票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对已完成订单的消费小票重新打印服务。该服务将完整呈现订单的关键交易信息，包括但不限于：具体的交易日期和时间、订单总金额、商品明细（含商品名称、单价、数量等）、支付方式等核心数据。重新打印的小票具有与原小票同等的效力，可用于客户财务报销、业务对账、个人消费记录留存等多种用途。</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发票开具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当客户提出发票开具的需求时，系统需要核实该笔交易的真实性，通过调取原始订单记录、支付凭证等相关资料进行验证确认。在确保交易真实有效的前提下，财务人员将根据税务部门的规定和要求，规范开具增值税专用发票或普通发票，其中涉及需审核的发票类型，推送申请至上级系统。开具发票时需准确填写发票抬头、税号、商品明细、金额等关键信息。完成发票开具后，需及时将发票信息录入系统，并与原订单建立明确的关联关系，确保每张补开发票都能追溯到对应的交易记录，同时做好相关台账登记工作，以便后续查询和管理。整个补开发票流程都需严格遵守国家税收法规，确保税务合规性。</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运营管理</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油品管理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变价管理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依据公司管理要求以及业务规范流程，在接收中心端统一发布的油品价格指令之后，需即刻开展价格调整操作。具体工作内容如下：首先，精准获取并解析中心端下达的调价指令，明确需调整的油品种类；站级管理人员完成系统确认；其次，根据油品变价指令，在指定时间</w:t>
      </w:r>
      <w:r>
        <w:rPr>
          <w:rFonts w:hint="eastAsia" w:ascii="宋体" w:hAnsi="宋体" w:cs="宋体"/>
          <w:color w:val="auto"/>
          <w:szCs w:val="21"/>
          <w:highlight w:val="none"/>
          <w:lang w:eastAsia="zh-CN"/>
        </w:rPr>
        <w:t>系统自动</w:t>
      </w:r>
      <w:r>
        <w:rPr>
          <w:rFonts w:hint="eastAsia" w:ascii="宋体" w:hAnsi="宋体" w:cs="宋体"/>
          <w:color w:val="auto"/>
          <w:szCs w:val="21"/>
          <w:highlight w:val="none"/>
        </w:rPr>
        <w:t>更新前台收银 POS 系统以及供能站现场价格标识系统，借助系统间的数据实时交互，保障线上线下所有销售渠道的价格显示一致，避免出现价格差异，进而确保公司价格管理体系的统一性与准确性，系统记录并反馈变价情况，便于数据追溯及故障处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油罐及罐容表管理</w:t>
      </w:r>
    </w:p>
    <w:p>
      <w:pPr>
        <w:spacing w:after="0" w:afterLines="0" w:line="360" w:lineRule="auto"/>
        <w:rPr>
          <w:rFonts w:ascii="宋体" w:hAnsi="宋体" w:cs="宋体"/>
          <w:color w:val="auto"/>
          <w:szCs w:val="21"/>
          <w:highlight w:val="none"/>
        </w:rPr>
      </w:pPr>
      <w:r>
        <w:rPr>
          <w:rFonts w:hint="eastAsia" w:ascii="宋体" w:hAnsi="宋体" w:cs="宋体"/>
          <w:color w:val="auto"/>
          <w:szCs w:val="21"/>
          <w:highlight w:val="none"/>
        </w:rPr>
        <w:t xml:space="preserve">    支持录入油罐的油位、水位、温度、罐存量等基础数据，支持导入、校验、导出和备份罐容表数据，用户能随时查询这些数据，便于实时掌握油罐状态，确保油品计量准确，提升库存管理效率，保障供能站的安全与正常运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接卸管理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油品配送管理进程中，操作人员可借助系统（PC端系统及手持POS系统）下载电子配送单，或手动录入配送单信息。当油品运输车辆抵达油库或供能站时，必须严格遵循验收程序，认真核对配送单据与实际到货状况，涵盖油品数量是否相符、质量是否达标、规格参数是否匹配等关键信息。同时，系统需达成与液位仪的智能化整合，能够自动完成接卸油流程，以保障作业效率与准确性。系统需支持两种交接模式：既能够采用地罐交接方式，也可依据实际情形选用罐车交接方式。系统需支持自动收油、边卸边加、手工收油三种模式，其中边卸边加及手工收油需审批后开通</w:t>
      </w:r>
      <w:r>
        <w:rPr>
          <w:rFonts w:hint="eastAsia" w:ascii="宋体" w:hAnsi="宋体" w:cs="宋体"/>
          <w:color w:val="auto"/>
          <w:szCs w:val="21"/>
          <w:highlight w:val="none"/>
          <w:lang w:eastAsia="zh-CN"/>
        </w:rPr>
        <w:t>。</w:t>
      </w:r>
      <w:r>
        <w:rPr>
          <w:rFonts w:hint="eastAsia" w:ascii="宋体" w:hAnsi="宋体" w:cs="宋体"/>
          <w:color w:val="auto"/>
          <w:szCs w:val="21"/>
          <w:highlight w:val="none"/>
        </w:rPr>
        <w:t>需支持收油数据恢复重置等功能为不同场景下的油品交接工作提供灵活且可靠的解决方案。</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验收入账</w:t>
      </w:r>
    </w:p>
    <w:p>
      <w:pPr>
        <w:spacing w:after="0" w:afterLines="0" w:line="360" w:lineRule="auto"/>
        <w:rPr>
          <w:rFonts w:ascii="宋体" w:hAnsi="宋体" w:cs="宋体"/>
          <w:color w:val="auto"/>
          <w:szCs w:val="21"/>
          <w:highlight w:val="none"/>
        </w:rPr>
      </w:pPr>
      <w:r>
        <w:rPr>
          <w:rFonts w:hint="eastAsia" w:ascii="宋体" w:hAnsi="宋体" w:cs="宋体"/>
          <w:color w:val="auto"/>
          <w:szCs w:val="21"/>
          <w:highlight w:val="none"/>
        </w:rPr>
        <w:t xml:space="preserve">   站点完成油品接卸验收后，发起验收审批，审批通过后系统</w:t>
      </w:r>
      <w:r>
        <w:rPr>
          <w:rFonts w:hint="eastAsia" w:ascii="宋体" w:hAnsi="宋体" w:cs="宋体"/>
          <w:color w:val="auto"/>
          <w:szCs w:val="21"/>
          <w:highlight w:val="none"/>
          <w:shd w:val="clear" w:color="auto" w:fill="FFFFFF"/>
        </w:rPr>
        <w:t>将油品验收计量数据上传至总部系统，并完成入账。这一功能确保了收油流程的规范性和数据准确性，提升工作效率，便于财务核算和库存管理。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调拨管理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负责协调和管理各供能站站点之间的油品转仓调拨工作，包括根据实际需求创建详细的站间转仓调拨订单，全程跟踪监控调拨流程的各个环节（如出库确认、运输状态跟踪、入库验收等），及时更新相关站点的库存数据信息，确保各站点的油品供应充足稳定，避免出现断供或积压的情况。同时需要定期分析调拨数据，优化调拨方案，提高油品调配效率，降低运营成本。</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盘点管理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能够自动记录每个时点的库存数量，精确追踪库存变化情况；根据实际需求灵活发起实时盘点操作，确保库存数据的准确性和及时性；将生成的盘点单据自动完成记账处理，同时将盘点获得的最新数据完整无误地导入库存数据库，实现库存信息的实时更新与同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清罐管理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创建/编辑清罐任务，关联油品信息与清罐标准，并进入审批流程；支持记录清罐前油品抽空、罐内清洗、安全检测等关键步骤数据，支持上传现场照片/检测报告，实时更新任务进度状态，自动生成清罐台账（含历史记录、耗时、成本），支持按油罐、时间段、清罐类型筛选查询，输出合规报表，系统留存清罐操作记录满足监管追溯要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移罐（倒灌）管理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对同一品号下不同储油罐中的油品实施转移操作，将这些油品统一导入该品号对应的另一个指定储油罐。发起</w:t>
      </w:r>
      <w:r>
        <w:rPr>
          <w:rFonts w:hint="eastAsia" w:ascii="宋体" w:hAnsi="宋体" w:cs="宋体"/>
          <w:color w:val="auto"/>
          <w:szCs w:val="21"/>
          <w:highlight w:val="none"/>
        </w:rPr>
        <w:t>移罐任务，支持</w:t>
      </w:r>
      <w:r>
        <w:rPr>
          <w:rFonts w:hint="eastAsia" w:ascii="宋体" w:hAnsi="宋体" w:cs="宋体"/>
          <w:color w:val="auto"/>
          <w:szCs w:val="21"/>
          <w:highlight w:val="none"/>
        </w:rPr>
        <w:t>录入源油罐/目标油罐编号、移罐油品类型、计划移罐量、作业时间、负责人等信息，关联油罐容量，系统自动进行剩余油量数据校验，发起后触发审批流程。支持上传现场作业照片等信息，设置超量、异常流速预警，联动液位仪数据自动同步作业状态；作业完成后自动更新源/目标油罐库存数据，生成移罐台账（含作业时间、实际移量、损耗量），支持按油罐、时间段筛选查询与报表导出；系统留存操作日志满足监管追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油枪检定管理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 支持油机自检、强检数据的便捷录入与精准查询，涵盖检定时间、结果等关键信息，系统汇总数据并生成油机计量风险评价表等统计表，基于检测数据，结合历史误差趋势，对油机计量准确性进行风险评级，保障油机计量合规，降低经营风险与纠纷隐患，助力站点规范检定管理、把控计量精度，满足监管要求并保障运营合规。</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变类管理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在供能站的日常运营过程中，系统应当实现油品品类的升级服务，以下为两种典型情况：其一，将92号汽油升级为标号相对更高的95号汽油；其二，根据季节的变化，把0号车用柴油更换为适用于低温环境的 -10号车用柴油。 系统支持发起变类申请，录入油罐编号、原油品标号、目标油品标号、变类原因、计划作业时间、负责人等信息，关联油罐空罐状态校验，发起后触发多级审批流程</w:t>
      </w:r>
      <w:r>
        <w:rPr>
          <w:rFonts w:hint="eastAsia" w:ascii="宋体" w:hAnsi="宋体" w:cs="宋体"/>
          <w:color w:val="auto"/>
          <w:szCs w:val="21"/>
          <w:highlight w:val="none"/>
          <w:lang w:eastAsia="zh-CN"/>
        </w:rPr>
        <w:t>，在</w:t>
      </w:r>
      <w:r>
        <w:rPr>
          <w:rFonts w:hint="eastAsia" w:ascii="宋体" w:hAnsi="宋体" w:cs="宋体"/>
          <w:color w:val="auto"/>
          <w:szCs w:val="21"/>
          <w:highlight w:val="none"/>
        </w:rPr>
        <w:t>作业流程中进行系统管控，内置油品变类标准流程（清空罐内残油、清洗消毒、干燥检测、抽样化验），支持记录各步骤操作数据与上传检测报告，设置关键节点校验（如化验合格方可进新油），留存变类作业全流程操作日志</w:t>
      </w:r>
      <w:r>
        <w:rPr>
          <w:rFonts w:hint="eastAsia" w:ascii="宋体" w:hAnsi="宋体" w:cs="宋体"/>
          <w:color w:val="auto"/>
          <w:szCs w:val="21"/>
          <w:highlight w:val="none"/>
          <w:lang w:eastAsia="zh-CN"/>
        </w:rPr>
        <w:t>，</w:t>
      </w:r>
      <w:r>
        <w:rPr>
          <w:rFonts w:hint="eastAsia" w:ascii="宋体" w:hAnsi="宋体" w:cs="宋体"/>
          <w:color w:val="auto"/>
          <w:szCs w:val="21"/>
          <w:highlight w:val="none"/>
        </w:rPr>
        <w:t>满足环保与油品质量监管追溯需求；数据自动更新：作业完成后自动同步油罐油品类型、标号信息，生成变类台账（含作业时间、检测结果、损耗量），支持按油罐、时间段筛选查询与报表导出。</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加油机跳变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保障供能站运营数据的准确性与可靠性，需构建完备的监控与管理机制，着重解决因加油机设备故障或计量异常所引发的走字数不连续问题。所以，必须借助定期设备巡检、实时数据监控、异常报警机制等方式，及时察觉并处理加油机走字数不连续的问题，确保加油机计量数据的连续性与准确性，从而保证油品销售数据真实可靠。系统需支持跳变申请发起，记录跳变原因和跳变信息，支持上传现场作业凭证等信息，并在流程完成后自动更新加油机油品关联信息、计价参数，联动油罐库存管理模块，同步更新加油记录统计维度，避免加油数据混乱；生成加油机跳变台账（含作业时间、参数变更记录、检测结果），支持按设备、时间段筛选查询与报表导出，留存全流程操作日志，满足质量监管追溯要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库存管理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能够对各类油品的库存数量及具体存放位置（如油罐仓位编号、储罐区域等）进行24小时不间断的实时监测与数据更新，同时支持用户根据实际业务需求灵活设置多级库存预警阈值（包括最低库存警戒线、安全库存量等关键指标）。当库存水平触及预设的预警阈值时，系统会自动触发智能补货提醒机制，通过多种通知方式（如短信、系统弹窗等）及时提醒相关管理人员，从而有效预防因库存不足导致的供应中断风险，同时避免因过量备货造成的资金占用和仓储资源浪费，实现库存水平的精准化、智能化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回罐管理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录入回罐原因、油品类型、回罐数量等信息，关联对应油罐与加油机，自动生成回罐记录表。同时实时更新油罐库存数据，形成完整操作台账，便于追溯核查，有效防范油品损耗风险，确保供能站油品库存管理精准合规</w:t>
      </w:r>
      <w:r>
        <w:rPr>
          <w:rFonts w:hint="eastAsia" w:ascii="宋体" w:hAnsi="宋体" w:cs="宋体"/>
          <w:color w:val="auto"/>
          <w:szCs w:val="21"/>
          <w:highlight w:val="none"/>
          <w:shd w:val="clear" w:color="auto" w:fill="FCFCFC"/>
        </w:rPr>
        <w:t>。</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油品损溢管理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自动归集油罐期初库存、进货量、出库量等数据，生成班结、收油、日结、盘存等环节损溢报表，清晰呈现各油罐油品损溢情况。同时支持手动录入调整因素，分析损溢原因，形成溯源台账。通过设定合理损溢阈值，及时预警异常损耗，助力优化库存管理，降低油品流失风险，保障经营效益。</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非油品管理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在售商品查询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查询供能站当前在售的非油品类商品详细信息（包括商品名称、规格型号、零售价格、促销价格、库存数量、在售状态等），系统支持按照商品分类（如食品饮料、日用品、汽车用品等）、销售排行（可按销量、销售额等维度排序）、库存水位等多维度筛选查询，该功能主要用于便利店商品补货决策分析、商品陈列优化调整、促销活动效果评估等经营管理工作，帮助管理者及时掌握商品销售动态，优化商品结构，提升门店经营效益。</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变价管理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为优化非油品商品销售策略，需对现有商品价格体系进行全面调整。支持站级发起变价申请和总部直接下发变价通知两种流程。 变价申请发起应支持单个/批量录入非油品 SKU、当前售价、目标售价变价原因、执行时间、负责人，关联商品库存状态校验</w:t>
      </w:r>
      <w:r>
        <w:rPr>
          <w:rFonts w:hint="eastAsia" w:ascii="宋体" w:hAnsi="宋体" w:cs="宋体"/>
          <w:color w:val="auto"/>
          <w:szCs w:val="21"/>
          <w:highlight w:val="none"/>
          <w:lang w:eastAsia="zh-CN"/>
        </w:rPr>
        <w:t>，</w:t>
      </w:r>
      <w:r>
        <w:rPr>
          <w:rFonts w:hint="eastAsia" w:ascii="宋体" w:hAnsi="宋体" w:cs="宋体"/>
          <w:color w:val="auto"/>
          <w:szCs w:val="21"/>
          <w:highlight w:val="none"/>
        </w:rPr>
        <w:t>支持设置固定价/折扣价/阶梯价，配置生效时段（定时生效/即时生效），发起后触发审批流程。完成变价审批后，系统在预定生效时间自动更新销售价格，并联动库存模块更新定价数据。需支持生成变价台账，支持按商品类别/时间段筛选查询与报表导出，留存操作日志满足合规追溯，提供变价后销量/毛利分析数据。同时要建立价格核查机制，通过定期巡检确保所有销售终端和价格标签展示的信息与最新定价保持同步，避免因价格误差导致的客诉风险。</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智能要货管理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站点要货功能，支持人工要货及系统智能要货功能。智能要货通过对销售数据、库存水平、补货周期等多维度信息进行综合分析，基于预设订货规则，系统智能计算出非油品商品的最优补货数量，自动生成科学合理的补货建议订单，其中涵盖具体的商品品类、建议补货数量等详细信息，优化库存周转率，达成库存管理的精益化运作。系统应支持强配功能，支持设置单站最低起订量及地区站均起订量，订货时显示优惠价格信息。要货订单信息对接能多多系统，汇总站点要货数据至能多多系统，供后续配送业务使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验收管理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非油品商品到货验收环节，工作人员需严格按照标准操作流程进行验收，验收合格后将商品信息录入系统，系统需实时更新库存数据，确保系统库存与实际库存保持一致。如收货清单时出现不一致情况，由站点发起差异申报流程。如实际收货多于配送数量，支持收货时发起差异采购</w:t>
      </w:r>
      <w:r>
        <w:rPr>
          <w:rFonts w:hint="eastAsia" w:ascii="宋体" w:hAnsi="宋体" w:cs="宋体"/>
          <w:color w:val="auto"/>
          <w:szCs w:val="21"/>
          <w:highlight w:val="none"/>
          <w:lang w:eastAsia="zh-CN"/>
        </w:rPr>
        <w:t>流程</w:t>
      </w:r>
      <w:r>
        <w:rPr>
          <w:rFonts w:hint="eastAsia" w:ascii="宋体" w:hAnsi="宋体" w:cs="宋体"/>
          <w:color w:val="auto"/>
          <w:szCs w:val="21"/>
          <w:highlight w:val="none"/>
        </w:rPr>
        <w:t>。整个入库过程必须符合公司商品管理规范和质量控制标准，确保所有商品合规入库，为后续销售业务提供可靠的库存保障。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烟草收货预警</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对接资金接口获取流水信息，设置流水时间与烟草入库时间间隔预警值，系统自动监控时间，如到期未入库系统向指定人员发送入库预警待办信息，超期收货则启动审批流程，经审批通过后方可办理收货手续并消除待办，确保烟草入库金额与流水金额精准一致，规范烟草收货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退货管理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处理非油品供应商退货（包含直送退货及统配退货）及客户退货（需符合公司制定的退货政策）时，工作人员需要严格按照标准操作流程执行。系统需支持实物退货及账面退货两种形式，实物退货涉及运费结算，账面退货不做运费结算。在完成实物验收后，工作人员需要及时将退货信息准确录入系统，包括商品编码、退货数量、退货原因等关键数据。系统自动更新库存数据，并对应付账款模块进行相应调整。最后，系统需要完整归档退货单据及相关凭证，确保整个退货流程的每个环节都有据可查，形成完整的闭环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退货售后管理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退货售后功能，支持退一赔N等售后场景，可完成赔付物品的库存核销与对应账务处理。系统可灵活区分多类赔付商品成本承担模式，适配站点承担或供应商承担场景，确保库存数据精准、账务清晰合规，助力门店规范售后流程，高效处理退货赔付业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报损/报溢管理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在日常库存管理工作中，需详细记录非油品商品因各类原因所产生的损耗情况（例如商品超过保质期、包装破损无法销售等）或盘盈情况。一旦发现此类情形，相关人员应及时于系统中录入规范的报损单或报溢单，在单据里要完整阐明损耗或盘盈的具体缘由（例如运输途中破损、存储不当致使变质等），并附上相关证明材料。系统依据公司审批流程审批通过之后，相关人员需根据单据内容在系统中调整对应商品的库存数量，同时同步更新库存成本数据，以确保账实相符。通过如此规范化的流程操作，能够有效保障库存数据的准确性与可靠性，为企业的经营决策提供真实的依据。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站间调拨管理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协调和管理各供能站之间的非油类商品调拨，包括但不限于便利店商品、汽车用品等物资的调配。具体工作内容包括：根据各站点库存情况和销售需求，创建详细的调拨订单；全程跟踪监控调拨流程的各个环节，如商品出库、运输配送、到货入库等关键节点；实时更新调出站点和调入站点的库存数据，确保系统库存与实际库存保持一致；通过科学的调拨管理，合理配置商品资源，避免库存积压或短缺，提高商品周转率，从而优化整体运营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盘点管理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定期开展非油品库存的实地清点工作，将系统库存数据与实物数量进行核对，记录两者间的差异并分析原因（例如损耗、系统误差等），对库存数据予以调整以确保其准确性。 支持分阶段分类盘点，无需全品类一次性完成盘点。</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订单管理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订单查询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全面的油品、非油品、洗车等站级业务消费订单以及会员充值订单数据查询功能，可获取完整的订单全量数据集。用户可通过多种维度进行灵活筛选，包括但不限于订单类型、订单状态（待支付、已支付、已完成等）以及客户信息（客户ID、客户等级等）。系统完整记录并展示订单全生命周期流程，从订单创建、支付处理到最终完成的各个环节均可实时跟踪。该功能主要用于企业日常业务运营监控，帮助管理人员及时掌握订单动态，同时也为售后服务提供数据支持，便于快速响应客户需求和处理售后问题。</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订单冲销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处理各类错误订单（如客户重复下单、商品信息选择错误等异常情况）时，系统需要执行完整的冲销操作流程（该操作实质上相当于取消原始错误订单）。具体而言，系统会按照预设的业务规则，自动进行反向调整操作：一方面对库存数据进行相应增减，另一方面同步调整相关资金账户数据，以确保企业账务记录的准确性和完整性，避免因订单错误导致财务数据出现偏差。整个处理过程严格遵循财务核算规范，保证业务数据和财务数据的一致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订单作废</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针对系统中产生的各类无效订单（例如用户未在规定时间内完成支付导致订单超时失效，或经系统识别为恶意提交的虚假订单等情况），系统将自动执行严格的作废处理流程。该流程首先会解除订单对相关业务资源的占用锁定（包括但不限于商品库存的预扣减、优惠券的预留等），随后将订单状态标记更新为</w:t>
      </w:r>
      <w:r>
        <w:rPr>
          <w:rFonts w:hint="eastAsia" w:ascii="宋体" w:hAnsi="宋体" w:cs="宋体"/>
          <w:color w:val="auto"/>
          <w:szCs w:val="21"/>
          <w:highlight w:val="none"/>
          <w:lang w:eastAsia="zh-CN"/>
        </w:rPr>
        <w:t>“</w:t>
      </w:r>
      <w:r>
        <w:rPr>
          <w:rFonts w:hint="eastAsia" w:ascii="宋体" w:hAnsi="宋体" w:cs="宋体"/>
          <w:color w:val="auto"/>
          <w:szCs w:val="21"/>
          <w:highlight w:val="none"/>
        </w:rPr>
        <w:t>作废</w:t>
      </w:r>
      <w:r>
        <w:rPr>
          <w:rFonts w:hint="eastAsia" w:ascii="宋体" w:hAnsi="宋体" w:cs="宋体"/>
          <w:color w:val="auto"/>
          <w:szCs w:val="21"/>
          <w:highlight w:val="none"/>
          <w:lang w:eastAsia="zh-CN"/>
        </w:rPr>
        <w:t>”</w:t>
      </w:r>
      <w:r>
        <w:rPr>
          <w:rFonts w:hint="eastAsia" w:ascii="宋体" w:hAnsi="宋体" w:cs="宋体"/>
          <w:color w:val="auto"/>
          <w:szCs w:val="21"/>
          <w:highlight w:val="none"/>
        </w:rPr>
        <w:t>状态。完成此操作后，该订单将彻底退出业务系统的正常流转环节，不再计入任何业务统计报表（如销售统计、库存周转分析等），确保业务数据的准确性和系统资源的合理利用。同时，系统会记录完整的作废操作日志，以便后续进行审计和追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补打补开票据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客户实际需求或企业标准业务流程，针对已完成的油品及非油品交易订单，提供票据服务。具体包括开具正规发票、打印销售小票及其他相关交易凭证。此项服务旨在满足客户的各类凭证需求，同时确保企业财务档案的完整性和合规性。服务过程中，工作人员将严格按照财务制度要求，核对原始交易记录，确认补打票据的合法性和准确性，确保补打票据与原始票据具有同等法律效力。此外，系统将自动记录补打操作日志，实现票据补打全过程的可追溯性管理。</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资金管理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找赎金管理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站点管理应妥善保管找赎金（包含各类面额的备用零钱）。系统需记录找赎金的领取时间、领取人、领取金额等关键信息；同时，要完整登记找赎金的归还时间、归还人、归还金额等情况；针对日常使用中的找赎金支出，也需做好使用时间、使用金额、使用事由等信息的记录。财务部门应定期（例如每日营业结束后或每周固定时间）对找赎金进行实物盘点，将实际库存与账面记录予以核对，以确保账实相符。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缴款管理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负责全面管理各营业站点的款项缴款工作流程，详细记录每笔营业款项的缴款金额、具体缴款方式（包括但不限于现金缴存银行柜台、网银转账、第三方支付平台转账等多种形式），实时跟踪每笔缴款的银行到账进度，定期与财务系统进行账务核对，确保所有营业资金安全、准确、及时地完成归集工作，防范资金风险。同时建立完善的缴款台账，对异常缴款情况进行预警和处理，确保资金流转全程可追溯、可核查。</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班日结管理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班结管理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交接班过程中，系统需要全面统计本班次内各类油品（包括汽油、柴油等）及非油品（如便利店商品、汽车用品等）的销售数量与金额，详细记录库存变动情况（包括进货、销售、损耗等），准确核算收款金额（含现金、银行卡、移动支付等多种支付方式）。同时要认真核对系统账目与实际库存数量，确保每一笔交易记录都与实物相符，发现差异要及时查明原因并做好记录。</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日结管理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每日营业工作结束后，工作人员需要在系统汇总整理当天的各项经营数据，包括各类油品的销售数量与金额、非油品类商品的销售情况、各类收款方式的金额统计以及库存商品的变动情况等，并生成详细的日结营业报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异常处理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处理班日结过程中出现的各类异常情况（如账目金额不符、库存数量差异等），需要及时进行系统排查和原因分析（包括但不限于漏登订单、计量设备误差、人为操作失误等因素）。针对发现的异常问题，需采取相应的数据调整措施，同时详细记录异常处理的全过程（包括问题描述、排查步骤、解决方案等），系统形成完整的异常处理台账，便于后续审查追溯。</w:t>
      </w:r>
      <w:r>
        <w:rPr>
          <w:rFonts w:hint="eastAsia" w:ascii="宋体" w:hAnsi="宋体" w:cs="宋体"/>
          <w:color w:val="auto"/>
          <w:szCs w:val="21"/>
          <w:highlight w:val="none"/>
          <w:lang w:eastAsia="zh-CN"/>
        </w:rPr>
        <w:t>通过</w:t>
      </w:r>
      <w:r>
        <w:rPr>
          <w:rFonts w:hint="eastAsia" w:ascii="宋体" w:hAnsi="宋体" w:cs="宋体"/>
          <w:color w:val="auto"/>
          <w:szCs w:val="21"/>
          <w:highlight w:val="none"/>
        </w:rPr>
        <w:t>一系列规范化的操作流程，确保财务数据的准确性和可靠性，为后续的财务分析和决策提供真实有效的数据支持。</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账单管理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台账电子化</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支持导入和录入电子台账表单，如计量器具管理台账、计量证书台账、劳保用品出入库台账等，减少纸质登记工作量，便于查询备份与后续追溯，提高工作效率。</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运营监控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报表统计</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支持油品销售与便利店运营两大核心板块完整业务数据的管理。在油品业务领域，系统提供涵盖交接班记录、日常运营日报、油站基础信息、价格明细清单、交易流水明细等多维度的报表体系，并可视化展示统计数据。此类报表需覆盖油品业务的全流程场景，既涵盖常规的站间油品转仓调拨、配送验收管理，也涉及油品跳变异常监控、各类自用油使用登记以及分罐保管等特色业务场景。在非油品业务板块，需构建包含交接班记录、日营业报表、商品收货汇总、实时库存明细等的报表矩阵，这些报表需记录商品从基础信息维护、交易流水记录直至销售排行分析、滞销商品统计等全业务链条，达成从商品采购、库存管理到销售分析的全生命周期数据追踪。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综合监控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通过全面整合供能站各业务维度的核心数据（包括油品销售数据、库存周转情况、设备运行状态、客流量变化趋势等关键指标），构建实时动态监测系统，实现对站点运营状况的360度全方位监控。系统采用直观的可视化展示方式，将复杂的业务数据转化为简洁明了的图表和趋势分析，帮助站级管理者快速掌握业务运行态势，及时发现异常波动，从而做出精准决策。</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经营动态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通过对供能站日常经营数据的系统性分析与深度挖掘，全面把握各项经营指标的变化趋势和发展规律。具体包括：持续跟踪油品销量、非油品销售额、客单价、客户流量等核心经营指标的月度/季度/年度变化情况；深入分析不同油品品号、不同时段的销售特征；精准识别经营过程中的亮点业务和潜在问题。</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营销动态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跟踪油品与非油品营销活动的实施效果（包括但不限于参与人数统计、销售额增长率测算等关键指标），深入分析各类营销策略（如满减促销、会员专享折扣、限时特惠活动等多样化营销手段）在本供能站的营销成效表现，通过数据对比和趋势分析，为后续营销方案的优化提供决策依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消息管理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接收系统通知（如订单变更、待办提醒等），支持按消息类型分类整理，方便快速筛选查看；同时具备消息标记已读功能，</w:t>
      </w:r>
      <w:r>
        <w:rPr>
          <w:rFonts w:hint="eastAsia" w:ascii="宋体" w:hAnsi="宋体" w:cs="宋体"/>
          <w:color w:val="auto"/>
          <w:szCs w:val="21"/>
          <w:highlight w:val="none"/>
          <w:shd w:val="clear" w:color="auto" w:fill="FFFFFF"/>
        </w:rPr>
        <w:t>同时留存消息历史记录，方便回溯查询，</w:t>
      </w:r>
      <w:r>
        <w:rPr>
          <w:rFonts w:hint="eastAsia" w:ascii="宋体" w:hAnsi="宋体" w:cs="宋体"/>
          <w:color w:val="auto"/>
          <w:szCs w:val="21"/>
          <w:highlight w:val="none"/>
        </w:rPr>
        <w:t>助力工作人员清晰区分未处理与已办结消息，高效跟进事务，提升站内工作协同与响应效率。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进出站车牌监控及客流监控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对接监控系统数据，采集记录进出站车辆车牌信息及客流信息，关联记录时间、加油工位等数据，形成可追溯的车辆台账，统计时段内客流总量、高峰时段分布，生成客流趋势图表，助力分析客群特征，优化排班与营销方案，提升运营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异常报警</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根据预设风控阈值，实时监控站点交易异常、开票异常等异常行为、油罐液位异常变化及油气回收参数超标情况，根据报警类型不同，推送预警/报警信息至指定管理人员，同时记录异常详情与处理轨迹，形成风险台账，助力快速响应处置，保障运营合规与安全。</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员工管理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员工信息与账号管理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增删员工，录入个人信息及在职离职情况，关联员工证件、员工卡、员工码（含支付宝推荐码），配置POS账号权限，账号、员工卡及员工码关联员工操作记录，统计员工销售业绩、推荐会员注册、推荐会员充值情况、推荐会员消费个、服务效率等数据，作为绩效评估依据。支持录入并管理员工证件，如健康证、计量证等，过期自动提醒。</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员工卡挂失及变更</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员工卡挂失及变更操作，遗失后可快速锁定卡片权限；员工离职时，能及时变更或注销卡片信息，杜绝权限滥用；员工调岗时能及时变更员工卡权限，同时完整记录卡片挂失、变更、注销等操作轨迹，支持按员工、时间等维度查询历史记录，确保卡片管理可追溯，保障站点运营安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员工绩效管理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基于员工卡、员工推荐码及员工账号，将与员工绩效相关联的订单标识，凭借订单编号与员工操作记录构建关联关系，进而形成完整的数据链条。系统可借助该标识精确追踪每笔订单的销售进程和服务流程，由此统计员工在油品/非油品销售业绩、会员推荐情况、服务响应速度、客户评价满意度等多个维度的绩效数据，此类数据将作为员工绩效考核的重要量化参考依据。在系统之中，需保障员工身份标识的唯一性与可追溯性，从而便于企业开展精准的绩效分析与人才管理工作。 可查询个人绩效明细，生成绩效排名表、指标分析报表，为薪酬核算与评优提供数据支撑，提升绩效管理精准度。</w:t>
      </w:r>
    </w:p>
    <w:p>
      <w:pPr>
        <w:pStyle w:val="5"/>
        <w:numPr>
          <w:ilvl w:val="2"/>
          <w:numId w:val="5"/>
        </w:numPr>
        <w:spacing w:before="0" w:beforeLines="0" w:after="0" w:afterLines="0" w:line="360" w:lineRule="auto"/>
        <w:rPr>
          <w:rFonts w:ascii="宋体" w:hAnsi="宋体" w:cs="宋体"/>
          <w:color w:val="auto"/>
          <w:szCs w:val="21"/>
          <w:highlight w:val="none"/>
        </w:rPr>
      </w:pPr>
      <w:bookmarkStart w:id="687" w:name="_Toc3397"/>
      <w:bookmarkStart w:id="688" w:name="_Toc3104"/>
      <w:r>
        <w:rPr>
          <w:rFonts w:hint="eastAsia" w:ascii="宋体" w:hAnsi="宋体" w:cs="宋体"/>
          <w:color w:val="auto"/>
          <w:szCs w:val="21"/>
          <w:highlight w:val="none"/>
        </w:rPr>
        <w:t>物联应用</w:t>
      </w:r>
      <w:bookmarkEnd w:id="687"/>
      <w:bookmarkEnd w:id="688"/>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手持POS应用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交易收款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供能站非油品零售交易场景中，工作人员可通过智能手持POS终端设备高效完成各类收款操作。该终端系统具备多项智能化支付功能，包括自动识别电子优惠券、精准识别会员身份信息，支持二维码扫码扣款、车牌自动识别支付等创新支付方式。同时系统还兼容与第三方支付平台的无缝对接，可处理现金、微信支付、支付宝、第三方合</w:t>
      </w:r>
      <w:r>
        <w:rPr>
          <w:rFonts w:hint="eastAsia" w:ascii="宋体" w:hAnsi="宋体" w:cs="宋体"/>
          <w:color w:val="auto"/>
          <w:szCs w:val="21"/>
          <w:highlight w:val="none"/>
          <w:lang w:val="en-US" w:eastAsia="zh-CN"/>
        </w:rPr>
        <w:t>作</w:t>
      </w:r>
      <w:r>
        <w:rPr>
          <w:rFonts w:hint="eastAsia" w:ascii="宋体" w:hAnsi="宋体" w:cs="宋体"/>
          <w:color w:val="auto"/>
          <w:szCs w:val="21"/>
          <w:highlight w:val="none"/>
        </w:rPr>
        <w:t>收款等多种支付方式。手持POS收款功能与PC端收银POS收款保持一致。交易完成后系统会自动打印详细的支付凭证单据，为消费者提供完整的交易记录。</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泵岛销售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于供能站现场的加油泵岛区域，工作人员可借助手持移动 POS 终端设备开展非油品销售业务。具体操作模式为：当车辆停靠于加油岛接受加油服务时，工作人员可主动向车内客户推介便利店商品、汽车用品等非油品类商品，以面对面的营销方式激发客户的购买意愿。待客户确认购买后，工作人员可即刻使用手持 POS 终端进行现场商品识别及扫码收款，迅速完成支付流程，并当场打印交易小票交付给客户。以此提升非油品类的整体销售业绩以及客户服务体验。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接卸油</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支持使用手持POS完成接卸油操作，功能与电脑端系统保持一致。在油品接卸作业进程中，操作人员需严格依照规范流程开展工作。具体来说，当油罐车抵达接卸现场时，操作人员应运用手持式 POS 终端设备详尽记录接卸油品的各项关键信息，涵盖油品的具体类别（例如 92#汽油、0#柴油等）、实际接卸数量（以升或吨为单位进行计量）、运输车辆的车牌号码以及所属单位等基础数据。同时，操作人员务必仔细核对验收单据上的各项数据，包含油品质量检验报告、发货单信息等，借助多维度的数据比对，保证接卸作业完全契合公司规定与行业标准。在确认所有信息准确无误之后，操作人员需及时将接卸数据录入系统，实时更新库存台账，确保库存数据的准确性与时效性，为后续的油品管理与销售工作提供可靠的数据支撑。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非油品验收</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在非油品商品到货验收阶段，工作人员借助手持 POS 终端设备开展商品信息录入工作。具体流程如下：首先，以扫描商品条码或二维码的形式获取商品基础数据；接着，认真核查实际到货数量与系统订单数量是否完全相符，同时检查商品外包装是否完好、产品保质期是否满足要求等质量指标。在验收过程中，若发现任何异常状况，需及时记录并上报处理。确认无误后，将验收结果通过移动终端实时上传至后台管理系统，系统会自动完成库存数据的同步更新。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非油品盘点</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在开展非油品库存盘点工作时，工作人员借助手持式 POS 终端设备，对货架商品逐个进行扫码操作，精确清点并记录各类商品的实物库存数量。手持POS盘点数据与电脑端盘点数据实时同步，支持单次盘点使用两种设备。之后，系统会将实际盘点数据与系统内的理论库存数据加以比对，自动计算并生成库存差异明细报表。此举旨在提高库存盘点的效率与准确性，及时察觉库存异常状况，为后续的库存数据调整及差异分析提供可靠支撑，进而达成库存管理的精准化与高效化。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设备集成</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加油机</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全面支持IFSF国际标准协议的对接与整合工作。同时，还需提供灵活的自定义协议开发接口，使用户能够依据实际业务需求，自主定义并配置专属的通信协议。此外，系统应当实现与各类油机管理系统的深度集成，达成油机数据采集、状态监控、库存管理等核心功能的互联互通，以确保油品零售业务实现完整的闭环管理。系统支持</w:t>
      </w:r>
      <w:r>
        <w:rPr>
          <w:rFonts w:hint="eastAsia" w:ascii="宋体" w:hAnsi="宋体" w:cs="宋体"/>
          <w:color w:val="auto"/>
          <w:szCs w:val="21"/>
          <w:highlight w:val="none"/>
          <w:lang w:eastAsia="zh-CN"/>
        </w:rPr>
        <w:t>招标人</w:t>
      </w:r>
      <w:r>
        <w:rPr>
          <w:rFonts w:hint="eastAsia" w:ascii="宋体" w:hAnsi="宋体" w:cs="宋体"/>
          <w:color w:val="auto"/>
          <w:szCs w:val="21"/>
          <w:highlight w:val="none"/>
        </w:rPr>
        <w:t xml:space="preserve">已投入使用的多种品牌油机接入(正星、恒山、三盈等）。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液位仪</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具备强大的协议兼容能力，既需支持国际通用的IFSF标准协议，以实现与各类符合IFSF规范的设备进行无缝对接，又需支持与多个行业主流品牌的私有协议开展深度集成。具体来说，产品能够完全兼容维德路特（Wayne）全系列加油机设备的通信协议，以及澳邦（Gilbarco）等知名品牌特有的私有通信协议，从而确保与不同品牌设备建立稳定可靠的连接。系统支持</w:t>
      </w:r>
      <w:r>
        <w:rPr>
          <w:rFonts w:hint="eastAsia" w:ascii="宋体" w:hAnsi="宋体" w:cs="宋体"/>
          <w:color w:val="auto"/>
          <w:szCs w:val="21"/>
          <w:highlight w:val="none"/>
          <w:lang w:eastAsia="zh-CN"/>
        </w:rPr>
        <w:t>招标人</w:t>
      </w:r>
      <w:r>
        <w:rPr>
          <w:rFonts w:hint="eastAsia" w:ascii="宋体" w:hAnsi="宋体" w:cs="宋体"/>
          <w:color w:val="auto"/>
          <w:szCs w:val="21"/>
          <w:highlight w:val="none"/>
        </w:rPr>
        <w:t>已投入使用的多种液位仪接入（青岛澳科、富兰克林、维德路特等）。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洗车机</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借助多种渠道为用户提供便利的洗车服务体验，具体通过线上营销推广、线下活动发放以及直接销售等途径向用户发放电子洗车券。系统需与市面上多个主流品牌的洗车设备进行对接，以实现跨平台兼容性。用户仅需使用手机扫描设备上的二维码，便能迅速获取该洗车机的详细信息与使用说明。在用户确认使用后，系统将自动核销其账户中的洗车券，并远程启动相应的洗车设备。在整个洗车过程中，系统需实时监测设备运行状况和洗车进度，以保障服务流程的顺利开展，同时为用户提供进度反馈，使用户能够随时了解洗车状态。系统支持</w:t>
      </w:r>
      <w:r>
        <w:rPr>
          <w:rFonts w:hint="eastAsia" w:ascii="宋体" w:hAnsi="宋体" w:cs="宋体"/>
          <w:color w:val="auto"/>
          <w:szCs w:val="21"/>
          <w:highlight w:val="none"/>
          <w:lang w:eastAsia="zh-CN"/>
        </w:rPr>
        <w:t>招标人</w:t>
      </w:r>
      <w:r>
        <w:rPr>
          <w:rFonts w:hint="eastAsia" w:ascii="宋体" w:hAnsi="宋体" w:cs="宋体"/>
          <w:color w:val="auto"/>
          <w:szCs w:val="21"/>
          <w:highlight w:val="none"/>
        </w:rPr>
        <w:t>已投入使用的多种洗车机接入（讯风、驿公里等）。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品牌柱价格牌</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供能站的整体规划设计中，集成于入口处显著位置的品牌柱上需要设置醒目的价格显示牌。该价格牌应当与供能站内部的价格系统保持实时联动，确保当油品价格发生变动时，能够第一时间自动同步更新品牌柱上的价格信息。确保价格信息的准确性和时效性，以及为进站顾客提供清晰直观的价格指引。</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加油机大屏</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加油机大屏需支持车牌付授权加油，快速启动加油流程。同时接收系统统一下发的广告内容，实现广告促销图片或视频的展示，优化车主体验与站点运营效益。</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智慧支付</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车牌付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通过整合车牌自动识别等智能化技术手段，系统应精准识别车辆信息，并将其与客户会员账户进行智能关联。基于手持pos拍照识别车牌方案和基于摄像机视频识别技术方案，实现通过手持POS或加油机大屏完成车牌付加油收款流程，从而缩短交易处理时间，避免传统支付方式中常见的排队等待情况，为用户提供更为高效、便捷的通行体验，切实达成“即停即走”的无障碍通行模式。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物联监测</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可燃气体报警</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该系统需集成具备高灵敏度的可燃气体检测传感器，可对环境中可燃气体的浓度变化实施实时监测，并将监测所得信号传送至中央控制系统。一旦检测到气体浓度超出预先设定的安全阈值，系统会即刻启动声光报警装置，同时借助无线网络向管理人员发送报警信息，以确保能够在第一时间察觉并处置潜在的危险状况，从而有效防范火灾或爆炸事故的发生。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油气回收监测</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集成油气回收系统，以实现对油气回收过程中各项关键参数的实时监测，这些参数涵盖油气浓度、流量、压力等指标。该系统需配备智能化监控平台，借助传感器网络与数据采集模块，持续跟踪系统的运行状态，达成全天候无间断的动态监控。一旦检测到异常状况，系统应即刻触发多级联动报警机制，通过声光报警、短信推送、平台弹窗等多种途径及时通知相关人员，以确保问题能够得到迅速响应与处理。同时，系统还应具备数据记录与分析功能，从而为后续的优化改进提供可靠依据。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卡管理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员工卡管理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系统应集成员工卡（</w:t>
      </w:r>
      <w:r>
        <w:rPr>
          <w:rFonts w:hint="eastAsia" w:ascii="宋体" w:hAnsi="宋体" w:cs="宋体"/>
          <w:color w:val="auto"/>
          <w:szCs w:val="21"/>
          <w:highlight w:val="none"/>
          <w:shd w:val="clear" w:color="auto" w:fill="FFFFFF"/>
        </w:rPr>
        <w:t>维修卡、校验卡</w:t>
      </w:r>
      <w:r>
        <w:rPr>
          <w:rFonts w:hint="eastAsia" w:ascii="宋体" w:hAnsi="宋体" w:cs="宋体"/>
          <w:color w:val="auto"/>
          <w:szCs w:val="21"/>
          <w:highlight w:val="none"/>
        </w:rPr>
        <w:t>）应用，支持员工卡的多场景应用，涵盖但不限于支持基于员工卡的加油数据统计功能，以及设置员工卡加油权限与限额。员工可直接通过刷员工卡完成加油机授权操作，系统将自动记录每次加油的时间、地点、油品类型和加油量等详尽信息，并生成完备的加油统计报表。支</w:t>
      </w:r>
      <w:r>
        <w:rPr>
          <w:rFonts w:hint="eastAsia" w:ascii="宋体" w:hAnsi="宋体" w:cs="宋体"/>
          <w:color w:val="auto"/>
          <w:szCs w:val="21"/>
          <w:highlight w:val="none"/>
          <w:shd w:val="clear" w:color="auto" w:fill="FFFFFF"/>
        </w:rPr>
        <w:t>持卡片权限分级授权，仅已授权卡可授权加油，系统自动记录油机操作数据，同步授权加油功能以满足业务需求，统计授权加油的油量、金额，生成操作日志与加油报表，实现卡证管理、油机控制与数据统计一体化，保障油机运维规范可控。</w:t>
      </w:r>
    </w:p>
    <w:p>
      <w:pPr>
        <w:pStyle w:val="3"/>
        <w:numPr>
          <w:ilvl w:val="1"/>
          <w:numId w:val="5"/>
        </w:numPr>
        <w:spacing w:before="0" w:beforeLines="0" w:after="0" w:afterLines="0" w:line="360" w:lineRule="auto"/>
        <w:rPr>
          <w:rFonts w:ascii="宋体" w:hAnsi="宋体" w:cs="宋体"/>
          <w:color w:val="auto"/>
          <w:szCs w:val="21"/>
          <w:highlight w:val="none"/>
        </w:rPr>
      </w:pPr>
      <w:bookmarkStart w:id="689" w:name="_Toc214972929"/>
      <w:bookmarkEnd w:id="689"/>
      <w:bookmarkStart w:id="690" w:name="_Toc214972927"/>
      <w:bookmarkEnd w:id="690"/>
      <w:bookmarkStart w:id="691" w:name="_Toc214972928"/>
      <w:bookmarkEnd w:id="691"/>
      <w:bookmarkStart w:id="692" w:name="_Toc214972930"/>
      <w:bookmarkStart w:id="693" w:name="_Toc11424"/>
      <w:bookmarkStart w:id="694" w:name="_Toc11968"/>
      <w:r>
        <w:rPr>
          <w:rFonts w:hint="eastAsia" w:ascii="宋体" w:hAnsi="宋体" w:cs="宋体"/>
          <w:color w:val="auto"/>
          <w:szCs w:val="21"/>
          <w:highlight w:val="none"/>
        </w:rPr>
        <w:t>客户移动端应用</w:t>
      </w:r>
      <w:bookmarkEnd w:id="692"/>
      <w:bookmarkEnd w:id="693"/>
      <w:bookmarkEnd w:id="694"/>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触达渠道</w:t>
      </w:r>
    </w:p>
    <w:p>
      <w:pPr>
        <w:pStyle w:val="6"/>
        <w:numPr>
          <w:ilvl w:val="3"/>
          <w:numId w:val="5"/>
        </w:numPr>
        <w:tabs>
          <w:tab w:val="left" w:pos="312"/>
        </w:tabs>
        <w:spacing w:before="0" w:beforeLines="0" w:after="0" w:afterLines="0" w:line="360" w:lineRule="auto"/>
        <w:ind w:left="862" w:hanging="862"/>
        <w:rPr>
          <w:rFonts w:ascii="宋体" w:hAnsi="宋体" w:cs="宋体"/>
          <w:color w:val="auto"/>
          <w:szCs w:val="21"/>
          <w:highlight w:val="none"/>
        </w:rPr>
      </w:pPr>
      <w:r>
        <w:rPr>
          <w:rFonts w:hint="eastAsia" w:ascii="宋体" w:hAnsi="宋体" w:cs="宋体"/>
          <w:color w:val="auto"/>
          <w:szCs w:val="21"/>
          <w:highlight w:val="none"/>
        </w:rPr>
        <w:t>微信公众号/小程序、支付宝小程序</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客户关注</w:t>
      </w:r>
      <w:r>
        <w:rPr>
          <w:rFonts w:hint="eastAsia" w:ascii="宋体" w:hAnsi="宋体" w:cs="宋体"/>
          <w:color w:val="auto"/>
          <w:szCs w:val="21"/>
          <w:highlight w:val="none"/>
        </w:rPr>
        <w:t>微信</w:t>
      </w:r>
      <w:r>
        <w:rPr>
          <w:rFonts w:hint="eastAsia" w:ascii="宋体" w:hAnsi="宋体" w:cs="宋体"/>
          <w:color w:val="auto"/>
          <w:szCs w:val="21"/>
          <w:highlight w:val="none"/>
        </w:rPr>
        <w:t>公众号、微信小程序、支付宝小程序，公众号侧重轻量触达（如消息推送、快捷入口）。</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会员在线</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基础服务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管理账号基础信息（头像、昵称）、隐私设置（如位置权限）、通知开关（是否接收营销短信），自定义账号使用偏好。</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用户可以对个人设置中的各项内容进行灵活调整，以满足个性化需求。例如，在管理账号基础信息时，用户能够上传或更换头像，并修改昵称以展示独特的身份标识。隐私设置模块允许用户根据自身偏好控制位置权限的开放程度，确保个人信息的安全性。同时，通知开关功能让用户自主决定是否接收营销短信或其他类型的消息推送，避免不必要的打扰。</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账户注册</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用户在进行账号注册时，注册过程中需提供有效的手机号码并完成实名认证，以此作为身份验证的依据。系统会向该手机号码发送包含6位数字的短信验证码，用户需在指定时间内准确输入验证码以完成验证。验证通过后，该手机号码将与用户账号进行永久性绑定。绑定后的手机号码将作为后续登录系统的重要凭据，同时也是进行找回密码、修改账户信息等敏感操作时必要的验证方式。支持同个手机号同时注册管理个人会员账号及企业会员账号。</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会员登录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用户通过多种便捷方式登录系统，包括但不限于使用手机号码配合短信验证码进行验证登录、直接通过第三方社交账号（如微信等）一键授权登录。所有登录方式都与平台的会员体系深度关联，确保用户无论采用哪种登录途径，其会员身份和对应的账号权益都能实现实时自动同步。系统能智能识别用户身份，将包括会员等级、积分、优惠券等在内的所有权益数据无缝同步至当前登录账号，为用户提供连贯一致的使用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我的消息</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自动推送消息通知，包括但不限于订单状态变更提醒（如发货通知、物流更新、签收确认等）、个性化营销活动信息（如限时折扣、会员专享优惠、新品上市预告等）以及双向互动沟通内容（如商品评价邀请、售后问题反馈、客服咨询回复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会员二维码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当会员于供能站接受加油服务时，工作人员通过扫描会员个人专属的会员二维码，能够迅速完成会员身份认证，达成加油记录与会员账户的自动关联。与此同时，该二维码还具备电子优惠券的核销功能。例如，在合作供能站便利店进行购物结算时，收银员扫描会员二维码，便可自动抵扣会员账户中的电子优惠券金额，无需手动输入任何信息。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实名认证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具备实名认证功能。为保障实名认证过程的精准性与安全性，系统需与权威的身份验证服务提供商进行对接，例如华为付费认证接口。当用户上传身份证照片后，系统会自动提取关键信息，并与官方数据库展开比对，以此确认身份的真实性。整个认证流程运用加密技术来保护用户隐私，避免敏感数据泄露。若认证成功，用户账号的安全等级将大幅提高，同时可解锁更多高级功能权限，诸如参与高价值交易、享受专属优惠活动等。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优惠设置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系统需支持会员自主设置是否在支付时是否使用优惠。</w:t>
      </w:r>
    </w:p>
    <w:p>
      <w:pPr>
        <w:pStyle w:val="6"/>
        <w:numPr>
          <w:ilvl w:val="3"/>
          <w:numId w:val="5"/>
        </w:numPr>
        <w:tabs>
          <w:tab w:val="left" w:pos="312"/>
        </w:tabs>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会员权益</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我的积分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系统支持查询个人积分（浙油豆）情况，包括查询当前账户的积分总量余额，以及查看详细的积分变动明细记录。在积分明细中，可以清</w:t>
      </w:r>
      <w:r>
        <w:rPr>
          <w:rFonts w:hint="eastAsia" w:ascii="宋体" w:hAnsi="宋体" w:cs="宋体"/>
          <w:color w:val="auto"/>
          <w:szCs w:val="21"/>
          <w:highlight w:val="none"/>
          <w:lang w:eastAsia="zh-CN"/>
        </w:rPr>
        <w:t>晰地</w:t>
      </w:r>
      <w:r>
        <w:rPr>
          <w:rFonts w:hint="eastAsia" w:ascii="宋体" w:hAnsi="宋体" w:cs="宋体"/>
          <w:color w:val="auto"/>
          <w:szCs w:val="21"/>
          <w:highlight w:val="none"/>
        </w:rPr>
        <w:t>看到各类积分获取途径（如加油消费获得的积分奖励）和积分消耗情况（如购物消费时抵扣的积分）。同时，系统还需提供完整的积分规则说明，帮助用户了解积分的获取途径（如消费满额赠送、签到奖励等）和消耗方式（如积分兑换、积分抵扣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我的电子券</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用户可于个人账户内查看所有已领取的电子优惠券，包括但不限于加油券、商品折扣券等多种类型。系统应详细呈现每张电子券的完整信息，具体包含：券面金额（例如满 100 减 20、8 折优惠等）、有效使用期限（精确至分钟级别的起止时间）、详细的使用规则说明（适用商品范围、使用门槛等）。在用户进行消费结算时，系统将自动识别当前订单可使用的优惠券，并推荐最为优化的用券方案。同时，系统需对券的使用状态进行实时更新和查看已使用已过期的历史消费券。支持自定义排序展示顺序及查询搜索指定优惠券功能。</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会员支付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扫描会员付款二维码后，可直接调用预先绑定于系统内的电子钱包完成支付操作，无需重复输入支付密码或进行其他验证步骤，从而实现会员账户与支付渠道的无缝对接。此举旨在确保支付过程既安全又便捷，同时可自动将会员每笔交易的详细信息记录至会员账户，便于后续查询与管理。 </w:t>
      </w:r>
    </w:p>
    <w:p>
      <w:pPr>
        <w:pStyle w:val="6"/>
        <w:numPr>
          <w:ilvl w:val="3"/>
          <w:numId w:val="5"/>
        </w:numPr>
        <w:tabs>
          <w:tab w:val="left" w:pos="312"/>
        </w:tabs>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客户服务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我的订单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具备完善的交易流水汇总展示功能，可按类别查看油品业务、非油业务以及线上商城等不同类型的交易数据。从而使用户能够直观地掌握各类业务的交易总额、交易笔数等关键指标，并且支持对每笔交易的具体明细记录进行深入查看，涵盖交易时间、交易金额、优惠金额、交易类型、支付方式等详细内容。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调查问卷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系统可定期向客户推送各类主题的调研问卷，例如“油站服务满意度调查</w:t>
      </w:r>
      <w:r>
        <w:rPr>
          <w:rFonts w:hint="eastAsia" w:ascii="宋体" w:hAnsi="宋体" w:cs="宋体"/>
          <w:color w:val="auto"/>
          <w:szCs w:val="21"/>
          <w:highlight w:val="none"/>
          <w:lang w:eastAsia="zh-CN"/>
        </w:rPr>
        <w:t>”“</w:t>
      </w:r>
      <w:r>
        <w:rPr>
          <w:rFonts w:hint="eastAsia" w:ascii="宋体" w:hAnsi="宋体" w:cs="宋体"/>
          <w:color w:val="auto"/>
          <w:szCs w:val="21"/>
          <w:highlight w:val="none"/>
        </w:rPr>
        <w:t>商品需求调研”等。这些问卷旨在收集客户真实的使用体验和需求反馈。作为回馈，参与填写问卷的客户将获得相应的积分奖励或其他权益。通过这种方式，平台能够持续优化服务质量、改进产品设计，从而为客户提供更优质的使用体验。同时，客户的宝贵意见也将帮助平台更好地了解市场需求，制定更精准的服务策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最新油价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当支持实时呈现各站点不同油品（涵盖92#汽油、95#汽油等常见油品）的当前挂牌销售价格，能够依据所在区域或具体供能站开展筛选查询操作。系统会持续监测油价的变动状况，一旦检测到价格调整，将即刻自动更新数据，以保证客户获取到最新的油价信息。与此同时，系统还</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 xml:space="preserve">历史价格走势分析功能，通过可视化图表展示油价的变化规律，助力客户判断最佳的加油时机，进而节省燃油费用支出。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油站导航</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系统根据客户定位自动推荐最近站点，并提供智能搜索功能，</w:t>
      </w:r>
      <w:r>
        <w:rPr>
          <w:rFonts w:hint="eastAsia" w:ascii="宋体" w:hAnsi="宋体" w:cs="宋体"/>
          <w:color w:val="auto"/>
          <w:szCs w:val="21"/>
          <w:highlight w:val="none"/>
        </w:rPr>
        <w:t>客户</w:t>
      </w:r>
      <w:r>
        <w:rPr>
          <w:rFonts w:hint="eastAsia" w:ascii="宋体" w:hAnsi="宋体" w:cs="宋体"/>
          <w:color w:val="auto"/>
          <w:szCs w:val="21"/>
          <w:highlight w:val="none"/>
        </w:rPr>
        <w:t>可通过关键词、位置或供能站名称快速定位目标油站，并支持跳转至各大主流地图软件（如百度地图、高德地图等）导航。</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资讯动态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系统支持定期推送供能站相关动态</w:t>
      </w:r>
      <w:r>
        <w:rPr>
          <w:rFonts w:hint="eastAsia" w:ascii="宋体" w:hAnsi="宋体" w:cs="宋体"/>
          <w:color w:val="auto"/>
          <w:szCs w:val="21"/>
          <w:highlight w:val="none"/>
        </w:rPr>
        <w:t>信息，包括促销活动信息、新建</w:t>
      </w:r>
      <w:r>
        <w:rPr>
          <w:rFonts w:hint="eastAsia" w:ascii="宋体" w:hAnsi="宋体" w:cs="宋体"/>
          <w:color w:val="auto"/>
          <w:szCs w:val="21"/>
          <w:highlight w:val="none"/>
        </w:rPr>
        <w:t>供能站开业公告、站点运营调整通知等最新消息；及时发布行业重要资讯，如油价调整预告、市场行情分析等专业内容；同步更新平台公告，涵盖功能升级通知、系统维护提醒等关键信息。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关联公众号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了提升客户服务体验并加强信息传递的及时性，建议引导客户关注我们的官方微信公众号。通过公众号这一重要触达渠道，客户可以第一时间同步接收各类重要推文通知，包括但不限于油价调整信息、最新活动预告、优惠促销等内容。这种便捷的信息获取方式不仅能帮助客户及时掌握关键资讯，还能有效增强客户与平台之间的黏性，显著提高客户留存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车牌绑定</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具备车牌信息绑定功能，允许用户将车辆牌照与支付账户进行关联。在供能站的应用场景中，借助图像识别技术自动识别车牌号码，以实现“车牌即钱包”的无感支付模式。使用该系统时，用户无需携带手机或现金，避免了每次加油时手动输入支付密码或扫码支付的繁琐流程，从而显著提高加油效率。系统需支持多重安全验证机制，以保障支付过程的安全性和可靠性。同时，系统应提供详细的加油记录和消费明细查询功能，便于用户进行费用管理和报销。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加油评价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车辆加油服务流程全部完结后，客户可借助评价系统对供能站所提供的各项服务开展综合评分。具体评价内容涵盖但不限于：加油操作的整体效率与速率、服务人员的专业素养与态度表现、油枪等设备的运行状况及使用体验等。同时，系统需为客户提供留言反馈的途径，以便客户详细阐述服务过程中的具体感受与建议。客户参与评价可参与抽奖获得积分或其他权益奖励，评价关联对应员工绩效。</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微信/支付宝信息关联</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系统支持通过识别微信和支付宝平台生成的交易ID，精准关联</w:t>
      </w:r>
      <w:r>
        <w:rPr>
          <w:rFonts w:hint="eastAsia" w:ascii="宋体" w:hAnsi="宋体" w:cs="宋体"/>
          <w:color w:val="auto"/>
          <w:szCs w:val="21"/>
          <w:highlight w:val="none"/>
        </w:rPr>
        <w:t>并整合展示</w:t>
      </w:r>
      <w:r>
        <w:rPr>
          <w:rFonts w:hint="eastAsia" w:ascii="宋体" w:hAnsi="宋体" w:cs="宋体"/>
          <w:color w:val="auto"/>
          <w:szCs w:val="21"/>
          <w:highlight w:val="none"/>
        </w:rPr>
        <w:t>用户在微信支付和支付宝渠道产生的加油消费流水记录。在此基础上，平台能够对微信、支付宝等第三方支付渠道的交易流水数据进行深度分析，并基于分析结果开展精准营销触达，包括但不限于个性化优惠推送、消费行为引导等营销活动，从而提升用户粘性和消费转化率。</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发票管理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我的发票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系统应支持多种开票模式，既能够按照单个订单开具发票，也可以将多个订单合并开具为一张发票，以满足不同场景下的开票需求。在开票流程中，用户可自主选择发票抬头类型（个人或企业单位），并填写详实的接收邮箱地址及接收手机号，从而保证发票能够精准送达，方便报销和存档。支持查看发票审批进度。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发票抬头</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能够随时对自身的开票信息进行更新与管理，以确保信息的准确性和时效性。系统应当提升操作的便捷性，平台需支持一键同步历史开票记录，从而减少重复输入的繁琐环节。客户亦可依据实际需求设定默认开票信息，进而进一步简化开票流程。系统需支持上传辅助材料附件，支持维护保存多个开票抬头信息。企业会员默认按注册信息作为开票抬头。</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消费开票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客户可于系统中勾选需开具电子发票的交易记录，此类交易流水应包含各类可识别的客户消费订单。系统</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 xml:space="preserve">对多种类型交易流水进行批量选择与合并开票的功能，客户仅需一次操作便能完成多笔交易的电子发票申请，由系统根据消费订单所属公司自动拆分开票。申请提交后，系统将自动生成符合税务规定的电子发票，并通过短信或者邮件的方式发送给用户。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充值开票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在客户完成账户充值操作之后，系统可为之开具不征税的预付款发票。为增强服务的便利性，系统支持线上自助开票功能。系统在收到申请后会自动完成发票开具，并通过短信或者邮件的方式及时告知客户。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发票红冲</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当客户有对已开具发票进行红冲处理的需求时，系统可支持发起红冲操作，支持设置客户自主申请红冲最高次数。红冲完成后，系统会自动释放该发票对应的开票额度，此时客户能够重新开具新的发票。此项操作需遵循税务管理规范，同时要保障企业开票业务的连续性，避免因发票红冲而对正常开票需求产生影响。红冲操作完成后，原发票将作作废处理，但客户的开票权益不受损害，仍可依据实际业务需求继续开具合法有效的发票。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发票查看</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具备查看所有发票开具状态及详细记录的功能，涵盖成功开具与开具失败的发票信息。针对开具失败的发票，系统应提供完备的补救机制，用户可提交补充发送申请，系统将自动重新执行开具流程。与此同时，系统会记录每次开具操作的详细日志，以便用户随时追溯发票开具的完整过程。若出现任何开具异常状况，系统会即时推送提醒通知，保证用户能够第一时间了解发票开具状态并及时处理相关问题。客户移动端应展示已开发票列表，客户可依据实际需求预览和下载。</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电子钱包（电子卡）</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企业钱包（企业卡）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企业申请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以通过各类渠道（包括但不限于微信小程序、支付宝小程序、客户WEB平台等）提交企业客户注册申请。在完成必要的企业资质审核流程并获得审批通过后，该企业将自动开通专属的企业电子钱包账户功能。</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企业信息概览</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客户可以通过移动端查看并统计整个企业的各项关键数据，包括但不限于：企业下属所有子卡的总数量、</w:t>
      </w:r>
      <w:r>
        <w:rPr>
          <w:rFonts w:hint="eastAsia" w:ascii="宋体" w:hAnsi="宋体" w:cs="宋体"/>
          <w:color w:val="auto"/>
          <w:szCs w:val="21"/>
          <w:highlight w:val="none"/>
        </w:rPr>
        <w:t>当前运营车辆</w:t>
      </w:r>
      <w:r>
        <w:rPr>
          <w:rFonts w:hint="eastAsia" w:ascii="宋体" w:hAnsi="宋体" w:cs="宋体"/>
          <w:color w:val="auto"/>
          <w:szCs w:val="21"/>
          <w:highlight w:val="none"/>
        </w:rPr>
        <w:t>的总数及车牌信息、在册司机的总人数、企业主账户的实时可用余额、累计获得的返利总金额、可用于消费的返利余额、可申请提现的提现余额，以及各子卡账户的当前可用余额等详细信息。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企业客户可以通过移动端对下属子卡进行全方位的管理操作，包括但不限于新增子卡账户、</w:t>
      </w:r>
      <w:r>
        <w:rPr>
          <w:rFonts w:hint="eastAsia" w:ascii="宋体" w:hAnsi="宋体" w:cs="宋体"/>
          <w:color w:val="auto"/>
          <w:szCs w:val="21"/>
          <w:highlight w:val="none"/>
        </w:rPr>
        <w:t>临时冻结</w:t>
      </w:r>
      <w:r>
        <w:rPr>
          <w:rFonts w:hint="eastAsia" w:ascii="宋体" w:hAnsi="宋体" w:cs="宋体"/>
          <w:color w:val="auto"/>
          <w:szCs w:val="21"/>
          <w:highlight w:val="none"/>
        </w:rPr>
        <w:t>异常子卡、查询子卡详细信息、消费限制、密码设置等功能。系统需提供完整的子卡管理功能模块，支持批量操作和权限分级设置，满足企业多层级、多角色的财务管理需求。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车牌管理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企业客户可以通过移动端将车牌号码与电子卡进行绑定关联，具体流程为：首先登录账户进入个人中心，选择</w:t>
      </w:r>
      <w:r>
        <w:rPr>
          <w:rFonts w:hint="eastAsia" w:ascii="宋体" w:hAnsi="宋体" w:cs="宋体"/>
          <w:color w:val="auto"/>
          <w:szCs w:val="21"/>
          <w:highlight w:val="none"/>
          <w:lang w:eastAsia="zh-CN"/>
        </w:rPr>
        <w:t>“</w:t>
      </w:r>
      <w:r>
        <w:rPr>
          <w:rFonts w:hint="eastAsia" w:ascii="宋体" w:hAnsi="宋体" w:cs="宋体"/>
          <w:color w:val="auto"/>
          <w:szCs w:val="21"/>
          <w:highlight w:val="none"/>
        </w:rPr>
        <w:t>车辆管理</w:t>
      </w:r>
      <w:r>
        <w:rPr>
          <w:rFonts w:hint="eastAsia" w:ascii="宋体" w:hAnsi="宋体" w:cs="宋体"/>
          <w:color w:val="auto"/>
          <w:szCs w:val="21"/>
          <w:highlight w:val="none"/>
          <w:lang w:eastAsia="zh-CN"/>
        </w:rPr>
        <w:t>”</w:t>
      </w:r>
      <w:r>
        <w:rPr>
          <w:rFonts w:hint="eastAsia" w:ascii="宋体" w:hAnsi="宋体" w:cs="宋体"/>
          <w:color w:val="auto"/>
          <w:szCs w:val="21"/>
          <w:highlight w:val="none"/>
        </w:rPr>
        <w:t>功能模块，然后点击</w:t>
      </w:r>
      <w:r>
        <w:rPr>
          <w:rFonts w:hint="eastAsia" w:ascii="宋体" w:hAnsi="宋体" w:cs="宋体"/>
          <w:color w:val="auto"/>
          <w:szCs w:val="21"/>
          <w:highlight w:val="none"/>
          <w:lang w:eastAsia="zh-CN"/>
        </w:rPr>
        <w:t>“</w:t>
      </w:r>
      <w:r>
        <w:rPr>
          <w:rFonts w:hint="eastAsia" w:ascii="宋体" w:hAnsi="宋体" w:cs="宋体"/>
          <w:color w:val="auto"/>
          <w:szCs w:val="21"/>
          <w:highlight w:val="none"/>
        </w:rPr>
        <w:t>绑定车牌</w:t>
      </w:r>
      <w:r>
        <w:rPr>
          <w:rFonts w:hint="eastAsia" w:ascii="宋体" w:hAnsi="宋体" w:cs="宋体"/>
          <w:color w:val="auto"/>
          <w:szCs w:val="21"/>
          <w:highlight w:val="none"/>
          <w:lang w:eastAsia="zh-CN"/>
        </w:rPr>
        <w:t>”</w:t>
      </w:r>
      <w:r>
        <w:rPr>
          <w:rFonts w:hint="eastAsia" w:ascii="宋体" w:hAnsi="宋体" w:cs="宋体"/>
          <w:color w:val="auto"/>
          <w:szCs w:val="21"/>
          <w:highlight w:val="none"/>
        </w:rPr>
        <w:t>按钮，在弹出界面中输入需要绑定的车牌号码，系统将自动校验车牌格式的有效性，确认无误后提交申请，后台将完成电子卡与车牌信息的绑定操作，绑定成功后用户可在个人中心查看已绑定的车牌信息，并享受相应的停车服务和优惠权益。系统应支持各类格式车牌的绑定和校验，包括但不限于汽油车牌、新能源车牌以及教练车牌、警车牌等特殊车牌格式。</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司机管理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以通过移动端实现对电子卡司机的信息进行统一管理和维护操作。具体功能包括但不限于：电子卡司机基础信息的录入与存储、电子卡司机账户状态的实时监控与更新、电子卡司机权限的分配与管理、电子卡司机操作日志的记录与查询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企业充值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通过移动端实现主卡充值，系统需支持通过多种支付渠道完成资金划转，包括但不限于网银支付、第三方支付平台等。在技术实现上，系统需要建立标准化的API接口协议，实现企业银行账户与主卡账户之间的资金自动划拨，同时要满足企业财务管理的各项合规要求，包括资金流向的全程可追溯、交易记录的完整保存等。系统还需支持大额资金的分批处理、异常交易的实时预警等功能，为企业提供高效、安全的资金管理解决方案。</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套餐充值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企业客户可以根据自身需求灵活选择不同的充值套餐进行资金充值，系统需提供多种优惠方案供用户选择。例如，企业可以选择</w:t>
      </w:r>
      <w:r>
        <w:rPr>
          <w:rFonts w:hint="eastAsia" w:ascii="宋体" w:hAnsi="宋体" w:cs="宋体"/>
          <w:color w:val="auto"/>
          <w:szCs w:val="21"/>
          <w:highlight w:val="none"/>
          <w:lang w:eastAsia="zh-CN"/>
        </w:rPr>
        <w:t>“</w:t>
      </w:r>
      <w:r>
        <w:rPr>
          <w:rFonts w:hint="eastAsia" w:ascii="宋体" w:hAnsi="宋体" w:cs="宋体"/>
          <w:color w:val="auto"/>
          <w:szCs w:val="21"/>
          <w:highlight w:val="none"/>
        </w:rPr>
        <w:t>充值1000元返现100元</w:t>
      </w:r>
      <w:r>
        <w:rPr>
          <w:rFonts w:hint="eastAsia" w:ascii="宋体" w:hAnsi="宋体" w:cs="宋体"/>
          <w:color w:val="auto"/>
          <w:szCs w:val="21"/>
          <w:highlight w:val="none"/>
          <w:lang w:eastAsia="zh-CN"/>
        </w:rPr>
        <w:t>”</w:t>
      </w:r>
      <w:r>
        <w:rPr>
          <w:rFonts w:hint="eastAsia" w:ascii="宋体" w:hAnsi="宋体" w:cs="宋体"/>
          <w:color w:val="auto"/>
          <w:szCs w:val="21"/>
          <w:highlight w:val="none"/>
        </w:rPr>
        <w:t>的优惠套餐，即充值1000元后账户实际到账1100元；或者选择</w:t>
      </w:r>
      <w:r>
        <w:rPr>
          <w:rFonts w:hint="eastAsia" w:ascii="宋体" w:hAnsi="宋体" w:cs="宋体"/>
          <w:color w:val="auto"/>
          <w:szCs w:val="21"/>
          <w:highlight w:val="none"/>
          <w:lang w:eastAsia="zh-CN"/>
        </w:rPr>
        <w:t>“</w:t>
      </w:r>
      <w:r>
        <w:rPr>
          <w:rFonts w:hint="eastAsia" w:ascii="宋体" w:hAnsi="宋体" w:cs="宋体"/>
          <w:color w:val="auto"/>
          <w:szCs w:val="21"/>
          <w:highlight w:val="none"/>
        </w:rPr>
        <w:t>充值1000元赠送1提矿泉水</w:t>
      </w:r>
      <w:r>
        <w:rPr>
          <w:rFonts w:hint="eastAsia" w:ascii="宋体" w:hAnsi="宋体" w:cs="宋体"/>
          <w:color w:val="auto"/>
          <w:szCs w:val="21"/>
          <w:highlight w:val="none"/>
          <w:lang w:eastAsia="zh-CN"/>
        </w:rPr>
        <w:t>”</w:t>
      </w:r>
      <w:r>
        <w:rPr>
          <w:rFonts w:hint="eastAsia" w:ascii="宋体" w:hAnsi="宋体" w:cs="宋体"/>
          <w:color w:val="auto"/>
          <w:szCs w:val="21"/>
          <w:highlight w:val="none"/>
        </w:rPr>
        <w:t>的实物回馈套餐，在完成1000元充值后即可获得1提品牌矿泉水。系统支持持续优化充值方案，推出更多样化的优惠活动，为企业客户提供更优质的服务体验。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子卡余额分配</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进行子卡余额分配时，系统应提供灵活的分配方式。企业客户管理员可以根据实际需求，选择按固定金额或者按比例进行分配。例如，可以设定将主卡账户中的资金平均分配给所有子卡，或者根据子卡的历史消费记录、使用频率等数据，智能地调整分配额度。同时，系统需支持手动调整功能，允许管理员对个别子卡的分配金额进行特殊设置，以满足不同部门或项目的差异化需求。在分配过程中，系统会实时显示每张子卡当前的余额以及预计分配后的余额变化情况，确保操作透明且准确。此外，系统还需记录每次分配的详细信息，包括分配时间、分配金额、操作人等，以便后续审计和查询。</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子卡优惠券/积分划转</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系统支持优惠券/积分划转功能，企业客户管理员可以根据实际需求，将主卡优惠券或积分划转至指定子卡，子卡亦可划转回主卡。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企业账户退款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企业客户通过移动端将主账户的余额进行提现退款，系统需自动校验主账户的可用余额是否充足，并根据预设规则判断是否符合提现条件。若余额不足或存在其他限制条件，系统将即时反馈提示信息，帮助用户快速定位问题并采取相应措施。为确保资金安全，提现操作需经过多重身份验证，包括短信验证码、支付密码或生物识别等方式，防止未经授权的操作发生。此外，系统还会对每次提现请求生成唯一的交易流水号，便于追踪处理进度与结果。在提现完成后，系统将通过站内消息或邮件通知客户，同时更新账户的资金明细，确保信息透明且可追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企业账户注销</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在注销过程中，系统需自动检查该账户是否存在未完成的交易、未结清的余额或正在进行的提现操作。如果存在上述情况，系统将提示客户先处理相关事项，确保账户状态符合注销条件。为保障企业权益，系统还需提供详细的注销须知，明确说明注销后可能影响的服务和数据留存情况。客户需阅读并确认相关条款后，方可提交注销申请。提交申请后，系统将启动注销审核流程，审核通过后，账户数据将被安全清除，且无法恢复。整个注销流程严格遵循相关法律法规要求，并确保用户的隐私信息得到妥善保护。</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个人钱包（个人卡）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个人卡开卡</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系统需支持个人客户通过微信小程序等移动端平台进行线上个人开卡功能，客户需按照页面提示完整填写包括姓名、联系方式等基本用户信息</w:t>
      </w:r>
      <w:r>
        <w:rPr>
          <w:rFonts w:hint="eastAsia" w:ascii="宋体" w:hAnsi="宋体" w:cs="宋体"/>
          <w:color w:val="auto"/>
          <w:szCs w:val="21"/>
          <w:highlight w:val="none"/>
        </w:rPr>
        <w:t>，同时需要填写身份证信息</w:t>
      </w:r>
      <w:r>
        <w:rPr>
          <w:rFonts w:hint="eastAsia" w:ascii="宋体" w:hAnsi="宋体" w:cs="宋体"/>
          <w:color w:val="auto"/>
          <w:szCs w:val="21"/>
          <w:highlight w:val="none"/>
        </w:rPr>
        <w:t>进行实名认证，在确认所有信息准确无误后，客户可点击提交按钮完成开卡申请。</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个人卡信息概览</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系统支持展示个人卡信息，本金返利等余额</w:t>
      </w:r>
      <w:r>
        <w:rPr>
          <w:rFonts w:hint="eastAsia" w:ascii="宋体" w:hAnsi="宋体" w:cs="宋体"/>
          <w:color w:val="auto"/>
          <w:szCs w:val="21"/>
          <w:highlight w:val="none"/>
        </w:rPr>
        <w:t>信息</w:t>
      </w:r>
      <w:r>
        <w:rPr>
          <w:rFonts w:hint="eastAsia" w:ascii="宋体" w:hAnsi="宋体" w:cs="宋体"/>
          <w:color w:val="auto"/>
          <w:szCs w:val="21"/>
          <w:highlight w:val="none"/>
        </w:rPr>
        <w:t>。</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车牌管理</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系统支持为个人客户电子卡绑定车牌。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个人充值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为个人客户提供了便捷的在线充值渠道，包括但不限于在微信小程序、支付宝小程序以及微信公众号等多个主流移动端平台上进行操作。系统亦需支持使用兑换码/实体充值卡账号密码充值，兑换码充值部分单独核算记录打标，该部分金额消费不享受会员优惠。系统需确保充值过程的顺畅和安全，满足不同用户群体的支付偏好和使用场景需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个人套餐充值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为个人客户提供了便捷的线上充值渠道，用户可以通过多种主流移动平台进行操作，包括微信小程序、支付宝小程序以及微信公众号等入口。在这些平台上，系统需设置多样化的充值优惠套餐供用户选择，例如：当用户选择充值1000元时，可以享受100元的现金返还优惠；或者选择同档位的1000元充值，系统将额外赠送1提（通常为12瓶装）的饮用水作为回馈。</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系统支持个人客户管理子卡，增加、冻结、查看详情、消费限制、密码设置等操作。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子卡余额分配</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系统支持主卡账户充值后，可将主卡账户的资金分配给子卡。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子卡优惠券/积分划转</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系统支持个人客户根据实际需要，自助将主卡优惠券或积分划转至指定子卡，子卡亦可划转回主卡。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个人账户退款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个人客户可自助提交退款注销申请，按照页面指引填写相关信息并上传必要凭证后，系统受理客户退款申请，根据相关规定进入人工审核流程或系统自动完成审核，审核通过后相关款项将原路退回至原支付账户。</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个人账户注销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个人客户可自助提交注销申请，按照页面指引填写相关信息并上传必要凭证，系统受理客户注销申请，根据相关规定进入人工审核流程或系统自动完成审核，审核通过完成账户注销。</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营销在线</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营销互动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营销活动专题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要具备营销活动聚合展示功能，能够整合平台各类营销活动资源，包括但不限于加油满减、非油商品买赠等多样化促销形式。在展示页设计上，系统应提供智能分类筛选机制，支持按照活动属性（如限时活动、长期活动）和权益类型（如价格折扣、积分奖励）进行多维度划分。同时，系统还应支持活动信息的实时更新和动态展示，保证客户获取的促销信息准确及时。</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电子券销售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系统需支持售卖各类电子优惠券（如加油券、洗车券、商品折扣券），客户购买后可在有效期内使用，支持转赠、核销查询，灵活适配促销策略。支持会员商城销售</w:t>
      </w:r>
      <w:r>
        <w:rPr>
          <w:rFonts w:hint="eastAsia" w:ascii="宋体" w:hAnsi="宋体" w:cs="宋体"/>
          <w:color w:val="auto"/>
          <w:szCs w:val="21"/>
          <w:highlight w:val="none"/>
          <w:lang w:eastAsia="zh-CN"/>
        </w:rPr>
        <w:t>和</w:t>
      </w:r>
      <w:r>
        <w:rPr>
          <w:rFonts w:hint="eastAsia" w:ascii="宋体" w:hAnsi="宋体" w:cs="宋体"/>
          <w:color w:val="auto"/>
          <w:szCs w:val="21"/>
          <w:highlight w:val="none"/>
        </w:rPr>
        <w:t>其他第三方平台销售。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会员身份销售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系统支持会员商城</w:t>
      </w:r>
      <w:r>
        <w:rPr>
          <w:rFonts w:hint="eastAsia" w:ascii="宋体" w:hAnsi="宋体" w:cs="宋体"/>
          <w:color w:val="auto"/>
          <w:szCs w:val="21"/>
          <w:highlight w:val="none"/>
          <w:lang w:eastAsia="zh-CN"/>
        </w:rPr>
        <w:t>和</w:t>
      </w:r>
      <w:r>
        <w:rPr>
          <w:rFonts w:hint="eastAsia" w:ascii="宋体" w:hAnsi="宋体" w:cs="宋体"/>
          <w:color w:val="auto"/>
          <w:szCs w:val="21"/>
          <w:highlight w:val="none"/>
        </w:rPr>
        <w:t>其他第三方平台售卖会员身份，客户购买后可在有效期内享受特殊会员权益，如有效期内享受X元/升油品直降优惠，X折便利店商品优惠等。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组合权益销售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系统应具备灵活配置多种权益组合的功能，可将加油业务、非油品业务以及增值服务进行智能化打包组合（例如，可设置“加油300元 + 免费洗车服务 + 精品咖啡兑换券”之类的综合套餐）。同时，需支持在后台自由组合各类权益项目，并实现前台页面的直观呈现与便捷的购买流程。支持会员商城销售</w:t>
      </w:r>
      <w:r>
        <w:rPr>
          <w:rFonts w:hint="eastAsia" w:ascii="宋体" w:hAnsi="宋体" w:cs="宋体"/>
          <w:color w:val="auto"/>
          <w:szCs w:val="21"/>
          <w:highlight w:val="none"/>
          <w:lang w:eastAsia="zh-CN"/>
        </w:rPr>
        <w:t>和</w:t>
      </w:r>
      <w:r>
        <w:rPr>
          <w:rFonts w:hint="eastAsia" w:ascii="宋体" w:hAnsi="宋体" w:cs="宋体"/>
          <w:color w:val="auto"/>
          <w:szCs w:val="21"/>
          <w:highlight w:val="none"/>
        </w:rPr>
        <w:t>其他第三方平台销售。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游戏互动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在移动客户端等客户触达开展游戏互动促销，通过将游戏元素（如大转盘、红包雨、砸金蛋、刮刮乐）与自有业务相结合，为核心业务功能注入趣味性和动力。该功能旨在显著提升用户参与度、停留时长、任务完成率等关键指标，并通过积极的互动体验加深客户对品牌的好感与忠诚度。</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签到有礼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此为一项激励性功能，其目标在于提升用户活跃度、增强用户粘性并增加用户每日启动应用的次数。客户只需每日登录应用并完成签到操作，并能够获得相应的积分、优惠券、实物或其他虚拟奖励。 </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电子券兑换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客户使用积分（浙油豆）等虚拟资产在专属兑换页面进行电子券的兑换操作，兑换流程完成后，电子券将自动存入客户的个人账户中。这些电子券可以在后续消费时直接用于金额抵扣，既有效消耗了客户积累的积分存量，又通过优惠激励促进了客户的重复购买行为。系统亦需支持第三方平台合作活动，客户参与第三方平台活动获取的兑换码，可以在自有会员小程序中完成兑换流程，将兑换码转化为可用的电子券，进一步丰富积分兑换的渠道和方式，提升客户的使用便利性和体验感。</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拉新分享</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基于社交关系的裂变式增长工具。其核心目的是</w:t>
      </w:r>
      <w:r>
        <w:rPr>
          <w:rFonts w:hint="eastAsia" w:ascii="宋体" w:hAnsi="宋体" w:cs="宋体"/>
          <w:color w:val="auto"/>
          <w:szCs w:val="21"/>
          <w:highlight w:val="none"/>
        </w:rPr>
        <w:t>激励</w:t>
      </w:r>
      <w:r>
        <w:rPr>
          <w:rFonts w:hint="eastAsia" w:ascii="宋体" w:hAnsi="宋体" w:cs="宋体"/>
          <w:color w:val="auto"/>
          <w:szCs w:val="21"/>
          <w:highlight w:val="none"/>
        </w:rPr>
        <w:t>现有客户（老客户）主动分享小程序或特定页面给未注册的新客户，通过给予双方奖励的方式，实现低成本、高效率的用户拉新，从而提升小程序的用户增长，需支持对奖励获取自定义设定门槛要求和阶梯奖励标准，如新客户需完成首单消费后方可向老客户发放奖励，新客户消费量越大老客户奖励越高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领券中心</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一个集展示、领取、管理于一体的优惠券聚合和核心</w:t>
      </w:r>
      <w:r>
        <w:rPr>
          <w:rFonts w:hint="eastAsia" w:ascii="宋体" w:hAnsi="宋体" w:cs="宋体"/>
          <w:color w:val="auto"/>
          <w:szCs w:val="21"/>
          <w:highlight w:val="none"/>
        </w:rPr>
        <w:t>营销</w:t>
      </w:r>
      <w:r>
        <w:rPr>
          <w:rFonts w:hint="eastAsia" w:ascii="宋体" w:hAnsi="宋体" w:cs="宋体"/>
          <w:color w:val="auto"/>
          <w:szCs w:val="21"/>
          <w:highlight w:val="none"/>
        </w:rPr>
        <w:t>阵地。其首要目标是解决用户“找券难”、平台“发券难” 的双向痛点。通过对优惠券进行系统化、场景化的陈列与智能推荐，极大化优惠券的曝光率和领取率，从而有效刺激用户消费意愿，提升订单转化率与客单价，是连接营销活动与交易转化的关键枢纽。系统</w:t>
      </w:r>
      <w:r>
        <w:rPr>
          <w:rFonts w:hint="eastAsia" w:ascii="宋体" w:hAnsi="宋体" w:cs="宋体"/>
          <w:color w:val="auto"/>
          <w:szCs w:val="21"/>
          <w:highlight w:val="none"/>
          <w:lang w:eastAsia="zh-CN"/>
        </w:rPr>
        <w:t>需要</w:t>
      </w:r>
      <w:r>
        <w:rPr>
          <w:rFonts w:hint="eastAsia" w:ascii="宋体" w:hAnsi="宋体" w:cs="宋体"/>
          <w:color w:val="auto"/>
          <w:szCs w:val="21"/>
          <w:highlight w:val="none"/>
        </w:rPr>
        <w:t>支持针对不同群组客户展示特定的可领券信息。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电子券转赠</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允许客户将自己账户内符合条件的优惠券，以赠送的</w:t>
      </w:r>
      <w:r>
        <w:rPr>
          <w:rFonts w:hint="eastAsia" w:ascii="宋体" w:hAnsi="宋体" w:cs="宋体"/>
          <w:color w:val="auto"/>
          <w:szCs w:val="21"/>
          <w:highlight w:val="none"/>
        </w:rPr>
        <w:t>方式</w:t>
      </w:r>
      <w:r>
        <w:rPr>
          <w:rFonts w:hint="eastAsia" w:ascii="宋体" w:hAnsi="宋体" w:cs="宋体"/>
          <w:color w:val="auto"/>
          <w:szCs w:val="21"/>
          <w:highlight w:val="none"/>
        </w:rPr>
        <w:t>转移给其他客户。此功能的核心目的是提升优惠券的核销率与客户体验，通过社交化手段解决“券不对需”的痛点（即客户拥有其不需要但其他客户可能需要的优惠券）。它不仅能盘活沉默的优惠券资产，减少浪费，还能作为一种轻量的社交互动工具，增强用户粘性与平台口碑。</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专题营销</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行业客户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针对特定行业（如物流、出租车）客户定制营销方案，实现从客户认证、消费跟踪、优惠促销等个性化营销服务，提供行业专属优惠与服务。</w:t>
      </w:r>
    </w:p>
    <w:p>
      <w:pPr>
        <w:pStyle w:val="3"/>
        <w:numPr>
          <w:ilvl w:val="1"/>
          <w:numId w:val="5"/>
        </w:numPr>
        <w:spacing w:before="0" w:beforeLines="0" w:after="0" w:afterLines="0" w:line="360" w:lineRule="auto"/>
        <w:rPr>
          <w:rFonts w:ascii="宋体" w:hAnsi="宋体" w:cs="宋体"/>
          <w:color w:val="auto"/>
          <w:szCs w:val="21"/>
          <w:highlight w:val="none"/>
        </w:rPr>
      </w:pPr>
      <w:bookmarkStart w:id="695" w:name="_Toc214972932"/>
      <w:bookmarkStart w:id="696" w:name="_Toc19186"/>
      <w:bookmarkStart w:id="697" w:name="_Toc20774"/>
      <w:bookmarkStart w:id="698" w:name="_Toc214972931"/>
      <w:r>
        <w:rPr>
          <w:rFonts w:hint="eastAsia" w:ascii="宋体" w:hAnsi="宋体" w:cs="宋体"/>
          <w:color w:val="auto"/>
          <w:szCs w:val="21"/>
          <w:highlight w:val="none"/>
        </w:rPr>
        <w:t>客户</w:t>
      </w:r>
      <w:r>
        <w:rPr>
          <w:rFonts w:hint="eastAsia" w:ascii="宋体" w:hAnsi="宋体" w:cs="宋体"/>
          <w:b w:val="0"/>
          <w:color w:val="auto"/>
          <w:szCs w:val="21"/>
          <w:highlight w:val="none"/>
        </w:rPr>
        <w:t>WEB</w:t>
      </w:r>
      <w:r>
        <w:rPr>
          <w:rFonts w:hint="eastAsia" w:ascii="宋体" w:hAnsi="宋体" w:cs="宋体"/>
          <w:color w:val="auto"/>
          <w:szCs w:val="21"/>
          <w:highlight w:val="none"/>
        </w:rPr>
        <w:t>平台</w:t>
      </w:r>
      <w:bookmarkEnd w:id="695"/>
      <w:bookmarkEnd w:id="696"/>
      <w:bookmarkEnd w:id="697"/>
      <w:r>
        <w:rPr>
          <w:rFonts w:hint="eastAsia" w:ascii="宋体" w:hAnsi="宋体" w:cs="宋体"/>
          <w:color w:val="auto"/>
          <w:szCs w:val="21"/>
          <w:highlight w:val="none"/>
        </w:rPr>
        <w:t xml:space="preserve"> </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会员客户可通过此平台进行全面的电子卡自主管理功能，如电子卡主、副卡管理，车牌管理等。需支持企业会员及白名单个人会员使用。</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账号与权限管理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满足不同场景下的登录需求</w:t>
      </w:r>
      <w:r>
        <w:rPr>
          <w:rFonts w:hint="eastAsia" w:ascii="宋体" w:hAnsi="宋体" w:cs="宋体"/>
          <w:color w:val="auto"/>
          <w:szCs w:val="21"/>
          <w:highlight w:val="none"/>
          <w:lang w:eastAsia="zh-CN"/>
        </w:rPr>
        <w:t>，</w:t>
      </w:r>
      <w:r>
        <w:rPr>
          <w:rFonts w:hint="eastAsia" w:ascii="宋体" w:hAnsi="宋体" w:cs="宋体"/>
          <w:color w:val="auto"/>
          <w:szCs w:val="21"/>
          <w:highlight w:val="none"/>
        </w:rPr>
        <w:t>支持多种灵活的登录验证方式包括账号密码登录、动态验证码验证等；支持通过绑定的手机号接收验证码，找回或重置密码。</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电子卡管理</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会员信息概览</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会员可以通过web端查看并统计整个会员的各项关键运营数据，包括但不限于：下属所有子卡的总数量、</w:t>
      </w:r>
      <w:r>
        <w:rPr>
          <w:rFonts w:hint="eastAsia" w:ascii="宋体" w:hAnsi="宋体" w:cs="宋体"/>
          <w:color w:val="auto"/>
          <w:szCs w:val="21"/>
          <w:highlight w:val="none"/>
        </w:rPr>
        <w:t>当前运营车辆</w:t>
      </w:r>
      <w:r>
        <w:rPr>
          <w:rFonts w:hint="eastAsia" w:ascii="宋体" w:hAnsi="宋体" w:cs="宋体"/>
          <w:color w:val="auto"/>
          <w:szCs w:val="21"/>
          <w:highlight w:val="none"/>
        </w:rPr>
        <w:t>的总数、在册司机的总人数、主账户的实时可用余额、累计获得的返利总金额、可用于消费的返利余额、可申请提现的提现余额，以及各子卡账户的当前可用余额等详细信息。</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子卡管理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会员可以通过平台对子卡进行全方位的自主管理操作，包括但不限于新增子卡账户、</w:t>
      </w:r>
      <w:r>
        <w:rPr>
          <w:rFonts w:hint="eastAsia" w:ascii="宋体" w:hAnsi="宋体" w:cs="宋体"/>
          <w:color w:val="auto"/>
          <w:szCs w:val="21"/>
          <w:highlight w:val="none"/>
        </w:rPr>
        <w:t>冻结</w:t>
      </w:r>
      <w:r>
        <w:rPr>
          <w:rFonts w:hint="eastAsia" w:ascii="宋体" w:hAnsi="宋体" w:cs="宋体"/>
          <w:color w:val="auto"/>
          <w:szCs w:val="21"/>
          <w:highlight w:val="none"/>
        </w:rPr>
        <w:t>子卡、删除、查询子卡详细信息等功能。可根据实际业务需求，灵活执行子卡的新增注册、状态变更（如冻结或解冻）、删除、信息查询等管理操作，确保资金账户体系的安全性和可控性。系统需提供完整的子卡管理功能模块，支持批量操作和权限分级设置，满足多层级、多角色的财务管理需求。</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车牌管理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客户可通过平台帮助将车牌号码与电子卡进行绑定关联，在绑定车牌过程中，系统将自动校验车牌格式的有效性，确认无误后提交申请，后台将完成电子卡与车牌信息的绑定操作，绑定成功后会员可在个人中心查看已绑定的车牌信息，并享受相应的停车服务和优惠权益。</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司机管理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客户可通过平台为客户对电子卡司机的信息进行统一管理和维护操作。具体功能包括但不限于：电子卡司机基础信息的录入与存储、电子卡司机账户状态的实时监控与更新、电子卡司机权限的分配与管理、电子卡司机操作日志的记录与查询等。</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充值查询</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会员客户通过平台进行主卡充值，系统需支持通过多种支付渠道完成资金划转，包括但不限于网银支付、第三方支付平台等。在技术实现上，系统需要建立标准化的API接口协议，实现企业银行账户与主卡账户之间的资金自动划拨，同时要满足企业财务管理的各项合规要求，包括资金流向的全程可追溯、交易记录的完整保存等。系统还需支持大额资金的分批处理、异常交易的实时预警等功能，为企业提供高效、安全的资金管理解决方案。</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子卡余额分配</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会员客户可以通过平台根据实际需求，选择按固定金额或者按比例进行分配。例如，可以设定将主卡账户中的资金平均分配给所有子卡，或者根据子卡的历史消费记录、使用频率等数据，智能地调整分配额度。同时，系统需支持手动调整功能，允许管理员对个别子卡的分配金额进行特殊设置，以满足不同部门或项目的差异化需求。在分配过程中，系统会实时显示每张子卡当前的余额以及预计分配后的余额变化情况，确保操作透明且准确。此外，系统还需记录每次分配的详细信息，包括分配时间、分配金额、操作人等，以便后续审计和查询。</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账户提现</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会员客户可通过平台帮助用户通过进行账户余额提现，系统需自动校验主账户的可用余额是否充足，并根据预设规则判断是否符合提现条件。若余额不足或存在其他限制条件，系统将即时反馈提示信息，帮助用户快速定位问题并采取相应措施。为确保资金安全，提现操作需经过多重身份验证，包括短信验证码、支付密码或生物识别等方式，防止未经授权的操作发生。此外，系统还会对每次提现请求生成唯一的交易流水号，便于用户和管理员追踪处理进度与结果。在提现完成后，系统将通过站内消息或邮件通知用户，同时更新账户的资金明细，确保信息透明且可追溯。</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发票申请</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支持申请开具充值发票或消费发票。</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消费查询及导出</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会员客户可通过平台查询指定时间内的所有消费明细记录，包括各项支出的具体金额、消费时间、支付方式以及对应的消费用途说明。支持导出excel记录及PDF对账单。</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账户注销</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会员客户可通过平台对企业账号进行注销申请操作。在注销过程中，系统需自动检查该账户是否存在未完成的交易、未结清的余额或正在进行的提现操作。如果存在上述情况，系统将提示用户先处理相关事项，确保账户状态符合注销条件。为保障企业权益，系统还需提供详细的注销须知，明确说明注销后可能影响的服务和数据留存情况。用户需阅读并确认相关条款后，方可提交注销申请。提交申请后，系统将启动注销审核流程，审核通过后，账户数据将被安全清除，且无法恢复。整个注销流程严格遵循相关法律法规要求，并确保用户的隐私信息得到妥善保护。</w:t>
      </w:r>
    </w:p>
    <w:p>
      <w:pPr>
        <w:pStyle w:val="3"/>
        <w:numPr>
          <w:ilvl w:val="1"/>
          <w:numId w:val="5"/>
        </w:numPr>
        <w:spacing w:before="0" w:beforeLines="0" w:after="0" w:afterLines="0" w:line="360" w:lineRule="auto"/>
        <w:rPr>
          <w:rFonts w:ascii="宋体" w:hAnsi="宋体" w:cs="宋体"/>
          <w:color w:val="auto"/>
          <w:szCs w:val="21"/>
          <w:highlight w:val="none"/>
        </w:rPr>
      </w:pPr>
      <w:bookmarkStart w:id="699" w:name="_Toc16383"/>
      <w:bookmarkStart w:id="700" w:name="_Toc24321"/>
      <w:r>
        <w:rPr>
          <w:rFonts w:hint="eastAsia" w:ascii="宋体" w:hAnsi="宋体" w:cs="宋体"/>
          <w:color w:val="auto"/>
          <w:szCs w:val="21"/>
          <w:highlight w:val="none"/>
        </w:rPr>
        <w:t>总部级应用</w:t>
      </w:r>
      <w:bookmarkEnd w:id="698"/>
      <w:bookmarkEnd w:id="699"/>
      <w:bookmarkEnd w:id="700"/>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基础管理</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系统管理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权限认证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完善的企业级身份认证集成能力，能够与企业现有的统一身份认证系统无缝对接，通过标准化的认证协议验证用户身份信息，确保了系统访问的安全性，有效防止未经授权的访问行为。同时，需满足不同场景下的登录需求，系统支持多种灵活的登录验证方式，包括传统的账号密码登录、动态验证码验证等，为用户提供了多样化的身份认证选择，构建了多层次的安全防护体系，保障企业数据的安全性的同时兼顾用户使用的便捷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系统管理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管理作为系统建设的核心组成部分，具体实现基础数据维护及系统运行管理。该模块提供全方位的管理功能，包括系统数据字典的统一配置与管理，支持对各类基础数据项的增删改查操作；系统模块管理功能可对各业务模块进行灵活配置和权限分配；系统角色及权限管理能够实现多级角色定义和细粒度权限控制；用户访问与操作日志功能完整记录所有用户的登录行为和操作轨迹；消息管理模块则负责系统内部通知、提醒等消息的收发与管理。通过这些功能的协同运作，系统管理能够有效保障企业信息系统的安全稳定运行。</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任务管理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待办已办</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待办事项模块集中展示用户当前需要处理的所有任务清单（例如订单审核、审批流程等各类待办事项）及紧急程度，通过直观的形式呈现（例如列表、卡片等），便于用户快速浏览和优先处理紧急任务，提高工作效率；已办事项模块需完整记录用户历史处理的所有任务数据，不仅支持按照时间、任务类型等多维度条件进行精确查询，还能追溯完整的处理过程，详细记录每个操作步骤的时间节点和处理结果，从而形成完整的操作轨迹档案，为后续工作复盘和责任追溯提供可靠依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流程管理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审核业务配置的具体工作包括详细定义业务审核流程的各个环节，例如明确采购审批的各个节点设置、审批权限的分配原则等。同时需要根据企业实际需求配置相应的审核人员（单个或组织），并制定完善的审核规则，包括但不限于审批条件、审批时限、审批层级等要素，确保整个审核流程规范、高效运行。此外，还需要对审核流程进行测试验证，确保各环节衔接顺畅，权限设置合理，能够满足不同业务场景下的审批需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消息管理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消息管理模块支持用户通过系统设置接收各类实时通知消息，包括但不限于订单状态变更提醒、待办事项提醒等重要系统通知。系统提供完善的消息管理功能，允许用户对接收到的消息进行智能分类整理，并支持</w:t>
      </w:r>
      <w:r>
        <w:rPr>
          <w:rFonts w:hint="eastAsia" w:ascii="宋体" w:hAnsi="宋体" w:cs="宋体"/>
          <w:color w:val="auto"/>
          <w:szCs w:val="21"/>
          <w:highlight w:val="none"/>
        </w:rPr>
        <w:t>通过手动操作将已读消息</w:t>
      </w:r>
      <w:r>
        <w:rPr>
          <w:rFonts w:hint="eastAsia" w:ascii="宋体" w:hAnsi="宋体" w:cs="宋体"/>
          <w:color w:val="auto"/>
          <w:szCs w:val="21"/>
          <w:highlight w:val="none"/>
        </w:rPr>
        <w:t>进行标记处理，确保用户能够高效管理各类通知信息。同时，系统需支持自定义消息接收偏好设置，支持用户根据个人需求灵活调整通知接收方式、接收频次、接收渠道等。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导出管理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为提升系统性能与用户体验，本系统需针对任务执行情况采用异步处理机制。导出管理模块主要管理用户提交的</w:t>
      </w:r>
      <w:r>
        <w:rPr>
          <w:rFonts w:hint="eastAsia" w:ascii="宋体" w:hAnsi="宋体" w:cs="宋体"/>
          <w:color w:val="auto"/>
          <w:szCs w:val="21"/>
          <w:highlight w:val="none"/>
        </w:rPr>
        <w:t>各类导出</w:t>
      </w:r>
      <w:r>
        <w:rPr>
          <w:rFonts w:hint="eastAsia" w:ascii="宋体" w:hAnsi="宋体" w:cs="宋体"/>
          <w:color w:val="auto"/>
          <w:szCs w:val="21"/>
          <w:highlight w:val="none"/>
        </w:rPr>
        <w:t xml:space="preserve">任务请求，包括但不限于业务报表生成、订单数据导出等。系统需支持用户通过友好界面实时查看各导出任务的当前处理进度（包括导出异常时需要返回具体失败原因），任务完成后即可立即获取导出结果。该模块需避免用户长时间等待，保障系统资源得到合理分配与高效利用。同时系统会完整记录所有导出任务的历史状态，便于用户随时追溯与查询。 </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机构管理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内部企业</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建立统一的数据管理平台和业务协同机制，实现集团内部各业务单元之间的数据互联互通与信息共享，重点推进油品调拨、集中采购等核心业务在内的各项业务场景的协同运作，同时建立健全跨部门、跨公司的业务流程对接机制。</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外部企业</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维护各类外部合作企业（包括供应商、加盟商等）的详细信息资料，建立完整的合作企业档案库，定期更新并核实企业资质、联系方式等关键信息。支持重点管控核心合作条款，如供货周期、付款账期等关键指标，确保各项合作条款在业务流程中得到切实管控和落实。</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供应商管理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在供应商管理模块建立规范的供应商准入流程，该流程应当包括严格的资质审核机制，对供应商的企业资质、经营许可、产品质量认证等进行全面记录和操作留痕。同时系统需要建立科学的风险评估体系，辅助用户从财务风险、合规风险、交付能力等多个维度评估潜在合作风险，并适时进行告警。在此基础上，系统还需要支持建立动态的供应商考核机制，定期评估供应商绩效，实现供应渠道的持续优化和更新。</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客户管理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建立标准化的客户准入流程，包括但不限于潜在客户的资质审核，记录并核实其营业执照、经营许可等证照的真实性和有效性；从财务、信用、市场等多个维度进行综合合作风险评估；最后，系统支持基于评估结果提供差异化的合作方案或建议。同时，系统要对现有客户进行定期评估，通过企业合作数据、财务数据、市场数据等多维度进行全面评估和风险预估，并在后续的合作中适当进行监控和提示。</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业务配置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网点管理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对供能站、便利店、油库等各类经营网点的基础信息进行维护管理，包括但不限于网点详细地址信息、网点等级评定等关键数据。同时需要将这些网点信息与相应的业务操作权限进行精准关联配置，例如设置不同网点的采购权限范围、配送服务权限等业务功能权限，确保各网点能够按照其等级和业务需求获得相应的系统操作权限，从而保障企业各项业务的顺利开展和高效运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设备管理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该系统需支持供能站各类智能设备的配置与管理，包括但不限于油枪、油罐、加油机、液位仪、手持POS终端、自助服务设备等多种设备类型。在配置方式上，系统提供两种灵活的配置路径：一方面支持总部管理人员采用自上而下的配置模式，将统一的设备配置信息批量下发至各供能站；另一方面也允许供能站采用自下而上的方式，自主收集并上报站内设备信息，系统对这些信息进行标准化处理并同步至总部数据库。</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配置管理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系统需支持预先配置油站的基础业务参数，包括但不限于合理设置加油枪的总数量、默认及自定义第三方合作的支付结算方式等。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初始化管理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系统支持新增站点信息的批量下载功能，用户可一次性完成多个站点的数据初始化工作，同时提供站级</w:t>
      </w:r>
      <w:r>
        <w:rPr>
          <w:rFonts w:hint="eastAsia" w:ascii="宋体" w:hAnsi="宋体" w:cs="宋体"/>
          <w:color w:val="auto"/>
          <w:szCs w:val="21"/>
          <w:highlight w:val="none"/>
        </w:rPr>
        <w:t>应用</w:t>
      </w:r>
      <w:r>
        <w:rPr>
          <w:rFonts w:hint="eastAsia" w:ascii="宋体" w:hAnsi="宋体" w:cs="宋体"/>
          <w:color w:val="auto"/>
          <w:szCs w:val="21"/>
          <w:highlight w:val="none"/>
        </w:rPr>
        <w:t>的初始化配置服务，确保新接入站点能够快速完成基础设置并投入使用，该功能旨在提升站点部署效率，简化管理员的操作流程。</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油品经营</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主数据管理</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主数据维护</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系统支持维护和管理油品相关的核心基础信息数据，包括但不限于产品名称、规格型号、密度指标、损耗</w:t>
      </w:r>
      <w:r>
        <w:rPr>
          <w:rFonts w:hint="eastAsia" w:ascii="宋体" w:hAnsi="宋体" w:cs="宋体"/>
          <w:color w:val="auto"/>
          <w:szCs w:val="21"/>
          <w:highlight w:val="none"/>
        </w:rPr>
        <w:t>参数、各站报警规则、罐容表数据、损溢率标准等</w:t>
      </w:r>
      <w:r>
        <w:rPr>
          <w:rFonts w:hint="eastAsia" w:ascii="宋体" w:hAnsi="宋体" w:cs="宋体"/>
          <w:color w:val="auto"/>
          <w:szCs w:val="21"/>
          <w:highlight w:val="none"/>
        </w:rPr>
        <w:t>关键属性数据，作为采购、库存、销售的管理基础依据。</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分配可售油品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系统需根据新供能站的地理位置、市场需求和销售预期，合理规划并分配适合的油品种类；针对已运营的供能站，系统需结合销售数据和客户需求变化，及时调整油品的供应种类和数量；同时系统</w:t>
      </w:r>
      <w:r>
        <w:rPr>
          <w:rFonts w:hint="eastAsia" w:ascii="宋体" w:hAnsi="宋体" w:cs="宋体"/>
          <w:color w:val="auto"/>
          <w:szCs w:val="21"/>
          <w:highlight w:val="none"/>
          <w:lang w:eastAsia="zh-CN"/>
        </w:rPr>
        <w:t>需</w:t>
      </w:r>
      <w:r>
        <w:rPr>
          <w:rFonts w:hint="eastAsia" w:ascii="宋体" w:hAnsi="宋体" w:cs="宋体"/>
          <w:color w:val="auto"/>
          <w:szCs w:val="21"/>
          <w:highlight w:val="none"/>
        </w:rPr>
        <w:t>定期评估供能站油品的经营状况，优化库存管理和销售策略；此外，系统还需根据供能站油罐的实际容量和存储条件，动态调整油品与油罐的对应配置关系，确保存储安全和运营效率。</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价格管理</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油品基准价格调整</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w:t>
      </w:r>
      <w:r>
        <w:rPr>
          <w:rFonts w:hint="eastAsia" w:ascii="宋体" w:hAnsi="宋体" w:cs="宋体"/>
          <w:color w:val="auto"/>
          <w:szCs w:val="21"/>
          <w:highlight w:val="none"/>
          <w:lang w:eastAsia="zh-CN"/>
        </w:rPr>
        <w:t>国家发展改革委</w:t>
      </w:r>
      <w:r>
        <w:rPr>
          <w:rFonts w:hint="eastAsia" w:ascii="宋体" w:hAnsi="宋体" w:cs="宋体"/>
          <w:color w:val="auto"/>
          <w:szCs w:val="21"/>
          <w:highlight w:val="none"/>
        </w:rPr>
        <w:t>或公司总部发布的成品油价格调整通知，将最新公布的油价作为基准价格，严格按照定价审批流程进行内部审核，确保价格数据的准确性和时效性。在完成价格审批后，立即将调整后的油价下发至各供能站站点油机系统，确保所有终端设备同步更新执行新价格。同时，系统会自动触发变价通知流程，将油价</w:t>
      </w:r>
      <w:r>
        <w:rPr>
          <w:rFonts w:hint="eastAsia" w:ascii="宋体" w:hAnsi="宋体" w:cs="宋体"/>
          <w:color w:val="auto"/>
          <w:szCs w:val="21"/>
          <w:highlight w:val="none"/>
          <w:lang w:eastAsia="zh-CN"/>
        </w:rPr>
        <w:t>变更</w:t>
      </w:r>
      <w:r>
        <w:rPr>
          <w:rFonts w:hint="eastAsia" w:ascii="宋体" w:hAnsi="宋体" w:cs="宋体"/>
          <w:color w:val="auto"/>
          <w:szCs w:val="21"/>
          <w:highlight w:val="none"/>
        </w:rPr>
        <w:t>是否成功的信息实时反馈至指定的管理人员。</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油品个体价格调整</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当前市场经营情况及公司制定的营销策略，经过对市场行情的深入分析和评估后，基于公司设定的基准价格标准，动态调整各供能站油机的实际挂牌销售单价；同时通过内部信息系统及时将价格调整的相关消息及具体变动情况反馈至公司指定的管理人员处，确保变价信息的准确传达和有效接收。</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销售管理</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加油流水</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实时监控并支持用户查看各个站点上传的加油交易流水信息，包括每笔交易的油品类型、加注量、交易金额等详细数据。管理人员能够随时掌握各站点的实时经营状况和销售动态，及时了解油品销量变化趋势、客户消费习惯以及各站点的运营效率，为经营决策提供准确的数据支持。同时，系统还能对异常交易进行预警提示，帮助管理者快速发现并处理运营中的问题，确保供能站的正常运营和高效管理。</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根据供能站每日的销售结算动态数据，系统自动汇总整理各类油品的销售情况，形成详细的油品销售日报表。</w:t>
      </w:r>
      <w:r>
        <w:rPr>
          <w:rFonts w:hint="eastAsia" w:ascii="宋体" w:hAnsi="宋体" w:cs="宋体"/>
          <w:color w:val="auto"/>
          <w:szCs w:val="21"/>
          <w:highlight w:val="none"/>
        </w:rPr>
        <w:t>并以此为基础自动生成</w:t>
      </w:r>
      <w:r>
        <w:rPr>
          <w:rFonts w:hint="eastAsia" w:ascii="宋体" w:hAnsi="宋体" w:cs="宋体"/>
          <w:color w:val="auto"/>
          <w:szCs w:val="21"/>
          <w:highlight w:val="none"/>
        </w:rPr>
        <w:t>规范的油品销售会计凭证，确保销售数据的准确性和财务核算的及时性。</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盘点管理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系统需支持根据自定义的盘点频率，实时跟踪各供能站</w:t>
      </w:r>
      <w:r>
        <w:rPr>
          <w:rFonts w:hint="eastAsia" w:ascii="宋体" w:hAnsi="宋体" w:cs="宋体"/>
          <w:color w:val="auto"/>
          <w:szCs w:val="21"/>
          <w:highlight w:val="none"/>
        </w:rPr>
        <w:t>的盘点</w:t>
      </w:r>
      <w:r>
        <w:rPr>
          <w:rFonts w:hint="eastAsia" w:ascii="宋体" w:hAnsi="宋体" w:cs="宋体"/>
          <w:color w:val="auto"/>
          <w:szCs w:val="21"/>
          <w:highlight w:val="none"/>
        </w:rPr>
        <w:t>进度，及时发现并处理异常情况（如未按时完成盘点的站点）。盘点结果系统需自动关联对应审批流程，进行结果确认、差异处理方式（包括但不限于核销损耗、进行账务调整等措施）。</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自用油管理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了全面掌握供能站内部用油情况，系统需对油站自用油使用数据进行系统性的统计与核查。详细记录各油品品号的自用油消耗量，按日、周、月三个时间维度进行分类汇总；分析自用油使用趋势，对比历史同期数据；核查自用油领用审批流程是否规范；统计自用油设备运行状况及油耗异常情况。通过建立完整的自用油使用台账，确保油站自用油管理规范透明，为后续油品管理和成本控制提供数据支持。</w:t>
      </w:r>
    </w:p>
    <w:p>
      <w:pPr>
        <w:pStyle w:val="7"/>
        <w:numPr>
          <w:ilvl w:val="4"/>
          <w:numId w:val="5"/>
        </w:numPr>
        <w:tabs>
          <w:tab w:val="clear" w:pos="312"/>
        </w:tabs>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油品换号/清罐/倒罐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系统需支持供能站油品换号、清罐、倒罐等关键业务</w:t>
      </w:r>
      <w:r>
        <w:rPr>
          <w:rFonts w:hint="eastAsia" w:ascii="宋体" w:hAnsi="宋体" w:cs="宋体"/>
          <w:color w:val="auto"/>
          <w:szCs w:val="21"/>
          <w:highlight w:val="none"/>
        </w:rPr>
        <w:t>的全面查看</w:t>
      </w:r>
      <w:r>
        <w:rPr>
          <w:rFonts w:hint="eastAsia" w:ascii="宋体" w:hAnsi="宋体" w:cs="宋体"/>
          <w:color w:val="auto"/>
          <w:szCs w:val="21"/>
          <w:highlight w:val="none"/>
        </w:rPr>
        <w:t>与精细化账务处理工作。具体包括对油品型号更换的全程跟踪记录、储油罐清理作业的监督管理、油品倒罐转移的流程管控，以及相关业务数据的准确核对与财务账目的系统录入。同时系统需要确保各项操作符合安全规范要求，完整保存业务凭证，及时更新库存台账，并做好与财务系统的数据对接，保证账实相符、账账相符。</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非油品经营</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主数据管理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非油品主数据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与能多多系统集成，获取商品数据，构建站端非油品商品基础信息数据库，详细记录包括但不限于商品名称、商品分类、品牌信息、</w:t>
      </w:r>
      <w:r>
        <w:rPr>
          <w:rFonts w:hint="eastAsia" w:ascii="宋体" w:hAnsi="宋体" w:cs="宋体"/>
          <w:color w:val="auto"/>
          <w:szCs w:val="21"/>
          <w:highlight w:val="none"/>
        </w:rPr>
        <w:t>供应商</w:t>
      </w:r>
      <w:r>
        <w:rPr>
          <w:rFonts w:hint="eastAsia" w:ascii="宋体" w:hAnsi="宋体" w:cs="宋体"/>
          <w:color w:val="auto"/>
          <w:szCs w:val="21"/>
          <w:highlight w:val="none"/>
        </w:rPr>
        <w:t>资料等核心字段，确保商品信息的完整性和准确性，实现从商品采购、库存管理到销售分析的全流程业务支撑。同时，系统需提供商品条码管理，商品拥有唯一标识以实现商品信息的精准追溯和管理。非油品主数据可应用于多层级多主体的零售业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分配可售商品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站端的实际需求和销售特点，系统自动配备合适的商品种类，并对现有可经营的商品进行优化调整，包括增加热销商品、淘汰滞销商品，以及根据季节变化和市场需求及时更新商品品类，以提升站端的整体经营效益和客户满意度。</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采购管理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要货管理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系统自动汇总各供能站的人工补货</w:t>
      </w:r>
      <w:r>
        <w:rPr>
          <w:rFonts w:hint="eastAsia" w:ascii="宋体" w:hAnsi="宋体" w:cs="宋体"/>
          <w:color w:val="auto"/>
          <w:szCs w:val="21"/>
          <w:highlight w:val="none"/>
        </w:rPr>
        <w:t>建议</w:t>
      </w:r>
      <w:r>
        <w:rPr>
          <w:rFonts w:hint="eastAsia" w:ascii="宋体" w:hAnsi="宋体" w:cs="宋体"/>
          <w:color w:val="auto"/>
          <w:szCs w:val="21"/>
          <w:highlight w:val="none"/>
        </w:rPr>
        <w:t>和自动补货建议，信息包括但不限于需要补充的商品品类、具体规格型号以及建议补货数量等信息，自动关联对应审批流程，并最终形成要货单，确保审批流程规范、可追溯，保障各供能站货架商品始终处于合理库存水平。根据要货类型，部分汇总要货单信息需接入能多多系统。</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采购价格管理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与供应商签订的正式采购合同条款，系统自动维护各类商品的采购基准价格信息；同时，系统支持对采购价格数据的人工批量导入、批量修改及批量审核等操作；此外，系统还需提供完善的采购促销规则配置功能，包括但不限于折扣规则、满减规则等促销策略的维护，以及配套的赠品管理模块，实现赠品信息的录入、查询和统计分析等全流程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订货管理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创建非油品采购订单，明确指定供应商信息、商品价格等关键要素，同时提供完整的跟踪链路，实时掌握订单执行状态，包括商品到货、验收等节点。此外，系统还需提供开放式采购订单功能，支持灵活调整订单内容和采购数量，以满足企业动态变化的采购需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采购合同与结算付款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全面覆盖站点所属子公司</w:t>
      </w:r>
      <w:r>
        <w:rPr>
          <w:rFonts w:hint="eastAsia" w:ascii="宋体" w:hAnsi="宋体" w:cs="宋体"/>
          <w:color w:val="auto"/>
          <w:szCs w:val="21"/>
          <w:highlight w:val="none"/>
          <w:shd w:val="clear" w:color="auto" w:fill="FFFFFF"/>
        </w:rPr>
        <w:t>非统采</w:t>
      </w:r>
      <w:r>
        <w:rPr>
          <w:rFonts w:hint="eastAsia" w:ascii="宋体" w:hAnsi="宋体" w:cs="宋体"/>
          <w:color w:val="auto"/>
          <w:szCs w:val="21"/>
          <w:highlight w:val="none"/>
        </w:rPr>
        <w:t>业务（如烟草、冷食等）及向上级公司统采等场景。支持采购合同管理、对账核算、付款结算全流程闭环操作，规范非油品采购各环节流程，保障采购业务合规高效，助力站点精准管控非油品采购成本与资金流转。</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批发合同与结算付款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全面覆盖站点所属子公司批发/团购业务，涵盖销售合同全周期管理，支持合同创建、审核与归档。同时集成对账核算、收款结算等核心环节，实现团购业务流程闭环管控，确保交易合规、账目清晰、资金回笼高效，助力站点规范团购业务运营，提升批量客户服务与营收管理能力。</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烟草发票入账</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对接资金接口获取流水，录入烟草发票时需关联对应资金流水。系统自动校验所选流水是否已被使用，同步判断站端烟草入库状态，确保发票、资金流水与入库信息三者一致。功能规范烟草发票入账流程，规避重复入账风险，保障账务精准合规，助力站点高效完成烟草财务核算。</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非油品收货查询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该系统需要具备完善的站级验收单查询功能，使操作人员能够便捷地查看各站点的验收单据详情。在非油品到货核对方面，系统应当详细记录并展示到货商品的数量、质量等关键信息，确保验收数据的完整性和准确性。针对站点提交的验收单据，系统需实现智能化的流程管理，自动关联相应的审核审批流程。当验收单通过各级审批后，系统应自动完成过账处理，并最终生成规范的商品入库凭证，形成完整的入库记录。整个流程需确保数据流转的顺畅性和业务操作的规范性，为后续的库存管理和财务核算提供可靠依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非油品退货至供应商查询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该系统需全面支持用户查看和管理站级退货单据的功能，包括但不限于查询、筛选和导出退货单数据。针对非油品类商品的退货业务，系统应具备完善的处理流程，能够区分并处理因商品质量问题导致的退货和因商品滞销产生的退货两种情况。在退货审批环节，系统需提供完整的审批工作流，支持多级审批设置，确保退货流程合规。审批通过后，系统应自动完成过账操作，并生成规范的商品退货凭证，该凭证需包含完整的退货商品信息、退货原因、审批记录等关键数据，同时支持凭证的打印和电子存档功能。</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销售管理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非油品盘点管理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为确保企业库存管理的精确性和完整性，该系统必须具备完善的定期盘点功能，能够对非油品类库存进行全面核查。首先，系统应支持按预设周期（如月度、季度）自动发起非油品库存盘点流程；其次，在盘点过程中，系统需提供便捷的核对机制，允许操作人员将实际库存数量与系统记录数据进行逐项比对，并详细记录所有发现的差异情况；再次，系统应具备库存数据调整功能，当发现账实不符时，经授权人员可对系统库存数据进行合理修正；最后，系统需建立严格的审核机制，所有库存调整必须经过多级审核确认后，才能生成正式的盘点凭证并完成过账处理，从而确保库存数据的准确性和可追溯性，为企业决策提供可靠的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非油品报损管理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要全面记录非油品在流转过程中产生的各类损耗情况，包括但不限于商品过期、包装破损等具体情形。在损耗发生后，需经过严格的审批流程进行确认，经相关负责人审核批准后，系统应支持人工对库存数据进行相应调整，同时同步更新财务成本核算数据。通过建立完善的损耗记录和审批机制，实现对损耗率的精准管控，确保库存数据的准确性和财务核算的真实性，从而有效降低经营成本，提高管理效率。系统还应具备损耗数据的统计分析功能，为管理决策提供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非油品调拨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针对便利店之间的商品调拨业务场景，系统需要提供完善的调拨管理功能。系统应当支持门店操作人员创建调拨订单，通过系统自动生成标准化的调拨单据，实现门店之间的商品调拨流转。在调拨过程中，系统需要记录完整的调拨验收流程，确保商品交接的准确性和可追溯性。通过这种智能化的调拨管理，可以有效优化各门店的库存资源配置，平衡不同门店间的库存分布状况，从而显著提升整体库存周转效率，降低库存积压风险，最终实现门店运营效益的最大化。</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各供能站每日营业结束后的站级日结动态数据，系统需要按照预设的业务逻辑和数据处理流程，自动汇总并生成便利店当日的完整销售日报。该日报需包含商品销售明细、分类汇总数据、促销活动效果等关键经营指标，同时系统还需基于销售日报数据自动生成符合财务规范的便利店销售凭证，确保销售数据的准确性和可追溯性，为后续的财务核算和经营分析提供完整的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客户退货管理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当支持退货数据查询，实现从退货入库到退款处理的全流程监控管理，同时要能够根据每日站级结算数据，实时动态更新商品库存信息。在财务核算方面，系统需要自动生成准确的退换货核算凭证，并与财务系统无缝对接，确保退换货业务涉及的账务处理及时准确。此外，系统还应支持根据不同的退换货原因设置差异化的处理流程，并能够生成详细的退换货业务报表，为经营管理提供数据支持。</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非油品库存管理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非油品库存管理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实时监控功能，能够对站端非油品库存进行全方位、多层次的动态追踪。系统支持与第三方仓库系统进行数据同步，对非油品商品库存状态进行统计，支持与仓库的仓储合同管理及发票管理，且支持仓库盘存管理。系统通过智能算法分析库存数据，当库存量低于预设的安全阈值时，需自动触发精准的补货预警机制。同时，系统需实现与销售端和采购端的深度数据联动，能够根据实时销售情况和采购周期，智能生成最优化的补货建议，确保库存水平始终维持在合理区间，既避免缺货风险，又防止库存积压，有效提升供应链管理效率。</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零售运营</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订单管理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站点订单管理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实时监控功能，用户可随时查看供能站的所有交易订单详情（含已支付完成、待支付、支付失败等全部状态订单），交易订单应包括站点油品、非油及洗车等全部业务交易数据。通过直观的数据展示界面，管理人员能够精准掌握站点每笔交易的实时动态，包括交易时间、商品类型、销售金额等关键信息，确保对经营状况的全方位把控。系统还支持按时间、油品类型等多维度筛选查询，帮助管理人员快速获取所需业务数据，为经营决策提供及时、准确的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一键加油订单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用户查看“一键加油”业务的所有订单详情，包括订单创建时间、支付状态、加油量等完整信息，同时提供实时的加油流程跟踪功能，让管理人员可以随时掌握从支付完成到加油结束的每个环节状态。此外，系统需智能关联供能站信息，显示油站位置、营业时间等关键数据，并与会员账户自动关联，记录会员积分、优惠券使用情况等，为客户提供一站式的加油服务管理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发票管理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实现与税务管控系统的无缝对接，支持各类电子发票的开具和全生命周期管理。系统不仅具备发票开具功能，还需对已开具的发票进行系统化管理，提供发票状态跟踪、分类归档等管理服务。同时，系统需支持用户从税务平台直接下载电子发票文件，并内置发票真伪查验功能，可通过联网实时验证发票信息的真实性和有效性，确保每一张发票都符合税务规范要求。此外，系统需支持发票数据统计分析、异常预警等增值服务，为企业财务管理提供全方位的数字化支持。</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班日结管理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班日结监控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具备供能站班日结管理功能，实时监控辖区内所有站点的日结操作完成进度，通过可视化界面直观展示各站点日结状态。管理人员可随时查看班日结完成率、未完成站点清单等关键指标，及时掌握整体运营动态。同时系统需设有异常预警机制，一旦发现班日结数据异常或超时未完成情况，会自动触发告警提示，并生成异常处理工单，指导相关人员快速定位问题原因，采取有效措施进行处理，确保班日结工作按时保质完成。此外，系统还需提供历史班日结数据查询和统计分析功能，为管理决策提供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班日结查看</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供能站班日结数据的自动化采集功能，能够精准获取油品销量、营业收入等关键业务指标。通过智能化的数据处理流程，系统需自动生成各类标准化的经营报表，包括但不限于销售日报、营收汇总表等。报表数据能够有效支撑财务部门的对账工作，确保账实相符；同时为绩效考核提供客观依据。系统需确保数据实时传输、处理高效，大幅提升供能站运营管理效率，减轻人工统计负担，降低差错率。</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绩效管理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员工信息管理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通过数字化方式全面记录并管理员工的基础档案信息，包括员工所属部门、具体岗位职责以及对应的系统操作权限等级等核心数据。同时，系统需支持将员工档案与其绩效考核指标、日常工作任务的完成情况等关键业务数据进行深度绑定，实现人力资源数据的互联互通。</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绩效规则</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具备完善的油品与非油品联量绩效计算规则管理功能，能够根据企业实际需求灵活配置各类绩效计算参数。系统支持对供能站油品销售（包括汽油、柴油等）和非油品业务（如便利店商品、洗车服务等）的绩效进行联动计算，实现多维度、多层次的绩效评估。管理人员可根据不同商品类别、销售时段、促销活动等因素设置差异化的计算规则，确保绩效评估的公平性与激励性。同时系统还提供历史数据对比分析功能，帮助管理者优化绩效计算方案，持续提升经营效益。</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绩效计算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将供能站销量数据与员工绩效指标进行智能关联匹配，通过内置的智能算法模型，系统可自动计算每位员工应得的销售提成和绩效奖金，确保薪酬分配的精准性和公平性。同时，系统还能生成多维度的业绩分析报告，帮助管理者深入了解销售趋势和员工表现，从而制定更有针对性的激励措施和销售策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绩效查看</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系统需支持员工随时自主查看个人的联量绩效考核结果。通过该功能，员工可以及时了解自己的工作表现评估情况，掌握各项指标的完成进度，无需通过上级或人力资源部门即可获取第一手的绩效数据。</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客户触达</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触达管理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资讯广告内容管理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完善的资讯或广告内容管理模块，支持用户对供能站各类资讯进行全流程管理。用户可以便捷地编辑油价调整信息、优惠活动预告等各类资讯内容，并通过系统进行快速更新发布。发布终端应包括支付宝小程序、微信公众号/小程序、站级POS、站点大屏及电视机等各类线上触达渠道及线下设备，支持图片、视频等多种格式文件。同时，系统需关联审核流程，确保所有发布的资讯内容都经过专业审核，保证信息的准确性和合规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生态内容管理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的生态内容管理模块具备强大的多平台对接能力，可无缝连接微信和支付宝两大主流生态平台（包括微信公众号、微信小程序、支付宝生活号及支付宝小程序等）。该模块不仅能实现客户基础信息和行为数据的双向同步，还能实时更新订单交易记录等核心业务数据。系统还需通过标准化的API接口，支持灵活扩展其他第三方平台对接能力，为企业构建完整的数字化生态运营解决方案。</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电子钱包（电子卡）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Web端账号管理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客户WEB端账号权限管理，提供账号查询、密码重置等功能。</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卡规则</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个人电子卡规则设置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为用户提供全面的个人卡管理功能，支持对个人卡各项业务规则的灵活配置。用户可以对个人卡的开户流程进行详细设置，包括开户条件、开户限额等开户规则；可以自定义充值规则，如设置单笔充值限额、日累计充值限额等充值参数；能够对消费规则进行个性化配置，包括消费场景限制、单笔消费限额等消费控制；同时还支持返利规则的设定，如返利比例、返利周期等返利政策。通过这些全局规则的设置，系统需实现对个人卡全生命周期业务规则的精细化管理，为用户提供高度可定制的个人卡服务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企业电子卡规则设置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为企业用户提供全面的企业卡管理功能，支持对企业卡的各项业务规则进行灵活配置。系统允许管理员对企业客户的开卡流程进行详细设置，包括开卡条件、审批流程等；同时支持对企业客户的充值规则进行定制，如充值限额、充值方式等；还提供了企业客户返利规则的配置选项，可设置返利比例、返利周期等参数；此外，系统还支持对企业消费规则的全面管理，包括消费限额、消费场景限制等。</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交易查询</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电子卡查询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系统支持查询电子卡详情。</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充值记录</w:t>
      </w:r>
      <w:r>
        <w:rPr>
          <w:rFonts w:hint="eastAsia" w:ascii="宋体" w:hAnsi="宋体" w:cs="宋体"/>
          <w:color w:val="auto"/>
          <w:sz w:val="21"/>
          <w:szCs w:val="21"/>
          <w:highlight w:val="none"/>
          <w:lang w:eastAsia="zh-CN"/>
        </w:rPr>
        <w:t>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系统支持查询、查看个人和企业客户的充值记录及充值详情。</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消费记录查询</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系统支持查询、查看个人和企业客户的消费记录、支付信息的详细信息。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提现记录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系统支持客户发起提现申请后，对提现记录进行审核并退款。</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储值套餐销售记录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系统支持查询储值套餐的销售记录及明细。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电子卡日结</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系统支持用户查看电子卡日结数据信息。</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电子卡管理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企业注册审核</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系统需对申请注册企业客户的客户信息进行记录并审核。</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系统提供新建、查询、查看、编辑、导出等企业客户管理的功能。</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企业群组管理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对已申请并审核成功的企业，系统支持用户可根据企业性质、企业状态等进行分组。</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系统支持查看企业的主卡及子卡信息，并支持批量/单独增删子卡、冻结/解冻电子卡、换绑管理员、管理车牌绑定等操作。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个人卡管理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系统支持检索并查看个人卡信息，同时支持批量/单独增删子卡、冻结/解冻电子卡、管理车牌绑定等操作。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电子卡报表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系统提供电子卡报表数据，包括但不限于电子卡交易汇总</w:t>
      </w:r>
      <w:r>
        <w:rPr>
          <w:rFonts w:hint="eastAsia" w:ascii="宋体" w:hAnsi="宋体" w:cs="宋体"/>
          <w:color w:val="auto"/>
          <w:szCs w:val="21"/>
          <w:highlight w:val="none"/>
          <w:lang w:eastAsia="zh-CN"/>
        </w:rPr>
        <w:t>－</w:t>
      </w:r>
      <w:r>
        <w:rPr>
          <w:rFonts w:hint="eastAsia" w:ascii="宋体" w:hAnsi="宋体" w:cs="宋体"/>
          <w:color w:val="auto"/>
          <w:szCs w:val="21"/>
          <w:highlight w:val="none"/>
        </w:rPr>
        <w:t>油品，电子卡交易汇总，电子卡油品交易汇总，电子卡交易明细，电子卡风控记录，电子卡充值流水，电子卡消费品类汇总，子账户分配流水等。</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电子卡风控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企业风控</w:t>
      </w:r>
      <w:r>
        <w:rPr>
          <w:rFonts w:hint="eastAsia" w:ascii="宋体" w:hAnsi="宋体" w:cs="宋体"/>
          <w:color w:val="auto"/>
          <w:sz w:val="21"/>
          <w:szCs w:val="21"/>
          <w:highlight w:val="none"/>
          <w:lang w:eastAsia="zh-CN"/>
        </w:rPr>
        <w:t>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对企业进行风险控制分级设置，其中限制类包括但不限于：单卡单次支付额度限制、单卡每日消费总额度限制、主卡每日消费总次数限制。预警类包括但不限于：主卡每日返利次数限制预警、主卡每日充值返利额度预警、主卡每日消费返利额度预警、司机每日单卡消费油站数量超限预警、单卡单站每日消费次数预警。预警信息通过系统通知发送至指定管理人员及对应客户。系统需支持针对个别客户单独设置限制及预警阈值。</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个人风控设置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系统支持对个人进行风险控制分级设置，其中限制包括但不限于：单卡单次支付额度限制、单卡每日消费总额度限制、单卡</w:t>
      </w:r>
      <w:r>
        <w:rPr>
          <w:rFonts w:hint="eastAsia" w:ascii="宋体" w:hAnsi="宋体" w:cs="宋体"/>
          <w:color w:val="auto"/>
          <w:szCs w:val="21"/>
          <w:highlight w:val="none"/>
          <w:lang w:eastAsia="zh-CN"/>
        </w:rPr>
        <w:t>每日</w:t>
      </w:r>
      <w:r>
        <w:rPr>
          <w:rFonts w:hint="eastAsia" w:ascii="宋体" w:hAnsi="宋体" w:cs="宋体"/>
          <w:color w:val="auto"/>
          <w:szCs w:val="21"/>
          <w:highlight w:val="none"/>
        </w:rPr>
        <w:t>消费总次数限制。预警包括但不限于：每日每站开卡数量限制、每日单卡充值额度预警、单卡每日返利次数限制预警、单卡每次充值返利额度预警、单卡每次消费返利额度预警、单卡每次消费额度超出平均值预警、单卡消费油站数量超限预警、单卡每日每站消费次数预警、单卡每日每站消费金额预警。预警信息通过系统通知发送至指定管理人员及对应客户。系统需支持针对个别客户单独设置限制及预警阈值。</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其他风控设置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系统支持用户设置限制单会员登录的设备数量、单会员支付密码连续输入错误次数、中心电子卡日结时间设置、系统结算提醒等。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风控记录</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系统需显示触发风控的客户信息及交易信息和原因，支持用户对客户进行拉黑、冻结、解冻限制。触发风控预警的，发送通知至指定管理人员。</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会员营销</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会员管理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注册会员管理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系统提供注册管理，支持审核、维护会员账号，管理及查询会员基础信息（手机号、等级）功能，支撑会员体系。</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会员协议管理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个人会员协议更新维护，客户自主注册时系统展示最新协议内容，由客户自主确认勾选完成注册；支持单位会员模板协议更新维护，单位会员自主注册时自行下载协议，上传盖章协议后完成注册；支持个性化协议签订审批，系统支持录入个性化协议并记录存档。</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统一会员ID</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系统需建立基于手机号、微信openid、支付宝id等一体化识别的统一会员体系。支持同一手机号同时对应个人会员及企业会员账号。</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会员成长值</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系统需计算并更新会员成长值，驱动会员等级晋升及权益获取。可以设置多种成长值获取渠道和计算方式，获取来源包括但不限于消费、充值、签到、互动及第三方合作活动消费等。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会员等级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根据成长值定义不同等级会员，支持动态更新及根据业务实际需求自定义设置升级和保级策略。</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会员等级/标签权益</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系统需要支持针对定义不同等级/不同标签会员配置权益生效规则权益（如折扣、优先服务等）。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客户标签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系统需允许用户根据实际需求自定义新增编辑标签，并在标签市场中对已创建的标签进行统一管理。标签类型应</w:t>
      </w:r>
      <w:r>
        <w:rPr>
          <w:rFonts w:hint="eastAsia" w:ascii="宋体" w:hAnsi="宋体" w:cs="宋体"/>
          <w:color w:val="auto"/>
          <w:szCs w:val="21"/>
          <w:highlight w:val="none"/>
          <w:lang w:eastAsia="zh-CN"/>
        </w:rPr>
        <w:t>包括</w:t>
      </w:r>
      <w:r>
        <w:rPr>
          <w:rFonts w:hint="eastAsia" w:ascii="宋体" w:hAnsi="宋体" w:cs="宋体"/>
          <w:color w:val="auto"/>
          <w:szCs w:val="21"/>
          <w:highlight w:val="none"/>
        </w:rPr>
        <w:t>动态标签及静态标签，标签数据来源支持内部数据及第三方数据。包括执行标签的创建与编辑、在标签市场中查看所有可用标签、通过查询功能快速定位特定标签、对标签进行启用或停用状态切换，以及删除不再需要的标签。</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会员分组管理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按标签（如高频加油、高客单、便利店高频消费、购买重点商品，是否集团内客户等）自定义分组会员，进行精准触达、差异化运营。系统需提供完善的群组管理功能，允许自由创建新的群组，并对已有群组进行全方位的操作维护。支持添加新的群组信息，包括设置群组名称、成员构成等基本属性；同时可以通过系统便捷地查询现有群组列表，查看群组详细信息；此外，系统需允许对群组信息进行编辑修改，如调整成员名单、变更群组属性等；对于不再需要的群组，可以选择删除操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黑名单管理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系统支持标记黑名单会员，并在后续业务流程中限制其交易、服务，保障平台秩序，同时用户也可随时解除黑名单。黑名单清单及操作记录需供用户随时查询和追溯。</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权益管理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积分管理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完善的积分管理功能，允许根据业务需求自定义积分规则体系，包括积分获取规则和积分消耗规则的设计与配置。在积分获取方面，可以设置多种积分获取渠道和计算方式；在积分消耗方面，系统支持灵活设置积分兑换比例和使用条件。同时，系统还提供专业的会员积分台账管理模块，需详细记录每个会员的积分变动情况，支持积分余额查询、积分流水追溯等功能。</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电子券管理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电子优惠券的全生命周期管理功能，包括从零开始创建各类电子券（如汽车加油优惠券、商品折扣券、会员专享券等）并支持API对接发券。实现优惠券的精准发放与定向派送，同时提供完善的核销验证机制。支持管控电子券的有效使用期限（可精确设置起始日期和截止日期），并灵活配置电子券的适用范围（可限定具体门店、商品品类或客户群体），支持优惠券成本分摊设置，确保每一张电子券都能在预设的规则框架内被合理使用。此外，系统还提供实时数据监控功能，便于运营人员随时掌握电子券的发放进度、核销情况和剩余库存等重要信息。</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直降优惠管理</w:t>
      </w:r>
    </w:p>
    <w:p>
      <w:pPr>
        <w:spacing w:after="0" w:afterLines="0" w:line="360" w:lineRule="auto"/>
        <w:ind w:firstLine="420" w:firstLineChars="200"/>
        <w:rPr>
          <w:rFonts w:ascii="宋体" w:hAnsi="宋体" w:cs="宋体"/>
          <w:color w:val="auto"/>
          <w:szCs w:val="21"/>
          <w:highlight w:val="none"/>
        </w:rPr>
      </w:pPr>
      <w:r>
        <w:rPr>
          <w:rFonts w:hint="eastAsia" w:ascii="宋体" w:hAnsi="宋体" w:cs="宋体"/>
          <w:color w:val="auto"/>
          <w:kern w:val="0"/>
          <w:szCs w:val="21"/>
          <w:highlight w:val="none"/>
        </w:rPr>
        <w:t>支持油品单价直降、油品折扣及非油品折扣三类核心优惠设置。可灵活配置不同油品的直降金额或折扣比例，同时支持非油品商品按品类、单品设置折扣规则，适配多样营销场景，助力站点精准落地优惠活动，提升</w:t>
      </w:r>
      <w:r>
        <w:rPr>
          <w:rFonts w:hint="eastAsia" w:ascii="宋体" w:hAnsi="宋体" w:cs="宋体"/>
          <w:color w:val="auto"/>
          <w:kern w:val="0"/>
          <w:szCs w:val="21"/>
          <w:highlight w:val="none"/>
          <w:lang w:eastAsia="zh-CN"/>
        </w:rPr>
        <w:t>客户黏性</w:t>
      </w:r>
      <w:r>
        <w:rPr>
          <w:rFonts w:hint="eastAsia" w:ascii="宋体" w:hAnsi="宋体" w:cs="宋体"/>
          <w:color w:val="auto"/>
          <w:kern w:val="0"/>
          <w:szCs w:val="21"/>
          <w:highlight w:val="none"/>
        </w:rPr>
        <w:t>与消费转化。</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营销管理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主题管理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系统提供营销主题策划与配置功能，允许运营人员根据季节特点或促销需求创建多样化的营销主题（例如</w:t>
      </w:r>
      <w:r>
        <w:rPr>
          <w:rFonts w:hint="eastAsia" w:ascii="宋体" w:hAnsi="宋体" w:cs="宋体"/>
          <w:color w:val="auto"/>
          <w:szCs w:val="21"/>
          <w:highlight w:val="none"/>
          <w:lang w:eastAsia="zh-CN"/>
        </w:rPr>
        <w:t>“</w:t>
      </w:r>
      <w:r>
        <w:rPr>
          <w:rFonts w:hint="eastAsia" w:ascii="宋体" w:hAnsi="宋体" w:cs="宋体"/>
          <w:color w:val="auto"/>
          <w:szCs w:val="21"/>
          <w:highlight w:val="none"/>
        </w:rPr>
        <w:t>夏日清凉节</w:t>
      </w:r>
      <w:r>
        <w:rPr>
          <w:rFonts w:hint="eastAsia" w:ascii="宋体" w:hAnsi="宋体" w:cs="宋体"/>
          <w:color w:val="auto"/>
          <w:szCs w:val="21"/>
          <w:highlight w:val="none"/>
          <w:lang w:eastAsia="zh-CN"/>
        </w:rPr>
        <w:t>”</w:t>
      </w:r>
      <w:r>
        <w:rPr>
          <w:rFonts w:hint="eastAsia" w:ascii="宋体" w:hAnsi="宋体" w:cs="宋体"/>
          <w:color w:val="auto"/>
          <w:szCs w:val="21"/>
          <w:highlight w:val="none"/>
        </w:rPr>
        <w:t>这类季节性主题活动）。在主题配置层面，系统能够智能聚合各类关联营销活动，包括但不限于油品价格折扣促销、商品买赠优惠活动等多种营销形式。</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营销活动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活动创建过程中，系统支持全面配置各项营销规则和会员权益，例如设置活动时间周期、目标客群筛选条件、优惠折扣力度、积分奖励规则等核心参数。同时，系统需自动记录并沉淀完整的活动执行数据，包括参与人数、转化率、销售额等关键指标，形成可视化的数据报表，为后续营销策略优化提供数据支撑和决策依据。</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互动营销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各类客户互动营销功能模块，包括但不限于会员账号注册、会员卡开通办理、日常签到打卡等基础运营功能。在奖品权益体系设计方面，系统需提供多样化的激励方式，如可累积使用的会员积分、不同面值的电子优惠券、趣味性强的抽奖游戏机会等多种形式的奖励机制，以满足不同客户的参与需求和偏好，从而有效提升客户活跃度和平台粘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游戏营销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多种互动式营销游戏形式，包括经典的大转盘抽奖活动、趣味十足的刮刮乐游戏、充满惊喜感的砸金蛋环节以及极具视觉冲击力的红包雨互动以及拼团、砍一刀等形式的游戏营销方式。系统还需支持对这些营销游戏进行个性化配置，包括奖品设置、中奖概率调整、活动时间设定等，满足不同场景下的营销需求，帮助商家实现更高效的客户引流和品牌推广。</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消费营销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关注、注册、绑卡、充值、消费等多种基础操作，并针对每种操作允许客户设计专门的营销方案；系统支持限定关注时间范围，可精确到具体的关注渠道来源；系统支持限定消费渠道、消费时间段、消费金额范围，同时可以根据组织机构、会员等级进行筛选，还能精确到商品品类和具体单品，以及会员等级等多维度条件。</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充值营销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系统支持设置限定充值渠道、充值时间、充值金额、组织机构、会员等级等。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积分营销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系统支持推出积分加倍、积分抵现活动，刺激会员消费、消耗积分。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小票促销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系统支持在消费小票打印营销信息（如 “注册会员下次加油满 200 减 30”）引导复购，支持于小票上打印展示会员领券二维码。</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客户服务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常见问题</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系统需支持维护客服知识库（如加油流程、电子券使用），支持自助查询、智能回复。</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意见建议处理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系统需能够接收、审核客户反馈（如油站服务、系统体验），记录并跟踪处理进度，闭环管理。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调查问卷及加油评价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系统支持创建、发布调研问卷和加油评价，收集客户数据，辅助优化服务。系统应根据问卷数据生成统计分析报告。支持完成问卷/评价后，赋予客户对应权益。</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消息模块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系统支持可自定义配置客服消息触达规则（如订单通知、营销推送、权益领取），包括管理消息模板、频率。</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运营营销</w:t>
      </w:r>
    </w:p>
    <w:p>
      <w:pPr>
        <w:pStyle w:val="6"/>
        <w:numPr>
          <w:ilvl w:val="3"/>
          <w:numId w:val="5"/>
        </w:numPr>
        <w:tabs>
          <w:tab w:val="left" w:pos="312"/>
        </w:tabs>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促销管理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油品直接促销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以油品消费金额或数量为触发条件，提供多样化价格优惠。包括加油满指定金额或数量后享受打折、立减，以及满额或满量后的单价折扣、单价优惠等形式，直接降低油品消费成本，刺激客户增加单次加油金额或数量，提升油品销量。</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非油品直接促销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围绕非油品消费的金额和数量设置多重优惠。涵盖多买优惠（如满指定件数享打折、立减、单价下调等）、满赠（满额或满件赠送商品）、满减（满额订单立减或折扣）及加价购（满额或满件后可低价换购商品）等形式，鼓励客户增加非油品购买量、提升客单价，拉动非油品销售额增长。</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油非互促促销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通过油品与非油品消费的联动实现双向引流。一方面，客户购买非油品满指定金额或件数，可获得油品相关优惠（如赠送油品、购油折扣）；另一方面，加油满金额或数量时，能获赠非油品商品，或通过加价换购的方式以优惠价格购买商品，促进 “油品消费带动非油销售、非油消费反哺油品购买” 的良性循环。</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三方合作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卡券核销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全面支持接入第三方平台卡券识别，如不记名加油卡的核销、抖音平台发放的各类优惠券的核销以及其他第三方平台券核销等。为了确保整个流程的高效和便捷，订单统计、结算及开票，使每一位客户都能感受到高效、便捷、贴心的服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平台订单核销</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全面支持与第三方合作平台（例如团油、平安好车主、万金油等平台）的订单核销功能，确保订单数据的准确性和完整性。同时，系统还提供订单的详细统计、高效结算以及便捷的开票服务，这一系列流程统称为浙油付业务，旨在为客户提供一站式的便捷服务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平台引流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与第三方合作平台进行无缝对接，推荐客户跳转至合作平台进行注册成为会员。在此过程中，系统会详细记录通过这种方式注册的会员信息，并根据其注册来源和活动情况，给予这些会员特定的权益和优惠，以确保他们能够享受到更加个性化和优质的服务体验。</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联合营销</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系统需支持与微信、支付宝、抖音、银联等合作方开展深度联合营销活动。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企业微信会员身份互通</w:t>
      </w:r>
    </w:p>
    <w:p>
      <w:pPr>
        <w:spacing w:after="0" w:afterLines="0"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对接企业微信私域运营体系，实现企业微信客户的会员身份互通，与会员小程序结合开展各类企微私域营销活动，帮助企业构建完整的私域流量闭环，实现从获客到转化的全链路数字化运营</w:t>
      </w:r>
      <w:r>
        <w:rPr>
          <w:rFonts w:hint="eastAsia" w:ascii="宋体" w:hAnsi="宋体" w:cs="宋体"/>
          <w:color w:val="auto"/>
          <w:szCs w:val="21"/>
          <w:highlight w:val="none"/>
          <w:lang w:eastAsia="zh-CN"/>
        </w:rPr>
        <w:t>。</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微信生态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支持与微信生态深度整合，提供完善的微信端功能配置体系，支持自定义菜单设置、自动回复规则配置、消息模板管理等多项功能，确保企业能够高效运营微信生态内的各项服务，包括但不限于微信摇一摇送券功能、刷掌支付技术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支付宝生态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支付宝商家券、支付宝供能站点信息同步、员工推荐支付宝充值返利、支付宝碰一碰支付、支付宝碰一碰开通电子账户等支付宝生态联合营销。</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抖音生态</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支持利用抖音本地生活服务等生态体系，对接开展抖音生态联合营销。</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财务管理</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支付管理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支付接入配置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要具备完善的支付渠道对接能力，能够灵活接入市场上主流的支付方式，包括但不限于微信支付、支付宝支付、银联支付以及各类银行卡支付等。在技术实现上，系统应当提供便捷的支付接口参数配置功能，允许管理员根据业务需求设置不同的支付费率规则，并能够对支付权限进行细粒度的管控。同时，系统需要构建完整的支付基础链路，确保从用户发起支付请求到最终完成交易的全流程都能稳定运行，包括支付请求处理、支付状态查询、交易结果通知等关键环节，为商户和用户提供安全、高效、便捷的支付体验。</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支付交易集成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深度集成支付功能与各类高频业务场景（如供能站消费、商超购物等），实现从交易发起、支付指令安全传输到结果实时同步的完整闭环自动化流程。系统能智能识别不同业务场景的交易特征，自动触发相应的支付流程，通过加密通道高效传递支付指令，并即时将交易结果反馈至业务系统，确保整个支付过程无缝衔接、安全可靠。</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支付自主配置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系统支持自主配置第三方合作记账类收款入口并推送至指定站点，并支持不同类型折扣自定义配置、订单统计及订单拆分开票。</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日常账务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对账管理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提供完善的对账功能模块，支持用户下载各类交易对账单。系统能够自动将支付渠道的交易流水、业务系统的交易记录与银行的实际资金到账数据进行三方智能比对，通过预设的匹配规则和算法模型，精准识别出其中的差异项和异常情况。对于差异问题，系统需自动触发预警机制，并按照预设的处理流程进行异常处理，包括自动调账、生成差异报告等操作，从而确保每一笔交易记录与实际资金流动情况完全一致，有效防范资金风险，提高财务核算的准确性和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账户管理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系统为总部</w:t>
      </w:r>
      <w:r>
        <w:rPr>
          <w:rFonts w:hint="eastAsia" w:ascii="宋体" w:hAnsi="宋体" w:cs="宋体"/>
          <w:color w:val="auto"/>
          <w:szCs w:val="21"/>
          <w:highlight w:val="none"/>
          <w:lang w:eastAsia="zh-CN"/>
        </w:rPr>
        <w:t>下属</w:t>
      </w:r>
      <w:r>
        <w:rPr>
          <w:rFonts w:hint="eastAsia" w:ascii="宋体" w:hAnsi="宋体" w:cs="宋体"/>
          <w:color w:val="auto"/>
          <w:szCs w:val="21"/>
          <w:highlight w:val="none"/>
        </w:rPr>
        <w:t>公司设置清算账户，并且提供各支付渠道商户应收款账户、预收款账户、往来应收款账户、往来应付款账户。系统实时记录、统计各下属公司、站点的清算账户的期初额、发生额、日终余额等，并提供页面进行查询，便于业务人员随时盘点。</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账期管理</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系统支持设定并管理清算账期规则（如结算周期、付款期限），规范资金清算时间节点；支持清算日管理，设置每日自动清算时间；清算月管理，设置每月清算自动执行时间。</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电子卡清分清算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客户电子卡充值资金和账户记入总部，站点消费后，系统需要支持清分总部与子公司之间的账务（即总部应该转多少钱给子公司，作为市公司的销售收入）。财务做两级清分，总部与子公司间清分，不涉及子公司之间清分。系统每日对当天发生的交易进行资金核对、轧差，生成日结清算报表确保账实一致，并自动出具日结对账表、支付日报、预付款日报、日结总账、应收应付账务报表等。每月汇总全月交易数据进行资金清算核对，生成月结报表并完成月度资金结算，完成资金划转，生成支付月报、预付款月报、月结总账、应收应付账务报表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日结对账</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自动执行支付交易数据的汇总处理任务，通过预设的清算算法完成多维度资金轧差计算，基于智能对账引擎实现交易数据的双向核对与确认。系统同步生成包含交易明细、轧差结果、对账差异等完整信息的日结报表，通过多重校验机制确保报表数据的准确性，最终形成从数据采集、资金清算到账务核对的完整闭环，实现当日所有支付流程的自动化终结。整个处理过程严格遵循金融监管要求，确保资金安全与结算时效。</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月结清算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每月定期汇总整理全月的支付交易流水与资金往来数据，通过自动化流程完成月度对账工作，确保账实相符。系统需执行资金结算操作，完成各类款项的收付处理，同时开展全面的财务核算工作，包括收入确认、成本归集、费用分摊等。</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自动生成详细的月结报告，报告需包含完整的财务数据和统计分析，为后续的账务处理、报表编制及管理决策提供可靠的数据支撑和依据。整个月结过程严格遵循会计准则和内部控制要求，确保财务数据的准确性和完整性。</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油品结算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油品业务相关的财务日常操作管理，与财务系统的深度集成，实现数据的无缝对接与高效流转。系统功能模块需覆盖油品业务的财务管理全流程管理，包括但不限于：应收款项的精细化管理，能够实时跟踪每笔应收账款的流转状态；零售及采购业务数据的智能统计与分析，自动生成各类销售报表；支付数据的集中处理与监控，确保资金流动的透明可追溯；存货的精准管控，从入库到出库实现全生命周期管理；以及月末盘点报表的自动生成与查询功能，大幅提升盘点效率。</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非油品结算</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覆盖非油品业务的财务管理全流程管理，通过与财务系统的深度集成，实现了业务数据的无缝对接与高效流转。系统功能涵盖应付账款与应收账款的全流程管理，包括经销业务结算和代销业务结算等核心环节。同时，系统还需提供完善的销售数据统计分析功能，以及支付数据的实时监控与汇总，为财务部门提供精准的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非油品存货</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系统支持处理每月月末盘点过程中出现的账实不符情况，支持建立完善的账务调整机制，发现并修正存货账面记录与实际库存之间的差异，确保非油品存货的账实数据始终保持高度一致。</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非油品采购</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企业采购全流程的财务核算与稽核工作，具体包括非油品经销商品的采购成本核算、非油品供应商开具的增值税发票校验审核以及油品销售业务的收入核算等核心业务场景。系统需建立完善的财务核算机制和严格的校验标准，有效确保采购环节产生的各类财务数据的准确性、完整性和合规性，防范财务风险。系统采用智能化的数据处理技术，实现采购业务与财务核算的无缝对接，大幅提升财务工作效率的同时，也确保了各项财务数据符合国家财税法规和企业内部管控要求。</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非油品销售</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完善的财务核算机制，精确记录每一笔销售交易涉及的金额数据，包括销售收入、商品成本以及最终利润等关键财务指标。系统需采用多重校验机制确保所有财务数据的准确性和完整性，实现从销售订单生成到财务入账的全流程自动化处理，为企业的销售业务提供可靠的财务数据支撑和决策依据。同时，系统需支持多维度的财务数据分析功能，帮助企业更好地掌握销售业务的盈利状况和资金流向。</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财务统计</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报表统计</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自动采集、整合企业财务全链路各环节的数据查询需求。通过建立统一的数据中台，系统可实时获取采购订单、销售记录、库存变动、支付流水、对账结果等核心业务数据，并基于这些数据自动生成多维度、多角度的可视化分析报表。系统提供的报表涵盖价格波动分析、订单执行追踪、库存周转监控、对账差异明细等关键财务指标，不仅支持按时间、部门、产品等多维度进行数据筛选和钻取，还能通过智能算法自动识别异常数据并预警。</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月末、年末结账业务</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企业财务周期关键节点的专项业务管理，重点涵盖非油品库存盘点差异的账务处理、油品及非油品业务的月度结算、月度账期开关控制以及年度财务决算等核心环节。通过标准化的流程设计和严格的执行管控，系统能够有效确保从业务发生到财务入账的全流程闭环管理，同时保障各环节数据采集的准确性和账务处理的可靠性。系统能够自动化处理便利店盘点差异的账务调整，规范油品和非油品业务的月度结算流程，精准控制月末账期的开启与关闭时点，并完整支持年度财务决算的各项准备工作，从而为企业提供完整、可靠的财务周期管理解决方案。</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数据分析</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统计报表</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油品经营报表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通过智能化手段自动采集并整合油品采购、销售、库存、损溢、价格及利润等关键业务数据，基于大数据分析技术生成涵盖销量变化趋势、各供能站经营业绩对比、区域销售分布等多维度的深度分析报表。系统生成的报表支持自定义筛选和钻取分析功能，可根据不同层级管理者的需求灵活呈现数据，真正实现数据驱动的精细化运营管理。</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非油品经营报表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自动采集并整合非油品商品全流程的运营数据，包括采购订单、销售记录、库存状态以及各类促销活动的效果反馈等多维度信息，并运用数据分析算法进行深度处理和交叉比对，最终生成一系列专业化的经营分析报表。这些报表不仅包含常规的热销商品排行榜、毛利率分析等核心指标，还能根据业务需求提供更细粒度的数据分析维度。通过这些精准的数据支撑，管理人员可以掌握非油品业务的运营状况，及时发现经营中的问题和机会点，为后续的业务策略调整和运营优化提供科学依据，从而持续提升非油品业务的经营效益和市场竞争力。</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会员营销报表</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自动采集并统计会员基础数据，包括会员注册数量、活跃会员占比、新老会员分布等核心指标，详细记录每位会员的消费行为数据，如消费频次分布、单次消费金额、客单价波动趋势等关键信息；此外系统需全面追踪会员积分获取与使用情况，以及各类营销活动的参与度与转化效果。基于这些多维度的会员行为数据，系统运用大数据分析技术自动生成详实的会员画像分析报告和营销效果评估报表，通过可视化图表直观展示各项指标的关联性与变化趋势，为商家制定精准营销策略提供数据支撑和决策依据，有效提升营销活动的投入产出比和会员忠诚度培养效果。</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经营分析</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综合经营分析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零售业务数据的综合分析可视化功能，提供多种专业的数据展现形式，包括但不限于趋势分析曲线图、对比分析柱状图、占比分析饼图、相关性分析散点图、多维度评估雷达图以及实时监控仪表盘等丰富的可视化表现形式。通过这些专业的数据可视化工具，系统能够智能生成各类关键绩效指标（KPI）的直观展示，并创新性地结合电子地图技术实现业务数据的空间化呈现。在综合分析可视化界面的支持下，管理人员可以360度全方位、多角度地掌握零售业务的运营状况，包括销售趋势、库存分布、客户画像等核心业务指标，实现从宏观到微观的业务洞察，帮助决策者快速把握业务动态，及时发现问题并做出精准决策。</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零售经营分析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企业业务经营的多维度精细化分析功能。在油品销售分析方面，系统支持根据组织机构层级（如总部、区域、供能站等）、财务结账周期（日结、月结、季度结等）、实际销售时间段（按小时、日、周、月等）以及油品种类（汽油、柴油等）等多个维度，深入分析包括提枪交易次数、单枪平均加油量、柴汽销售比例、卡销支付占比、总销售量、加满率等关键业务指标。同时还能对油品的采购、销售、库存全流程进行监控，实时掌握销售目标完成进度，并生成各类销售排行榜单。</w:t>
      </w:r>
    </w:p>
    <w:p>
      <w:pPr>
        <w:pStyle w:val="46"/>
        <w:adjustRightInd w:val="0"/>
        <w:snapToGrid w:val="0"/>
        <w:spacing w:line="360" w:lineRule="auto"/>
        <w:ind w:firstLine="420" w:firstLineChars="200"/>
        <w:rPr>
          <w:rFonts w:ascii="宋体" w:hAnsi="宋体" w:cs="宋体"/>
          <w:color w:val="auto"/>
          <w:szCs w:val="21"/>
          <w:highlight w:val="none"/>
          <w:shd w:val="clear" w:color="auto" w:fill="E6F0FF"/>
        </w:rPr>
      </w:pPr>
      <w:r>
        <w:rPr>
          <w:rFonts w:hint="eastAsia" w:ascii="宋体" w:hAnsi="宋体" w:cs="宋体"/>
          <w:color w:val="auto"/>
          <w:szCs w:val="21"/>
          <w:highlight w:val="none"/>
        </w:rPr>
        <w:t>在商品销售分析方面，系统同样需支持按组织机构、结账时间、销售时间等基础维度，以及商品品类、具体品牌、单品等多个层级展开分析。可详细追踪商品的进销存情况、重点商品销售进度、不同销售类型（零售、批发等）的统计分布，并生成商品销售排行、库存状况分析、库存品类结构分析、单品销售趋势分析等报表。此外，系统还需提供从订货到收货的全流程跟踪、商品成本结构分析等深度经营分析功能，为企业决策提供全面的数据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经营预警分析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提供业务经营预警分析功能，能够基于历史销售数据进行深度挖掘和智能预测。通过对各大区、地市以及各供能站的油品和非油品销售数据进行多维度分析，系统可以准确预测各单位的预期销售目标完成情况。同时，系统需实现对各单位实际销售数据的实时动态监控，当发现实际销售业绩与预定计划出现较大偏差时，系统需立即触发预警机制，通过可视化界面和消息推送等方式及时提醒相关人员。业务人员可以通过系统提供的分析工具，快速锁定问题所在，深入分析产生差距的具体原因，包括但不限于市场环境变化、运营管理问题、促销活动效果等影响因素，从而为后续的经营决策提供有力支持。</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财务经营分析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支持资金到账监控与差异分析功能，能够对供能站的资金流动情况进行全方位、多角度的跟踪监测。在分析维度方面，系统需支持从组织机构层级、业务领域划分、支付方式类别以及时间周期等多个维度进行交叉分析。同时，系统具备智能预警机制，支持可根据实际需求设置个性化的预警阈值，当监测到特定站点的资金变动幅度超过预设范围时，系统将自动触发预警提示。此外，系统还需提供丰富的数据可视化功能，支持以柱状图、折线图、饼图等多种图表形式直观展示资金数据，便于快速识别异常情况并进行决策分析。</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单站经营分析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系统需支持单站实时运营数据的深度综合分析功能。系统可提供完整的进销存分析模块，包括但不限于：按小时、日、周、月等多维度时间段的油品销售数据统计</w:t>
      </w:r>
      <w:r>
        <w:rPr>
          <w:rFonts w:hint="eastAsia" w:ascii="宋体" w:hAnsi="宋体" w:cs="宋体"/>
          <w:color w:val="auto"/>
          <w:szCs w:val="21"/>
          <w:highlight w:val="none"/>
          <w:lang w:eastAsia="zh-CN"/>
        </w:rPr>
        <w:t>，对</w:t>
      </w:r>
      <w:r>
        <w:rPr>
          <w:rFonts w:hint="eastAsia" w:ascii="宋体" w:hAnsi="宋体" w:cs="宋体"/>
          <w:color w:val="auto"/>
          <w:szCs w:val="21"/>
          <w:highlight w:val="none"/>
        </w:rPr>
        <w:t>非油品类商品的销售情况追踪；各类商品的销售额度分析，以及现金、移动支付、银行卡等多种支付方式的占比统计。同时，系统还</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完善的会员运营分析功能，可详细展示电子钱包/储值卡的开卡数量、充值金额、消费记录等关键指标，并对会员消费在整体营业额中的占比进行精准分析，为站点运营决策提供数据支撑。</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营销分析</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客户分析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实现对平台全体客户群体进行深入分析，实现针对客户在任意指定时间范围内的销量对比查询，支持按日、周、月、季度或自定义时间段进行灵活对比分析。系统还需提供多维度的客户分群分析功能，可以按照站点分布、加油量级、消费频次、时间特征、商品品类等多个维度，对钱包/卡客户和会员群体进行精细化分类和画像分析，如从全部客户、新客户和老客户三个维度的统计分析交易转化情况，分析其从浏览到下单的转化率以及从下单到最终支付的转化率。通过对比分析不同客户群体的行为特征和转化路径，从而全面评估平台的运营效果和客户质量。</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通过对不同客户群组的持续跟踪监测，系统清晰展现各会员群体的消费趋势变化，为营销活动效果的量化评估提供数据支撑。针对长期未活跃的睡眠客户，系统需自动识别并生成召回策略，通过定向发放优惠券、电子红包等激励手段进行精准触达，有效提升客户召回率。此外，系统还支持基于客户画像的个性化营销方案制定，帮助实现更精准的营销投放和更高的转化效果。</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会员画像分析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能够整合客户钱包及各类会员卡的基础资料、消费行为数据等多维度信息，支持构建完整的360度客户全景视图。在此基础上深入挖掘客户消费偏好特征，系统支持用户分析客户从获取、成长到成熟、衰退的全生命周期轨迹，实现对会员群体的精细化运营管理。并通过建立多层次的会员标签体系，精准刻画会员画像特征，为差异化营销策略的制定提供数据支撑。</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消费分析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系统需支持根据系统数据开展客户的消费能力分析、消费频次分析、复购周期分析。系统需支持深入分析店铺客户的多维度消费行为数据，分析路径包括但不限于构建完整的RFM客户价值评估模型等。</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营销评估分析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应满足建立覆盖营销活动全生命周期的数据采集机制，包括活动筹备期的基础数据、活动执行期的实时数据以及活动结束后的效果数据。系统需要重点支持以下几个维度的深度分析：首先是对营销活动参与客群的精准画像分析，包括但不限于客户属性、行为特征等维度的细分；其次要完善营销活动派发奖品的全流程统计功能，涵盖奖品库存、发放数量、领取情况等关键指标；同时系统还</w:t>
      </w:r>
      <w:r>
        <w:rPr>
          <w:rFonts w:hint="eastAsia" w:ascii="宋体" w:hAnsi="宋体" w:cs="宋体"/>
          <w:color w:val="auto"/>
          <w:szCs w:val="21"/>
          <w:highlight w:val="none"/>
          <w:lang w:eastAsia="zh-CN"/>
        </w:rPr>
        <w:t>须具备</w:t>
      </w:r>
      <w:r>
        <w:rPr>
          <w:rFonts w:hint="eastAsia" w:ascii="宋体" w:hAnsi="宋体" w:cs="宋体"/>
          <w:color w:val="auto"/>
          <w:szCs w:val="21"/>
          <w:highlight w:val="none"/>
        </w:rPr>
        <w:t>营销活动对营业额的带动效应分析能力，通过建立科学的归因模型来量化活动贡献；此外，系统应当实现每日参与活动人数的动态监测与趋势分析，支持按时间、渠道等多维度进行数据钻取。通过这些功能的有机整合，系统将能够为营销活动效果评估提供全面、客观的数据支撑。</w:t>
      </w:r>
    </w:p>
    <w:p>
      <w:pPr>
        <w:pStyle w:val="6"/>
        <w:numPr>
          <w:ilvl w:val="3"/>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风控分析</w:t>
      </w:r>
    </w:p>
    <w:p>
      <w:pPr>
        <w:pStyle w:val="7"/>
        <w:numPr>
          <w:ilvl w:val="4"/>
          <w:numId w:val="5"/>
        </w:numPr>
        <w:spacing w:before="0" w:beforeLines="0" w:after="0" w:afterLines="0" w:line="360" w:lineRule="auto"/>
        <w:rPr>
          <w:rFonts w:ascii="宋体" w:hAnsi="宋体" w:cs="宋体"/>
          <w:color w:val="auto"/>
          <w:sz w:val="21"/>
          <w:szCs w:val="21"/>
          <w:highlight w:val="none"/>
        </w:rPr>
      </w:pPr>
      <w:r>
        <w:rPr>
          <w:rFonts w:hint="eastAsia" w:ascii="宋体" w:hAnsi="宋体" w:cs="宋体"/>
          <w:color w:val="auto"/>
          <w:sz w:val="21"/>
          <w:szCs w:val="21"/>
          <w:highlight w:val="none"/>
        </w:rPr>
        <w:t>风险综合分析</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系统需支持灵活配置多种风险监控规则，包括但不限于钱包/银行卡、会员账户、积分系统以及电子券等业务模块的风险管控。当系统检测到异常卡交易行为时，能够立即启动处置流程，同时对各类异常交易行为进行实时监测和预警。在设备监控方面，系统需能够实时接收并处理来自加油机、液位仪等关键设备的运行数据，全面监控油品实时销售情况、进销存动态以及设备运行状态等重要指标。系统能够对库存异常波动、枪出罐出比例异常等业务风险点，能够及时发出预警提示。同时，系统还能对加油机、液位仪等硬件设备以及网络连接状态进行实时监测，一旦发现设备运行异常或网络连接故障，立即触发预警机制，确保供能站运营安全稳定。</w:t>
      </w:r>
    </w:p>
    <w:p>
      <w:pPr>
        <w:pStyle w:val="2"/>
        <w:numPr>
          <w:ilvl w:val="0"/>
          <w:numId w:val="5"/>
        </w:numPr>
        <w:spacing w:before="0" w:beforeLines="0" w:after="0" w:afterLines="0" w:line="360" w:lineRule="auto"/>
        <w:rPr>
          <w:rFonts w:ascii="宋体" w:hAnsi="宋体" w:cs="宋体"/>
          <w:color w:val="auto"/>
          <w:sz w:val="21"/>
          <w:szCs w:val="21"/>
          <w:highlight w:val="none"/>
        </w:rPr>
      </w:pPr>
      <w:bookmarkStart w:id="701" w:name="_Toc10502"/>
      <w:bookmarkStart w:id="702" w:name="_Toc29426"/>
      <w:r>
        <w:rPr>
          <w:rFonts w:hint="eastAsia" w:ascii="宋体" w:hAnsi="宋体" w:cs="宋体"/>
          <w:color w:val="auto"/>
          <w:sz w:val="21"/>
          <w:szCs w:val="21"/>
          <w:highlight w:val="none"/>
        </w:rPr>
        <w:t>系统集成要求</w:t>
      </w:r>
      <w:bookmarkEnd w:id="701"/>
      <w:bookmarkEnd w:id="702"/>
    </w:p>
    <w:p>
      <w:pPr>
        <w:pStyle w:val="46"/>
        <w:adjustRightInd w:val="0"/>
        <w:snapToGrid w:val="0"/>
        <w:spacing w:line="360" w:lineRule="auto"/>
        <w:ind w:firstLine="420" w:firstLineChars="200"/>
        <w:rPr>
          <w:rFonts w:ascii="宋体" w:hAnsi="宋体" w:cs="宋体"/>
          <w:bCs/>
          <w:color w:val="auto"/>
          <w:szCs w:val="21"/>
          <w:highlight w:val="none"/>
        </w:rPr>
      </w:pPr>
      <w:r>
        <w:rPr>
          <w:rFonts w:hint="eastAsia" w:ascii="宋体" w:hAnsi="宋体" w:cs="宋体"/>
          <w:bCs/>
          <w:color w:val="auto"/>
          <w:szCs w:val="21"/>
          <w:highlight w:val="none"/>
        </w:rPr>
        <w:t>投标人必须完成系统有关软/硬件系统的集成。</w:t>
      </w:r>
    </w:p>
    <w:p>
      <w:pPr>
        <w:pStyle w:val="3"/>
        <w:numPr>
          <w:ilvl w:val="1"/>
          <w:numId w:val="5"/>
        </w:numPr>
        <w:spacing w:before="0" w:beforeLines="0" w:after="0" w:afterLines="0" w:line="360" w:lineRule="auto"/>
        <w:rPr>
          <w:rFonts w:ascii="宋体" w:hAnsi="宋体" w:cs="宋体"/>
          <w:color w:val="auto"/>
          <w:szCs w:val="21"/>
          <w:highlight w:val="none"/>
        </w:rPr>
      </w:pPr>
      <w:bookmarkStart w:id="703" w:name="_Toc26157"/>
      <w:bookmarkStart w:id="704" w:name="_Toc12081"/>
      <w:r>
        <w:rPr>
          <w:rFonts w:hint="eastAsia" w:ascii="宋体" w:hAnsi="宋体" w:cs="宋体"/>
          <w:color w:val="auto"/>
          <w:szCs w:val="21"/>
          <w:highlight w:val="none"/>
        </w:rPr>
        <w:t>软件系统集成要求</w:t>
      </w:r>
      <w:bookmarkEnd w:id="703"/>
      <w:bookmarkEnd w:id="704"/>
    </w:p>
    <w:p>
      <w:pPr>
        <w:pStyle w:val="46"/>
        <w:adjustRightInd w:val="0"/>
        <w:snapToGrid w:val="0"/>
        <w:spacing w:line="360" w:lineRule="auto"/>
        <w:ind w:firstLine="420" w:firstLineChars="200"/>
        <w:rPr>
          <w:rFonts w:ascii="宋体" w:hAnsi="宋体" w:cs="宋体"/>
          <w:bCs/>
          <w:color w:val="auto"/>
          <w:szCs w:val="21"/>
          <w:highlight w:val="none"/>
        </w:rPr>
      </w:pPr>
      <w:r>
        <w:rPr>
          <w:rFonts w:hint="eastAsia" w:ascii="宋体" w:hAnsi="宋体" w:cs="宋体"/>
          <w:bCs/>
          <w:color w:val="auto"/>
          <w:szCs w:val="21"/>
          <w:highlight w:val="none"/>
        </w:rPr>
        <w:t>根据用户要求完成系统运行环境的搭建，配合业务需要进行系统的试运行和调优。为保证系统能够顺利部署，投标人需在合同签订后着手制定项目详细方案，方案的编制需充分了解招标人现有网络、设备，操作系统、中间件、数据库、移动终端等系统的部署和安全要求。</w:t>
      </w:r>
    </w:p>
    <w:p>
      <w:pPr>
        <w:pStyle w:val="124"/>
        <w:widowControl/>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1）根据招标人提供的整体项目技术方面的要求，完成项目详细实施方案、安装部署方案、系统测试方案、项目培训方案、上线试运行方案、应急方案、日常运维方案等的编制和细化工作，确保整体项目的顺利实施；</w:t>
      </w:r>
    </w:p>
    <w:p>
      <w:pPr>
        <w:pStyle w:val="124"/>
        <w:widowControl/>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（2）招标人应对本项目软件系统与原有设备、系统对接全权负责。</w:t>
      </w:r>
      <w:r>
        <w:rPr>
          <w:rFonts w:hint="eastAsia" w:ascii="宋体" w:hAnsi="宋体" w:cs="宋体"/>
          <w:color w:val="auto"/>
          <w:szCs w:val="21"/>
          <w:highlight w:val="none"/>
          <w:lang w:bidi="he-IL"/>
        </w:rPr>
        <w:t>负责其所提供的所有软件系统的安装部署和调试，配合全网的</w:t>
      </w:r>
      <w:r>
        <w:rPr>
          <w:rFonts w:hint="eastAsia" w:ascii="宋体" w:hAnsi="宋体" w:cs="宋体"/>
          <w:color w:val="auto"/>
          <w:szCs w:val="21"/>
          <w:highlight w:val="none"/>
          <w:lang w:eastAsia="zh-CN" w:bidi="he-IL"/>
        </w:rPr>
        <w:t>互联互通</w:t>
      </w:r>
      <w:r>
        <w:rPr>
          <w:rFonts w:hint="eastAsia" w:ascii="宋体" w:hAnsi="宋体" w:cs="宋体"/>
          <w:color w:val="auto"/>
          <w:szCs w:val="21"/>
          <w:highlight w:val="none"/>
          <w:lang w:bidi="he-IL"/>
        </w:rPr>
        <w:t>调试，负责与设备、系统运维人员的沟通配合，招标人予以必要的协调；</w:t>
      </w:r>
    </w:p>
    <w:p>
      <w:pPr>
        <w:pStyle w:val="124"/>
        <w:widowControl/>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（3）系统上线前，招标人负责组织对软件系统进行安全审计，对于发现的安全漏洞风险，投标人负责及时解决，保证系统上线时间要求；</w:t>
      </w:r>
    </w:p>
    <w:p>
      <w:pPr>
        <w:pStyle w:val="124"/>
        <w:widowControl/>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（4）</w:t>
      </w:r>
      <w:r>
        <w:rPr>
          <w:rFonts w:hint="eastAsia" w:ascii="宋体" w:hAnsi="宋体" w:cs="宋体"/>
          <w:color w:val="auto"/>
          <w:szCs w:val="21"/>
          <w:highlight w:val="none"/>
        </w:rPr>
        <w:t>需要实现与第三方系统的数据对接和通讯，包括但不限于</w:t>
      </w:r>
      <w:r>
        <w:rPr>
          <w:rFonts w:hint="eastAsia" w:ascii="宋体" w:hAnsi="宋体" w:cs="宋体"/>
          <w:color w:val="auto"/>
          <w:szCs w:val="21"/>
          <w:highlight w:val="none"/>
        </w:rPr>
        <w:t>：</w:t>
      </w:r>
    </w:p>
    <w:tbl>
      <w:tblPr>
        <w:tblStyle w:val="34"/>
        <w:tblW w:w="8060" w:type="dxa"/>
        <w:tblInd w:w="98" w:type="dxa"/>
        <w:tblLayout w:type="autofit"/>
        <w:tblCellMar>
          <w:top w:w="0" w:type="dxa"/>
          <w:left w:w="108" w:type="dxa"/>
          <w:bottom w:w="0" w:type="dxa"/>
          <w:right w:w="108" w:type="dxa"/>
        </w:tblCellMar>
      </w:tblPr>
      <w:tblGrid>
        <w:gridCol w:w="960"/>
        <w:gridCol w:w="960"/>
        <w:gridCol w:w="2090"/>
        <w:gridCol w:w="4050"/>
      </w:tblGrid>
      <w:tr>
        <w:tblPrEx>
          <w:tblCellMar>
            <w:top w:w="0" w:type="dxa"/>
            <w:left w:w="108" w:type="dxa"/>
            <w:bottom w:w="0" w:type="dxa"/>
            <w:right w:w="108" w:type="dxa"/>
          </w:tblCellMar>
        </w:tblPrEx>
        <w:trPr>
          <w:trHeight w:val="660" w:hRule="atLeast"/>
        </w:trPr>
        <w:tc>
          <w:tcPr>
            <w:tcW w:w="960" w:type="dxa"/>
            <w:tcBorders>
              <w:top w:val="single" w:color="000000" w:sz="4" w:space="0"/>
              <w:left w:val="single" w:color="000000" w:sz="4" w:space="0"/>
              <w:bottom w:val="single" w:color="000000" w:sz="4" w:space="0"/>
              <w:right w:val="single" w:color="000000" w:sz="4" w:space="0"/>
            </w:tcBorders>
            <w:shd w:val="clear" w:color="auto" w:fill="D0CECE"/>
            <w:vAlign w:val="center"/>
          </w:tcPr>
          <w:p>
            <w:pPr>
              <w:widowControl/>
              <w:spacing w:after="0" w:afterLines="0"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序号</w:t>
            </w:r>
          </w:p>
        </w:tc>
        <w:tc>
          <w:tcPr>
            <w:tcW w:w="960" w:type="dxa"/>
            <w:tcBorders>
              <w:top w:val="single" w:color="000000" w:sz="4" w:space="0"/>
              <w:left w:val="single" w:color="000000" w:sz="4" w:space="0"/>
              <w:bottom w:val="single" w:color="000000" w:sz="4" w:space="0"/>
              <w:right w:val="single" w:color="000000" w:sz="4" w:space="0"/>
            </w:tcBorders>
            <w:shd w:val="clear" w:color="auto" w:fill="D0CECE"/>
            <w:vAlign w:val="center"/>
          </w:tcPr>
          <w:p>
            <w:pPr>
              <w:widowControl/>
              <w:spacing w:after="0" w:afterLines="0"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应用系统</w:t>
            </w:r>
          </w:p>
        </w:tc>
        <w:tc>
          <w:tcPr>
            <w:tcW w:w="2090" w:type="dxa"/>
            <w:tcBorders>
              <w:top w:val="single" w:color="000000" w:sz="4" w:space="0"/>
              <w:left w:val="single" w:color="000000" w:sz="4" w:space="0"/>
              <w:bottom w:val="single" w:color="000000" w:sz="4" w:space="0"/>
              <w:right w:val="single" w:color="000000" w:sz="4" w:space="0"/>
            </w:tcBorders>
            <w:shd w:val="clear" w:color="auto" w:fill="D0CECE"/>
            <w:vAlign w:val="center"/>
          </w:tcPr>
          <w:p>
            <w:pPr>
              <w:widowControl/>
              <w:spacing w:after="0" w:afterLines="0"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项目名称</w:t>
            </w:r>
          </w:p>
        </w:tc>
        <w:tc>
          <w:tcPr>
            <w:tcW w:w="4050" w:type="dxa"/>
            <w:tcBorders>
              <w:top w:val="single" w:color="000000" w:sz="4" w:space="0"/>
              <w:left w:val="single" w:color="000000" w:sz="4" w:space="0"/>
              <w:bottom w:val="single" w:color="000000" w:sz="4" w:space="0"/>
              <w:right w:val="single" w:color="000000" w:sz="4" w:space="0"/>
            </w:tcBorders>
            <w:shd w:val="clear" w:color="auto" w:fill="D0CECE"/>
            <w:vAlign w:val="center"/>
          </w:tcPr>
          <w:p>
            <w:pPr>
              <w:widowControl/>
              <w:spacing w:after="0" w:afterLines="0"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功能描述</w:t>
            </w:r>
          </w:p>
        </w:tc>
      </w:tr>
      <w:tr>
        <w:tblPrEx>
          <w:tblCellMar>
            <w:top w:w="0" w:type="dxa"/>
            <w:left w:w="108" w:type="dxa"/>
            <w:bottom w:w="0" w:type="dxa"/>
            <w:right w:w="108" w:type="dxa"/>
          </w:tblCellMar>
        </w:tblPrEx>
        <w:trPr>
          <w:trHeight w:val="29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调度指挥平台</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基于 kafak 协议要求，传输油库、油站数据</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门户网站</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系统销售数据信息传递至浙石油销售门户系统，由门户系统完成数据查询操作。</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 xml:space="preserve">零管 </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发票接口</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通过使用航信发票接口，可以在系统进行进项销项发票开具，发票冲销，验真等功能。</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开票信息查询</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用于根据企业名称模糊快速查询开票税号</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聚合支付</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使用建行、</w:t>
            </w:r>
            <w:r>
              <w:rPr>
                <w:rStyle w:val="268"/>
                <w:rFonts w:hint="default" w:ascii="宋体" w:hAnsi="宋体" w:eastAsia="宋体" w:cs="宋体"/>
                <w:color w:val="auto"/>
                <w:sz w:val="21"/>
                <w:szCs w:val="21"/>
                <w:highlight w:val="none"/>
                <w:lang w:bidi="ar"/>
              </w:rPr>
              <w:t>招行等</w:t>
            </w:r>
            <w:r>
              <w:rPr>
                <w:rFonts w:hint="eastAsia" w:ascii="宋体" w:hAnsi="宋体" w:cs="宋体"/>
                <w:color w:val="auto"/>
                <w:kern w:val="0"/>
                <w:szCs w:val="21"/>
                <w:highlight w:val="none"/>
                <w:lang w:bidi="ar"/>
              </w:rPr>
              <w:t>聚合支付来进行支付宝和微信支付功能以及充值功能</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数字人民币</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使用建行、</w:t>
            </w:r>
            <w:r>
              <w:rPr>
                <w:rStyle w:val="268"/>
                <w:rFonts w:hint="default" w:ascii="宋体" w:hAnsi="宋体" w:eastAsia="宋体" w:cs="宋体"/>
                <w:color w:val="auto"/>
                <w:sz w:val="21"/>
                <w:szCs w:val="21"/>
                <w:highlight w:val="none"/>
                <w:lang w:bidi="ar"/>
              </w:rPr>
              <w:t>中行等</w:t>
            </w:r>
            <w:r>
              <w:rPr>
                <w:rFonts w:hint="eastAsia" w:ascii="宋体" w:hAnsi="宋体" w:cs="宋体"/>
                <w:color w:val="auto"/>
                <w:kern w:val="0"/>
                <w:szCs w:val="21"/>
                <w:highlight w:val="none"/>
                <w:lang w:bidi="ar"/>
              </w:rPr>
              <w:t>数字人民币来进行充值、消费的支付功能</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云闪付优惠</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浙石油和云闪付联合做活动，共同承担优惠，并在系统中体现各项优惠</w:t>
            </w:r>
          </w:p>
        </w:tc>
      </w:tr>
      <w:tr>
        <w:tblPrEx>
          <w:tblCellMar>
            <w:top w:w="0" w:type="dxa"/>
            <w:left w:w="108" w:type="dxa"/>
            <w:bottom w:w="0" w:type="dxa"/>
            <w:right w:w="108" w:type="dxa"/>
          </w:tblCellMar>
        </w:tblPrEx>
        <w:trPr>
          <w:trHeight w:val="87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浙油付</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实现牛卡福、</w:t>
            </w:r>
            <w:r>
              <w:rPr>
                <w:rStyle w:val="268"/>
                <w:rFonts w:hint="default" w:ascii="宋体" w:hAnsi="宋体" w:eastAsia="宋体" w:cs="宋体"/>
                <w:color w:val="auto"/>
                <w:sz w:val="21"/>
                <w:szCs w:val="21"/>
                <w:highlight w:val="none"/>
                <w:lang w:bidi="ar"/>
              </w:rPr>
              <w:t>团游、电子口岸、象盟、顺丰、平安好车主、喜油集、江投等第三方</w:t>
            </w:r>
            <w:r>
              <w:rPr>
                <w:rFonts w:hint="eastAsia" w:ascii="宋体" w:hAnsi="宋体" w:cs="宋体"/>
                <w:color w:val="auto"/>
                <w:kern w:val="0"/>
                <w:szCs w:val="21"/>
                <w:highlight w:val="none"/>
                <w:lang w:bidi="ar"/>
              </w:rPr>
              <w:t>平台</w:t>
            </w:r>
            <w:r>
              <w:rPr>
                <w:rStyle w:val="268"/>
                <w:rFonts w:hint="default" w:ascii="宋体" w:hAnsi="宋体" w:eastAsia="宋体" w:cs="宋体"/>
                <w:color w:val="auto"/>
                <w:sz w:val="21"/>
                <w:szCs w:val="21"/>
                <w:highlight w:val="none"/>
                <w:lang w:bidi="ar"/>
              </w:rPr>
              <w:t>订单</w:t>
            </w:r>
            <w:r>
              <w:rPr>
                <w:rFonts w:hint="eastAsia" w:ascii="宋体" w:hAnsi="宋体" w:cs="宋体"/>
                <w:color w:val="auto"/>
                <w:kern w:val="0"/>
                <w:szCs w:val="21"/>
                <w:highlight w:val="none"/>
                <w:lang w:bidi="ar"/>
              </w:rPr>
              <w:t>支付</w:t>
            </w:r>
            <w:r>
              <w:rPr>
                <w:rStyle w:val="268"/>
                <w:rFonts w:hint="default" w:ascii="宋体" w:hAnsi="宋体" w:eastAsia="宋体" w:cs="宋体"/>
                <w:color w:val="auto"/>
                <w:sz w:val="21"/>
                <w:szCs w:val="21"/>
                <w:highlight w:val="none"/>
                <w:lang w:bidi="ar"/>
              </w:rPr>
              <w:t>核销等</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抖音券核销/加油卡核销</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和趣链通过接口对接核销抖音券/加油卡核销</w:t>
            </w:r>
          </w:p>
        </w:tc>
      </w:tr>
      <w:tr>
        <w:tblPrEx>
          <w:tblCellMar>
            <w:top w:w="0" w:type="dxa"/>
            <w:left w:w="108" w:type="dxa"/>
            <w:bottom w:w="0" w:type="dxa"/>
            <w:right w:w="108" w:type="dxa"/>
          </w:tblCellMar>
        </w:tblPrEx>
        <w:trPr>
          <w:trHeight w:val="29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油库电子铅封</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实时查询铅封开关锁信息及运输中铅封状态</w:t>
            </w:r>
          </w:p>
        </w:tc>
      </w:tr>
      <w:tr>
        <w:tblPrEx>
          <w:tblCellMar>
            <w:top w:w="0" w:type="dxa"/>
            <w:left w:w="108" w:type="dxa"/>
            <w:bottom w:w="0" w:type="dxa"/>
            <w:right w:w="108" w:type="dxa"/>
          </w:tblCellMar>
        </w:tblPrEx>
        <w:trPr>
          <w:trHeight w:val="87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微信小程序</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支持会员体系建设、便捷支付等需求，支持会员余额充值、消费、自主注册等功能，和腾讯平台实现接口对接</w:t>
            </w:r>
          </w:p>
        </w:tc>
      </w:tr>
      <w:tr>
        <w:tblPrEx>
          <w:tblCellMar>
            <w:top w:w="0" w:type="dxa"/>
            <w:left w:w="108" w:type="dxa"/>
            <w:bottom w:w="0" w:type="dxa"/>
            <w:right w:w="108" w:type="dxa"/>
          </w:tblCellMar>
        </w:tblPrEx>
        <w:trPr>
          <w:trHeight w:val="87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支付宝小程序</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在支付宝小程序上一键注册，进行会员充值、消费等支付功能，完成和微信公众号的互联互通</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支付宝物料牌</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将物流牌二维码和应该信息绑定，调用支付宝接口，实现员工绑定及返利</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支付宝开店</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推送站点信息至支付宝，在“支付宝加油”油站列表内同步站点地址、油价等信息</w:t>
            </w:r>
          </w:p>
        </w:tc>
      </w:tr>
      <w:tr>
        <w:tblPrEx>
          <w:tblCellMar>
            <w:top w:w="0" w:type="dxa"/>
            <w:left w:w="108" w:type="dxa"/>
            <w:bottom w:w="0" w:type="dxa"/>
            <w:right w:w="108" w:type="dxa"/>
          </w:tblCellMar>
        </w:tblPrEx>
        <w:trPr>
          <w:trHeight w:val="87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微信公众号</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腾讯公众号平台实现接口对接</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企业微信</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企微通过加福利官进群跳转浙石油销售小程序，实现自动注册以及领券等功能</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高德地图</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高德地图展示，可以查看站点详情以及导航等</w:t>
            </w:r>
          </w:p>
        </w:tc>
      </w:tr>
      <w:tr>
        <w:tblPrEx>
          <w:tblCellMar>
            <w:top w:w="0" w:type="dxa"/>
            <w:left w:w="108" w:type="dxa"/>
            <w:bottom w:w="0" w:type="dxa"/>
            <w:right w:w="108" w:type="dxa"/>
          </w:tblCellMar>
        </w:tblPrEx>
        <w:trPr>
          <w:trHeight w:val="87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18</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电子口岸高级会员</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电子口岸etc跳转微信小程序，可以直接注册浙石油会员，并自动加入电子口岸会员标签中</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19</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油气回收</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通过接口、webservice协议</w:t>
            </w:r>
            <w:r>
              <w:rPr>
                <w:rStyle w:val="268"/>
                <w:rFonts w:hint="default" w:ascii="宋体" w:hAnsi="宋体" w:eastAsia="宋体" w:cs="宋体"/>
                <w:color w:val="auto"/>
                <w:sz w:val="21"/>
                <w:szCs w:val="21"/>
                <w:highlight w:val="none"/>
                <w:lang w:bidi="ar"/>
              </w:rPr>
              <w:t>等</w:t>
            </w:r>
            <w:r>
              <w:rPr>
                <w:rFonts w:hint="eastAsia" w:ascii="宋体" w:hAnsi="宋体" w:cs="宋体"/>
                <w:color w:val="auto"/>
                <w:kern w:val="0"/>
                <w:szCs w:val="21"/>
                <w:highlight w:val="none"/>
                <w:lang w:bidi="ar"/>
              </w:rPr>
              <w:t>形式传输油气回收数据入政府平台</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20</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烟草数据上传</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与浙江省烟草公司对接实现站点烟草进销存数据对烟草局系统的上传</w:t>
            </w:r>
          </w:p>
        </w:tc>
      </w:tr>
      <w:tr>
        <w:tblPrEx>
          <w:tblCellMar>
            <w:top w:w="0" w:type="dxa"/>
            <w:left w:w="108" w:type="dxa"/>
            <w:bottom w:w="0" w:type="dxa"/>
            <w:right w:w="108" w:type="dxa"/>
          </w:tblCellMar>
        </w:tblPrEx>
        <w:trPr>
          <w:trHeight w:val="29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21</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高速能源会员互通</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浙石油会员可在高速能源站点消费</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22</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非标准站系统</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十余座非标准站（第三方站级系统）对接，实现非标准站点交易接入</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23</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生产辅助</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提供站级相关数据、对接缺陷单、维修单、设备、故障等信息，支持容器化部署</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24</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身份证</w:t>
            </w:r>
            <w:r>
              <w:rPr>
                <w:rFonts w:hint="eastAsia" w:ascii="宋体" w:hAnsi="宋体" w:cs="宋体"/>
                <w:color w:val="auto"/>
                <w:kern w:val="0"/>
                <w:szCs w:val="21"/>
                <w:highlight w:val="none"/>
                <w:lang w:eastAsia="zh-CN" w:bidi="ar"/>
              </w:rPr>
              <w:t>校验</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个人会员注册的时候进行身份证信息的校核及验证</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25</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能多多系统</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left"/>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系统销售数据及订货信息传递至能多多系统，由能多多系统完成中央仓配送业务；系统获取能多多系统商品主数据库信息。</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hint="eastAsia" w:ascii="宋体" w:hAnsi="宋体" w:eastAsia="宋体" w:cs="宋体"/>
                <w:color w:val="auto"/>
                <w:kern w:val="2"/>
                <w:sz w:val="21"/>
                <w:szCs w:val="21"/>
                <w:highlight w:val="none"/>
                <w:lang w:val="en-US" w:eastAsia="zh-CN" w:bidi="ar-SA"/>
              </w:rPr>
            </w:pPr>
            <w:bookmarkStart w:id="705" w:name="_Toc15157"/>
            <w:r>
              <w:rPr>
                <w:rFonts w:hint="eastAsia" w:ascii="宋体" w:hAnsi="宋体" w:cs="宋体"/>
                <w:color w:val="auto"/>
                <w:szCs w:val="21"/>
                <w:highlight w:val="none"/>
                <w:lang w:val="en-US" w:eastAsia="zh-CN"/>
              </w:rPr>
              <w:t>26</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hint="eastAsia" w:ascii="宋体" w:hAnsi="宋体" w:eastAsia="宋体" w:cs="宋体"/>
                <w:color w:val="auto"/>
                <w:kern w:val="0"/>
                <w:sz w:val="21"/>
                <w:szCs w:val="21"/>
                <w:highlight w:val="none"/>
                <w:lang w:val="en-US" w:eastAsia="zh-CN" w:bidi="ar"/>
              </w:rPr>
            </w:pPr>
            <w:r>
              <w:rPr>
                <w:rFonts w:hint="eastAsia" w:ascii="宋体" w:hAnsi="宋体" w:cs="宋体"/>
                <w:color w:val="auto"/>
                <w:kern w:val="0"/>
                <w:szCs w:val="21"/>
                <w:highlight w:val="none"/>
                <w:lang w:val="en-US" w:eastAsia="zh-CN"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jc w:val="center"/>
              <w:rPr>
                <w:rFonts w:hint="eastAsia" w:ascii="宋体" w:hAnsi="宋体" w:eastAsia="宋体" w:cs="宋体"/>
                <w:color w:val="auto"/>
                <w:sz w:val="21"/>
                <w:szCs w:val="21"/>
                <w:highlight w:val="none"/>
                <w:lang w:val="en-US" w:eastAsia="zh-CN" w:bidi="ar-SA"/>
              </w:rPr>
            </w:pPr>
            <w:r>
              <w:rPr>
                <w:rFonts w:hint="eastAsia" w:ascii="宋体" w:hAnsi="宋体" w:cs="宋体"/>
                <w:color w:val="auto"/>
                <w:szCs w:val="21"/>
                <w:highlight w:val="none"/>
                <w:lang w:val="en-US" w:eastAsia="zh-CN"/>
              </w:rPr>
              <w:t>浙石油数智销售系统</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jc w:val="left"/>
              <w:rPr>
                <w:rFonts w:hint="eastAsia" w:ascii="宋体" w:hAnsi="宋体" w:eastAsia="宋体" w:cs="宋体"/>
                <w:color w:val="auto"/>
                <w:sz w:val="21"/>
                <w:szCs w:val="21"/>
                <w:highlight w:val="none"/>
                <w:lang w:val="en-US" w:eastAsia="zh-CN" w:bidi="ar-SA"/>
              </w:rPr>
            </w:pPr>
            <w:r>
              <w:rPr>
                <w:rFonts w:hint="eastAsia" w:ascii="宋体" w:hAnsi="宋体" w:cs="宋体"/>
                <w:color w:val="auto"/>
                <w:szCs w:val="21"/>
                <w:highlight w:val="none"/>
                <w:lang w:val="en-US" w:eastAsia="zh-CN"/>
              </w:rPr>
              <w:t xml:space="preserve">零管系统HOS端需集成至浙石油数智销售系统。作为数智销售系统业务中台之一的零售中心，涵盖非能商品基础信息、价格信息、类别信息、品类信息、供应商信息、促销信息、组织结构信息、人员信息、设备信息、库存信息、退货补货信息、油品信息、油品状态、油品价格、消费响应以及银行卡授权/支付响应等。 </w:t>
            </w:r>
          </w:p>
        </w:tc>
      </w:tr>
      <w:tr>
        <w:tblPrEx>
          <w:tblCellMar>
            <w:top w:w="0" w:type="dxa"/>
            <w:left w:w="108" w:type="dxa"/>
            <w:bottom w:w="0" w:type="dxa"/>
            <w:right w:w="108" w:type="dxa"/>
          </w:tblCellMar>
        </w:tblPrEx>
        <w:trPr>
          <w:trHeight w:val="580" w:hRule="atLeast"/>
        </w:trPr>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hint="eastAsia" w:ascii="宋体" w:hAnsi="宋体" w:eastAsia="宋体" w:cs="宋体"/>
                <w:color w:val="auto"/>
                <w:kern w:val="2"/>
                <w:sz w:val="21"/>
                <w:szCs w:val="21"/>
                <w:highlight w:val="none"/>
                <w:lang w:val="en-US" w:eastAsia="zh-CN" w:bidi="ar-SA"/>
              </w:rPr>
            </w:pPr>
            <w:r>
              <w:rPr>
                <w:rFonts w:hint="eastAsia" w:ascii="宋体" w:hAnsi="宋体" w:cs="宋体"/>
                <w:color w:val="auto"/>
                <w:szCs w:val="21"/>
                <w:highlight w:val="none"/>
                <w:lang w:val="en-US" w:eastAsia="zh-CN"/>
              </w:rPr>
              <w:t>27</w:t>
            </w:r>
          </w:p>
        </w:tc>
        <w:tc>
          <w:tcPr>
            <w:tcW w:w="960"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after="0" w:afterLines="0" w:line="240" w:lineRule="auto"/>
              <w:jc w:val="center"/>
              <w:textAlignment w:val="center"/>
              <w:rPr>
                <w:rFonts w:hint="eastAsia" w:ascii="宋体" w:hAnsi="宋体" w:eastAsia="宋体" w:cs="宋体"/>
                <w:color w:val="auto"/>
                <w:kern w:val="0"/>
                <w:sz w:val="21"/>
                <w:szCs w:val="21"/>
                <w:highlight w:val="none"/>
                <w:lang w:val="en-US" w:eastAsia="zh-CN" w:bidi="ar"/>
              </w:rPr>
            </w:pPr>
            <w:r>
              <w:rPr>
                <w:rFonts w:hint="eastAsia" w:ascii="宋体" w:hAnsi="宋体" w:cs="宋体"/>
                <w:color w:val="auto"/>
                <w:kern w:val="0"/>
                <w:szCs w:val="21"/>
                <w:highlight w:val="none"/>
                <w:lang w:val="en-US" w:eastAsia="zh-CN" w:bidi="ar"/>
              </w:rPr>
              <w:t>零管</w:t>
            </w:r>
          </w:p>
        </w:tc>
        <w:tc>
          <w:tcPr>
            <w:tcW w:w="209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jc w:val="center"/>
              <w:rPr>
                <w:rFonts w:hint="eastAsia" w:ascii="宋体" w:hAnsi="宋体" w:eastAsia="宋体" w:cs="宋体"/>
                <w:color w:val="auto"/>
                <w:sz w:val="21"/>
                <w:szCs w:val="21"/>
                <w:highlight w:val="none"/>
                <w:lang w:val="en-US" w:eastAsia="zh-CN" w:bidi="ar-SA"/>
              </w:rPr>
            </w:pPr>
            <w:r>
              <w:rPr>
                <w:rFonts w:hint="eastAsia" w:ascii="宋体" w:hAnsi="宋体" w:cs="宋体"/>
                <w:color w:val="auto"/>
                <w:szCs w:val="21"/>
                <w:highlight w:val="none"/>
              </w:rPr>
              <w:t>浙能集团</w:t>
            </w:r>
            <w:r>
              <w:rPr>
                <w:rFonts w:hint="eastAsia" w:ascii="宋体" w:hAnsi="宋体" w:cs="宋体"/>
                <w:color w:val="auto"/>
                <w:szCs w:val="21"/>
                <w:highlight w:val="none"/>
                <w:lang w:val="en-US" w:eastAsia="zh-CN"/>
              </w:rPr>
              <w:t>核心业务系统</w:t>
            </w:r>
          </w:p>
        </w:tc>
        <w:tc>
          <w:tcPr>
            <w:tcW w:w="4050" w:type="dxa"/>
            <w:tcBorders>
              <w:top w:val="single" w:color="000000" w:sz="4" w:space="0"/>
              <w:left w:val="single" w:color="000000" w:sz="4" w:space="0"/>
              <w:bottom w:val="single" w:color="000000" w:sz="4" w:space="0"/>
              <w:right w:val="single" w:color="000000" w:sz="4" w:space="0"/>
            </w:tcBorders>
            <w:shd w:val="clear" w:color="auto" w:fill="auto"/>
            <w:vAlign w:val="center"/>
          </w:tcPr>
          <w:p>
            <w:pPr>
              <w:pStyle w:val="46"/>
              <w:jc w:val="left"/>
              <w:rPr>
                <w:rFonts w:hint="eastAsia" w:ascii="宋体" w:hAnsi="宋体" w:eastAsia="宋体" w:cs="宋体"/>
                <w:color w:val="auto"/>
                <w:sz w:val="21"/>
                <w:szCs w:val="21"/>
                <w:highlight w:val="none"/>
                <w:lang w:val="en-US" w:eastAsia="zh-CN" w:bidi="ar-SA"/>
              </w:rPr>
            </w:pPr>
            <w:r>
              <w:rPr>
                <w:rFonts w:hint="eastAsia" w:ascii="宋体" w:hAnsi="宋体" w:cs="宋体"/>
                <w:color w:val="auto"/>
                <w:szCs w:val="21"/>
                <w:highlight w:val="none"/>
                <w:lang w:val="en-US" w:eastAsia="zh-CN"/>
              </w:rPr>
              <w:t xml:space="preserve">浙石油数智销售系统实施统一接口管理，零管系统需与该系统开展接口集成工作，以达成与集团核心业务系统的数据互联互通。集团核心业务系统包括但不限于 ERP、FSSC 财务共享系统、财司系统、ZSRM 系统、商品主数据系统、供应商主数据系统、客户主数据系统等。 </w:t>
            </w:r>
          </w:p>
        </w:tc>
      </w:tr>
    </w:tbl>
    <w:p>
      <w:pPr>
        <w:pStyle w:val="3"/>
        <w:numPr>
          <w:ilvl w:val="1"/>
          <w:numId w:val="5"/>
        </w:numPr>
        <w:spacing w:before="156" w:after="62" w:line="360" w:lineRule="auto"/>
        <w:rPr>
          <w:rFonts w:ascii="宋体" w:hAnsi="宋体" w:cs="宋体"/>
          <w:color w:val="auto"/>
          <w:szCs w:val="21"/>
          <w:highlight w:val="none"/>
        </w:rPr>
      </w:pPr>
      <w:bookmarkStart w:id="706" w:name="_Toc6383"/>
      <w:r>
        <w:rPr>
          <w:rFonts w:hint="eastAsia" w:ascii="宋体" w:hAnsi="宋体" w:cs="宋体"/>
          <w:color w:val="auto"/>
          <w:szCs w:val="21"/>
          <w:highlight w:val="none"/>
        </w:rPr>
        <w:t>硬件系统集成要求</w:t>
      </w:r>
      <w:bookmarkEnd w:id="705"/>
      <w:bookmarkEnd w:id="706"/>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本项目应采用供能站零售管理系统对各软件模块及硬件子系统进行集中管理。物联集成涉及供能站的洗车机、监控摄像头、液位仪、前庭控制器、加油机、价格牌等硬件子系统；软件集成涉及员工加油卡系统、洗车机管理系统、视频监控平台、液位仪监控平台等软件模块；数据集成涉及 HOS 系统数据等第三方数据源，详细的集成架构如下图所示：</w:t>
      </w:r>
    </w:p>
    <w:p>
      <w:pPr>
        <w:pStyle w:val="46"/>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drawing>
          <wp:inline distT="0" distB="0" distL="0" distR="0">
            <wp:extent cx="5274310" cy="2072640"/>
            <wp:effectExtent l="0" t="0" r="2540" b="3810"/>
            <wp:docPr id="8" name="图片 8" descr="C:\Users\admin\Documents\xwechat_files\wxid_2le3l2p0x46p12_3ad8\temp\RWTemp\2025-11\c351c7ce3d8b4e915cb32d1d995fb9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admin\Documents\xwechat_files\wxid_2le3l2p0x46p12_3ad8\temp\RWTemp\2025-11\c351c7ce3d8b4e915cb32d1d995fb96d.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2073048"/>
                    </a:xfrm>
                    <a:prstGeom prst="rect">
                      <a:avLst/>
                    </a:prstGeom>
                    <a:noFill/>
                    <a:ln>
                      <a:noFill/>
                    </a:ln>
                  </pic:spPr>
                </pic:pic>
              </a:graphicData>
            </a:graphic>
          </wp:inline>
        </w:drawing>
      </w:r>
    </w:p>
    <w:p>
      <w:pPr>
        <w:pStyle w:val="46"/>
        <w:adjustRightInd w:val="0"/>
        <w:snapToGrid w:val="0"/>
        <w:spacing w:line="360" w:lineRule="auto"/>
        <w:ind w:firstLine="420" w:firstLineChars="200"/>
        <w:jc w:val="center"/>
        <w:rPr>
          <w:rFonts w:ascii="宋体" w:hAnsi="宋体" w:cs="宋体"/>
          <w:color w:val="auto"/>
          <w:szCs w:val="21"/>
          <w:highlight w:val="none"/>
        </w:rPr>
      </w:pPr>
      <w:r>
        <w:rPr>
          <w:rFonts w:hint="eastAsia" w:ascii="宋体" w:hAnsi="宋体" w:cs="宋体"/>
          <w:color w:val="auto"/>
          <w:szCs w:val="21"/>
          <w:highlight w:val="none"/>
        </w:rPr>
        <w:t>系统集成架构图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本项目零管系统部署在招标人专有云环境中，与</w:t>
      </w:r>
      <w:r>
        <w:rPr>
          <w:rFonts w:hint="eastAsia" w:ascii="宋体" w:hAnsi="宋体" w:cs="宋体"/>
          <w:color w:val="auto"/>
          <w:szCs w:val="21"/>
          <w:highlight w:val="none"/>
          <w:lang w:eastAsia="zh-CN"/>
        </w:rPr>
        <w:t>浙石油数智销售系统</w:t>
      </w:r>
      <w:r>
        <w:rPr>
          <w:rFonts w:hint="eastAsia" w:ascii="宋体" w:hAnsi="宋体" w:cs="宋体"/>
          <w:color w:val="auto"/>
          <w:szCs w:val="21"/>
          <w:highlight w:val="none"/>
        </w:rPr>
        <w:t>HOS系统</w:t>
      </w:r>
      <w:r>
        <w:rPr>
          <w:rFonts w:ascii="宋体" w:hAnsi="宋体" w:cs="宋体"/>
          <w:color w:val="auto"/>
          <w:szCs w:val="21"/>
          <w:highlight w:val="none"/>
        </w:rPr>
        <w:tab/>
      </w:r>
      <w:r>
        <w:rPr>
          <w:rFonts w:hint="eastAsia" w:ascii="宋体" w:hAnsi="宋体" w:cs="宋体"/>
          <w:color w:val="auto"/>
          <w:szCs w:val="21"/>
          <w:highlight w:val="none"/>
        </w:rPr>
        <w:t>的拓扑关系如下图所示：</w:t>
      </w:r>
    </w:p>
    <w:p>
      <w:pPr>
        <w:pStyle w:val="46"/>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drawing>
          <wp:inline distT="0" distB="0" distL="114300" distR="114300">
            <wp:extent cx="5265420" cy="4787900"/>
            <wp:effectExtent l="0" t="0" r="5080" b="0"/>
            <wp:docPr id="7" name="图片 7" descr="3e55f04d1c5a9c1e29e98567bb16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e55f04d1c5a9c1e29e98567bb169302"/>
                    <pic:cNvPicPr>
                      <a:picLocks noChangeAspect="1"/>
                    </pic:cNvPicPr>
                  </pic:nvPicPr>
                  <pic:blipFill>
                    <a:blip r:embed="rId16"/>
                    <a:stretch>
                      <a:fillRect/>
                    </a:stretch>
                  </pic:blipFill>
                  <pic:spPr>
                    <a:xfrm>
                      <a:off x="0" y="0"/>
                      <a:ext cx="5265420" cy="4787900"/>
                    </a:xfrm>
                    <a:prstGeom prst="rect">
                      <a:avLst/>
                    </a:prstGeom>
                  </pic:spPr>
                </pic:pic>
              </a:graphicData>
            </a:graphic>
          </wp:inline>
        </w:drawing>
      </w:r>
    </w:p>
    <w:p>
      <w:pPr>
        <w:pStyle w:val="46"/>
        <w:adjustRightInd w:val="0"/>
        <w:snapToGrid w:val="0"/>
        <w:spacing w:line="360" w:lineRule="auto"/>
        <w:ind w:firstLine="420" w:firstLineChars="200"/>
        <w:jc w:val="center"/>
        <w:rPr>
          <w:rFonts w:ascii="宋体" w:hAnsi="宋体" w:cs="宋体"/>
          <w:color w:val="auto"/>
          <w:szCs w:val="21"/>
          <w:highlight w:val="none"/>
        </w:rPr>
      </w:pPr>
      <w:r>
        <w:rPr>
          <w:rFonts w:hint="eastAsia" w:ascii="宋体" w:hAnsi="宋体" w:cs="宋体"/>
          <w:color w:val="auto"/>
          <w:szCs w:val="21"/>
          <w:highlight w:val="none"/>
        </w:rPr>
        <w:t>网络拓扑图</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本项目所建设的系统需根据厂家提供的通讯协议、SDK或API接口，与供能站现有的加油机、液位仪、价格牌、洗车机等多种不同品牌的设备及软硬件系统进行对接。此项对接工作由投标人负责实施，具体清单包含但不限于（具体清单以供能站现场实际硬件为准）： </w:t>
      </w:r>
    </w:p>
    <w:tbl>
      <w:tblPr>
        <w:tblStyle w:val="3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8"/>
        <w:gridCol w:w="1239"/>
        <w:gridCol w:w="3441"/>
        <w:gridCol w:w="26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27" w:type="pct"/>
            <w:shd w:val="clear" w:color="auto" w:fill="E8E8E8" w:themeFill="background2"/>
            <w:vAlign w:val="center"/>
          </w:tcPr>
          <w:p>
            <w:pPr>
              <w:widowControl/>
              <w:spacing w:after="0" w:afterLines="0"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序号</w:t>
            </w:r>
          </w:p>
        </w:tc>
        <w:tc>
          <w:tcPr>
            <w:tcW w:w="727" w:type="pct"/>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项目</w:t>
            </w:r>
          </w:p>
        </w:tc>
        <w:tc>
          <w:tcPr>
            <w:tcW w:w="2019" w:type="pct"/>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主要参数</w:t>
            </w:r>
          </w:p>
        </w:tc>
        <w:tc>
          <w:tcPr>
            <w:tcW w:w="1526" w:type="pct"/>
            <w:shd w:val="clear" w:color="auto" w:fill="E8E8E8" w:themeFill="background2"/>
            <w:vAlign w:val="center"/>
          </w:tcPr>
          <w:p>
            <w:pPr>
              <w:widowControl/>
              <w:spacing w:after="0" w:afterLines="0" w:line="240" w:lineRule="auto"/>
              <w:jc w:val="left"/>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信息采集技术要求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加油枪状态、加油量、金额、单价、交易流水</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多品牌加油机、大屏等进行通讯，支持标准及厂家自有协议及接口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液位仪</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油高，水高，报警</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与多品牌液位仪进行通讯，实现查询每个油罐信息，如油高，水高，报警等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价格牌</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价格设置</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与多品牌价格牌进行通讯，实现查询后台控制价格牌变价，亮度，闪烁功能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4</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单机版站点接口对接</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接入油、气机交易流水</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通过现有协议接入，并支持多油、气机品牌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5</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可燃气探头</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气体浓度、报警状态</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通过网络采集探头的实时及报警数据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6</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液位仪侧漏</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eastAsia="zh-CN" w:bidi="ar"/>
              </w:rPr>
              <w:t>泄漏</w:t>
            </w:r>
            <w:r>
              <w:rPr>
                <w:rFonts w:hint="eastAsia" w:ascii="宋体" w:hAnsi="宋体" w:cs="宋体"/>
                <w:color w:val="auto"/>
                <w:kern w:val="0"/>
                <w:szCs w:val="21"/>
                <w:highlight w:val="none"/>
                <w:lang w:bidi="ar"/>
              </w:rPr>
              <w:t>状态</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定时采集液位仪所有管道的</w:t>
            </w:r>
            <w:r>
              <w:rPr>
                <w:rFonts w:hint="eastAsia" w:ascii="宋体" w:hAnsi="宋体" w:cs="宋体"/>
                <w:color w:val="auto"/>
                <w:kern w:val="0"/>
                <w:szCs w:val="21"/>
                <w:highlight w:val="none"/>
                <w:lang w:eastAsia="zh-CN" w:bidi="ar"/>
              </w:rPr>
              <w:t>泄漏</w:t>
            </w:r>
            <w:r>
              <w:rPr>
                <w:rFonts w:hint="eastAsia" w:ascii="宋体" w:hAnsi="宋体" w:cs="宋体"/>
                <w:color w:val="auto"/>
                <w:kern w:val="0"/>
                <w:szCs w:val="21"/>
                <w:highlight w:val="none"/>
                <w:lang w:bidi="ar"/>
              </w:rPr>
              <w:t>状态并预警提示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7</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二次油气回收</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环境检测、油气、气液比</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通过数据接口对接，实现对站点油气的环境检测和油气回收的气液比，油气等信息的展示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20"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8</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三次油气回收</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油气温度、油气压力</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通过数据接口对接，对油气的三次回收进行监控，实时展示油气温度，油气压力等信息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9</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洗车机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设备状态、交易流水</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对洗车机通过接口形式，对洗车机进行启动洗车业务，并且能自主支付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10</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监控设备</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车牌识别、超脑、视频监控、客流量、硬盘录像机、摄像头、人脸识别</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和站点的监控设备对接，包括车牌识别、超脑、视频监控、硬盘录像机、摄像头等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11</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建行刷卡 POS</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对建行刷卡POS机进行支付对接，油品支付能使用刷卡POS进行支付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12</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多媒体电视机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广告信息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开发对应APP，在电视上安装，同步加油机大屏广告信息，进行广告播放、更新及控制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13</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员工卡</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卡数据</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员工卡</w:t>
            </w:r>
            <w:r>
              <w:rPr>
                <w:rFonts w:hint="eastAsia" w:ascii="宋体" w:hAnsi="宋体" w:cs="宋体"/>
                <w:color w:val="auto"/>
                <w:kern w:val="0"/>
                <w:szCs w:val="21"/>
                <w:highlight w:val="none"/>
                <w:lang w:eastAsia="zh-CN" w:bidi="ar"/>
              </w:rPr>
              <w:t>（</w:t>
            </w:r>
            <w:r>
              <w:rPr>
                <w:rFonts w:hint="eastAsia" w:ascii="宋体" w:hAnsi="宋体" w:cs="宋体"/>
                <w:color w:val="auto"/>
                <w:kern w:val="0"/>
                <w:szCs w:val="21"/>
                <w:highlight w:val="none"/>
                <w:lang w:val="en-US" w:eastAsia="zh-CN" w:bidi="ar"/>
              </w:rPr>
              <w:t>CPU卡加PSAM卡）</w:t>
            </w:r>
            <w:r>
              <w:rPr>
                <w:rFonts w:hint="eastAsia" w:ascii="宋体" w:hAnsi="宋体" w:cs="宋体"/>
                <w:color w:val="auto"/>
                <w:kern w:val="0"/>
                <w:szCs w:val="21"/>
                <w:highlight w:val="none"/>
                <w:lang w:bidi="ar"/>
              </w:rPr>
              <w:t>进行</w:t>
            </w:r>
            <w:r>
              <w:rPr>
                <w:rFonts w:hint="eastAsia" w:ascii="宋体" w:hAnsi="宋体" w:cs="宋体"/>
                <w:color w:val="auto"/>
                <w:kern w:val="0"/>
                <w:szCs w:val="21"/>
                <w:highlight w:val="none"/>
                <w:lang w:eastAsia="zh-CN" w:bidi="ar"/>
              </w:rPr>
              <w:t>校验</w:t>
            </w:r>
            <w:r>
              <w:rPr>
                <w:rFonts w:hint="eastAsia" w:ascii="宋体" w:hAnsi="宋体" w:cs="宋体"/>
                <w:color w:val="auto"/>
                <w:kern w:val="0"/>
                <w:szCs w:val="21"/>
                <w:highlight w:val="none"/>
                <w:lang w:bidi="ar"/>
              </w:rPr>
              <w:t>及读写，进行密钥验证，实现油机授权功能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14</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PSAM卡</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卡数据</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设计油机内置PSAM、实现国密级本地认证及加解密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15</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读卡器</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卡数据</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员工卡初始化及制卡设备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16</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防爆手持 POS</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G509、G63以及不同安卓版本手持POS机适配，开发浙石油销售站点APP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17</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工控机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CPU、内存使用率、磁盘</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华为工控机操作系统、储存、硬盘、内存等指标</w:t>
            </w:r>
            <w:r>
              <w:rPr>
                <w:rFonts w:hint="eastAsia" w:ascii="宋体" w:hAnsi="宋体" w:cs="宋体"/>
                <w:color w:val="auto"/>
                <w:kern w:val="0"/>
                <w:szCs w:val="21"/>
                <w:highlight w:val="none"/>
                <w:lang w:eastAsia="zh-CN" w:bidi="ar"/>
              </w:rPr>
              <w:t>监控</w:t>
            </w:r>
            <w:r>
              <w:rPr>
                <w:rFonts w:hint="eastAsia" w:ascii="宋体" w:hAnsi="宋体" w:cs="宋体"/>
                <w:color w:val="auto"/>
                <w:kern w:val="0"/>
                <w:szCs w:val="21"/>
                <w:highlight w:val="none"/>
                <w:lang w:bidi="ar"/>
              </w:rPr>
              <w:t>报警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18</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打印机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状态</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连接站点收银POS机，能针对发票，班结报表进行打印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19</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收银 POS</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支付信息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使用收银POS机进行安装浙石油收银POS机APP，能进行钱箱控制以及支付扫码功能等支付通道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20</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小票打印机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小票信息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能通过收银POS机安装相应的驱动，对小票进行开发对接，能使用收银POS机打印相应的支付交易小票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21</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发票打印机</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发票信息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使用印美打印机与后台进行数据对接，能通过印美打印机打印发票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65" w:hRule="atLeast"/>
        </w:trPr>
        <w:tc>
          <w:tcPr>
            <w:tcW w:w="727" w:type="pct"/>
            <w:shd w:val="clear" w:color="auto" w:fill="auto"/>
            <w:vAlign w:val="center"/>
          </w:tcPr>
          <w:p>
            <w:pPr>
              <w:widowControl/>
              <w:spacing w:after="0" w:afterLines="0"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22</w:t>
            </w:r>
          </w:p>
        </w:tc>
        <w:tc>
          <w:tcPr>
            <w:tcW w:w="727"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扫描枪</w:t>
            </w:r>
          </w:p>
        </w:tc>
        <w:tc>
          <w:tcPr>
            <w:tcW w:w="2019"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商品条码信息</w:t>
            </w:r>
          </w:p>
        </w:tc>
        <w:tc>
          <w:tcPr>
            <w:tcW w:w="1526" w:type="pct"/>
            <w:shd w:val="clear" w:color="auto" w:fill="auto"/>
            <w:vAlign w:val="center"/>
          </w:tcPr>
          <w:p>
            <w:pPr>
              <w:widowControl/>
              <w:spacing w:after="0" w:afterLines="0" w:line="240" w:lineRule="auto"/>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支持参数设置，能使用自动换行，并支持会员码、支付宝、微信等二维码扫描及</w:t>
            </w:r>
            <w:r>
              <w:rPr>
                <w:rFonts w:hint="eastAsia" w:ascii="宋体" w:hAnsi="宋体" w:cs="宋体"/>
                <w:color w:val="auto"/>
                <w:kern w:val="0"/>
                <w:szCs w:val="21"/>
                <w:highlight w:val="none"/>
                <w:lang w:eastAsia="zh-CN" w:bidi="ar"/>
              </w:rPr>
              <w:t>识别</w:t>
            </w:r>
          </w:p>
        </w:tc>
      </w:tr>
    </w:tbl>
    <w:p>
      <w:pPr>
        <w:pStyle w:val="2"/>
        <w:numPr>
          <w:ilvl w:val="0"/>
          <w:numId w:val="5"/>
        </w:numPr>
        <w:spacing w:before="156" w:after="0" w:afterLines="0" w:line="360" w:lineRule="auto"/>
        <w:ind w:left="431" w:hanging="431"/>
        <w:rPr>
          <w:rFonts w:ascii="宋体" w:hAnsi="宋体" w:cs="宋体"/>
          <w:color w:val="auto"/>
          <w:sz w:val="21"/>
          <w:szCs w:val="21"/>
          <w:highlight w:val="none"/>
        </w:rPr>
      </w:pPr>
      <w:bookmarkStart w:id="707" w:name="_Toc30483"/>
      <w:bookmarkStart w:id="708" w:name="_Toc11317"/>
      <w:r>
        <w:rPr>
          <w:rFonts w:hint="eastAsia" w:ascii="宋体" w:hAnsi="宋体" w:cs="宋体"/>
          <w:color w:val="auto"/>
          <w:sz w:val="21"/>
          <w:szCs w:val="21"/>
          <w:highlight w:val="none"/>
        </w:rPr>
        <w:t>进度及人员要求</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707"/>
      <w:bookmarkEnd w:id="708"/>
    </w:p>
    <w:p>
      <w:pPr>
        <w:pStyle w:val="3"/>
        <w:numPr>
          <w:ilvl w:val="1"/>
          <w:numId w:val="5"/>
        </w:numPr>
        <w:spacing w:before="156" w:after="62" w:line="360" w:lineRule="auto"/>
        <w:rPr>
          <w:rFonts w:ascii="宋体" w:hAnsi="宋体" w:cs="宋体"/>
          <w:color w:val="auto"/>
          <w:szCs w:val="21"/>
          <w:highlight w:val="none"/>
        </w:rPr>
      </w:pPr>
      <w:bookmarkStart w:id="709" w:name="_Toc214973016"/>
      <w:bookmarkStart w:id="710" w:name="_Toc12610"/>
      <w:bookmarkStart w:id="711" w:name="_Toc15633"/>
      <w:r>
        <w:rPr>
          <w:rFonts w:hint="eastAsia" w:ascii="宋体" w:hAnsi="宋体" w:cs="宋体"/>
          <w:color w:val="auto"/>
          <w:szCs w:val="21"/>
          <w:highlight w:val="none"/>
        </w:rPr>
        <w:t>概述</w:t>
      </w:r>
      <w:bookmarkEnd w:id="709"/>
      <w:bookmarkEnd w:id="710"/>
      <w:bookmarkEnd w:id="711"/>
    </w:p>
    <w:p>
      <w:pPr>
        <w:pStyle w:val="118"/>
        <w:adjustRightInd w:val="0"/>
        <w:snapToGrid w:val="0"/>
        <w:ind w:firstLine="420"/>
        <w:rPr>
          <w:rFonts w:ascii="宋体" w:hAnsi="宋体"/>
          <w:color w:val="auto"/>
          <w:sz w:val="21"/>
          <w:szCs w:val="21"/>
          <w:highlight w:val="none"/>
        </w:rPr>
      </w:pPr>
      <w:r>
        <w:rPr>
          <w:rFonts w:hint="eastAsia" w:ascii="宋体" w:hAnsi="宋体"/>
          <w:color w:val="auto"/>
          <w:sz w:val="21"/>
          <w:szCs w:val="21"/>
          <w:highlight w:val="none"/>
        </w:rPr>
        <w:t>项目各阶段的工作任务应在招标人规定的期限内完成，初定于2026年底前完成用户初步验收工作。投标人需提供本次项目的项目进度表，并每周</w:t>
      </w:r>
      <w:r>
        <w:rPr>
          <w:rFonts w:hint="eastAsia" w:ascii="宋体" w:hAnsi="宋体"/>
          <w:color w:val="auto"/>
          <w:sz w:val="21"/>
          <w:szCs w:val="21"/>
          <w:highlight w:val="none"/>
          <w:lang w:val="en-US" w:eastAsia="zh-CN"/>
        </w:rPr>
        <w:t>针</w:t>
      </w:r>
      <w:r>
        <w:rPr>
          <w:rFonts w:hint="eastAsia" w:ascii="宋体" w:hAnsi="宋体"/>
          <w:color w:val="auto"/>
          <w:sz w:val="21"/>
          <w:szCs w:val="21"/>
          <w:highlight w:val="none"/>
        </w:rPr>
        <w:t>对项目进度为招标人提供项目周报，每月提供项目月报。周报内容包括但不限于以下内容：本周对上周项目计划的工作完成情况、未完成原因、下周计划情况、需要协调的事项等。</w:t>
      </w:r>
    </w:p>
    <w:p>
      <w:pPr>
        <w:pStyle w:val="3"/>
        <w:numPr>
          <w:ilvl w:val="1"/>
          <w:numId w:val="5"/>
        </w:numPr>
        <w:spacing w:before="156" w:after="62" w:line="360" w:lineRule="auto"/>
        <w:rPr>
          <w:rFonts w:ascii="宋体" w:hAnsi="宋体" w:cs="宋体"/>
          <w:color w:val="auto"/>
          <w:szCs w:val="21"/>
          <w:highlight w:val="none"/>
        </w:rPr>
      </w:pPr>
      <w:bookmarkStart w:id="712" w:name="_Toc16987"/>
      <w:bookmarkStart w:id="713" w:name="_Toc30329"/>
      <w:bookmarkStart w:id="714" w:name="_Toc141864026"/>
      <w:bookmarkStart w:id="715" w:name="_Toc11683"/>
      <w:bookmarkStart w:id="716" w:name="_Toc2124"/>
      <w:bookmarkStart w:id="717" w:name="_Toc214973017"/>
      <w:bookmarkStart w:id="718" w:name="_Toc7502"/>
      <w:bookmarkStart w:id="719" w:name="_Toc30641"/>
      <w:bookmarkStart w:id="720" w:name="_Toc24071"/>
      <w:bookmarkStart w:id="721" w:name="_Toc13799"/>
      <w:bookmarkStart w:id="722" w:name="_Toc27875"/>
      <w:bookmarkStart w:id="723" w:name="_Toc9456"/>
      <w:bookmarkStart w:id="724" w:name="_Toc27641"/>
      <w:r>
        <w:rPr>
          <w:rFonts w:hint="eastAsia" w:ascii="宋体" w:hAnsi="宋体" w:cs="宋体"/>
          <w:color w:val="auto"/>
          <w:szCs w:val="21"/>
          <w:highlight w:val="none"/>
        </w:rPr>
        <w:t>进度要求</w:t>
      </w:r>
      <w:bookmarkEnd w:id="712"/>
      <w:bookmarkEnd w:id="713"/>
      <w:bookmarkEnd w:id="714"/>
      <w:bookmarkEnd w:id="715"/>
      <w:bookmarkEnd w:id="716"/>
      <w:bookmarkEnd w:id="717"/>
      <w:bookmarkEnd w:id="718"/>
      <w:bookmarkEnd w:id="719"/>
      <w:bookmarkEnd w:id="720"/>
      <w:bookmarkEnd w:id="721"/>
      <w:bookmarkEnd w:id="722"/>
      <w:bookmarkEnd w:id="723"/>
      <w:bookmarkEnd w:id="724"/>
    </w:p>
    <w:p>
      <w:pPr>
        <w:spacing w:after="62" w:line="360" w:lineRule="auto"/>
        <w:ind w:firstLine="420"/>
        <w:rPr>
          <w:rFonts w:ascii="宋体" w:hAnsi="宋体" w:cs="宋体"/>
          <w:color w:val="auto"/>
          <w:szCs w:val="21"/>
          <w:highlight w:val="none"/>
        </w:rPr>
      </w:pPr>
      <w:r>
        <w:rPr>
          <w:rFonts w:hint="eastAsia" w:ascii="宋体" w:hAnsi="宋体" w:cs="宋体"/>
          <w:color w:val="auto"/>
          <w:szCs w:val="21"/>
          <w:highlight w:val="none"/>
        </w:rPr>
        <w:t>合同签订后1个月内完成技术方案，合同签订后6个月内完成功能开发</w:t>
      </w:r>
      <w:r>
        <w:rPr>
          <w:rFonts w:hint="eastAsia" w:ascii="宋体" w:hAnsi="宋体" w:cs="宋体"/>
          <w:color w:val="auto"/>
          <w:szCs w:val="21"/>
          <w:highlight w:val="none"/>
          <w:lang w:val="en-US" w:eastAsia="zh-CN"/>
        </w:rPr>
        <w:t>及功能测试</w:t>
      </w:r>
      <w:r>
        <w:rPr>
          <w:rFonts w:hint="eastAsia" w:ascii="宋体" w:hAnsi="宋体" w:cs="宋体"/>
          <w:color w:val="auto"/>
          <w:szCs w:val="21"/>
          <w:highlight w:val="none"/>
        </w:rPr>
        <w:t>，合同签订后9个月内完成集成测试、迁移</w:t>
      </w:r>
      <w:r>
        <w:rPr>
          <w:rFonts w:hint="eastAsia" w:ascii="宋体" w:hAnsi="宋体" w:cs="宋体"/>
          <w:color w:val="auto"/>
          <w:szCs w:val="21"/>
          <w:highlight w:val="none"/>
          <w:lang w:val="en-US" w:eastAsia="zh-CN"/>
        </w:rPr>
        <w:t>测试</w:t>
      </w:r>
      <w:r>
        <w:rPr>
          <w:rFonts w:hint="eastAsia" w:ascii="宋体" w:hAnsi="宋体" w:cs="宋体"/>
          <w:color w:val="auto"/>
          <w:szCs w:val="21"/>
          <w:highlight w:val="none"/>
        </w:rPr>
        <w:t>及性能测试；合同签订后10个月内部署并完成2个站点的试点验证；试点验证验收合格后进入推广实施阶段，2027年第一季度实现全省推广且</w:t>
      </w:r>
      <w:r>
        <w:rPr>
          <w:rFonts w:hint="eastAsia" w:ascii="宋体" w:hAnsi="宋体" w:cs="宋体"/>
          <w:color w:val="auto"/>
          <w:szCs w:val="21"/>
          <w:highlight w:val="none"/>
          <w:lang w:val="en-US" w:eastAsia="zh-CN"/>
        </w:rPr>
        <w:t>所有站点均</w:t>
      </w:r>
      <w:r>
        <w:rPr>
          <w:rFonts w:hint="eastAsia" w:ascii="宋体" w:hAnsi="宋体" w:cs="宋体"/>
          <w:color w:val="auto"/>
          <w:szCs w:val="21"/>
          <w:highlight w:val="none"/>
        </w:rPr>
        <w:t>试运行满3个月，进行推广验收；推广验收合格后进入质保期，为期一年，质保期结束后组织最终验收（质保期至少一年，如实际试点验证验收时间及推广验收时间滞后，则质保期相应延迟）。</w:t>
      </w:r>
      <w:r>
        <w:rPr>
          <w:rFonts w:hint="eastAsia" w:ascii="宋体" w:hAnsi="宋体" w:cs="宋体"/>
          <w:color w:val="auto"/>
          <w:szCs w:val="21"/>
          <w:highlight w:val="none"/>
        </w:rPr>
        <w:t>投标人根据此时间节点倒排项目施工工期，确保按时完工、验收。</w:t>
      </w:r>
    </w:p>
    <w:p>
      <w:pPr>
        <w:spacing w:after="62" w:line="360" w:lineRule="auto"/>
        <w:ind w:firstLine="422" w:firstLineChars="200"/>
        <w:rPr>
          <w:rFonts w:ascii="宋体" w:hAnsi="宋体" w:cs="宋体"/>
          <w:b/>
          <w:bCs/>
          <w:color w:val="auto"/>
          <w:szCs w:val="21"/>
          <w:highlight w:val="none"/>
        </w:rPr>
      </w:pPr>
      <w:r>
        <w:rPr>
          <w:rFonts w:hint="eastAsia" w:ascii="宋体" w:hAnsi="宋体" w:cs="宋体"/>
          <w:b/>
          <w:bCs/>
          <w:color w:val="auto"/>
          <w:szCs w:val="21"/>
          <w:highlight w:val="none"/>
        </w:rPr>
        <w:t>下述时间为项目进度表，投标人需满足招标人进度的要求。</w:t>
      </w:r>
    </w:p>
    <w:tbl>
      <w:tblPr>
        <w:tblStyle w:val="3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4"/>
        <w:gridCol w:w="2027"/>
        <w:gridCol w:w="1152"/>
        <w:gridCol w:w="46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tblHeader/>
          <w:jc w:val="center"/>
        </w:trPr>
        <w:tc>
          <w:tcPr>
            <w:tcW w:w="680" w:type="dxa"/>
            <w:shd w:val="clear" w:color="auto" w:fill="E8E8E8" w:themeFill="background2"/>
            <w:vAlign w:val="center"/>
          </w:tcPr>
          <w:p>
            <w:pPr>
              <w:widowControl/>
              <w:spacing w:after="62"/>
              <w:jc w:val="center"/>
              <w:textAlignment w:val="center"/>
              <w:rPr>
                <w:rFonts w:ascii="宋体" w:hAnsi="宋体" w:cs="宋体"/>
                <w:b/>
                <w:color w:val="auto"/>
                <w:szCs w:val="21"/>
                <w:highlight w:val="none"/>
              </w:rPr>
            </w:pPr>
            <w:r>
              <w:rPr>
                <w:rFonts w:hint="eastAsia" w:ascii="宋体" w:hAnsi="宋体" w:cs="宋体"/>
                <w:b/>
                <w:bCs/>
                <w:color w:val="auto"/>
                <w:kern w:val="0"/>
                <w:szCs w:val="21"/>
                <w:highlight w:val="none"/>
                <w:lang w:bidi="ar"/>
              </w:rPr>
              <w:t>序号</w:t>
            </w:r>
          </w:p>
        </w:tc>
        <w:tc>
          <w:tcPr>
            <w:tcW w:w="2026" w:type="dxa"/>
            <w:shd w:val="clear" w:color="auto" w:fill="E8E8E8" w:themeFill="background2"/>
            <w:vAlign w:val="center"/>
          </w:tcPr>
          <w:p>
            <w:pPr>
              <w:widowControl/>
              <w:spacing w:after="62"/>
              <w:jc w:val="center"/>
              <w:textAlignment w:val="center"/>
              <w:rPr>
                <w:rFonts w:ascii="宋体" w:hAnsi="宋体" w:cs="宋体"/>
                <w:b/>
                <w:color w:val="auto"/>
                <w:szCs w:val="21"/>
                <w:highlight w:val="none"/>
              </w:rPr>
            </w:pPr>
            <w:r>
              <w:rPr>
                <w:rFonts w:hint="eastAsia" w:ascii="宋体" w:hAnsi="宋体" w:cs="宋体"/>
                <w:b/>
                <w:bCs/>
                <w:color w:val="auto"/>
                <w:kern w:val="0"/>
                <w:szCs w:val="21"/>
                <w:highlight w:val="none"/>
                <w:lang w:bidi="ar"/>
              </w:rPr>
              <w:t>内容</w:t>
            </w:r>
          </w:p>
        </w:tc>
        <w:tc>
          <w:tcPr>
            <w:tcW w:w="1148" w:type="dxa"/>
            <w:shd w:val="clear" w:color="auto" w:fill="E8E8E8" w:themeFill="background2"/>
            <w:vAlign w:val="center"/>
          </w:tcPr>
          <w:p>
            <w:pPr>
              <w:widowControl/>
              <w:spacing w:after="62"/>
              <w:jc w:val="center"/>
              <w:textAlignment w:val="center"/>
              <w:rPr>
                <w:rFonts w:ascii="宋体" w:hAnsi="宋体" w:cs="宋体"/>
                <w:b/>
                <w:color w:val="auto"/>
                <w:szCs w:val="21"/>
                <w:highlight w:val="none"/>
              </w:rPr>
            </w:pPr>
            <w:r>
              <w:rPr>
                <w:rFonts w:hint="eastAsia" w:ascii="宋体" w:hAnsi="宋体" w:cs="宋体"/>
                <w:b/>
                <w:bCs/>
                <w:color w:val="auto"/>
                <w:kern w:val="0"/>
                <w:szCs w:val="21"/>
                <w:highlight w:val="none"/>
                <w:lang w:bidi="ar"/>
              </w:rPr>
              <w:t>地点</w:t>
            </w:r>
          </w:p>
        </w:tc>
        <w:tc>
          <w:tcPr>
            <w:tcW w:w="4665" w:type="dxa"/>
            <w:shd w:val="clear" w:color="auto" w:fill="E8E8E8" w:themeFill="background2"/>
            <w:vAlign w:val="center"/>
          </w:tcPr>
          <w:p>
            <w:pPr>
              <w:widowControl/>
              <w:spacing w:after="62"/>
              <w:jc w:val="center"/>
              <w:textAlignment w:val="center"/>
              <w:rPr>
                <w:rFonts w:ascii="宋体" w:hAnsi="宋体" w:cs="宋体"/>
                <w:b/>
                <w:color w:val="auto"/>
                <w:szCs w:val="21"/>
                <w:highlight w:val="none"/>
              </w:rPr>
            </w:pPr>
            <w:r>
              <w:rPr>
                <w:rFonts w:hint="eastAsia" w:ascii="宋体" w:hAnsi="宋体" w:cs="宋体"/>
                <w:b/>
                <w:bCs/>
                <w:color w:val="auto"/>
                <w:kern w:val="0"/>
                <w:szCs w:val="21"/>
                <w:highlight w:val="none"/>
                <w:lang w:bidi="ar"/>
              </w:rPr>
              <w:t>时间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exac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2026"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val="en-US" w:eastAsia="zh-CN" w:bidi="ar"/>
              </w:rPr>
              <w:t>技术</w:t>
            </w:r>
            <w:r>
              <w:rPr>
                <w:rFonts w:hint="eastAsia" w:ascii="宋体" w:hAnsi="宋体" w:cs="宋体"/>
                <w:color w:val="auto"/>
                <w:kern w:val="0"/>
                <w:szCs w:val="21"/>
                <w:highlight w:val="none"/>
                <w:lang w:bidi="ar"/>
              </w:rPr>
              <w:t>方案设计</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合同签订后1个月内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w:t>
            </w:r>
          </w:p>
        </w:tc>
        <w:tc>
          <w:tcPr>
            <w:tcW w:w="2026"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模块开发</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szCs w:val="21"/>
                <w:highlight w:val="none"/>
              </w:rPr>
              <w:t>合同签订后6个月内完成</w:t>
            </w:r>
            <w:r>
              <w:rPr>
                <w:rFonts w:hint="eastAsia" w:ascii="宋体" w:hAnsi="宋体" w:cs="宋体"/>
                <w:color w:val="auto"/>
                <w:szCs w:val="21"/>
                <w:highlight w:val="none"/>
                <w:lang w:val="en-US" w:eastAsia="zh-CN"/>
              </w:rPr>
              <w:t>功能开发及功能测试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3</w:t>
            </w:r>
          </w:p>
        </w:tc>
        <w:tc>
          <w:tcPr>
            <w:tcW w:w="2026"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主体功能具备部署上线条件</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szCs w:val="21"/>
                <w:highlight w:val="none"/>
              </w:rPr>
              <w:t>合同签订后9个月内完成</w:t>
            </w:r>
            <w:r>
              <w:rPr>
                <w:rFonts w:hint="eastAsia" w:ascii="宋体" w:hAnsi="宋体" w:cs="宋体"/>
                <w:color w:val="auto"/>
                <w:kern w:val="0"/>
                <w:szCs w:val="21"/>
                <w:highlight w:val="none"/>
                <w:shd w:val="clear"/>
                <w:lang w:bidi="ar"/>
              </w:rPr>
              <w:t>系统集成测试、迁移测试及性能测</w:t>
            </w:r>
            <w:r>
              <w:rPr>
                <w:rFonts w:hint="eastAsia" w:ascii="宋体" w:hAnsi="宋体" w:cs="宋体"/>
                <w:color w:val="auto"/>
                <w:kern w:val="0"/>
                <w:szCs w:val="21"/>
                <w:highlight w:val="none"/>
                <w:lang w:bidi="ar"/>
              </w:rPr>
              <w:t>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4</w:t>
            </w:r>
          </w:p>
        </w:tc>
        <w:tc>
          <w:tcPr>
            <w:tcW w:w="2026"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试点验证</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szCs w:val="21"/>
                <w:highlight w:val="none"/>
              </w:rPr>
              <w:t>合同签订后10个月内部署并完成2个站点的试点验证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5</w:t>
            </w:r>
          </w:p>
        </w:tc>
        <w:tc>
          <w:tcPr>
            <w:tcW w:w="2026"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全省</w:t>
            </w:r>
            <w:r>
              <w:rPr>
                <w:rFonts w:hint="eastAsia" w:ascii="宋体" w:hAnsi="宋体" w:cs="宋体"/>
                <w:color w:val="auto"/>
                <w:kern w:val="0"/>
                <w:szCs w:val="21"/>
                <w:highlight w:val="none"/>
                <w:lang w:val="en-US" w:eastAsia="zh-CN" w:bidi="ar"/>
              </w:rPr>
              <w:t>推广及试运行</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2027年1季度完成全省推广及</w:t>
            </w:r>
            <w:r>
              <w:rPr>
                <w:rFonts w:hint="eastAsia" w:ascii="宋体" w:hAnsi="宋体" w:cs="宋体"/>
                <w:color w:val="auto"/>
                <w:kern w:val="0"/>
                <w:szCs w:val="21"/>
                <w:highlight w:val="none"/>
                <w:lang w:val="en-US" w:eastAsia="zh-CN" w:bidi="ar"/>
              </w:rPr>
              <w:t>所有站点均试运行满3个月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680" w:type="dxa"/>
            <w:shd w:val="clear" w:color="auto" w:fill="E8E8E8" w:themeFill="background2"/>
            <w:vAlign w:val="center"/>
          </w:tcPr>
          <w:p>
            <w:pPr>
              <w:widowControl/>
              <w:spacing w:after="62"/>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6</w:t>
            </w:r>
          </w:p>
        </w:tc>
        <w:tc>
          <w:tcPr>
            <w:tcW w:w="2026" w:type="dxa"/>
            <w:vAlign w:val="center"/>
          </w:tcPr>
          <w:p>
            <w:pPr>
              <w:widowControl/>
              <w:spacing w:after="62"/>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最终验收</w:t>
            </w:r>
          </w:p>
        </w:tc>
        <w:tc>
          <w:tcPr>
            <w:tcW w:w="1148" w:type="dxa"/>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现场</w:t>
            </w:r>
          </w:p>
        </w:tc>
        <w:tc>
          <w:tcPr>
            <w:tcW w:w="4665" w:type="dxa"/>
            <w:vAlign w:val="center"/>
          </w:tcPr>
          <w:p>
            <w:pPr>
              <w:widowControl/>
              <w:spacing w:after="62"/>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全省推广验收通过后1年</w:t>
            </w:r>
          </w:p>
        </w:tc>
      </w:tr>
    </w:tbl>
    <w:p>
      <w:pPr>
        <w:spacing w:after="62" w:line="360" w:lineRule="auto"/>
        <w:ind w:firstLine="422" w:firstLineChars="200"/>
        <w:rPr>
          <w:rFonts w:ascii="宋体" w:hAnsi="宋体" w:cs="宋体"/>
          <w:b/>
          <w:bCs/>
          <w:color w:val="auto"/>
          <w:szCs w:val="21"/>
          <w:highlight w:val="none"/>
        </w:rPr>
      </w:pPr>
    </w:p>
    <w:p>
      <w:pPr>
        <w:pStyle w:val="3"/>
        <w:numPr>
          <w:ilvl w:val="1"/>
          <w:numId w:val="5"/>
        </w:numPr>
        <w:spacing w:before="156" w:after="0" w:afterLines="0" w:line="360" w:lineRule="auto"/>
        <w:ind w:left="573" w:hanging="573"/>
        <w:rPr>
          <w:rFonts w:ascii="宋体" w:hAnsi="宋体" w:cs="宋体"/>
          <w:color w:val="auto"/>
          <w:szCs w:val="21"/>
          <w:highlight w:val="none"/>
        </w:rPr>
      </w:pPr>
      <w:bookmarkStart w:id="725" w:name="_Toc214973037"/>
      <w:bookmarkEnd w:id="725"/>
      <w:bookmarkStart w:id="726" w:name="_Toc214973029"/>
      <w:bookmarkEnd w:id="726"/>
      <w:bookmarkStart w:id="727" w:name="_Toc214973044"/>
      <w:bookmarkEnd w:id="727"/>
      <w:bookmarkStart w:id="728" w:name="_Toc214973041"/>
      <w:bookmarkEnd w:id="728"/>
      <w:bookmarkStart w:id="729" w:name="_Toc214973035"/>
      <w:bookmarkEnd w:id="729"/>
      <w:bookmarkStart w:id="730" w:name="_Toc214973027"/>
      <w:bookmarkEnd w:id="730"/>
      <w:bookmarkStart w:id="731" w:name="_Toc214973020"/>
      <w:bookmarkEnd w:id="731"/>
      <w:bookmarkStart w:id="732" w:name="_Toc214973039"/>
      <w:bookmarkEnd w:id="732"/>
      <w:bookmarkStart w:id="733" w:name="_Toc214973040"/>
      <w:bookmarkEnd w:id="733"/>
      <w:bookmarkStart w:id="734" w:name="_Toc214973033"/>
      <w:bookmarkEnd w:id="734"/>
      <w:bookmarkStart w:id="735" w:name="_Toc214973018"/>
      <w:bookmarkEnd w:id="735"/>
      <w:bookmarkStart w:id="736" w:name="_Toc214973023"/>
      <w:bookmarkEnd w:id="736"/>
      <w:bookmarkStart w:id="737" w:name="_Toc214973032"/>
      <w:bookmarkEnd w:id="737"/>
      <w:bookmarkStart w:id="738" w:name="_Toc214973034"/>
      <w:bookmarkEnd w:id="738"/>
      <w:bookmarkStart w:id="739" w:name="_Toc214973045"/>
      <w:bookmarkEnd w:id="739"/>
      <w:bookmarkStart w:id="740" w:name="_Toc214973024"/>
      <w:bookmarkEnd w:id="740"/>
      <w:bookmarkStart w:id="741" w:name="_Toc214973026"/>
      <w:bookmarkEnd w:id="741"/>
      <w:bookmarkStart w:id="742" w:name="_Toc214973038"/>
      <w:bookmarkEnd w:id="742"/>
      <w:bookmarkStart w:id="743" w:name="_Toc214973031"/>
      <w:bookmarkEnd w:id="743"/>
      <w:bookmarkStart w:id="744" w:name="_Toc214973025"/>
      <w:bookmarkEnd w:id="744"/>
      <w:bookmarkStart w:id="745" w:name="_Toc214973042"/>
      <w:bookmarkEnd w:id="745"/>
      <w:bookmarkStart w:id="746" w:name="_Toc214973021"/>
      <w:bookmarkEnd w:id="746"/>
      <w:bookmarkStart w:id="747" w:name="_Toc214973043"/>
      <w:bookmarkEnd w:id="747"/>
      <w:bookmarkStart w:id="748" w:name="_Toc214973036"/>
      <w:bookmarkEnd w:id="748"/>
      <w:bookmarkStart w:id="749" w:name="_Toc214973022"/>
      <w:bookmarkEnd w:id="749"/>
      <w:bookmarkStart w:id="750" w:name="_Toc214973019"/>
      <w:bookmarkEnd w:id="750"/>
      <w:bookmarkStart w:id="751" w:name="_Toc214973028"/>
      <w:bookmarkEnd w:id="751"/>
      <w:bookmarkStart w:id="752" w:name="_Toc214973030"/>
      <w:bookmarkEnd w:id="752"/>
      <w:bookmarkStart w:id="753" w:name="_Toc214973046"/>
      <w:bookmarkStart w:id="754" w:name="_Toc7571"/>
      <w:bookmarkStart w:id="755" w:name="_Toc26323"/>
      <w:r>
        <w:rPr>
          <w:rFonts w:hint="eastAsia" w:ascii="宋体" w:hAnsi="宋体" w:cs="宋体"/>
          <w:color w:val="auto"/>
          <w:szCs w:val="21"/>
          <w:highlight w:val="none"/>
        </w:rPr>
        <w:t>人员及驻场要求</w:t>
      </w:r>
      <w:bookmarkEnd w:id="753"/>
      <w:bookmarkEnd w:id="754"/>
      <w:bookmarkEnd w:id="755"/>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投标人应根据招标人项目功能及时间要求，合理安排项目进度及现场开发实施人员。为确保项目整体质量和响应及时性，</w:t>
      </w:r>
      <w:r>
        <w:rPr>
          <w:rFonts w:hint="eastAsia" w:ascii="宋体" w:hAnsi="宋体" w:cs="宋体"/>
          <w:b/>
          <w:color w:val="auto"/>
          <w:szCs w:val="21"/>
          <w:highlight w:val="none"/>
        </w:rPr>
        <w:t>项目全部人员必须提供现场技术服务</w:t>
      </w:r>
      <w:r>
        <w:rPr>
          <w:rFonts w:hint="eastAsia" w:ascii="宋体" w:hAnsi="宋体" w:cs="宋体"/>
          <w:color w:val="auto"/>
          <w:szCs w:val="21"/>
          <w:highlight w:val="none"/>
        </w:rPr>
        <w:t>，技术服务地点系招标人公司（杭州市西湖区紫荆花路36号浙能源力科创中心）。驻场项目队成员需全职服务本项目，且必须满足技术条款人员配置要求，招标人有权面试确定项目团队成员是否符合要求。如投标人的项目组成员不具有相应资质或不符合项目要求的，招标人有权要求投标人更换项目组成员。</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应针对本项目建立完整的项目组织体系并保证其有效运行。投标人应拥有一个完整的项目实施团队，包含实施本项目所必须的各类专业技术和管理人员，其中包括但不限于项目总负责人、现场项目经理以及业务顾问和技术人员。投标人拟选派的项目负责人应具有丰富的实践经验、较强的项目推动与沟通管理能力。项目团队全体成员均应具有良好的服务意识和正确的工作态度。</w:t>
      </w:r>
    </w:p>
    <w:p>
      <w:p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投标人在投标方案中提供的项目组织机构及人员安排应与中标后项目实施时的组织机构及人员安排一致。</w:t>
      </w:r>
    </w:p>
    <w:p>
      <w:pPr>
        <w:spacing w:after="0" w:afterLines="0" w:line="360" w:lineRule="auto"/>
        <w:ind w:firstLine="420"/>
        <w:rPr>
          <w:rFonts w:ascii="宋体" w:hAnsi="宋体" w:cs="宋体"/>
          <w:b/>
          <w:bCs/>
          <w:color w:val="auto"/>
          <w:szCs w:val="21"/>
          <w:highlight w:val="none"/>
        </w:rPr>
      </w:pPr>
      <w:r>
        <w:rPr>
          <w:rFonts w:hint="eastAsia" w:ascii="宋体" w:hAnsi="宋体" w:cs="宋体"/>
          <w:b/>
          <w:bCs/>
          <w:color w:val="auto"/>
          <w:szCs w:val="21"/>
          <w:highlight w:val="none"/>
        </w:rPr>
        <w:t>项目团队成员需满足以下要求：</w:t>
      </w:r>
    </w:p>
    <w:p>
      <w:pPr>
        <w:widowControl/>
        <w:numPr>
          <w:ilvl w:val="0"/>
          <w:numId w:val="21"/>
        </w:numPr>
        <w:spacing w:after="0" w:afterLines="0" w:line="360" w:lineRule="auto"/>
        <w:jc w:val="left"/>
        <w:rPr>
          <w:rFonts w:ascii="宋体" w:hAnsi="宋体" w:cs="宋体"/>
          <w:color w:val="auto"/>
          <w:szCs w:val="21"/>
          <w:highlight w:val="none"/>
          <w:lang w:bidi="ar"/>
        </w:rPr>
      </w:pPr>
      <w:r>
        <w:rPr>
          <w:rFonts w:hint="eastAsia" w:ascii="宋体" w:hAnsi="宋体" w:cs="宋体"/>
          <w:color w:val="auto"/>
          <w:szCs w:val="21"/>
          <w:highlight w:val="none"/>
          <w:lang w:eastAsia="zh" w:bidi="ar"/>
        </w:rPr>
        <w:t>产品经理、系统架构师、核心开发和技术人员须就职于投标人公司或其关联公司（指总分公司或母子公司，需提供相关证明材料），并提供社保证明。</w:t>
      </w:r>
    </w:p>
    <w:p>
      <w:pPr>
        <w:widowControl/>
        <w:numPr>
          <w:ilvl w:val="0"/>
          <w:numId w:val="21"/>
        </w:numPr>
        <w:spacing w:after="0" w:afterLines="0" w:line="360" w:lineRule="auto"/>
        <w:jc w:val="left"/>
        <w:rPr>
          <w:rFonts w:ascii="宋体" w:hAnsi="宋体" w:cs="宋体"/>
          <w:color w:val="auto"/>
          <w:szCs w:val="21"/>
          <w:highlight w:val="none"/>
          <w:lang w:bidi="ar"/>
        </w:rPr>
      </w:pPr>
      <w:r>
        <w:rPr>
          <w:rFonts w:hint="eastAsia" w:ascii="宋体" w:hAnsi="宋体" w:cs="宋体"/>
          <w:color w:val="auto"/>
          <w:szCs w:val="21"/>
          <w:highlight w:val="none"/>
          <w:lang w:bidi="ar"/>
        </w:rPr>
        <w:t>项目</w:t>
      </w:r>
      <w:r>
        <w:rPr>
          <w:rFonts w:hint="eastAsia" w:ascii="宋体" w:hAnsi="宋体" w:cs="宋体"/>
          <w:color w:val="auto"/>
          <w:szCs w:val="21"/>
          <w:highlight w:val="none"/>
          <w:lang w:eastAsia="zh" w:bidi="ar"/>
        </w:rPr>
        <w:t>团队</w:t>
      </w:r>
      <w:r>
        <w:rPr>
          <w:rFonts w:hint="eastAsia" w:ascii="宋体" w:hAnsi="宋体" w:cs="宋体"/>
          <w:color w:val="auto"/>
          <w:szCs w:val="21"/>
          <w:highlight w:val="none"/>
          <w:lang w:bidi="ar"/>
        </w:rPr>
        <w:t>成员均应具有</w:t>
      </w:r>
      <w:r>
        <w:rPr>
          <w:rFonts w:hint="eastAsia" w:ascii="宋体" w:hAnsi="宋体" w:cs="宋体"/>
          <w:color w:val="auto"/>
          <w:szCs w:val="21"/>
          <w:highlight w:val="none"/>
          <w:lang w:eastAsia="zh" w:bidi="ar"/>
        </w:rPr>
        <w:t>1</w:t>
      </w:r>
      <w:r>
        <w:rPr>
          <w:rFonts w:hint="eastAsia" w:ascii="宋体" w:hAnsi="宋体" w:cs="宋体"/>
          <w:color w:val="auto"/>
          <w:szCs w:val="21"/>
          <w:highlight w:val="none"/>
          <w:lang w:bidi="ar"/>
        </w:rPr>
        <w:t>年以上</w:t>
      </w:r>
      <w:r>
        <w:rPr>
          <w:rFonts w:hint="eastAsia" w:ascii="宋体" w:hAnsi="宋体" w:cs="宋体"/>
          <w:color w:val="auto"/>
          <w:szCs w:val="21"/>
          <w:highlight w:val="none"/>
          <w:lang w:eastAsia="zh" w:bidi="ar"/>
        </w:rPr>
        <w:t>所投产品</w:t>
      </w:r>
      <w:r>
        <w:rPr>
          <w:rFonts w:hint="eastAsia" w:ascii="宋体" w:hAnsi="宋体" w:cs="宋体"/>
          <w:color w:val="auto"/>
          <w:szCs w:val="21"/>
          <w:highlight w:val="none"/>
          <w:lang w:bidi="ar"/>
        </w:rPr>
        <w:t>实施经验。</w:t>
      </w:r>
    </w:p>
    <w:p>
      <w:pPr>
        <w:widowControl/>
        <w:numPr>
          <w:ilvl w:val="0"/>
          <w:numId w:val="21"/>
        </w:numPr>
        <w:spacing w:after="0" w:afterLines="0" w:line="360" w:lineRule="auto"/>
        <w:jc w:val="left"/>
        <w:rPr>
          <w:rFonts w:ascii="宋体" w:hAnsi="宋体" w:cs="宋体"/>
          <w:color w:val="auto"/>
          <w:szCs w:val="21"/>
          <w:highlight w:val="none"/>
          <w:lang w:bidi="ar"/>
        </w:rPr>
      </w:pPr>
      <w:r>
        <w:rPr>
          <w:rFonts w:hint="eastAsia" w:ascii="宋体" w:hAnsi="宋体" w:cs="宋体"/>
          <w:color w:val="auto"/>
          <w:szCs w:val="21"/>
          <w:highlight w:val="none"/>
          <w:lang w:bidi="ar"/>
        </w:rPr>
        <w:t>投标人应给出项目团队的成员清单（工作简历、资质证书、社保证明），未经招标人同意，投标人不得随意更换现场服务人员。如投标人单方面更换、调离项目</w:t>
      </w:r>
      <w:r>
        <w:rPr>
          <w:rFonts w:hint="eastAsia" w:ascii="宋体" w:hAnsi="宋体" w:cs="宋体"/>
          <w:color w:val="auto"/>
          <w:szCs w:val="21"/>
          <w:highlight w:val="none"/>
          <w:lang w:eastAsia="zh" w:bidi="ar"/>
        </w:rPr>
        <w:t>负责人</w:t>
      </w:r>
      <w:r>
        <w:rPr>
          <w:rFonts w:hint="eastAsia" w:ascii="宋体" w:hAnsi="宋体" w:cs="宋体"/>
          <w:color w:val="auto"/>
          <w:szCs w:val="21"/>
          <w:highlight w:val="none"/>
          <w:lang w:bidi="ar"/>
        </w:rPr>
        <w:t>，招标人有权终止合同</w:t>
      </w:r>
      <w:r>
        <w:rPr>
          <w:rFonts w:hint="eastAsia" w:ascii="宋体" w:hAnsi="宋体" w:cs="宋体"/>
          <w:color w:val="auto"/>
          <w:szCs w:val="21"/>
          <w:highlight w:val="none"/>
          <w:lang w:eastAsia="zh" w:bidi="ar"/>
        </w:rPr>
        <w:t>。</w:t>
      </w:r>
    </w:p>
    <w:p>
      <w:pPr>
        <w:widowControl/>
        <w:numPr>
          <w:ilvl w:val="0"/>
          <w:numId w:val="21"/>
        </w:numPr>
        <w:spacing w:after="0" w:afterLines="0" w:line="360" w:lineRule="auto"/>
        <w:jc w:val="left"/>
        <w:rPr>
          <w:rFonts w:ascii="宋体" w:hAnsi="宋体" w:cs="宋体"/>
          <w:color w:val="auto"/>
          <w:szCs w:val="21"/>
          <w:highlight w:val="none"/>
          <w:lang w:bidi="ar"/>
        </w:rPr>
      </w:pPr>
      <w:r>
        <w:rPr>
          <w:rFonts w:hint="eastAsia" w:ascii="宋体" w:hAnsi="宋体" w:cs="宋体"/>
          <w:color w:val="auto"/>
          <w:szCs w:val="21"/>
          <w:highlight w:val="none"/>
          <w:lang w:bidi="ar"/>
        </w:rPr>
        <w:t>若招标人认为投标人的人员不能胜任项目要求，有权要求投标人更换人员。投标人有责任在合理时间内更换人员，所发生的费用由投标人承担</w:t>
      </w:r>
      <w:r>
        <w:rPr>
          <w:rFonts w:hint="eastAsia" w:ascii="宋体" w:hAnsi="宋体" w:cs="宋体"/>
          <w:color w:val="auto"/>
          <w:szCs w:val="21"/>
          <w:highlight w:val="none"/>
          <w:lang w:eastAsia="zh" w:bidi="ar"/>
        </w:rPr>
        <w:t>。</w:t>
      </w:r>
    </w:p>
    <w:p>
      <w:pPr>
        <w:numPr>
          <w:ilvl w:val="0"/>
          <w:numId w:val="21"/>
        </w:numPr>
        <w:spacing w:after="0" w:afterLines="0" w:line="360" w:lineRule="auto"/>
        <w:rPr>
          <w:rFonts w:ascii="宋体" w:hAnsi="宋体" w:cs="宋体"/>
          <w:color w:val="auto"/>
          <w:szCs w:val="21"/>
          <w:highlight w:val="none"/>
        </w:rPr>
      </w:pPr>
      <w:r>
        <w:rPr>
          <w:rFonts w:hint="eastAsia" w:ascii="宋体" w:hAnsi="宋体" w:cs="宋体"/>
          <w:color w:val="auto"/>
          <w:szCs w:val="21"/>
          <w:highlight w:val="none"/>
          <w:lang w:bidi="ar"/>
        </w:rPr>
        <w:t>项目成员要求按项目阶段（项目启动至按项目进度要求进入服务期后3个月内）全程现场参与实施。项目合同期内，除非招标人提出要求，否则投标人不得更换项目负责人。其他项目成员在本项目工作期间应保持稳定和连续，原则上不能进行项目人员变动。特殊情况下投标人需要变动人员的，必须事先得到招标人的书面认可。新任人员必须在工作资历、业务经验等方面优于被替换的人员。</w:t>
      </w:r>
    </w:p>
    <w:p>
      <w:pPr>
        <w:numPr>
          <w:ilvl w:val="0"/>
          <w:numId w:val="21"/>
        </w:numPr>
        <w:spacing w:after="0" w:afterLines="0" w:line="360" w:lineRule="auto"/>
        <w:rPr>
          <w:rFonts w:ascii="宋体" w:hAnsi="宋体" w:cs="宋体"/>
          <w:color w:val="auto"/>
          <w:szCs w:val="21"/>
          <w:highlight w:val="none"/>
          <w:lang w:bidi="ar"/>
        </w:rPr>
      </w:pPr>
      <w:r>
        <w:rPr>
          <w:rFonts w:hint="eastAsia" w:ascii="宋体" w:hAnsi="宋体" w:cs="宋体"/>
          <w:color w:val="auto"/>
          <w:szCs w:val="21"/>
          <w:highlight w:val="none"/>
          <w:lang w:bidi="ar"/>
        </w:rPr>
        <w:t>项目人员配置不低于</w:t>
      </w:r>
      <w:r>
        <w:rPr>
          <w:rFonts w:hint="eastAsia" w:ascii="宋体" w:hAnsi="宋体" w:cs="宋体"/>
          <w:color w:val="auto"/>
          <w:szCs w:val="21"/>
          <w:highlight w:val="none"/>
          <w:lang w:val="en-US" w:eastAsia="zh-CN" w:bidi="ar"/>
        </w:rPr>
        <w:t>31</w:t>
      </w:r>
      <w:r>
        <w:rPr>
          <w:rFonts w:hint="eastAsia" w:ascii="宋体" w:hAnsi="宋体" w:cs="宋体"/>
          <w:color w:val="auto"/>
          <w:szCs w:val="21"/>
          <w:highlight w:val="none"/>
          <w:lang w:bidi="ar"/>
        </w:rPr>
        <w:t>人，具体要求见下表：</w:t>
      </w:r>
    </w:p>
    <w:tbl>
      <w:tblPr>
        <w:tblStyle w:val="3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6"/>
        <w:gridCol w:w="2567"/>
        <w:gridCol w:w="2653"/>
        <w:gridCol w:w="1161"/>
        <w:gridCol w:w="10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620" w:type="pct"/>
            <w:shd w:val="clear" w:color="auto" w:fill="E8E8E8" w:themeFill="background2"/>
            <w:vAlign w:val="center"/>
          </w:tcPr>
          <w:p>
            <w:pPr>
              <w:spacing w:after="0" w:afterLines="0" w:line="240" w:lineRule="auto"/>
              <w:jc w:val="center"/>
              <w:rPr>
                <w:rFonts w:ascii="宋体" w:hAnsi="宋体" w:cs="宋体"/>
                <w:color w:val="auto"/>
                <w:szCs w:val="21"/>
                <w:highlight w:val="none"/>
                <w:lang w:eastAsia="zh"/>
              </w:rPr>
            </w:pPr>
            <w:r>
              <w:rPr>
                <w:rFonts w:hint="eastAsia" w:ascii="宋体" w:hAnsi="宋体" w:cs="宋体"/>
                <w:color w:val="auto"/>
                <w:szCs w:val="21"/>
                <w:highlight w:val="none"/>
                <w:lang w:eastAsia="zh"/>
              </w:rPr>
              <w:t>人员岗位</w:t>
            </w:r>
          </w:p>
        </w:tc>
        <w:tc>
          <w:tcPr>
            <w:tcW w:w="1506" w:type="pct"/>
            <w:shd w:val="clear" w:color="auto" w:fill="E8E8E8" w:themeFill="background2"/>
            <w:vAlign w:val="center"/>
          </w:tcPr>
          <w:p>
            <w:pPr>
              <w:spacing w:after="0" w:afterLines="0" w:line="240" w:lineRule="auto"/>
              <w:jc w:val="center"/>
              <w:rPr>
                <w:rFonts w:ascii="宋体" w:hAnsi="宋体" w:cs="宋体"/>
                <w:b/>
                <w:color w:val="auto"/>
                <w:szCs w:val="21"/>
                <w:highlight w:val="none"/>
              </w:rPr>
            </w:pPr>
            <w:r>
              <w:rPr>
                <w:rFonts w:hint="eastAsia" w:ascii="宋体" w:hAnsi="宋体" w:cs="宋体"/>
                <w:b/>
                <w:color w:val="auto"/>
                <w:szCs w:val="21"/>
                <w:highlight w:val="none"/>
              </w:rPr>
              <w:t>岗位职责</w:t>
            </w:r>
          </w:p>
        </w:tc>
        <w:tc>
          <w:tcPr>
            <w:tcW w:w="1557" w:type="pct"/>
            <w:shd w:val="clear" w:color="auto" w:fill="E8E8E8" w:themeFill="background2"/>
            <w:vAlign w:val="center"/>
          </w:tcPr>
          <w:p>
            <w:pPr>
              <w:spacing w:after="0" w:afterLines="0" w:line="240" w:lineRule="auto"/>
              <w:jc w:val="center"/>
              <w:rPr>
                <w:rFonts w:ascii="宋体" w:hAnsi="宋体" w:cs="宋体"/>
                <w:b/>
                <w:color w:val="auto"/>
                <w:szCs w:val="21"/>
                <w:highlight w:val="none"/>
              </w:rPr>
            </w:pPr>
            <w:r>
              <w:rPr>
                <w:rFonts w:hint="eastAsia" w:ascii="宋体" w:hAnsi="宋体" w:cs="宋体"/>
                <w:b/>
                <w:color w:val="auto"/>
                <w:szCs w:val="21"/>
                <w:highlight w:val="none"/>
              </w:rPr>
              <w:t>具备技能</w:t>
            </w:r>
          </w:p>
        </w:tc>
        <w:tc>
          <w:tcPr>
            <w:tcW w:w="679" w:type="pct"/>
            <w:shd w:val="clear" w:color="auto" w:fill="E8E8E8" w:themeFill="background2"/>
            <w:vAlign w:val="center"/>
          </w:tcPr>
          <w:p>
            <w:pPr>
              <w:spacing w:after="0" w:afterLines="0" w:line="240" w:lineRule="auto"/>
              <w:jc w:val="center"/>
              <w:rPr>
                <w:rFonts w:ascii="宋体" w:hAnsi="宋体" w:cs="宋体"/>
                <w:b/>
                <w:color w:val="auto"/>
                <w:szCs w:val="21"/>
                <w:highlight w:val="none"/>
              </w:rPr>
            </w:pPr>
            <w:r>
              <w:rPr>
                <w:rFonts w:hint="eastAsia" w:ascii="宋体" w:hAnsi="宋体" w:cs="宋体"/>
                <w:b/>
                <w:color w:val="auto"/>
                <w:szCs w:val="21"/>
                <w:highlight w:val="none"/>
              </w:rPr>
              <w:t>是否必须</w:t>
            </w:r>
          </w:p>
        </w:tc>
        <w:tc>
          <w:tcPr>
            <w:tcW w:w="635" w:type="pct"/>
            <w:shd w:val="clear" w:color="auto" w:fill="E8E8E8" w:themeFill="background2"/>
            <w:vAlign w:val="center"/>
          </w:tcPr>
          <w:p>
            <w:pPr>
              <w:spacing w:after="0" w:afterLines="0" w:line="240" w:lineRule="auto"/>
              <w:jc w:val="center"/>
              <w:rPr>
                <w:rFonts w:ascii="宋体" w:hAnsi="宋体" w:cs="宋体"/>
                <w:b/>
                <w:color w:val="auto"/>
                <w:szCs w:val="21"/>
                <w:highlight w:val="none"/>
              </w:rPr>
            </w:pPr>
            <w:r>
              <w:rPr>
                <w:rFonts w:hint="eastAsia" w:ascii="宋体" w:hAnsi="宋体" w:cs="宋体"/>
                <w:b/>
                <w:color w:val="auto"/>
                <w:szCs w:val="21"/>
                <w:highlight w:val="none"/>
              </w:rPr>
              <w:t>最低人数需求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hint="eastAsia" w:ascii="宋体" w:hAnsi="宋体" w:eastAsia="宋体" w:cs="宋体"/>
                <w:color w:val="auto"/>
                <w:szCs w:val="21"/>
                <w:highlight w:val="none"/>
                <w:lang w:eastAsia="zh-CN"/>
              </w:rPr>
            </w:pPr>
            <w:r>
              <w:rPr>
                <w:rFonts w:hint="eastAsia" w:ascii="宋体" w:hAnsi="宋体" w:cs="宋体"/>
                <w:color w:val="auto"/>
                <w:kern w:val="0"/>
                <w:szCs w:val="21"/>
                <w:highlight w:val="none"/>
                <w:lang w:bidi="ar"/>
              </w:rPr>
              <w:t>项目</w:t>
            </w:r>
            <w:r>
              <w:rPr>
                <w:rFonts w:hint="eastAsia" w:ascii="宋体" w:hAnsi="宋体" w:cs="宋体"/>
                <w:color w:val="auto"/>
                <w:kern w:val="0"/>
                <w:szCs w:val="21"/>
                <w:highlight w:val="none"/>
                <w:lang w:val="en-US" w:eastAsia="zh-CN" w:bidi="ar"/>
              </w:rPr>
              <w:t>负责人</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软件项目总监负责全面管理项目，包括制定计划、组建团队、把控进度与质量、协调资源、沟通客户、技术选型与决策，以及处理风险与危机。</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十年以上项目</w:t>
            </w:r>
            <w:r>
              <w:rPr>
                <w:rFonts w:hint="eastAsia" w:ascii="宋体" w:hAnsi="宋体" w:cs="宋体"/>
                <w:color w:val="auto"/>
                <w:kern w:val="0"/>
                <w:szCs w:val="21"/>
                <w:highlight w:val="none"/>
                <w:lang w:val="en-US" w:eastAsia="zh-CN" w:bidi="ar"/>
              </w:rPr>
              <w:t>负责人</w:t>
            </w:r>
            <w:r>
              <w:rPr>
                <w:rFonts w:hint="eastAsia" w:ascii="宋体" w:hAnsi="宋体" w:cs="宋体"/>
                <w:color w:val="auto"/>
                <w:kern w:val="0"/>
                <w:szCs w:val="21"/>
                <w:highlight w:val="none"/>
                <w:lang w:bidi="ar"/>
              </w:rPr>
              <w:t>经验，扎实的项目管理能力、卓越的团队领导与沟通能力、敏锐的风险洞察与应对能力，确保项目高效推进并满足客户需求。</w:t>
            </w:r>
          </w:p>
        </w:tc>
        <w:tc>
          <w:tcPr>
            <w:tcW w:w="679" w:type="pct"/>
            <w:vAlign w:val="center"/>
          </w:tcPr>
          <w:p>
            <w:pPr>
              <w:widowControl/>
              <w:spacing w:after="62"/>
              <w:jc w:val="left"/>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产品经理</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负责</w:t>
            </w:r>
            <w:r>
              <w:rPr>
                <w:rFonts w:hint="eastAsia" w:ascii="宋体" w:hAnsi="宋体" w:cs="宋体"/>
                <w:color w:val="auto"/>
                <w:kern w:val="0"/>
                <w:szCs w:val="21"/>
                <w:highlight w:val="none"/>
                <w:lang w:val="en-US" w:eastAsia="zh-CN" w:bidi="ar"/>
              </w:rPr>
              <w:t>综合</w:t>
            </w:r>
            <w:r>
              <w:rPr>
                <w:rFonts w:hint="eastAsia" w:ascii="宋体" w:hAnsi="宋体" w:cs="宋体"/>
                <w:color w:val="auto"/>
                <w:kern w:val="0"/>
                <w:szCs w:val="21"/>
                <w:highlight w:val="none"/>
                <w:lang w:bidi="ar"/>
              </w:rPr>
              <w:t>供能站站端系统的产品规划、设计和优化工作，确保产品满足业务需求并提升用户体验。与业务部门和技术团队紧密合作，收集并分析用户需求，制定产品功能迭代计划。跟踪产品开发进度，协调资源以保证项目按时交付，并在上线后持续收集反馈进行优化。</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val="en-US" w:eastAsia="zh-CN" w:bidi="ar"/>
              </w:rPr>
              <w:t>五</w:t>
            </w:r>
            <w:r>
              <w:rPr>
                <w:rFonts w:hint="eastAsia" w:ascii="宋体" w:hAnsi="宋体" w:cs="宋体"/>
                <w:color w:val="auto"/>
                <w:kern w:val="0"/>
                <w:szCs w:val="21"/>
                <w:highlight w:val="none"/>
                <w:lang w:bidi="ar"/>
              </w:rPr>
              <w:t>年以上产品经理相关工作经验，熟悉软件产品生命周期管理。具备良好的逻辑思维能力和数据分析能力，能够将复杂业务需求转化为清晰的产品设计方案。熟练使用产品设计工具（如Axure、Sketch），并对前端或后端技术有一定了解。具有较强的沟通能力和团队协作精神，能够在多部门间高效推进项目。</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硬件系统架构师</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负责硬件系统的设计和架构工作，包括硬件选型、系统集成和性能优化；制定硬件开发的技术路线和方案，确保系统的可靠性和可扩展性。</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五年以上硬件设计相关工作经验，熟悉嵌入式系统开发及硬件调试工具；具备扎实的电子电路基础知识，能够独立完成硬件原理图和PCB设计；熟悉主流硬件平台和接口协议，如ARM、FPGA等</w:t>
            </w:r>
            <w:r>
              <w:rPr>
                <w:rFonts w:hint="eastAsia" w:ascii="宋体" w:hAnsi="宋体" w:cs="宋体"/>
                <w:color w:val="auto"/>
                <w:kern w:val="0"/>
                <w:szCs w:val="21"/>
                <w:highlight w:val="none"/>
                <w:lang w:eastAsia="zh-CN" w:bidi="ar"/>
              </w:rPr>
              <w:t>，具</w:t>
            </w:r>
            <w:r>
              <w:rPr>
                <w:rFonts w:hint="eastAsia" w:ascii="宋体" w:hAnsi="宋体" w:cs="宋体"/>
                <w:color w:val="auto"/>
                <w:kern w:val="0"/>
                <w:szCs w:val="21"/>
                <w:highlight w:val="none"/>
                <w:lang w:bidi="ar"/>
              </w:rPr>
              <w:t>有较强的团队协作和技术文档编写能力。</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软件系统架构师</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负责软件系统整体架构的设计与优化，制定技术规范和标准；主导关键技术问题的解决，保障系统的高性能和高可用性；指导开发团队进行代码实现和技术攻关。</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五年以上软件开发经验，精通分布式系统设计和微服务架构；熟悉云计算平台（如AWS、Azure）及相关技术栈；具备良好的抽象思维能力和技术前瞻性，能够根据业务需求设计灵活且高效的解决方案。</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数据架构师</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负责企业级数据架构的设计与实施，包括数据模型、数据流和存储方案的规划；推动数据治理和数据质量管理，确保数据的安全性和一致性；支持大数据分析和挖掘工作。</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val="en-US" w:eastAsia="zh-CN" w:bidi="ar"/>
              </w:rPr>
              <w:t>五</w:t>
            </w:r>
            <w:r>
              <w:rPr>
                <w:rFonts w:hint="eastAsia" w:ascii="宋体" w:hAnsi="宋体" w:cs="宋体"/>
                <w:color w:val="auto"/>
                <w:kern w:val="0"/>
                <w:szCs w:val="21"/>
                <w:highlight w:val="none"/>
                <w:lang w:bidi="ar"/>
              </w:rPr>
              <w:t>年以上数据架构或数据工程相关经验，熟悉数据仓库和ETL流程；掌握主流数据库技术和大数据处理框架（如Hadoop、Spark）；具备优秀的逻辑分析能力，能高效解决复杂的数据问题。</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技术经理</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领导和管理软件项目的开发工作。制定项目开发计划，合理安排项目组内开发资源，并进行开发质量跟踪、监控及带领团队解决开发问题。</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五年以上相关工作经验，深厚的技术背景；良好的沟通和协调能力，熟悉微服务架构及某一主流开发语言，如 java、python，具备将业务方案</w:t>
            </w:r>
            <w:r>
              <w:rPr>
                <w:rFonts w:hint="eastAsia" w:ascii="宋体" w:hAnsi="宋体" w:cs="宋体"/>
                <w:color w:val="auto"/>
                <w:kern w:val="0"/>
                <w:szCs w:val="21"/>
                <w:highlight w:val="none"/>
                <w:lang w:eastAsia="zh-CN" w:bidi="ar"/>
              </w:rPr>
              <w:t>转为</w:t>
            </w:r>
            <w:r>
              <w:rPr>
                <w:rFonts w:hint="eastAsia" w:ascii="宋体" w:hAnsi="宋体" w:cs="宋体"/>
                <w:color w:val="auto"/>
                <w:kern w:val="0"/>
                <w:szCs w:val="21"/>
                <w:highlight w:val="none"/>
                <w:lang w:bidi="ar"/>
              </w:rPr>
              <w:t>技术实施方案能力，并能有效指导技术方案落地和执行。</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bookmarkStart w:id="756" w:name="_Toc20567"/>
            <w:bookmarkStart w:id="757" w:name="_Toc8131"/>
            <w:bookmarkStart w:id="758" w:name="_Toc9793"/>
            <w:bookmarkStart w:id="759" w:name="_Toc6693"/>
            <w:bookmarkStart w:id="760" w:name="_Toc22278"/>
            <w:bookmarkStart w:id="761" w:name="_Toc8227"/>
            <w:bookmarkStart w:id="762" w:name="_Toc5266"/>
            <w:bookmarkStart w:id="763" w:name="_Toc25191"/>
            <w:bookmarkStart w:id="764" w:name="_Toc9394"/>
            <w:bookmarkStart w:id="765" w:name="_Toc20381"/>
            <w:bookmarkStart w:id="766" w:name="_Toc176784331"/>
            <w:bookmarkStart w:id="767" w:name="_Toc13417"/>
            <w:bookmarkStart w:id="768" w:name="_Toc26876"/>
            <w:bookmarkStart w:id="769" w:name="_Toc22732"/>
            <w:bookmarkStart w:id="770" w:name="_Toc214973050"/>
            <w:bookmarkStart w:id="771" w:name="_Toc22545"/>
            <w:bookmarkStart w:id="772" w:name="_Toc16246"/>
            <w:bookmarkStart w:id="773" w:name="_Toc21944"/>
            <w:bookmarkStart w:id="774" w:name="_Toc10169"/>
            <w:bookmarkStart w:id="775" w:name="_Toc1936"/>
            <w:bookmarkStart w:id="776" w:name="_Toc7977"/>
            <w:bookmarkStart w:id="777" w:name="_Toc2987"/>
            <w:bookmarkStart w:id="778" w:name="_Toc28733"/>
            <w:bookmarkStart w:id="779" w:name="_Toc28000"/>
            <w:bookmarkStart w:id="780" w:name="_Toc7091"/>
            <w:bookmarkStart w:id="781" w:name="_Toc30521"/>
            <w:bookmarkStart w:id="782" w:name="_Toc1431"/>
            <w:bookmarkStart w:id="783" w:name="_Toc21344"/>
            <w:bookmarkStart w:id="784" w:name="_Toc26370"/>
            <w:bookmarkStart w:id="785" w:name="_Toc31510"/>
            <w:bookmarkStart w:id="786" w:name="_Toc32715"/>
            <w:bookmarkStart w:id="787" w:name="_Toc1336893824"/>
            <w:bookmarkStart w:id="788" w:name="_Toc16026"/>
            <w:bookmarkStart w:id="789" w:name="_Toc24693"/>
            <w:bookmarkStart w:id="790" w:name="_Toc21470"/>
            <w:bookmarkStart w:id="791" w:name="_Toc17609"/>
            <w:bookmarkStart w:id="792" w:name="_Toc4649"/>
            <w:bookmarkStart w:id="793" w:name="_Toc9959"/>
            <w:bookmarkStart w:id="794" w:name="_Toc28903"/>
            <w:bookmarkStart w:id="795" w:name="_Toc31166"/>
            <w:bookmarkStart w:id="796" w:name="_Toc23251"/>
            <w:bookmarkStart w:id="797" w:name="_Toc3833"/>
            <w:bookmarkStart w:id="798" w:name="_Toc18500"/>
            <w:bookmarkStart w:id="799" w:name="_Toc1230"/>
            <w:bookmarkStart w:id="800" w:name="_Toc74161978"/>
            <w:bookmarkStart w:id="801" w:name="_Toc315"/>
            <w:bookmarkStart w:id="802" w:name="_Toc25127"/>
            <w:bookmarkStart w:id="803" w:name="_Toc26822"/>
            <w:bookmarkStart w:id="804" w:name="_Toc5502"/>
            <w:bookmarkStart w:id="805" w:name="_Toc13895"/>
            <w:r>
              <w:rPr>
                <w:rFonts w:hint="eastAsia" w:ascii="宋体" w:hAnsi="宋体" w:cs="宋体"/>
                <w:color w:val="auto"/>
                <w:kern w:val="0"/>
                <w:szCs w:val="21"/>
                <w:highlight w:val="none"/>
                <w:lang w:bidi="ar"/>
              </w:rPr>
              <w:t>后端开发工程师</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开发和维护后端服务，包括 API、数据处理和存储；与前端开发人员协作，确保前后端接口的正确实现。</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三年以上系统后端开发相关工作经验，熟悉某一类数据库包含不限于关系型数据库（如 oracle、PostgreSQL、MySQL）。</w:t>
            </w:r>
          </w:p>
        </w:tc>
        <w:tc>
          <w:tcPr>
            <w:tcW w:w="679" w:type="pct"/>
            <w:vAlign w:val="center"/>
          </w:tcPr>
          <w:p>
            <w:pPr>
              <w:widowControl/>
              <w:spacing w:after="62"/>
              <w:jc w:val="left"/>
              <w:textAlignment w:val="center"/>
              <w:rPr>
                <w:rFonts w:hint="eastAsia" w:ascii="宋体" w:hAnsi="宋体" w:eastAsia="宋体" w:cs="宋体"/>
                <w:color w:val="auto"/>
                <w:szCs w:val="21"/>
                <w:highlight w:val="none"/>
                <w:lang w:eastAsia="zh-CN"/>
              </w:rPr>
            </w:pPr>
            <w:r>
              <w:rPr>
                <w:rFonts w:hint="eastAsia" w:ascii="宋体" w:hAnsi="宋体" w:cs="宋体"/>
                <w:color w:val="auto"/>
                <w:kern w:val="0"/>
                <w:szCs w:val="21"/>
                <w:highlight w:val="none"/>
                <w:lang w:val="en-US" w:eastAsia="zh-CN"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1</w:t>
            </w:r>
            <w:r>
              <w:rPr>
                <w:rFonts w:hint="eastAsia" w:ascii="宋体" w:hAnsi="宋体" w:cs="宋体"/>
                <w:color w:val="auto"/>
                <w:kern w:val="0"/>
                <w:szCs w:val="21"/>
                <w:highlight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前端开发工程师</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开发和维护用户界面，确保良好的用户体验</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三年以上系统前端相关工作经验，熟悉前端开发技术（HTML、CSS、JavaScript）；熟悉至少一种前端框架（如 Vue.js、Angular）。</w:t>
            </w:r>
          </w:p>
        </w:tc>
        <w:tc>
          <w:tcPr>
            <w:tcW w:w="679" w:type="pct"/>
            <w:vAlign w:val="center"/>
          </w:tcPr>
          <w:p>
            <w:pPr>
              <w:widowControl/>
              <w:spacing w:after="62"/>
              <w:jc w:val="left"/>
              <w:textAlignment w:val="center"/>
              <w:rPr>
                <w:rFonts w:hint="eastAsia" w:ascii="宋体" w:hAnsi="宋体" w:eastAsia="宋体" w:cs="宋体"/>
                <w:color w:val="auto"/>
                <w:szCs w:val="21"/>
                <w:highlight w:val="none"/>
                <w:lang w:eastAsia="zh-CN"/>
              </w:rPr>
            </w:pPr>
            <w:r>
              <w:rPr>
                <w:rFonts w:hint="eastAsia" w:ascii="宋体" w:hAnsi="宋体" w:cs="宋体"/>
                <w:color w:val="auto"/>
                <w:kern w:val="0"/>
                <w:szCs w:val="21"/>
                <w:highlight w:val="none"/>
                <w:lang w:val="en-US" w:eastAsia="zh-CN"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shd w:val="clear" w:color="auto" w:fill="E8E8E8" w:themeFill="background2"/>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测试工程师（含性能测试）</w:t>
            </w:r>
          </w:p>
        </w:tc>
        <w:tc>
          <w:tcPr>
            <w:tcW w:w="1506"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设计和执行测试计划，确保系统的质量和稳定性；进行单元测试、集成测试和系统测试。</w:t>
            </w:r>
          </w:p>
        </w:tc>
        <w:tc>
          <w:tcPr>
            <w:tcW w:w="1557"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两年以上相关工作经验，熟悉软件</w:t>
            </w:r>
            <w:r>
              <w:rPr>
                <w:rFonts w:hint="eastAsia" w:ascii="宋体" w:hAnsi="宋体" w:cs="宋体"/>
                <w:color w:val="auto"/>
                <w:kern w:val="0"/>
                <w:szCs w:val="21"/>
                <w:highlight w:val="none"/>
                <w:lang w:bidi="ar"/>
              </w:rPr>
              <w:br w:type="textWrapping"/>
            </w:r>
            <w:r>
              <w:rPr>
                <w:rFonts w:hint="eastAsia" w:ascii="宋体" w:hAnsi="宋体" w:cs="宋体"/>
                <w:color w:val="auto"/>
                <w:kern w:val="0"/>
                <w:szCs w:val="21"/>
                <w:highlight w:val="none"/>
                <w:lang w:bidi="ar"/>
              </w:rPr>
              <w:t>测试方法和工具；良好的问题分析</w:t>
            </w:r>
            <w:r>
              <w:rPr>
                <w:rFonts w:hint="eastAsia" w:ascii="宋体" w:hAnsi="宋体" w:cs="宋体"/>
                <w:color w:val="auto"/>
                <w:kern w:val="0"/>
                <w:szCs w:val="21"/>
                <w:highlight w:val="none"/>
                <w:lang w:bidi="ar"/>
              </w:rPr>
              <w:br w:type="textWrapping"/>
            </w:r>
            <w:r>
              <w:rPr>
                <w:rFonts w:hint="eastAsia" w:ascii="宋体" w:hAnsi="宋体" w:cs="宋体"/>
                <w:color w:val="auto"/>
                <w:kern w:val="0"/>
                <w:szCs w:val="21"/>
                <w:highlight w:val="none"/>
                <w:lang w:bidi="ar"/>
              </w:rPr>
              <w:t>和解决能力；了解自动化测试工具</w:t>
            </w:r>
            <w:r>
              <w:rPr>
                <w:rFonts w:hint="eastAsia" w:ascii="宋体" w:hAnsi="宋体" w:cs="宋体"/>
                <w:color w:val="auto"/>
                <w:kern w:val="0"/>
                <w:szCs w:val="21"/>
                <w:highlight w:val="none"/>
                <w:lang w:bidi="ar"/>
              </w:rPr>
              <w:br w:type="textWrapping"/>
            </w:r>
            <w:r>
              <w:rPr>
                <w:rFonts w:hint="eastAsia" w:ascii="宋体" w:hAnsi="宋体" w:cs="宋体"/>
                <w:color w:val="auto"/>
                <w:kern w:val="0"/>
                <w:szCs w:val="21"/>
                <w:highlight w:val="none"/>
                <w:lang w:bidi="ar"/>
              </w:rPr>
              <w:t>（如 Selenium、JMeter）。</w:t>
            </w:r>
          </w:p>
        </w:tc>
        <w:tc>
          <w:tcPr>
            <w:tcW w:w="679" w:type="pct"/>
            <w:vAlign w:val="center"/>
          </w:tcPr>
          <w:p>
            <w:pPr>
              <w:widowControl/>
              <w:spacing w:after="62"/>
              <w:jc w:val="left"/>
              <w:textAlignment w:val="center"/>
              <w:rPr>
                <w:rFonts w:ascii="宋体" w:hAnsi="宋体" w:cs="宋体"/>
                <w:color w:val="auto"/>
                <w:szCs w:val="21"/>
                <w:highlight w:val="none"/>
                <w:lang w:eastAsia="zh"/>
              </w:rPr>
            </w:pPr>
            <w:r>
              <w:rPr>
                <w:rFonts w:hint="eastAsia" w:ascii="宋体" w:hAnsi="宋体" w:cs="宋体"/>
                <w:color w:val="auto"/>
                <w:kern w:val="0"/>
                <w:szCs w:val="21"/>
                <w:highlight w:val="none"/>
                <w:lang w:bidi="ar"/>
              </w:rPr>
              <w:t>是</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64" w:type="pct"/>
            <w:gridSpan w:val="4"/>
            <w:shd w:val="clear" w:color="auto" w:fill="E8E8E8" w:themeFill="background2"/>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bidi="ar"/>
              </w:rPr>
              <w:t>合计</w:t>
            </w:r>
          </w:p>
        </w:tc>
        <w:tc>
          <w:tcPr>
            <w:tcW w:w="635" w:type="pct"/>
            <w:vAlign w:val="center"/>
          </w:tcPr>
          <w:p>
            <w:pPr>
              <w:widowControl/>
              <w:spacing w:after="62"/>
              <w:jc w:val="center"/>
              <w:textAlignment w:val="center"/>
              <w:rPr>
                <w:rFonts w:ascii="宋体" w:hAnsi="宋体" w:cs="宋体"/>
                <w:color w:val="auto"/>
                <w:kern w:val="0"/>
                <w:szCs w:val="21"/>
                <w:highlight w:val="none"/>
                <w:lang w:bidi="ar"/>
              </w:rPr>
            </w:pPr>
            <w:r>
              <w:rPr>
                <w:rFonts w:hint="eastAsia" w:ascii="宋体" w:hAnsi="宋体" w:cs="宋体"/>
                <w:color w:val="auto"/>
                <w:kern w:val="0"/>
                <w:szCs w:val="21"/>
                <w:highlight w:val="none"/>
                <w:lang w:val="en-US" w:eastAsia="zh-CN" w:bidi="ar"/>
              </w:rPr>
              <w:t>31</w:t>
            </w:r>
          </w:p>
        </w:tc>
      </w:t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tbl>
    <w:p>
      <w:pPr>
        <w:pStyle w:val="2"/>
        <w:numPr>
          <w:ilvl w:val="0"/>
          <w:numId w:val="5"/>
        </w:numPr>
        <w:spacing w:before="156" w:after="0" w:afterLines="0" w:line="360" w:lineRule="auto"/>
        <w:ind w:left="431" w:hanging="431"/>
        <w:rPr>
          <w:rFonts w:ascii="宋体" w:hAnsi="宋体" w:cs="宋体"/>
          <w:color w:val="auto"/>
          <w:sz w:val="21"/>
          <w:szCs w:val="21"/>
          <w:highlight w:val="none"/>
        </w:rPr>
      </w:pPr>
      <w:bookmarkStart w:id="806" w:name="_Toc21239"/>
      <w:bookmarkStart w:id="807" w:name="_Toc26808"/>
      <w:r>
        <w:rPr>
          <w:rFonts w:hint="eastAsia" w:ascii="宋体" w:hAnsi="宋体" w:cs="宋体"/>
          <w:color w:val="auto"/>
          <w:sz w:val="21"/>
          <w:szCs w:val="21"/>
          <w:highlight w:val="none"/>
        </w:rPr>
        <w:t>项目实施</w:t>
      </w:r>
      <w:bookmarkEnd w:id="642"/>
      <w:r>
        <w:rPr>
          <w:rFonts w:hint="eastAsia" w:ascii="宋体" w:hAnsi="宋体" w:cs="宋体"/>
          <w:color w:val="auto"/>
          <w:sz w:val="21"/>
          <w:szCs w:val="21"/>
          <w:highlight w:val="none"/>
        </w:rPr>
        <w:t>服务</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p>
    <w:p>
      <w:pPr>
        <w:pStyle w:val="3"/>
        <w:numPr>
          <w:ilvl w:val="1"/>
          <w:numId w:val="5"/>
        </w:numPr>
        <w:spacing w:before="0" w:beforeLines="0" w:after="0" w:afterLines="0" w:line="360" w:lineRule="auto"/>
        <w:rPr>
          <w:rFonts w:ascii="宋体" w:hAnsi="宋体" w:cs="宋体"/>
          <w:color w:val="auto"/>
          <w:szCs w:val="21"/>
          <w:highlight w:val="none"/>
        </w:rPr>
      </w:pPr>
      <w:bookmarkStart w:id="808" w:name="_Toc12350"/>
      <w:bookmarkStart w:id="809" w:name="_Toc4360"/>
      <w:bookmarkStart w:id="810" w:name="_Toc214973051"/>
      <w:bookmarkStart w:id="811" w:name="_Toc21689"/>
      <w:bookmarkStart w:id="812" w:name="_Toc17894"/>
      <w:r>
        <w:rPr>
          <w:rFonts w:hint="eastAsia" w:ascii="宋体" w:hAnsi="宋体" w:cs="宋体"/>
          <w:color w:val="auto"/>
          <w:szCs w:val="21"/>
          <w:highlight w:val="none"/>
        </w:rPr>
        <w:t>项目实施方案要求</w:t>
      </w:r>
      <w:bookmarkEnd w:id="808"/>
      <w:bookmarkEnd w:id="809"/>
      <w:bookmarkEnd w:id="810"/>
      <w:bookmarkEnd w:id="811"/>
      <w:bookmarkEnd w:id="812"/>
    </w:p>
    <w:p>
      <w:pPr>
        <w:pStyle w:val="118"/>
        <w:adjustRightInd w:val="0"/>
        <w:snapToGrid w:val="0"/>
        <w:spacing w:before="0" w:after="0"/>
        <w:ind w:firstLine="420"/>
        <w:rPr>
          <w:rFonts w:ascii="宋体" w:hAnsi="宋体"/>
          <w:color w:val="auto"/>
          <w:kern w:val="0"/>
          <w:sz w:val="21"/>
          <w:szCs w:val="21"/>
          <w:highlight w:val="none"/>
        </w:rPr>
      </w:pPr>
      <w:bookmarkStart w:id="813" w:name="_Toc206693501"/>
      <w:r>
        <w:rPr>
          <w:rFonts w:hint="eastAsia" w:ascii="宋体" w:hAnsi="宋体"/>
          <w:color w:val="auto"/>
          <w:kern w:val="0"/>
          <w:sz w:val="21"/>
          <w:szCs w:val="21"/>
          <w:highlight w:val="none"/>
        </w:rPr>
        <w:t>投标人应充分理解招标人发展战略，充分理解招标人业务管理模式、信息化建设现状、业务流程、组织结构、业务形态，充分借鉴国内外类似企业、行业的最佳实践，在满足招标人信息化规划宗旨和目标下，细化具体的实施计划，</w:t>
      </w:r>
      <w:bookmarkEnd w:id="813"/>
      <w:r>
        <w:rPr>
          <w:rFonts w:hint="eastAsia" w:ascii="宋体" w:hAnsi="宋体"/>
          <w:color w:val="auto"/>
          <w:kern w:val="0"/>
          <w:sz w:val="21"/>
          <w:szCs w:val="21"/>
          <w:highlight w:val="none"/>
        </w:rPr>
        <w:t>提出科学、先进、合理、符合招标人实际和项目意图的技术方案，包括清晰、具体的方案和有价值的建议。投标人所提供的技术方案必须是完整的、可操作的，具有先进性、适应性。</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投标人的技术方案中应包含完整的建设实施过程、步骤、主要工作内容、将完成的</w:t>
      </w:r>
      <w:r>
        <w:rPr>
          <w:rFonts w:hint="eastAsia" w:ascii="宋体" w:hAnsi="宋体"/>
          <w:color w:val="auto"/>
          <w:kern w:val="0"/>
          <w:sz w:val="21"/>
          <w:szCs w:val="21"/>
          <w:highlight w:val="none"/>
          <w:lang w:eastAsia="zh-CN"/>
        </w:rPr>
        <w:t>成果</w:t>
      </w:r>
      <w:r>
        <w:rPr>
          <w:rFonts w:hint="eastAsia" w:ascii="宋体" w:hAnsi="宋体"/>
          <w:color w:val="auto"/>
          <w:kern w:val="0"/>
          <w:sz w:val="21"/>
          <w:szCs w:val="21"/>
          <w:highlight w:val="none"/>
        </w:rPr>
        <w:t>详细描述。</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投标人应提供项目的实施方案，包括实施内容、进度计划、各节点的交付品、项目人员组织、质量管控措施、技术培训方案和技术支持及服务内容等。</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合同签订后，中选方应与招标人和项目应用单位共同确认在项目实施过程中技术服务的各个层面具体内容，并制定具体的实施方案和进度计划。</w:t>
      </w:r>
    </w:p>
    <w:p>
      <w:pPr>
        <w:pStyle w:val="3"/>
        <w:numPr>
          <w:ilvl w:val="1"/>
          <w:numId w:val="5"/>
        </w:numPr>
        <w:spacing w:before="0" w:beforeLines="0" w:after="0" w:afterLines="0" w:line="360" w:lineRule="auto"/>
        <w:rPr>
          <w:rFonts w:ascii="宋体" w:hAnsi="宋体" w:cs="宋体"/>
          <w:color w:val="auto"/>
          <w:szCs w:val="21"/>
          <w:highlight w:val="none"/>
        </w:rPr>
      </w:pPr>
      <w:bookmarkStart w:id="814" w:name="_Toc25388"/>
      <w:bookmarkStart w:id="815" w:name="_Toc21174"/>
      <w:bookmarkStart w:id="816" w:name="_Toc27531"/>
      <w:bookmarkStart w:id="817" w:name="_Toc214973052"/>
      <w:bookmarkStart w:id="818" w:name="_Toc4219"/>
      <w:r>
        <w:rPr>
          <w:rFonts w:hint="eastAsia" w:ascii="宋体" w:hAnsi="宋体" w:cs="宋体"/>
          <w:color w:val="auto"/>
          <w:szCs w:val="21"/>
          <w:highlight w:val="none"/>
        </w:rPr>
        <w:t>系统技术要求</w:t>
      </w:r>
      <w:bookmarkEnd w:id="814"/>
      <w:bookmarkEnd w:id="815"/>
      <w:bookmarkEnd w:id="816"/>
      <w:bookmarkEnd w:id="817"/>
      <w:bookmarkEnd w:id="818"/>
    </w:p>
    <w:p>
      <w:pPr>
        <w:pStyle w:val="118"/>
        <w:numPr>
          <w:ilvl w:val="0"/>
          <w:numId w:val="22"/>
        </w:numPr>
        <w:tabs>
          <w:tab w:val="left" w:pos="0"/>
        </w:tabs>
        <w:adjustRightInd w:val="0"/>
        <w:snapToGrid w:val="0"/>
        <w:spacing w:before="0" w:after="0"/>
        <w:ind w:firstLineChars="0"/>
        <w:rPr>
          <w:rFonts w:ascii="宋体" w:hAnsi="宋体"/>
          <w:color w:val="auto"/>
          <w:kern w:val="0"/>
          <w:sz w:val="21"/>
          <w:szCs w:val="21"/>
          <w:highlight w:val="none"/>
        </w:rPr>
      </w:pPr>
      <w:r>
        <w:rPr>
          <w:rFonts w:hint="eastAsia" w:ascii="宋体" w:hAnsi="宋体"/>
          <w:color w:val="auto"/>
          <w:kern w:val="0"/>
          <w:sz w:val="21"/>
          <w:szCs w:val="21"/>
          <w:highlight w:val="none"/>
        </w:rPr>
        <w:t>除非另作规定，投标人应负责一切与系统设计、开发、安装、配置、调试有关的工作和服务。</w:t>
      </w:r>
    </w:p>
    <w:p>
      <w:pPr>
        <w:pStyle w:val="118"/>
        <w:numPr>
          <w:ilvl w:val="0"/>
          <w:numId w:val="22"/>
        </w:numPr>
        <w:tabs>
          <w:tab w:val="left" w:pos="0"/>
        </w:tabs>
        <w:adjustRightInd w:val="0"/>
        <w:snapToGrid w:val="0"/>
        <w:spacing w:before="0" w:after="0"/>
        <w:ind w:firstLineChars="0"/>
        <w:rPr>
          <w:rFonts w:ascii="宋体" w:hAnsi="宋体"/>
          <w:color w:val="auto"/>
          <w:kern w:val="0"/>
          <w:sz w:val="21"/>
          <w:szCs w:val="21"/>
          <w:highlight w:val="none"/>
        </w:rPr>
      </w:pPr>
      <w:r>
        <w:rPr>
          <w:rFonts w:hint="eastAsia" w:ascii="宋体" w:hAnsi="宋体"/>
          <w:color w:val="auto"/>
          <w:kern w:val="0"/>
          <w:sz w:val="21"/>
          <w:szCs w:val="21"/>
          <w:highlight w:val="none"/>
        </w:rPr>
        <w:t>本项目开发过程的文档和代码管理采用招标人指定的项目管理、版本管理工具，满足招标人项目管理制度要求，项目过程文档和代码要求和系统安装同步移交。</w:t>
      </w:r>
    </w:p>
    <w:p>
      <w:pPr>
        <w:pStyle w:val="118"/>
        <w:numPr>
          <w:ilvl w:val="0"/>
          <w:numId w:val="22"/>
        </w:numPr>
        <w:tabs>
          <w:tab w:val="left" w:pos="0"/>
        </w:tabs>
        <w:adjustRightInd w:val="0"/>
        <w:snapToGrid w:val="0"/>
        <w:spacing w:before="0" w:after="0"/>
        <w:ind w:firstLineChars="0"/>
        <w:rPr>
          <w:rFonts w:ascii="宋体" w:hAnsi="宋体"/>
          <w:color w:val="auto"/>
          <w:kern w:val="0"/>
          <w:sz w:val="21"/>
          <w:szCs w:val="21"/>
          <w:highlight w:val="none"/>
        </w:rPr>
      </w:pPr>
      <w:r>
        <w:rPr>
          <w:rFonts w:hint="eastAsia" w:ascii="宋体" w:hAnsi="宋体"/>
          <w:color w:val="auto"/>
          <w:kern w:val="0"/>
          <w:sz w:val="21"/>
          <w:szCs w:val="21"/>
          <w:highlight w:val="none"/>
        </w:rPr>
        <w:t>投标人应根据招标人的安装环境提供系统安装和调试方案，经双方讨论确认后，作为安装调试的依据。安装调试方案应包括详细的工作表和工作内容，如不同系统环境的应用软件的安装，数据库的安装，软件程序问题的解决方案，以及数据中心的物理配置等。</w:t>
      </w:r>
    </w:p>
    <w:p>
      <w:pPr>
        <w:pStyle w:val="118"/>
        <w:numPr>
          <w:ilvl w:val="0"/>
          <w:numId w:val="22"/>
        </w:numPr>
        <w:tabs>
          <w:tab w:val="left" w:pos="0"/>
        </w:tabs>
        <w:adjustRightInd w:val="0"/>
        <w:snapToGrid w:val="0"/>
        <w:spacing w:before="0" w:after="0"/>
        <w:ind w:firstLineChars="0"/>
        <w:rPr>
          <w:color w:val="auto"/>
          <w:highlight w:val="none"/>
        </w:rPr>
      </w:pPr>
      <w:r>
        <w:rPr>
          <w:rFonts w:hint="eastAsia" w:ascii="宋体" w:hAnsi="宋体"/>
          <w:color w:val="auto"/>
          <w:kern w:val="0"/>
          <w:sz w:val="21"/>
          <w:szCs w:val="21"/>
          <w:highlight w:val="none"/>
        </w:rPr>
        <w:t>为满足开发与测试的独立性要求，避免影响生产业务，除生产环境外，还需独立的开发环境和测试环境，并且有配套的代码同步机制。</w:t>
      </w:r>
    </w:p>
    <w:p>
      <w:pPr>
        <w:pStyle w:val="118"/>
        <w:numPr>
          <w:ilvl w:val="0"/>
          <w:numId w:val="22"/>
        </w:numPr>
        <w:tabs>
          <w:tab w:val="left" w:pos="0"/>
        </w:tabs>
        <w:adjustRightInd w:val="0"/>
        <w:snapToGrid w:val="0"/>
        <w:spacing w:before="0" w:after="0"/>
        <w:ind w:firstLineChars="0"/>
        <w:rPr>
          <w:color w:val="auto"/>
          <w:highlight w:val="none"/>
        </w:rPr>
      </w:pPr>
      <w:r>
        <w:rPr>
          <w:rFonts w:hint="eastAsia" w:ascii="宋体" w:hAnsi="宋体"/>
          <w:color w:val="auto"/>
          <w:kern w:val="0"/>
          <w:sz w:val="21"/>
          <w:szCs w:val="21"/>
          <w:highlight w:val="none"/>
        </w:rPr>
        <w:t>测试工作完成后，由招标人项目人员确认后方可迁入生产环境，迁入工作由招标人项目人员按照实施方提供的安装部署手册，在投标人指导下执行。招标人项目人员的所有工作并不解除投标人对合同规定的保证责任。</w:t>
      </w:r>
    </w:p>
    <w:p>
      <w:pPr>
        <w:pStyle w:val="118"/>
        <w:numPr>
          <w:ilvl w:val="-1"/>
          <w:numId w:val="0"/>
        </w:numPr>
        <w:tabs>
          <w:tab w:val="left" w:pos="0"/>
        </w:tabs>
        <w:adjustRightInd w:val="0"/>
        <w:snapToGrid w:val="0"/>
        <w:spacing w:before="0" w:after="0"/>
        <w:ind w:left="0" w:firstLine="0" w:firstLineChars="0"/>
        <w:rPr>
          <w:color w:val="auto"/>
          <w:highlight w:val="none"/>
        </w:rPr>
      </w:pPr>
    </w:p>
    <w:p>
      <w:pPr>
        <w:pStyle w:val="3"/>
        <w:numPr>
          <w:ilvl w:val="1"/>
          <w:numId w:val="5"/>
        </w:numPr>
        <w:spacing w:before="0" w:beforeLines="0" w:after="0" w:afterLines="0" w:line="360" w:lineRule="auto"/>
        <w:rPr>
          <w:rFonts w:ascii="宋体" w:hAnsi="宋体" w:cs="宋体"/>
          <w:color w:val="auto"/>
          <w:szCs w:val="21"/>
          <w:highlight w:val="none"/>
        </w:rPr>
      </w:pPr>
      <w:bookmarkStart w:id="819" w:name="_Toc214973053"/>
      <w:bookmarkEnd w:id="819"/>
      <w:bookmarkStart w:id="820" w:name="_Toc214973054"/>
      <w:bookmarkEnd w:id="820"/>
      <w:bookmarkStart w:id="821" w:name="_Toc214973055"/>
      <w:bookmarkStart w:id="822" w:name="_Toc12288"/>
      <w:bookmarkStart w:id="823" w:name="_Toc24219"/>
      <w:r>
        <w:rPr>
          <w:rFonts w:hint="eastAsia" w:ascii="宋体" w:hAnsi="宋体" w:cs="宋体"/>
          <w:color w:val="auto"/>
          <w:szCs w:val="21"/>
          <w:highlight w:val="none"/>
        </w:rPr>
        <w:t>系统测试要求</w:t>
      </w:r>
      <w:bookmarkEnd w:id="821"/>
      <w:bookmarkEnd w:id="822"/>
      <w:bookmarkEnd w:id="823"/>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 xml:space="preserve">测试总体要求 </w:t>
      </w:r>
    </w:p>
    <w:p>
      <w:pPr>
        <w:pStyle w:val="46"/>
        <w:numPr>
          <w:ilvl w:val="0"/>
          <w:numId w:val="23"/>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投标人应向招标人提供用户接收测试的内容及其方法。测试内容涵盖性能指标、容错性、可用性、稳定性、安全性和可管理性等。投标人可依据合同、技术规范书和国家有关规定进行修改和补充，经招标人确认后形成的测试报告将作为验收报告的附件提交验收。</w:t>
      </w:r>
    </w:p>
    <w:p>
      <w:pPr>
        <w:pStyle w:val="4"/>
        <w:numPr>
          <w:ilvl w:val="0"/>
          <w:numId w:val="23"/>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系统测试需要严格按照相关标准及规范进行，投标人应提前5个工作日提交系统测试方案。</w:t>
      </w:r>
    </w:p>
    <w:p>
      <w:pPr>
        <w:pStyle w:val="4"/>
        <w:numPr>
          <w:ilvl w:val="0"/>
          <w:numId w:val="23"/>
        </w:numPr>
        <w:spacing w:after="0" w:afterLines="0" w:line="360" w:lineRule="auto"/>
        <w:ind w:left="0" w:firstLine="420" w:firstLineChars="200"/>
        <w:rPr>
          <w:rFonts w:ascii="宋体" w:hAnsi="宋体" w:cs="宋体"/>
          <w:color w:val="auto"/>
          <w:highlight w:val="none"/>
        </w:rPr>
      </w:pPr>
      <w:bookmarkStart w:id="824" w:name="_Toc16068"/>
      <w:r>
        <w:rPr>
          <w:rFonts w:hint="eastAsia" w:ascii="宋体" w:hAnsi="宋体" w:cs="宋体"/>
          <w:color w:val="auto"/>
          <w:highlight w:val="none"/>
        </w:rPr>
        <w:t>投标人负责系统测试（包括测试方案的制定），招标人参与系统测试，并负责测试方案的最终确认，双方共同进行测试和诊断所有模块和整个系统，并签署《系统测试报告》。</w:t>
      </w:r>
      <w:bookmarkEnd w:id="824"/>
    </w:p>
    <w:p>
      <w:pPr>
        <w:pStyle w:val="4"/>
        <w:numPr>
          <w:ilvl w:val="0"/>
          <w:numId w:val="23"/>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测试方案应至少包括：测试场景、测试环境、测试方法、测试时间进度安排、测试不通过时的解决办法等。</w:t>
      </w:r>
    </w:p>
    <w:p>
      <w:pPr>
        <w:pStyle w:val="4"/>
        <w:numPr>
          <w:ilvl w:val="0"/>
          <w:numId w:val="23"/>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系统验收测试方案由招标人和投标人共同制定。</w:t>
      </w:r>
    </w:p>
    <w:p>
      <w:pPr>
        <w:pStyle w:val="4"/>
        <w:numPr>
          <w:ilvl w:val="0"/>
          <w:numId w:val="23"/>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实施、开发阶段进行集成测试、最终用户接受度测试。</w:t>
      </w:r>
    </w:p>
    <w:p>
      <w:pPr>
        <w:pStyle w:val="4"/>
        <w:numPr>
          <w:ilvl w:val="0"/>
          <w:numId w:val="23"/>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上线前应通过</w:t>
      </w:r>
      <w:r>
        <w:rPr>
          <w:rFonts w:hint="eastAsia" w:ascii="宋体" w:hAnsi="宋体" w:cs="宋体"/>
          <w:color w:val="auto"/>
          <w:highlight w:val="none"/>
          <w:lang w:val="en-US" w:eastAsia="zh-CN"/>
        </w:rPr>
        <w:t>安</w:t>
      </w:r>
      <w:r>
        <w:rPr>
          <w:rFonts w:hint="eastAsia" w:ascii="宋体" w:hAnsi="宋体" w:cs="宋体"/>
          <w:color w:val="auto"/>
          <w:highlight w:val="none"/>
        </w:rPr>
        <w:t>全性测试。</w:t>
      </w:r>
    </w:p>
    <w:p>
      <w:pPr>
        <w:pStyle w:val="5"/>
        <w:numPr>
          <w:ilvl w:val="2"/>
          <w:numId w:val="5"/>
        </w:numPr>
        <w:spacing w:before="0" w:beforeLines="0" w:after="0" w:afterLines="0" w:line="360" w:lineRule="auto"/>
        <w:rPr>
          <w:rFonts w:ascii="宋体" w:hAnsi="宋体" w:cs="宋体"/>
          <w:color w:val="auto"/>
          <w:szCs w:val="21"/>
          <w:highlight w:val="none"/>
        </w:rPr>
      </w:pPr>
      <w:bookmarkStart w:id="825" w:name="_Toc24816"/>
      <w:bookmarkStart w:id="826" w:name="_Toc15700"/>
      <w:r>
        <w:rPr>
          <w:rFonts w:hint="eastAsia" w:ascii="宋体" w:hAnsi="宋体" w:cs="宋体"/>
          <w:color w:val="auto"/>
          <w:szCs w:val="21"/>
          <w:highlight w:val="none"/>
        </w:rPr>
        <w:t>单元测试</w:t>
      </w:r>
      <w:bookmarkEnd w:id="825"/>
      <w:bookmarkEnd w:id="826"/>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对于二次开发的程序代码，要求配备相应的单元测试代码。对于核心业务，单元测试覆盖率不低于98%。</w:t>
      </w:r>
    </w:p>
    <w:p>
      <w:pPr>
        <w:pStyle w:val="5"/>
        <w:numPr>
          <w:ilvl w:val="2"/>
          <w:numId w:val="5"/>
        </w:numPr>
        <w:spacing w:before="0" w:beforeLines="0" w:after="0" w:afterLines="0" w:line="360" w:lineRule="auto"/>
        <w:rPr>
          <w:rFonts w:ascii="宋体" w:hAnsi="宋体" w:cs="宋体"/>
          <w:color w:val="auto"/>
          <w:szCs w:val="21"/>
          <w:highlight w:val="none"/>
        </w:rPr>
      </w:pPr>
      <w:bookmarkStart w:id="827" w:name="_Toc15478"/>
      <w:bookmarkStart w:id="828" w:name="_Toc24294"/>
      <w:r>
        <w:rPr>
          <w:rFonts w:hint="eastAsia" w:ascii="宋体" w:hAnsi="宋体" w:cs="宋体"/>
          <w:color w:val="auto"/>
          <w:szCs w:val="21"/>
          <w:highlight w:val="none"/>
        </w:rPr>
        <w:t>集成测试</w:t>
      </w:r>
      <w:bookmarkEnd w:id="827"/>
      <w:bookmarkEnd w:id="828"/>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软件开发过程中，应在测试环境与各相关外围系统展开系统集成测试，充分验证系统间交互的正确性、可靠性和健壮性。</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最终用户接受度测试</w:t>
      </w:r>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软件开发过程中与上线</w:t>
      </w:r>
      <w:r>
        <w:rPr>
          <w:rFonts w:hint="eastAsia" w:ascii="宋体" w:hAnsi="宋体" w:cs="宋体"/>
          <w:color w:val="auto"/>
          <w:highlight w:val="none"/>
          <w:lang w:val="en-US" w:eastAsia="zh-CN"/>
        </w:rPr>
        <w:t>前</w:t>
      </w:r>
      <w:r>
        <w:rPr>
          <w:rFonts w:hint="eastAsia" w:ascii="宋体" w:hAnsi="宋体" w:cs="宋体"/>
          <w:color w:val="auto"/>
          <w:highlight w:val="none"/>
        </w:rPr>
        <w:t>，由最终用户对软件产品进行检验，校验是否符合预期的各项要求，以及用户能否接受的问题，包括操作便捷性、界面友好性、内容完整性等。</w:t>
      </w:r>
    </w:p>
    <w:p>
      <w:pPr>
        <w:pStyle w:val="5"/>
        <w:numPr>
          <w:ilvl w:val="2"/>
          <w:numId w:val="5"/>
        </w:numPr>
        <w:spacing w:before="0" w:beforeLines="0" w:after="0" w:afterLines="0" w:line="360" w:lineRule="auto"/>
        <w:rPr>
          <w:rFonts w:ascii="宋体" w:hAnsi="宋体" w:cs="宋体"/>
          <w:color w:val="auto"/>
          <w:szCs w:val="21"/>
          <w:highlight w:val="none"/>
        </w:rPr>
      </w:pPr>
      <w:bookmarkStart w:id="829" w:name="_Toc13729"/>
      <w:bookmarkStart w:id="830" w:name="_Toc20995"/>
      <w:r>
        <w:rPr>
          <w:rFonts w:hint="eastAsia" w:ascii="宋体" w:hAnsi="宋体" w:cs="宋体"/>
          <w:color w:val="auto"/>
          <w:szCs w:val="21"/>
          <w:highlight w:val="none"/>
        </w:rPr>
        <w:t>运维管理接受度测试</w:t>
      </w:r>
      <w:bookmarkEnd w:id="829"/>
      <w:bookmarkEnd w:id="830"/>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软件开发过程中与上线前，由运维管理员对软件产品的运维方式进行检验，校验是否符合预期的各项要求，以及运维管理员能否接受的问题，包括运维手册、日常监控内容、常见问题及解决办法，操作便捷性，界面友好性等。</w:t>
      </w:r>
    </w:p>
    <w:p>
      <w:pPr>
        <w:pStyle w:val="5"/>
        <w:numPr>
          <w:ilvl w:val="2"/>
          <w:numId w:val="5"/>
        </w:numPr>
        <w:spacing w:before="0" w:beforeLines="0" w:after="0" w:afterLines="0" w:line="360" w:lineRule="auto"/>
        <w:rPr>
          <w:rFonts w:ascii="宋体" w:hAnsi="宋体" w:cs="宋体"/>
          <w:color w:val="auto"/>
          <w:szCs w:val="21"/>
          <w:highlight w:val="none"/>
        </w:rPr>
      </w:pPr>
      <w:bookmarkStart w:id="831" w:name="_Toc25109"/>
      <w:bookmarkStart w:id="832" w:name="_Toc12204"/>
      <w:r>
        <w:rPr>
          <w:rFonts w:hint="eastAsia" w:ascii="宋体" w:hAnsi="宋体" w:cs="宋体"/>
          <w:color w:val="auto"/>
          <w:szCs w:val="21"/>
          <w:highlight w:val="none"/>
        </w:rPr>
        <w:t>压力测试</w:t>
      </w:r>
      <w:bookmarkEnd w:id="831"/>
      <w:bookmarkEnd w:id="832"/>
    </w:p>
    <w:p>
      <w:pPr>
        <w:pStyle w:val="4"/>
        <w:numPr>
          <w:ilvl w:val="0"/>
          <w:numId w:val="24"/>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实施方在系统上线前应提供压力测试服务（相关的压力测试工具由投标人提供）。</w:t>
      </w:r>
    </w:p>
    <w:p>
      <w:pPr>
        <w:pStyle w:val="4"/>
        <w:numPr>
          <w:ilvl w:val="0"/>
          <w:numId w:val="24"/>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压力测试应使用双方认可的第三方工具，按照招标方人员规模，分析各应用可能的在线(或并发)用户数，经招标人同意，按照评估后的在线（或并发）用户模拟在线处理业务，测试系统所能承受的最大负载。模拟可能的最大并发用户数量和业务操作，测试系统的响应情况。</w:t>
      </w:r>
    </w:p>
    <w:p>
      <w:pPr>
        <w:pStyle w:val="4"/>
        <w:numPr>
          <w:ilvl w:val="0"/>
          <w:numId w:val="24"/>
        </w:numPr>
        <w:spacing w:after="0" w:afterLines="0" w:line="360" w:lineRule="auto"/>
        <w:ind w:left="0" w:firstLine="420" w:firstLineChars="200"/>
        <w:rPr>
          <w:rFonts w:ascii="宋体" w:hAnsi="宋体" w:cs="宋体"/>
          <w:color w:val="auto"/>
          <w:highlight w:val="none"/>
        </w:rPr>
      </w:pPr>
      <w:r>
        <w:rPr>
          <w:rFonts w:hint="eastAsia" w:ascii="宋体" w:hAnsi="宋体" w:cs="宋体"/>
          <w:color w:val="auto"/>
          <w:highlight w:val="none"/>
        </w:rPr>
        <w:t xml:space="preserve">实施方应根据压力测试情况进行系统性能调优。 </w:t>
      </w:r>
    </w:p>
    <w:p>
      <w:pPr>
        <w:pStyle w:val="5"/>
        <w:numPr>
          <w:ilvl w:val="2"/>
          <w:numId w:val="5"/>
        </w:numPr>
        <w:spacing w:before="0" w:beforeLines="0" w:after="0" w:afterLines="0" w:line="360" w:lineRule="auto"/>
        <w:rPr>
          <w:rFonts w:ascii="宋体" w:hAnsi="宋体" w:cs="宋体"/>
          <w:color w:val="auto"/>
          <w:szCs w:val="21"/>
          <w:highlight w:val="none"/>
        </w:rPr>
      </w:pPr>
      <w:bookmarkStart w:id="833" w:name="_Toc27713"/>
      <w:bookmarkStart w:id="834" w:name="_Toc24281"/>
      <w:r>
        <w:rPr>
          <w:rFonts w:hint="eastAsia" w:ascii="宋体" w:hAnsi="宋体" w:cs="宋体"/>
          <w:color w:val="auto"/>
          <w:szCs w:val="21"/>
          <w:highlight w:val="none"/>
        </w:rPr>
        <w:t>安全性测试</w:t>
      </w:r>
      <w:bookmarkEnd w:id="833"/>
      <w:bookmarkEnd w:id="834"/>
    </w:p>
    <w:p>
      <w:pPr>
        <w:pStyle w:val="4"/>
        <w:spacing w:after="0" w:afterLines="0" w:line="360" w:lineRule="auto"/>
        <w:ind w:firstLine="420"/>
        <w:rPr>
          <w:rFonts w:hint="eastAsia" w:ascii="宋体" w:hAnsi="宋体" w:cs="宋体"/>
          <w:color w:val="auto"/>
          <w:highlight w:val="none"/>
        </w:rPr>
      </w:pPr>
      <w:r>
        <w:rPr>
          <w:rFonts w:hint="eastAsia" w:ascii="宋体" w:hAnsi="宋体" w:cs="宋体"/>
          <w:color w:val="auto"/>
          <w:highlight w:val="none"/>
        </w:rPr>
        <w:t>根据国家、能源行业对信息安全的要求，信息系统上线前应进行安全性测试，具体的安全性测试由招标人聘请的第三方</w:t>
      </w:r>
      <w:r>
        <w:rPr>
          <w:rFonts w:hint="eastAsia" w:ascii="宋体" w:hAnsi="宋体" w:cs="宋体"/>
          <w:color w:val="auto"/>
          <w:highlight w:val="none"/>
          <w:lang w:val="en-US" w:eastAsia="zh-CN"/>
        </w:rPr>
        <w:t>网络</w:t>
      </w:r>
      <w:r>
        <w:rPr>
          <w:rFonts w:hint="eastAsia" w:ascii="宋体" w:hAnsi="宋体" w:cs="宋体"/>
          <w:color w:val="auto"/>
          <w:highlight w:val="none"/>
        </w:rPr>
        <w:t>安全</w:t>
      </w:r>
      <w:r>
        <w:rPr>
          <w:rFonts w:hint="eastAsia" w:ascii="宋体" w:hAnsi="宋体" w:cs="宋体"/>
          <w:color w:val="auto"/>
          <w:highlight w:val="none"/>
          <w:lang w:val="en-US" w:eastAsia="zh-CN"/>
        </w:rPr>
        <w:t>等级保护</w:t>
      </w:r>
      <w:r>
        <w:rPr>
          <w:rFonts w:hint="eastAsia" w:ascii="宋体" w:hAnsi="宋体" w:cs="宋体"/>
          <w:color w:val="auto"/>
          <w:highlight w:val="none"/>
        </w:rPr>
        <w:t>评测机构负责。只有安全性测试合格后系统才能上线。</w:t>
      </w:r>
    </w:p>
    <w:p>
      <w:pPr>
        <w:pStyle w:val="5"/>
        <w:numPr>
          <w:ilvl w:val="2"/>
          <w:numId w:val="5"/>
        </w:numPr>
        <w:spacing w:before="0" w:beforeLines="0" w:after="0" w:afterLines="0" w:line="360" w:lineRule="auto"/>
        <w:rPr>
          <w:rFonts w:hint="eastAsia" w:ascii="宋体" w:hAnsi="宋体" w:cs="宋体"/>
          <w:color w:val="auto"/>
          <w:szCs w:val="21"/>
          <w:highlight w:val="none"/>
        </w:rPr>
      </w:pPr>
      <w:bookmarkStart w:id="835" w:name="_Toc156810162"/>
      <w:r>
        <w:rPr>
          <w:rFonts w:hint="eastAsia" w:ascii="宋体" w:hAnsi="宋体" w:cs="宋体"/>
          <w:color w:val="auto"/>
          <w:szCs w:val="21"/>
          <w:highlight w:val="none"/>
        </w:rPr>
        <w:t>数据恢复测试</w:t>
      </w:r>
      <w:bookmarkEnd w:id="835"/>
    </w:p>
    <w:p>
      <w:pPr>
        <w:pStyle w:val="4"/>
        <w:spacing w:after="0" w:afterLines="0" w:line="360" w:lineRule="auto"/>
        <w:ind w:firstLine="420"/>
        <w:rPr>
          <w:rFonts w:hint="eastAsia" w:ascii="宋体" w:hAnsi="宋体" w:cs="宋体"/>
          <w:color w:val="auto"/>
          <w:highlight w:val="none"/>
        </w:rPr>
      </w:pPr>
      <w:r>
        <w:rPr>
          <w:rFonts w:hint="eastAsia" w:ascii="宋体" w:hAnsi="宋体" w:cs="宋体"/>
          <w:color w:val="auto"/>
          <w:highlight w:val="none"/>
          <w:lang w:val="zh-CN"/>
        </w:rPr>
        <w:t>蓝图设计阶段系统</w:t>
      </w:r>
      <w:r>
        <w:rPr>
          <w:rFonts w:hint="eastAsia" w:ascii="宋体" w:hAnsi="宋体" w:cs="宋体"/>
          <w:color w:val="auto"/>
          <w:highlight w:val="none"/>
        </w:rPr>
        <w:t>上线前应进行备份及恢复测试，备份和恢复测试应按照备份和恢复方案进行，确保上线后生产业务数据及相关应用程序数据的备份完整性，验证应用服务发生数据丢失等场景下，系统可以通过备份软件进行恢复。</w:t>
      </w:r>
    </w:p>
    <w:p>
      <w:pPr>
        <w:pStyle w:val="3"/>
        <w:numPr>
          <w:ilvl w:val="1"/>
          <w:numId w:val="5"/>
        </w:numPr>
        <w:spacing w:before="0" w:beforeLines="0" w:after="0" w:afterLines="0" w:line="360" w:lineRule="auto"/>
        <w:ind w:left="-2" w:leftChars="-1"/>
        <w:rPr>
          <w:rFonts w:ascii="宋体" w:hAnsi="宋体" w:cs="宋体"/>
          <w:color w:val="auto"/>
          <w:szCs w:val="21"/>
          <w:highlight w:val="none"/>
        </w:rPr>
      </w:pPr>
      <w:bookmarkStart w:id="836" w:name="_Toc8879"/>
      <w:bookmarkStart w:id="837" w:name="_Toc214973056"/>
      <w:bookmarkStart w:id="838" w:name="_Toc14948"/>
      <w:r>
        <w:rPr>
          <w:rFonts w:hint="eastAsia" w:ascii="宋体" w:hAnsi="宋体" w:cs="宋体"/>
          <w:color w:val="auto"/>
          <w:szCs w:val="21"/>
          <w:highlight w:val="none"/>
        </w:rPr>
        <w:t>项</w:t>
      </w:r>
      <w:r>
        <w:rPr>
          <w:rFonts w:hint="eastAsia" w:ascii="宋体" w:hAnsi="宋体" w:cs="宋体"/>
          <w:color w:val="auto"/>
          <w:szCs w:val="21"/>
          <w:highlight w:val="none"/>
          <w:lang w:eastAsia="zh"/>
        </w:rPr>
        <w:t>目保密要求</w:t>
      </w:r>
      <w:bookmarkEnd w:id="836"/>
      <w:bookmarkEnd w:id="837"/>
      <w:bookmarkEnd w:id="838"/>
    </w:p>
    <w:p>
      <w:pPr>
        <w:pStyle w:val="4"/>
        <w:spacing w:after="0" w:afterLines="0" w:line="360" w:lineRule="auto"/>
        <w:ind w:firstLine="420" w:firstLineChars="200"/>
        <w:rPr>
          <w:rFonts w:ascii="宋体" w:hAnsi="宋体" w:cs="宋体"/>
          <w:color w:val="auto"/>
          <w:highlight w:val="none"/>
        </w:rPr>
      </w:pPr>
      <w:r>
        <w:rPr>
          <w:rFonts w:hint="eastAsia" w:ascii="宋体" w:hAnsi="宋体" w:cs="宋体"/>
          <w:color w:val="auto"/>
          <w:highlight w:val="none"/>
          <w:lang w:eastAsia="zh"/>
        </w:rPr>
        <w:t>本项目工作禁止转包或变相转包，投标方对本项目建设过程中各类资料文件有保密义务，投标方有义务对在项目中接触的招标方的技术情报、资料数据及商业秘密等信息进行保密，未经招标方书面同意，不得向第三方泄露，且与招标方签订保密条款或保密协议。投标方应采取一切合理措施确保其技术人员和其他雇员不会违反本合同的条款披露或散布从招标方获悉的任何信息、资料。</w:t>
      </w:r>
    </w:p>
    <w:p>
      <w:pPr>
        <w:pStyle w:val="4"/>
        <w:spacing w:after="0" w:afterLines="0" w:line="360" w:lineRule="auto"/>
        <w:ind w:firstLine="420" w:firstLineChars="200"/>
        <w:rPr>
          <w:rFonts w:ascii="宋体" w:hAnsi="宋体" w:cs="宋体"/>
          <w:color w:val="auto"/>
          <w:highlight w:val="none"/>
        </w:rPr>
      </w:pPr>
      <w:r>
        <w:rPr>
          <w:rFonts w:hint="eastAsia" w:ascii="宋体" w:hAnsi="宋体" w:cs="宋体"/>
          <w:color w:val="auto"/>
          <w:highlight w:val="none"/>
        </w:rPr>
        <w:t>任何一方未征得对方同意，不得为任何其他目的而自行使用或允许他人使用从对方获得的信息，本合同另有约定除外。</w:t>
      </w:r>
    </w:p>
    <w:p>
      <w:pPr>
        <w:pStyle w:val="4"/>
        <w:spacing w:after="0" w:afterLines="0" w:line="360" w:lineRule="auto"/>
        <w:ind w:firstLine="420" w:firstLineChars="200"/>
        <w:rPr>
          <w:rFonts w:ascii="宋体" w:hAnsi="宋体" w:cs="宋体"/>
          <w:color w:val="auto"/>
          <w:highlight w:val="none"/>
        </w:rPr>
      </w:pPr>
      <w:r>
        <w:rPr>
          <w:rFonts w:hint="eastAsia" w:ascii="宋体" w:hAnsi="宋体" w:cs="宋体"/>
          <w:color w:val="auto"/>
          <w:highlight w:val="none"/>
        </w:rPr>
        <w:t>未经对方同意，任何一方不得以任何形式公开本协议及其相关附件内容，本合同另有约定除外。</w:t>
      </w:r>
    </w:p>
    <w:p>
      <w:pPr>
        <w:pStyle w:val="4"/>
        <w:spacing w:after="0" w:afterLines="0" w:line="360" w:lineRule="auto"/>
        <w:ind w:firstLine="420" w:firstLineChars="200"/>
        <w:rPr>
          <w:rFonts w:ascii="宋体" w:hAnsi="宋体" w:cs="宋体"/>
          <w:color w:val="auto"/>
          <w:highlight w:val="none"/>
        </w:rPr>
      </w:pPr>
      <w:r>
        <w:rPr>
          <w:rFonts w:hint="eastAsia" w:ascii="宋体" w:hAnsi="宋体" w:cs="宋体"/>
          <w:color w:val="auto"/>
          <w:highlight w:val="none"/>
        </w:rPr>
        <w:t>任何一方违反本条款，给对方造成损失，须承担赔偿责任。</w:t>
      </w:r>
    </w:p>
    <w:p>
      <w:pPr>
        <w:pStyle w:val="3"/>
        <w:numPr>
          <w:ilvl w:val="1"/>
          <w:numId w:val="5"/>
        </w:numPr>
        <w:spacing w:before="0" w:beforeLines="0" w:after="0" w:afterLines="0" w:line="360" w:lineRule="auto"/>
        <w:rPr>
          <w:rFonts w:ascii="宋体" w:hAnsi="宋体" w:cs="宋体"/>
          <w:color w:val="auto"/>
          <w:szCs w:val="21"/>
          <w:highlight w:val="none"/>
        </w:rPr>
      </w:pPr>
      <w:bookmarkStart w:id="839" w:name="_Toc24860"/>
      <w:bookmarkStart w:id="840" w:name="_Toc1436"/>
      <w:bookmarkStart w:id="841" w:name="_Toc214973057"/>
      <w:bookmarkStart w:id="842" w:name="_Toc17912"/>
      <w:bookmarkStart w:id="843" w:name="_Toc9554"/>
      <w:r>
        <w:rPr>
          <w:rFonts w:hint="eastAsia" w:ascii="宋体" w:hAnsi="宋体" w:cs="宋体"/>
          <w:color w:val="auto"/>
          <w:szCs w:val="21"/>
          <w:highlight w:val="none"/>
        </w:rPr>
        <w:t>成果提交</w:t>
      </w:r>
      <w:bookmarkEnd w:id="839"/>
      <w:bookmarkEnd w:id="840"/>
      <w:bookmarkEnd w:id="841"/>
      <w:bookmarkEnd w:id="842"/>
      <w:bookmarkEnd w:id="843"/>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成果物应包含软件、相应著作权及技术文档，技术文档要求详见第11章，软件及著作权要求如下：</w:t>
      </w:r>
    </w:p>
    <w:p>
      <w:pPr>
        <w:pStyle w:val="5"/>
        <w:numPr>
          <w:ilvl w:val="2"/>
          <w:numId w:val="5"/>
        </w:numPr>
        <w:spacing w:before="0" w:beforeLines="0" w:after="0" w:afterLines="0" w:line="360" w:lineRule="auto"/>
        <w:rPr>
          <w:rFonts w:ascii="宋体" w:hAnsi="宋体" w:cs="宋体"/>
          <w:color w:val="auto"/>
          <w:szCs w:val="21"/>
          <w:highlight w:val="none"/>
        </w:rPr>
      </w:pPr>
      <w:bookmarkStart w:id="844" w:name="_Toc6667"/>
      <w:bookmarkStart w:id="845" w:name="_Toc17322"/>
      <w:r>
        <w:rPr>
          <w:rFonts w:hint="eastAsia" w:ascii="宋体" w:hAnsi="宋体" w:cs="宋体"/>
          <w:color w:val="auto"/>
          <w:szCs w:val="21"/>
          <w:highlight w:val="none"/>
        </w:rPr>
        <w:t>软件</w:t>
      </w:r>
      <w:bookmarkEnd w:id="844"/>
      <w:bookmarkEnd w:id="845"/>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包括以下内容：</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软件平台；</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可视化工具；</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系统全部源代码（系统本体平台、二次开发功能，特别对于</w:t>
      </w:r>
      <w:r>
        <w:rPr>
          <w:rFonts w:hint="eastAsia" w:ascii="宋体" w:hAnsi="宋体" w:cs="宋体"/>
          <w:color w:val="auto"/>
          <w:highlight w:val="none"/>
          <w:lang w:eastAsia="zh-CN"/>
        </w:rPr>
        <w:t>自主</w:t>
      </w:r>
      <w:r>
        <w:rPr>
          <w:rFonts w:hint="eastAsia" w:ascii="宋体" w:hAnsi="宋体" w:cs="宋体"/>
          <w:color w:val="auto"/>
          <w:highlight w:val="none"/>
        </w:rPr>
        <w:t>开发的类库，如jar等，也应提供源代码及相关注释）、数据字典或数据库设计说明书；</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开源组件清单（包括版本、协议等）；</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其他组件及软件（除招标人提供的组件能力表单附件外，系统运行必需的组件由报价方提供，并有永久授权，不涉及到额外费用。）</w:t>
      </w:r>
    </w:p>
    <w:p>
      <w:pPr>
        <w:pStyle w:val="5"/>
        <w:numPr>
          <w:ilvl w:val="2"/>
          <w:numId w:val="5"/>
        </w:numPr>
        <w:spacing w:before="0" w:beforeLines="0" w:after="0" w:afterLines="0" w:line="360" w:lineRule="auto"/>
        <w:rPr>
          <w:rFonts w:ascii="宋体" w:hAnsi="宋体" w:cs="宋体"/>
          <w:color w:val="auto"/>
          <w:szCs w:val="21"/>
          <w:highlight w:val="none"/>
        </w:rPr>
      </w:pPr>
      <w:bookmarkStart w:id="846" w:name="_Toc3733"/>
      <w:bookmarkStart w:id="847" w:name="_Toc29375"/>
      <w:r>
        <w:rPr>
          <w:rFonts w:hint="eastAsia" w:ascii="宋体" w:hAnsi="宋体" w:cs="宋体"/>
          <w:color w:val="auto"/>
          <w:szCs w:val="21"/>
          <w:highlight w:val="none"/>
        </w:rPr>
        <w:t>著作权</w:t>
      </w:r>
    </w:p>
    <w:p>
      <w:pPr>
        <w:pStyle w:val="4"/>
        <w:numPr>
          <w:ilvl w:val="0"/>
          <w:numId w:val="25"/>
        </w:numPr>
        <w:spacing w:after="0" w:afterLines="0" w:line="360" w:lineRule="auto"/>
        <w:rPr>
          <w:rFonts w:ascii="宋体" w:hAnsi="宋体" w:cs="宋体"/>
          <w:color w:val="auto"/>
          <w:highlight w:val="none"/>
        </w:rPr>
      </w:pPr>
      <w:r>
        <w:rPr>
          <w:rFonts w:hint="eastAsia" w:ascii="宋体" w:hAnsi="宋体" w:cs="宋体"/>
          <w:color w:val="auto"/>
          <w:highlight w:val="none"/>
        </w:rPr>
        <w:t>投标人负责为招标人提供申报不少于5项发明专利和2篇行业标准规范所需的材料，并协助招标人进行相关的申报工作，投标人应为招标人所提供的商业情报、企业管理等相关材料予以保密，本项目所申请的专利和软件著作权归招标人所有。</w:t>
      </w:r>
    </w:p>
    <w:p>
      <w:pPr>
        <w:pStyle w:val="5"/>
        <w:numPr>
          <w:ilvl w:val="2"/>
          <w:numId w:val="5"/>
        </w:numPr>
        <w:spacing w:before="0" w:beforeLines="0" w:after="0" w:afterLines="0" w:line="360" w:lineRule="auto"/>
        <w:rPr>
          <w:rFonts w:ascii="宋体" w:hAnsi="宋体" w:cs="宋体"/>
          <w:color w:val="auto"/>
          <w:szCs w:val="21"/>
          <w:highlight w:val="none"/>
        </w:rPr>
      </w:pPr>
      <w:r>
        <w:rPr>
          <w:rFonts w:hint="eastAsia" w:ascii="宋体" w:hAnsi="宋体" w:cs="宋体"/>
          <w:color w:val="auto"/>
          <w:szCs w:val="21"/>
          <w:highlight w:val="none"/>
        </w:rPr>
        <w:t>站端设备选型方案</w:t>
      </w:r>
    </w:p>
    <w:p>
      <w:pPr>
        <w:numPr>
          <w:ilvl w:val="255"/>
          <w:numId w:val="0"/>
        </w:num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投标人需提供</w:t>
      </w:r>
      <w:r>
        <w:rPr>
          <w:rFonts w:hint="eastAsia" w:ascii="宋体" w:hAnsi="宋体" w:cs="宋体"/>
          <w:color w:val="auto"/>
          <w:szCs w:val="21"/>
          <w:highlight w:val="none"/>
          <w:lang w:val="en-US" w:eastAsia="zh-CN"/>
        </w:rPr>
        <w:t>综合</w:t>
      </w:r>
      <w:r>
        <w:rPr>
          <w:rFonts w:hint="eastAsia" w:ascii="宋体" w:hAnsi="宋体" w:cs="宋体"/>
          <w:color w:val="auto"/>
          <w:szCs w:val="21"/>
          <w:highlight w:val="none"/>
        </w:rPr>
        <w:t>供能站站端系统运营相关设备选型方案，方案应紧扣成本可控，稳定可靠，国产化达标三大核心目标，符合国家相关法律法规及行业标准，明确设备配置、国产化证明、成本明细及稳定性保障措施，适配</w:t>
      </w:r>
      <w:r>
        <w:rPr>
          <w:rFonts w:hint="eastAsia" w:ascii="宋体" w:hAnsi="宋体" w:cs="宋体"/>
          <w:color w:val="auto"/>
          <w:szCs w:val="21"/>
          <w:highlight w:val="none"/>
          <w:lang w:val="en-US" w:eastAsia="zh-CN"/>
        </w:rPr>
        <w:t>综合</w:t>
      </w:r>
      <w:r>
        <w:rPr>
          <w:rFonts w:hint="eastAsia" w:ascii="宋体" w:hAnsi="宋体" w:cs="宋体"/>
          <w:color w:val="auto"/>
          <w:szCs w:val="21"/>
          <w:highlight w:val="none"/>
        </w:rPr>
        <w:t>供能站防爆等场景，保障设备兼容性与运维便捷性，可直接作为项目实施的依据。</w:t>
      </w:r>
    </w:p>
    <w:bookmarkEnd w:id="846"/>
    <w:bookmarkEnd w:id="847"/>
    <w:p>
      <w:pPr>
        <w:pStyle w:val="5"/>
        <w:numPr>
          <w:ilvl w:val="2"/>
          <w:numId w:val="5"/>
        </w:numPr>
        <w:spacing w:before="0" w:beforeLines="0" w:after="0" w:afterLines="0" w:line="360" w:lineRule="auto"/>
        <w:rPr>
          <w:rFonts w:hint="eastAsia" w:ascii="宋体" w:hAnsi="宋体" w:cs="宋体"/>
          <w:color w:val="auto"/>
          <w:szCs w:val="21"/>
          <w:highlight w:val="none"/>
        </w:rPr>
      </w:pPr>
      <w:bookmarkStart w:id="848" w:name="_Toc214973066"/>
      <w:bookmarkEnd w:id="848"/>
      <w:bookmarkStart w:id="849" w:name="_Toc214973063"/>
      <w:bookmarkEnd w:id="849"/>
      <w:bookmarkStart w:id="850" w:name="_Toc214973064"/>
      <w:bookmarkEnd w:id="850"/>
      <w:bookmarkStart w:id="851" w:name="_Toc214973062"/>
      <w:bookmarkEnd w:id="851"/>
      <w:bookmarkStart w:id="852" w:name="_Toc214973067"/>
      <w:bookmarkEnd w:id="852"/>
      <w:bookmarkStart w:id="853" w:name="_Toc214973058"/>
      <w:bookmarkEnd w:id="853"/>
      <w:bookmarkStart w:id="854" w:name="_Toc214973060"/>
      <w:bookmarkEnd w:id="854"/>
      <w:bookmarkStart w:id="855" w:name="_Toc214973059"/>
      <w:bookmarkEnd w:id="855"/>
      <w:bookmarkStart w:id="856" w:name="_Toc214973065"/>
      <w:bookmarkEnd w:id="856"/>
      <w:bookmarkStart w:id="857" w:name="_Toc214973061"/>
      <w:bookmarkEnd w:id="857"/>
      <w:bookmarkStart w:id="858" w:name="_Toc8656"/>
      <w:bookmarkStart w:id="859" w:name="_Toc25585"/>
      <w:bookmarkStart w:id="860" w:name="_Toc29699"/>
      <w:bookmarkStart w:id="861" w:name="_Toc176784335"/>
      <w:bookmarkStart w:id="862" w:name="_Toc19602"/>
      <w:bookmarkStart w:id="863" w:name="_Toc214973082"/>
      <w:bookmarkStart w:id="864" w:name="_Toc6570"/>
      <w:bookmarkStart w:id="865" w:name="_Toc6025"/>
      <w:bookmarkStart w:id="866" w:name="_Toc18844"/>
      <w:bookmarkStart w:id="867" w:name="_Toc2430"/>
      <w:bookmarkStart w:id="868" w:name="_Toc5948"/>
      <w:bookmarkStart w:id="869" w:name="_Toc4769"/>
      <w:bookmarkStart w:id="870" w:name="_Toc26037"/>
      <w:bookmarkStart w:id="871" w:name="_Toc23481"/>
      <w:bookmarkStart w:id="872" w:name="_Toc29614"/>
      <w:bookmarkStart w:id="873" w:name="_Toc2521"/>
      <w:bookmarkStart w:id="874" w:name="_Toc30413"/>
      <w:bookmarkStart w:id="875" w:name="_Toc1600400576"/>
      <w:bookmarkStart w:id="876" w:name="_Toc24194"/>
      <w:bookmarkStart w:id="877" w:name="_Toc14346"/>
      <w:bookmarkStart w:id="878" w:name="_Toc2283"/>
      <w:bookmarkStart w:id="879" w:name="_Toc8011"/>
      <w:bookmarkStart w:id="880" w:name="_Toc8621"/>
      <w:bookmarkStart w:id="881" w:name="_Toc5314"/>
      <w:bookmarkStart w:id="882" w:name="_Toc13675"/>
      <w:bookmarkStart w:id="883" w:name="_Toc14723"/>
      <w:bookmarkStart w:id="884" w:name="_Toc31083"/>
      <w:bookmarkStart w:id="885" w:name="_Toc19403"/>
      <w:bookmarkStart w:id="886" w:name="_Toc22304"/>
      <w:bookmarkStart w:id="887" w:name="_Toc11073"/>
      <w:bookmarkStart w:id="888" w:name="_Toc23007"/>
      <w:bookmarkStart w:id="889" w:name="_Toc3466"/>
      <w:bookmarkStart w:id="890" w:name="_Toc16720"/>
      <w:bookmarkStart w:id="891" w:name="_Toc8885"/>
      <w:bookmarkStart w:id="892" w:name="_Toc27954"/>
      <w:bookmarkStart w:id="893" w:name="_Toc27179"/>
      <w:bookmarkStart w:id="894" w:name="_Toc28371"/>
      <w:bookmarkStart w:id="895" w:name="_Toc31966"/>
      <w:bookmarkStart w:id="896" w:name="_Toc14950"/>
      <w:bookmarkStart w:id="897" w:name="_Toc3896"/>
      <w:bookmarkStart w:id="898" w:name="_Toc14287"/>
      <w:bookmarkStart w:id="899" w:name="_Toc27315"/>
      <w:bookmarkStart w:id="900" w:name="_Toc17784"/>
      <w:bookmarkStart w:id="901" w:name="_Toc23839"/>
      <w:bookmarkStart w:id="902" w:name="_Toc12609"/>
      <w:bookmarkStart w:id="903" w:name="_Toc2580"/>
      <w:bookmarkStart w:id="904" w:name="_Toc20312"/>
      <w:bookmarkStart w:id="905" w:name="_Toc2614"/>
      <w:bookmarkStart w:id="906" w:name="_Toc29940"/>
      <w:bookmarkStart w:id="907" w:name="_Toc74161981"/>
      <w:bookmarkStart w:id="908" w:name="_Toc15436"/>
      <w:bookmarkStart w:id="909" w:name="_Toc14072"/>
      <w:bookmarkStart w:id="910" w:name="_Toc176784332"/>
      <w:bookmarkStart w:id="911" w:name="_Toc17707"/>
      <w:bookmarkStart w:id="912" w:name="_Toc2859"/>
      <w:bookmarkStart w:id="913" w:name="_Toc6015"/>
      <w:bookmarkStart w:id="914" w:name="_Toc23737"/>
      <w:bookmarkStart w:id="915" w:name="_Toc74161979"/>
      <w:bookmarkStart w:id="916" w:name="_Toc18297"/>
      <w:bookmarkStart w:id="917" w:name="_Toc6524"/>
      <w:bookmarkStart w:id="918" w:name="_Toc5072"/>
      <w:bookmarkStart w:id="919" w:name="_Toc10461"/>
      <w:bookmarkStart w:id="920" w:name="_Toc20088"/>
      <w:bookmarkStart w:id="921" w:name="_Toc6224"/>
      <w:bookmarkStart w:id="922" w:name="_Toc17182"/>
      <w:bookmarkStart w:id="923" w:name="_Toc11613"/>
      <w:bookmarkStart w:id="924" w:name="_Toc5142"/>
      <w:bookmarkStart w:id="925" w:name="_Toc22946"/>
      <w:bookmarkStart w:id="926" w:name="_Toc11067"/>
      <w:bookmarkStart w:id="927" w:name="_Toc53101407"/>
      <w:bookmarkStart w:id="928" w:name="_Toc12818"/>
      <w:bookmarkStart w:id="929" w:name="_Toc30573"/>
      <w:bookmarkStart w:id="930" w:name="_Toc27159"/>
      <w:bookmarkStart w:id="931" w:name="_Toc214973068"/>
      <w:bookmarkStart w:id="932" w:name="_Toc7965"/>
      <w:bookmarkStart w:id="933" w:name="_Toc9289"/>
      <w:bookmarkStart w:id="934" w:name="_Toc18704"/>
      <w:bookmarkStart w:id="935" w:name="_Toc28343"/>
      <w:bookmarkStart w:id="936" w:name="_Toc2036"/>
      <w:bookmarkStart w:id="937" w:name="_Toc32584"/>
      <w:bookmarkStart w:id="938" w:name="_Toc23449"/>
      <w:bookmarkStart w:id="939" w:name="_Toc18666"/>
      <w:bookmarkStart w:id="940" w:name="_Toc6968"/>
      <w:bookmarkStart w:id="941" w:name="_Toc17791"/>
      <w:bookmarkStart w:id="942" w:name="_Toc77"/>
      <w:bookmarkStart w:id="943" w:name="_Toc31945"/>
      <w:bookmarkStart w:id="944" w:name="_Toc14137"/>
      <w:bookmarkStart w:id="945" w:name="_Toc1761"/>
      <w:bookmarkStart w:id="946" w:name="_Toc6437"/>
      <w:bookmarkStart w:id="947" w:name="_Toc15101"/>
      <w:bookmarkStart w:id="948" w:name="_Toc23653"/>
      <w:bookmarkStart w:id="949" w:name="_Toc5284"/>
      <w:bookmarkStart w:id="950" w:name="_Toc2387"/>
      <w:bookmarkStart w:id="951" w:name="_Toc13210"/>
      <w:bookmarkStart w:id="952" w:name="_Toc23192"/>
      <w:bookmarkStart w:id="953" w:name="_Toc29868"/>
      <w:bookmarkStart w:id="954" w:name="_Toc3814"/>
      <w:bookmarkStart w:id="955" w:name="_Toc20807"/>
      <w:bookmarkStart w:id="956" w:name="_Toc5947"/>
      <w:bookmarkStart w:id="957" w:name="_Toc23109"/>
      <w:bookmarkStart w:id="958" w:name="_Toc12240"/>
      <w:bookmarkStart w:id="959" w:name="_Toc6917"/>
      <w:bookmarkStart w:id="960" w:name="_Toc490684132"/>
      <w:bookmarkStart w:id="961" w:name="_Toc518454455"/>
      <w:r>
        <w:rPr>
          <w:rFonts w:hint="eastAsia" w:ascii="宋体" w:hAnsi="宋体" w:cs="宋体"/>
          <w:color w:val="auto"/>
          <w:szCs w:val="21"/>
          <w:highlight w:val="none"/>
        </w:rPr>
        <w:t>文档要求</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在本次项目中，投标人需确保项目相关的所有技术文档完整规范，包括但不限于方案设计文档、</w:t>
      </w:r>
      <w:r>
        <w:rPr>
          <w:rFonts w:hint="eastAsia" w:ascii="宋体" w:hAnsi="宋体" w:cs="宋体"/>
          <w:color w:val="auto"/>
          <w:highlight w:val="none"/>
          <w:lang w:val="en-US" w:eastAsia="zh-CN"/>
        </w:rPr>
        <w:t>开发实施文档、</w:t>
      </w:r>
      <w:r>
        <w:rPr>
          <w:rFonts w:hint="eastAsia" w:ascii="宋体" w:hAnsi="宋体" w:cs="宋体"/>
          <w:color w:val="auto"/>
          <w:highlight w:val="none"/>
        </w:rPr>
        <w:t>用户验收测试报告、项目验收报告、竣工资料等，涵盖系统设计</w:t>
      </w:r>
      <w:r>
        <w:rPr>
          <w:rFonts w:hint="eastAsia" w:ascii="宋体" w:hAnsi="宋体" w:cs="宋体"/>
          <w:color w:val="auto"/>
          <w:highlight w:val="none"/>
          <w:lang w:eastAsia="zh-CN"/>
        </w:rPr>
        <w:t>、</w:t>
      </w:r>
      <w:r>
        <w:rPr>
          <w:rFonts w:hint="eastAsia" w:ascii="宋体" w:hAnsi="宋体" w:cs="宋体"/>
          <w:color w:val="auto"/>
          <w:highlight w:val="none"/>
          <w:lang w:val="en-US" w:eastAsia="zh-CN"/>
        </w:rPr>
        <w:t>开发</w:t>
      </w:r>
      <w:r>
        <w:rPr>
          <w:rFonts w:hint="eastAsia" w:ascii="宋体" w:hAnsi="宋体" w:cs="宋体"/>
          <w:color w:val="auto"/>
          <w:highlight w:val="none"/>
        </w:rPr>
        <w:t>、安装、使用、测试及运维等环节。在项目最终交付时按照招标人档案管理的具体要求进行分类整理、装订成册，并按时提交给招标人归档保存。所有文档应当内容详实、格式规范，能够全面反映项目实施过程和最终成果。这些文档</w:t>
      </w:r>
      <w:r>
        <w:rPr>
          <w:rFonts w:hint="eastAsia" w:ascii="宋体" w:hAnsi="宋体" w:cs="宋体"/>
          <w:color w:val="auto"/>
          <w:highlight w:val="none"/>
        </w:rPr>
        <w:t>包括但不限于：</w:t>
      </w:r>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（1）项目准备/需求阶段：初步项目工作计划文件、项目管理文件的定义、项目启动大会文件。</w:t>
      </w:r>
    </w:p>
    <w:p>
      <w:pPr>
        <w:pStyle w:val="4"/>
        <w:spacing w:after="0" w:afterLines="0" w:line="360" w:lineRule="auto"/>
        <w:ind w:firstLine="420"/>
        <w:rPr>
          <w:rFonts w:hint="eastAsia" w:ascii="宋体" w:hAnsi="宋体" w:eastAsia="宋体" w:cs="宋体"/>
          <w:color w:val="auto"/>
          <w:highlight w:val="none"/>
          <w:lang w:eastAsia="zh-CN"/>
        </w:rPr>
      </w:pPr>
      <w:r>
        <w:rPr>
          <w:rFonts w:hint="eastAsia" w:ascii="宋体" w:hAnsi="宋体" w:cs="宋体"/>
          <w:color w:val="auto"/>
          <w:highlight w:val="none"/>
        </w:rPr>
        <w:t>（2）业务蓝图/设计阶段：现状调研报告、标准业务流程设计（BPI）、流程分析和变更方案（BPR）、变革管理设计、未来业务蓝图设计文档、客户化开发需求清单、应用层面的集成以及对主要系统接口的框架定义</w:t>
      </w:r>
      <w:r>
        <w:rPr>
          <w:rFonts w:hint="eastAsia" w:ascii="宋体" w:hAnsi="宋体" w:cs="宋体"/>
          <w:color w:val="auto"/>
          <w:highlight w:val="none"/>
          <w:lang w:eastAsia="zh-CN"/>
        </w:rPr>
        <w:t>、系统架构设计方案、系统功能设计方案。</w:t>
      </w:r>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（3）系统实现/开发阶段：系统整体架构设计、系统详细方案设计、接口设计、数据库设计、开发的程序及技术说明书、生产环境安装与配置报告、系统运行管理制度(变更</w:t>
      </w:r>
      <w:r>
        <w:rPr>
          <w:rFonts w:hint="eastAsia" w:ascii="宋体" w:hAnsi="宋体" w:cs="宋体"/>
          <w:color w:val="auto"/>
          <w:highlight w:val="none"/>
          <w:lang w:eastAsia="zh-CN"/>
        </w:rPr>
        <w:t>，</w:t>
      </w:r>
      <w:r>
        <w:rPr>
          <w:rFonts w:hint="eastAsia" w:ascii="宋体" w:hAnsi="宋体" w:cs="宋体"/>
          <w:color w:val="auto"/>
          <w:highlight w:val="none"/>
        </w:rPr>
        <w:t>版本控制等)、岗位和职责设计、权限规划和划分以及设置文档、主数据格式文档、主数据设计和管理方案、数据清理方案、单元测试报告、用户标准操作手册、集成测试计划、集成测试报告、性能测试报告、集成测试计划和方案、集成测试测试用例、系统测试计划和方案（功能测试、性能测试）、系统测试测试用例（功能测试、性能测试）、UAT测试计划和方案、UAT测试测试用例、系统初始化配置手册、业务功能配置手册、用户操作手册模板、集成测试报告、性能测试报告、功能测试报告、UAT测试报告、安装部署手册。</w:t>
      </w:r>
    </w:p>
    <w:p>
      <w:pPr>
        <w:pStyle w:val="4"/>
        <w:spacing w:after="0" w:afterLines="0" w:line="360" w:lineRule="auto"/>
        <w:ind w:firstLine="420"/>
        <w:rPr>
          <w:rFonts w:ascii="宋体" w:hAnsi="宋体" w:cs="宋体"/>
          <w:color w:val="auto"/>
          <w:highlight w:val="none"/>
        </w:rPr>
      </w:pPr>
      <w:r>
        <w:rPr>
          <w:rFonts w:hint="eastAsia" w:ascii="宋体" w:hAnsi="宋体" w:cs="宋体"/>
          <w:color w:val="auto"/>
          <w:highlight w:val="none"/>
        </w:rPr>
        <w:t>（4）上线准备及系统切换阶段：系统配置文件、系统培训文档、数据交接文档、系统试运行方案、系统安装说明书、系统管理员手册、最终用户考核报告、系统转换计划、上线准备核查列表、生产系统数据转换完成确认报告、系统切换完成报告、系统上线方案设计（比如双系统并行方案等）、上线支持保障方案、运维方案</w:t>
      </w:r>
      <w:r>
        <w:rPr>
          <w:rFonts w:hint="eastAsia" w:ascii="宋体" w:hAnsi="宋体" w:cs="宋体"/>
          <w:color w:val="auto"/>
          <w:highlight w:val="none"/>
          <w:lang w:eastAsia="zh-CN"/>
        </w:rPr>
        <w:t>、信息系统上线申请、期初数据导入方</w:t>
      </w:r>
      <w:r>
        <w:rPr>
          <w:rFonts w:hint="eastAsia" w:ascii="宋体" w:hAnsi="宋体" w:cs="宋体"/>
          <w:color w:val="auto"/>
          <w:highlight w:val="none"/>
          <w:lang w:val="en-US" w:eastAsia="zh-CN"/>
        </w:rPr>
        <w:t>案</w:t>
      </w:r>
      <w:r>
        <w:rPr>
          <w:rFonts w:hint="eastAsia" w:ascii="宋体" w:hAnsi="宋体" w:cs="宋体"/>
          <w:color w:val="auto"/>
          <w:highlight w:val="none"/>
        </w:rPr>
        <w:t>。</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（5）上线后支持阶段：问题处理</w:t>
      </w:r>
      <w:r>
        <w:rPr>
          <w:rFonts w:hint="eastAsia" w:ascii="宋体" w:hAnsi="宋体" w:cs="宋体"/>
          <w:color w:val="auto"/>
          <w:szCs w:val="21"/>
          <w:highlight w:val="none"/>
          <w:lang w:eastAsia="zh-CN"/>
        </w:rPr>
        <w:t>记录</w:t>
      </w:r>
      <w:r>
        <w:rPr>
          <w:rFonts w:hint="eastAsia" w:ascii="宋体" w:hAnsi="宋体" w:cs="宋体"/>
          <w:color w:val="auto"/>
          <w:szCs w:val="21"/>
          <w:highlight w:val="none"/>
        </w:rPr>
        <w:t>清单。</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除需装订成册并提供 2 套纸质文档外，还需同时提供2套电子版文档（存储于 U 盘）。具体要求如下：</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投标人提供的资料应使用中国法定计量单位。技术资料和图纸的语言应为中文。</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资料应结构清晰、逻辑严谨。内容需准确无误、前后一致、完整清晰，以满足工程需求。</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投标人提交资料应及时、充分，以契合工程进度要求。</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投标人提供的技术资料需满足设计、实施、调试、运行和维护这五个方面的要求。</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投标人应及时提供与本合同相关的资料。</w:t>
      </w:r>
    </w:p>
    <w:p>
      <w:pPr>
        <w:pStyle w:val="60"/>
        <w:numPr>
          <w:ilvl w:val="0"/>
          <w:numId w:val="26"/>
        </w:numPr>
        <w:spacing w:after="0" w:afterLines="0" w:line="360" w:lineRule="auto"/>
        <w:contextualSpacing w:val="0"/>
        <w:rPr>
          <w:rFonts w:ascii="宋体" w:hAnsi="宋体" w:cs="宋体"/>
          <w:color w:val="auto"/>
          <w:szCs w:val="21"/>
          <w:highlight w:val="none"/>
        </w:rPr>
      </w:pPr>
      <w:r>
        <w:rPr>
          <w:rFonts w:hint="eastAsia" w:ascii="宋体" w:hAnsi="宋体" w:cs="宋体"/>
          <w:color w:val="auto"/>
          <w:szCs w:val="21"/>
          <w:highlight w:val="none"/>
        </w:rPr>
        <w:t>对于虽未列入合同技术资料清单，但却是工程必需的文件和资料，一旦发现，投标人应及时免费提供。</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交付物包括但不限于：</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rPr>
        <w:tab/>
      </w:r>
      <w:r>
        <w:rPr>
          <w:rFonts w:hint="eastAsia" w:ascii="宋体" w:hAnsi="宋体" w:cs="宋体"/>
          <w:color w:val="auto"/>
          <w:szCs w:val="21"/>
          <w:highlight w:val="none"/>
        </w:rPr>
        <w:t>项目计划</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rPr>
        <w:tab/>
      </w:r>
      <w:r>
        <w:rPr>
          <w:rFonts w:hint="eastAsia" w:ascii="宋体" w:hAnsi="宋体" w:cs="宋体"/>
          <w:color w:val="auto"/>
          <w:szCs w:val="21"/>
          <w:highlight w:val="none"/>
        </w:rPr>
        <w:t>项目组织及管理制度</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3)</w:t>
      </w:r>
      <w:r>
        <w:rPr>
          <w:rFonts w:hint="eastAsia" w:ascii="宋体" w:hAnsi="宋体" w:cs="宋体"/>
          <w:color w:val="auto"/>
          <w:szCs w:val="21"/>
          <w:highlight w:val="none"/>
        </w:rPr>
        <w:tab/>
      </w:r>
      <w:r>
        <w:rPr>
          <w:rFonts w:hint="eastAsia" w:ascii="宋体" w:hAnsi="宋体" w:cs="宋体"/>
          <w:color w:val="auto"/>
          <w:szCs w:val="21"/>
          <w:highlight w:val="none"/>
        </w:rPr>
        <w:t>项目记录和报告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4)</w:t>
      </w:r>
      <w:r>
        <w:rPr>
          <w:rFonts w:hint="eastAsia" w:ascii="宋体" w:hAnsi="宋体" w:cs="宋体"/>
          <w:color w:val="auto"/>
          <w:szCs w:val="21"/>
          <w:highlight w:val="none"/>
        </w:rPr>
        <w:tab/>
      </w:r>
      <w:r>
        <w:rPr>
          <w:rFonts w:hint="eastAsia" w:ascii="宋体" w:hAnsi="宋体" w:cs="宋体"/>
          <w:color w:val="auto"/>
          <w:szCs w:val="21"/>
          <w:highlight w:val="none"/>
        </w:rPr>
        <w:t>项目启动文件</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5)</w:t>
      </w:r>
      <w:r>
        <w:rPr>
          <w:rFonts w:hint="eastAsia" w:ascii="宋体" w:hAnsi="宋体" w:cs="宋体"/>
          <w:color w:val="auto"/>
          <w:szCs w:val="21"/>
          <w:highlight w:val="none"/>
        </w:rPr>
        <w:tab/>
      </w:r>
      <w:r>
        <w:rPr>
          <w:rFonts w:hint="eastAsia" w:ascii="宋体" w:hAnsi="宋体" w:cs="宋体"/>
          <w:color w:val="auto"/>
          <w:szCs w:val="21"/>
          <w:highlight w:val="none"/>
        </w:rPr>
        <w:t>项目团队文档</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s="宋体"/>
          <w:color w:val="auto"/>
          <w:szCs w:val="21"/>
          <w:highlight w:val="none"/>
        </w:rPr>
        <w:tab/>
      </w:r>
      <w:r>
        <w:rPr>
          <w:rFonts w:hint="eastAsia" w:ascii="宋体" w:hAnsi="宋体" w:cs="宋体"/>
          <w:color w:val="auto"/>
          <w:szCs w:val="21"/>
          <w:highlight w:val="none"/>
        </w:rPr>
        <w:t>项目质量计划</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rPr>
        <w:t>7)</w:t>
      </w:r>
      <w:r>
        <w:rPr>
          <w:rFonts w:hint="eastAsia" w:ascii="宋体" w:hAnsi="宋体" w:cs="宋体"/>
          <w:color w:val="auto"/>
          <w:szCs w:val="21"/>
          <w:highlight w:val="none"/>
        </w:rPr>
        <w:tab/>
      </w:r>
      <w:r>
        <w:rPr>
          <w:rFonts w:hint="eastAsia" w:ascii="宋体" w:hAnsi="宋体" w:cs="宋体"/>
          <w:color w:val="auto"/>
          <w:szCs w:val="21"/>
          <w:highlight w:val="none"/>
        </w:rPr>
        <w:t>变更管理策略</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8）</w:t>
      </w:r>
      <w:r>
        <w:rPr>
          <w:rFonts w:hint="eastAsia" w:ascii="宋体" w:hAnsi="宋体" w:cs="宋体"/>
          <w:color w:val="auto"/>
          <w:szCs w:val="21"/>
          <w:highlight w:val="none"/>
        </w:rPr>
        <w:tab/>
      </w:r>
      <w:r>
        <w:rPr>
          <w:rFonts w:hint="eastAsia" w:ascii="宋体" w:hAnsi="宋体" w:cs="宋体"/>
          <w:color w:val="auto"/>
          <w:szCs w:val="21"/>
          <w:highlight w:val="none"/>
        </w:rPr>
        <w:t>风险管理策略</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9）</w:t>
      </w:r>
      <w:r>
        <w:rPr>
          <w:rFonts w:hint="eastAsia" w:ascii="宋体" w:hAnsi="宋体" w:cs="宋体"/>
          <w:color w:val="auto"/>
          <w:szCs w:val="21"/>
          <w:highlight w:val="none"/>
        </w:rPr>
        <w:tab/>
      </w:r>
      <w:r>
        <w:rPr>
          <w:rFonts w:hint="eastAsia" w:ascii="宋体" w:hAnsi="宋体" w:cs="宋体"/>
          <w:color w:val="auto"/>
          <w:szCs w:val="21"/>
          <w:highlight w:val="none"/>
        </w:rPr>
        <w:t>知识转移策略</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10）</w:t>
      </w:r>
      <w:r>
        <w:rPr>
          <w:rFonts w:hint="eastAsia" w:ascii="宋体" w:hAnsi="宋体" w:cs="宋体"/>
          <w:color w:val="auto"/>
          <w:szCs w:val="21"/>
          <w:highlight w:val="none"/>
        </w:rPr>
        <w:t>数据管理策略</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11）</w:t>
      </w:r>
      <w:r>
        <w:rPr>
          <w:rFonts w:hint="eastAsia" w:ascii="宋体" w:hAnsi="宋体" w:cs="宋体"/>
          <w:color w:val="auto"/>
          <w:szCs w:val="21"/>
          <w:highlight w:val="none"/>
        </w:rPr>
        <w:t>业务规划方案（含调研报告、需求说明书、需求分析报告、差异分析报告、行业最佳模板、技术方案等）</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12）</w:t>
      </w:r>
      <w:r>
        <w:rPr>
          <w:rFonts w:hint="eastAsia" w:ascii="宋体" w:hAnsi="宋体" w:cs="宋体"/>
          <w:color w:val="auto"/>
          <w:szCs w:val="21"/>
          <w:highlight w:val="none"/>
        </w:rPr>
        <w:t>业务蓝图设计方案</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13）</w:t>
      </w:r>
      <w:r>
        <w:rPr>
          <w:rFonts w:hint="eastAsia" w:ascii="宋体" w:hAnsi="宋体" w:cs="宋体"/>
          <w:color w:val="auto"/>
          <w:szCs w:val="21"/>
          <w:highlight w:val="none"/>
        </w:rPr>
        <w:t>系统设计方案</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14）</w:t>
      </w:r>
      <w:r>
        <w:rPr>
          <w:rFonts w:hint="eastAsia" w:ascii="宋体" w:hAnsi="宋体" w:cs="宋体"/>
          <w:color w:val="auto"/>
          <w:szCs w:val="21"/>
          <w:highlight w:val="none"/>
        </w:rPr>
        <w:t>系统概要设计报告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15）</w:t>
      </w:r>
      <w:r>
        <w:rPr>
          <w:rFonts w:hint="eastAsia" w:ascii="宋体" w:hAnsi="宋体" w:cs="宋体"/>
          <w:color w:val="auto"/>
          <w:szCs w:val="21"/>
          <w:highlight w:val="none"/>
        </w:rPr>
        <w:t>系统详细设计报告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16）</w:t>
      </w:r>
      <w:r>
        <w:rPr>
          <w:rFonts w:hint="eastAsia" w:ascii="宋体" w:hAnsi="宋体" w:cs="宋体"/>
          <w:color w:val="auto"/>
          <w:szCs w:val="21"/>
          <w:highlight w:val="none"/>
        </w:rPr>
        <w:t>流程设计方案</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17）</w:t>
      </w:r>
      <w:r>
        <w:rPr>
          <w:rFonts w:hint="eastAsia" w:ascii="宋体" w:hAnsi="宋体" w:cs="宋体"/>
          <w:color w:val="auto"/>
          <w:szCs w:val="21"/>
          <w:highlight w:val="none"/>
        </w:rPr>
        <w:t>系统配置文档</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18）</w:t>
      </w:r>
      <w:r>
        <w:rPr>
          <w:rFonts w:hint="eastAsia" w:ascii="宋体" w:hAnsi="宋体" w:cs="宋体"/>
          <w:color w:val="auto"/>
          <w:szCs w:val="21"/>
          <w:highlight w:val="none"/>
        </w:rPr>
        <w:t>开发功能清单</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19）</w:t>
      </w:r>
      <w:r>
        <w:rPr>
          <w:rFonts w:hint="eastAsia" w:ascii="宋体" w:hAnsi="宋体" w:cs="宋体"/>
          <w:color w:val="auto"/>
          <w:szCs w:val="21"/>
          <w:highlight w:val="none"/>
        </w:rPr>
        <w:t>开发手册与开发规范</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20）</w:t>
      </w:r>
      <w:r>
        <w:rPr>
          <w:rFonts w:hint="eastAsia" w:ascii="宋体" w:hAnsi="宋体" w:cs="宋体"/>
          <w:color w:val="auto"/>
          <w:szCs w:val="21"/>
          <w:highlight w:val="none"/>
        </w:rPr>
        <w:t>数据字典或数据库设计说明书</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21）</w:t>
      </w:r>
      <w:r>
        <w:rPr>
          <w:rFonts w:hint="eastAsia" w:ascii="宋体" w:hAnsi="宋体" w:cs="宋体"/>
          <w:color w:val="auto"/>
          <w:szCs w:val="21"/>
          <w:highlight w:val="none"/>
        </w:rPr>
        <w:t>角色权限设计</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22）</w:t>
      </w:r>
      <w:r>
        <w:rPr>
          <w:rFonts w:hint="eastAsia" w:ascii="宋体" w:hAnsi="宋体" w:cs="宋体"/>
          <w:color w:val="auto"/>
          <w:szCs w:val="21"/>
          <w:highlight w:val="none"/>
        </w:rPr>
        <w:t>测试文档（含测试计划、功能测试用例、单元测试、集成测试、系统测试报告、用户验证测试报告）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23）</w:t>
      </w:r>
      <w:r>
        <w:rPr>
          <w:rFonts w:hint="eastAsia" w:ascii="宋体" w:hAnsi="宋体" w:cs="宋体"/>
          <w:color w:val="auto"/>
          <w:szCs w:val="21"/>
          <w:highlight w:val="none"/>
        </w:rPr>
        <w:t>切换计划</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24）</w:t>
      </w:r>
      <w:r>
        <w:rPr>
          <w:rFonts w:hint="eastAsia" w:ascii="宋体" w:hAnsi="宋体" w:cs="宋体"/>
          <w:color w:val="auto"/>
          <w:szCs w:val="21"/>
          <w:highlight w:val="none"/>
        </w:rPr>
        <w:t>系统部署及上线方案</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25）</w:t>
      </w:r>
      <w:r>
        <w:rPr>
          <w:rFonts w:hint="eastAsia" w:ascii="宋体" w:hAnsi="宋体" w:cs="宋体"/>
          <w:color w:val="auto"/>
          <w:szCs w:val="21"/>
          <w:highlight w:val="none"/>
        </w:rPr>
        <w:t>最终用户培训计划</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26）</w:t>
      </w:r>
      <w:r>
        <w:rPr>
          <w:rFonts w:hint="eastAsia" w:ascii="宋体" w:hAnsi="宋体" w:cs="宋体"/>
          <w:color w:val="auto"/>
          <w:szCs w:val="21"/>
          <w:highlight w:val="none"/>
        </w:rPr>
        <w:t>切换检查报告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27）</w:t>
      </w:r>
      <w:r>
        <w:rPr>
          <w:rFonts w:hint="eastAsia" w:ascii="宋体" w:hAnsi="宋体" w:cs="宋体"/>
          <w:color w:val="auto"/>
          <w:szCs w:val="21"/>
          <w:highlight w:val="none"/>
        </w:rPr>
        <w:t>系统试运行报告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28）</w:t>
      </w:r>
      <w:r>
        <w:rPr>
          <w:rFonts w:hint="eastAsia" w:ascii="宋体" w:hAnsi="宋体" w:cs="宋体"/>
          <w:color w:val="auto"/>
          <w:szCs w:val="21"/>
          <w:highlight w:val="none"/>
        </w:rPr>
        <w:t>系统优化计划</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29）</w:t>
      </w:r>
      <w:r>
        <w:rPr>
          <w:rFonts w:hint="eastAsia" w:ascii="宋体" w:hAnsi="宋体" w:cs="宋体"/>
          <w:color w:val="auto"/>
          <w:szCs w:val="21"/>
          <w:highlight w:val="none"/>
        </w:rPr>
        <w:t>项目总体评估报告</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30）</w:t>
      </w:r>
      <w:r>
        <w:rPr>
          <w:rFonts w:hint="eastAsia" w:ascii="宋体" w:hAnsi="宋体" w:cs="宋体"/>
          <w:color w:val="auto"/>
          <w:szCs w:val="21"/>
          <w:highlight w:val="none"/>
        </w:rPr>
        <w:t>系统管理员手册</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31）</w:t>
      </w:r>
      <w:r>
        <w:rPr>
          <w:rFonts w:hint="eastAsia" w:ascii="宋体" w:hAnsi="宋体" w:cs="宋体"/>
          <w:color w:val="auto"/>
          <w:szCs w:val="21"/>
          <w:highlight w:val="none"/>
        </w:rPr>
        <w:t>用户手册</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r>
        <w:rPr>
          <w:rFonts w:hint="eastAsia" w:ascii="宋体" w:hAnsi="宋体" w:cs="宋体"/>
          <w:color w:val="auto"/>
          <w:szCs w:val="21"/>
          <w:highlight w:val="none"/>
          <w:lang w:eastAsia="zh-CN"/>
        </w:rPr>
        <w:t>32）</w:t>
      </w:r>
      <w:r>
        <w:rPr>
          <w:rFonts w:hint="eastAsia" w:ascii="宋体" w:hAnsi="宋体" w:cs="宋体"/>
          <w:color w:val="auto"/>
          <w:szCs w:val="21"/>
          <w:highlight w:val="none"/>
        </w:rPr>
        <w:t>软件源代码</w:t>
      </w:r>
    </w:p>
    <w:p>
      <w:pPr>
        <w:pStyle w:val="60"/>
        <w:numPr>
          <w:ilvl w:val="-1"/>
          <w:numId w:val="0"/>
        </w:numPr>
        <w:spacing w:after="0" w:afterLines="0" w:line="360" w:lineRule="auto"/>
        <w:ind w:left="420" w:leftChars="200" w:firstLine="0"/>
        <w:contextualSpacing w:val="0"/>
        <w:rPr>
          <w:rFonts w:hint="eastAsia" w:ascii="宋体" w:hAnsi="宋体" w:cs="宋体"/>
          <w:color w:val="auto"/>
          <w:szCs w:val="21"/>
          <w:highlight w:val="none"/>
        </w:rPr>
      </w:pPr>
    </w:p>
    <w:p>
      <w:pPr>
        <w:pStyle w:val="2"/>
        <w:numPr>
          <w:ilvl w:val="0"/>
          <w:numId w:val="5"/>
        </w:numPr>
        <w:spacing w:before="0" w:beforeLines="0" w:after="0" w:afterLines="0" w:line="360" w:lineRule="auto"/>
        <w:rPr>
          <w:rFonts w:ascii="宋体" w:hAnsi="宋体" w:cs="宋体"/>
          <w:color w:val="auto"/>
          <w:sz w:val="21"/>
          <w:szCs w:val="21"/>
          <w:highlight w:val="none"/>
        </w:rPr>
      </w:pPr>
      <w:bookmarkStart w:id="962" w:name="_Toc983"/>
      <w:r>
        <w:rPr>
          <w:rFonts w:hint="eastAsia" w:ascii="宋体" w:hAnsi="宋体" w:cs="宋体"/>
          <w:color w:val="auto"/>
          <w:sz w:val="21"/>
          <w:szCs w:val="21"/>
          <w:highlight w:val="none"/>
        </w:rPr>
        <w:t>验收及相关资料</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2"/>
    </w:p>
    <w:p>
      <w:pPr>
        <w:numPr>
          <w:ilvl w:val="255"/>
          <w:numId w:val="0"/>
        </w:num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本项目验收分为系统方案验收、系统初验、系统推广、最终验收四个验收节点。</w:t>
      </w:r>
    </w:p>
    <w:p>
      <w:pPr>
        <w:pStyle w:val="3"/>
        <w:numPr>
          <w:ilvl w:val="1"/>
          <w:numId w:val="5"/>
        </w:numPr>
        <w:spacing w:before="0" w:beforeLines="0" w:after="0" w:afterLines="0" w:line="360" w:lineRule="auto"/>
        <w:rPr>
          <w:rFonts w:ascii="宋体" w:hAnsi="宋体" w:cs="宋体"/>
          <w:color w:val="auto"/>
          <w:szCs w:val="21"/>
          <w:highlight w:val="none"/>
        </w:rPr>
      </w:pPr>
      <w:bookmarkStart w:id="963" w:name="_Toc214973069"/>
      <w:bookmarkStart w:id="964" w:name="_Toc32185"/>
      <w:bookmarkStart w:id="965" w:name="_Toc23885"/>
      <w:r>
        <w:rPr>
          <w:rFonts w:hint="eastAsia" w:ascii="宋体" w:hAnsi="宋体" w:cs="宋体"/>
          <w:color w:val="auto"/>
          <w:szCs w:val="21"/>
          <w:highlight w:val="none"/>
        </w:rPr>
        <w:t>系统方案</w:t>
      </w:r>
      <w:bookmarkEnd w:id="963"/>
      <w:r>
        <w:rPr>
          <w:rFonts w:hint="eastAsia" w:ascii="宋体" w:hAnsi="宋体" w:cs="宋体"/>
          <w:color w:val="auto"/>
          <w:szCs w:val="21"/>
          <w:highlight w:val="none"/>
        </w:rPr>
        <w:t>验收</w:t>
      </w:r>
      <w:bookmarkEnd w:id="964"/>
      <w:bookmarkEnd w:id="965"/>
    </w:p>
    <w:p>
      <w:pPr>
        <w:numPr>
          <w:ilvl w:val="255"/>
          <w:numId w:val="0"/>
        </w:numPr>
        <w:spacing w:after="0" w:afterLines="0"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投标人负责系统方案编制，包括《需求规格说明书》，《系统概要设计》，《系统详细设计》、《系统集成方案》及《整体部署实施方案》等。</w:t>
      </w:r>
    </w:p>
    <w:p>
      <w:pPr>
        <w:pStyle w:val="3"/>
        <w:numPr>
          <w:ilvl w:val="1"/>
          <w:numId w:val="5"/>
        </w:numPr>
        <w:spacing w:before="0" w:beforeLines="0" w:after="0" w:afterLines="0" w:line="360" w:lineRule="auto"/>
        <w:rPr>
          <w:rFonts w:ascii="宋体" w:hAnsi="宋体" w:cs="宋体"/>
          <w:color w:val="auto"/>
          <w:szCs w:val="21"/>
          <w:highlight w:val="none"/>
        </w:rPr>
      </w:pPr>
      <w:bookmarkStart w:id="966" w:name="_Toc214973070"/>
      <w:bookmarkStart w:id="967" w:name="_Toc14568"/>
      <w:bookmarkStart w:id="968" w:name="_Toc23014"/>
      <w:bookmarkStart w:id="969" w:name="_Toc31226"/>
      <w:r>
        <w:rPr>
          <w:rFonts w:hint="eastAsia" w:ascii="宋体" w:hAnsi="宋体" w:cs="宋体"/>
          <w:color w:val="auto"/>
          <w:szCs w:val="21"/>
          <w:highlight w:val="none"/>
        </w:rPr>
        <w:t>系统</w:t>
      </w:r>
      <w:bookmarkEnd w:id="966"/>
      <w:r>
        <w:rPr>
          <w:rFonts w:hint="eastAsia" w:ascii="宋体" w:hAnsi="宋体" w:cs="宋体"/>
          <w:color w:val="auto"/>
          <w:szCs w:val="21"/>
          <w:highlight w:val="none"/>
        </w:rPr>
        <w:t>试点验证</w:t>
      </w:r>
      <w:bookmarkEnd w:id="967"/>
      <w:bookmarkEnd w:id="968"/>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系统试点验证，在进行全省推广前需完成2个站点的验证。在系统试点验证前，需通过等保2.0三级</w:t>
      </w:r>
      <w:r>
        <w:rPr>
          <w:rFonts w:hint="eastAsia" w:ascii="宋体" w:hAnsi="宋体"/>
          <w:color w:val="auto"/>
          <w:kern w:val="0"/>
          <w:sz w:val="21"/>
          <w:szCs w:val="21"/>
          <w:highlight w:val="none"/>
          <w:lang w:val="en-US" w:eastAsia="zh-CN"/>
        </w:rPr>
        <w:t>网络安全</w:t>
      </w:r>
      <w:r>
        <w:rPr>
          <w:rFonts w:hint="eastAsia" w:ascii="宋体" w:hAnsi="宋体"/>
          <w:color w:val="auto"/>
          <w:kern w:val="0"/>
          <w:sz w:val="21"/>
          <w:szCs w:val="21"/>
          <w:highlight w:val="none"/>
        </w:rPr>
        <w:t>测评。</w:t>
      </w:r>
    </w:p>
    <w:bookmarkEnd w:id="969"/>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
        </w:rPr>
        <w:tab/>
      </w:r>
      <w:r>
        <w:rPr>
          <w:rFonts w:hint="eastAsia" w:ascii="宋体" w:hAnsi="宋体"/>
          <w:color w:val="auto"/>
          <w:kern w:val="0"/>
          <w:sz w:val="21"/>
          <w:szCs w:val="21"/>
          <w:highlight w:val="none"/>
          <w:lang w:eastAsia="zh"/>
        </w:rPr>
        <w:t>在试点验证阶段，需确保所选站点能够全面反映系统在不同环境下的运行表现。每个站点的验证过程应包括功能测试、性能评估以及用户体验反馈收集。针对发现的问题，应及时进行调整和优化，确保系统稳定性和可靠性达到预期目标。同时，试点验证的结果将作为全省推广的重要依据，需形成详细的验证报告，包含数据分析、问题总结及改进建议等内容。此报告需提交至相关部门审核，以确认是否具备推广条件。</w:t>
      </w:r>
    </w:p>
    <w:p>
      <w:pPr>
        <w:pStyle w:val="3"/>
        <w:numPr>
          <w:ilvl w:val="1"/>
          <w:numId w:val="5"/>
        </w:numPr>
        <w:spacing w:before="0" w:beforeLines="0" w:after="0" w:afterLines="0" w:line="360" w:lineRule="auto"/>
        <w:rPr>
          <w:rFonts w:ascii="宋体" w:hAnsi="宋体" w:cs="宋体"/>
          <w:color w:val="auto"/>
          <w:szCs w:val="21"/>
          <w:highlight w:val="none"/>
        </w:rPr>
      </w:pPr>
      <w:bookmarkStart w:id="970" w:name="_Toc10066"/>
      <w:bookmarkStart w:id="971" w:name="_Toc2420"/>
      <w:r>
        <w:rPr>
          <w:rFonts w:hint="eastAsia" w:ascii="宋体" w:hAnsi="宋体" w:cs="宋体"/>
          <w:color w:val="auto"/>
          <w:szCs w:val="21"/>
          <w:highlight w:val="none"/>
        </w:rPr>
        <w:t>全省推广及验收</w:t>
      </w:r>
      <w:bookmarkEnd w:id="970"/>
      <w:bookmarkEnd w:id="971"/>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ab/>
      </w:r>
      <w:r>
        <w:rPr>
          <w:rFonts w:hint="eastAsia" w:ascii="宋体" w:hAnsi="宋体"/>
          <w:color w:val="auto"/>
          <w:kern w:val="0"/>
          <w:sz w:val="21"/>
          <w:szCs w:val="21"/>
          <w:highlight w:val="none"/>
        </w:rPr>
        <w:t>系统全省推广并进行试运行3个月。验收要求系统稳定试运行满3个月，且满足以下全部条件。投标人需以书面形式向招标人提出试运行申请，内容包括：《系统试运行申请》、《系统测试报告》、《使用手册》、《安装配置手册》、《技术资料移交清单》等。具体要求如下：</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（1）</w:t>
      </w:r>
      <w:r>
        <w:rPr>
          <w:rFonts w:hint="eastAsia" w:ascii="宋体" w:hAnsi="宋体"/>
          <w:color w:val="auto"/>
          <w:kern w:val="0"/>
          <w:sz w:val="21"/>
          <w:szCs w:val="21"/>
          <w:highlight w:val="none"/>
        </w:rPr>
        <w:t>系统在全省范围内推广时，需制定详细的推广计划，包括各地区的实施时间表、资源配置方案以及风险应对措施。</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（2）</w:t>
      </w:r>
      <w:r>
        <w:rPr>
          <w:rFonts w:hint="eastAsia" w:ascii="宋体" w:hAnsi="宋体"/>
          <w:color w:val="auto"/>
          <w:kern w:val="0"/>
          <w:sz w:val="21"/>
          <w:szCs w:val="21"/>
          <w:highlight w:val="none"/>
        </w:rPr>
        <w:t>推广过程中应确保技术支持团队的及时响应，解决各地反馈的问题，并根据实际运行情况对系统进行必要的调整和优化。</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（3）</w:t>
      </w:r>
      <w:r>
        <w:rPr>
          <w:rFonts w:hint="eastAsia" w:ascii="宋体" w:hAnsi="宋体"/>
          <w:color w:val="auto"/>
          <w:kern w:val="0"/>
          <w:sz w:val="21"/>
          <w:szCs w:val="21"/>
          <w:highlight w:val="none"/>
        </w:rPr>
        <w:t>建立有效的沟通机制，定期向各区域负责人汇报推广进展，收集用户反馈，为后续改进提供依据。</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（4）</w:t>
      </w:r>
      <w:r>
        <w:rPr>
          <w:rFonts w:hint="eastAsia" w:ascii="宋体" w:hAnsi="宋体"/>
          <w:color w:val="auto"/>
          <w:kern w:val="0"/>
          <w:sz w:val="21"/>
          <w:szCs w:val="21"/>
          <w:highlight w:val="none"/>
        </w:rPr>
        <w:t>准备充足的培训材料，针对不同层级的用户开展专项培训，确保其能够熟练操作系统并理解相关功能。</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（5）</w:t>
      </w:r>
      <w:r>
        <w:rPr>
          <w:rFonts w:hint="eastAsia" w:ascii="宋体" w:hAnsi="宋体"/>
          <w:color w:val="auto"/>
          <w:kern w:val="0"/>
          <w:sz w:val="21"/>
          <w:szCs w:val="21"/>
          <w:highlight w:val="none"/>
        </w:rPr>
        <w:t>系统上线后稳定运行，在试运行期间提出的问题得到及时解决。</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（6）</w:t>
      </w:r>
      <w:r>
        <w:rPr>
          <w:rFonts w:hint="eastAsia" w:ascii="宋体" w:hAnsi="宋体"/>
          <w:color w:val="auto"/>
          <w:kern w:val="0"/>
          <w:sz w:val="21"/>
          <w:szCs w:val="21"/>
          <w:highlight w:val="none"/>
        </w:rPr>
        <w:t>系统中各功能模块使用正常、数据准确、性能良好。</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lang w:eastAsia="zh-CN"/>
        </w:rPr>
        <w:t>（7）</w:t>
      </w:r>
      <w:r>
        <w:rPr>
          <w:rFonts w:hint="eastAsia" w:ascii="宋体" w:hAnsi="宋体"/>
          <w:color w:val="auto"/>
          <w:kern w:val="0"/>
          <w:sz w:val="21"/>
          <w:szCs w:val="21"/>
          <w:highlight w:val="none"/>
        </w:rPr>
        <w:t>供货范围符合技术规范书要求。</w:t>
      </w:r>
    </w:p>
    <w:bookmarkEnd w:id="960"/>
    <w:bookmarkEnd w:id="961"/>
    <w:p>
      <w:pPr>
        <w:pStyle w:val="3"/>
        <w:numPr>
          <w:ilvl w:val="1"/>
          <w:numId w:val="5"/>
        </w:numPr>
        <w:spacing w:before="0" w:beforeLines="0" w:after="0" w:afterLines="0" w:line="360" w:lineRule="auto"/>
        <w:rPr>
          <w:rFonts w:ascii="宋体" w:hAnsi="宋体" w:cs="宋体"/>
          <w:color w:val="auto"/>
          <w:szCs w:val="21"/>
          <w:highlight w:val="none"/>
        </w:rPr>
      </w:pPr>
      <w:bookmarkStart w:id="972" w:name="_Toc214973072"/>
      <w:bookmarkEnd w:id="972"/>
      <w:bookmarkStart w:id="973" w:name="_Toc214973078"/>
      <w:bookmarkEnd w:id="973"/>
      <w:bookmarkStart w:id="974" w:name="_Toc214973076"/>
      <w:bookmarkEnd w:id="974"/>
      <w:bookmarkStart w:id="975" w:name="_Toc214973077"/>
      <w:bookmarkEnd w:id="975"/>
      <w:bookmarkStart w:id="976" w:name="_Toc214973075"/>
      <w:bookmarkEnd w:id="976"/>
      <w:bookmarkStart w:id="977" w:name="_Toc214973074"/>
      <w:bookmarkEnd w:id="977"/>
      <w:bookmarkStart w:id="978" w:name="_Toc214973073"/>
      <w:bookmarkEnd w:id="978"/>
      <w:bookmarkStart w:id="979" w:name="_Toc27862"/>
      <w:bookmarkStart w:id="980" w:name="_Toc15487"/>
      <w:bookmarkStart w:id="981" w:name="_Toc17041"/>
      <w:bookmarkStart w:id="982" w:name="_Toc1269633944"/>
      <w:bookmarkStart w:id="983" w:name="_Toc176784333"/>
      <w:bookmarkStart w:id="984" w:name="_Toc4379"/>
      <w:bookmarkStart w:id="985" w:name="_Toc14303"/>
      <w:bookmarkStart w:id="986" w:name="_Toc8022"/>
      <w:bookmarkStart w:id="987" w:name="_Toc23799"/>
      <w:bookmarkStart w:id="988" w:name="_Toc16515"/>
      <w:bookmarkStart w:id="989" w:name="_Toc20881"/>
      <w:bookmarkStart w:id="990" w:name="_Toc16194"/>
      <w:bookmarkStart w:id="991" w:name="_Toc1806"/>
      <w:bookmarkStart w:id="992" w:name="_Toc15255"/>
      <w:bookmarkStart w:id="993" w:name="_Toc17520"/>
      <w:bookmarkStart w:id="994" w:name="_Toc11225"/>
      <w:bookmarkStart w:id="995" w:name="_Toc18808"/>
      <w:bookmarkStart w:id="996" w:name="_Toc24232"/>
      <w:bookmarkStart w:id="997" w:name="_Toc16660"/>
      <w:bookmarkStart w:id="998" w:name="_Toc371"/>
      <w:bookmarkStart w:id="999" w:name="_Toc8566"/>
      <w:bookmarkStart w:id="1000" w:name="_Toc16617"/>
      <w:bookmarkStart w:id="1001" w:name="_Toc18066"/>
      <w:bookmarkStart w:id="1002" w:name="_Toc819"/>
      <w:bookmarkStart w:id="1003" w:name="_Toc21509"/>
      <w:bookmarkStart w:id="1004" w:name="_Toc6027"/>
      <w:bookmarkStart w:id="1005" w:name="_Toc21928"/>
      <w:bookmarkStart w:id="1006" w:name="_Toc17037"/>
      <w:bookmarkStart w:id="1007" w:name="_Toc30149"/>
      <w:bookmarkStart w:id="1008" w:name="_Toc3264"/>
      <w:bookmarkStart w:id="1009" w:name="_Toc16714"/>
      <w:bookmarkStart w:id="1010" w:name="_Toc7351"/>
      <w:bookmarkStart w:id="1011" w:name="_Toc9303"/>
      <w:bookmarkStart w:id="1012" w:name="_Toc11013"/>
      <w:bookmarkStart w:id="1013" w:name="_Toc8849"/>
      <w:bookmarkStart w:id="1014" w:name="_Toc16036"/>
      <w:bookmarkStart w:id="1015" w:name="_Toc31766"/>
      <w:bookmarkStart w:id="1016" w:name="_Toc4352"/>
      <w:bookmarkStart w:id="1017" w:name="_Toc22721"/>
      <w:bookmarkStart w:id="1018" w:name="_Toc23801"/>
      <w:bookmarkStart w:id="1019" w:name="_Toc20225"/>
      <w:bookmarkStart w:id="1020" w:name="_Toc21349"/>
      <w:bookmarkStart w:id="1021" w:name="_Toc13867"/>
      <w:bookmarkStart w:id="1022" w:name="_Toc4150"/>
      <w:bookmarkStart w:id="1023" w:name="_Toc4344"/>
      <w:bookmarkStart w:id="1024" w:name="_Toc74161980"/>
      <w:bookmarkStart w:id="1025" w:name="_Toc13644"/>
      <w:bookmarkStart w:id="1026" w:name="_Toc2757"/>
      <w:bookmarkStart w:id="1027" w:name="_Toc8425"/>
      <w:bookmarkStart w:id="1028" w:name="_Toc25069"/>
      <w:bookmarkStart w:id="1029" w:name="_Toc12339"/>
      <w:bookmarkStart w:id="1030" w:name="_Toc518454456"/>
      <w:r>
        <w:rPr>
          <w:rFonts w:hint="eastAsia" w:ascii="宋体" w:hAnsi="宋体" w:cs="宋体"/>
          <w:color w:val="auto"/>
          <w:szCs w:val="21"/>
          <w:highlight w:val="none"/>
        </w:rPr>
        <w:t>最终验收</w:t>
      </w:r>
      <w:bookmarkEnd w:id="979"/>
      <w:bookmarkEnd w:id="980"/>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系统推广完成并验收通过后，进入1年免费质保运维期。</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在招标人遵守投标人操作和使用规则的前提下，从系统调试合格之日起，在质量保证期内系统发生故障无法正常运行时，投标人应及时为招标人提供解决方案，使系统恢复正常使用。</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在质保期内系统问题均得到解决，项目终验。投标人以书面形式向招标人提出验收申请，内容包括：《最终验收申请》、《最终配置清单》、《运维报告》等。</w:t>
      </w:r>
    </w:p>
    <w:p>
      <w:pPr>
        <w:pStyle w:val="118"/>
        <w:adjustRightInd w:val="0"/>
        <w:snapToGrid w:val="0"/>
        <w:spacing w:before="0" w:after="0"/>
        <w:ind w:firstLine="420"/>
        <w:rPr>
          <w:rFonts w:ascii="宋体" w:hAnsi="宋体"/>
          <w:color w:val="auto"/>
          <w:kern w:val="0"/>
          <w:sz w:val="21"/>
          <w:szCs w:val="21"/>
          <w:highlight w:val="none"/>
        </w:rPr>
      </w:pPr>
      <w:r>
        <w:rPr>
          <w:rFonts w:hint="eastAsia" w:ascii="宋体" w:hAnsi="宋体"/>
          <w:color w:val="auto"/>
          <w:kern w:val="0"/>
          <w:sz w:val="21"/>
          <w:szCs w:val="21"/>
          <w:highlight w:val="none"/>
        </w:rPr>
        <w:t>质保期满后，如出现质量问题，招标人可联系投标人处理，具体费用由招标人和投标人协商确定。</w:t>
      </w:r>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kern w:val="0"/>
          <w:sz w:val="21"/>
          <w:szCs w:val="21"/>
          <w:highlight w:val="none"/>
        </w:rPr>
        <w:t>投标人提供给招标人的系统，均应附带使用说明书等相关文件。</w:t>
      </w:r>
    </w:p>
    <w:p>
      <w:pPr>
        <w:pStyle w:val="2"/>
        <w:numPr>
          <w:ilvl w:val="0"/>
          <w:numId w:val="5"/>
        </w:numPr>
        <w:spacing w:before="0" w:beforeLines="0" w:after="0" w:afterLines="0" w:line="360" w:lineRule="auto"/>
        <w:rPr>
          <w:rFonts w:ascii="宋体" w:hAnsi="宋体" w:cs="宋体"/>
          <w:color w:val="auto"/>
          <w:sz w:val="21"/>
          <w:szCs w:val="21"/>
          <w:highlight w:val="none"/>
        </w:rPr>
      </w:pPr>
      <w:bookmarkStart w:id="1031" w:name="_Toc30874"/>
      <w:bookmarkStart w:id="1032" w:name="_Toc214973080"/>
      <w:bookmarkStart w:id="1033" w:name="_Toc27830"/>
      <w:r>
        <w:rPr>
          <w:rFonts w:hint="eastAsia" w:ascii="宋体" w:hAnsi="宋体" w:cs="宋体"/>
          <w:color w:val="auto"/>
          <w:sz w:val="21"/>
          <w:szCs w:val="21"/>
          <w:highlight w:val="none"/>
        </w:rPr>
        <w:t>技术支持及售后服务要求</w:t>
      </w:r>
      <w:bookmarkEnd w:id="981"/>
      <w:bookmarkEnd w:id="982"/>
      <w:bookmarkEnd w:id="983"/>
      <w:bookmarkEnd w:id="1031"/>
      <w:bookmarkEnd w:id="1032"/>
      <w:bookmarkEnd w:id="1033"/>
    </w:p>
    <w:p>
      <w:pPr>
        <w:pStyle w:val="3"/>
        <w:numPr>
          <w:ilvl w:val="1"/>
          <w:numId w:val="5"/>
        </w:numPr>
        <w:spacing w:before="0" w:beforeLines="0" w:after="0" w:afterLines="0" w:line="360" w:lineRule="auto"/>
        <w:rPr>
          <w:rFonts w:ascii="宋体" w:hAnsi="宋体" w:cs="宋体"/>
          <w:color w:val="auto"/>
          <w:szCs w:val="21"/>
          <w:highlight w:val="none"/>
        </w:rPr>
      </w:pPr>
      <w:bookmarkStart w:id="1034" w:name="_Toc13246"/>
      <w:bookmarkStart w:id="1035" w:name="_Toc14724"/>
      <w:r>
        <w:rPr>
          <w:rFonts w:hint="eastAsia" w:ascii="宋体" w:hAnsi="宋体" w:cs="宋体"/>
          <w:color w:val="auto"/>
          <w:szCs w:val="21"/>
          <w:highlight w:val="none"/>
        </w:rPr>
        <w:t>技术支持要求</w:t>
      </w:r>
      <w:bookmarkEnd w:id="1034"/>
      <w:bookmarkEnd w:id="1035"/>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投标人在组建项目管理团队和技术服务团队时，应当以高度负责的态度进行人员选拔和配置，确保团队成员具备相应的专业资质和项目经验。在项目实施过程中，未经招标人以书面形式明确同意，投标人不得擅自调整或更换项目服务人员。同时，若招标人在项目执行过程中发现任何服务人员存在能力不足或工作表现不符合要求的情况，投标人必须按照招标人的要求立即予以更换，并确保新到岗人员能够胜任相关工作。</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投标人必须严格按照项目进度计划，在招标人指定的工作场所完成软件系统的整体安装部署、系统调试及性能优化等全部实施工作，确保交付的系统达到招标人要求的可用性标准。在实施过程中，投标人还需安排专业技术人员对招标人的项目工作人员进行全程指导，使其能够全面参与软件系统的安装部署、功能测试、性能诊断及问题排查等各个环节的工作。对于项目实施各阶段的具体执行方案，投标人应当提前至少5个工作日提交给招标人进行审核确认，并根据招标人的反馈意见进行必要的修改完善。</w:t>
      </w:r>
    </w:p>
    <w:p>
      <w:pPr>
        <w:pStyle w:val="46"/>
        <w:adjustRightInd w:val="0"/>
        <w:snapToGrid w:val="0"/>
        <w:spacing w:line="360" w:lineRule="auto"/>
        <w:ind w:firstLine="420" w:firstLineChars="200"/>
        <w:rPr>
          <w:rFonts w:ascii="宋体" w:hAnsi="宋体" w:cs="宋体"/>
          <w:color w:val="auto"/>
          <w:szCs w:val="21"/>
          <w:highlight w:val="none"/>
        </w:rPr>
      </w:pPr>
    </w:p>
    <w:p>
      <w:pPr>
        <w:pStyle w:val="3"/>
        <w:numPr>
          <w:ilvl w:val="1"/>
          <w:numId w:val="5"/>
        </w:numPr>
        <w:spacing w:before="0" w:beforeLines="0" w:after="0" w:afterLines="0" w:line="360" w:lineRule="auto"/>
        <w:rPr>
          <w:rFonts w:ascii="宋体" w:hAnsi="宋体" w:cs="宋体"/>
          <w:color w:val="auto"/>
          <w:szCs w:val="21"/>
          <w:highlight w:val="none"/>
        </w:rPr>
      </w:pPr>
      <w:bookmarkStart w:id="1036" w:name="_Toc1797"/>
      <w:bookmarkStart w:id="1037" w:name="_Toc8925"/>
      <w:r>
        <w:rPr>
          <w:rFonts w:hint="eastAsia" w:ascii="宋体" w:hAnsi="宋体" w:cs="宋体"/>
          <w:color w:val="auto"/>
          <w:szCs w:val="21"/>
          <w:highlight w:val="none"/>
        </w:rPr>
        <w:t>售后要求</w:t>
      </w:r>
      <w:bookmarkEnd w:id="1036"/>
      <w:bookmarkEnd w:id="1037"/>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投标人必须在投标文件中明确承诺各项服务的响应时间和服务内容细则，并明确提供针对本项目的售后服务体系。</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在合同约定的服务保障期内，投标人应当提供全天候不间断的技术支持服务</w:t>
      </w:r>
      <w:r>
        <w:rPr>
          <w:rFonts w:hint="eastAsia" w:ascii="宋体" w:hAnsi="宋体" w:cs="宋体"/>
          <w:color w:val="auto"/>
          <w:szCs w:val="21"/>
          <w:highlight w:val="none"/>
        </w:rPr>
        <w:t>，</w:t>
      </w:r>
      <w:r>
        <w:rPr>
          <w:rFonts w:hint="eastAsia" w:ascii="宋体" w:hAnsi="宋体" w:cs="宋体"/>
          <w:color w:val="auto"/>
          <w:szCs w:val="21"/>
          <w:highlight w:val="none"/>
        </w:rPr>
        <w:t>确保每周7天、每天24小时均有专业技术人员提供质量保证和技术支持。当系统出现故障时，投标人必须在30分钟内做出实质性响应，并在4小时内彻底解决问题；对于无法立即解决的复杂故障，投标人必须立即启动预先制定的应急处理预案，采取有效的临时措施确保招标人系统的持续稳定运行，直至问题完全解决。</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在质保期间，投标人需提供至少4名员工到浙石油销售公司进行驻场服务。</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在售后服务期间，投标人应提供阶段性售后服务总结报告。</w:t>
      </w:r>
    </w:p>
    <w:p>
      <w:pPr>
        <w:pStyle w:val="2"/>
        <w:numPr>
          <w:ilvl w:val="0"/>
          <w:numId w:val="5"/>
        </w:numPr>
        <w:spacing w:before="0" w:beforeLines="0" w:after="0" w:afterLines="0" w:line="360" w:lineRule="auto"/>
        <w:ind w:left="0" w:firstLine="0"/>
        <w:rPr>
          <w:rFonts w:ascii="宋体" w:hAnsi="宋体" w:cs="宋体"/>
          <w:color w:val="auto"/>
          <w:sz w:val="21"/>
          <w:szCs w:val="21"/>
          <w:highlight w:val="none"/>
        </w:rPr>
      </w:pPr>
      <w:bookmarkStart w:id="1038" w:name="_Toc24053"/>
      <w:bookmarkStart w:id="1039" w:name="_Toc214973081"/>
      <w:bookmarkStart w:id="1040" w:name="_Toc18406"/>
      <w:bookmarkStart w:id="1041" w:name="_Toc1340180216"/>
      <w:bookmarkStart w:id="1042" w:name="_Toc75"/>
      <w:bookmarkStart w:id="1043" w:name="_Toc176784334"/>
      <w:r>
        <w:rPr>
          <w:rFonts w:hint="eastAsia" w:ascii="宋体" w:hAnsi="宋体" w:cs="宋体"/>
          <w:color w:val="auto"/>
          <w:sz w:val="21"/>
          <w:szCs w:val="21"/>
          <w:highlight w:val="none"/>
        </w:rPr>
        <w:t>培训和设计联络</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8"/>
      <w:bookmarkEnd w:id="1039"/>
      <w:bookmarkEnd w:id="1040"/>
      <w:bookmarkEnd w:id="1041"/>
      <w:bookmarkEnd w:id="1042"/>
      <w:bookmarkEnd w:id="1043"/>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投标人需负责对招标人的使用人员、系统管理人员和技术人员开展培训，培训总次数不少于3次。培训的方式、时间、课程内容、参与人数、地点等事宜由招标人确定。投标人应安排经验丰富的专家来设计培训课程及知识题库，课程及题库应满足招标人要求并通过招标人审核。投标人需向学员提供必要的技术资料，同时允许学员自行留存培训期间的笔记本、技术资料及有关文件。</w:t>
      </w:r>
    </w:p>
    <w:p>
      <w:pPr>
        <w:pStyle w:val="46"/>
        <w:adjustRightInd w:val="0"/>
        <w:snapToGrid w:val="0"/>
        <w:spacing w:before="156" w:beforeLines="50" w:line="360" w:lineRule="auto"/>
        <w:ind w:firstLine="420"/>
        <w:rPr>
          <w:rFonts w:ascii="宋体" w:hAnsi="宋体" w:cs="宋体"/>
          <w:color w:val="auto"/>
          <w:szCs w:val="21"/>
          <w:highlight w:val="none"/>
        </w:rPr>
      </w:pPr>
      <w:r>
        <w:rPr>
          <w:rFonts w:hint="eastAsia" w:ascii="宋体" w:hAnsi="宋体" w:cs="宋体"/>
          <w:color w:val="auto"/>
          <w:szCs w:val="21"/>
          <w:highlight w:val="none"/>
        </w:rPr>
        <w:t>培训的时间、人数、地点等具体内容由招标人、投标人双方协商确定。投标人为招标人的培训人员提供设备、场地、资料等培训条件，并提供食宿以及交通、通讯便利。培训费用包含在合同总价中，若因工程实际需要，招标人增加培训人数和次数均不影响合同总价。</w:t>
      </w:r>
    </w:p>
    <w:p>
      <w:pPr>
        <w:pStyle w:val="46"/>
        <w:adjustRightInd w:val="0"/>
        <w:snapToGrid w:val="0"/>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培训计划和内容需由投标人在投标文件中予以列出。</w:t>
      </w:r>
    </w:p>
    <w:tbl>
      <w:tblPr>
        <w:tblStyle w:val="34"/>
        <w:tblW w:w="8600"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28" w:type="dxa"/>
          <w:bottom w:w="0" w:type="dxa"/>
          <w:right w:w="28" w:type="dxa"/>
        </w:tblCellMar>
      </w:tblPr>
      <w:tblGrid>
        <w:gridCol w:w="920"/>
        <w:gridCol w:w="1400"/>
        <w:gridCol w:w="1830"/>
        <w:gridCol w:w="1080"/>
        <w:gridCol w:w="1080"/>
        <w:gridCol w:w="1080"/>
        <w:gridCol w:w="121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cantSplit/>
          <w:jc w:val="center"/>
        </w:trPr>
        <w:tc>
          <w:tcPr>
            <w:tcW w:w="920" w:type="dxa"/>
            <w:vMerge w:val="restart"/>
            <w:tcBorders>
              <w:top w:val="single" w:color="auto" w:sz="6" w:space="0"/>
              <w:left w:val="single" w:color="auto" w:sz="6" w:space="0"/>
              <w:bottom w:val="nil"/>
              <w:righ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序号</w:t>
            </w:r>
          </w:p>
        </w:tc>
        <w:tc>
          <w:tcPr>
            <w:tcW w:w="1400" w:type="dxa"/>
            <w:vMerge w:val="restart"/>
            <w:tcBorders>
              <w:top w:val="single" w:color="auto" w:sz="6" w:space="0"/>
              <w:left w:val="single" w:color="auto" w:sz="6" w:space="0"/>
              <w:bottom w:val="nil"/>
              <w:righ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培训内容</w:t>
            </w:r>
          </w:p>
        </w:tc>
        <w:tc>
          <w:tcPr>
            <w:tcW w:w="1830" w:type="dxa"/>
            <w:vMerge w:val="restart"/>
            <w:tcBorders>
              <w:top w:val="single" w:color="auto" w:sz="6" w:space="0"/>
              <w:left w:val="single" w:color="auto" w:sz="6" w:space="0"/>
              <w:bottom w:val="nil"/>
              <w:right w:val="single" w:color="auto" w:sz="6" w:space="0"/>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计划人月数</w:t>
            </w:r>
          </w:p>
        </w:tc>
        <w:tc>
          <w:tcPr>
            <w:tcW w:w="2160" w:type="dxa"/>
            <w:gridSpan w:val="2"/>
            <w:tcBorders>
              <w:top w:val="single" w:color="auto" w:sz="6" w:space="0"/>
              <w:left w:val="nil"/>
              <w:bottom w:val="single" w:color="auto" w:sz="6" w:space="0"/>
              <w:righ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培训教师构成</w:t>
            </w:r>
          </w:p>
        </w:tc>
        <w:tc>
          <w:tcPr>
            <w:tcW w:w="1080" w:type="dxa"/>
            <w:vMerge w:val="restart"/>
            <w:tcBorders>
              <w:top w:val="single" w:color="auto" w:sz="6" w:space="0"/>
              <w:left w:val="single" w:color="auto" w:sz="6" w:space="0"/>
              <w:bottom w:val="nil"/>
              <w:righ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地点</w:t>
            </w:r>
          </w:p>
        </w:tc>
        <w:tc>
          <w:tcPr>
            <w:tcW w:w="1210" w:type="dxa"/>
            <w:vMerge w:val="restart"/>
            <w:tcBorders>
              <w:top w:val="single" w:color="auto" w:sz="6" w:space="0"/>
              <w:left w:val="single" w:color="auto" w:sz="6" w:space="0"/>
              <w:bottom w:val="nil"/>
              <w:right w:val="single" w:color="auto" w:sz="6" w:space="0"/>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备注</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cantSplit/>
          <w:jc w:val="center"/>
        </w:trPr>
        <w:tc>
          <w:tcPr>
            <w:tcW w:w="920" w:type="dxa"/>
            <w:vMerge w:val="continue"/>
            <w:tcBorders>
              <w:top w:val="nil"/>
              <w:left w:val="single" w:color="auto" w:sz="6" w:space="0"/>
              <w:bottom w:val="single" w:color="auto" w:sz="6" w:space="0"/>
              <w:right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400" w:type="dxa"/>
            <w:vMerge w:val="continue"/>
            <w:tcBorders>
              <w:top w:val="nil"/>
              <w:left w:val="single" w:color="auto" w:sz="6" w:space="0"/>
              <w:bottom w:val="single" w:color="auto" w:sz="6" w:space="0"/>
              <w:right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830" w:type="dxa"/>
            <w:vMerge w:val="continue"/>
            <w:tcBorders>
              <w:top w:val="nil"/>
              <w:left w:val="single" w:color="auto" w:sz="6" w:space="0"/>
              <w:bottom w:val="single" w:color="auto" w:sz="6" w:space="0"/>
              <w:right w:val="single" w:color="auto" w:sz="6" w:space="0"/>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tcBorders>
              <w:top w:val="nil"/>
              <w:lef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职称</w:t>
            </w:r>
          </w:p>
        </w:tc>
        <w:tc>
          <w:tcPr>
            <w:tcW w:w="1080" w:type="dxa"/>
            <w:tcBorders>
              <w:top w:val="nil"/>
              <w:right w:val="nil"/>
            </w:tcBorders>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人数</w:t>
            </w:r>
          </w:p>
        </w:tc>
        <w:tc>
          <w:tcPr>
            <w:tcW w:w="1080" w:type="dxa"/>
            <w:vMerge w:val="continue"/>
            <w:tcBorders>
              <w:top w:val="nil"/>
              <w:left w:val="single" w:color="auto" w:sz="6" w:space="0"/>
              <w:bottom w:val="single" w:color="auto" w:sz="6" w:space="0"/>
              <w:right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210" w:type="dxa"/>
            <w:vMerge w:val="continue"/>
            <w:tcBorders>
              <w:top w:val="nil"/>
              <w:left w:val="single" w:color="auto" w:sz="6" w:space="0"/>
              <w:bottom w:val="single" w:color="auto" w:sz="6" w:space="0"/>
              <w:right w:val="single" w:color="auto" w:sz="6" w:space="0"/>
            </w:tcBorders>
            <w:vAlign w:val="center"/>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92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40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83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21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92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40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83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c>
          <w:tcPr>
            <w:tcW w:w="1210" w:type="dxa"/>
            <w:tcBorders>
              <w:top w:val="nil"/>
            </w:tcBorders>
            <w:vAlign w:val="center"/>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920" w:type="dxa"/>
            <w:vAlign w:val="center"/>
          </w:tcPr>
          <w:p>
            <w:pPr>
              <w:pStyle w:val="46"/>
              <w:adjustRightInd w:val="0"/>
              <w:snapToGrid w:val="0"/>
              <w:spacing w:line="360" w:lineRule="auto"/>
              <w:jc w:val="center"/>
              <w:rPr>
                <w:rFonts w:ascii="宋体" w:hAnsi="宋体" w:cs="宋体"/>
                <w:color w:val="auto"/>
                <w:szCs w:val="21"/>
                <w:highlight w:val="none"/>
              </w:rPr>
            </w:pPr>
          </w:p>
        </w:tc>
        <w:tc>
          <w:tcPr>
            <w:tcW w:w="1400" w:type="dxa"/>
            <w:vAlign w:val="center"/>
          </w:tcPr>
          <w:p>
            <w:pPr>
              <w:pStyle w:val="46"/>
              <w:adjustRightInd w:val="0"/>
              <w:snapToGrid w:val="0"/>
              <w:spacing w:line="360" w:lineRule="auto"/>
              <w:jc w:val="center"/>
              <w:rPr>
                <w:rFonts w:ascii="宋体" w:hAnsi="宋体" w:cs="宋体"/>
                <w:color w:val="auto"/>
                <w:szCs w:val="21"/>
                <w:highlight w:val="none"/>
              </w:rPr>
            </w:pPr>
          </w:p>
        </w:tc>
        <w:tc>
          <w:tcPr>
            <w:tcW w:w="183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080" w:type="dxa"/>
            <w:vAlign w:val="center"/>
          </w:tcPr>
          <w:p>
            <w:pPr>
              <w:pStyle w:val="46"/>
              <w:adjustRightInd w:val="0"/>
              <w:snapToGrid w:val="0"/>
              <w:spacing w:line="360" w:lineRule="auto"/>
              <w:jc w:val="center"/>
              <w:rPr>
                <w:rFonts w:ascii="宋体" w:hAnsi="宋体" w:cs="宋体"/>
                <w:color w:val="auto"/>
                <w:szCs w:val="21"/>
                <w:highlight w:val="none"/>
              </w:rPr>
            </w:pPr>
          </w:p>
        </w:tc>
        <w:tc>
          <w:tcPr>
            <w:tcW w:w="1210" w:type="dxa"/>
            <w:vAlign w:val="center"/>
          </w:tcPr>
          <w:p>
            <w:pPr>
              <w:pStyle w:val="46"/>
              <w:adjustRightInd w:val="0"/>
              <w:snapToGrid w:val="0"/>
              <w:spacing w:line="360" w:lineRule="auto"/>
              <w:jc w:val="center"/>
              <w:rPr>
                <w:rFonts w:ascii="宋体" w:hAnsi="宋体" w:cs="宋体"/>
                <w:color w:val="auto"/>
                <w:szCs w:val="21"/>
                <w:highlight w:val="none"/>
              </w:rPr>
            </w:pPr>
          </w:p>
        </w:tc>
      </w:tr>
    </w:tbl>
    <w:p>
      <w:pPr>
        <w:pStyle w:val="46"/>
        <w:adjustRightInd w:val="0"/>
        <w:snapToGrid w:val="0"/>
        <w:spacing w:before="156" w:beforeLines="50"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 xml:space="preserve">依据项目进度应安排设计联络会，有关设计联络的计划、时间和内容要求由采购报价双方共同商定。设计联络会不少于2次，费用由投标人承担。有关设计联络的计划、时间、地点和内容要求由采购报价双方协商确定。 </w:t>
      </w:r>
    </w:p>
    <w:tbl>
      <w:tblPr>
        <w:tblStyle w:val="34"/>
        <w:tblW w:w="8668" w:type="dxa"/>
        <w:jc w:val="cente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28" w:type="dxa"/>
          <w:bottom w:w="0" w:type="dxa"/>
          <w:right w:w="28" w:type="dxa"/>
        </w:tblCellMar>
      </w:tblPr>
      <w:tblGrid>
        <w:gridCol w:w="748"/>
        <w:gridCol w:w="737"/>
        <w:gridCol w:w="2023"/>
        <w:gridCol w:w="1560"/>
        <w:gridCol w:w="1560"/>
        <w:gridCol w:w="2040"/>
      </w:tblGrid>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748"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序号</w:t>
            </w:r>
          </w:p>
        </w:tc>
        <w:tc>
          <w:tcPr>
            <w:tcW w:w="737"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次数</w:t>
            </w:r>
          </w:p>
        </w:tc>
        <w:tc>
          <w:tcPr>
            <w:tcW w:w="2023"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内容</w:t>
            </w:r>
          </w:p>
        </w:tc>
        <w:tc>
          <w:tcPr>
            <w:tcW w:w="1560"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时间</w:t>
            </w:r>
          </w:p>
        </w:tc>
        <w:tc>
          <w:tcPr>
            <w:tcW w:w="1560"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地点</w:t>
            </w:r>
          </w:p>
        </w:tc>
        <w:tc>
          <w:tcPr>
            <w:tcW w:w="2040"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人数</w:t>
            </w: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748"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1</w:t>
            </w:r>
          </w:p>
        </w:tc>
        <w:tc>
          <w:tcPr>
            <w:tcW w:w="737" w:type="dxa"/>
          </w:tcPr>
          <w:p>
            <w:pPr>
              <w:pStyle w:val="46"/>
              <w:adjustRightInd w:val="0"/>
              <w:snapToGrid w:val="0"/>
              <w:spacing w:line="360" w:lineRule="auto"/>
              <w:jc w:val="center"/>
              <w:rPr>
                <w:rFonts w:ascii="宋体" w:hAnsi="宋体" w:cs="宋体"/>
                <w:color w:val="auto"/>
                <w:szCs w:val="21"/>
                <w:highlight w:val="none"/>
              </w:rPr>
            </w:pPr>
          </w:p>
        </w:tc>
        <w:tc>
          <w:tcPr>
            <w:tcW w:w="2023"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2040" w:type="dxa"/>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748"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2</w:t>
            </w:r>
          </w:p>
        </w:tc>
        <w:tc>
          <w:tcPr>
            <w:tcW w:w="737" w:type="dxa"/>
          </w:tcPr>
          <w:p>
            <w:pPr>
              <w:pStyle w:val="46"/>
              <w:adjustRightInd w:val="0"/>
              <w:snapToGrid w:val="0"/>
              <w:spacing w:line="360" w:lineRule="auto"/>
              <w:jc w:val="center"/>
              <w:rPr>
                <w:rFonts w:ascii="宋体" w:hAnsi="宋体" w:cs="宋体"/>
                <w:color w:val="auto"/>
                <w:szCs w:val="21"/>
                <w:highlight w:val="none"/>
              </w:rPr>
            </w:pPr>
          </w:p>
        </w:tc>
        <w:tc>
          <w:tcPr>
            <w:tcW w:w="2023"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2040" w:type="dxa"/>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28" w:type="dxa"/>
            <w:bottom w:w="0" w:type="dxa"/>
            <w:right w:w="28" w:type="dxa"/>
          </w:tblCellMar>
        </w:tblPrEx>
        <w:trPr>
          <w:jc w:val="center"/>
        </w:trPr>
        <w:tc>
          <w:tcPr>
            <w:tcW w:w="748"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3</w:t>
            </w:r>
          </w:p>
        </w:tc>
        <w:tc>
          <w:tcPr>
            <w:tcW w:w="737" w:type="dxa"/>
          </w:tcPr>
          <w:p>
            <w:pPr>
              <w:pStyle w:val="46"/>
              <w:adjustRightInd w:val="0"/>
              <w:snapToGrid w:val="0"/>
              <w:spacing w:line="360" w:lineRule="auto"/>
              <w:jc w:val="center"/>
              <w:rPr>
                <w:rFonts w:ascii="宋体" w:hAnsi="宋体" w:cs="宋体"/>
                <w:color w:val="auto"/>
                <w:szCs w:val="21"/>
                <w:highlight w:val="none"/>
              </w:rPr>
            </w:pPr>
          </w:p>
        </w:tc>
        <w:tc>
          <w:tcPr>
            <w:tcW w:w="2023"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1560" w:type="dxa"/>
          </w:tcPr>
          <w:p>
            <w:pPr>
              <w:pStyle w:val="46"/>
              <w:adjustRightInd w:val="0"/>
              <w:snapToGrid w:val="0"/>
              <w:spacing w:line="360" w:lineRule="auto"/>
              <w:jc w:val="center"/>
              <w:rPr>
                <w:rFonts w:ascii="宋体" w:hAnsi="宋体" w:cs="宋体"/>
                <w:color w:val="auto"/>
                <w:szCs w:val="21"/>
                <w:highlight w:val="none"/>
              </w:rPr>
            </w:pPr>
          </w:p>
        </w:tc>
        <w:tc>
          <w:tcPr>
            <w:tcW w:w="2040" w:type="dxa"/>
          </w:tcPr>
          <w:p>
            <w:pPr>
              <w:pStyle w:val="46"/>
              <w:adjustRightInd w:val="0"/>
              <w:snapToGrid w:val="0"/>
              <w:spacing w:line="360" w:lineRule="auto"/>
              <w:jc w:val="center"/>
              <w:rPr>
                <w:rFonts w:ascii="宋体" w:hAnsi="宋体" w:cs="宋体"/>
                <w:color w:val="auto"/>
                <w:szCs w:val="21"/>
                <w:highlight w:val="none"/>
              </w:rPr>
            </w:pPr>
          </w:p>
        </w:tc>
      </w:tr>
    </w:tbl>
    <w:p>
      <w:pPr>
        <w:pStyle w:val="2"/>
        <w:numPr>
          <w:ilvl w:val="0"/>
          <w:numId w:val="5"/>
        </w:numPr>
        <w:spacing w:before="0" w:beforeLines="0" w:after="0" w:afterLines="0" w:line="360" w:lineRule="auto"/>
        <w:rPr>
          <w:rFonts w:ascii="宋体" w:hAnsi="宋体" w:cs="宋体"/>
          <w:color w:val="auto"/>
          <w:sz w:val="21"/>
          <w:szCs w:val="21"/>
          <w:highlight w:val="none"/>
        </w:rPr>
      </w:pPr>
      <w:bookmarkStart w:id="1044" w:name="_Toc26515"/>
      <w:bookmarkStart w:id="1045" w:name="_Toc26098"/>
      <w:bookmarkStart w:id="1046" w:name="_Toc8605"/>
      <w:bookmarkStart w:id="1047" w:name="_Toc10263"/>
      <w:bookmarkStart w:id="1048" w:name="_Toc6923"/>
      <w:bookmarkStart w:id="1049" w:name="_Toc20790"/>
      <w:bookmarkStart w:id="1050" w:name="_Toc16755"/>
      <w:bookmarkStart w:id="1051" w:name="_Toc32145"/>
      <w:bookmarkStart w:id="1052" w:name="_Toc3815"/>
      <w:bookmarkStart w:id="1053" w:name="_Toc12326"/>
      <w:bookmarkStart w:id="1054" w:name="_Toc27662"/>
      <w:bookmarkStart w:id="1055" w:name="_Toc24600"/>
      <w:bookmarkStart w:id="1056" w:name="_Toc28891"/>
      <w:bookmarkStart w:id="1057" w:name="_Toc20150"/>
      <w:bookmarkStart w:id="1058" w:name="_Toc4987"/>
      <w:bookmarkStart w:id="1059" w:name="_Toc13369"/>
      <w:bookmarkStart w:id="1060" w:name="_Toc9598"/>
      <w:bookmarkStart w:id="1061" w:name="_Toc2117"/>
      <w:bookmarkStart w:id="1062" w:name="_Toc699802157"/>
      <w:bookmarkStart w:id="1063" w:name="_Toc2383"/>
      <w:bookmarkStart w:id="1064" w:name="_Toc1600"/>
      <w:bookmarkStart w:id="1065" w:name="_Toc19715"/>
      <w:bookmarkStart w:id="1066" w:name="_Toc30042"/>
      <w:bookmarkStart w:id="1067" w:name="_Toc31528"/>
      <w:bookmarkStart w:id="1068" w:name="_Toc14236"/>
      <w:bookmarkStart w:id="1069" w:name="_Toc214973083"/>
      <w:bookmarkStart w:id="1070" w:name="_Toc32382"/>
      <w:bookmarkStart w:id="1071" w:name="_Toc25773"/>
      <w:bookmarkStart w:id="1072" w:name="_Toc29308"/>
      <w:bookmarkStart w:id="1073" w:name="_Toc1783"/>
      <w:bookmarkStart w:id="1074" w:name="_Toc16722"/>
      <w:bookmarkStart w:id="1075" w:name="_Toc21575"/>
      <w:bookmarkStart w:id="1076" w:name="_Toc8578"/>
      <w:bookmarkStart w:id="1077" w:name="_Toc29674"/>
      <w:bookmarkStart w:id="1078" w:name="_Toc18633"/>
      <w:bookmarkStart w:id="1079" w:name="_Toc1937"/>
      <w:bookmarkStart w:id="1080" w:name="_Toc31593"/>
      <w:bookmarkStart w:id="1081" w:name="_Toc13477"/>
      <w:bookmarkStart w:id="1082" w:name="_Toc12560"/>
      <w:bookmarkStart w:id="1083" w:name="_Toc6070"/>
      <w:bookmarkStart w:id="1084" w:name="_Toc26825"/>
      <w:bookmarkStart w:id="1085" w:name="_Toc16922"/>
      <w:bookmarkStart w:id="1086" w:name="_Toc176784336"/>
      <w:bookmarkStart w:id="1087" w:name="_Toc18786"/>
      <w:bookmarkStart w:id="1088" w:name="_Toc6491"/>
      <w:bookmarkStart w:id="1089" w:name="_Toc13577"/>
      <w:bookmarkStart w:id="1090" w:name="_Toc13044"/>
      <w:bookmarkStart w:id="1091" w:name="_Toc7292"/>
      <w:bookmarkStart w:id="1092" w:name="_Toc74161982"/>
      <w:bookmarkStart w:id="1093" w:name="_Toc19147"/>
      <w:bookmarkStart w:id="1094" w:name="_Toc9784"/>
      <w:bookmarkStart w:id="1095" w:name="_Toc32053"/>
      <w:r>
        <w:rPr>
          <w:rFonts w:hint="eastAsia" w:ascii="宋体" w:hAnsi="宋体" w:cs="宋体"/>
          <w:color w:val="auto"/>
          <w:sz w:val="21"/>
          <w:szCs w:val="21"/>
          <w:highlight w:val="none"/>
        </w:rPr>
        <w:t>知识产权</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pPr>
        <w:spacing w:after="0" w:afterLines="0" w:line="360" w:lineRule="auto"/>
        <w:ind w:firstLine="420"/>
        <w:rPr>
          <w:color w:val="auto"/>
          <w:highlight w:val="none"/>
        </w:rPr>
      </w:pPr>
      <w:r>
        <w:rPr>
          <w:rFonts w:hint="eastAsia"/>
          <w:color w:val="auto"/>
          <w:highlight w:val="none"/>
        </w:rPr>
        <w:t>使用平台开发的，投标方需无偿向招标方提供平台使用权且招标方拥有在平台上开发的系统的知识产权及其源代码，同时，在项目质保期内，投标方免费升级提供给招标方使用的平台，投标方做好知识转移工作，招标方不仅能使用系统，也能了解系统的运行原理，招标方可根据需要自行进行非支付类二次开发工作，真正实现技术开放、程序透明化；完全使用编程语言开发的，投标方需无偿向招标方转移软件的所有程序代码且招标方拥有软件的知识产权。无论采用哪一种开发方式，投标方均不得对交付的成果和所提供的软件进行限制，包括对用户授权数、并发用户数。</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若本项目研究成果进行推广使用，需获得招标人的同意，且全部收益归招标人所有。</w:t>
      </w:r>
      <w:r>
        <w:rPr>
          <w:rFonts w:hint="eastAsia" w:ascii="宋体" w:hAnsi="宋体" w:cs="宋体"/>
          <w:color w:val="auto"/>
          <w:szCs w:val="21"/>
          <w:highlight w:val="none"/>
        </w:rPr>
        <w:t xml:space="preserve"> </w:t>
      </w:r>
    </w:p>
    <w:p>
      <w:pPr>
        <w:pStyle w:val="2"/>
        <w:numPr>
          <w:ilvl w:val="0"/>
          <w:numId w:val="5"/>
        </w:numPr>
        <w:spacing w:before="0" w:beforeLines="0" w:after="0" w:afterLines="0" w:line="360" w:lineRule="auto"/>
        <w:rPr>
          <w:rFonts w:ascii="宋体" w:hAnsi="宋体" w:cs="宋体"/>
          <w:color w:val="auto"/>
          <w:sz w:val="21"/>
          <w:szCs w:val="21"/>
          <w:highlight w:val="none"/>
        </w:rPr>
      </w:pPr>
      <w:bookmarkStart w:id="1096" w:name="_Toc74161984"/>
      <w:bookmarkStart w:id="1097" w:name="_Toc31708"/>
      <w:bookmarkStart w:id="1098" w:name="_Toc9506"/>
      <w:bookmarkStart w:id="1099" w:name="_Toc214973084"/>
      <w:bookmarkStart w:id="1100" w:name="_Toc19257"/>
      <w:bookmarkStart w:id="1101" w:name="_Toc23088"/>
      <w:bookmarkStart w:id="1102" w:name="_Toc28721"/>
      <w:bookmarkStart w:id="1103" w:name="_Toc458"/>
      <w:bookmarkStart w:id="1104" w:name="_Toc10756"/>
      <w:bookmarkStart w:id="1105" w:name="_Toc12149"/>
      <w:bookmarkStart w:id="1106" w:name="_Toc28643"/>
      <w:bookmarkStart w:id="1107" w:name="_Toc23235"/>
      <w:bookmarkStart w:id="1108" w:name="_Toc2286"/>
      <w:bookmarkStart w:id="1109" w:name="_Toc5640"/>
      <w:bookmarkStart w:id="1110" w:name="_Toc2082"/>
      <w:bookmarkStart w:id="1111" w:name="_Toc28103"/>
      <w:bookmarkStart w:id="1112" w:name="_Toc23252"/>
      <w:bookmarkStart w:id="1113" w:name="_Toc23531"/>
      <w:bookmarkStart w:id="1114" w:name="_Toc5809"/>
      <w:bookmarkStart w:id="1115" w:name="_Toc6584"/>
      <w:bookmarkStart w:id="1116" w:name="_Toc12340"/>
      <w:bookmarkStart w:id="1117" w:name="_Toc28415"/>
      <w:bookmarkStart w:id="1118" w:name="_Toc344"/>
      <w:bookmarkStart w:id="1119" w:name="_Toc1954401727"/>
      <w:bookmarkStart w:id="1120" w:name="_Toc27986"/>
      <w:bookmarkStart w:id="1121" w:name="_Toc1291"/>
      <w:bookmarkStart w:id="1122" w:name="_Toc19289"/>
      <w:bookmarkStart w:id="1123" w:name="_Toc19130"/>
      <w:bookmarkStart w:id="1124" w:name="_Toc9533"/>
      <w:bookmarkStart w:id="1125" w:name="_Toc2767"/>
      <w:bookmarkStart w:id="1126" w:name="_Toc176784337"/>
      <w:bookmarkStart w:id="1127" w:name="_Toc4852"/>
      <w:bookmarkStart w:id="1128" w:name="_Toc11628"/>
      <w:bookmarkStart w:id="1129" w:name="_Toc31908"/>
      <w:bookmarkStart w:id="1130" w:name="_Toc30540"/>
      <w:bookmarkStart w:id="1131" w:name="_Toc2546"/>
      <w:bookmarkStart w:id="1132" w:name="_Toc31609"/>
      <w:bookmarkStart w:id="1133" w:name="_Toc25623"/>
      <w:bookmarkStart w:id="1134" w:name="_Toc9771"/>
      <w:bookmarkStart w:id="1135" w:name="_Toc26756"/>
      <w:bookmarkStart w:id="1136" w:name="_Toc22643"/>
      <w:bookmarkStart w:id="1137" w:name="_Toc8653"/>
      <w:bookmarkStart w:id="1138" w:name="_Toc11211"/>
      <w:bookmarkStart w:id="1139" w:name="_Toc1580"/>
      <w:bookmarkStart w:id="1140" w:name="_Toc1792"/>
      <w:bookmarkStart w:id="1141" w:name="_Toc13860"/>
      <w:bookmarkStart w:id="1142" w:name="_Toc23178"/>
      <w:bookmarkStart w:id="1143" w:name="_Toc7416"/>
      <w:bookmarkStart w:id="1144" w:name="_Toc7164"/>
      <w:bookmarkStart w:id="1145" w:name="_Toc26601"/>
      <w:bookmarkStart w:id="1146" w:name="_Toc4687"/>
      <w:bookmarkStart w:id="1147" w:name="_Toc7557"/>
      <w:r>
        <w:rPr>
          <w:rFonts w:hint="eastAsia" w:ascii="宋体" w:hAnsi="宋体" w:cs="宋体"/>
          <w:color w:val="auto"/>
          <w:sz w:val="21"/>
          <w:szCs w:val="21"/>
          <w:highlight w:val="none"/>
        </w:rPr>
        <w:t>供货及服务范围</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本次采购范围主要包括招标人“浙江浙石油综合能源销售有限公司”项目的相关软件和服务。</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投标人应确保供货范围的准确、完整，以满足招标人项目的运行要求为原则，在技术规范中涉及的其它要求也作为本供货范围的补充，若在实施、调试、运行中发现缺项(属投标人供货范围)由投标人补充。</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项目实施期间，投标人须提供现场开发实施及技术支持服务，现场办公场所由招标人提供。招标人未列明，投标人认为必需的费用也需列入报价清单。</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投标人将本项目的软件清单和服务清单填写于以下表格内，可酌情增加表格行数。</w:t>
      </w:r>
    </w:p>
    <w:p>
      <w:pPr>
        <w:pStyle w:val="46"/>
        <w:adjustRightInd w:val="0"/>
        <w:snapToGrid w:val="0"/>
        <w:spacing w:line="360" w:lineRule="auto"/>
        <w:ind w:firstLine="420"/>
        <w:rPr>
          <w:rFonts w:ascii="宋体" w:hAnsi="宋体" w:cs="宋体"/>
          <w:color w:val="auto"/>
          <w:szCs w:val="21"/>
          <w:highlight w:val="none"/>
        </w:rPr>
      </w:pPr>
      <w:r>
        <w:rPr>
          <w:rFonts w:hint="eastAsia" w:ascii="宋体" w:hAnsi="宋体" w:cs="宋体"/>
          <w:color w:val="auto"/>
          <w:szCs w:val="21"/>
          <w:highlight w:val="none"/>
        </w:rPr>
        <w:t>项目所需软件和服务清单如下：</w:t>
      </w:r>
    </w:p>
    <w:p>
      <w:pPr>
        <w:pStyle w:val="46"/>
        <w:numPr>
          <w:ilvl w:val="0"/>
          <w:numId w:val="27"/>
        </w:numPr>
        <w:adjustRightInd w:val="0"/>
        <w:snapToGrid w:val="0"/>
        <w:spacing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rPr>
        <w:t>软件</w:t>
      </w:r>
      <w:r>
        <w:rPr>
          <w:rFonts w:hint="eastAsia" w:ascii="宋体" w:hAnsi="宋体" w:cs="宋体"/>
          <w:color w:val="auto"/>
          <w:szCs w:val="21"/>
          <w:highlight w:val="none"/>
          <w:lang w:val="en-US" w:eastAsia="zh-CN"/>
        </w:rPr>
        <w:t>产品</w:t>
      </w:r>
      <w:r>
        <w:rPr>
          <w:rFonts w:hint="eastAsia" w:ascii="宋体" w:hAnsi="宋体" w:cs="宋体"/>
          <w:color w:val="auto"/>
          <w:szCs w:val="21"/>
          <w:highlight w:val="none"/>
        </w:rPr>
        <w:t>清单</w:t>
      </w:r>
    </w:p>
    <w:tbl>
      <w:tblPr>
        <w:tblStyle w:val="34"/>
        <w:tblW w:w="5000"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28" w:type="dxa"/>
          <w:bottom w:w="0" w:type="dxa"/>
          <w:right w:w="28" w:type="dxa"/>
        </w:tblCellMar>
      </w:tblPr>
      <w:tblGrid>
        <w:gridCol w:w="751"/>
        <w:gridCol w:w="1390"/>
        <w:gridCol w:w="1141"/>
        <w:gridCol w:w="537"/>
        <w:gridCol w:w="649"/>
        <w:gridCol w:w="3894"/>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504" w:hRule="atLeast"/>
          <w:tblHeader/>
        </w:trPr>
        <w:tc>
          <w:tcPr>
            <w:tcW w:w="449"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序号</w:t>
            </w:r>
          </w:p>
        </w:tc>
        <w:tc>
          <w:tcPr>
            <w:tcW w:w="831"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名称</w:t>
            </w:r>
          </w:p>
        </w:tc>
        <w:tc>
          <w:tcPr>
            <w:tcW w:w="682"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模块</w:t>
            </w:r>
          </w:p>
        </w:tc>
        <w:tc>
          <w:tcPr>
            <w:tcW w:w="321"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单位</w:t>
            </w:r>
          </w:p>
        </w:tc>
        <w:tc>
          <w:tcPr>
            <w:tcW w:w="388"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数量</w:t>
            </w:r>
          </w:p>
        </w:tc>
        <w:tc>
          <w:tcPr>
            <w:tcW w:w="2328"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449"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bCs/>
                <w:color w:val="auto"/>
                <w:szCs w:val="21"/>
                <w:highlight w:val="none"/>
              </w:rPr>
              <w:t>1</w:t>
            </w:r>
          </w:p>
        </w:tc>
        <w:tc>
          <w:tcPr>
            <w:tcW w:w="831" w:type="pct"/>
            <w:vMerge w:val="restart"/>
            <w:vAlign w:val="center"/>
          </w:tcPr>
          <w:p>
            <w:pPr>
              <w:pStyle w:val="46"/>
              <w:widowControl/>
              <w:adjustRightInd w:val="0"/>
              <w:snapToGrid w:val="0"/>
              <w:spacing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lang w:bidi="ar"/>
              </w:rPr>
              <w:t>零售管理系统</w:t>
            </w:r>
          </w:p>
        </w:tc>
        <w:tc>
          <w:tcPr>
            <w:tcW w:w="682"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站级应用</w:t>
            </w:r>
          </w:p>
        </w:tc>
        <w:tc>
          <w:tcPr>
            <w:tcW w:w="321"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color w:val="auto"/>
                <w:szCs w:val="21"/>
                <w:highlight w:val="none"/>
              </w:rPr>
              <w:t>项</w:t>
            </w:r>
          </w:p>
        </w:tc>
        <w:tc>
          <w:tcPr>
            <w:tcW w:w="388"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1</w:t>
            </w:r>
          </w:p>
        </w:tc>
        <w:tc>
          <w:tcPr>
            <w:tcW w:w="2328" w:type="pct"/>
            <w:vAlign w:val="center"/>
          </w:tcPr>
          <w:p>
            <w:pPr>
              <w:pStyle w:val="46"/>
              <w:adjustRightInd w:val="0"/>
              <w:snapToGrid w:val="0"/>
              <w:spacing w:line="240" w:lineRule="auto"/>
              <w:rPr>
                <w:rFonts w:ascii="宋体" w:hAnsi="宋体" w:cs="宋体"/>
                <w:color w:val="auto"/>
                <w:szCs w:val="21"/>
                <w:highlight w:val="none"/>
              </w:rPr>
            </w:pPr>
            <w:r>
              <w:rPr>
                <w:rFonts w:hint="eastAsia" w:ascii="宋体" w:hAnsi="宋体" w:cs="宋体"/>
                <w:color w:val="auto"/>
                <w:szCs w:val="21"/>
                <w:highlight w:val="none"/>
              </w:rPr>
              <w:t>具体要求详见4.1章</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449"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2</w:t>
            </w:r>
          </w:p>
        </w:tc>
        <w:tc>
          <w:tcPr>
            <w:tcW w:w="831" w:type="pct"/>
            <w:vMerge w:val="continue"/>
            <w:vAlign w:val="center"/>
          </w:tcPr>
          <w:p>
            <w:pPr>
              <w:pStyle w:val="46"/>
              <w:widowControl/>
              <w:adjustRightInd w:val="0"/>
              <w:snapToGrid w:val="0"/>
              <w:spacing w:line="240" w:lineRule="auto"/>
              <w:jc w:val="center"/>
              <w:textAlignment w:val="center"/>
              <w:rPr>
                <w:rFonts w:ascii="宋体" w:hAnsi="宋体" w:cs="宋体"/>
                <w:color w:val="auto"/>
                <w:szCs w:val="21"/>
                <w:highlight w:val="none"/>
                <w:lang w:bidi="ar"/>
              </w:rPr>
            </w:pPr>
          </w:p>
        </w:tc>
        <w:tc>
          <w:tcPr>
            <w:tcW w:w="682"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客户移动端应用</w:t>
            </w:r>
          </w:p>
        </w:tc>
        <w:tc>
          <w:tcPr>
            <w:tcW w:w="321"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项</w:t>
            </w:r>
          </w:p>
        </w:tc>
        <w:tc>
          <w:tcPr>
            <w:tcW w:w="388"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1</w:t>
            </w:r>
          </w:p>
        </w:tc>
        <w:tc>
          <w:tcPr>
            <w:tcW w:w="2328" w:type="pct"/>
            <w:vAlign w:val="center"/>
          </w:tcPr>
          <w:p>
            <w:pPr>
              <w:pStyle w:val="46"/>
              <w:adjustRightInd w:val="0"/>
              <w:snapToGrid w:val="0"/>
              <w:spacing w:line="240" w:lineRule="auto"/>
              <w:rPr>
                <w:rFonts w:ascii="宋体" w:hAnsi="宋体" w:cs="宋体"/>
                <w:color w:val="auto"/>
                <w:szCs w:val="21"/>
                <w:highlight w:val="none"/>
              </w:rPr>
            </w:pPr>
            <w:r>
              <w:rPr>
                <w:rFonts w:hint="eastAsia" w:ascii="宋体" w:hAnsi="宋体" w:cs="宋体"/>
                <w:color w:val="auto"/>
                <w:szCs w:val="21"/>
                <w:highlight w:val="none"/>
              </w:rPr>
              <w:t>具体要求详见4.2章</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449"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3</w:t>
            </w:r>
          </w:p>
        </w:tc>
        <w:tc>
          <w:tcPr>
            <w:tcW w:w="831" w:type="pct"/>
            <w:vMerge w:val="continue"/>
            <w:vAlign w:val="center"/>
          </w:tcPr>
          <w:p>
            <w:pPr>
              <w:pStyle w:val="46"/>
              <w:widowControl/>
              <w:adjustRightInd w:val="0"/>
              <w:snapToGrid w:val="0"/>
              <w:spacing w:line="240" w:lineRule="auto"/>
              <w:jc w:val="center"/>
              <w:textAlignment w:val="center"/>
              <w:rPr>
                <w:rFonts w:ascii="宋体" w:hAnsi="宋体" w:cs="宋体"/>
                <w:color w:val="auto"/>
                <w:szCs w:val="21"/>
                <w:highlight w:val="none"/>
                <w:lang w:bidi="ar"/>
              </w:rPr>
            </w:pPr>
          </w:p>
        </w:tc>
        <w:tc>
          <w:tcPr>
            <w:tcW w:w="682"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客户WEB平台</w:t>
            </w:r>
          </w:p>
        </w:tc>
        <w:tc>
          <w:tcPr>
            <w:tcW w:w="321"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项</w:t>
            </w:r>
          </w:p>
        </w:tc>
        <w:tc>
          <w:tcPr>
            <w:tcW w:w="388"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1</w:t>
            </w:r>
          </w:p>
        </w:tc>
        <w:tc>
          <w:tcPr>
            <w:tcW w:w="2328" w:type="pct"/>
            <w:vAlign w:val="center"/>
          </w:tcPr>
          <w:p>
            <w:pPr>
              <w:pStyle w:val="46"/>
              <w:adjustRightInd w:val="0"/>
              <w:snapToGrid w:val="0"/>
              <w:spacing w:line="240" w:lineRule="auto"/>
              <w:rPr>
                <w:rFonts w:ascii="宋体" w:hAnsi="宋体" w:cs="宋体"/>
                <w:color w:val="auto"/>
                <w:szCs w:val="21"/>
                <w:highlight w:val="none"/>
              </w:rPr>
            </w:pPr>
            <w:r>
              <w:rPr>
                <w:rFonts w:hint="eastAsia" w:ascii="宋体" w:hAnsi="宋体" w:cs="宋体"/>
                <w:color w:val="auto"/>
                <w:szCs w:val="21"/>
                <w:highlight w:val="none"/>
              </w:rPr>
              <w:t>具体要求详见4.3章</w:t>
            </w:r>
          </w:p>
        </w:tc>
      </w:tr>
    </w:tbl>
    <w:p>
      <w:pPr>
        <w:pStyle w:val="46"/>
        <w:numPr>
          <w:ilvl w:val="0"/>
          <w:numId w:val="27"/>
        </w:numPr>
        <w:adjustRightInd w:val="0"/>
        <w:snapToGrid w:val="0"/>
        <w:spacing w:before="156" w:beforeLines="50" w:line="360" w:lineRule="auto"/>
        <w:ind w:left="0" w:firstLine="420" w:firstLineChars="200"/>
        <w:rPr>
          <w:rFonts w:ascii="宋体" w:hAnsi="宋体" w:cs="宋体"/>
          <w:color w:val="auto"/>
          <w:szCs w:val="21"/>
          <w:highlight w:val="none"/>
        </w:rPr>
      </w:pPr>
      <w:r>
        <w:rPr>
          <w:rFonts w:hint="eastAsia" w:ascii="宋体" w:hAnsi="宋体" w:cs="宋体"/>
          <w:color w:val="auto"/>
          <w:szCs w:val="21"/>
          <w:highlight w:val="none"/>
          <w:lang w:val="en-US" w:eastAsia="zh-CN"/>
        </w:rPr>
        <w:t>软件</w:t>
      </w:r>
      <w:r>
        <w:rPr>
          <w:rFonts w:hint="eastAsia" w:ascii="宋体" w:hAnsi="宋体" w:cs="宋体"/>
          <w:color w:val="auto"/>
          <w:szCs w:val="21"/>
          <w:highlight w:val="none"/>
        </w:rPr>
        <w:t>开发服务清单</w:t>
      </w:r>
      <w:bookmarkStart w:id="1260" w:name="_GoBack"/>
      <w:bookmarkEnd w:id="1260"/>
    </w:p>
    <w:tbl>
      <w:tblPr>
        <w:tblStyle w:val="34"/>
        <w:tblW w:w="5019"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28" w:type="dxa"/>
          <w:bottom w:w="0" w:type="dxa"/>
          <w:right w:w="28" w:type="dxa"/>
        </w:tblCellMar>
      </w:tblPr>
      <w:tblGrid>
        <w:gridCol w:w="979"/>
        <w:gridCol w:w="2271"/>
        <w:gridCol w:w="917"/>
        <w:gridCol w:w="576"/>
        <w:gridCol w:w="3651"/>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504" w:hRule="atLeast"/>
          <w:tblHeader/>
        </w:trPr>
        <w:tc>
          <w:tcPr>
            <w:tcW w:w="583" w:type="pct"/>
            <w:vAlign w:val="center"/>
          </w:tcPr>
          <w:p>
            <w:pPr>
              <w:widowControl/>
              <w:spacing w:after="62"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序号</w:t>
            </w:r>
          </w:p>
        </w:tc>
        <w:tc>
          <w:tcPr>
            <w:tcW w:w="1352" w:type="pct"/>
            <w:vAlign w:val="center"/>
          </w:tcPr>
          <w:p>
            <w:pPr>
              <w:widowControl/>
              <w:spacing w:after="62"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功能/服务</w:t>
            </w:r>
          </w:p>
        </w:tc>
        <w:tc>
          <w:tcPr>
            <w:tcW w:w="546" w:type="pct"/>
            <w:vAlign w:val="center"/>
          </w:tcPr>
          <w:p>
            <w:pPr>
              <w:widowControl/>
              <w:spacing w:after="62"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单位</w:t>
            </w:r>
          </w:p>
        </w:tc>
        <w:tc>
          <w:tcPr>
            <w:tcW w:w="343" w:type="pct"/>
            <w:vAlign w:val="center"/>
          </w:tcPr>
          <w:p>
            <w:pPr>
              <w:widowControl/>
              <w:spacing w:after="62" w:line="240" w:lineRule="auto"/>
              <w:jc w:val="center"/>
              <w:textAlignment w:val="center"/>
              <w:rPr>
                <w:rFonts w:ascii="宋体" w:hAnsi="宋体" w:cs="宋体"/>
                <w:b/>
                <w:bCs/>
                <w:color w:val="auto"/>
                <w:szCs w:val="21"/>
                <w:highlight w:val="none"/>
              </w:rPr>
            </w:pPr>
            <w:r>
              <w:rPr>
                <w:rFonts w:hint="eastAsia" w:ascii="宋体" w:hAnsi="宋体" w:cs="宋体"/>
                <w:b/>
                <w:bCs/>
                <w:color w:val="auto"/>
                <w:kern w:val="0"/>
                <w:szCs w:val="21"/>
                <w:highlight w:val="none"/>
                <w:lang w:bidi="ar"/>
              </w:rPr>
              <w:t>数量</w:t>
            </w:r>
          </w:p>
        </w:tc>
        <w:tc>
          <w:tcPr>
            <w:tcW w:w="2174" w:type="pct"/>
            <w:vAlign w:val="center"/>
          </w:tcPr>
          <w:p>
            <w:pPr>
              <w:widowControl/>
              <w:spacing w:after="62" w:line="240" w:lineRule="auto"/>
              <w:jc w:val="center"/>
              <w:textAlignment w:val="center"/>
              <w:rPr>
                <w:rFonts w:ascii="宋体" w:hAnsi="宋体" w:cs="宋体"/>
                <w:b/>
                <w:bCs/>
                <w:color w:val="auto"/>
                <w:szCs w:val="21"/>
                <w:highlight w:val="none"/>
              </w:rPr>
            </w:pPr>
            <w:r>
              <w:rPr>
                <w:rFonts w:hint="eastAsia" w:ascii="宋体" w:hAnsi="宋体" w:cs="宋体"/>
                <w:b/>
                <w:bCs/>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583" w:type="pct"/>
            <w:vAlign w:val="center"/>
          </w:tcPr>
          <w:p>
            <w:pPr>
              <w:widowControl/>
              <w:spacing w:after="62"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1352" w:type="pct"/>
            <w:vAlign w:val="center"/>
          </w:tcPr>
          <w:p>
            <w:pPr>
              <w:widowControl/>
              <w:spacing w:after="62"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零售管理系统</w:t>
            </w:r>
            <w:r>
              <w:rPr>
                <w:rFonts w:hint="eastAsia" w:ascii="宋体" w:hAnsi="宋体" w:cs="宋体"/>
                <w:color w:val="auto"/>
                <w:kern w:val="0"/>
                <w:szCs w:val="21"/>
                <w:highlight w:val="none"/>
                <w:lang w:eastAsia="zh-CN" w:bidi="ar"/>
              </w:rPr>
              <w:t>－</w:t>
            </w:r>
            <w:r>
              <w:rPr>
                <w:rFonts w:hint="eastAsia" w:ascii="宋体" w:hAnsi="宋体" w:cs="宋体"/>
                <w:color w:val="auto"/>
                <w:kern w:val="0"/>
                <w:szCs w:val="21"/>
                <w:highlight w:val="none"/>
                <w:lang w:bidi="ar"/>
              </w:rPr>
              <w:t>总部级应用</w:t>
            </w:r>
          </w:p>
        </w:tc>
        <w:tc>
          <w:tcPr>
            <w:tcW w:w="546" w:type="pct"/>
            <w:vAlign w:val="center"/>
          </w:tcPr>
          <w:p>
            <w:pPr>
              <w:widowControl/>
              <w:spacing w:after="62" w:line="240" w:lineRule="auto"/>
              <w:jc w:val="center"/>
              <w:textAlignment w:val="center"/>
              <w:rPr>
                <w:rFonts w:ascii="宋体" w:hAnsi="宋体" w:cs="宋体"/>
                <w:bCs/>
                <w:color w:val="auto"/>
                <w:szCs w:val="21"/>
                <w:highlight w:val="none"/>
              </w:rPr>
            </w:pPr>
            <w:r>
              <w:rPr>
                <w:rFonts w:hint="eastAsia" w:ascii="宋体" w:hAnsi="宋体" w:cs="宋体"/>
                <w:color w:val="auto"/>
                <w:kern w:val="0"/>
                <w:szCs w:val="21"/>
                <w:highlight w:val="none"/>
                <w:lang w:bidi="ar"/>
              </w:rPr>
              <w:t>项</w:t>
            </w:r>
          </w:p>
        </w:tc>
        <w:tc>
          <w:tcPr>
            <w:tcW w:w="343" w:type="pct"/>
            <w:vAlign w:val="center"/>
          </w:tcPr>
          <w:p>
            <w:pPr>
              <w:widowControl/>
              <w:spacing w:after="62" w:line="240" w:lineRule="auto"/>
              <w:jc w:val="center"/>
              <w:textAlignment w:val="center"/>
              <w:rPr>
                <w:rFonts w:ascii="宋体" w:hAnsi="宋体" w:cs="宋体"/>
                <w:color w:val="auto"/>
                <w:szCs w:val="21"/>
                <w:highlight w:val="none"/>
              </w:rPr>
            </w:pPr>
            <w:r>
              <w:rPr>
                <w:rFonts w:hint="eastAsia" w:ascii="宋体" w:hAnsi="宋体" w:cs="宋体"/>
                <w:color w:val="auto"/>
                <w:kern w:val="0"/>
                <w:szCs w:val="21"/>
                <w:highlight w:val="none"/>
                <w:lang w:bidi="ar"/>
              </w:rPr>
              <w:t>1</w:t>
            </w:r>
          </w:p>
        </w:tc>
        <w:tc>
          <w:tcPr>
            <w:tcW w:w="2174" w:type="pct"/>
            <w:vAlign w:val="center"/>
          </w:tcPr>
          <w:p>
            <w:pPr>
              <w:widowControl/>
              <w:spacing w:after="62" w:line="240" w:lineRule="auto"/>
              <w:jc w:val="left"/>
              <w:textAlignment w:val="center"/>
              <w:rPr>
                <w:rFonts w:ascii="宋体" w:hAnsi="宋体" w:cs="宋体"/>
                <w:color w:val="auto"/>
                <w:szCs w:val="21"/>
                <w:highlight w:val="none"/>
              </w:rPr>
            </w:pPr>
            <w:r>
              <w:rPr>
                <w:rFonts w:hint="eastAsia" w:ascii="宋体" w:hAnsi="宋体" w:cs="宋体"/>
                <w:color w:val="auto"/>
                <w:szCs w:val="21"/>
                <w:highlight w:val="none"/>
              </w:rPr>
              <w:t>根据招标方实际业务需求做定制化开发调整，并接入</w:t>
            </w:r>
            <w:r>
              <w:rPr>
                <w:rFonts w:hint="eastAsia" w:ascii="宋体" w:hAnsi="宋体" w:cs="宋体"/>
                <w:color w:val="auto"/>
                <w:szCs w:val="21"/>
                <w:highlight w:val="none"/>
                <w:lang w:eastAsia="zh-CN"/>
              </w:rPr>
              <w:t>浙石油数智销售系统</w:t>
            </w:r>
            <w:r>
              <w:rPr>
                <w:rFonts w:hint="eastAsia" w:ascii="宋体" w:hAnsi="宋体" w:cs="宋体"/>
                <w:color w:val="auto"/>
                <w:szCs w:val="21"/>
                <w:highlight w:val="none"/>
              </w:rPr>
              <w:t>，详见4.4章。</w:t>
            </w:r>
          </w:p>
        </w:tc>
      </w:tr>
    </w:tbl>
    <w:p>
      <w:pPr>
        <w:pStyle w:val="46"/>
        <w:adjustRightInd w:val="0"/>
        <w:snapToGrid w:val="0"/>
        <w:spacing w:before="156" w:beforeLines="50" w:line="360" w:lineRule="auto"/>
        <w:ind w:left="420" w:leftChars="200"/>
        <w:rPr>
          <w:rFonts w:ascii="宋体" w:hAnsi="宋体" w:cs="宋体"/>
          <w:color w:val="auto"/>
          <w:szCs w:val="21"/>
          <w:highlight w:val="none"/>
        </w:rPr>
      </w:pPr>
    </w:p>
    <w:p>
      <w:pPr>
        <w:pStyle w:val="46"/>
        <w:numPr>
          <w:ilvl w:val="0"/>
          <w:numId w:val="27"/>
        </w:numPr>
        <w:adjustRightInd w:val="0"/>
        <w:snapToGrid w:val="0"/>
        <w:spacing w:before="156" w:beforeLines="50" w:line="360" w:lineRule="auto"/>
        <w:ind w:left="0" w:firstLine="0"/>
        <w:rPr>
          <w:rFonts w:ascii="宋体" w:hAnsi="宋体" w:cs="宋体"/>
          <w:color w:val="auto"/>
          <w:szCs w:val="21"/>
          <w:highlight w:val="none"/>
        </w:rPr>
      </w:pPr>
      <w:bookmarkStart w:id="1148" w:name="_Toc9001"/>
      <w:bookmarkStart w:id="1149" w:name="_Toc10163"/>
      <w:bookmarkStart w:id="1150" w:name="_Toc452"/>
      <w:bookmarkStart w:id="1151" w:name="_Toc23274"/>
      <w:bookmarkStart w:id="1152" w:name="_Toc20604"/>
      <w:bookmarkStart w:id="1153" w:name="_Toc176784338"/>
      <w:bookmarkStart w:id="1154" w:name="_Toc5510"/>
      <w:bookmarkStart w:id="1155" w:name="_Toc22547"/>
      <w:bookmarkStart w:id="1156" w:name="_Toc9369"/>
      <w:bookmarkStart w:id="1157" w:name="_Toc2489"/>
      <w:bookmarkStart w:id="1158" w:name="_Toc28727"/>
      <w:bookmarkStart w:id="1159" w:name="_Toc9080"/>
      <w:bookmarkStart w:id="1160" w:name="_Toc22625"/>
      <w:bookmarkStart w:id="1161" w:name="_Toc24946"/>
      <w:bookmarkStart w:id="1162" w:name="_Toc29454"/>
      <w:bookmarkStart w:id="1163" w:name="_Toc20139"/>
      <w:bookmarkStart w:id="1164" w:name="_Toc20428"/>
      <w:bookmarkStart w:id="1165" w:name="_Toc14784"/>
      <w:bookmarkStart w:id="1166" w:name="_Toc28640"/>
      <w:bookmarkStart w:id="1167" w:name="_Toc30617"/>
      <w:bookmarkStart w:id="1168" w:name="_Toc7307"/>
      <w:bookmarkStart w:id="1169" w:name="_Toc14815"/>
      <w:bookmarkStart w:id="1170" w:name="_Toc9140"/>
      <w:bookmarkStart w:id="1171" w:name="_Toc18803"/>
      <w:bookmarkStart w:id="1172" w:name="_Toc18764"/>
      <w:bookmarkStart w:id="1173" w:name="_Toc74161985"/>
      <w:bookmarkStart w:id="1174" w:name="_Toc1867444824"/>
      <w:bookmarkStart w:id="1175" w:name="_Toc12450"/>
      <w:bookmarkStart w:id="1176" w:name="_Toc19048"/>
      <w:bookmarkStart w:id="1177" w:name="_Toc5023"/>
      <w:bookmarkStart w:id="1178" w:name="_Toc4556"/>
      <w:bookmarkStart w:id="1179" w:name="_Toc10494"/>
      <w:bookmarkStart w:id="1180" w:name="_Toc25112"/>
      <w:bookmarkStart w:id="1181" w:name="_Toc31731"/>
      <w:bookmarkStart w:id="1182" w:name="_Toc5454"/>
      <w:bookmarkStart w:id="1183" w:name="_Toc22403"/>
      <w:bookmarkStart w:id="1184" w:name="_Toc15597"/>
      <w:bookmarkStart w:id="1185" w:name="_Toc8171"/>
      <w:bookmarkStart w:id="1186" w:name="_Toc1372"/>
      <w:bookmarkStart w:id="1187" w:name="_Toc22318"/>
      <w:bookmarkStart w:id="1188" w:name="_Toc17120"/>
      <w:bookmarkStart w:id="1189" w:name="_Toc15767"/>
      <w:bookmarkStart w:id="1190" w:name="_Toc15646"/>
      <w:bookmarkStart w:id="1191" w:name="_Toc4170"/>
      <w:bookmarkStart w:id="1192" w:name="_Toc3049"/>
      <w:bookmarkStart w:id="1193" w:name="_Toc5131"/>
      <w:bookmarkStart w:id="1194" w:name="_Toc29790"/>
      <w:bookmarkStart w:id="1195" w:name="_Toc24926"/>
      <w:bookmarkStart w:id="1196" w:name="_Toc31989"/>
      <w:r>
        <w:rPr>
          <w:rFonts w:hint="eastAsia" w:ascii="宋体" w:hAnsi="宋体" w:cs="宋体"/>
          <w:color w:val="auto"/>
          <w:szCs w:val="21"/>
          <w:highlight w:val="none"/>
        </w:rPr>
        <w:t>集成实施服务清单</w:t>
      </w:r>
    </w:p>
    <w:tbl>
      <w:tblPr>
        <w:tblStyle w:val="34"/>
        <w:tblW w:w="4998" w:type="pct"/>
        <w:tblInd w:w="0"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28" w:type="dxa"/>
          <w:bottom w:w="0" w:type="dxa"/>
          <w:right w:w="28" w:type="dxa"/>
        </w:tblCellMar>
      </w:tblPr>
      <w:tblGrid>
        <w:gridCol w:w="1032"/>
        <w:gridCol w:w="1588"/>
        <w:gridCol w:w="3212"/>
        <w:gridCol w:w="1501"/>
        <w:gridCol w:w="1026"/>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504" w:hRule="atLeast"/>
          <w:tblHeader/>
        </w:trPr>
        <w:tc>
          <w:tcPr>
            <w:tcW w:w="617"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序号</w:t>
            </w:r>
          </w:p>
        </w:tc>
        <w:tc>
          <w:tcPr>
            <w:tcW w:w="950"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名称</w:t>
            </w:r>
          </w:p>
        </w:tc>
        <w:tc>
          <w:tcPr>
            <w:tcW w:w="1921"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内容与要求</w:t>
            </w:r>
          </w:p>
        </w:tc>
        <w:tc>
          <w:tcPr>
            <w:tcW w:w="898"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交付物</w:t>
            </w:r>
          </w:p>
        </w:tc>
        <w:tc>
          <w:tcPr>
            <w:tcW w:w="614" w:type="pct"/>
            <w:vAlign w:val="center"/>
          </w:tcPr>
          <w:p>
            <w:pPr>
              <w:pStyle w:val="46"/>
              <w:widowControl/>
              <w:adjustRightInd w:val="0"/>
              <w:snapToGrid w:val="0"/>
              <w:spacing w:line="240" w:lineRule="auto"/>
              <w:jc w:val="center"/>
              <w:rPr>
                <w:rFonts w:ascii="宋体" w:hAnsi="宋体" w:cs="宋体"/>
                <w:b/>
                <w:bCs/>
                <w:color w:val="auto"/>
                <w:szCs w:val="21"/>
                <w:highlight w:val="none"/>
              </w:rPr>
            </w:pPr>
            <w:r>
              <w:rPr>
                <w:rFonts w:hint="eastAsia" w:ascii="宋体" w:hAnsi="宋体" w:cs="宋体"/>
                <w:b/>
                <w:bCs/>
                <w:color w:val="auto"/>
                <w:szCs w:val="21"/>
                <w:highlight w:val="none"/>
              </w:rPr>
              <w:t>备注</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bCs/>
                <w:color w:val="auto"/>
                <w:szCs w:val="21"/>
                <w:highlight w:val="none"/>
              </w:rPr>
              <w:t>1</w:t>
            </w:r>
          </w:p>
        </w:tc>
        <w:tc>
          <w:tcPr>
            <w:tcW w:w="950" w:type="pct"/>
            <w:vAlign w:val="center"/>
          </w:tcPr>
          <w:p>
            <w:pPr>
              <w:pStyle w:val="46"/>
              <w:widowControl/>
              <w:adjustRightInd w:val="0"/>
              <w:snapToGrid w:val="0"/>
              <w:spacing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系统集成服务</w:t>
            </w:r>
          </w:p>
        </w:tc>
        <w:tc>
          <w:tcPr>
            <w:tcW w:w="1921" w:type="pct"/>
            <w:vAlign w:val="center"/>
          </w:tcPr>
          <w:p>
            <w:pPr>
              <w:pStyle w:val="46"/>
              <w:widowControl/>
              <w:adjustRightInd w:val="0"/>
              <w:snapToGrid w:val="0"/>
              <w:spacing w:line="240" w:lineRule="auto"/>
              <w:jc w:val="left"/>
              <w:rPr>
                <w:rFonts w:ascii="宋体" w:hAnsi="宋体" w:cs="宋体"/>
                <w:bCs/>
                <w:color w:val="auto"/>
                <w:szCs w:val="21"/>
                <w:highlight w:val="none"/>
              </w:rPr>
            </w:pPr>
            <w:r>
              <w:rPr>
                <w:rFonts w:hint="eastAsia" w:ascii="宋体" w:hAnsi="宋体" w:cs="宋体"/>
                <w:bCs/>
                <w:color w:val="auto"/>
                <w:szCs w:val="21"/>
                <w:highlight w:val="none"/>
              </w:rPr>
              <w:t>负责与浙石油销售公司指定的现有系统进行对接联调，包括但不限于：</w:t>
            </w:r>
            <w:r>
              <w:rPr>
                <w:rFonts w:hint="eastAsia" w:ascii="宋体" w:hAnsi="宋体" w:cs="宋体"/>
                <w:bCs/>
                <w:color w:val="auto"/>
                <w:szCs w:val="21"/>
                <w:highlight w:val="none"/>
                <w:lang w:eastAsia="zh-CN"/>
              </w:rPr>
              <w:t>浙石油数智销售系统</w:t>
            </w:r>
            <w:r>
              <w:rPr>
                <w:rFonts w:hint="eastAsia" w:ascii="宋体" w:hAnsi="宋体" w:cs="宋体"/>
                <w:bCs/>
                <w:color w:val="auto"/>
                <w:szCs w:val="21"/>
                <w:highlight w:val="none"/>
              </w:rPr>
              <w:t>、财务系统、支付平台等。</w:t>
            </w:r>
          </w:p>
        </w:tc>
        <w:tc>
          <w:tcPr>
            <w:tcW w:w="898" w:type="pct"/>
            <w:vAlign w:val="center"/>
          </w:tcPr>
          <w:p>
            <w:pPr>
              <w:pStyle w:val="46"/>
              <w:widowControl/>
              <w:adjustRightInd w:val="0"/>
              <w:snapToGrid w:val="0"/>
              <w:spacing w:line="240" w:lineRule="auto"/>
              <w:jc w:val="left"/>
              <w:rPr>
                <w:rFonts w:hint="default" w:ascii="宋体" w:hAnsi="宋体" w:eastAsia="宋体" w:cs="宋体"/>
                <w:b/>
                <w:bCs/>
                <w:color w:val="auto"/>
                <w:szCs w:val="21"/>
                <w:highlight w:val="none"/>
                <w:lang w:val="en-US" w:eastAsia="zh-CN"/>
              </w:rPr>
            </w:pPr>
            <w:r>
              <w:rPr>
                <w:rFonts w:hint="eastAsia" w:ascii="宋体" w:hAnsi="宋体" w:cs="宋体"/>
                <w:color w:val="auto"/>
                <w:szCs w:val="21"/>
                <w:highlight w:val="none"/>
              </w:rPr>
              <w:t>《系统集成接口规范》、《联调测试报告》</w:t>
            </w:r>
            <w:r>
              <w:rPr>
                <w:rFonts w:hint="eastAsia" w:ascii="宋体" w:hAnsi="宋体" w:cs="宋体"/>
                <w:color w:val="auto"/>
                <w:szCs w:val="21"/>
                <w:highlight w:val="none"/>
                <w:lang w:eastAsia="zh-CN"/>
              </w:rPr>
              <w:t>、《系统对接确认单》、《业务功能验证清单》</w:t>
            </w:r>
            <w:r>
              <w:rPr>
                <w:rFonts w:hint="eastAsia" w:ascii="宋体" w:hAnsi="宋体" w:cs="宋体"/>
                <w:color w:val="auto"/>
                <w:szCs w:val="21"/>
                <w:highlight w:val="none"/>
                <w:lang w:val="en-US" w:eastAsia="zh-CN"/>
              </w:rPr>
              <w:t>等</w:t>
            </w:r>
          </w:p>
        </w:tc>
        <w:tc>
          <w:tcPr>
            <w:tcW w:w="614" w:type="pct"/>
            <w:vAlign w:val="center"/>
          </w:tcPr>
          <w:p>
            <w:pPr>
              <w:pStyle w:val="46"/>
              <w:widowControl/>
              <w:adjustRightInd w:val="0"/>
              <w:snapToGrid w:val="0"/>
              <w:spacing w:line="240" w:lineRule="auto"/>
              <w:jc w:val="left"/>
              <w:rPr>
                <w:rFonts w:ascii="宋体" w:hAnsi="宋体" w:cs="宋体"/>
                <w:color w:val="auto"/>
                <w:szCs w:val="21"/>
                <w:highlight w:val="none"/>
              </w:rPr>
            </w:pPr>
            <w:r>
              <w:rPr>
                <w:rFonts w:hint="eastAsia" w:ascii="宋体" w:hAnsi="宋体" w:cs="宋体"/>
                <w:color w:val="auto"/>
                <w:szCs w:val="21"/>
                <w:highlight w:val="none"/>
              </w:rPr>
              <w:t>详见5.1章要求</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2</w:t>
            </w:r>
          </w:p>
        </w:tc>
        <w:tc>
          <w:tcPr>
            <w:tcW w:w="950" w:type="pct"/>
            <w:vAlign w:val="center"/>
          </w:tcPr>
          <w:p>
            <w:pPr>
              <w:pStyle w:val="46"/>
              <w:widowControl/>
              <w:adjustRightInd w:val="0"/>
              <w:snapToGrid w:val="0"/>
              <w:spacing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数据迁移</w:t>
            </w:r>
          </w:p>
        </w:tc>
        <w:tc>
          <w:tcPr>
            <w:tcW w:w="1921" w:type="pct"/>
            <w:vAlign w:val="center"/>
          </w:tcPr>
          <w:p>
            <w:pPr>
              <w:pStyle w:val="46"/>
              <w:widowControl/>
              <w:adjustRightInd w:val="0"/>
              <w:snapToGrid w:val="0"/>
              <w:spacing w:line="240" w:lineRule="auto"/>
              <w:jc w:val="left"/>
              <w:rPr>
                <w:rFonts w:ascii="宋体" w:hAnsi="宋体" w:cs="宋体"/>
                <w:bCs/>
                <w:color w:val="auto"/>
                <w:szCs w:val="21"/>
                <w:highlight w:val="none"/>
              </w:rPr>
            </w:pPr>
            <w:r>
              <w:rPr>
                <w:rFonts w:hint="eastAsia" w:ascii="宋体" w:hAnsi="宋体" w:cs="宋体"/>
                <w:bCs/>
                <w:color w:val="auto"/>
                <w:szCs w:val="21"/>
                <w:highlight w:val="none"/>
              </w:rPr>
              <w:t>1. 原系统数据结构分析及关键数据实体识别；2. 历史业务数据（油品 / 非油品采购、销售、库存、会员、交易结算等）清洗、转换；3. 数据导入及完整性、一致性校验；4. 新旧系统数据割接及平滑过渡保障</w:t>
            </w:r>
          </w:p>
        </w:tc>
        <w:tc>
          <w:tcPr>
            <w:tcW w:w="898" w:type="pct"/>
            <w:vAlign w:val="center"/>
          </w:tcPr>
          <w:p>
            <w:pPr>
              <w:pStyle w:val="46"/>
              <w:widowControl/>
              <w:adjustRightInd w:val="0"/>
              <w:snapToGrid w:val="0"/>
              <w:spacing w:line="240" w:lineRule="auto"/>
              <w:jc w:val="center"/>
              <w:rPr>
                <w:rFonts w:hint="eastAsia" w:ascii="宋体" w:hAnsi="宋体" w:eastAsia="宋体" w:cs="宋体"/>
                <w:color w:val="auto"/>
                <w:szCs w:val="21"/>
                <w:highlight w:val="none"/>
                <w:lang w:eastAsia="zh-CN"/>
              </w:rPr>
            </w:pPr>
            <w:r>
              <w:rPr>
                <w:rFonts w:hint="eastAsia" w:ascii="宋体" w:hAnsi="宋体" w:cs="宋体"/>
                <w:color w:val="auto"/>
                <w:szCs w:val="21"/>
                <w:highlight w:val="none"/>
                <w:lang w:eastAsia="zh-CN"/>
              </w:rPr>
              <w:t>《</w:t>
            </w:r>
            <w:r>
              <w:rPr>
                <w:rFonts w:hint="eastAsia" w:ascii="宋体" w:hAnsi="宋体" w:cs="宋体"/>
                <w:color w:val="auto"/>
                <w:szCs w:val="21"/>
                <w:highlight w:val="none"/>
                <w:lang w:val="en-US" w:eastAsia="zh-CN"/>
              </w:rPr>
              <w:t>数据迁移方案</w:t>
            </w:r>
            <w:r>
              <w:rPr>
                <w:rFonts w:hint="eastAsia" w:ascii="宋体" w:hAnsi="宋体" w:cs="宋体"/>
                <w:color w:val="auto"/>
                <w:szCs w:val="21"/>
                <w:highlight w:val="none"/>
                <w:lang w:eastAsia="zh-CN"/>
              </w:rPr>
              <w:t>》、《原数据清洗报告》《新系统数据验证报告》、《数据迁移异常处理记录》</w:t>
            </w:r>
            <w:r>
              <w:rPr>
                <w:rFonts w:hint="eastAsia" w:ascii="宋体" w:hAnsi="宋体" w:cs="宋体"/>
                <w:color w:val="auto"/>
                <w:szCs w:val="21"/>
                <w:highlight w:val="none"/>
                <w:lang w:val="en-US" w:eastAsia="zh-CN"/>
              </w:rPr>
              <w:t>等</w:t>
            </w:r>
          </w:p>
        </w:tc>
        <w:tc>
          <w:tcPr>
            <w:tcW w:w="614" w:type="pct"/>
            <w:vAlign w:val="center"/>
          </w:tcPr>
          <w:p>
            <w:pPr>
              <w:pStyle w:val="46"/>
              <w:widowControl/>
              <w:adjustRightInd w:val="0"/>
              <w:snapToGrid w:val="0"/>
              <w:spacing w:line="240" w:lineRule="auto"/>
              <w:jc w:val="left"/>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ascii="宋体" w:hAnsi="宋体" w:cs="宋体"/>
                <w:bCs/>
                <w:color w:val="auto"/>
                <w:szCs w:val="21"/>
                <w:highlight w:val="none"/>
              </w:rPr>
            </w:pPr>
            <w:r>
              <w:rPr>
                <w:rFonts w:hint="eastAsia" w:ascii="宋体" w:hAnsi="宋体" w:cs="宋体"/>
                <w:bCs/>
                <w:color w:val="auto"/>
                <w:szCs w:val="21"/>
                <w:highlight w:val="none"/>
              </w:rPr>
              <w:t>3</w:t>
            </w:r>
          </w:p>
        </w:tc>
        <w:tc>
          <w:tcPr>
            <w:tcW w:w="950" w:type="pct"/>
            <w:vAlign w:val="center"/>
          </w:tcPr>
          <w:p>
            <w:pPr>
              <w:pStyle w:val="46"/>
              <w:widowControl/>
              <w:adjustRightInd w:val="0"/>
              <w:snapToGrid w:val="0"/>
              <w:spacing w:line="240" w:lineRule="auto"/>
              <w:jc w:val="center"/>
              <w:textAlignment w:val="center"/>
              <w:rPr>
                <w:rFonts w:ascii="宋体" w:hAnsi="宋体" w:cs="宋体"/>
                <w:color w:val="auto"/>
                <w:szCs w:val="21"/>
                <w:highlight w:val="none"/>
              </w:rPr>
            </w:pPr>
            <w:r>
              <w:rPr>
                <w:rFonts w:hint="eastAsia" w:ascii="宋体" w:hAnsi="宋体" w:cs="宋体"/>
                <w:color w:val="auto"/>
                <w:szCs w:val="21"/>
                <w:highlight w:val="none"/>
              </w:rPr>
              <w:t>现场实施 - 设备集成</w:t>
            </w:r>
          </w:p>
        </w:tc>
        <w:tc>
          <w:tcPr>
            <w:tcW w:w="1921" w:type="pct"/>
            <w:vAlign w:val="center"/>
          </w:tcPr>
          <w:p>
            <w:pPr>
              <w:pStyle w:val="46"/>
              <w:widowControl/>
              <w:adjustRightInd w:val="0"/>
              <w:snapToGrid w:val="0"/>
              <w:spacing w:line="240" w:lineRule="auto"/>
              <w:jc w:val="left"/>
              <w:rPr>
                <w:rFonts w:ascii="宋体" w:hAnsi="宋体" w:cs="宋体"/>
                <w:bCs/>
                <w:color w:val="auto"/>
                <w:szCs w:val="21"/>
                <w:highlight w:val="none"/>
              </w:rPr>
            </w:pPr>
            <w:r>
              <w:rPr>
                <w:rFonts w:hint="eastAsia" w:ascii="宋体" w:hAnsi="宋体" w:cs="宋体"/>
                <w:bCs/>
                <w:color w:val="auto"/>
                <w:szCs w:val="21"/>
                <w:highlight w:val="none"/>
              </w:rPr>
              <w:t xml:space="preserve">1. </w:t>
            </w:r>
            <w:r>
              <w:rPr>
                <w:rFonts w:hint="eastAsia" w:ascii="宋体" w:hAnsi="宋体" w:cs="宋体"/>
                <w:color w:val="auto"/>
                <w:kern w:val="2"/>
                <w:szCs w:val="21"/>
                <w:highlight w:val="none"/>
                <w:lang w:val="en-US" w:eastAsia="zh-CN"/>
              </w:rPr>
              <w:t>300座以内的</w:t>
            </w:r>
            <w:r>
              <w:rPr>
                <w:rFonts w:hint="eastAsia" w:ascii="宋体" w:hAnsi="宋体" w:cs="宋体"/>
                <w:bCs/>
                <w:color w:val="auto"/>
                <w:szCs w:val="21"/>
                <w:highlight w:val="none"/>
                <w:lang w:val="en-US" w:eastAsia="zh-CN"/>
              </w:rPr>
              <w:t>综合</w:t>
            </w:r>
            <w:r>
              <w:rPr>
                <w:rFonts w:hint="eastAsia" w:ascii="宋体" w:hAnsi="宋体" w:cs="宋体"/>
                <w:bCs/>
                <w:color w:val="auto"/>
                <w:szCs w:val="21"/>
                <w:highlight w:val="none"/>
              </w:rPr>
              <w:t>供能站加油机、液位仪等设备通信接口适配；2. 物联设备（洗车机、品牌柱价格牌、加油机大屏等）集成调试；3. 国产化硬件设备调试及过渡衔接</w:t>
            </w:r>
          </w:p>
        </w:tc>
        <w:tc>
          <w:tcPr>
            <w:tcW w:w="898" w:type="pct"/>
            <w:vAlign w:val="center"/>
          </w:tcPr>
          <w:p>
            <w:pPr>
              <w:pStyle w:val="46"/>
              <w:widowControl/>
              <w:adjustRightInd w:val="0"/>
              <w:snapToGrid w:val="0"/>
              <w:spacing w:line="240" w:lineRule="auto"/>
              <w:jc w:val="center"/>
              <w:rPr>
                <w:rFonts w:ascii="宋体" w:hAnsi="宋体" w:cs="宋体"/>
                <w:color w:val="auto"/>
                <w:szCs w:val="21"/>
                <w:highlight w:val="none"/>
              </w:rPr>
            </w:pPr>
            <w:r>
              <w:rPr>
                <w:rFonts w:hint="eastAsia" w:ascii="宋体" w:hAnsi="宋体" w:cs="宋体"/>
                <w:color w:val="auto"/>
                <w:szCs w:val="21"/>
                <w:highlight w:val="none"/>
              </w:rPr>
              <w:t>《设备安装部署清单》</w:t>
            </w:r>
            <w:r>
              <w:rPr>
                <w:rFonts w:hint="eastAsia" w:ascii="宋体" w:hAnsi="宋体" w:cs="宋体"/>
                <w:color w:val="auto"/>
                <w:szCs w:val="21"/>
                <w:highlight w:val="none"/>
                <w:lang w:eastAsia="zh-CN"/>
              </w:rPr>
              <w:t>、</w:t>
            </w:r>
            <w:r>
              <w:rPr>
                <w:rFonts w:hint="eastAsia" w:ascii="宋体" w:hAnsi="宋体" w:cs="宋体"/>
                <w:color w:val="auto"/>
                <w:szCs w:val="21"/>
                <w:highlight w:val="none"/>
              </w:rPr>
              <w:t>《硬件调试记录》</w:t>
            </w:r>
            <w:r>
              <w:rPr>
                <w:rFonts w:hint="eastAsia" w:ascii="宋体" w:hAnsi="宋体" w:cs="宋体"/>
                <w:color w:val="auto"/>
                <w:szCs w:val="21"/>
                <w:highlight w:val="none"/>
                <w:lang w:eastAsia="zh-CN"/>
              </w:rPr>
              <w:t>、</w:t>
            </w:r>
            <w:r>
              <w:rPr>
                <w:rFonts w:hint="eastAsia" w:ascii="宋体" w:hAnsi="宋体" w:cs="宋体"/>
                <w:color w:val="auto"/>
                <w:szCs w:val="21"/>
                <w:highlight w:val="none"/>
              </w:rPr>
              <w:t>《设备联调确认表》</w:t>
            </w:r>
            <w:r>
              <w:rPr>
                <w:rFonts w:hint="eastAsia" w:ascii="宋体" w:hAnsi="宋体" w:cs="宋体"/>
                <w:color w:val="auto"/>
                <w:szCs w:val="21"/>
                <w:highlight w:val="none"/>
                <w:lang w:val="en-US" w:eastAsia="zh-CN"/>
              </w:rPr>
              <w:t>等</w:t>
            </w:r>
          </w:p>
        </w:tc>
        <w:tc>
          <w:tcPr>
            <w:tcW w:w="614" w:type="pct"/>
          </w:tcPr>
          <w:p>
            <w:pPr>
              <w:pStyle w:val="46"/>
              <w:adjustRightInd w:val="0"/>
              <w:snapToGrid w:val="0"/>
              <w:spacing w:line="240" w:lineRule="auto"/>
              <w:rPr>
                <w:rFonts w:ascii="宋体" w:hAnsi="宋体" w:cs="宋体"/>
                <w:color w:val="auto"/>
                <w:szCs w:val="21"/>
                <w:highlight w:val="none"/>
              </w:rPr>
            </w:pPr>
            <w:r>
              <w:rPr>
                <w:rFonts w:hint="eastAsia" w:ascii="宋体" w:hAnsi="宋体" w:cs="宋体"/>
                <w:color w:val="auto"/>
                <w:szCs w:val="21"/>
                <w:highlight w:val="none"/>
              </w:rPr>
              <w:t>详见5.</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章要求</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hint="eastAsia" w:ascii="宋体" w:hAnsi="宋体" w:eastAsia="宋体" w:cs="宋体"/>
                <w:bCs/>
                <w:color w:val="auto"/>
                <w:szCs w:val="21"/>
                <w:highlight w:val="none"/>
                <w:lang w:val="en-US" w:eastAsia="zh-CN"/>
              </w:rPr>
            </w:pPr>
            <w:bookmarkStart w:id="1197" w:name="_Toc16119"/>
            <w:bookmarkStart w:id="1198" w:name="_Toc4101"/>
            <w:bookmarkStart w:id="1199" w:name="_Toc17530"/>
            <w:bookmarkStart w:id="1200" w:name="_Toc10166"/>
            <w:bookmarkStart w:id="1201" w:name="_Toc74161990"/>
            <w:bookmarkStart w:id="1202" w:name="_Toc24292"/>
            <w:bookmarkStart w:id="1203" w:name="_Toc4682"/>
            <w:bookmarkStart w:id="1204" w:name="_Toc1734"/>
            <w:bookmarkStart w:id="1205" w:name="_Toc29072"/>
            <w:bookmarkStart w:id="1206" w:name="_Toc15572"/>
            <w:bookmarkStart w:id="1207" w:name="_Toc21680"/>
            <w:bookmarkStart w:id="1208" w:name="_Toc9150"/>
            <w:bookmarkStart w:id="1209" w:name="_Toc18029"/>
            <w:bookmarkStart w:id="1210" w:name="_Toc2439"/>
            <w:bookmarkStart w:id="1211" w:name="_Toc14030"/>
            <w:bookmarkStart w:id="1212" w:name="_Toc1975614343"/>
            <w:bookmarkStart w:id="1213" w:name="_Toc3698"/>
            <w:bookmarkStart w:id="1214" w:name="_Toc22105"/>
            <w:bookmarkStart w:id="1215" w:name="_Toc5505"/>
            <w:bookmarkStart w:id="1216" w:name="_Toc9569"/>
            <w:bookmarkStart w:id="1217" w:name="_Toc22661"/>
            <w:bookmarkStart w:id="1218" w:name="_Toc8627"/>
            <w:bookmarkStart w:id="1219" w:name="_Toc6380"/>
            <w:bookmarkStart w:id="1220" w:name="_Toc7136"/>
            <w:bookmarkStart w:id="1221" w:name="_Toc32225"/>
            <w:bookmarkStart w:id="1222" w:name="_Toc3058"/>
            <w:bookmarkStart w:id="1223" w:name="_Toc3791"/>
            <w:bookmarkStart w:id="1224" w:name="_Toc6575"/>
            <w:bookmarkStart w:id="1225" w:name="_Toc24553"/>
            <w:bookmarkStart w:id="1226" w:name="_Toc25590"/>
            <w:bookmarkStart w:id="1227" w:name="_Toc29529"/>
            <w:bookmarkStart w:id="1228" w:name="_Toc20309"/>
            <w:bookmarkStart w:id="1229" w:name="_Toc31310"/>
            <w:bookmarkStart w:id="1230" w:name="_Toc5067"/>
            <w:bookmarkStart w:id="1231" w:name="_Toc22002"/>
            <w:bookmarkStart w:id="1232" w:name="_Toc29937"/>
            <w:bookmarkStart w:id="1233" w:name="_Toc176784343"/>
            <w:bookmarkStart w:id="1234" w:name="_Toc26995"/>
            <w:bookmarkStart w:id="1235" w:name="_Toc29991"/>
            <w:bookmarkStart w:id="1236" w:name="_Toc24260"/>
            <w:bookmarkStart w:id="1237" w:name="_Toc31732"/>
            <w:bookmarkStart w:id="1238" w:name="_Toc11002"/>
            <w:bookmarkStart w:id="1239" w:name="_Toc31109"/>
            <w:bookmarkStart w:id="1240" w:name="_Toc17683"/>
            <w:bookmarkStart w:id="1241" w:name="_Toc32109"/>
            <w:bookmarkStart w:id="1242" w:name="_Toc15070"/>
            <w:bookmarkStart w:id="1243" w:name="_Toc26236"/>
            <w:bookmarkStart w:id="1244" w:name="_Toc8779"/>
            <w:bookmarkStart w:id="1245" w:name="_Toc214973090"/>
            <w:r>
              <w:rPr>
                <w:rFonts w:hint="eastAsia" w:ascii="宋体" w:hAnsi="宋体" w:cs="宋体"/>
                <w:bCs/>
                <w:color w:val="auto"/>
                <w:szCs w:val="21"/>
                <w:highlight w:val="none"/>
                <w:lang w:val="en-US" w:eastAsia="zh-CN"/>
              </w:rPr>
              <w:t>4</w:t>
            </w:r>
          </w:p>
        </w:tc>
        <w:tc>
          <w:tcPr>
            <w:tcW w:w="950" w:type="pct"/>
            <w:vAlign w:val="center"/>
          </w:tcPr>
          <w:p>
            <w:pPr>
              <w:pStyle w:val="46"/>
              <w:widowControl/>
              <w:adjustRightInd w:val="0"/>
              <w:snapToGrid w:val="0"/>
              <w:spacing w:line="240" w:lineRule="auto"/>
              <w:jc w:val="center"/>
              <w:textAlignment w:val="center"/>
              <w:rPr>
                <w:rFonts w:hint="eastAsia" w:ascii="宋体" w:hAnsi="宋体" w:cs="宋体"/>
                <w:color w:val="auto"/>
                <w:szCs w:val="21"/>
                <w:highlight w:val="none"/>
              </w:rPr>
            </w:pPr>
            <w:r>
              <w:rPr>
                <w:rFonts w:hint="eastAsia" w:ascii="宋体" w:hAnsi="宋体" w:cs="宋体"/>
                <w:color w:val="auto"/>
                <w:szCs w:val="21"/>
                <w:highlight w:val="none"/>
              </w:rPr>
              <w:t>现场实施 - 系统部署</w:t>
            </w:r>
          </w:p>
        </w:tc>
        <w:tc>
          <w:tcPr>
            <w:tcW w:w="1921" w:type="pct"/>
            <w:vAlign w:val="center"/>
          </w:tcPr>
          <w:p>
            <w:pPr>
              <w:pStyle w:val="46"/>
              <w:widowControl/>
              <w:adjustRightInd w:val="0"/>
              <w:snapToGrid w:val="0"/>
              <w:spacing w:line="240" w:lineRule="auto"/>
              <w:jc w:val="left"/>
              <w:rPr>
                <w:rFonts w:hint="eastAsia" w:ascii="宋体" w:hAnsi="宋体" w:cs="宋体"/>
                <w:bCs/>
                <w:color w:val="auto"/>
                <w:szCs w:val="21"/>
                <w:highlight w:val="none"/>
              </w:rPr>
            </w:pPr>
            <w:r>
              <w:rPr>
                <w:rFonts w:hint="eastAsia" w:ascii="宋体" w:hAnsi="宋体" w:cs="宋体"/>
                <w:bCs/>
                <w:color w:val="auto"/>
                <w:szCs w:val="21"/>
                <w:highlight w:val="none"/>
              </w:rPr>
              <w:t>1. 服务器及终端设备系统安装部署；2. 软件环境配置及优化；3. 2 个试点站点系统部署及验证；4. 全省</w:t>
            </w:r>
            <w:r>
              <w:rPr>
                <w:rFonts w:hint="eastAsia" w:ascii="宋体" w:hAnsi="宋体" w:cs="宋体"/>
                <w:bCs/>
                <w:color w:val="auto"/>
                <w:szCs w:val="21"/>
                <w:highlight w:val="none"/>
                <w:lang w:val="en-US" w:eastAsia="zh-CN"/>
              </w:rPr>
              <w:t>综合</w:t>
            </w:r>
            <w:r>
              <w:rPr>
                <w:rFonts w:hint="eastAsia" w:ascii="宋体" w:hAnsi="宋体" w:cs="宋体"/>
                <w:bCs/>
                <w:color w:val="auto"/>
                <w:szCs w:val="21"/>
                <w:highlight w:val="none"/>
              </w:rPr>
              <w:t>供能站系统切换上线</w:t>
            </w:r>
          </w:p>
        </w:tc>
        <w:tc>
          <w:tcPr>
            <w:tcW w:w="898" w:type="pct"/>
            <w:vAlign w:val="center"/>
          </w:tcPr>
          <w:p>
            <w:pPr>
              <w:pStyle w:val="46"/>
              <w:widowControl/>
              <w:adjustRightInd w:val="0"/>
              <w:snapToGrid w:val="0"/>
              <w:spacing w:line="240" w:lineRule="auto"/>
              <w:jc w:val="center"/>
              <w:rPr>
                <w:rFonts w:hint="eastAsia" w:ascii="宋体" w:hAnsi="宋体" w:eastAsia="宋体" w:cs="宋体"/>
                <w:color w:val="auto"/>
                <w:szCs w:val="21"/>
                <w:highlight w:val="none"/>
                <w:lang w:val="en-US" w:eastAsia="zh-CN"/>
              </w:rPr>
            </w:pPr>
            <w:r>
              <w:rPr>
                <w:rFonts w:hint="eastAsia" w:ascii="宋体" w:hAnsi="宋体" w:cs="宋体"/>
                <w:color w:val="auto"/>
                <w:szCs w:val="21"/>
                <w:highlight w:val="none"/>
                <w:lang w:val="en-US" w:eastAsia="zh-CN"/>
              </w:rPr>
              <w:t>《系统部署配置文档》、《站点系统上线验证报告》、《系统切换方案》等</w:t>
            </w:r>
          </w:p>
        </w:tc>
        <w:tc>
          <w:tcPr>
            <w:tcW w:w="614" w:type="pct"/>
          </w:tcPr>
          <w:p>
            <w:pPr>
              <w:pStyle w:val="46"/>
              <w:adjustRightInd w:val="0"/>
              <w:snapToGrid w:val="0"/>
              <w:spacing w:line="240" w:lineRule="auto"/>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hint="eastAsia" w:ascii="宋体" w:hAnsi="宋体" w:eastAsia="宋体" w:cs="宋体"/>
                <w:bCs/>
                <w:color w:val="auto"/>
                <w:szCs w:val="21"/>
                <w:highlight w:val="none"/>
                <w:lang w:val="en-US" w:eastAsia="zh-CN"/>
              </w:rPr>
            </w:pPr>
            <w:r>
              <w:rPr>
                <w:rFonts w:hint="eastAsia" w:ascii="宋体" w:hAnsi="宋体" w:cs="宋体"/>
                <w:bCs/>
                <w:color w:val="auto"/>
                <w:szCs w:val="21"/>
                <w:highlight w:val="none"/>
                <w:lang w:val="en-US" w:eastAsia="zh-CN"/>
              </w:rPr>
              <w:t>5</w:t>
            </w:r>
          </w:p>
        </w:tc>
        <w:tc>
          <w:tcPr>
            <w:tcW w:w="950" w:type="pct"/>
            <w:vAlign w:val="center"/>
          </w:tcPr>
          <w:p>
            <w:pPr>
              <w:pStyle w:val="46"/>
              <w:widowControl/>
              <w:adjustRightInd w:val="0"/>
              <w:snapToGrid w:val="0"/>
              <w:spacing w:line="240" w:lineRule="auto"/>
              <w:jc w:val="center"/>
              <w:textAlignment w:val="center"/>
              <w:rPr>
                <w:rFonts w:hint="eastAsia" w:ascii="宋体" w:hAnsi="宋体" w:cs="宋体"/>
                <w:color w:val="auto"/>
                <w:szCs w:val="21"/>
                <w:highlight w:val="none"/>
              </w:rPr>
            </w:pPr>
            <w:r>
              <w:rPr>
                <w:rFonts w:hint="eastAsia" w:ascii="宋体" w:hAnsi="宋体" w:cs="宋体"/>
                <w:color w:val="auto"/>
                <w:szCs w:val="21"/>
                <w:highlight w:val="none"/>
              </w:rPr>
              <w:t>实施支撑</w:t>
            </w:r>
          </w:p>
        </w:tc>
        <w:tc>
          <w:tcPr>
            <w:tcW w:w="1921" w:type="pct"/>
            <w:vAlign w:val="center"/>
          </w:tcPr>
          <w:p>
            <w:pPr>
              <w:pStyle w:val="46"/>
              <w:widowControl/>
              <w:adjustRightInd w:val="0"/>
              <w:snapToGrid w:val="0"/>
              <w:spacing w:line="240" w:lineRule="auto"/>
              <w:jc w:val="left"/>
              <w:rPr>
                <w:rFonts w:hint="eastAsia" w:ascii="宋体" w:hAnsi="宋体" w:cs="宋体"/>
                <w:bCs/>
                <w:color w:val="auto"/>
                <w:szCs w:val="21"/>
                <w:highlight w:val="none"/>
              </w:rPr>
            </w:pPr>
            <w:r>
              <w:rPr>
                <w:rFonts w:hint="eastAsia" w:ascii="宋体" w:hAnsi="宋体" w:cs="宋体"/>
                <w:bCs/>
                <w:color w:val="auto"/>
                <w:szCs w:val="21"/>
                <w:highlight w:val="none"/>
              </w:rPr>
              <w:t>1. 项目需求对接及方案优化；2. 现场问题整改及技术支持；3. 项目进度管控及协调沟通；4. 与双甲方（浙石油综合能源销售有限公司、浙能数字科技有限公司）对接验收</w:t>
            </w:r>
          </w:p>
        </w:tc>
        <w:tc>
          <w:tcPr>
            <w:tcW w:w="898" w:type="pct"/>
            <w:vAlign w:val="center"/>
          </w:tcPr>
          <w:p>
            <w:pPr>
              <w:pStyle w:val="46"/>
              <w:widowControl/>
              <w:adjustRightInd w:val="0"/>
              <w:snapToGrid w:val="0"/>
              <w:spacing w:line="240" w:lineRule="auto"/>
              <w:jc w:val="center"/>
              <w:rPr>
                <w:rFonts w:hint="eastAsia" w:ascii="宋体" w:hAnsi="宋体" w:eastAsia="宋体" w:cs="宋体"/>
                <w:color w:val="auto"/>
                <w:szCs w:val="21"/>
                <w:highlight w:val="none"/>
                <w:lang w:val="en-US" w:eastAsia="zh-CN"/>
              </w:rPr>
            </w:pPr>
            <w:r>
              <w:rPr>
                <w:rFonts w:hint="eastAsia" w:ascii="宋体" w:hAnsi="宋体" w:cs="宋体"/>
                <w:color w:val="auto"/>
                <w:szCs w:val="21"/>
                <w:highlight w:val="none"/>
                <w:lang w:val="en-US" w:eastAsia="zh-CN"/>
              </w:rPr>
              <w:t>《需求对接优化记录》、《现场问题处理台账》、《项目验收准备清单》等</w:t>
            </w:r>
          </w:p>
        </w:tc>
        <w:tc>
          <w:tcPr>
            <w:tcW w:w="614" w:type="pct"/>
          </w:tcPr>
          <w:p>
            <w:pPr>
              <w:pStyle w:val="46"/>
              <w:adjustRightInd w:val="0"/>
              <w:snapToGrid w:val="0"/>
              <w:spacing w:line="240" w:lineRule="auto"/>
              <w:rPr>
                <w:rFonts w:ascii="宋体" w:hAnsi="宋体" w:cs="宋体"/>
                <w:color w:val="auto"/>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28" w:type="dxa"/>
            <w:bottom w:w="0" w:type="dxa"/>
            <w:right w:w="28" w:type="dxa"/>
          </w:tblCellMar>
        </w:tblPrEx>
        <w:trPr>
          <w:cantSplit/>
          <w:trHeight w:val="330" w:hRule="atLeast"/>
        </w:trPr>
        <w:tc>
          <w:tcPr>
            <w:tcW w:w="617" w:type="pct"/>
            <w:vAlign w:val="center"/>
          </w:tcPr>
          <w:p>
            <w:pPr>
              <w:pStyle w:val="46"/>
              <w:widowControl/>
              <w:adjustRightInd w:val="0"/>
              <w:snapToGrid w:val="0"/>
              <w:spacing w:line="240" w:lineRule="auto"/>
              <w:jc w:val="center"/>
              <w:rPr>
                <w:rFonts w:hint="default" w:ascii="宋体" w:hAnsi="宋体" w:cs="宋体"/>
                <w:bCs/>
                <w:color w:val="auto"/>
                <w:szCs w:val="21"/>
                <w:highlight w:val="none"/>
                <w:lang w:val="en-US" w:eastAsia="zh-CN"/>
              </w:rPr>
            </w:pPr>
            <w:r>
              <w:rPr>
                <w:rFonts w:hint="eastAsia" w:ascii="宋体" w:hAnsi="宋体" w:cs="宋体"/>
                <w:bCs/>
                <w:color w:val="auto"/>
                <w:szCs w:val="21"/>
                <w:highlight w:val="none"/>
                <w:lang w:val="en-US" w:eastAsia="zh-CN"/>
              </w:rPr>
              <w:t>6</w:t>
            </w:r>
          </w:p>
        </w:tc>
        <w:tc>
          <w:tcPr>
            <w:tcW w:w="950" w:type="pct"/>
            <w:vAlign w:val="center"/>
          </w:tcPr>
          <w:p>
            <w:pPr>
              <w:pStyle w:val="46"/>
              <w:widowControl/>
              <w:adjustRightInd w:val="0"/>
              <w:snapToGrid w:val="0"/>
              <w:spacing w:line="240" w:lineRule="auto"/>
              <w:jc w:val="center"/>
              <w:textAlignment w:val="center"/>
              <w:rPr>
                <w:rFonts w:hint="eastAsia" w:ascii="宋体" w:hAnsi="宋体" w:cs="宋体"/>
                <w:color w:val="auto"/>
                <w:szCs w:val="21"/>
                <w:highlight w:val="none"/>
              </w:rPr>
            </w:pPr>
            <w:r>
              <w:rPr>
                <w:rFonts w:hint="eastAsia" w:cs="宋体"/>
                <w:color w:val="auto"/>
                <w:kern w:val="0"/>
                <w:sz w:val="21"/>
                <w:szCs w:val="21"/>
                <w:highlight w:val="none"/>
                <w:u w:val="none"/>
                <w:lang w:val="en-US" w:eastAsia="zh-CN" w:bidi="ar"/>
              </w:rPr>
              <w:t>安全</w:t>
            </w:r>
            <w:r>
              <w:rPr>
                <w:rFonts w:hint="eastAsia" w:ascii="宋体" w:hAnsi="宋体" w:cs="宋体"/>
                <w:color w:val="auto"/>
                <w:szCs w:val="21"/>
                <w:highlight w:val="none"/>
                <w:u w:val="none"/>
                <w:lang w:val="en-US" w:eastAsia="zh-CN" w:bidi="ar"/>
              </w:rPr>
              <w:t>测评</w:t>
            </w:r>
          </w:p>
        </w:tc>
        <w:tc>
          <w:tcPr>
            <w:tcW w:w="1921" w:type="pct"/>
            <w:vAlign w:val="center"/>
          </w:tcPr>
          <w:p>
            <w:pPr>
              <w:pStyle w:val="46"/>
              <w:widowControl/>
              <w:adjustRightInd w:val="0"/>
              <w:snapToGrid w:val="0"/>
              <w:spacing w:line="240" w:lineRule="auto"/>
              <w:jc w:val="left"/>
              <w:rPr>
                <w:rFonts w:hint="eastAsia" w:ascii="宋体" w:hAnsi="宋体" w:cs="宋体"/>
                <w:bCs/>
                <w:color w:val="auto"/>
                <w:szCs w:val="21"/>
                <w:highlight w:val="none"/>
              </w:rPr>
            </w:pPr>
            <w:r>
              <w:rPr>
                <w:rFonts w:hint="eastAsia" w:cs="宋体"/>
                <w:bCs/>
                <w:color w:val="auto"/>
                <w:kern w:val="0"/>
                <w:sz w:val="21"/>
                <w:szCs w:val="21"/>
                <w:highlight w:val="none"/>
                <w:u w:val="none"/>
                <w:lang w:val="en-US" w:eastAsia="zh-CN" w:bidi="ar"/>
              </w:rPr>
              <w:t>漏洞扫描、渗透测试、等保测评</w:t>
            </w:r>
          </w:p>
        </w:tc>
        <w:tc>
          <w:tcPr>
            <w:tcW w:w="898" w:type="pct"/>
            <w:vAlign w:val="center"/>
          </w:tcPr>
          <w:p>
            <w:pPr>
              <w:pStyle w:val="46"/>
              <w:widowControl/>
              <w:adjustRightInd w:val="0"/>
              <w:snapToGrid w:val="0"/>
              <w:spacing w:line="240" w:lineRule="auto"/>
              <w:jc w:val="center"/>
              <w:rPr>
                <w:rFonts w:hint="eastAsia" w:ascii="宋体" w:hAnsi="宋体" w:cs="宋体"/>
                <w:color w:val="auto"/>
                <w:szCs w:val="21"/>
                <w:highlight w:val="none"/>
                <w:lang w:val="en-US" w:eastAsia="zh-CN"/>
              </w:rPr>
            </w:pPr>
          </w:p>
        </w:tc>
        <w:tc>
          <w:tcPr>
            <w:tcW w:w="614" w:type="pct"/>
          </w:tcPr>
          <w:p>
            <w:pPr>
              <w:pStyle w:val="46"/>
              <w:adjustRightInd w:val="0"/>
              <w:snapToGrid w:val="0"/>
              <w:spacing w:line="240" w:lineRule="auto"/>
              <w:rPr>
                <w:rFonts w:ascii="宋体" w:hAnsi="宋体" w:cs="宋体"/>
                <w:color w:val="auto"/>
                <w:szCs w:val="21"/>
                <w:highlight w:val="none"/>
              </w:rPr>
            </w:pPr>
          </w:p>
        </w:tc>
      </w:tr>
      <w:bookmarkEnd w:id="55"/>
      <w:bookmarkEnd w:id="1030"/>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tbl>
    <w:p>
      <w:pPr>
        <w:pStyle w:val="2"/>
        <w:numPr>
          <w:ilvl w:val="0"/>
          <w:numId w:val="5"/>
        </w:numPr>
        <w:spacing w:before="156" w:after="62" w:line="360" w:lineRule="auto"/>
        <w:rPr>
          <w:rFonts w:ascii="宋体" w:hAnsi="宋体" w:cs="宋体"/>
          <w:color w:val="auto"/>
          <w:sz w:val="21"/>
          <w:szCs w:val="21"/>
          <w:highlight w:val="none"/>
        </w:rPr>
      </w:pPr>
      <w:bookmarkStart w:id="1246" w:name="_Toc214973086"/>
      <w:bookmarkEnd w:id="1246"/>
      <w:bookmarkStart w:id="1247" w:name="_Toc214973088"/>
      <w:bookmarkEnd w:id="1247"/>
      <w:bookmarkStart w:id="1248" w:name="_Toc214973085"/>
      <w:bookmarkEnd w:id="1248"/>
      <w:bookmarkStart w:id="1249" w:name="_Toc214973087"/>
      <w:bookmarkEnd w:id="1249"/>
      <w:bookmarkStart w:id="1250" w:name="_Toc214973089"/>
      <w:bookmarkEnd w:id="1250"/>
      <w:bookmarkStart w:id="1251" w:name="_Toc2951"/>
      <w:bookmarkStart w:id="1252" w:name="_Toc11178"/>
      <w:bookmarkStart w:id="1253" w:name="_Toc4743"/>
      <w:r>
        <w:rPr>
          <w:rFonts w:hint="eastAsia" w:ascii="宋体" w:hAnsi="宋体" w:cs="宋体"/>
          <w:color w:val="auto"/>
          <w:sz w:val="21"/>
          <w:szCs w:val="21"/>
          <w:highlight w:val="none"/>
        </w:rPr>
        <w:t>性能考核</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51"/>
      <w:bookmarkEnd w:id="1252"/>
      <w:bookmarkEnd w:id="1253"/>
    </w:p>
    <w:p>
      <w:pPr>
        <w:pStyle w:val="127"/>
        <w:numPr>
          <w:ilvl w:val="0"/>
          <w:numId w:val="28"/>
        </w:numPr>
        <w:adjustRightInd w:val="0"/>
        <w:snapToGrid w:val="0"/>
        <w:spacing w:line="360" w:lineRule="auto"/>
        <w:ind w:left="0" w:firstLine="420"/>
        <w:rPr>
          <w:rFonts w:ascii="宋体" w:hAnsi="宋体" w:cs="宋体"/>
          <w:color w:val="auto"/>
          <w:szCs w:val="21"/>
          <w:highlight w:val="none"/>
        </w:rPr>
      </w:pPr>
      <w:r>
        <w:rPr>
          <w:rFonts w:hint="eastAsia" w:ascii="宋体" w:hAnsi="宋体" w:cs="宋体"/>
          <w:color w:val="auto"/>
          <w:szCs w:val="21"/>
          <w:highlight w:val="none"/>
        </w:rPr>
        <w:t>稳定性要求考核</w:t>
      </w:r>
    </w:p>
    <w:p>
      <w:pPr>
        <w:pStyle w:val="127"/>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项目质保期为1年，自最终验收合格之日算起。质保期内系统运行异常问题，投标人接到招标人通知后4小时内予以免费解决。如在招标人通知投标人后，投标人不及时维修或不维修的情况下，招标人有权重新安排其它单位代其维修，所发生的费用，从质保金中扣除，不足部分由投标人补偿。若在质保期内因投标人原因发生死机、中断，投标人应免费整改至技术规范书的规范要求，否则支付10000元/次的违约金。</w:t>
      </w:r>
    </w:p>
    <w:p>
      <w:pPr>
        <w:pStyle w:val="127"/>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投标人应保证质保期内系统可利用率≥99.99％，保证系统功能完善，并经试验证实其符合技术规范书规定的所有功能。若达不到技术规范书规定的要求，则投标人必须在1月内免费整改至技术规范书的要求，并承担所发生的直接费用。</w:t>
      </w:r>
    </w:p>
    <w:p>
      <w:pPr>
        <w:pStyle w:val="127"/>
        <w:numPr>
          <w:ilvl w:val="0"/>
          <w:numId w:val="28"/>
        </w:numPr>
        <w:adjustRightInd w:val="0"/>
        <w:snapToGrid w:val="0"/>
        <w:spacing w:line="360" w:lineRule="auto"/>
        <w:ind w:left="0" w:firstLine="420"/>
        <w:rPr>
          <w:rFonts w:ascii="宋体" w:hAnsi="宋体" w:cs="宋体"/>
          <w:color w:val="auto"/>
          <w:szCs w:val="21"/>
          <w:highlight w:val="none"/>
        </w:rPr>
      </w:pPr>
      <w:r>
        <w:rPr>
          <w:rFonts w:hint="eastAsia" w:ascii="宋体" w:hAnsi="宋体" w:cs="宋体"/>
          <w:color w:val="auto"/>
          <w:szCs w:val="21"/>
          <w:highlight w:val="none"/>
        </w:rPr>
        <w:t>安全性要求考核：</w:t>
      </w:r>
    </w:p>
    <w:p>
      <w:pPr>
        <w:pStyle w:val="127"/>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系统平台开发完毕后需要通过安全测试，并通过漏洞扫描、渗透测试和</w:t>
      </w:r>
      <w:r>
        <w:rPr>
          <w:rFonts w:hint="eastAsia" w:ascii="宋体" w:hAnsi="宋体" w:cs="宋体"/>
          <w:color w:val="auto"/>
          <w:kern w:val="0"/>
          <w:szCs w:val="21"/>
          <w:highlight w:val="none"/>
        </w:rPr>
        <w:t>等保2.0三级</w:t>
      </w:r>
      <w:r>
        <w:rPr>
          <w:rFonts w:hint="eastAsia" w:ascii="宋体" w:hAnsi="宋体" w:cs="宋体"/>
          <w:color w:val="auto"/>
          <w:szCs w:val="21"/>
          <w:highlight w:val="none"/>
          <w:lang w:val="en-US" w:eastAsia="zh-CN"/>
        </w:rPr>
        <w:t>测评</w:t>
      </w:r>
      <w:r>
        <w:rPr>
          <w:rFonts w:hint="eastAsia" w:ascii="宋体" w:hAnsi="宋体" w:cs="宋体"/>
          <w:color w:val="auto"/>
          <w:szCs w:val="21"/>
          <w:highlight w:val="none"/>
        </w:rPr>
        <w:t>，相关费用需包含在合同总价中。如未通过</w:t>
      </w:r>
      <w:r>
        <w:rPr>
          <w:rFonts w:hint="eastAsia" w:ascii="宋体" w:hAnsi="宋体" w:cs="宋体"/>
          <w:color w:val="auto"/>
          <w:szCs w:val="21"/>
          <w:highlight w:val="none"/>
          <w:lang w:val="en-US" w:eastAsia="zh-CN"/>
        </w:rPr>
        <w:t>测评</w:t>
      </w:r>
      <w:r>
        <w:rPr>
          <w:rFonts w:hint="eastAsia" w:ascii="宋体" w:hAnsi="宋体" w:cs="宋体"/>
          <w:color w:val="auto"/>
          <w:szCs w:val="21"/>
          <w:highlight w:val="none"/>
        </w:rPr>
        <w:t>，则需进行整改，直至通过</w:t>
      </w:r>
      <w:r>
        <w:rPr>
          <w:rFonts w:hint="eastAsia" w:ascii="宋体" w:hAnsi="宋体" w:cs="宋体"/>
          <w:color w:val="auto"/>
          <w:szCs w:val="21"/>
          <w:highlight w:val="none"/>
          <w:lang w:val="en-US" w:eastAsia="zh-CN"/>
        </w:rPr>
        <w:t>测评</w:t>
      </w:r>
      <w:r>
        <w:rPr>
          <w:rFonts w:hint="eastAsia" w:ascii="宋体" w:hAnsi="宋体" w:cs="宋体"/>
          <w:color w:val="auto"/>
          <w:szCs w:val="21"/>
          <w:highlight w:val="none"/>
        </w:rPr>
        <w:t>。</w:t>
      </w:r>
    </w:p>
    <w:p>
      <w:pPr>
        <w:pStyle w:val="127"/>
        <w:numPr>
          <w:ilvl w:val="0"/>
          <w:numId w:val="28"/>
        </w:numPr>
        <w:adjustRightInd w:val="0"/>
        <w:snapToGrid w:val="0"/>
        <w:spacing w:line="360" w:lineRule="auto"/>
        <w:ind w:left="0" w:firstLine="420"/>
        <w:rPr>
          <w:rFonts w:ascii="宋体" w:hAnsi="宋体" w:cs="宋体"/>
          <w:color w:val="auto"/>
          <w:szCs w:val="21"/>
          <w:highlight w:val="none"/>
        </w:rPr>
      </w:pPr>
      <w:r>
        <w:rPr>
          <w:rFonts w:hint="eastAsia" w:ascii="宋体" w:hAnsi="宋体" w:cs="宋体"/>
          <w:color w:val="auto"/>
          <w:szCs w:val="21"/>
          <w:highlight w:val="none"/>
        </w:rPr>
        <w:t>其他要求考核</w:t>
      </w:r>
    </w:p>
    <w:p>
      <w:pPr>
        <w:pStyle w:val="127"/>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技术资料交付每少一份扣2500元。</w:t>
      </w:r>
    </w:p>
    <w:p>
      <w:pPr>
        <w:pStyle w:val="127"/>
        <w:adjustRightInd w:val="0"/>
        <w:snapToGrid w:val="0"/>
        <w:spacing w:line="360" w:lineRule="auto"/>
        <w:rPr>
          <w:rFonts w:ascii="宋体" w:hAnsi="宋体" w:cs="宋体"/>
          <w:color w:val="auto"/>
          <w:szCs w:val="21"/>
          <w:highlight w:val="none"/>
        </w:rPr>
      </w:pPr>
      <w:r>
        <w:rPr>
          <w:rFonts w:hint="eastAsia" w:ascii="宋体" w:hAnsi="宋体" w:cs="宋体"/>
          <w:color w:val="auto"/>
          <w:szCs w:val="21"/>
          <w:highlight w:val="none"/>
        </w:rPr>
        <w:t>技术培训每少一次扣5000元。</w:t>
      </w:r>
    </w:p>
    <w:p>
      <w:pPr>
        <w:pStyle w:val="2"/>
        <w:numPr>
          <w:ilvl w:val="0"/>
          <w:numId w:val="5"/>
        </w:numPr>
        <w:spacing w:before="0" w:beforeLines="0" w:after="0" w:afterLines="0" w:line="360" w:lineRule="auto"/>
        <w:ind w:left="431" w:hanging="431"/>
        <w:rPr>
          <w:rFonts w:ascii="宋体" w:hAnsi="宋体" w:cs="宋体"/>
          <w:color w:val="auto"/>
          <w:sz w:val="21"/>
          <w:szCs w:val="21"/>
          <w:highlight w:val="none"/>
        </w:rPr>
      </w:pPr>
      <w:bookmarkStart w:id="1254" w:name="_Toc704"/>
      <w:bookmarkStart w:id="1255" w:name="_Toc1905596534"/>
      <w:bookmarkStart w:id="1256" w:name="_Toc19524"/>
      <w:bookmarkStart w:id="1257" w:name="_Toc21659"/>
      <w:bookmarkStart w:id="1258" w:name="_Toc214973091"/>
      <w:r>
        <w:rPr>
          <w:rFonts w:hint="eastAsia" w:ascii="宋体" w:hAnsi="宋体" w:cs="宋体"/>
          <w:color w:val="auto"/>
          <w:sz w:val="21"/>
          <w:szCs w:val="21"/>
          <w:highlight w:val="none"/>
        </w:rPr>
        <w:t>技术差异表</w:t>
      </w:r>
      <w:bookmarkEnd w:id="1254"/>
      <w:bookmarkEnd w:id="1255"/>
      <w:bookmarkEnd w:id="1256"/>
      <w:bookmarkEnd w:id="1257"/>
      <w:bookmarkEnd w:id="1258"/>
    </w:p>
    <w:p>
      <w:pPr>
        <w:pStyle w:val="118"/>
        <w:adjustRightInd w:val="0"/>
        <w:snapToGrid w:val="0"/>
        <w:spacing w:before="0" w:after="0"/>
        <w:ind w:firstLine="420"/>
        <w:rPr>
          <w:rFonts w:ascii="宋体" w:hAnsi="宋体"/>
          <w:color w:val="auto"/>
          <w:sz w:val="21"/>
          <w:szCs w:val="21"/>
          <w:highlight w:val="none"/>
        </w:rPr>
      </w:pPr>
      <w:r>
        <w:rPr>
          <w:rFonts w:hint="eastAsia" w:ascii="宋体" w:hAnsi="宋体"/>
          <w:color w:val="auto"/>
          <w:sz w:val="21"/>
          <w:szCs w:val="21"/>
          <w:highlight w:val="none"/>
        </w:rPr>
        <w:t>投标人需将投标文件和招标文件的差异之处汇集成表，而且技术部分和商务部分要单独列表。</w:t>
      </w:r>
    </w:p>
    <w:tbl>
      <w:tblPr>
        <w:tblStyle w:val="34"/>
        <w:tblW w:w="855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28" w:type="dxa"/>
        </w:tblCellMar>
      </w:tblPr>
      <w:tblGrid>
        <w:gridCol w:w="832"/>
        <w:gridCol w:w="900"/>
        <w:gridCol w:w="1080"/>
        <w:gridCol w:w="1080"/>
        <w:gridCol w:w="1440"/>
        <w:gridCol w:w="3222"/>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jc w:val="center"/>
        </w:trPr>
        <w:tc>
          <w:tcPr>
            <w:tcW w:w="832" w:type="dxa"/>
            <w:vMerge w:val="restart"/>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序号</w:t>
            </w:r>
          </w:p>
        </w:tc>
        <w:tc>
          <w:tcPr>
            <w:tcW w:w="1980" w:type="dxa"/>
            <w:gridSpan w:val="2"/>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招标文件</w:t>
            </w:r>
          </w:p>
        </w:tc>
        <w:tc>
          <w:tcPr>
            <w:tcW w:w="2520" w:type="dxa"/>
            <w:gridSpan w:val="2"/>
            <w:tcBorders>
              <w:right w:val="single" w:color="auto" w:sz="4" w:space="0"/>
            </w:tcBorders>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投标文件</w:t>
            </w:r>
          </w:p>
        </w:tc>
        <w:tc>
          <w:tcPr>
            <w:tcW w:w="3222" w:type="dxa"/>
            <w:vMerge w:val="restart"/>
            <w:tcBorders>
              <w:left w:val="single" w:color="auto" w:sz="4" w:space="0"/>
            </w:tcBorders>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对差异的说明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cantSplit/>
          <w:jc w:val="center"/>
        </w:trPr>
        <w:tc>
          <w:tcPr>
            <w:tcW w:w="832" w:type="dxa"/>
            <w:vMerge w:val="continue"/>
            <w:vAlign w:val="center"/>
          </w:tcPr>
          <w:p>
            <w:pPr>
              <w:pStyle w:val="46"/>
              <w:adjustRightInd w:val="0"/>
              <w:snapToGrid w:val="0"/>
              <w:spacing w:line="360" w:lineRule="auto"/>
              <w:jc w:val="center"/>
              <w:rPr>
                <w:rFonts w:ascii="宋体" w:hAnsi="宋体" w:cs="宋体"/>
                <w:color w:val="auto"/>
                <w:szCs w:val="21"/>
                <w:highlight w:val="none"/>
              </w:rPr>
            </w:pPr>
          </w:p>
        </w:tc>
        <w:tc>
          <w:tcPr>
            <w:tcW w:w="900" w:type="dxa"/>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条款</w:t>
            </w:r>
          </w:p>
        </w:tc>
        <w:tc>
          <w:tcPr>
            <w:tcW w:w="1080" w:type="dxa"/>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要求</w:t>
            </w:r>
          </w:p>
        </w:tc>
        <w:tc>
          <w:tcPr>
            <w:tcW w:w="1080" w:type="dxa"/>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条款</w:t>
            </w:r>
          </w:p>
        </w:tc>
        <w:tc>
          <w:tcPr>
            <w:tcW w:w="1440" w:type="dxa"/>
            <w:tcBorders>
              <w:right w:val="single" w:color="auto" w:sz="4" w:space="0"/>
            </w:tcBorders>
            <w:vAlign w:val="center"/>
          </w:tcPr>
          <w:p>
            <w:pPr>
              <w:pStyle w:val="46"/>
              <w:adjustRightInd w:val="0"/>
              <w:snapToGrid w:val="0"/>
              <w:spacing w:line="360" w:lineRule="auto"/>
              <w:jc w:val="center"/>
              <w:rPr>
                <w:rFonts w:ascii="宋体" w:hAnsi="宋体" w:cs="宋体"/>
                <w:b/>
                <w:color w:val="auto"/>
                <w:szCs w:val="21"/>
                <w:highlight w:val="none"/>
              </w:rPr>
            </w:pPr>
            <w:r>
              <w:rPr>
                <w:rFonts w:hint="eastAsia" w:ascii="宋体" w:hAnsi="宋体" w:cs="宋体"/>
                <w:b/>
                <w:color w:val="auto"/>
                <w:szCs w:val="21"/>
                <w:highlight w:val="none"/>
              </w:rPr>
              <w:t>响应</w:t>
            </w:r>
          </w:p>
        </w:tc>
        <w:tc>
          <w:tcPr>
            <w:tcW w:w="3222" w:type="dxa"/>
            <w:vMerge w:val="continue"/>
            <w:tcBorders>
              <w:left w:val="single" w:color="auto" w:sz="4" w:space="0"/>
            </w:tcBorders>
            <w:vAlign w:val="center"/>
          </w:tcPr>
          <w:p>
            <w:pPr>
              <w:pStyle w:val="46"/>
              <w:adjustRightInd w:val="0"/>
              <w:snapToGrid w:val="0"/>
              <w:spacing w:line="360" w:lineRule="auto"/>
              <w:ind w:firstLine="426"/>
              <w:jc w:val="center"/>
              <w:rPr>
                <w:rFonts w:ascii="宋体" w:hAnsi="宋体" w:cs="宋体"/>
                <w:b/>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jc w:val="center"/>
        </w:trPr>
        <w:tc>
          <w:tcPr>
            <w:tcW w:w="832" w:type="dxa"/>
            <w:vAlign w:val="center"/>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1</w:t>
            </w:r>
          </w:p>
        </w:tc>
        <w:tc>
          <w:tcPr>
            <w:tcW w:w="900" w:type="dxa"/>
            <w:vAlign w:val="center"/>
          </w:tcPr>
          <w:p>
            <w:pPr>
              <w:pStyle w:val="46"/>
              <w:adjustRightInd w:val="0"/>
              <w:snapToGrid w:val="0"/>
              <w:spacing w:line="360" w:lineRule="auto"/>
              <w:rPr>
                <w:rFonts w:ascii="宋体" w:hAnsi="宋体" w:cs="宋体"/>
                <w:color w:val="auto"/>
                <w:szCs w:val="21"/>
                <w:highlight w:val="none"/>
              </w:rPr>
            </w:pPr>
          </w:p>
        </w:tc>
        <w:tc>
          <w:tcPr>
            <w:tcW w:w="1080" w:type="dxa"/>
            <w:vAlign w:val="center"/>
          </w:tcPr>
          <w:p>
            <w:pPr>
              <w:pStyle w:val="46"/>
              <w:adjustRightInd w:val="0"/>
              <w:snapToGrid w:val="0"/>
              <w:spacing w:line="360" w:lineRule="auto"/>
              <w:rPr>
                <w:rFonts w:ascii="宋体" w:hAnsi="宋体" w:cs="宋体"/>
                <w:color w:val="auto"/>
                <w:szCs w:val="21"/>
                <w:highlight w:val="none"/>
              </w:rPr>
            </w:pPr>
          </w:p>
        </w:tc>
        <w:tc>
          <w:tcPr>
            <w:tcW w:w="1080" w:type="dxa"/>
            <w:vAlign w:val="center"/>
          </w:tcPr>
          <w:p>
            <w:pPr>
              <w:pStyle w:val="46"/>
              <w:adjustRightInd w:val="0"/>
              <w:snapToGrid w:val="0"/>
              <w:spacing w:line="360" w:lineRule="auto"/>
              <w:rPr>
                <w:rFonts w:ascii="宋体" w:hAnsi="宋体" w:cs="宋体"/>
                <w:color w:val="auto"/>
                <w:szCs w:val="21"/>
                <w:highlight w:val="none"/>
              </w:rPr>
            </w:pPr>
          </w:p>
        </w:tc>
        <w:tc>
          <w:tcPr>
            <w:tcW w:w="1440" w:type="dxa"/>
            <w:tcBorders>
              <w:right w:val="single" w:color="auto" w:sz="4" w:space="0"/>
            </w:tcBorders>
            <w:vAlign w:val="center"/>
          </w:tcPr>
          <w:p>
            <w:pPr>
              <w:pStyle w:val="46"/>
              <w:adjustRightInd w:val="0"/>
              <w:snapToGrid w:val="0"/>
              <w:spacing w:line="360" w:lineRule="auto"/>
              <w:rPr>
                <w:rFonts w:ascii="宋体" w:hAnsi="宋体" w:cs="宋体"/>
                <w:color w:val="auto"/>
                <w:szCs w:val="21"/>
                <w:highlight w:val="none"/>
              </w:rPr>
            </w:pPr>
          </w:p>
        </w:tc>
        <w:tc>
          <w:tcPr>
            <w:tcW w:w="3222" w:type="dxa"/>
            <w:tcBorders>
              <w:left w:val="single" w:color="auto" w:sz="4" w:space="0"/>
            </w:tcBorders>
            <w:vAlign w:val="center"/>
          </w:tcPr>
          <w:p>
            <w:pPr>
              <w:pStyle w:val="46"/>
              <w:adjustRightInd w:val="0"/>
              <w:snapToGrid w:val="0"/>
              <w:spacing w:line="360" w:lineRule="auto"/>
              <w:jc w:val="center"/>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jc w:val="center"/>
        </w:trPr>
        <w:tc>
          <w:tcPr>
            <w:tcW w:w="832"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2</w:t>
            </w:r>
          </w:p>
        </w:tc>
        <w:tc>
          <w:tcPr>
            <w:tcW w:w="90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440" w:type="dxa"/>
            <w:tcBorders>
              <w:right w:val="single" w:color="auto" w:sz="4" w:space="0"/>
            </w:tcBorders>
          </w:tcPr>
          <w:p>
            <w:pPr>
              <w:pStyle w:val="46"/>
              <w:adjustRightInd w:val="0"/>
              <w:snapToGrid w:val="0"/>
              <w:spacing w:line="360" w:lineRule="auto"/>
              <w:rPr>
                <w:rFonts w:ascii="宋体" w:hAnsi="宋体" w:cs="宋体"/>
                <w:color w:val="auto"/>
                <w:szCs w:val="21"/>
                <w:highlight w:val="none"/>
              </w:rPr>
            </w:pPr>
          </w:p>
        </w:tc>
        <w:tc>
          <w:tcPr>
            <w:tcW w:w="3222" w:type="dxa"/>
            <w:tcBorders>
              <w:left w:val="single" w:color="auto" w:sz="4" w:space="0"/>
            </w:tcBorders>
          </w:tcPr>
          <w:p>
            <w:pPr>
              <w:pStyle w:val="46"/>
              <w:adjustRightInd w:val="0"/>
              <w:snapToGrid w:val="0"/>
              <w:spacing w:line="360" w:lineRule="auto"/>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jc w:val="center"/>
        </w:trPr>
        <w:tc>
          <w:tcPr>
            <w:tcW w:w="832"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3</w:t>
            </w:r>
          </w:p>
        </w:tc>
        <w:tc>
          <w:tcPr>
            <w:tcW w:w="90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440" w:type="dxa"/>
            <w:tcBorders>
              <w:right w:val="single" w:color="auto" w:sz="4" w:space="0"/>
            </w:tcBorders>
          </w:tcPr>
          <w:p>
            <w:pPr>
              <w:pStyle w:val="46"/>
              <w:adjustRightInd w:val="0"/>
              <w:snapToGrid w:val="0"/>
              <w:spacing w:line="360" w:lineRule="auto"/>
              <w:rPr>
                <w:rFonts w:ascii="宋体" w:hAnsi="宋体" w:cs="宋体"/>
                <w:color w:val="auto"/>
                <w:szCs w:val="21"/>
                <w:highlight w:val="none"/>
              </w:rPr>
            </w:pPr>
          </w:p>
        </w:tc>
        <w:tc>
          <w:tcPr>
            <w:tcW w:w="3222" w:type="dxa"/>
            <w:tcBorders>
              <w:left w:val="single" w:color="auto" w:sz="4" w:space="0"/>
            </w:tcBorders>
          </w:tcPr>
          <w:p>
            <w:pPr>
              <w:pStyle w:val="46"/>
              <w:adjustRightInd w:val="0"/>
              <w:snapToGrid w:val="0"/>
              <w:spacing w:line="360" w:lineRule="auto"/>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jc w:val="center"/>
        </w:trPr>
        <w:tc>
          <w:tcPr>
            <w:tcW w:w="832"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4</w:t>
            </w:r>
          </w:p>
        </w:tc>
        <w:tc>
          <w:tcPr>
            <w:tcW w:w="90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440" w:type="dxa"/>
            <w:tcBorders>
              <w:right w:val="single" w:color="auto" w:sz="4" w:space="0"/>
            </w:tcBorders>
          </w:tcPr>
          <w:p>
            <w:pPr>
              <w:pStyle w:val="46"/>
              <w:adjustRightInd w:val="0"/>
              <w:snapToGrid w:val="0"/>
              <w:spacing w:line="360" w:lineRule="auto"/>
              <w:rPr>
                <w:rFonts w:ascii="宋体" w:hAnsi="宋体" w:cs="宋体"/>
                <w:color w:val="auto"/>
                <w:szCs w:val="21"/>
                <w:highlight w:val="none"/>
              </w:rPr>
            </w:pPr>
          </w:p>
        </w:tc>
        <w:tc>
          <w:tcPr>
            <w:tcW w:w="3222" w:type="dxa"/>
            <w:tcBorders>
              <w:left w:val="single" w:color="auto" w:sz="4" w:space="0"/>
            </w:tcBorders>
          </w:tcPr>
          <w:p>
            <w:pPr>
              <w:pStyle w:val="46"/>
              <w:adjustRightInd w:val="0"/>
              <w:snapToGrid w:val="0"/>
              <w:spacing w:line="360" w:lineRule="auto"/>
              <w:rPr>
                <w:rFonts w:ascii="宋体" w:hAnsi="宋体" w:cs="宋体"/>
                <w:color w:val="auto"/>
                <w:szCs w:val="21"/>
                <w:highlight w:val="none"/>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jc w:val="center"/>
        </w:trPr>
        <w:tc>
          <w:tcPr>
            <w:tcW w:w="832" w:type="dxa"/>
          </w:tcPr>
          <w:p>
            <w:pPr>
              <w:pStyle w:val="46"/>
              <w:adjustRightInd w:val="0"/>
              <w:snapToGrid w:val="0"/>
              <w:spacing w:line="360" w:lineRule="auto"/>
              <w:jc w:val="center"/>
              <w:rPr>
                <w:rFonts w:ascii="宋体" w:hAnsi="宋体" w:cs="宋体"/>
                <w:color w:val="auto"/>
                <w:szCs w:val="21"/>
                <w:highlight w:val="none"/>
              </w:rPr>
            </w:pPr>
            <w:r>
              <w:rPr>
                <w:rFonts w:hint="eastAsia" w:ascii="宋体" w:hAnsi="宋体" w:cs="宋体"/>
                <w:color w:val="auto"/>
                <w:szCs w:val="21"/>
                <w:highlight w:val="none"/>
              </w:rPr>
              <w:t>5</w:t>
            </w:r>
          </w:p>
        </w:tc>
        <w:tc>
          <w:tcPr>
            <w:tcW w:w="90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080" w:type="dxa"/>
          </w:tcPr>
          <w:p>
            <w:pPr>
              <w:pStyle w:val="46"/>
              <w:adjustRightInd w:val="0"/>
              <w:snapToGrid w:val="0"/>
              <w:spacing w:line="360" w:lineRule="auto"/>
              <w:rPr>
                <w:rFonts w:ascii="宋体" w:hAnsi="宋体" w:cs="宋体"/>
                <w:color w:val="auto"/>
                <w:szCs w:val="21"/>
                <w:highlight w:val="none"/>
              </w:rPr>
            </w:pPr>
          </w:p>
        </w:tc>
        <w:tc>
          <w:tcPr>
            <w:tcW w:w="1440" w:type="dxa"/>
            <w:tcBorders>
              <w:right w:val="single" w:color="auto" w:sz="4" w:space="0"/>
            </w:tcBorders>
          </w:tcPr>
          <w:p>
            <w:pPr>
              <w:pStyle w:val="46"/>
              <w:adjustRightInd w:val="0"/>
              <w:snapToGrid w:val="0"/>
              <w:spacing w:line="360" w:lineRule="auto"/>
              <w:rPr>
                <w:rFonts w:ascii="宋体" w:hAnsi="宋体" w:cs="宋体"/>
                <w:color w:val="auto"/>
                <w:szCs w:val="21"/>
                <w:highlight w:val="none"/>
              </w:rPr>
            </w:pPr>
          </w:p>
        </w:tc>
        <w:tc>
          <w:tcPr>
            <w:tcW w:w="3222" w:type="dxa"/>
            <w:tcBorders>
              <w:left w:val="single" w:color="auto" w:sz="4" w:space="0"/>
            </w:tcBorders>
          </w:tcPr>
          <w:p>
            <w:pPr>
              <w:pStyle w:val="46"/>
              <w:adjustRightInd w:val="0"/>
              <w:snapToGrid w:val="0"/>
              <w:spacing w:line="360" w:lineRule="auto"/>
              <w:rPr>
                <w:rFonts w:ascii="宋体" w:hAnsi="宋体" w:cs="宋体"/>
                <w:color w:val="auto"/>
                <w:szCs w:val="21"/>
                <w:highlight w:val="none"/>
              </w:rPr>
            </w:pPr>
          </w:p>
        </w:tc>
      </w:tr>
    </w:tbl>
    <w:p>
      <w:pPr>
        <w:spacing w:after="0" w:afterLines="0" w:line="360" w:lineRule="auto"/>
        <w:rPr>
          <w:rFonts w:ascii="宋体" w:hAnsi="宋体" w:cs="宋体"/>
          <w:color w:val="auto"/>
          <w:szCs w:val="21"/>
          <w:highlight w:val="none"/>
        </w:rPr>
      </w:pPr>
    </w:p>
    <w:p>
      <w:pPr>
        <w:pStyle w:val="2"/>
        <w:numPr>
          <w:ilvl w:val="0"/>
          <w:numId w:val="5"/>
        </w:numPr>
        <w:spacing w:beforeLines="0" w:after="0" w:afterLines="0" w:line="360" w:lineRule="auto"/>
        <w:ind w:left="431" w:hanging="431"/>
        <w:rPr>
          <w:rFonts w:hint="default" w:ascii="宋体" w:hAnsi="宋体" w:eastAsia="宋体" w:cs="宋体"/>
          <w:color w:val="auto"/>
          <w:highlight w:val="none"/>
          <w:lang w:val="en-US" w:eastAsia="zh-CN"/>
        </w:rPr>
      </w:pPr>
      <w:bookmarkStart w:id="1259" w:name="_Toc12165"/>
      <w:r>
        <w:rPr>
          <w:rFonts w:hint="eastAsia" w:ascii="宋体" w:hAnsi="宋体" w:cs="宋体"/>
          <w:color w:val="auto"/>
          <w:sz w:val="21"/>
          <w:szCs w:val="21"/>
          <w:highlight w:val="none"/>
          <w:lang w:val="en-US" w:eastAsia="zh-CN"/>
        </w:rPr>
        <w:t>驻场承诺书</w:t>
      </w:r>
      <w:bookmarkEnd w:id="1259"/>
    </w:p>
    <w:p>
      <w:pPr>
        <w:spacing w:after="62"/>
        <w:rPr>
          <w:rFonts w:hint="default"/>
          <w:color w:val="auto"/>
          <w:highlight w:val="none"/>
          <w:lang w:val="en-US" w:eastAsia="zh-CN"/>
        </w:rPr>
      </w:pPr>
    </w:p>
    <w:p>
      <w:pPr>
        <w:spacing w:after="62"/>
        <w:rPr>
          <w:rFonts w:hint="default"/>
          <w:b/>
          <w:bCs/>
          <w:color w:val="auto"/>
          <w:highlight w:val="none"/>
          <w:lang w:val="en-US" w:eastAsia="zh-CN"/>
        </w:rPr>
      </w:pPr>
      <w:r>
        <w:rPr>
          <w:rFonts w:hint="default"/>
          <w:b/>
          <w:bCs/>
          <w:color w:val="auto"/>
          <w:highlight w:val="none"/>
          <w:lang w:val="en-US" w:eastAsia="zh-CN"/>
        </w:rPr>
        <w:t>驻场承诺书</w:t>
      </w:r>
    </w:p>
    <w:p>
      <w:pPr>
        <w:spacing w:after="62"/>
        <w:rPr>
          <w:rFonts w:hint="default"/>
          <w:color w:val="auto"/>
          <w:highlight w:val="none"/>
          <w:lang w:val="en-US" w:eastAsia="zh-CN"/>
        </w:rPr>
      </w:pPr>
    </w:p>
    <w:p>
      <w:pPr>
        <w:spacing w:after="62"/>
        <w:rPr>
          <w:rFonts w:hint="default"/>
          <w:b w:val="0"/>
          <w:bCs w:val="0"/>
          <w:color w:val="auto"/>
          <w:highlight w:val="none"/>
          <w:lang w:val="en-US" w:eastAsia="zh-CN"/>
        </w:rPr>
      </w:pPr>
      <w:r>
        <w:rPr>
          <w:rFonts w:hint="default"/>
          <w:b w:val="0"/>
          <w:bCs w:val="0"/>
          <w:color w:val="auto"/>
          <w:highlight w:val="none"/>
          <w:lang w:val="en-US" w:eastAsia="zh-CN"/>
        </w:rPr>
        <w:t>致：[招标方名称]</w:t>
      </w:r>
    </w:p>
    <w:p>
      <w:pPr>
        <w:spacing w:after="62"/>
        <w:rPr>
          <w:rFonts w:hint="default"/>
          <w:color w:val="auto"/>
          <w:highlight w:val="none"/>
          <w:lang w:val="en-US" w:eastAsia="zh-CN"/>
        </w:rPr>
      </w:pPr>
      <w:r>
        <w:rPr>
          <w:rFonts w:hint="default"/>
          <w:color w:val="auto"/>
          <w:highlight w:val="none"/>
          <w:lang w:val="en-US" w:eastAsia="zh-CN"/>
        </w:rPr>
        <w:t>我方（投标人名称：；</w:t>
      </w:r>
      <w:r>
        <w:rPr>
          <w:rFonts w:hint="default"/>
          <w:b/>
          <w:bCs/>
          <w:color w:val="auto"/>
          <w:highlight w:val="none"/>
          <w:lang w:val="en-US" w:eastAsia="zh-CN"/>
        </w:rPr>
        <w:t>法定代表人</w:t>
      </w:r>
      <w:r>
        <w:rPr>
          <w:rFonts w:hint="default"/>
          <w:color w:val="auto"/>
          <w:highlight w:val="none"/>
          <w:lang w:val="en-US" w:eastAsia="zh-CN"/>
        </w:rPr>
        <w:t>：；联系电话：）参与 “</w:t>
      </w:r>
      <w:r>
        <w:rPr>
          <w:rFonts w:hint="default"/>
          <w:b/>
          <w:bCs/>
          <w:color w:val="auto"/>
          <w:highlight w:val="none"/>
          <w:lang w:val="en-US" w:eastAsia="zh-CN"/>
        </w:rPr>
        <w:t>[项目名称]（招标编号：）</w:t>
      </w:r>
      <w:r>
        <w:rPr>
          <w:rFonts w:hint="default"/>
          <w:color w:val="auto"/>
          <w:highlight w:val="none"/>
          <w:lang w:val="en-US" w:eastAsia="zh-CN"/>
        </w:rPr>
        <w:t>” 的投标，就本项目驻场服务事宜，郑重承诺如下：</w:t>
      </w:r>
    </w:p>
    <w:p>
      <w:pPr>
        <w:spacing w:after="62"/>
        <w:rPr>
          <w:rFonts w:hint="default"/>
          <w:color w:val="auto"/>
          <w:highlight w:val="none"/>
          <w:lang w:val="en-US" w:eastAsia="zh-CN"/>
        </w:rPr>
      </w:pPr>
    </w:p>
    <w:p>
      <w:pPr>
        <w:numPr>
          <w:ilvl w:val="0"/>
          <w:numId w:val="29"/>
        </w:numPr>
        <w:spacing w:after="62"/>
        <w:rPr>
          <w:rFonts w:hint="default"/>
          <w:color w:val="auto"/>
          <w:highlight w:val="none"/>
          <w:lang w:val="en-US" w:eastAsia="zh-CN"/>
        </w:rPr>
      </w:pPr>
      <w:r>
        <w:rPr>
          <w:rFonts w:hint="default"/>
          <w:color w:val="auto"/>
          <w:highlight w:val="none"/>
          <w:lang w:val="en-US" w:eastAsia="zh-CN"/>
        </w:rPr>
        <w:t>驻场人员数量</w:t>
      </w:r>
      <w:r>
        <w:rPr>
          <w:rFonts w:hint="eastAsia"/>
          <w:color w:val="auto"/>
          <w:highlight w:val="none"/>
          <w:lang w:val="en-US" w:eastAsia="zh-CN"/>
        </w:rPr>
        <w:t>；</w:t>
      </w:r>
      <w:r>
        <w:rPr>
          <w:rFonts w:hint="default"/>
          <w:color w:val="auto"/>
          <w:highlight w:val="none"/>
          <w:lang w:val="en-US" w:eastAsia="zh-CN"/>
        </w:rPr>
        <w:t>至少配置____名驻场人员（含至少1名项目负责人）</w:t>
      </w:r>
      <w:r>
        <w:rPr>
          <w:rFonts w:hint="eastAsia"/>
          <w:color w:val="auto"/>
          <w:highlight w:val="none"/>
          <w:lang w:val="en-US" w:eastAsia="zh-CN"/>
        </w:rPr>
        <w:t>；</w:t>
      </w:r>
    </w:p>
    <w:p>
      <w:pPr>
        <w:numPr>
          <w:ilvl w:val="0"/>
          <w:numId w:val="29"/>
        </w:numPr>
        <w:spacing w:after="62"/>
        <w:rPr>
          <w:rFonts w:hint="default"/>
          <w:color w:val="auto"/>
          <w:highlight w:val="none"/>
          <w:lang w:val="en-US" w:eastAsia="zh-CN"/>
        </w:rPr>
      </w:pPr>
      <w:r>
        <w:rPr>
          <w:rFonts w:hint="default"/>
          <w:color w:val="auto"/>
          <w:highlight w:val="none"/>
          <w:lang w:val="en-US" w:eastAsia="zh-CN"/>
        </w:rPr>
        <w:t>人员资质要求</w:t>
      </w:r>
      <w:r>
        <w:rPr>
          <w:rFonts w:hint="eastAsia"/>
          <w:color w:val="auto"/>
          <w:highlight w:val="none"/>
          <w:lang w:val="en-US" w:eastAsia="zh-CN"/>
        </w:rPr>
        <w:t>：</w:t>
      </w:r>
      <w:r>
        <w:rPr>
          <w:rFonts w:hint="default"/>
          <w:color w:val="auto"/>
          <w:highlight w:val="none"/>
          <w:lang w:val="en-US" w:eastAsia="zh-CN"/>
        </w:rPr>
        <w:t>驻场人员需具备</w:t>
      </w:r>
      <w:r>
        <w:rPr>
          <w:rFonts w:hint="eastAsia"/>
          <w:color w:val="auto"/>
          <w:highlight w:val="none"/>
          <w:lang w:val="en-US" w:eastAsia="zh-CN"/>
        </w:rPr>
        <w:t>章节6.3.人员及驻场要求；</w:t>
      </w:r>
    </w:p>
    <w:p>
      <w:pPr>
        <w:numPr>
          <w:ilvl w:val="0"/>
          <w:numId w:val="29"/>
        </w:numPr>
        <w:spacing w:after="62"/>
        <w:rPr>
          <w:rFonts w:hint="default"/>
          <w:color w:val="auto"/>
          <w:highlight w:val="none"/>
          <w:lang w:val="en-US" w:eastAsia="zh-CN"/>
        </w:rPr>
      </w:pPr>
      <w:r>
        <w:rPr>
          <w:rFonts w:hint="default"/>
          <w:color w:val="auto"/>
          <w:highlight w:val="none"/>
          <w:lang w:val="en-US" w:eastAsia="zh-CN"/>
        </w:rPr>
        <w:t>人员稳定性</w:t>
      </w:r>
      <w:r>
        <w:rPr>
          <w:rFonts w:hint="eastAsia"/>
          <w:color w:val="auto"/>
          <w:highlight w:val="none"/>
          <w:lang w:val="en-US" w:eastAsia="zh-CN"/>
        </w:rPr>
        <w:t>：</w:t>
      </w:r>
      <w:r>
        <w:rPr>
          <w:rFonts w:hint="default"/>
          <w:color w:val="auto"/>
          <w:highlight w:val="none"/>
          <w:lang w:val="en-US" w:eastAsia="zh-CN"/>
        </w:rPr>
        <w:t>驻场期间不随意更换人员，确需更换的，将提前 15 个工作日向招标方提交书面申请，且更换后人员资质不低于原人员标准</w:t>
      </w:r>
      <w:r>
        <w:rPr>
          <w:rFonts w:hint="eastAsia"/>
          <w:color w:val="auto"/>
          <w:highlight w:val="none"/>
          <w:lang w:val="en-US" w:eastAsia="zh-CN"/>
        </w:rPr>
        <w:t>。</w:t>
      </w:r>
    </w:p>
    <w:p>
      <w:pPr>
        <w:numPr>
          <w:ilvl w:val="-1"/>
          <w:numId w:val="0"/>
        </w:numPr>
        <w:spacing w:after="62"/>
        <w:rPr>
          <w:rFonts w:hint="default"/>
          <w:color w:val="auto"/>
          <w:highlight w:val="none"/>
          <w:lang w:val="en-US" w:eastAsia="zh-CN"/>
        </w:rPr>
      </w:pPr>
    </w:p>
    <w:p>
      <w:pPr>
        <w:rPr>
          <w:rFonts w:hint="default"/>
          <w:color w:val="auto"/>
          <w:highlight w:val="none"/>
          <w:lang w:val="en-US" w:eastAsia="zh-CN"/>
        </w:rPr>
      </w:pPr>
      <w:r>
        <w:rPr>
          <w:rFonts w:hint="default"/>
          <w:color w:val="auto"/>
          <w:highlight w:val="none"/>
          <w:lang w:val="en-US" w:eastAsia="zh-CN"/>
        </w:rPr>
        <w:t>本承诺书为投标文件的组成部分，与投标文件具有同等法律效力。</w:t>
      </w:r>
    </w:p>
    <w:p>
      <w:pPr>
        <w:rPr>
          <w:rFonts w:hint="default"/>
          <w:color w:val="auto"/>
          <w:highlight w:val="none"/>
          <w:lang w:val="en-US" w:eastAsia="zh-CN"/>
        </w:rPr>
      </w:pPr>
      <w:r>
        <w:rPr>
          <w:rFonts w:hint="default"/>
          <w:color w:val="auto"/>
          <w:highlight w:val="none"/>
          <w:lang w:val="en-US" w:eastAsia="zh-CN"/>
        </w:rPr>
        <w:t>投标人（盖章）：____________________</w:t>
      </w:r>
    </w:p>
    <w:p>
      <w:pPr>
        <w:rPr>
          <w:rFonts w:hint="default"/>
          <w:color w:val="auto"/>
          <w:highlight w:val="none"/>
          <w:lang w:val="en-US" w:eastAsia="zh-CN"/>
        </w:rPr>
      </w:pPr>
      <w:r>
        <w:rPr>
          <w:rFonts w:hint="default"/>
          <w:color w:val="auto"/>
          <w:highlight w:val="none"/>
          <w:lang w:val="en-US" w:eastAsia="zh-CN"/>
        </w:rPr>
        <w:t>法定代表人 / 授权代表（签字）：____________________</w:t>
      </w:r>
    </w:p>
    <w:p>
      <w:pPr>
        <w:rPr>
          <w:rFonts w:hint="default"/>
          <w:color w:val="auto"/>
          <w:highlight w:val="none"/>
          <w:lang w:val="en-US" w:eastAsia="zh-CN"/>
        </w:rPr>
      </w:pPr>
      <w:r>
        <w:rPr>
          <w:rFonts w:hint="default"/>
          <w:color w:val="auto"/>
          <w:highlight w:val="none"/>
          <w:lang w:val="en-US" w:eastAsia="zh-CN"/>
        </w:rPr>
        <w:t>日期：______年____月____日</w:t>
      </w:r>
    </w:p>
    <w:p>
      <w:pPr>
        <w:spacing w:after="62"/>
        <w:rPr>
          <w:rFonts w:ascii="宋体" w:hAnsi="宋体" w:cs="宋体"/>
          <w:color w:val="auto"/>
          <w:highlight w:val="none"/>
        </w:rPr>
      </w:pPr>
    </w:p>
    <w:sectPr>
      <w:footerReference r:id="rId12" w:type="default"/>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Calibri Light">
    <w:panose1 w:val="020F0302020204030204"/>
    <w:charset w:val="00"/>
    <w:family w:val="swiss"/>
    <w:pitch w:val="default"/>
    <w:sig w:usb0="E4002EFF" w:usb1="C000247B" w:usb2="00000009" w:usb3="00000000" w:csb0="200001FF" w:csb1="00000000"/>
  </w:font>
  <w:font w:name="Arial Rounded MT Bold">
    <w:panose1 w:val="020F0704030504030204"/>
    <w:charset w:val="00"/>
    <w:family w:val="swiss"/>
    <w:pitch w:val="default"/>
    <w:sig w:usb0="00000003" w:usb1="00000000" w:usb2="00000000" w:usb3="00000000" w:csb0="20000001"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spacing w:after="4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spacing w:after="4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spacing w:after="4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1"/>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spacing w:after="48"/>
                          </w:pPr>
                          <w:r>
                            <w:fldChar w:fldCharType="begin"/>
                          </w:r>
                          <w:r>
                            <w:instrText xml:space="preserve"> PAGE  \* MERGEFORMAT </w:instrText>
                          </w:r>
                          <w:r>
                            <w:fldChar w:fldCharType="separate"/>
                          </w:r>
                          <w:r>
                            <w:t>82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pPr>
                      <w:pStyle w:val="22"/>
                      <w:spacing w:after="48"/>
                    </w:pPr>
                    <w:r>
                      <w:fldChar w:fldCharType="begin"/>
                    </w:r>
                    <w:r>
                      <w:instrText xml:space="preserve"> PAGE  \* MERGEFORMAT </w:instrText>
                    </w:r>
                    <w:r>
                      <w:fldChar w:fldCharType="separate"/>
                    </w:r>
                    <w:r>
                      <w:t>82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88" w:lineRule="auto"/>
      </w:pPr>
      <w:r>
        <w:separator/>
      </w:r>
    </w:p>
  </w:footnote>
  <w:footnote w:type="continuationSeparator" w:id="1">
    <w:p>
      <w:pPr>
        <w:spacing w:before="0" w:after="0" w:line="288"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7"/>
      <w:pBdr>
        <w:bottom w:val="double" w:color="auto" w:sz="4" w:space="1"/>
      </w:pBdr>
      <w:tabs>
        <w:tab w:val="clear" w:pos="4153"/>
        <w:tab w:val="clear" w:pos="8306"/>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after="4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spacing w:after="4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57766F9"/>
    <w:multiLevelType w:val="singleLevel"/>
    <w:tmpl w:val="957766F9"/>
    <w:lvl w:ilvl="0" w:tentative="0">
      <w:start w:val="1"/>
      <w:numFmt w:val="decimal"/>
      <w:lvlText w:val="%1)"/>
      <w:lvlJc w:val="left"/>
      <w:pPr>
        <w:ind w:left="420" w:hanging="420"/>
      </w:pPr>
      <w:rPr>
        <w:rFonts w:hint="default"/>
      </w:rPr>
    </w:lvl>
  </w:abstractNum>
  <w:abstractNum w:abstractNumId="1">
    <w:nsid w:val="9ADB846D"/>
    <w:multiLevelType w:val="singleLevel"/>
    <w:tmpl w:val="9ADB846D"/>
    <w:lvl w:ilvl="0" w:tentative="0">
      <w:start w:val="1"/>
      <w:numFmt w:val="bullet"/>
      <w:lvlText w:val=""/>
      <w:lvlJc w:val="left"/>
      <w:pPr>
        <w:tabs>
          <w:tab w:val="left" w:pos="420"/>
        </w:tabs>
        <w:ind w:left="840" w:hanging="420"/>
      </w:pPr>
      <w:rPr>
        <w:rFonts w:hint="default" w:ascii="Wingdings" w:hAnsi="Wingdings"/>
      </w:rPr>
    </w:lvl>
  </w:abstractNum>
  <w:abstractNum w:abstractNumId="2">
    <w:nsid w:val="A4925111"/>
    <w:multiLevelType w:val="multilevel"/>
    <w:tmpl w:val="A4925111"/>
    <w:lvl w:ilvl="0" w:tentative="0">
      <w:start w:val="1"/>
      <w:numFmt w:val="decimal"/>
      <w:lvlText w:val="(%1)"/>
      <w:lvlJc w:val="left"/>
      <w:pPr>
        <w:ind w:left="425" w:hanging="425"/>
      </w:pPr>
      <w:rPr>
        <w:rFonts w:hint="default"/>
      </w:rPr>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3">
    <w:nsid w:val="A69962F7"/>
    <w:multiLevelType w:val="singleLevel"/>
    <w:tmpl w:val="A69962F7"/>
    <w:lvl w:ilvl="0" w:tentative="0">
      <w:start w:val="1"/>
      <w:numFmt w:val="decimal"/>
      <w:lvlText w:val="%1)"/>
      <w:lvlJc w:val="left"/>
      <w:pPr>
        <w:ind w:left="425" w:hanging="425"/>
      </w:pPr>
      <w:rPr>
        <w:rFonts w:hint="default"/>
      </w:rPr>
    </w:lvl>
  </w:abstractNum>
  <w:abstractNum w:abstractNumId="4">
    <w:nsid w:val="CED34943"/>
    <w:multiLevelType w:val="singleLevel"/>
    <w:tmpl w:val="CED34943"/>
    <w:lvl w:ilvl="0" w:tentative="0">
      <w:start w:val="1"/>
      <w:numFmt w:val="decimal"/>
      <w:lvlText w:val="%1)"/>
      <w:lvlJc w:val="left"/>
      <w:pPr>
        <w:ind w:left="820" w:hanging="420"/>
      </w:pPr>
      <w:rPr>
        <w:rFonts w:hint="eastAsia"/>
      </w:rPr>
    </w:lvl>
  </w:abstractNum>
  <w:abstractNum w:abstractNumId="5">
    <w:nsid w:val="E3706944"/>
    <w:multiLevelType w:val="singleLevel"/>
    <w:tmpl w:val="E3706944"/>
    <w:lvl w:ilvl="0" w:tentative="0">
      <w:start w:val="1"/>
      <w:numFmt w:val="bullet"/>
      <w:lvlText w:val=""/>
      <w:lvlJc w:val="left"/>
      <w:pPr>
        <w:ind w:left="420" w:hanging="420"/>
      </w:pPr>
      <w:rPr>
        <w:rFonts w:hint="default" w:ascii="Wingdings" w:hAnsi="Wingdings"/>
      </w:rPr>
    </w:lvl>
  </w:abstractNum>
  <w:abstractNum w:abstractNumId="6">
    <w:nsid w:val="E642979C"/>
    <w:multiLevelType w:val="singleLevel"/>
    <w:tmpl w:val="E642979C"/>
    <w:lvl w:ilvl="0" w:tentative="0">
      <w:start w:val="1"/>
      <w:numFmt w:val="decimal"/>
      <w:lvlText w:val="%1)"/>
      <w:lvlJc w:val="left"/>
      <w:pPr>
        <w:ind w:left="425" w:hanging="425"/>
      </w:pPr>
      <w:rPr>
        <w:rFonts w:hint="default"/>
      </w:rPr>
    </w:lvl>
  </w:abstractNum>
  <w:abstractNum w:abstractNumId="7">
    <w:nsid w:val="EE930EE8"/>
    <w:multiLevelType w:val="singleLevel"/>
    <w:tmpl w:val="EE930EE8"/>
    <w:lvl w:ilvl="0" w:tentative="0">
      <w:start w:val="1"/>
      <w:numFmt w:val="bullet"/>
      <w:lvlText w:val=""/>
      <w:lvlJc w:val="left"/>
      <w:pPr>
        <w:ind w:left="420" w:hanging="420"/>
      </w:pPr>
      <w:rPr>
        <w:rFonts w:hint="default" w:ascii="Wingdings" w:hAnsi="Wingdings"/>
      </w:rPr>
    </w:lvl>
  </w:abstractNum>
  <w:abstractNum w:abstractNumId="8">
    <w:nsid w:val="00D2CE62"/>
    <w:multiLevelType w:val="multilevel"/>
    <w:tmpl w:val="00D2CE62"/>
    <w:lvl w:ilvl="0" w:tentative="0">
      <w:start w:val="1"/>
      <w:numFmt w:val="decimal"/>
      <w:lvlText w:val="%1."/>
      <w:lvlJc w:val="left"/>
      <w:pPr>
        <w:ind w:left="432" w:hanging="432"/>
      </w:pPr>
      <w:rPr>
        <w:rFonts w:hint="default"/>
      </w:rPr>
    </w:lvl>
    <w:lvl w:ilvl="1" w:tentative="0">
      <w:start w:val="1"/>
      <w:numFmt w:val="decimal"/>
      <w:suff w:val="space"/>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9">
    <w:nsid w:val="06F5359F"/>
    <w:multiLevelType w:val="singleLevel"/>
    <w:tmpl w:val="06F5359F"/>
    <w:lvl w:ilvl="0" w:tentative="0">
      <w:start w:val="1"/>
      <w:numFmt w:val="decimal"/>
      <w:lvlText w:val="%1)"/>
      <w:lvlJc w:val="left"/>
      <w:pPr>
        <w:ind w:left="425" w:hanging="425"/>
      </w:pPr>
      <w:rPr>
        <w:rFonts w:hint="default"/>
      </w:rPr>
    </w:lvl>
  </w:abstractNum>
  <w:abstractNum w:abstractNumId="10">
    <w:nsid w:val="086E53B2"/>
    <w:multiLevelType w:val="multilevel"/>
    <w:tmpl w:val="086E53B2"/>
    <w:lvl w:ilvl="0" w:tentative="0">
      <w:start w:val="1"/>
      <w:numFmt w:val="decimal"/>
      <w:pStyle w:val="2"/>
      <w:lvlText w:val="%1."/>
      <w:lvlJc w:val="left"/>
      <w:pPr>
        <w:ind w:left="432" w:hanging="432"/>
      </w:pPr>
      <w:rPr>
        <w:rFonts w:hint="default"/>
      </w:rPr>
    </w:lvl>
    <w:lvl w:ilvl="1" w:tentative="0">
      <w:start w:val="1"/>
      <w:numFmt w:val="decimal"/>
      <w:pStyle w:val="3"/>
      <w:suff w:val="nothing"/>
      <w:lvlText w:val="%1.%2."/>
      <w:lvlJc w:val="left"/>
      <w:pPr>
        <w:ind w:left="575" w:hanging="575"/>
      </w:pPr>
      <w:rPr>
        <w:rFonts w:hint="default"/>
      </w:rPr>
    </w:lvl>
    <w:lvl w:ilvl="2" w:tentative="0">
      <w:start w:val="1"/>
      <w:numFmt w:val="decimal"/>
      <w:pStyle w:val="5"/>
      <w:lvlText w:val="%1.%2.%3."/>
      <w:lvlJc w:val="left"/>
      <w:pPr>
        <w:ind w:left="720" w:hanging="720"/>
      </w:pPr>
      <w:rPr>
        <w:rFonts w:hint="default"/>
      </w:rPr>
    </w:lvl>
    <w:lvl w:ilvl="3" w:tentative="0">
      <w:start w:val="1"/>
      <w:numFmt w:val="decimal"/>
      <w:pStyle w:val="6"/>
      <w:lvlText w:val="%1.%2.%3.%4."/>
      <w:lvlJc w:val="left"/>
      <w:pPr>
        <w:ind w:left="864" w:hanging="864"/>
      </w:pPr>
      <w:rPr>
        <w:rFonts w:hint="default"/>
      </w:rPr>
    </w:lvl>
    <w:lvl w:ilvl="4" w:tentative="0">
      <w:start w:val="1"/>
      <w:numFmt w:val="decimal"/>
      <w:pStyle w:val="7"/>
      <w:lvlText w:val="%1.%2.%3.%4.%5."/>
      <w:lvlJc w:val="left"/>
      <w:pPr>
        <w:ind w:left="1008" w:hanging="1008"/>
      </w:pPr>
      <w:rPr>
        <w:rFonts w:hint="default"/>
      </w:rPr>
    </w:lvl>
    <w:lvl w:ilvl="5" w:tentative="0">
      <w:start w:val="1"/>
      <w:numFmt w:val="decimal"/>
      <w:pStyle w:val="8"/>
      <w:lvlText w:val="%1.%2.%3.%4.%5.%6."/>
      <w:lvlJc w:val="left"/>
      <w:pPr>
        <w:ind w:left="1151" w:hanging="1151"/>
      </w:pPr>
      <w:rPr>
        <w:rFonts w:hint="default"/>
      </w:rPr>
    </w:lvl>
    <w:lvl w:ilvl="6" w:tentative="0">
      <w:start w:val="1"/>
      <w:numFmt w:val="decimal"/>
      <w:pStyle w:val="9"/>
      <w:lvlText w:val="%1.%2.%3.%4.%5.%6.%7."/>
      <w:lvlJc w:val="left"/>
      <w:pPr>
        <w:ind w:left="1296" w:hanging="1296"/>
      </w:pPr>
      <w:rPr>
        <w:rFonts w:hint="default"/>
      </w:rPr>
    </w:lvl>
    <w:lvl w:ilvl="7" w:tentative="0">
      <w:start w:val="1"/>
      <w:numFmt w:val="decimal"/>
      <w:pStyle w:val="10"/>
      <w:lvlText w:val="%1.%2.%3.%4.%5.%6.%7.%8."/>
      <w:lvlJc w:val="left"/>
      <w:pPr>
        <w:ind w:left="1440" w:hanging="1440"/>
      </w:pPr>
      <w:rPr>
        <w:rFonts w:hint="default"/>
      </w:rPr>
    </w:lvl>
    <w:lvl w:ilvl="8" w:tentative="0">
      <w:start w:val="1"/>
      <w:numFmt w:val="decimal"/>
      <w:pStyle w:val="11"/>
      <w:lvlText w:val="%1.%2.%3.%4.%5.%6.%7.%8.%9."/>
      <w:lvlJc w:val="left"/>
      <w:pPr>
        <w:ind w:left="1583" w:hanging="1583"/>
      </w:pPr>
      <w:rPr>
        <w:rFonts w:hint="default"/>
      </w:rPr>
    </w:lvl>
  </w:abstractNum>
  <w:abstractNum w:abstractNumId="11">
    <w:nsid w:val="0DAE0C7B"/>
    <w:multiLevelType w:val="multilevel"/>
    <w:tmpl w:val="0DAE0C7B"/>
    <w:lvl w:ilvl="0" w:tentative="0">
      <w:start w:val="1"/>
      <w:numFmt w:val="decimal"/>
      <w:pStyle w:val="262"/>
      <w:lvlText w:val="%1."/>
      <w:lvlJc w:val="left"/>
      <w:pPr>
        <w:ind w:left="432" w:hanging="432"/>
      </w:pPr>
      <w:rPr>
        <w:rFonts w:hint="default"/>
      </w:rPr>
    </w:lvl>
    <w:lvl w:ilvl="1" w:tentative="0">
      <w:start w:val="1"/>
      <w:numFmt w:val="decimal"/>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2">
    <w:nsid w:val="128421AC"/>
    <w:multiLevelType w:val="singleLevel"/>
    <w:tmpl w:val="128421AC"/>
    <w:lvl w:ilvl="0" w:tentative="0">
      <w:start w:val="1"/>
      <w:numFmt w:val="bullet"/>
      <w:lvlText w:val=""/>
      <w:lvlJc w:val="left"/>
      <w:pPr>
        <w:ind w:left="420" w:hanging="420"/>
      </w:pPr>
      <w:rPr>
        <w:rFonts w:hint="default" w:ascii="Wingdings" w:hAnsi="Wingdings"/>
      </w:rPr>
    </w:lvl>
  </w:abstractNum>
  <w:abstractNum w:abstractNumId="13">
    <w:nsid w:val="1382127E"/>
    <w:multiLevelType w:val="multilevel"/>
    <w:tmpl w:val="1382127E"/>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4">
    <w:nsid w:val="15E143FD"/>
    <w:multiLevelType w:val="singleLevel"/>
    <w:tmpl w:val="15E143FD"/>
    <w:lvl w:ilvl="0" w:tentative="0">
      <w:start w:val="1"/>
      <w:numFmt w:val="decimal"/>
      <w:lvlText w:val="%1)"/>
      <w:lvlJc w:val="left"/>
      <w:pPr>
        <w:ind w:left="425" w:hanging="425"/>
      </w:pPr>
      <w:rPr>
        <w:rFonts w:hint="default"/>
      </w:rPr>
    </w:lvl>
  </w:abstractNum>
  <w:abstractNum w:abstractNumId="15">
    <w:nsid w:val="1E19D7C0"/>
    <w:multiLevelType w:val="multilevel"/>
    <w:tmpl w:val="1E19D7C0"/>
    <w:lvl w:ilvl="0" w:tentative="0">
      <w:start w:val="1"/>
      <w:numFmt w:val="decimal"/>
      <w:lvlText w:val="%1."/>
      <w:lvlJc w:val="left"/>
      <w:pPr>
        <w:ind w:left="432" w:hanging="432"/>
      </w:pPr>
      <w:rPr>
        <w:rFonts w:hint="default"/>
      </w:rPr>
    </w:lvl>
    <w:lvl w:ilvl="1" w:tentative="0">
      <w:start w:val="1"/>
      <w:numFmt w:val="decimal"/>
      <w:pStyle w:val="263"/>
      <w:lvlText w:val="%1.%2."/>
      <w:lvlJc w:val="left"/>
      <w:pPr>
        <w:ind w:left="575" w:hanging="575"/>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864" w:hanging="864"/>
      </w:pPr>
      <w:rPr>
        <w:rFonts w:hint="default"/>
      </w:rPr>
    </w:lvl>
    <w:lvl w:ilvl="4" w:tentative="0">
      <w:start w:val="1"/>
      <w:numFmt w:val="decimal"/>
      <w:lvlText w:val="%1.%2.%3.%4.%5."/>
      <w:lvlJc w:val="left"/>
      <w:pPr>
        <w:ind w:left="1008" w:hanging="1008"/>
      </w:pPr>
      <w:rPr>
        <w:rFonts w:hint="default"/>
      </w:rPr>
    </w:lvl>
    <w:lvl w:ilvl="5" w:tentative="0">
      <w:start w:val="1"/>
      <w:numFmt w:val="decimal"/>
      <w:lvlText w:val="%1.%2.%3.%4.%5.%6."/>
      <w:lvlJc w:val="left"/>
      <w:pPr>
        <w:ind w:left="1151" w:hanging="1151"/>
      </w:pPr>
      <w:rPr>
        <w:rFonts w:hint="default"/>
      </w:rPr>
    </w:lvl>
    <w:lvl w:ilvl="6" w:tentative="0">
      <w:start w:val="1"/>
      <w:numFmt w:val="decimal"/>
      <w:lvlText w:val="%1.%2.%3.%4.%5.%6.%7."/>
      <w:lvlJc w:val="left"/>
      <w:pPr>
        <w:ind w:left="1296" w:hanging="1296"/>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583" w:hanging="1583"/>
      </w:pPr>
      <w:rPr>
        <w:rFonts w:hint="default"/>
      </w:rPr>
    </w:lvl>
  </w:abstractNum>
  <w:abstractNum w:abstractNumId="16">
    <w:nsid w:val="38AA0540"/>
    <w:multiLevelType w:val="multilevel"/>
    <w:tmpl w:val="38AA0540"/>
    <w:lvl w:ilvl="0" w:tentative="0">
      <w:start w:val="1"/>
      <w:numFmt w:val="decimal"/>
      <w:lvlText w:val="%1)"/>
      <w:lvlJc w:val="left"/>
      <w:pPr>
        <w:ind w:left="425" w:hanging="425"/>
      </w:pPr>
      <w:rPr>
        <w:rFonts w:hint="default"/>
      </w:rPr>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17">
    <w:nsid w:val="402E7408"/>
    <w:multiLevelType w:val="multilevel"/>
    <w:tmpl w:val="402E740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40F8D7D1"/>
    <w:multiLevelType w:val="singleLevel"/>
    <w:tmpl w:val="40F8D7D1"/>
    <w:lvl w:ilvl="0" w:tentative="0">
      <w:start w:val="1"/>
      <w:numFmt w:val="bullet"/>
      <w:lvlText w:val=""/>
      <w:lvlJc w:val="left"/>
      <w:pPr>
        <w:ind w:left="420" w:hanging="420"/>
      </w:pPr>
      <w:rPr>
        <w:rFonts w:hint="default" w:ascii="Wingdings" w:hAnsi="Wingdings"/>
      </w:rPr>
    </w:lvl>
  </w:abstractNum>
  <w:abstractNum w:abstractNumId="19">
    <w:nsid w:val="4E07A29E"/>
    <w:multiLevelType w:val="singleLevel"/>
    <w:tmpl w:val="4E07A29E"/>
    <w:lvl w:ilvl="0" w:tentative="0">
      <w:start w:val="1"/>
      <w:numFmt w:val="bullet"/>
      <w:lvlText w:val=""/>
      <w:lvlJc w:val="left"/>
      <w:pPr>
        <w:ind w:left="420" w:hanging="420"/>
      </w:pPr>
      <w:rPr>
        <w:rFonts w:hint="default" w:ascii="Wingdings" w:hAnsi="Wingdings"/>
      </w:rPr>
    </w:lvl>
  </w:abstractNum>
  <w:abstractNum w:abstractNumId="20">
    <w:nsid w:val="511B0592"/>
    <w:multiLevelType w:val="multilevel"/>
    <w:tmpl w:val="511B0592"/>
    <w:lvl w:ilvl="0" w:tentative="0">
      <w:start w:val="1"/>
      <w:numFmt w:val="decimal"/>
      <w:lvlText w:val="(%1)"/>
      <w:lvlJc w:val="left"/>
      <w:pPr>
        <w:ind w:left="425" w:hanging="425"/>
      </w:pPr>
      <w:rPr>
        <w:rFonts w:hint="default"/>
      </w:rPr>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21">
    <w:nsid w:val="542D7D4E"/>
    <w:multiLevelType w:val="multilevel"/>
    <w:tmpl w:val="542D7D4E"/>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58D51B88"/>
    <w:multiLevelType w:val="singleLevel"/>
    <w:tmpl w:val="58D51B88"/>
    <w:lvl w:ilvl="0" w:tentative="0">
      <w:start w:val="1"/>
      <w:numFmt w:val="decimal"/>
      <w:lvlText w:val="(%1)"/>
      <w:lvlJc w:val="left"/>
      <w:pPr>
        <w:ind w:left="425" w:hanging="425"/>
      </w:pPr>
      <w:rPr>
        <w:rFonts w:hint="default"/>
      </w:rPr>
    </w:lvl>
  </w:abstractNum>
  <w:abstractNum w:abstractNumId="23">
    <w:nsid w:val="5FAE6A28"/>
    <w:multiLevelType w:val="singleLevel"/>
    <w:tmpl w:val="5FAE6A28"/>
    <w:lvl w:ilvl="0" w:tentative="0">
      <w:start w:val="1"/>
      <w:numFmt w:val="decimal"/>
      <w:lvlText w:val="%1)"/>
      <w:lvlJc w:val="left"/>
      <w:pPr>
        <w:ind w:left="425" w:hanging="425"/>
      </w:pPr>
      <w:rPr>
        <w:rFonts w:hint="default"/>
      </w:rPr>
    </w:lvl>
  </w:abstractNum>
  <w:abstractNum w:abstractNumId="24">
    <w:nsid w:val="5FB7D381"/>
    <w:multiLevelType w:val="singleLevel"/>
    <w:tmpl w:val="5FB7D381"/>
    <w:lvl w:ilvl="0" w:tentative="0">
      <w:start w:val="1"/>
      <w:numFmt w:val="decimal"/>
      <w:suff w:val="space"/>
      <w:lvlText w:val="%1."/>
      <w:lvlJc w:val="left"/>
    </w:lvl>
  </w:abstractNum>
  <w:abstractNum w:abstractNumId="25">
    <w:nsid w:val="655E122A"/>
    <w:multiLevelType w:val="multilevel"/>
    <w:tmpl w:val="655E122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6A1BE424"/>
    <w:multiLevelType w:val="singleLevel"/>
    <w:tmpl w:val="6A1BE424"/>
    <w:lvl w:ilvl="0" w:tentative="0">
      <w:start w:val="1"/>
      <w:numFmt w:val="bullet"/>
      <w:lvlText w:val=""/>
      <w:lvlJc w:val="left"/>
      <w:pPr>
        <w:ind w:left="420" w:hanging="420"/>
      </w:pPr>
      <w:rPr>
        <w:rFonts w:hint="default" w:ascii="Wingdings" w:hAnsi="Wingdings"/>
      </w:rPr>
    </w:lvl>
  </w:abstractNum>
  <w:abstractNum w:abstractNumId="27">
    <w:nsid w:val="6C139101"/>
    <w:multiLevelType w:val="multilevel"/>
    <w:tmpl w:val="6C139101"/>
    <w:lvl w:ilvl="0" w:tentative="0">
      <w:start w:val="1"/>
      <w:numFmt w:val="decimal"/>
      <w:lvlText w:val="(%1)"/>
      <w:lvlJc w:val="left"/>
      <w:pPr>
        <w:ind w:left="425" w:hanging="425"/>
      </w:pPr>
      <w:rPr>
        <w:rFonts w:hint="default"/>
      </w:rPr>
    </w:lvl>
    <w:lvl w:ilvl="1" w:tentative="0">
      <w:start w:val="1"/>
      <w:numFmt w:val="decimalEnclosedCircleChinese"/>
      <w:lvlText w:val="%2"/>
      <w:lvlJc w:val="left"/>
      <w:pPr>
        <w:tabs>
          <w:tab w:val="left" w:pos="840"/>
        </w:tabs>
        <w:ind w:left="840" w:hanging="420"/>
      </w:pPr>
      <w:rPr>
        <w:rFonts w:hint="default"/>
      </w:rPr>
    </w:lvl>
    <w:lvl w:ilvl="2" w:tentative="0">
      <w:start w:val="1"/>
      <w:numFmt w:val="decimal"/>
      <w:lvlText w:val="%3)"/>
      <w:lvlJc w:val="left"/>
      <w:pPr>
        <w:tabs>
          <w:tab w:val="left" w:pos="1260"/>
        </w:tabs>
        <w:ind w:left="1260" w:hanging="420"/>
      </w:pPr>
      <w:rPr>
        <w:rFonts w:hint="default"/>
      </w:rPr>
    </w:lvl>
    <w:lvl w:ilvl="3" w:tentative="0">
      <w:start w:val="1"/>
      <w:numFmt w:val="lowerLetter"/>
      <w:lvlText w:val="%4."/>
      <w:lvlJc w:val="left"/>
      <w:pPr>
        <w:tabs>
          <w:tab w:val="left" w:pos="1680"/>
        </w:tabs>
        <w:ind w:left="1680" w:hanging="420"/>
      </w:pPr>
      <w:rPr>
        <w:rFonts w:hint="default"/>
      </w:rPr>
    </w:lvl>
    <w:lvl w:ilvl="4" w:tentative="0">
      <w:start w:val="1"/>
      <w:numFmt w:val="lowerLetter"/>
      <w:lvlText w:val="%5)"/>
      <w:lvlJc w:val="left"/>
      <w:pPr>
        <w:tabs>
          <w:tab w:val="left" w:pos="2100"/>
        </w:tabs>
        <w:ind w:left="2100" w:hanging="420"/>
      </w:pPr>
      <w:rPr>
        <w:rFonts w:hint="default"/>
      </w:rPr>
    </w:lvl>
    <w:lvl w:ilvl="5" w:tentative="0">
      <w:start w:val="1"/>
      <w:numFmt w:val="lowerRoman"/>
      <w:lvlText w:val="%6."/>
      <w:lvlJc w:val="left"/>
      <w:pPr>
        <w:tabs>
          <w:tab w:val="left" w:pos="2520"/>
        </w:tabs>
        <w:ind w:left="2520" w:hanging="420"/>
      </w:pPr>
      <w:rPr>
        <w:rFonts w:hint="default"/>
      </w:rPr>
    </w:lvl>
    <w:lvl w:ilvl="6" w:tentative="0">
      <w:start w:val="1"/>
      <w:numFmt w:val="lowerRoman"/>
      <w:lvlText w:val="%7)"/>
      <w:lvlJc w:val="left"/>
      <w:pPr>
        <w:tabs>
          <w:tab w:val="left" w:pos="2940"/>
        </w:tabs>
        <w:ind w:left="2940" w:hanging="420"/>
      </w:pPr>
      <w:rPr>
        <w:rFonts w:hint="default"/>
      </w:rPr>
    </w:lvl>
    <w:lvl w:ilvl="7" w:tentative="0">
      <w:start w:val="1"/>
      <w:numFmt w:val="lowerLetter"/>
      <w:lvlText w:val="%8."/>
      <w:lvlJc w:val="left"/>
      <w:pPr>
        <w:tabs>
          <w:tab w:val="left" w:pos="3360"/>
        </w:tabs>
        <w:ind w:left="3360" w:hanging="420"/>
      </w:pPr>
      <w:rPr>
        <w:rFonts w:hint="default"/>
      </w:rPr>
    </w:lvl>
    <w:lvl w:ilvl="8" w:tentative="0">
      <w:start w:val="1"/>
      <w:numFmt w:val="lowerLetter"/>
      <w:lvlText w:val="%9)"/>
      <w:lvlJc w:val="left"/>
      <w:pPr>
        <w:tabs>
          <w:tab w:val="left" w:pos="3780"/>
        </w:tabs>
        <w:ind w:left="3780" w:hanging="420"/>
      </w:pPr>
      <w:rPr>
        <w:rFonts w:hint="default"/>
      </w:rPr>
    </w:lvl>
  </w:abstractNum>
  <w:abstractNum w:abstractNumId="28">
    <w:nsid w:val="6FFA1695"/>
    <w:multiLevelType w:val="multilevel"/>
    <w:tmpl w:val="6FFA1695"/>
    <w:lvl w:ilvl="0" w:tentative="0">
      <w:start w:val="1"/>
      <w:numFmt w:val="decimal"/>
      <w:pStyle w:val="264"/>
      <w:suff w:val="space"/>
      <w:lvlText w:val="%1."/>
      <w:lvlJc w:val="left"/>
      <w:pPr>
        <w:ind w:left="0" w:firstLine="0"/>
      </w:pPr>
      <w:rPr>
        <w:rFonts w:hint="default" w:ascii="微软雅黑" w:hAnsi="微软雅黑" w:eastAsia="微软雅黑"/>
      </w:rPr>
    </w:lvl>
    <w:lvl w:ilvl="1" w:tentative="0">
      <w:start w:val="1"/>
      <w:numFmt w:val="decimal"/>
      <w:suff w:val="space"/>
      <w:lvlText w:val="%1.%2."/>
      <w:lvlJc w:val="left"/>
      <w:pPr>
        <w:ind w:left="0" w:firstLine="0"/>
      </w:pPr>
      <w:rPr>
        <w:rFonts w:hint="default" w:ascii="微软雅黑" w:hAnsi="微软雅黑" w:eastAsia="微软雅黑"/>
      </w:rPr>
    </w:lvl>
    <w:lvl w:ilvl="2" w:tentative="0">
      <w:start w:val="1"/>
      <w:numFmt w:val="decimal"/>
      <w:suff w:val="space"/>
      <w:lvlText w:val="%1.%2.%3."/>
      <w:lvlJc w:val="left"/>
      <w:pPr>
        <w:ind w:left="0" w:firstLine="0"/>
      </w:pPr>
      <w:rPr>
        <w:rFonts w:hint="default" w:ascii="微软雅黑" w:hAnsi="微软雅黑" w:eastAsia="微软雅黑"/>
      </w:rPr>
    </w:lvl>
    <w:lvl w:ilvl="3" w:tentative="0">
      <w:start w:val="1"/>
      <w:numFmt w:val="decimal"/>
      <w:suff w:val="space"/>
      <w:lvlText w:val="%1.%2.%3.%4."/>
      <w:lvlJc w:val="left"/>
      <w:pPr>
        <w:ind w:left="0" w:firstLine="0"/>
      </w:pPr>
      <w:rPr>
        <w:rFonts w:hint="default" w:ascii="微软雅黑" w:hAnsi="微软雅黑" w:eastAsia="微软雅黑"/>
      </w:rPr>
    </w:lvl>
    <w:lvl w:ilvl="4" w:tentative="0">
      <w:start w:val="1"/>
      <w:numFmt w:val="decimal"/>
      <w:lvlText w:val="%1.%2.%3.%4.%5."/>
      <w:lvlJc w:val="left"/>
      <w:pPr>
        <w:tabs>
          <w:tab w:val="left" w:pos="0"/>
        </w:tabs>
        <w:ind w:left="0" w:firstLine="0"/>
      </w:pPr>
      <w:rPr>
        <w:rFonts w:hint="default" w:ascii="微软雅黑" w:hAnsi="微软雅黑" w:eastAsia="微软雅黑"/>
      </w:rPr>
    </w:lvl>
    <w:lvl w:ilvl="5" w:tentative="0">
      <w:start w:val="1"/>
      <w:numFmt w:val="decimal"/>
      <w:suff w:val="space"/>
      <w:lvlText w:val="%1.%2.%3.%4.%5.%6."/>
      <w:lvlJc w:val="left"/>
      <w:pPr>
        <w:ind w:left="0" w:firstLine="0"/>
      </w:pPr>
      <w:rPr>
        <w:rFonts w:hint="default"/>
      </w:rPr>
    </w:lvl>
    <w:lvl w:ilvl="6" w:tentative="0">
      <w:start w:val="1"/>
      <w:numFmt w:val="decimal"/>
      <w:lvlText w:val="%1.%2.%3.%4.%5.%6.%7."/>
      <w:lvlJc w:val="left"/>
      <w:pPr>
        <w:tabs>
          <w:tab w:val="left" w:pos="0"/>
        </w:tabs>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lvlText w:val="%1.%2.%3.%4.%5.%6.%7.%8.%9."/>
      <w:lvlJc w:val="left"/>
      <w:pPr>
        <w:tabs>
          <w:tab w:val="left" w:pos="0"/>
        </w:tabs>
        <w:ind w:left="0" w:firstLine="0"/>
      </w:pPr>
      <w:rPr>
        <w:rFonts w:hint="default"/>
      </w:rPr>
    </w:lvl>
  </w:abstractNum>
  <w:num w:numId="1">
    <w:abstractNumId w:val="10"/>
  </w:num>
  <w:num w:numId="2">
    <w:abstractNumId w:val="11"/>
  </w:num>
  <w:num w:numId="3">
    <w:abstractNumId w:val="15"/>
  </w:num>
  <w:num w:numId="4">
    <w:abstractNumId w:val="28"/>
  </w:num>
  <w:num w:numId="5">
    <w:abstractNumId w:val="8"/>
  </w:num>
  <w:num w:numId="6">
    <w:abstractNumId w:val="0"/>
  </w:num>
  <w:num w:numId="7">
    <w:abstractNumId w:val="7"/>
  </w:num>
  <w:num w:numId="8">
    <w:abstractNumId w:val="18"/>
  </w:num>
  <w:num w:numId="9">
    <w:abstractNumId w:val="16"/>
  </w:num>
  <w:num w:numId="10">
    <w:abstractNumId w:val="27"/>
  </w:num>
  <w:num w:numId="11">
    <w:abstractNumId w:val="2"/>
  </w:num>
  <w:num w:numId="12">
    <w:abstractNumId w:val="20"/>
  </w:num>
  <w:num w:numId="13">
    <w:abstractNumId w:val="4"/>
  </w:num>
  <w:num w:numId="14">
    <w:abstractNumId w:val="21"/>
  </w:num>
  <w:num w:numId="15">
    <w:abstractNumId w:val="17"/>
  </w:num>
  <w:num w:numId="16">
    <w:abstractNumId w:val="25"/>
  </w:num>
  <w:num w:numId="17">
    <w:abstractNumId w:val="13"/>
  </w:num>
  <w:num w:numId="18">
    <w:abstractNumId w:val="19"/>
  </w:num>
  <w:num w:numId="19">
    <w:abstractNumId w:val="12"/>
  </w:num>
  <w:num w:numId="20">
    <w:abstractNumId w:val="26"/>
  </w:num>
  <w:num w:numId="21">
    <w:abstractNumId w:val="5"/>
  </w:num>
  <w:num w:numId="22">
    <w:abstractNumId w:val="3"/>
  </w:num>
  <w:num w:numId="23">
    <w:abstractNumId w:val="9"/>
  </w:num>
  <w:num w:numId="24">
    <w:abstractNumId w:val="14"/>
  </w:num>
  <w:num w:numId="25">
    <w:abstractNumId w:val="1"/>
  </w:num>
  <w:num w:numId="26">
    <w:abstractNumId w:val="23"/>
  </w:num>
  <w:num w:numId="27">
    <w:abstractNumId w:val="22"/>
  </w:num>
  <w:num w:numId="28">
    <w:abstractNumId w:val="6"/>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val="" w:percent="100"/>
  <w:bordersDoNotSurroundHeader w:val="0"/>
  <w:bordersDoNotSurroundFooter w:val="0"/>
  <w:documentProtection w:enforcement="0"/>
  <w:defaultTabStop w:val="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33DF"/>
    <w:rsid w:val="00012CED"/>
    <w:rsid w:val="00015DFE"/>
    <w:rsid w:val="00025579"/>
    <w:rsid w:val="0003415B"/>
    <w:rsid w:val="00042CF5"/>
    <w:rsid w:val="00044764"/>
    <w:rsid w:val="00045CE3"/>
    <w:rsid w:val="00046782"/>
    <w:rsid w:val="00047215"/>
    <w:rsid w:val="00056643"/>
    <w:rsid w:val="00064481"/>
    <w:rsid w:val="00072524"/>
    <w:rsid w:val="00073214"/>
    <w:rsid w:val="00085C55"/>
    <w:rsid w:val="00087505"/>
    <w:rsid w:val="00095A30"/>
    <w:rsid w:val="0009643A"/>
    <w:rsid w:val="000B08C0"/>
    <w:rsid w:val="000C0094"/>
    <w:rsid w:val="000D65D7"/>
    <w:rsid w:val="000E1D53"/>
    <w:rsid w:val="000F36B5"/>
    <w:rsid w:val="000F5617"/>
    <w:rsid w:val="0010192B"/>
    <w:rsid w:val="00102532"/>
    <w:rsid w:val="0010751D"/>
    <w:rsid w:val="001104BA"/>
    <w:rsid w:val="001168A8"/>
    <w:rsid w:val="00122D56"/>
    <w:rsid w:val="0012374E"/>
    <w:rsid w:val="00134A2E"/>
    <w:rsid w:val="001408E1"/>
    <w:rsid w:val="00143305"/>
    <w:rsid w:val="00147971"/>
    <w:rsid w:val="0015643A"/>
    <w:rsid w:val="001600C8"/>
    <w:rsid w:val="00162BA5"/>
    <w:rsid w:val="0016453F"/>
    <w:rsid w:val="001652C7"/>
    <w:rsid w:val="00166CCF"/>
    <w:rsid w:val="00170798"/>
    <w:rsid w:val="00175CF1"/>
    <w:rsid w:val="00175D90"/>
    <w:rsid w:val="0017634C"/>
    <w:rsid w:val="00182B1F"/>
    <w:rsid w:val="001975F0"/>
    <w:rsid w:val="001A07B2"/>
    <w:rsid w:val="001A43FC"/>
    <w:rsid w:val="001B2778"/>
    <w:rsid w:val="001B3000"/>
    <w:rsid w:val="001B57D2"/>
    <w:rsid w:val="001B5E78"/>
    <w:rsid w:val="00211287"/>
    <w:rsid w:val="00212875"/>
    <w:rsid w:val="00212EE0"/>
    <w:rsid w:val="00224AF0"/>
    <w:rsid w:val="002349A2"/>
    <w:rsid w:val="00235B23"/>
    <w:rsid w:val="00243C43"/>
    <w:rsid w:val="00247B15"/>
    <w:rsid w:val="00256A13"/>
    <w:rsid w:val="00260A41"/>
    <w:rsid w:val="0026118D"/>
    <w:rsid w:val="00263AB0"/>
    <w:rsid w:val="00265B0F"/>
    <w:rsid w:val="00267A4C"/>
    <w:rsid w:val="00280634"/>
    <w:rsid w:val="00280E66"/>
    <w:rsid w:val="00286804"/>
    <w:rsid w:val="00291F9E"/>
    <w:rsid w:val="002921AC"/>
    <w:rsid w:val="00292BAB"/>
    <w:rsid w:val="0029753E"/>
    <w:rsid w:val="002A05CB"/>
    <w:rsid w:val="002A2B81"/>
    <w:rsid w:val="002A311E"/>
    <w:rsid w:val="002A78E7"/>
    <w:rsid w:val="002B48E8"/>
    <w:rsid w:val="002F1371"/>
    <w:rsid w:val="002F5157"/>
    <w:rsid w:val="002F53B2"/>
    <w:rsid w:val="002F6823"/>
    <w:rsid w:val="002F7D00"/>
    <w:rsid w:val="00301B98"/>
    <w:rsid w:val="00321722"/>
    <w:rsid w:val="003266BF"/>
    <w:rsid w:val="00337007"/>
    <w:rsid w:val="003378D0"/>
    <w:rsid w:val="00345303"/>
    <w:rsid w:val="0035277B"/>
    <w:rsid w:val="00355A89"/>
    <w:rsid w:val="00357088"/>
    <w:rsid w:val="00370231"/>
    <w:rsid w:val="00381810"/>
    <w:rsid w:val="00390620"/>
    <w:rsid w:val="003A084B"/>
    <w:rsid w:val="003C5EC0"/>
    <w:rsid w:val="003F088F"/>
    <w:rsid w:val="003F5E20"/>
    <w:rsid w:val="00401C55"/>
    <w:rsid w:val="004110F4"/>
    <w:rsid w:val="0041598F"/>
    <w:rsid w:val="00422540"/>
    <w:rsid w:val="00426890"/>
    <w:rsid w:val="00442FDD"/>
    <w:rsid w:val="00453658"/>
    <w:rsid w:val="004568F4"/>
    <w:rsid w:val="004571B1"/>
    <w:rsid w:val="00462AC6"/>
    <w:rsid w:val="00481B22"/>
    <w:rsid w:val="004866C7"/>
    <w:rsid w:val="00491441"/>
    <w:rsid w:val="00496792"/>
    <w:rsid w:val="004A0BD3"/>
    <w:rsid w:val="004A10DE"/>
    <w:rsid w:val="004B09B6"/>
    <w:rsid w:val="004B32FC"/>
    <w:rsid w:val="004C0F6E"/>
    <w:rsid w:val="004C19F5"/>
    <w:rsid w:val="004C7440"/>
    <w:rsid w:val="004D6DA3"/>
    <w:rsid w:val="004D745A"/>
    <w:rsid w:val="004E0D98"/>
    <w:rsid w:val="004E1C10"/>
    <w:rsid w:val="004E35AA"/>
    <w:rsid w:val="004F1FD9"/>
    <w:rsid w:val="0051651C"/>
    <w:rsid w:val="00516C0F"/>
    <w:rsid w:val="00525B9A"/>
    <w:rsid w:val="00536760"/>
    <w:rsid w:val="00537996"/>
    <w:rsid w:val="00541A98"/>
    <w:rsid w:val="00543946"/>
    <w:rsid w:val="00551A47"/>
    <w:rsid w:val="00553EA6"/>
    <w:rsid w:val="005558E5"/>
    <w:rsid w:val="0055617A"/>
    <w:rsid w:val="00563D8E"/>
    <w:rsid w:val="005673B5"/>
    <w:rsid w:val="00567A3C"/>
    <w:rsid w:val="00570F9A"/>
    <w:rsid w:val="0057239E"/>
    <w:rsid w:val="00580A13"/>
    <w:rsid w:val="00594F60"/>
    <w:rsid w:val="00597632"/>
    <w:rsid w:val="005A0A5C"/>
    <w:rsid w:val="005A44D1"/>
    <w:rsid w:val="005C0550"/>
    <w:rsid w:val="005C6DA6"/>
    <w:rsid w:val="005C6FE6"/>
    <w:rsid w:val="005F280B"/>
    <w:rsid w:val="005F4120"/>
    <w:rsid w:val="006055E2"/>
    <w:rsid w:val="00614F15"/>
    <w:rsid w:val="006210F3"/>
    <w:rsid w:val="00625FA2"/>
    <w:rsid w:val="006270F9"/>
    <w:rsid w:val="00627D7C"/>
    <w:rsid w:val="0063456C"/>
    <w:rsid w:val="00641AD2"/>
    <w:rsid w:val="00642CA5"/>
    <w:rsid w:val="0065367B"/>
    <w:rsid w:val="006668E3"/>
    <w:rsid w:val="00666A26"/>
    <w:rsid w:val="006846A5"/>
    <w:rsid w:val="006853AE"/>
    <w:rsid w:val="006918BA"/>
    <w:rsid w:val="00692B2D"/>
    <w:rsid w:val="0069732C"/>
    <w:rsid w:val="006A53DC"/>
    <w:rsid w:val="006B53BE"/>
    <w:rsid w:val="006C22EC"/>
    <w:rsid w:val="006C5F18"/>
    <w:rsid w:val="006C6F05"/>
    <w:rsid w:val="006D357F"/>
    <w:rsid w:val="006E0852"/>
    <w:rsid w:val="006F51C5"/>
    <w:rsid w:val="00702B15"/>
    <w:rsid w:val="00704995"/>
    <w:rsid w:val="007207C0"/>
    <w:rsid w:val="007400DB"/>
    <w:rsid w:val="00761590"/>
    <w:rsid w:val="007666FC"/>
    <w:rsid w:val="0078143C"/>
    <w:rsid w:val="007846D9"/>
    <w:rsid w:val="00792B16"/>
    <w:rsid w:val="007A0CBF"/>
    <w:rsid w:val="007C3BFE"/>
    <w:rsid w:val="007D25F5"/>
    <w:rsid w:val="007E00ED"/>
    <w:rsid w:val="007F6504"/>
    <w:rsid w:val="00811066"/>
    <w:rsid w:val="00816383"/>
    <w:rsid w:val="008238AF"/>
    <w:rsid w:val="00826496"/>
    <w:rsid w:val="00833826"/>
    <w:rsid w:val="00837986"/>
    <w:rsid w:val="00840566"/>
    <w:rsid w:val="00846A35"/>
    <w:rsid w:val="00857699"/>
    <w:rsid w:val="00870555"/>
    <w:rsid w:val="008736DA"/>
    <w:rsid w:val="00874083"/>
    <w:rsid w:val="00885576"/>
    <w:rsid w:val="008858F9"/>
    <w:rsid w:val="008871AA"/>
    <w:rsid w:val="008876E5"/>
    <w:rsid w:val="008904CF"/>
    <w:rsid w:val="00891793"/>
    <w:rsid w:val="00892248"/>
    <w:rsid w:val="00896EC6"/>
    <w:rsid w:val="008B475B"/>
    <w:rsid w:val="008B6B7B"/>
    <w:rsid w:val="008C7F44"/>
    <w:rsid w:val="008D59AD"/>
    <w:rsid w:val="008E4831"/>
    <w:rsid w:val="008E763A"/>
    <w:rsid w:val="008F6F52"/>
    <w:rsid w:val="00901798"/>
    <w:rsid w:val="00905529"/>
    <w:rsid w:val="0093038A"/>
    <w:rsid w:val="00943A8E"/>
    <w:rsid w:val="009515C8"/>
    <w:rsid w:val="00952A00"/>
    <w:rsid w:val="009540A6"/>
    <w:rsid w:val="009619D1"/>
    <w:rsid w:val="00966FFD"/>
    <w:rsid w:val="0097194C"/>
    <w:rsid w:val="009720AA"/>
    <w:rsid w:val="00976F21"/>
    <w:rsid w:val="00980569"/>
    <w:rsid w:val="00982F00"/>
    <w:rsid w:val="00985611"/>
    <w:rsid w:val="0099277D"/>
    <w:rsid w:val="00994FA9"/>
    <w:rsid w:val="009971EC"/>
    <w:rsid w:val="009977B5"/>
    <w:rsid w:val="009A577B"/>
    <w:rsid w:val="009A5795"/>
    <w:rsid w:val="009C0FEC"/>
    <w:rsid w:val="009C33DF"/>
    <w:rsid w:val="009C66AF"/>
    <w:rsid w:val="00A04879"/>
    <w:rsid w:val="00A2194D"/>
    <w:rsid w:val="00A237A8"/>
    <w:rsid w:val="00A303FA"/>
    <w:rsid w:val="00A41542"/>
    <w:rsid w:val="00A45030"/>
    <w:rsid w:val="00A46E37"/>
    <w:rsid w:val="00A54E7A"/>
    <w:rsid w:val="00A70445"/>
    <w:rsid w:val="00A77186"/>
    <w:rsid w:val="00A90F92"/>
    <w:rsid w:val="00AB0C61"/>
    <w:rsid w:val="00AB2302"/>
    <w:rsid w:val="00AB2AD9"/>
    <w:rsid w:val="00AC3B6F"/>
    <w:rsid w:val="00AD722B"/>
    <w:rsid w:val="00AE4B3C"/>
    <w:rsid w:val="00AE611F"/>
    <w:rsid w:val="00AF1594"/>
    <w:rsid w:val="00AF659F"/>
    <w:rsid w:val="00B02894"/>
    <w:rsid w:val="00B052DB"/>
    <w:rsid w:val="00B06EB4"/>
    <w:rsid w:val="00B200A6"/>
    <w:rsid w:val="00B24180"/>
    <w:rsid w:val="00B2485C"/>
    <w:rsid w:val="00B26281"/>
    <w:rsid w:val="00B3162F"/>
    <w:rsid w:val="00B3622B"/>
    <w:rsid w:val="00B54E41"/>
    <w:rsid w:val="00B63711"/>
    <w:rsid w:val="00B769EE"/>
    <w:rsid w:val="00BA4A11"/>
    <w:rsid w:val="00BB7BD2"/>
    <w:rsid w:val="00BD0DE2"/>
    <w:rsid w:val="00BE19CD"/>
    <w:rsid w:val="00BE19E2"/>
    <w:rsid w:val="00BE499C"/>
    <w:rsid w:val="00BE7CF0"/>
    <w:rsid w:val="00BF049A"/>
    <w:rsid w:val="00BF2450"/>
    <w:rsid w:val="00C023D8"/>
    <w:rsid w:val="00C05AD8"/>
    <w:rsid w:val="00C13652"/>
    <w:rsid w:val="00C21BC3"/>
    <w:rsid w:val="00C33166"/>
    <w:rsid w:val="00C33259"/>
    <w:rsid w:val="00C36B5B"/>
    <w:rsid w:val="00C40592"/>
    <w:rsid w:val="00C41A64"/>
    <w:rsid w:val="00C6025F"/>
    <w:rsid w:val="00C62F25"/>
    <w:rsid w:val="00C66AA6"/>
    <w:rsid w:val="00C7716F"/>
    <w:rsid w:val="00C93AA0"/>
    <w:rsid w:val="00C95232"/>
    <w:rsid w:val="00C9554C"/>
    <w:rsid w:val="00C963D0"/>
    <w:rsid w:val="00CA63A9"/>
    <w:rsid w:val="00CA6E6C"/>
    <w:rsid w:val="00CD233A"/>
    <w:rsid w:val="00CD2C5C"/>
    <w:rsid w:val="00CD3ADC"/>
    <w:rsid w:val="00CE03EF"/>
    <w:rsid w:val="00CE0BB0"/>
    <w:rsid w:val="00CE415E"/>
    <w:rsid w:val="00CF61BE"/>
    <w:rsid w:val="00D141CD"/>
    <w:rsid w:val="00D2261D"/>
    <w:rsid w:val="00D27E7B"/>
    <w:rsid w:val="00D300A2"/>
    <w:rsid w:val="00D313E8"/>
    <w:rsid w:val="00D3590D"/>
    <w:rsid w:val="00D35E72"/>
    <w:rsid w:val="00D515E0"/>
    <w:rsid w:val="00D5266E"/>
    <w:rsid w:val="00D56CC5"/>
    <w:rsid w:val="00D62503"/>
    <w:rsid w:val="00D859E6"/>
    <w:rsid w:val="00D85EC6"/>
    <w:rsid w:val="00D876C9"/>
    <w:rsid w:val="00D87EA0"/>
    <w:rsid w:val="00D91928"/>
    <w:rsid w:val="00D9324D"/>
    <w:rsid w:val="00DC3D45"/>
    <w:rsid w:val="00DD041C"/>
    <w:rsid w:val="00DD343B"/>
    <w:rsid w:val="00DD744A"/>
    <w:rsid w:val="00DE2903"/>
    <w:rsid w:val="00DE69BF"/>
    <w:rsid w:val="00DE7A95"/>
    <w:rsid w:val="00DF024B"/>
    <w:rsid w:val="00DF31DB"/>
    <w:rsid w:val="00DF50B5"/>
    <w:rsid w:val="00E06023"/>
    <w:rsid w:val="00E10549"/>
    <w:rsid w:val="00E14260"/>
    <w:rsid w:val="00E162DD"/>
    <w:rsid w:val="00E1651F"/>
    <w:rsid w:val="00E54353"/>
    <w:rsid w:val="00E5539E"/>
    <w:rsid w:val="00E5714B"/>
    <w:rsid w:val="00E572A5"/>
    <w:rsid w:val="00E64A0C"/>
    <w:rsid w:val="00E66935"/>
    <w:rsid w:val="00E66B56"/>
    <w:rsid w:val="00E71995"/>
    <w:rsid w:val="00E723A5"/>
    <w:rsid w:val="00E75929"/>
    <w:rsid w:val="00E8237A"/>
    <w:rsid w:val="00E8746A"/>
    <w:rsid w:val="00E92B91"/>
    <w:rsid w:val="00EA246D"/>
    <w:rsid w:val="00EA3905"/>
    <w:rsid w:val="00EA4273"/>
    <w:rsid w:val="00EA4D16"/>
    <w:rsid w:val="00EB0B70"/>
    <w:rsid w:val="00EE7989"/>
    <w:rsid w:val="00EF07FA"/>
    <w:rsid w:val="00EF35F0"/>
    <w:rsid w:val="00F00104"/>
    <w:rsid w:val="00F06EC0"/>
    <w:rsid w:val="00F10F2E"/>
    <w:rsid w:val="00F1329E"/>
    <w:rsid w:val="00F20E0F"/>
    <w:rsid w:val="00F26545"/>
    <w:rsid w:val="00F35ED6"/>
    <w:rsid w:val="00F367FE"/>
    <w:rsid w:val="00F52A8D"/>
    <w:rsid w:val="00F53625"/>
    <w:rsid w:val="00F5412E"/>
    <w:rsid w:val="00F636D8"/>
    <w:rsid w:val="00F72AC4"/>
    <w:rsid w:val="00F840A3"/>
    <w:rsid w:val="00F86FCD"/>
    <w:rsid w:val="00F957AF"/>
    <w:rsid w:val="00F96901"/>
    <w:rsid w:val="00FA3702"/>
    <w:rsid w:val="00FA5F7C"/>
    <w:rsid w:val="00FB7C17"/>
    <w:rsid w:val="00FC7F42"/>
    <w:rsid w:val="00FD1243"/>
    <w:rsid w:val="00FD2900"/>
    <w:rsid w:val="00FD540A"/>
    <w:rsid w:val="00FD6602"/>
    <w:rsid w:val="00FE048B"/>
    <w:rsid w:val="00FF412E"/>
    <w:rsid w:val="00FF4F27"/>
    <w:rsid w:val="010B51AA"/>
    <w:rsid w:val="01317F69"/>
    <w:rsid w:val="013435B5"/>
    <w:rsid w:val="015B4518"/>
    <w:rsid w:val="016C1B99"/>
    <w:rsid w:val="01CE7B5C"/>
    <w:rsid w:val="01F62F61"/>
    <w:rsid w:val="02096A67"/>
    <w:rsid w:val="027E29A5"/>
    <w:rsid w:val="02A660B1"/>
    <w:rsid w:val="02C137C5"/>
    <w:rsid w:val="02DA0437"/>
    <w:rsid w:val="03743780"/>
    <w:rsid w:val="04777302"/>
    <w:rsid w:val="049D3B67"/>
    <w:rsid w:val="049D76C3"/>
    <w:rsid w:val="04AB1DE0"/>
    <w:rsid w:val="04B20428"/>
    <w:rsid w:val="04B844FD"/>
    <w:rsid w:val="04D70E27"/>
    <w:rsid w:val="04F75026"/>
    <w:rsid w:val="05162086"/>
    <w:rsid w:val="0533394F"/>
    <w:rsid w:val="05463E09"/>
    <w:rsid w:val="054B35C3"/>
    <w:rsid w:val="05A16DAA"/>
    <w:rsid w:val="05E530D0"/>
    <w:rsid w:val="05FD14D7"/>
    <w:rsid w:val="063A537E"/>
    <w:rsid w:val="063F7BDF"/>
    <w:rsid w:val="06837775"/>
    <w:rsid w:val="068A3C77"/>
    <w:rsid w:val="06E33CC2"/>
    <w:rsid w:val="070752C8"/>
    <w:rsid w:val="071266FE"/>
    <w:rsid w:val="074B2D48"/>
    <w:rsid w:val="07830F22"/>
    <w:rsid w:val="07AE23A9"/>
    <w:rsid w:val="07DD1421"/>
    <w:rsid w:val="07F60232"/>
    <w:rsid w:val="08030185"/>
    <w:rsid w:val="088017D6"/>
    <w:rsid w:val="088A0B1A"/>
    <w:rsid w:val="089808CE"/>
    <w:rsid w:val="08A2174C"/>
    <w:rsid w:val="08B128F2"/>
    <w:rsid w:val="09040660"/>
    <w:rsid w:val="090614A8"/>
    <w:rsid w:val="092E5860"/>
    <w:rsid w:val="09864BCA"/>
    <w:rsid w:val="09C9704B"/>
    <w:rsid w:val="09CD27F9"/>
    <w:rsid w:val="09E86128"/>
    <w:rsid w:val="0A4B43B2"/>
    <w:rsid w:val="0A512CFE"/>
    <w:rsid w:val="0A771D8B"/>
    <w:rsid w:val="0A876F57"/>
    <w:rsid w:val="0A8D0EB6"/>
    <w:rsid w:val="0A997806"/>
    <w:rsid w:val="0ACE4448"/>
    <w:rsid w:val="0B003AB4"/>
    <w:rsid w:val="0B131844"/>
    <w:rsid w:val="0B425A17"/>
    <w:rsid w:val="0B532095"/>
    <w:rsid w:val="0B6E3B68"/>
    <w:rsid w:val="0BA8707A"/>
    <w:rsid w:val="0BA87A3B"/>
    <w:rsid w:val="0BB27EF8"/>
    <w:rsid w:val="0BE855A2"/>
    <w:rsid w:val="0C682394"/>
    <w:rsid w:val="0CAA6E21"/>
    <w:rsid w:val="0CCC622A"/>
    <w:rsid w:val="0CE44177"/>
    <w:rsid w:val="0D10137A"/>
    <w:rsid w:val="0D49663A"/>
    <w:rsid w:val="0D5C03E9"/>
    <w:rsid w:val="0DAD4E1B"/>
    <w:rsid w:val="0DB737BB"/>
    <w:rsid w:val="0E150056"/>
    <w:rsid w:val="0E433DCE"/>
    <w:rsid w:val="0EDB7779"/>
    <w:rsid w:val="0EED67CB"/>
    <w:rsid w:val="0EF00441"/>
    <w:rsid w:val="0F24241C"/>
    <w:rsid w:val="0F2E7896"/>
    <w:rsid w:val="0F614764"/>
    <w:rsid w:val="0F683166"/>
    <w:rsid w:val="0FA45DAA"/>
    <w:rsid w:val="0FCC28C3"/>
    <w:rsid w:val="10114B86"/>
    <w:rsid w:val="10437371"/>
    <w:rsid w:val="106654C9"/>
    <w:rsid w:val="10B50F76"/>
    <w:rsid w:val="10B60D4A"/>
    <w:rsid w:val="10E01064"/>
    <w:rsid w:val="11052C73"/>
    <w:rsid w:val="118147C3"/>
    <w:rsid w:val="11CC15E8"/>
    <w:rsid w:val="12046FD4"/>
    <w:rsid w:val="125337C3"/>
    <w:rsid w:val="12DF2F5D"/>
    <w:rsid w:val="12F47042"/>
    <w:rsid w:val="131A379A"/>
    <w:rsid w:val="13741F37"/>
    <w:rsid w:val="137E1907"/>
    <w:rsid w:val="13B90B62"/>
    <w:rsid w:val="1487590B"/>
    <w:rsid w:val="148E0DD7"/>
    <w:rsid w:val="14D663CD"/>
    <w:rsid w:val="15051099"/>
    <w:rsid w:val="15235715"/>
    <w:rsid w:val="15346937"/>
    <w:rsid w:val="156313ED"/>
    <w:rsid w:val="1565422D"/>
    <w:rsid w:val="15763AC2"/>
    <w:rsid w:val="15A01728"/>
    <w:rsid w:val="15A44D56"/>
    <w:rsid w:val="15D32F45"/>
    <w:rsid w:val="15E16DE2"/>
    <w:rsid w:val="16355762"/>
    <w:rsid w:val="163B6FFF"/>
    <w:rsid w:val="165C7332"/>
    <w:rsid w:val="168D7598"/>
    <w:rsid w:val="16CF7BB0"/>
    <w:rsid w:val="17035AAC"/>
    <w:rsid w:val="17105BFE"/>
    <w:rsid w:val="171F0963"/>
    <w:rsid w:val="176F751E"/>
    <w:rsid w:val="17830DC6"/>
    <w:rsid w:val="179A3284"/>
    <w:rsid w:val="17C671D8"/>
    <w:rsid w:val="18686CF9"/>
    <w:rsid w:val="188257D7"/>
    <w:rsid w:val="18924561"/>
    <w:rsid w:val="189A41EE"/>
    <w:rsid w:val="18F72536"/>
    <w:rsid w:val="19020982"/>
    <w:rsid w:val="19520625"/>
    <w:rsid w:val="19975817"/>
    <w:rsid w:val="19CF0FAF"/>
    <w:rsid w:val="1A1520AE"/>
    <w:rsid w:val="1A530462"/>
    <w:rsid w:val="1A553C32"/>
    <w:rsid w:val="1A590337"/>
    <w:rsid w:val="1A750D62"/>
    <w:rsid w:val="1AFD2812"/>
    <w:rsid w:val="1B132036"/>
    <w:rsid w:val="1B4D19EC"/>
    <w:rsid w:val="1B8B6070"/>
    <w:rsid w:val="1B9D676B"/>
    <w:rsid w:val="1BBD03EB"/>
    <w:rsid w:val="1BC3524F"/>
    <w:rsid w:val="1C197B20"/>
    <w:rsid w:val="1C865B78"/>
    <w:rsid w:val="1C907DE2"/>
    <w:rsid w:val="1CA47B03"/>
    <w:rsid w:val="1CC7132A"/>
    <w:rsid w:val="1D6A1A4E"/>
    <w:rsid w:val="1E1045D1"/>
    <w:rsid w:val="1E1E5A63"/>
    <w:rsid w:val="1E2E5293"/>
    <w:rsid w:val="1E445E6C"/>
    <w:rsid w:val="1E6E2A9A"/>
    <w:rsid w:val="1E6E5F01"/>
    <w:rsid w:val="1E803E86"/>
    <w:rsid w:val="1EB15BB8"/>
    <w:rsid w:val="1EC34800"/>
    <w:rsid w:val="1EFE2C82"/>
    <w:rsid w:val="1F607DD3"/>
    <w:rsid w:val="1F7D7869"/>
    <w:rsid w:val="1F9A459D"/>
    <w:rsid w:val="1F9C5FEB"/>
    <w:rsid w:val="1FB45B95"/>
    <w:rsid w:val="1FF61B37"/>
    <w:rsid w:val="200357C5"/>
    <w:rsid w:val="20346E0E"/>
    <w:rsid w:val="203A3C64"/>
    <w:rsid w:val="204763F2"/>
    <w:rsid w:val="209239FD"/>
    <w:rsid w:val="20992446"/>
    <w:rsid w:val="20DC60D3"/>
    <w:rsid w:val="20FA7910"/>
    <w:rsid w:val="2118056E"/>
    <w:rsid w:val="214178FD"/>
    <w:rsid w:val="217D285D"/>
    <w:rsid w:val="217F21D3"/>
    <w:rsid w:val="218F23EE"/>
    <w:rsid w:val="21A734D8"/>
    <w:rsid w:val="21EB34F7"/>
    <w:rsid w:val="21F42B2E"/>
    <w:rsid w:val="220E3168"/>
    <w:rsid w:val="22394A78"/>
    <w:rsid w:val="22737444"/>
    <w:rsid w:val="22B67E76"/>
    <w:rsid w:val="2355143D"/>
    <w:rsid w:val="236E2603"/>
    <w:rsid w:val="23ED1A27"/>
    <w:rsid w:val="2401386A"/>
    <w:rsid w:val="24810064"/>
    <w:rsid w:val="24B473C2"/>
    <w:rsid w:val="24DC3B17"/>
    <w:rsid w:val="24DE1906"/>
    <w:rsid w:val="251F61A7"/>
    <w:rsid w:val="25797F62"/>
    <w:rsid w:val="258316D8"/>
    <w:rsid w:val="25D43FFC"/>
    <w:rsid w:val="26121868"/>
    <w:rsid w:val="264659B5"/>
    <w:rsid w:val="265A664E"/>
    <w:rsid w:val="26A45164"/>
    <w:rsid w:val="26BD5C77"/>
    <w:rsid w:val="26C23F5A"/>
    <w:rsid w:val="26C57283"/>
    <w:rsid w:val="26D044DC"/>
    <w:rsid w:val="272730F1"/>
    <w:rsid w:val="27325D55"/>
    <w:rsid w:val="27790E10"/>
    <w:rsid w:val="27AD6033"/>
    <w:rsid w:val="27CC5A46"/>
    <w:rsid w:val="27EA6A00"/>
    <w:rsid w:val="27F96D49"/>
    <w:rsid w:val="28157892"/>
    <w:rsid w:val="284251E7"/>
    <w:rsid w:val="286379F8"/>
    <w:rsid w:val="28BD72A1"/>
    <w:rsid w:val="28C5252D"/>
    <w:rsid w:val="28C5494A"/>
    <w:rsid w:val="28ED32C7"/>
    <w:rsid w:val="28F409F6"/>
    <w:rsid w:val="290C73CD"/>
    <w:rsid w:val="297840D8"/>
    <w:rsid w:val="29F85218"/>
    <w:rsid w:val="29FE746B"/>
    <w:rsid w:val="2A097F53"/>
    <w:rsid w:val="2A1C074A"/>
    <w:rsid w:val="2A5A335F"/>
    <w:rsid w:val="2A703D17"/>
    <w:rsid w:val="2A721EE1"/>
    <w:rsid w:val="2A9C2048"/>
    <w:rsid w:val="2AAF273D"/>
    <w:rsid w:val="2AAF3DA5"/>
    <w:rsid w:val="2ABA6496"/>
    <w:rsid w:val="2AF85CBA"/>
    <w:rsid w:val="2B16120B"/>
    <w:rsid w:val="2B277B63"/>
    <w:rsid w:val="2B4A5938"/>
    <w:rsid w:val="2B514BE0"/>
    <w:rsid w:val="2BC01D66"/>
    <w:rsid w:val="2BE42614"/>
    <w:rsid w:val="2C647269"/>
    <w:rsid w:val="2C840B81"/>
    <w:rsid w:val="2C862667"/>
    <w:rsid w:val="2CA3146B"/>
    <w:rsid w:val="2CBE44F7"/>
    <w:rsid w:val="2D3D2E98"/>
    <w:rsid w:val="2D4D587B"/>
    <w:rsid w:val="2D5D2EE6"/>
    <w:rsid w:val="2E155B33"/>
    <w:rsid w:val="2E4D2D09"/>
    <w:rsid w:val="2E6A608C"/>
    <w:rsid w:val="2E9279E9"/>
    <w:rsid w:val="2F2D14C0"/>
    <w:rsid w:val="2F5634E3"/>
    <w:rsid w:val="2F78636C"/>
    <w:rsid w:val="2FF32F73"/>
    <w:rsid w:val="30072536"/>
    <w:rsid w:val="30085A89"/>
    <w:rsid w:val="302C79CA"/>
    <w:rsid w:val="303A584F"/>
    <w:rsid w:val="303E0A30"/>
    <w:rsid w:val="30926091"/>
    <w:rsid w:val="30AF2473"/>
    <w:rsid w:val="30AF2F08"/>
    <w:rsid w:val="30BC0D4E"/>
    <w:rsid w:val="30CE0815"/>
    <w:rsid w:val="30F57DBC"/>
    <w:rsid w:val="30FF1261"/>
    <w:rsid w:val="31001BD3"/>
    <w:rsid w:val="31082B9F"/>
    <w:rsid w:val="31104BF6"/>
    <w:rsid w:val="31307D11"/>
    <w:rsid w:val="313D5889"/>
    <w:rsid w:val="314160E6"/>
    <w:rsid w:val="314A09A2"/>
    <w:rsid w:val="32070E04"/>
    <w:rsid w:val="3234700A"/>
    <w:rsid w:val="323E39E4"/>
    <w:rsid w:val="32456B21"/>
    <w:rsid w:val="3254500F"/>
    <w:rsid w:val="32BA12BD"/>
    <w:rsid w:val="32C94540"/>
    <w:rsid w:val="32F06DE4"/>
    <w:rsid w:val="33124565"/>
    <w:rsid w:val="333332A5"/>
    <w:rsid w:val="33615BDC"/>
    <w:rsid w:val="336A3748"/>
    <w:rsid w:val="33802017"/>
    <w:rsid w:val="338210D6"/>
    <w:rsid w:val="33B95A18"/>
    <w:rsid w:val="33E46445"/>
    <w:rsid w:val="33E51334"/>
    <w:rsid w:val="342A7568"/>
    <w:rsid w:val="343229C5"/>
    <w:rsid w:val="3445105A"/>
    <w:rsid w:val="3475213A"/>
    <w:rsid w:val="34F9223B"/>
    <w:rsid w:val="350579DC"/>
    <w:rsid w:val="35B3528C"/>
    <w:rsid w:val="35FB6795"/>
    <w:rsid w:val="36070CBD"/>
    <w:rsid w:val="362C6F82"/>
    <w:rsid w:val="365555C4"/>
    <w:rsid w:val="366F6862"/>
    <w:rsid w:val="36813910"/>
    <w:rsid w:val="36923271"/>
    <w:rsid w:val="36942726"/>
    <w:rsid w:val="36D6243D"/>
    <w:rsid w:val="37476E97"/>
    <w:rsid w:val="37645C9B"/>
    <w:rsid w:val="37CB7F99"/>
    <w:rsid w:val="37DE05DE"/>
    <w:rsid w:val="37EB3CC7"/>
    <w:rsid w:val="38254209"/>
    <w:rsid w:val="382A0C93"/>
    <w:rsid w:val="38D74963"/>
    <w:rsid w:val="39DF185D"/>
    <w:rsid w:val="39E15381"/>
    <w:rsid w:val="3A064C8C"/>
    <w:rsid w:val="3A13777C"/>
    <w:rsid w:val="3A2756FB"/>
    <w:rsid w:val="3A7A47BA"/>
    <w:rsid w:val="3AC41D77"/>
    <w:rsid w:val="3AE74C19"/>
    <w:rsid w:val="3B702E61"/>
    <w:rsid w:val="3B712735"/>
    <w:rsid w:val="3C756255"/>
    <w:rsid w:val="3C7B7D0F"/>
    <w:rsid w:val="3C8F1A03"/>
    <w:rsid w:val="3CA37BBD"/>
    <w:rsid w:val="3CAB404B"/>
    <w:rsid w:val="3CC03974"/>
    <w:rsid w:val="3CEF4A5A"/>
    <w:rsid w:val="3D006466"/>
    <w:rsid w:val="3D136E62"/>
    <w:rsid w:val="3D2033DA"/>
    <w:rsid w:val="3D8107EE"/>
    <w:rsid w:val="3DE47484"/>
    <w:rsid w:val="3DFA3A5D"/>
    <w:rsid w:val="3E502AD5"/>
    <w:rsid w:val="3E5B33FE"/>
    <w:rsid w:val="3E7E40DD"/>
    <w:rsid w:val="3EBB1001"/>
    <w:rsid w:val="3EBD23EB"/>
    <w:rsid w:val="3F0D2CA0"/>
    <w:rsid w:val="3F7E3672"/>
    <w:rsid w:val="3FEE25A6"/>
    <w:rsid w:val="40385055"/>
    <w:rsid w:val="403D4694"/>
    <w:rsid w:val="404C15C0"/>
    <w:rsid w:val="40E04DB3"/>
    <w:rsid w:val="40E63BC5"/>
    <w:rsid w:val="40F609B9"/>
    <w:rsid w:val="41076015"/>
    <w:rsid w:val="41145D67"/>
    <w:rsid w:val="413B5469"/>
    <w:rsid w:val="414508EB"/>
    <w:rsid w:val="419513F4"/>
    <w:rsid w:val="41B20AF4"/>
    <w:rsid w:val="41C44F45"/>
    <w:rsid w:val="41C71300"/>
    <w:rsid w:val="41E57896"/>
    <w:rsid w:val="421D55B9"/>
    <w:rsid w:val="423768CB"/>
    <w:rsid w:val="42804718"/>
    <w:rsid w:val="42C43F3A"/>
    <w:rsid w:val="43137BC8"/>
    <w:rsid w:val="43574B8F"/>
    <w:rsid w:val="43A86F10"/>
    <w:rsid w:val="43CE0A5A"/>
    <w:rsid w:val="43D4331E"/>
    <w:rsid w:val="43DA12AC"/>
    <w:rsid w:val="43FD0320"/>
    <w:rsid w:val="44020D16"/>
    <w:rsid w:val="440A1B78"/>
    <w:rsid w:val="443F7874"/>
    <w:rsid w:val="446058AE"/>
    <w:rsid w:val="447417AE"/>
    <w:rsid w:val="44A75419"/>
    <w:rsid w:val="44C815D8"/>
    <w:rsid w:val="450A2511"/>
    <w:rsid w:val="456510DB"/>
    <w:rsid w:val="45A04342"/>
    <w:rsid w:val="45D41405"/>
    <w:rsid w:val="45F34DBA"/>
    <w:rsid w:val="46640DBE"/>
    <w:rsid w:val="467B6B5D"/>
    <w:rsid w:val="46923461"/>
    <w:rsid w:val="47006F16"/>
    <w:rsid w:val="470B1C8F"/>
    <w:rsid w:val="474724EA"/>
    <w:rsid w:val="47570A6B"/>
    <w:rsid w:val="47622976"/>
    <w:rsid w:val="47626448"/>
    <w:rsid w:val="47782DAB"/>
    <w:rsid w:val="47DD637F"/>
    <w:rsid w:val="47FC3B60"/>
    <w:rsid w:val="480D4C76"/>
    <w:rsid w:val="481728B6"/>
    <w:rsid w:val="481E69BF"/>
    <w:rsid w:val="483671E0"/>
    <w:rsid w:val="48451258"/>
    <w:rsid w:val="48967C7F"/>
    <w:rsid w:val="48B12D0A"/>
    <w:rsid w:val="48FF5824"/>
    <w:rsid w:val="49216349"/>
    <w:rsid w:val="49384438"/>
    <w:rsid w:val="49581F56"/>
    <w:rsid w:val="49593137"/>
    <w:rsid w:val="49821AA6"/>
    <w:rsid w:val="49B44860"/>
    <w:rsid w:val="49C4610B"/>
    <w:rsid w:val="49C82E62"/>
    <w:rsid w:val="4A0D4DC1"/>
    <w:rsid w:val="4A3729E1"/>
    <w:rsid w:val="4A3D58E0"/>
    <w:rsid w:val="4A463EF1"/>
    <w:rsid w:val="4A4C77DF"/>
    <w:rsid w:val="4A871F75"/>
    <w:rsid w:val="4B0233A9"/>
    <w:rsid w:val="4C291448"/>
    <w:rsid w:val="4C40062D"/>
    <w:rsid w:val="4C47597C"/>
    <w:rsid w:val="4C606A1D"/>
    <w:rsid w:val="4CB22375"/>
    <w:rsid w:val="4CC06D39"/>
    <w:rsid w:val="4CCB4162"/>
    <w:rsid w:val="4CCC0113"/>
    <w:rsid w:val="4D1578B7"/>
    <w:rsid w:val="4D3D691B"/>
    <w:rsid w:val="4D665781"/>
    <w:rsid w:val="4DBA41E9"/>
    <w:rsid w:val="4E3E30FA"/>
    <w:rsid w:val="4E4F66FB"/>
    <w:rsid w:val="4F49783F"/>
    <w:rsid w:val="4F4E02EC"/>
    <w:rsid w:val="4F5F7437"/>
    <w:rsid w:val="4F9B5B7A"/>
    <w:rsid w:val="4FB55BC1"/>
    <w:rsid w:val="4FC813D8"/>
    <w:rsid w:val="50852AB2"/>
    <w:rsid w:val="50A62F04"/>
    <w:rsid w:val="50CC19FF"/>
    <w:rsid w:val="50DA12C4"/>
    <w:rsid w:val="515A3F3F"/>
    <w:rsid w:val="51772E5F"/>
    <w:rsid w:val="519547FB"/>
    <w:rsid w:val="51BB3BB6"/>
    <w:rsid w:val="523A1AA0"/>
    <w:rsid w:val="526E1028"/>
    <w:rsid w:val="52754DA9"/>
    <w:rsid w:val="52796647"/>
    <w:rsid w:val="52C553E8"/>
    <w:rsid w:val="52E33AC0"/>
    <w:rsid w:val="532A7941"/>
    <w:rsid w:val="535D4774"/>
    <w:rsid w:val="535F3A8F"/>
    <w:rsid w:val="5394125E"/>
    <w:rsid w:val="53A2397B"/>
    <w:rsid w:val="542E16B3"/>
    <w:rsid w:val="549332C4"/>
    <w:rsid w:val="54AE00FE"/>
    <w:rsid w:val="54BE47E5"/>
    <w:rsid w:val="550A0C2E"/>
    <w:rsid w:val="550F74F0"/>
    <w:rsid w:val="554051FA"/>
    <w:rsid w:val="556630AA"/>
    <w:rsid w:val="56426CE9"/>
    <w:rsid w:val="569D042A"/>
    <w:rsid w:val="56AB7C3E"/>
    <w:rsid w:val="56B51C18"/>
    <w:rsid w:val="570B1838"/>
    <w:rsid w:val="5719268F"/>
    <w:rsid w:val="57F31E03"/>
    <w:rsid w:val="58340496"/>
    <w:rsid w:val="5851771E"/>
    <w:rsid w:val="58AE2DC2"/>
    <w:rsid w:val="58ED6649"/>
    <w:rsid w:val="591E60FE"/>
    <w:rsid w:val="59652B78"/>
    <w:rsid w:val="59841B31"/>
    <w:rsid w:val="5A6F296E"/>
    <w:rsid w:val="5A985AD8"/>
    <w:rsid w:val="5AB23780"/>
    <w:rsid w:val="5ABA59AD"/>
    <w:rsid w:val="5B044F1C"/>
    <w:rsid w:val="5B3D3F8A"/>
    <w:rsid w:val="5B955B74"/>
    <w:rsid w:val="5BE72873"/>
    <w:rsid w:val="5C02145B"/>
    <w:rsid w:val="5C1933E2"/>
    <w:rsid w:val="5C3B671B"/>
    <w:rsid w:val="5C3F445D"/>
    <w:rsid w:val="5C8D01B3"/>
    <w:rsid w:val="5C961BA3"/>
    <w:rsid w:val="5CD5091E"/>
    <w:rsid w:val="5D2D3AF7"/>
    <w:rsid w:val="5D40132C"/>
    <w:rsid w:val="5D443CF5"/>
    <w:rsid w:val="5D5641BE"/>
    <w:rsid w:val="5D740137"/>
    <w:rsid w:val="5D962A9B"/>
    <w:rsid w:val="5DF846C7"/>
    <w:rsid w:val="5E420774"/>
    <w:rsid w:val="5E816327"/>
    <w:rsid w:val="5ECB647C"/>
    <w:rsid w:val="5EF928EE"/>
    <w:rsid w:val="5F0F7504"/>
    <w:rsid w:val="5F4B136B"/>
    <w:rsid w:val="5FA665A1"/>
    <w:rsid w:val="5FBB0234"/>
    <w:rsid w:val="5FD27396"/>
    <w:rsid w:val="602120CC"/>
    <w:rsid w:val="6052734D"/>
    <w:rsid w:val="60BA7C23"/>
    <w:rsid w:val="610A2DC1"/>
    <w:rsid w:val="6128253F"/>
    <w:rsid w:val="61454AC0"/>
    <w:rsid w:val="615A3AE7"/>
    <w:rsid w:val="61620180"/>
    <w:rsid w:val="61A45E36"/>
    <w:rsid w:val="61E84EAC"/>
    <w:rsid w:val="622D7A72"/>
    <w:rsid w:val="626A059E"/>
    <w:rsid w:val="62BD60DC"/>
    <w:rsid w:val="62D45B49"/>
    <w:rsid w:val="62E33669"/>
    <w:rsid w:val="630D7CD1"/>
    <w:rsid w:val="634E39AE"/>
    <w:rsid w:val="63576530"/>
    <w:rsid w:val="63690012"/>
    <w:rsid w:val="63AC35E8"/>
    <w:rsid w:val="63B36C74"/>
    <w:rsid w:val="6465452E"/>
    <w:rsid w:val="646F3406"/>
    <w:rsid w:val="646F6D06"/>
    <w:rsid w:val="649C2E62"/>
    <w:rsid w:val="64D75AB5"/>
    <w:rsid w:val="64FE275D"/>
    <w:rsid w:val="6505215C"/>
    <w:rsid w:val="650703C0"/>
    <w:rsid w:val="651915C4"/>
    <w:rsid w:val="651D5558"/>
    <w:rsid w:val="652135B9"/>
    <w:rsid w:val="652266CA"/>
    <w:rsid w:val="654841A3"/>
    <w:rsid w:val="657F58CB"/>
    <w:rsid w:val="65BA6903"/>
    <w:rsid w:val="65BF660F"/>
    <w:rsid w:val="65E67A76"/>
    <w:rsid w:val="664F27E5"/>
    <w:rsid w:val="66B200F4"/>
    <w:rsid w:val="67091A0C"/>
    <w:rsid w:val="673D7FA9"/>
    <w:rsid w:val="676A3084"/>
    <w:rsid w:val="68336E40"/>
    <w:rsid w:val="68444B01"/>
    <w:rsid w:val="68496568"/>
    <w:rsid w:val="689B3148"/>
    <w:rsid w:val="689C0BE9"/>
    <w:rsid w:val="68C60DD3"/>
    <w:rsid w:val="68D431D1"/>
    <w:rsid w:val="68F23118"/>
    <w:rsid w:val="691E5706"/>
    <w:rsid w:val="6971708A"/>
    <w:rsid w:val="69AC6EAA"/>
    <w:rsid w:val="6A2F794D"/>
    <w:rsid w:val="6A8B4654"/>
    <w:rsid w:val="6A985D4C"/>
    <w:rsid w:val="6AAF6C52"/>
    <w:rsid w:val="6AE50880"/>
    <w:rsid w:val="6BA37E39"/>
    <w:rsid w:val="6BC07C08"/>
    <w:rsid w:val="6BEF6FBB"/>
    <w:rsid w:val="6C264CF2"/>
    <w:rsid w:val="6C2C6080"/>
    <w:rsid w:val="6C3A079D"/>
    <w:rsid w:val="6CAE6C95"/>
    <w:rsid w:val="6D7926DC"/>
    <w:rsid w:val="6D795D0B"/>
    <w:rsid w:val="6D840CE8"/>
    <w:rsid w:val="6D963EFF"/>
    <w:rsid w:val="6DB40934"/>
    <w:rsid w:val="6DD8026E"/>
    <w:rsid w:val="6DFB0400"/>
    <w:rsid w:val="6E0E0F84"/>
    <w:rsid w:val="6E192634"/>
    <w:rsid w:val="6E446881"/>
    <w:rsid w:val="6E7FCBA7"/>
    <w:rsid w:val="6E8201DA"/>
    <w:rsid w:val="6E855B2D"/>
    <w:rsid w:val="6EA36ACE"/>
    <w:rsid w:val="6EDE4173"/>
    <w:rsid w:val="6EE318B3"/>
    <w:rsid w:val="6EF1FC6D"/>
    <w:rsid w:val="6F081D86"/>
    <w:rsid w:val="6F1A6664"/>
    <w:rsid w:val="6F4F630E"/>
    <w:rsid w:val="6FDA77F4"/>
    <w:rsid w:val="6FFD6380"/>
    <w:rsid w:val="6FFE5F86"/>
    <w:rsid w:val="6FFE6476"/>
    <w:rsid w:val="70626E1E"/>
    <w:rsid w:val="709A710C"/>
    <w:rsid w:val="70E16CC6"/>
    <w:rsid w:val="70E739FA"/>
    <w:rsid w:val="716B13F9"/>
    <w:rsid w:val="71D368CA"/>
    <w:rsid w:val="71F902CF"/>
    <w:rsid w:val="7212665A"/>
    <w:rsid w:val="72556331"/>
    <w:rsid w:val="72691DDC"/>
    <w:rsid w:val="72807126"/>
    <w:rsid w:val="72864C23"/>
    <w:rsid w:val="72AC4F3C"/>
    <w:rsid w:val="72D83068"/>
    <w:rsid w:val="72E13808"/>
    <w:rsid w:val="735C49DA"/>
    <w:rsid w:val="73645996"/>
    <w:rsid w:val="73DA5305"/>
    <w:rsid w:val="74281823"/>
    <w:rsid w:val="74CE2077"/>
    <w:rsid w:val="74FB166B"/>
    <w:rsid w:val="75005E4E"/>
    <w:rsid w:val="7523685B"/>
    <w:rsid w:val="75294432"/>
    <w:rsid w:val="75404290"/>
    <w:rsid w:val="75BC66C7"/>
    <w:rsid w:val="75DB773B"/>
    <w:rsid w:val="75EB41BC"/>
    <w:rsid w:val="75F61BD9"/>
    <w:rsid w:val="76004806"/>
    <w:rsid w:val="762F7641"/>
    <w:rsid w:val="765A7076"/>
    <w:rsid w:val="766E5C13"/>
    <w:rsid w:val="7672117C"/>
    <w:rsid w:val="76CA0970"/>
    <w:rsid w:val="76EC4A14"/>
    <w:rsid w:val="76F6043A"/>
    <w:rsid w:val="770301B6"/>
    <w:rsid w:val="77533ED9"/>
    <w:rsid w:val="77975BED"/>
    <w:rsid w:val="77C0324D"/>
    <w:rsid w:val="77D9562F"/>
    <w:rsid w:val="77DC4968"/>
    <w:rsid w:val="77F02658"/>
    <w:rsid w:val="78034139"/>
    <w:rsid w:val="78057ED1"/>
    <w:rsid w:val="78B43685"/>
    <w:rsid w:val="78FD367E"/>
    <w:rsid w:val="79102FB2"/>
    <w:rsid w:val="791D5182"/>
    <w:rsid w:val="79426EE3"/>
    <w:rsid w:val="79767E25"/>
    <w:rsid w:val="797F1D42"/>
    <w:rsid w:val="798D4303"/>
    <w:rsid w:val="79A100AE"/>
    <w:rsid w:val="7A0E1242"/>
    <w:rsid w:val="7AC318BC"/>
    <w:rsid w:val="7AEF072A"/>
    <w:rsid w:val="7AF84BED"/>
    <w:rsid w:val="7B1B5803"/>
    <w:rsid w:val="7B2202B6"/>
    <w:rsid w:val="7B621211"/>
    <w:rsid w:val="7C4D0D32"/>
    <w:rsid w:val="7C5022BE"/>
    <w:rsid w:val="7C7A6994"/>
    <w:rsid w:val="7CA81753"/>
    <w:rsid w:val="7CB127EC"/>
    <w:rsid w:val="7CF71342"/>
    <w:rsid w:val="7CFC4F61"/>
    <w:rsid w:val="7D5471E5"/>
    <w:rsid w:val="7D605B8A"/>
    <w:rsid w:val="7D621902"/>
    <w:rsid w:val="7D677945"/>
    <w:rsid w:val="7D817C37"/>
    <w:rsid w:val="7DBB1012"/>
    <w:rsid w:val="7DE778F5"/>
    <w:rsid w:val="7E087E38"/>
    <w:rsid w:val="7E965F37"/>
    <w:rsid w:val="7E97382D"/>
    <w:rsid w:val="7EA06B86"/>
    <w:rsid w:val="7EB570FB"/>
    <w:rsid w:val="7ED85A1B"/>
    <w:rsid w:val="7F115FAF"/>
    <w:rsid w:val="7F277C75"/>
    <w:rsid w:val="7F395683"/>
    <w:rsid w:val="7F440E62"/>
    <w:rsid w:val="7F475253"/>
    <w:rsid w:val="7F495CD1"/>
    <w:rsid w:val="7FC43C3A"/>
    <w:rsid w:val="BEF3C3EF"/>
    <w:rsid w:val="BFF59238"/>
    <w:rsid w:val="CFF72595"/>
    <w:rsid w:val="D66BE345"/>
    <w:rsid w:val="DA7F606A"/>
    <w:rsid w:val="DE7F1B0B"/>
    <w:rsid w:val="DFDFFC2C"/>
    <w:rsid w:val="E937CA94"/>
    <w:rsid w:val="F7B2A68F"/>
    <w:rsid w:val="FA7F8365"/>
    <w:rsid w:val="FF5F5FF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0" w:semiHidden="0" w:name="heading 6"/>
    <w:lsdException w:qFormat="1" w:uiPriority="0" w:semiHidden="0" w:name="heading 7"/>
    <w:lsdException w:qFormat="1" w:uiPriority="0" w:semiHidden="0" w:name="heading 8"/>
    <w:lsdException w:qFormat="1"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after="20" w:afterLines="20" w:line="288" w:lineRule="auto"/>
      <w:jc w:val="both"/>
    </w:pPr>
    <w:rPr>
      <w:rFonts w:eastAsia="宋体" w:asciiTheme="minorHAnsi" w:hAnsiTheme="minorHAnsi" w:cstheme="minorBidi"/>
      <w:kern w:val="2"/>
      <w:sz w:val="21"/>
      <w:szCs w:val="24"/>
      <w:lang w:val="en-US" w:eastAsia="zh-CN" w:bidi="ar-SA"/>
    </w:rPr>
  </w:style>
  <w:style w:type="paragraph" w:styleId="2">
    <w:name w:val="heading 1"/>
    <w:next w:val="1"/>
    <w:link w:val="47"/>
    <w:qFormat/>
    <w:uiPriority w:val="9"/>
    <w:pPr>
      <w:keepNext/>
      <w:keepLines/>
      <w:numPr>
        <w:ilvl w:val="0"/>
        <w:numId w:val="1"/>
      </w:numPr>
      <w:tabs>
        <w:tab w:val="left" w:pos="0"/>
      </w:tabs>
      <w:adjustRightInd w:val="0"/>
      <w:snapToGrid w:val="0"/>
      <w:spacing w:before="50" w:beforeLines="50" w:after="20" w:afterLines="20" w:line="288" w:lineRule="auto"/>
      <w:outlineLvl w:val="0"/>
    </w:pPr>
    <w:rPr>
      <w:rFonts w:ascii="Cambria" w:hAnsi="Cambria" w:eastAsia="宋体" w:cstheme="minorBidi"/>
      <w:b/>
      <w:bCs/>
      <w:kern w:val="44"/>
      <w:sz w:val="24"/>
      <w:szCs w:val="36"/>
      <w:lang w:val="en-US" w:eastAsia="zh-CN" w:bidi="ar-SA"/>
    </w:rPr>
  </w:style>
  <w:style w:type="paragraph" w:styleId="3">
    <w:name w:val="heading 2"/>
    <w:basedOn w:val="1"/>
    <w:next w:val="4"/>
    <w:link w:val="48"/>
    <w:unhideWhenUsed/>
    <w:qFormat/>
    <w:uiPriority w:val="9"/>
    <w:pPr>
      <w:numPr>
        <w:ilvl w:val="1"/>
        <w:numId w:val="1"/>
      </w:numPr>
      <w:tabs>
        <w:tab w:val="left" w:pos="0"/>
      </w:tabs>
      <w:spacing w:before="50" w:beforeLines="50"/>
      <w:outlineLvl w:val="1"/>
    </w:pPr>
    <w:rPr>
      <w:rFonts w:ascii="Cambria" w:hAnsi="Cambria"/>
      <w:b/>
      <w:bCs/>
      <w:szCs w:val="32"/>
    </w:rPr>
  </w:style>
  <w:style w:type="paragraph" w:styleId="5">
    <w:name w:val="heading 3"/>
    <w:basedOn w:val="1"/>
    <w:next w:val="1"/>
    <w:link w:val="49"/>
    <w:unhideWhenUsed/>
    <w:qFormat/>
    <w:uiPriority w:val="9"/>
    <w:pPr>
      <w:numPr>
        <w:ilvl w:val="2"/>
        <w:numId w:val="1"/>
      </w:numPr>
      <w:tabs>
        <w:tab w:val="left" w:pos="0"/>
        <w:tab w:val="left" w:pos="312"/>
      </w:tabs>
      <w:spacing w:before="50" w:beforeLines="50"/>
      <w:outlineLvl w:val="2"/>
    </w:pPr>
    <w:rPr>
      <w:rFonts w:ascii="Cambria" w:hAnsi="Cambria"/>
      <w:b/>
      <w:szCs w:val="30"/>
    </w:rPr>
  </w:style>
  <w:style w:type="paragraph" w:styleId="6">
    <w:name w:val="heading 4"/>
    <w:basedOn w:val="1"/>
    <w:next w:val="1"/>
    <w:link w:val="50"/>
    <w:unhideWhenUsed/>
    <w:qFormat/>
    <w:uiPriority w:val="9"/>
    <w:pPr>
      <w:numPr>
        <w:ilvl w:val="3"/>
        <w:numId w:val="1"/>
      </w:numPr>
      <w:tabs>
        <w:tab w:val="left" w:pos="0"/>
      </w:tabs>
      <w:spacing w:before="50" w:beforeLines="50"/>
      <w:outlineLvl w:val="3"/>
    </w:pPr>
    <w:rPr>
      <w:rFonts w:ascii="Cambria" w:hAnsi="Cambria"/>
      <w:b/>
      <w:bCs/>
      <w:szCs w:val="28"/>
    </w:rPr>
  </w:style>
  <w:style w:type="paragraph" w:styleId="7">
    <w:name w:val="heading 5"/>
    <w:basedOn w:val="1"/>
    <w:next w:val="1"/>
    <w:link w:val="51"/>
    <w:unhideWhenUsed/>
    <w:qFormat/>
    <w:uiPriority w:val="9"/>
    <w:pPr>
      <w:numPr>
        <w:ilvl w:val="4"/>
        <w:numId w:val="1"/>
      </w:numPr>
      <w:tabs>
        <w:tab w:val="left" w:pos="0"/>
        <w:tab w:val="left" w:pos="312"/>
      </w:tabs>
      <w:spacing w:before="50" w:beforeLines="50"/>
      <w:jc w:val="left"/>
      <w:outlineLvl w:val="4"/>
    </w:pPr>
    <w:rPr>
      <w:rFonts w:ascii="Cambria" w:hAnsi="Cambria"/>
      <w:b/>
      <w:sz w:val="18"/>
      <w:szCs w:val="22"/>
    </w:rPr>
  </w:style>
  <w:style w:type="paragraph" w:styleId="8">
    <w:name w:val="heading 6"/>
    <w:basedOn w:val="1"/>
    <w:next w:val="4"/>
    <w:link w:val="52"/>
    <w:unhideWhenUsed/>
    <w:qFormat/>
    <w:uiPriority w:val="0"/>
    <w:pPr>
      <w:numPr>
        <w:ilvl w:val="5"/>
        <w:numId w:val="1"/>
      </w:numPr>
      <w:tabs>
        <w:tab w:val="left" w:pos="0"/>
      </w:tabs>
      <w:spacing w:before="50" w:beforeLines="50"/>
      <w:outlineLvl w:val="5"/>
    </w:pPr>
    <w:rPr>
      <w:rFonts w:ascii="微软雅黑" w:hAnsi="微软雅黑"/>
      <w:b/>
      <w:bCs/>
      <w:sz w:val="24"/>
    </w:rPr>
  </w:style>
  <w:style w:type="paragraph" w:styleId="9">
    <w:name w:val="heading 7"/>
    <w:basedOn w:val="1"/>
    <w:next w:val="4"/>
    <w:link w:val="53"/>
    <w:unhideWhenUsed/>
    <w:qFormat/>
    <w:uiPriority w:val="0"/>
    <w:pPr>
      <w:numPr>
        <w:ilvl w:val="6"/>
        <w:numId w:val="1"/>
      </w:numPr>
      <w:tabs>
        <w:tab w:val="left" w:pos="0"/>
      </w:tabs>
      <w:spacing w:before="50" w:beforeLines="50"/>
      <w:jc w:val="left"/>
      <w:outlineLvl w:val="6"/>
    </w:pPr>
    <w:rPr>
      <w:rFonts w:ascii="微软雅黑" w:hAnsi="微软雅黑"/>
      <w:b/>
      <w:bCs/>
      <w:sz w:val="24"/>
    </w:rPr>
  </w:style>
  <w:style w:type="paragraph" w:styleId="10">
    <w:name w:val="heading 8"/>
    <w:basedOn w:val="1"/>
    <w:next w:val="4"/>
    <w:link w:val="54"/>
    <w:unhideWhenUsed/>
    <w:qFormat/>
    <w:uiPriority w:val="0"/>
    <w:pPr>
      <w:numPr>
        <w:ilvl w:val="7"/>
        <w:numId w:val="1"/>
      </w:numPr>
      <w:tabs>
        <w:tab w:val="left" w:pos="0"/>
      </w:tabs>
      <w:spacing w:before="50" w:beforeLines="50"/>
      <w:outlineLvl w:val="7"/>
    </w:pPr>
    <w:rPr>
      <w:rFonts w:ascii="微软雅黑" w:hAnsi="微软雅黑" w:cstheme="majorBidi"/>
      <w:b/>
      <w:bCs/>
      <w:sz w:val="24"/>
    </w:rPr>
  </w:style>
  <w:style w:type="paragraph" w:styleId="11">
    <w:name w:val="heading 9"/>
    <w:basedOn w:val="1"/>
    <w:next w:val="4"/>
    <w:link w:val="55"/>
    <w:unhideWhenUsed/>
    <w:qFormat/>
    <w:uiPriority w:val="0"/>
    <w:pPr>
      <w:numPr>
        <w:ilvl w:val="8"/>
        <w:numId w:val="1"/>
      </w:numPr>
      <w:tabs>
        <w:tab w:val="left" w:pos="0"/>
      </w:tabs>
      <w:spacing w:before="50" w:beforeLines="50"/>
      <w:outlineLvl w:val="8"/>
    </w:pPr>
    <w:rPr>
      <w:rFonts w:ascii="微软雅黑" w:hAnsi="微软雅黑" w:cstheme="majorBidi"/>
      <w:b/>
      <w:bCs/>
      <w:sz w:val="24"/>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4">
    <w:name w:val="Body Text"/>
    <w:basedOn w:val="1"/>
    <w:link w:val="114"/>
    <w:qFormat/>
    <w:uiPriority w:val="0"/>
    <w:rPr>
      <w:rFonts w:ascii="微软雅黑" w:hAnsi="微软雅黑"/>
      <w:szCs w:val="21"/>
    </w:rPr>
  </w:style>
  <w:style w:type="paragraph" w:styleId="12">
    <w:name w:val="Normal Indent"/>
    <w:basedOn w:val="1"/>
    <w:next w:val="1"/>
    <w:link w:val="80"/>
    <w:qFormat/>
    <w:uiPriority w:val="0"/>
    <w:pPr>
      <w:ind w:firstLine="420" w:firstLineChars="200"/>
    </w:pPr>
  </w:style>
  <w:style w:type="paragraph" w:styleId="13">
    <w:name w:val="caption"/>
    <w:basedOn w:val="1"/>
    <w:next w:val="1"/>
    <w:unhideWhenUsed/>
    <w:qFormat/>
    <w:uiPriority w:val="0"/>
    <w:rPr>
      <w:rFonts w:ascii="微软雅黑" w:hAnsi="微软雅黑" w:cs="Times New Roman"/>
      <w:sz w:val="20"/>
      <w:szCs w:val="20"/>
    </w:rPr>
  </w:style>
  <w:style w:type="paragraph" w:styleId="14">
    <w:name w:val="annotation text"/>
    <w:basedOn w:val="1"/>
    <w:link w:val="260"/>
    <w:qFormat/>
    <w:uiPriority w:val="0"/>
    <w:pPr>
      <w:jc w:val="left"/>
    </w:pPr>
    <w:rPr>
      <w:rFonts w:ascii="微软雅黑" w:hAnsi="微软雅黑"/>
      <w:color w:val="262626" w:themeColor="text1" w:themeTint="D9"/>
      <w:szCs w:val="21"/>
      <w14:textFill>
        <w14:solidFill>
          <w14:schemeClr w14:val="tx1">
            <w14:lumMod w14:val="85000"/>
            <w14:lumOff w14:val="15000"/>
          </w14:schemeClr>
        </w14:solidFill>
      </w14:textFill>
    </w:rPr>
  </w:style>
  <w:style w:type="paragraph" w:styleId="15">
    <w:name w:val="Salutation"/>
    <w:basedOn w:val="1"/>
    <w:next w:val="1"/>
    <w:qFormat/>
    <w:uiPriority w:val="0"/>
    <w:rPr>
      <w:rFonts w:ascii="微软雅黑" w:hAnsi="微软雅黑"/>
      <w:szCs w:val="21"/>
    </w:rPr>
  </w:style>
  <w:style w:type="paragraph" w:styleId="16">
    <w:name w:val="Body Text Indent"/>
    <w:basedOn w:val="1"/>
    <w:next w:val="12"/>
    <w:link w:val="119"/>
    <w:qFormat/>
    <w:uiPriority w:val="0"/>
    <w:pPr>
      <w:spacing w:after="120" w:afterLines="0"/>
      <w:ind w:left="420" w:leftChars="200"/>
    </w:pPr>
  </w:style>
  <w:style w:type="paragraph" w:styleId="17">
    <w:name w:val="toc 3"/>
    <w:basedOn w:val="1"/>
    <w:next w:val="1"/>
    <w:qFormat/>
    <w:uiPriority w:val="0"/>
    <w:pPr>
      <w:ind w:left="840" w:leftChars="400"/>
    </w:pPr>
  </w:style>
  <w:style w:type="paragraph" w:styleId="18">
    <w:name w:val="Plain Text"/>
    <w:basedOn w:val="1"/>
    <w:link w:val="109"/>
    <w:qFormat/>
    <w:uiPriority w:val="0"/>
    <w:rPr>
      <w:rFonts w:ascii="宋体" w:hAnsi="Courier New"/>
    </w:rPr>
  </w:style>
  <w:style w:type="paragraph" w:styleId="19">
    <w:name w:val="Date"/>
    <w:basedOn w:val="1"/>
    <w:next w:val="1"/>
    <w:link w:val="110"/>
    <w:qFormat/>
    <w:uiPriority w:val="0"/>
    <w:pPr>
      <w:jc w:val="right"/>
    </w:pPr>
    <w:rPr>
      <w:rFonts w:ascii="微软雅黑" w:hAnsi="微软雅黑"/>
      <w:color w:val="262626" w:themeColor="text1" w:themeTint="D9"/>
      <w:szCs w:val="21"/>
      <w14:textFill>
        <w14:solidFill>
          <w14:schemeClr w14:val="tx1">
            <w14:lumMod w14:val="85000"/>
            <w14:lumOff w14:val="15000"/>
          </w14:schemeClr>
        </w14:solidFill>
      </w14:textFill>
    </w:rPr>
  </w:style>
  <w:style w:type="paragraph" w:styleId="20">
    <w:name w:val="endnote text"/>
    <w:basedOn w:val="1"/>
    <w:qFormat/>
    <w:uiPriority w:val="0"/>
    <w:pPr>
      <w:jc w:val="left"/>
    </w:pPr>
    <w:rPr>
      <w:rFonts w:ascii="微软雅黑" w:hAnsi="微软雅黑"/>
      <w:color w:val="262626" w:themeColor="text1" w:themeTint="D9"/>
      <w:szCs w:val="21"/>
      <w14:textFill>
        <w14:solidFill>
          <w14:schemeClr w14:val="tx1">
            <w14:lumMod w14:val="85000"/>
            <w14:lumOff w14:val="15000"/>
          </w14:schemeClr>
        </w14:solidFill>
      </w14:textFill>
    </w:rPr>
  </w:style>
  <w:style w:type="paragraph" w:styleId="21">
    <w:name w:val="Balloon Text"/>
    <w:basedOn w:val="1"/>
    <w:qFormat/>
    <w:uiPriority w:val="0"/>
    <w:rPr>
      <w:rFonts w:ascii="微软雅黑" w:hAnsi="微软雅黑"/>
      <w:sz w:val="18"/>
      <w:szCs w:val="18"/>
    </w:rPr>
  </w:style>
  <w:style w:type="paragraph" w:styleId="22">
    <w:name w:val="footer"/>
    <w:basedOn w:val="1"/>
    <w:link w:val="66"/>
    <w:qFormat/>
    <w:uiPriority w:val="0"/>
    <w:pPr>
      <w:tabs>
        <w:tab w:val="center" w:pos="4153"/>
        <w:tab w:val="right" w:pos="8306"/>
      </w:tabs>
      <w:jc w:val="left"/>
    </w:pPr>
    <w:rPr>
      <w:rFonts w:ascii="微软雅黑" w:hAnsi="微软雅黑"/>
      <w:sz w:val="18"/>
      <w:szCs w:val="18"/>
    </w:rPr>
  </w:style>
  <w:style w:type="paragraph" w:styleId="23">
    <w:name w:val="header"/>
    <w:basedOn w:val="1"/>
    <w:link w:val="65"/>
    <w:qFormat/>
    <w:uiPriority w:val="0"/>
    <w:pPr>
      <w:pBdr>
        <w:top w:val="none" w:color="auto" w:sz="0" w:space="1"/>
        <w:left w:val="none" w:color="auto" w:sz="0" w:space="4"/>
        <w:bottom w:val="none" w:color="auto" w:sz="0" w:space="1"/>
        <w:right w:val="none" w:color="auto" w:sz="0" w:space="4"/>
      </w:pBdr>
      <w:tabs>
        <w:tab w:val="center" w:pos="4153"/>
        <w:tab w:val="right" w:pos="8306"/>
      </w:tabs>
      <w:spacing w:line="240" w:lineRule="auto"/>
    </w:pPr>
    <w:rPr>
      <w:rFonts w:ascii="微软雅黑" w:hAnsi="微软雅黑"/>
      <w:sz w:val="18"/>
      <w:szCs w:val="18"/>
    </w:rPr>
  </w:style>
  <w:style w:type="paragraph" w:styleId="24">
    <w:name w:val="Signature"/>
    <w:basedOn w:val="1"/>
    <w:qFormat/>
    <w:uiPriority w:val="0"/>
    <w:pPr>
      <w:jc w:val="right"/>
    </w:pPr>
    <w:rPr>
      <w:rFonts w:ascii="微软雅黑" w:hAnsi="微软雅黑"/>
      <w:color w:val="262626" w:themeColor="text1" w:themeTint="D9"/>
      <w:szCs w:val="21"/>
      <w14:textFill>
        <w14:solidFill>
          <w14:schemeClr w14:val="tx1">
            <w14:lumMod w14:val="85000"/>
            <w14:lumOff w14:val="15000"/>
          </w14:schemeClr>
        </w14:solidFill>
      </w14:textFill>
    </w:rPr>
  </w:style>
  <w:style w:type="paragraph" w:styleId="25">
    <w:name w:val="toc 1"/>
    <w:basedOn w:val="1"/>
    <w:next w:val="1"/>
    <w:qFormat/>
    <w:uiPriority w:val="39"/>
  </w:style>
  <w:style w:type="paragraph" w:styleId="26">
    <w:name w:val="Subtitle"/>
    <w:basedOn w:val="1"/>
    <w:next w:val="4"/>
    <w:link w:val="57"/>
    <w:qFormat/>
    <w:uiPriority w:val="0"/>
    <w:pPr>
      <w:spacing w:after="100" w:afterLines="100" w:line="240" w:lineRule="auto"/>
      <w:jc w:val="center"/>
    </w:pPr>
    <w:rPr>
      <w:rFonts w:ascii="微软雅黑" w:hAnsi="微软雅黑"/>
      <w:b/>
      <w:bCs/>
      <w:kern w:val="28"/>
      <w:sz w:val="36"/>
      <w:szCs w:val="36"/>
    </w:rPr>
  </w:style>
  <w:style w:type="paragraph" w:styleId="27">
    <w:name w:val="footnote text"/>
    <w:basedOn w:val="1"/>
    <w:qFormat/>
    <w:uiPriority w:val="0"/>
    <w:pPr>
      <w:jc w:val="left"/>
    </w:pPr>
    <w:rPr>
      <w:rFonts w:ascii="微软雅黑" w:hAnsi="微软雅黑" w:eastAsia="微软雅黑"/>
      <w:sz w:val="24"/>
    </w:rPr>
  </w:style>
  <w:style w:type="paragraph" w:styleId="28">
    <w:name w:val="toc 2"/>
    <w:basedOn w:val="1"/>
    <w:next w:val="1"/>
    <w:qFormat/>
    <w:uiPriority w:val="39"/>
    <w:pPr>
      <w:ind w:left="420" w:leftChars="200"/>
    </w:pPr>
  </w:style>
  <w:style w:type="paragraph" w:styleId="29">
    <w:name w:val="Normal (Web)"/>
    <w:basedOn w:val="1"/>
    <w:qFormat/>
    <w:uiPriority w:val="0"/>
    <w:rPr>
      <w:rFonts w:ascii="微软雅黑" w:hAnsi="微软雅黑"/>
      <w:sz w:val="24"/>
    </w:rPr>
  </w:style>
  <w:style w:type="paragraph" w:styleId="30">
    <w:name w:val="Title"/>
    <w:basedOn w:val="1"/>
    <w:link w:val="56"/>
    <w:qFormat/>
    <w:uiPriority w:val="10"/>
    <w:pPr>
      <w:spacing w:after="100" w:afterLines="100"/>
      <w:jc w:val="center"/>
    </w:pPr>
    <w:rPr>
      <w:rFonts w:ascii="微软雅黑" w:hAnsi="微软雅黑"/>
      <w:b/>
      <w:bCs/>
      <w:sz w:val="48"/>
      <w:szCs w:val="48"/>
    </w:rPr>
  </w:style>
  <w:style w:type="paragraph" w:styleId="31">
    <w:name w:val="annotation subject"/>
    <w:basedOn w:val="14"/>
    <w:next w:val="14"/>
    <w:link w:val="261"/>
    <w:qFormat/>
    <w:uiPriority w:val="0"/>
    <w:rPr>
      <w:b/>
      <w:bCs/>
      <w:color w:val="262626" w:themeColor="text1" w:themeTint="D9"/>
      <w14:textFill>
        <w14:solidFill>
          <w14:schemeClr w14:val="tx1">
            <w14:lumMod w14:val="85000"/>
            <w14:lumOff w14:val="15000"/>
          </w14:schemeClr>
        </w14:solidFill>
      </w14:textFill>
    </w:rPr>
  </w:style>
  <w:style w:type="paragraph" w:styleId="32">
    <w:name w:val="Body Text First Indent"/>
    <w:basedOn w:val="4"/>
    <w:next w:val="1"/>
    <w:link w:val="121"/>
    <w:qFormat/>
    <w:uiPriority w:val="0"/>
    <w:pPr>
      <w:ind w:firstLine="420" w:firstLineChars="100"/>
    </w:pPr>
  </w:style>
  <w:style w:type="paragraph" w:styleId="33">
    <w:name w:val="Body Text First Indent 2"/>
    <w:basedOn w:val="16"/>
    <w:next w:val="1"/>
    <w:link w:val="120"/>
    <w:qFormat/>
    <w:uiPriority w:val="0"/>
    <w:pPr>
      <w:ind w:firstLine="420" w:firstLineChars="200"/>
    </w:pPr>
  </w:style>
  <w:style w:type="table" w:styleId="35">
    <w:name w:val="Table Grid"/>
    <w:basedOn w:val="3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basedOn w:val="36"/>
    <w:qFormat/>
    <w:uiPriority w:val="22"/>
    <w:rPr>
      <w:rFonts w:ascii="微软雅黑" w:hAnsi="微软雅黑" w:eastAsia="微软雅黑"/>
      <w:b/>
      <w:color w:val="auto"/>
      <w:u w:val="single"/>
    </w:rPr>
  </w:style>
  <w:style w:type="character" w:styleId="38">
    <w:name w:val="endnote reference"/>
    <w:basedOn w:val="36"/>
    <w:qFormat/>
    <w:uiPriority w:val="0"/>
    <w:rPr>
      <w:rFonts w:ascii="微软雅黑" w:hAnsi="微软雅黑" w:eastAsia="微软雅黑"/>
      <w:color w:val="262626" w:themeColor="text1" w:themeTint="D9"/>
      <w:vertAlign w:val="superscript"/>
      <w14:textFill>
        <w14:solidFill>
          <w14:schemeClr w14:val="tx1">
            <w14:lumMod w14:val="85000"/>
            <w14:lumOff w14:val="15000"/>
          </w14:schemeClr>
        </w14:solidFill>
      </w14:textFill>
    </w:rPr>
  </w:style>
  <w:style w:type="character" w:styleId="39">
    <w:name w:val="page number"/>
    <w:qFormat/>
    <w:uiPriority w:val="0"/>
    <w:rPr>
      <w:rFonts w:ascii="微软雅黑" w:hAnsi="微软雅黑" w:eastAsia="微软雅黑" w:cs="Times New Roman"/>
      <w:color w:val="262626" w:themeColor="text1" w:themeTint="D9"/>
      <w:spacing w:val="-6"/>
      <w:kern w:val="2"/>
      <w:sz w:val="21"/>
      <w:szCs w:val="21"/>
      <w:lang w:val="en-US" w:eastAsia="zh-CN" w:bidi="ar-SA"/>
      <w14:textFill>
        <w14:solidFill>
          <w14:schemeClr w14:val="tx1">
            <w14:lumMod w14:val="85000"/>
            <w14:lumOff w14:val="15000"/>
          </w14:schemeClr>
        </w14:solidFill>
      </w14:textFill>
    </w:rPr>
  </w:style>
  <w:style w:type="character" w:styleId="40">
    <w:name w:val="FollowedHyperlink"/>
    <w:basedOn w:val="36"/>
    <w:qFormat/>
    <w:uiPriority w:val="0"/>
    <w:rPr>
      <w:rFonts w:ascii="微软雅黑" w:hAnsi="微软雅黑" w:eastAsia="微软雅黑" w:cs="Times New Roman"/>
      <w:color w:val="800080"/>
      <w:spacing w:val="-6"/>
      <w:kern w:val="2"/>
      <w:sz w:val="24"/>
      <w:szCs w:val="24"/>
      <w:u w:val="single"/>
      <w:lang w:val="en-US" w:eastAsia="zh-CN" w:bidi="ar-SA"/>
    </w:rPr>
  </w:style>
  <w:style w:type="character" w:styleId="41">
    <w:name w:val="Emphasis"/>
    <w:basedOn w:val="36"/>
    <w:qFormat/>
    <w:uiPriority w:val="20"/>
    <w:rPr>
      <w:rFonts w:ascii="Arial" w:hAnsi="Arial" w:eastAsia="微软雅黑"/>
      <w:b/>
      <w:bCs/>
      <w:i/>
      <w:color w:val="auto"/>
      <w:sz w:val="24"/>
      <w:szCs w:val="22"/>
    </w:rPr>
  </w:style>
  <w:style w:type="character" w:styleId="42">
    <w:name w:val="Hyperlink"/>
    <w:basedOn w:val="36"/>
    <w:qFormat/>
    <w:uiPriority w:val="99"/>
    <w:rPr>
      <w:rFonts w:ascii="微软雅黑" w:hAnsi="微软雅黑" w:eastAsia="微软雅黑" w:cs="Times New Roman"/>
      <w:caps/>
      <w:color w:val="0000FF"/>
      <w:spacing w:val="-6"/>
      <w:kern w:val="2"/>
      <w:sz w:val="24"/>
      <w:szCs w:val="24"/>
      <w:u w:val="single"/>
      <w:lang w:val="en-US" w:eastAsia="zh-CN" w:bidi="ar-SA"/>
    </w:rPr>
  </w:style>
  <w:style w:type="character" w:styleId="43">
    <w:name w:val="annotation reference"/>
    <w:basedOn w:val="36"/>
    <w:qFormat/>
    <w:uiPriority w:val="0"/>
    <w:rPr>
      <w:rFonts w:ascii="微软雅黑" w:hAnsi="微软雅黑" w:eastAsia="微软雅黑"/>
      <w:color w:val="262626" w:themeColor="text1" w:themeTint="D9"/>
      <w:sz w:val="21"/>
      <w:szCs w:val="21"/>
      <w14:textFill>
        <w14:solidFill>
          <w14:schemeClr w14:val="tx1">
            <w14:lumMod w14:val="85000"/>
            <w14:lumOff w14:val="15000"/>
          </w14:schemeClr>
        </w14:solidFill>
      </w14:textFill>
    </w:rPr>
  </w:style>
  <w:style w:type="character" w:styleId="44">
    <w:name w:val="footnote reference"/>
    <w:basedOn w:val="36"/>
    <w:qFormat/>
    <w:uiPriority w:val="0"/>
    <w:rPr>
      <w:rFonts w:ascii="微软雅黑" w:hAnsi="微软雅黑" w:eastAsia="微软雅黑"/>
      <w:color w:val="262626" w:themeColor="text1" w:themeTint="D9"/>
      <w:vertAlign w:val="superscript"/>
      <w14:textFill>
        <w14:solidFill>
          <w14:schemeClr w14:val="tx1">
            <w14:lumMod w14:val="85000"/>
            <w14:lumOff w14:val="15000"/>
          </w14:schemeClr>
        </w14:solidFill>
      </w14:textFill>
    </w:rPr>
  </w:style>
  <w:style w:type="paragraph" w:customStyle="1" w:styleId="45">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46">
    <w:name w:val="正文_9"/>
    <w:qFormat/>
    <w:uiPriority w:val="0"/>
    <w:pPr>
      <w:widowControl w:val="0"/>
      <w:spacing w:line="400" w:lineRule="atLeast"/>
      <w:jc w:val="both"/>
    </w:pPr>
    <w:rPr>
      <w:rFonts w:ascii="Times New Roman" w:hAnsi="Times New Roman" w:eastAsia="宋体" w:cs="Times New Roman"/>
      <w:sz w:val="21"/>
      <w:lang w:val="en-US" w:eastAsia="zh-CN" w:bidi="ar-SA"/>
    </w:rPr>
  </w:style>
  <w:style w:type="character" w:customStyle="1" w:styleId="47">
    <w:name w:val="标题 1 字符"/>
    <w:link w:val="2"/>
    <w:qFormat/>
    <w:uiPriority w:val="9"/>
    <w:rPr>
      <w:rFonts w:ascii="Cambria" w:hAnsi="Cambria" w:cstheme="minorBidi"/>
      <w:b/>
      <w:bCs/>
      <w:kern w:val="44"/>
      <w:sz w:val="24"/>
      <w:szCs w:val="36"/>
    </w:rPr>
  </w:style>
  <w:style w:type="character" w:customStyle="1" w:styleId="48">
    <w:name w:val="标题 2 字符"/>
    <w:link w:val="3"/>
    <w:qFormat/>
    <w:uiPriority w:val="9"/>
    <w:rPr>
      <w:rFonts w:ascii="Cambria" w:hAnsi="Cambria" w:cstheme="minorBidi"/>
      <w:b/>
      <w:bCs/>
      <w:kern w:val="2"/>
      <w:sz w:val="21"/>
      <w:szCs w:val="32"/>
    </w:rPr>
  </w:style>
  <w:style w:type="character" w:customStyle="1" w:styleId="49">
    <w:name w:val="标题 3 字符"/>
    <w:link w:val="5"/>
    <w:qFormat/>
    <w:uiPriority w:val="9"/>
    <w:rPr>
      <w:rFonts w:ascii="Cambria" w:hAnsi="Cambria" w:cstheme="minorBidi"/>
      <w:b/>
      <w:kern w:val="2"/>
      <w:sz w:val="21"/>
      <w:szCs w:val="30"/>
    </w:rPr>
  </w:style>
  <w:style w:type="character" w:customStyle="1" w:styleId="50">
    <w:name w:val="标题 4 字符"/>
    <w:link w:val="6"/>
    <w:qFormat/>
    <w:uiPriority w:val="9"/>
    <w:rPr>
      <w:rFonts w:ascii="Cambria" w:hAnsi="Cambria" w:cstheme="minorBidi"/>
      <w:b/>
      <w:bCs/>
      <w:kern w:val="2"/>
      <w:sz w:val="21"/>
      <w:szCs w:val="28"/>
    </w:rPr>
  </w:style>
  <w:style w:type="character" w:customStyle="1" w:styleId="51">
    <w:name w:val="标题 5 字符"/>
    <w:link w:val="7"/>
    <w:qFormat/>
    <w:uiPriority w:val="9"/>
    <w:rPr>
      <w:rFonts w:ascii="Cambria" w:hAnsi="Cambria" w:cstheme="minorBidi"/>
      <w:b/>
      <w:kern w:val="2"/>
      <w:sz w:val="18"/>
      <w:szCs w:val="22"/>
    </w:rPr>
  </w:style>
  <w:style w:type="character" w:customStyle="1" w:styleId="52">
    <w:name w:val="标题 6 字符"/>
    <w:link w:val="8"/>
    <w:qFormat/>
    <w:uiPriority w:val="0"/>
    <w:rPr>
      <w:rFonts w:ascii="微软雅黑" w:hAnsi="微软雅黑" w:cstheme="minorBidi"/>
      <w:b/>
      <w:bCs/>
      <w:kern w:val="2"/>
      <w:sz w:val="24"/>
      <w:szCs w:val="24"/>
    </w:rPr>
  </w:style>
  <w:style w:type="character" w:customStyle="1" w:styleId="53">
    <w:name w:val="标题 7 字符"/>
    <w:link w:val="9"/>
    <w:qFormat/>
    <w:uiPriority w:val="0"/>
    <w:rPr>
      <w:rFonts w:ascii="微软雅黑" w:hAnsi="微软雅黑" w:cstheme="minorBidi"/>
      <w:b/>
      <w:bCs/>
      <w:kern w:val="2"/>
      <w:sz w:val="24"/>
      <w:szCs w:val="24"/>
    </w:rPr>
  </w:style>
  <w:style w:type="character" w:customStyle="1" w:styleId="54">
    <w:name w:val="标题 8 字符"/>
    <w:link w:val="10"/>
    <w:qFormat/>
    <w:uiPriority w:val="0"/>
    <w:rPr>
      <w:rFonts w:ascii="微软雅黑" w:hAnsi="微软雅黑" w:cstheme="majorBidi"/>
      <w:b/>
      <w:bCs/>
      <w:kern w:val="2"/>
      <w:sz w:val="24"/>
      <w:szCs w:val="24"/>
    </w:rPr>
  </w:style>
  <w:style w:type="character" w:customStyle="1" w:styleId="55">
    <w:name w:val="标题 9 字符"/>
    <w:link w:val="11"/>
    <w:qFormat/>
    <w:uiPriority w:val="0"/>
    <w:rPr>
      <w:rFonts w:ascii="微软雅黑" w:hAnsi="微软雅黑" w:cstheme="majorBidi"/>
      <w:b/>
      <w:bCs/>
      <w:kern w:val="2"/>
      <w:sz w:val="24"/>
      <w:szCs w:val="24"/>
    </w:rPr>
  </w:style>
  <w:style w:type="character" w:customStyle="1" w:styleId="56">
    <w:name w:val="标题 字符"/>
    <w:link w:val="30"/>
    <w:qFormat/>
    <w:uiPriority w:val="10"/>
    <w:rPr>
      <w:rFonts w:ascii="微软雅黑" w:hAnsi="微软雅黑"/>
      <w:b/>
      <w:bCs/>
      <w:sz w:val="48"/>
      <w:szCs w:val="48"/>
    </w:rPr>
  </w:style>
  <w:style w:type="character" w:customStyle="1" w:styleId="57">
    <w:name w:val="副标题 字符"/>
    <w:link w:val="26"/>
    <w:qFormat/>
    <w:uiPriority w:val="11"/>
    <w:rPr>
      <w:rFonts w:ascii="微软雅黑" w:hAnsi="微软雅黑"/>
      <w:b/>
      <w:bCs/>
      <w:kern w:val="28"/>
      <w:sz w:val="36"/>
      <w:szCs w:val="36"/>
    </w:rPr>
  </w:style>
  <w:style w:type="paragraph" w:styleId="58">
    <w:name w:val="Quote"/>
    <w:basedOn w:val="1"/>
    <w:next w:val="1"/>
    <w:link w:val="59"/>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59">
    <w:name w:val="引用 字符"/>
    <w:basedOn w:val="36"/>
    <w:link w:val="58"/>
    <w:qFormat/>
    <w:uiPriority w:val="29"/>
    <w:rPr>
      <w:i/>
      <w:iCs/>
      <w:color w:val="404040" w:themeColor="text1" w:themeTint="BF"/>
      <w14:textFill>
        <w14:solidFill>
          <w14:schemeClr w14:val="tx1">
            <w14:lumMod w14:val="75000"/>
            <w14:lumOff w14:val="25000"/>
          </w14:schemeClr>
        </w14:solidFill>
      </w14:textFill>
    </w:rPr>
  </w:style>
  <w:style w:type="paragraph" w:styleId="60">
    <w:name w:val="List Paragraph"/>
    <w:basedOn w:val="1"/>
    <w:link w:val="123"/>
    <w:qFormat/>
    <w:uiPriority w:val="34"/>
    <w:pPr>
      <w:ind w:left="720"/>
      <w:contextualSpacing/>
    </w:pPr>
  </w:style>
  <w:style w:type="character" w:customStyle="1" w:styleId="61">
    <w:name w:val="明显强调1"/>
    <w:basedOn w:val="36"/>
    <w:qFormat/>
    <w:uiPriority w:val="21"/>
    <w:rPr>
      <w:i/>
      <w:iCs/>
      <w:color w:val="104862" w:themeColor="accent1" w:themeShade="BF"/>
    </w:rPr>
  </w:style>
  <w:style w:type="paragraph" w:styleId="62">
    <w:name w:val="Intense Quote"/>
    <w:basedOn w:val="1"/>
    <w:next w:val="1"/>
    <w:link w:val="63"/>
    <w:qFormat/>
    <w:uiPriority w:val="30"/>
    <w:pPr>
      <w:pBdr>
        <w:top w:val="single" w:color="0F4761" w:themeColor="accent1" w:themeShade="BF" w:sz="4" w:space="10"/>
        <w:bottom w:val="single" w:color="0F4761" w:themeColor="accent1" w:themeShade="BF" w:sz="4" w:space="10"/>
      </w:pBdr>
      <w:spacing w:before="360" w:after="360"/>
      <w:ind w:left="864" w:right="864"/>
      <w:jc w:val="center"/>
    </w:pPr>
    <w:rPr>
      <w:i/>
      <w:iCs/>
      <w:color w:val="104862" w:themeColor="accent1" w:themeShade="BF"/>
    </w:rPr>
  </w:style>
  <w:style w:type="character" w:customStyle="1" w:styleId="63">
    <w:name w:val="明显引用 字符"/>
    <w:basedOn w:val="36"/>
    <w:link w:val="62"/>
    <w:qFormat/>
    <w:uiPriority w:val="30"/>
    <w:rPr>
      <w:i/>
      <w:iCs/>
      <w:color w:val="104862" w:themeColor="accent1" w:themeShade="BF"/>
    </w:rPr>
  </w:style>
  <w:style w:type="character" w:customStyle="1" w:styleId="64">
    <w:name w:val="明显参考1"/>
    <w:basedOn w:val="36"/>
    <w:qFormat/>
    <w:uiPriority w:val="32"/>
    <w:rPr>
      <w:b/>
      <w:bCs/>
      <w:smallCaps/>
      <w:color w:val="104862" w:themeColor="accent1" w:themeShade="BF"/>
      <w:spacing w:val="5"/>
    </w:rPr>
  </w:style>
  <w:style w:type="character" w:customStyle="1" w:styleId="65">
    <w:name w:val="页眉 字符"/>
    <w:link w:val="23"/>
    <w:qFormat/>
    <w:uiPriority w:val="99"/>
    <w:rPr>
      <w:rFonts w:ascii="微软雅黑" w:hAnsi="微软雅黑"/>
      <w:sz w:val="18"/>
      <w:szCs w:val="18"/>
    </w:rPr>
  </w:style>
  <w:style w:type="character" w:customStyle="1" w:styleId="66">
    <w:name w:val="页脚 字符"/>
    <w:link w:val="22"/>
    <w:qFormat/>
    <w:uiPriority w:val="99"/>
    <w:rPr>
      <w:rFonts w:ascii="微软雅黑" w:hAnsi="微软雅黑"/>
      <w:sz w:val="18"/>
      <w:szCs w:val="18"/>
    </w:rPr>
  </w:style>
  <w:style w:type="paragraph" w:customStyle="1" w:styleId="67">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68">
    <w:name w:val="正文_1"/>
    <w:qFormat/>
    <w:uiPriority w:val="0"/>
    <w:pPr>
      <w:widowControl w:val="0"/>
      <w:jc w:val="both"/>
    </w:pPr>
    <w:rPr>
      <w:rFonts w:ascii="等线" w:hAnsi="等线" w:eastAsia="等线" w:cs="Times New Roman"/>
      <w:kern w:val="2"/>
      <w:sz w:val="21"/>
      <w:szCs w:val="22"/>
      <w:lang w:val="en-US" w:eastAsia="zh-CN" w:bidi="ar-SA"/>
    </w:rPr>
  </w:style>
  <w:style w:type="paragraph" w:customStyle="1" w:styleId="69">
    <w:name w:val="正文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70">
    <w:name w:val="标题 1_1"/>
    <w:basedOn w:val="71"/>
    <w:next w:val="71"/>
    <w:link w:val="72"/>
    <w:qFormat/>
    <w:uiPriority w:val="0"/>
  </w:style>
  <w:style w:type="paragraph" w:customStyle="1" w:styleId="71">
    <w:name w:val="正文_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72">
    <w:name w:val="标题 1 字符_1"/>
    <w:link w:val="70"/>
    <w:qFormat/>
    <w:uiPriority w:val="0"/>
    <w:rPr>
      <w:rFonts w:ascii="Times New Roman" w:hAnsi="Times New Roman" w:eastAsia="宋体" w:cs="Times New Roman"/>
      <w:szCs w:val="20"/>
    </w:rPr>
  </w:style>
  <w:style w:type="paragraph" w:customStyle="1" w:styleId="73">
    <w:name w:val="正文_2_0"/>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74">
    <w:name w:val="超链接_0"/>
    <w:unhideWhenUsed/>
    <w:qFormat/>
    <w:uiPriority w:val="99"/>
    <w:rPr>
      <w:rFonts w:ascii="Times New Roman" w:hAnsi="Times New Roman"/>
      <w:color w:val="0000FF"/>
      <w:u w:val="single"/>
    </w:rPr>
  </w:style>
  <w:style w:type="character" w:customStyle="1" w:styleId="75">
    <w:name w:val="超链接_1"/>
    <w:unhideWhenUsed/>
    <w:qFormat/>
    <w:uiPriority w:val="99"/>
    <w:rPr>
      <w:rFonts w:ascii="等线" w:hAnsi="等线" w:eastAsia="等线"/>
      <w:color w:val="0563C1"/>
      <w:u w:val="single"/>
    </w:rPr>
  </w:style>
  <w:style w:type="paragraph" w:customStyle="1" w:styleId="76">
    <w:name w:val="样式 标题 2 + Times New Roman 四号 非加粗 段前: 5 磅 段后: 0 磅 行距: 固定值 20..."/>
    <w:basedOn w:val="77"/>
    <w:qFormat/>
    <w:uiPriority w:val="0"/>
    <w:pPr>
      <w:keepNext/>
      <w:keepLines/>
      <w:spacing w:before="100" w:line="400" w:lineRule="exact"/>
      <w:outlineLvl w:val="1"/>
    </w:pPr>
    <w:rPr>
      <w:rFonts w:eastAsia="黑体" w:cs="宋体"/>
      <w:kern w:val="0"/>
      <w:sz w:val="28"/>
    </w:rPr>
  </w:style>
  <w:style w:type="paragraph" w:customStyle="1" w:styleId="77">
    <w:name w:val="标题 2_0"/>
    <w:basedOn w:val="73"/>
    <w:next w:val="73"/>
    <w:link w:val="78"/>
    <w:qFormat/>
    <w:uiPriority w:val="9"/>
  </w:style>
  <w:style w:type="character" w:customStyle="1" w:styleId="78">
    <w:name w:val="标题 2 字符_0"/>
    <w:link w:val="77"/>
    <w:qFormat/>
    <w:uiPriority w:val="9"/>
    <w:rPr>
      <w:rFonts w:ascii="Times New Roman" w:hAnsi="Times New Roman" w:eastAsia="宋体" w:cs="Times New Roman"/>
      <w:szCs w:val="20"/>
    </w:rPr>
  </w:style>
  <w:style w:type="paragraph" w:customStyle="1" w:styleId="79">
    <w:name w:val="样式 标题 3 + (中文) 黑体 小四 非加粗 段前: 7.8 磅 段后: 0 磅 行距: 固定值 20 磅"/>
    <w:basedOn w:val="5"/>
    <w:qFormat/>
    <w:uiPriority w:val="0"/>
    <w:pPr>
      <w:spacing w:before="0" w:after="0" w:line="400" w:lineRule="exact"/>
    </w:pPr>
    <w:rPr>
      <w:rFonts w:ascii="Times New Roman" w:hAnsi="Times New Roman" w:eastAsia="黑体" w:cs="宋体"/>
      <w:sz w:val="24"/>
      <w:szCs w:val="20"/>
    </w:rPr>
  </w:style>
  <w:style w:type="character" w:customStyle="1" w:styleId="80">
    <w:name w:val="正文缩进 字符"/>
    <w:link w:val="12"/>
    <w:qFormat/>
    <w:uiPriority w:val="99"/>
  </w:style>
  <w:style w:type="paragraph" w:customStyle="1" w:styleId="81">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82">
    <w:name w:val="标题 1_0"/>
    <w:basedOn w:val="81"/>
    <w:next w:val="81"/>
    <w:link w:val="83"/>
    <w:qFormat/>
    <w:uiPriority w:val="9"/>
    <w:pPr>
      <w:keepNext/>
      <w:keepLines/>
      <w:spacing w:before="340" w:after="330" w:line="576" w:lineRule="auto"/>
      <w:outlineLvl w:val="0"/>
    </w:pPr>
    <w:rPr>
      <w:b/>
      <w:bCs/>
      <w:kern w:val="44"/>
      <w:sz w:val="44"/>
      <w:szCs w:val="44"/>
    </w:rPr>
  </w:style>
  <w:style w:type="character" w:customStyle="1" w:styleId="83">
    <w:name w:val="标题 1 字符_0"/>
    <w:link w:val="82"/>
    <w:qFormat/>
    <w:uiPriority w:val="9"/>
    <w:rPr>
      <w:rFonts w:ascii="Calibri" w:hAnsi="Calibri" w:eastAsia="宋体" w:cs="Times New Roman"/>
      <w:b/>
      <w:bCs/>
      <w:kern w:val="44"/>
      <w:sz w:val="44"/>
      <w:szCs w:val="44"/>
    </w:rPr>
  </w:style>
  <w:style w:type="paragraph" w:customStyle="1" w:styleId="84">
    <w:name w:val="正文_2_0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85">
    <w:name w:val="正文_3_0"/>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86">
    <w:name w:val="无间隔1"/>
    <w:qFormat/>
    <w:uiPriority w:val="1"/>
    <w:pPr>
      <w:widowControl w:val="0"/>
      <w:jc w:val="both"/>
    </w:pPr>
    <w:rPr>
      <w:rFonts w:ascii="Calibri" w:hAnsi="Calibri" w:eastAsia="宋体" w:cs="Times New Roman"/>
      <w:kern w:val="2"/>
      <w:sz w:val="21"/>
      <w:szCs w:val="22"/>
      <w:lang w:val="en-US" w:eastAsia="zh-CN" w:bidi="ar-SA"/>
    </w:rPr>
  </w:style>
  <w:style w:type="paragraph" w:customStyle="1" w:styleId="87">
    <w:name w:val="Normal_4"/>
    <w:qFormat/>
    <w:uiPriority w:val="0"/>
    <w:rPr>
      <w:rFonts w:ascii="Times New Roman" w:hAnsi="Times New Roman" w:eastAsia="Times New Roman" w:cs="Times New Roman"/>
      <w:sz w:val="24"/>
      <w:szCs w:val="24"/>
      <w:lang w:val="en-US" w:eastAsia="zh-CN" w:bidi="ar-SA"/>
    </w:rPr>
  </w:style>
  <w:style w:type="paragraph" w:customStyle="1" w:styleId="88">
    <w:name w:val="标题 1_2"/>
    <w:basedOn w:val="89"/>
    <w:next w:val="89"/>
    <w:link w:val="90"/>
    <w:qFormat/>
    <w:uiPriority w:val="9"/>
    <w:pPr>
      <w:keepNext/>
      <w:keepLines/>
      <w:spacing w:before="340" w:after="330" w:line="578" w:lineRule="auto"/>
      <w:outlineLvl w:val="0"/>
    </w:pPr>
    <w:rPr>
      <w:b/>
      <w:bCs/>
      <w:kern w:val="44"/>
      <w:sz w:val="44"/>
      <w:szCs w:val="44"/>
    </w:rPr>
  </w:style>
  <w:style w:type="paragraph" w:customStyle="1" w:styleId="89">
    <w:name w:val="正文_6"/>
    <w:qFormat/>
    <w:uiPriority w:val="0"/>
    <w:pPr>
      <w:widowControl w:val="0"/>
      <w:jc w:val="both"/>
    </w:pPr>
    <w:rPr>
      <w:rFonts w:ascii="Calibri" w:hAnsi="Calibri" w:eastAsia="宋体" w:cs="Times New Roman"/>
      <w:kern w:val="2"/>
      <w:sz w:val="21"/>
      <w:szCs w:val="22"/>
      <w:lang w:val="en-US" w:eastAsia="zh-CN" w:bidi="ar-SA"/>
    </w:rPr>
  </w:style>
  <w:style w:type="character" w:customStyle="1" w:styleId="90">
    <w:name w:val="标题 1 字符_2"/>
    <w:link w:val="88"/>
    <w:qFormat/>
    <w:uiPriority w:val="9"/>
    <w:rPr>
      <w:rFonts w:ascii="Calibri" w:hAnsi="Calibri" w:eastAsia="宋体" w:cs="Times New Roman"/>
      <w:b/>
      <w:bCs/>
      <w:kern w:val="44"/>
      <w:sz w:val="44"/>
      <w:szCs w:val="44"/>
    </w:rPr>
  </w:style>
  <w:style w:type="paragraph" w:customStyle="1" w:styleId="91">
    <w:name w:val="正文_7"/>
    <w:next w:val="92"/>
    <w:qFormat/>
    <w:uiPriority w:val="0"/>
    <w:pPr>
      <w:widowControl w:val="0"/>
      <w:jc w:val="both"/>
    </w:pPr>
    <w:rPr>
      <w:rFonts w:ascii="Calibri" w:hAnsi="Calibri" w:eastAsia="宋体" w:cs="Times New Roman"/>
      <w:kern w:val="2"/>
      <w:sz w:val="21"/>
      <w:szCs w:val="22"/>
      <w:lang w:val="en-US" w:eastAsia="zh-CN" w:bidi="ar-SA"/>
    </w:rPr>
  </w:style>
  <w:style w:type="paragraph" w:customStyle="1" w:styleId="92">
    <w:name w:val="正文缩进_0"/>
    <w:basedOn w:val="91"/>
    <w:qFormat/>
    <w:uiPriority w:val="0"/>
    <w:pPr>
      <w:widowControl/>
      <w:ind w:firstLine="420"/>
      <w:jc w:val="left"/>
    </w:pPr>
  </w:style>
  <w:style w:type="paragraph" w:customStyle="1" w:styleId="93">
    <w:name w:val="页脚1"/>
    <w:basedOn w:val="94"/>
    <w:link w:val="96"/>
    <w:unhideWhenUsed/>
    <w:qFormat/>
    <w:uiPriority w:val="0"/>
  </w:style>
  <w:style w:type="paragraph" w:customStyle="1" w:styleId="94">
    <w:name w:val="Normal_1"/>
    <w:next w:val="95"/>
    <w:qFormat/>
    <w:uiPriority w:val="0"/>
    <w:pPr>
      <w:widowControl w:val="0"/>
      <w:jc w:val="both"/>
    </w:pPr>
    <w:rPr>
      <w:rFonts w:ascii="Calibri" w:hAnsi="Calibri" w:eastAsia="宋体" w:cs="Times New Roman"/>
      <w:kern w:val="2"/>
      <w:sz w:val="21"/>
      <w:szCs w:val="22"/>
      <w:lang w:val="en-US" w:eastAsia="zh-CN" w:bidi="ar-SA"/>
    </w:rPr>
  </w:style>
  <w:style w:type="paragraph" w:customStyle="1" w:styleId="95">
    <w:name w:val="正文缩进1"/>
    <w:basedOn w:val="94"/>
    <w:qFormat/>
    <w:uiPriority w:val="0"/>
  </w:style>
  <w:style w:type="character" w:customStyle="1" w:styleId="96">
    <w:name w:val="页脚 字符_0"/>
    <w:link w:val="93"/>
    <w:qFormat/>
    <w:uiPriority w:val="0"/>
    <w:rPr>
      <w:rFonts w:ascii="Calibri" w:hAnsi="Calibri" w:eastAsia="宋体" w:cs="Times New Roman"/>
    </w:rPr>
  </w:style>
  <w:style w:type="paragraph" w:customStyle="1" w:styleId="97">
    <w:name w:val="标题 11"/>
    <w:basedOn w:val="94"/>
    <w:next w:val="94"/>
    <w:link w:val="98"/>
    <w:qFormat/>
    <w:uiPriority w:val="9"/>
  </w:style>
  <w:style w:type="character" w:customStyle="1" w:styleId="98">
    <w:name w:val="标题 1 字符_3"/>
    <w:link w:val="97"/>
    <w:qFormat/>
    <w:uiPriority w:val="9"/>
    <w:rPr>
      <w:rFonts w:ascii="Calibri" w:hAnsi="Calibri" w:eastAsia="宋体" w:cs="Times New Roman"/>
    </w:rPr>
  </w:style>
  <w:style w:type="paragraph" w:customStyle="1" w:styleId="99">
    <w:name w:val="页脚_0"/>
    <w:basedOn w:val="91"/>
    <w:link w:val="100"/>
    <w:unhideWhenUsed/>
    <w:qFormat/>
    <w:uiPriority w:val="0"/>
    <w:pPr>
      <w:tabs>
        <w:tab w:val="center" w:pos="4153"/>
        <w:tab w:val="right" w:pos="8306"/>
      </w:tabs>
      <w:snapToGrid w:val="0"/>
      <w:jc w:val="left"/>
    </w:pPr>
    <w:rPr>
      <w:sz w:val="18"/>
      <w:szCs w:val="18"/>
    </w:rPr>
  </w:style>
  <w:style w:type="character" w:customStyle="1" w:styleId="100">
    <w:name w:val="页脚 字符_1"/>
    <w:link w:val="99"/>
    <w:qFormat/>
    <w:uiPriority w:val="0"/>
    <w:rPr>
      <w:rFonts w:ascii="Calibri" w:hAnsi="Calibri" w:eastAsia="宋体" w:cs="Times New Roman"/>
      <w:sz w:val="18"/>
      <w:szCs w:val="18"/>
    </w:rPr>
  </w:style>
  <w:style w:type="paragraph" w:customStyle="1" w:styleId="101">
    <w:name w:val="标准文件_段"/>
    <w:link w:val="102"/>
    <w:qFormat/>
    <w:uiPriority w:val="0"/>
    <w:pPr>
      <w:autoSpaceDE w:val="0"/>
      <w:autoSpaceDN w:val="0"/>
      <w:ind w:firstLine="200" w:firstLineChars="200"/>
      <w:jc w:val="both"/>
    </w:pPr>
    <w:rPr>
      <w:rFonts w:ascii="宋体" w:hAnsi="Times New Roman" w:eastAsia="宋体" w:cs="Times New Roman"/>
      <w:lang w:val="en-US" w:eastAsia="zh-CN" w:bidi="ar-SA"/>
    </w:rPr>
  </w:style>
  <w:style w:type="character" w:customStyle="1" w:styleId="102">
    <w:name w:val="标准文件_段 Char"/>
    <w:link w:val="101"/>
    <w:qFormat/>
    <w:uiPriority w:val="0"/>
    <w:rPr>
      <w:rFonts w:ascii="宋体" w:hAnsi="Times New Roman" w:eastAsia="宋体" w:cs="Times New Roman"/>
      <w:kern w:val="0"/>
      <w:sz w:val="20"/>
      <w:szCs w:val="20"/>
    </w:rPr>
  </w:style>
  <w:style w:type="paragraph" w:customStyle="1" w:styleId="103">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customStyle="1" w:styleId="104">
    <w:name w:val="标题 1_3"/>
    <w:basedOn w:val="105"/>
    <w:next w:val="105"/>
    <w:link w:val="106"/>
    <w:qFormat/>
    <w:uiPriority w:val="9"/>
    <w:pPr>
      <w:keepNext/>
      <w:keepLines/>
      <w:spacing w:before="340" w:after="330" w:line="576" w:lineRule="auto"/>
      <w:outlineLvl w:val="0"/>
    </w:pPr>
    <w:rPr>
      <w:b/>
      <w:bCs/>
      <w:kern w:val="44"/>
      <w:sz w:val="44"/>
      <w:szCs w:val="44"/>
    </w:rPr>
  </w:style>
  <w:style w:type="paragraph" w:customStyle="1" w:styleId="105">
    <w:name w:val="正文_8"/>
    <w:qFormat/>
    <w:uiPriority w:val="0"/>
    <w:pPr>
      <w:widowControl w:val="0"/>
      <w:jc w:val="both"/>
    </w:pPr>
    <w:rPr>
      <w:rFonts w:ascii="Calibri" w:hAnsi="Calibri" w:eastAsia="宋体" w:cs="Times New Roman"/>
      <w:kern w:val="2"/>
      <w:sz w:val="21"/>
      <w:szCs w:val="22"/>
      <w:lang w:val="en-US" w:eastAsia="zh-CN" w:bidi="ar-SA"/>
    </w:rPr>
  </w:style>
  <w:style w:type="character" w:customStyle="1" w:styleId="106">
    <w:name w:val="标题 1 字符_4"/>
    <w:link w:val="104"/>
    <w:qFormat/>
    <w:uiPriority w:val="9"/>
    <w:rPr>
      <w:rFonts w:ascii="Calibri" w:hAnsi="Calibri" w:eastAsia="宋体" w:cs="Times New Roman"/>
      <w:b/>
      <w:bCs/>
      <w:kern w:val="44"/>
      <w:sz w:val="44"/>
      <w:szCs w:val="44"/>
    </w:rPr>
  </w:style>
  <w:style w:type="paragraph" w:customStyle="1" w:styleId="107">
    <w:name w:val="页眉_0"/>
    <w:basedOn w:val="46"/>
    <w:link w:val="108"/>
    <w:qFormat/>
    <w:uiPriority w:val="0"/>
    <w:pPr>
      <w:pBdr>
        <w:bottom w:val="single" w:color="auto" w:sz="6" w:space="1"/>
      </w:pBdr>
      <w:tabs>
        <w:tab w:val="center" w:pos="4153"/>
        <w:tab w:val="right" w:pos="8306"/>
      </w:tabs>
      <w:snapToGrid w:val="0"/>
      <w:jc w:val="center"/>
    </w:pPr>
    <w:rPr>
      <w:sz w:val="18"/>
      <w:szCs w:val="18"/>
    </w:rPr>
  </w:style>
  <w:style w:type="character" w:customStyle="1" w:styleId="108">
    <w:name w:val="页眉 字符_0"/>
    <w:basedOn w:val="36"/>
    <w:link w:val="107"/>
    <w:qFormat/>
    <w:uiPriority w:val="0"/>
    <w:rPr>
      <w:rFonts w:ascii="Times New Roman" w:hAnsi="Times New Roman" w:eastAsia="宋体" w:cs="Times New Roman"/>
      <w:kern w:val="0"/>
      <w:sz w:val="18"/>
      <w:szCs w:val="18"/>
    </w:rPr>
  </w:style>
  <w:style w:type="character" w:customStyle="1" w:styleId="109">
    <w:name w:val="纯文本 字符"/>
    <w:link w:val="18"/>
    <w:qFormat/>
    <w:uiPriority w:val="99"/>
    <w:rPr>
      <w:rFonts w:ascii="宋体" w:hAnsi="Courier New"/>
    </w:rPr>
  </w:style>
  <w:style w:type="character" w:customStyle="1" w:styleId="110">
    <w:name w:val="日期 字符"/>
    <w:link w:val="19"/>
    <w:qFormat/>
    <w:uiPriority w:val="0"/>
    <w:rPr>
      <w:rFonts w:ascii="微软雅黑" w:hAnsi="微软雅黑"/>
      <w:color w:val="262626" w:themeColor="text1" w:themeTint="D9"/>
      <w:szCs w:val="21"/>
      <w14:textFill>
        <w14:solidFill>
          <w14:schemeClr w14:val="tx1">
            <w14:lumMod w14:val="85000"/>
            <w14:lumOff w14:val="15000"/>
          </w14:schemeClr>
        </w14:solidFill>
      </w14:textFill>
    </w:rPr>
  </w:style>
  <w:style w:type="paragraph" w:customStyle="1" w:styleId="111">
    <w:name w:val="页脚_1"/>
    <w:basedOn w:val="46"/>
    <w:link w:val="112"/>
    <w:qFormat/>
    <w:uiPriority w:val="99"/>
    <w:pPr>
      <w:tabs>
        <w:tab w:val="center" w:pos="4153"/>
        <w:tab w:val="right" w:pos="8306"/>
      </w:tabs>
      <w:snapToGrid w:val="0"/>
      <w:jc w:val="left"/>
    </w:pPr>
    <w:rPr>
      <w:sz w:val="18"/>
      <w:szCs w:val="18"/>
    </w:rPr>
  </w:style>
  <w:style w:type="character" w:customStyle="1" w:styleId="112">
    <w:name w:val="页脚 字符_2"/>
    <w:basedOn w:val="36"/>
    <w:link w:val="111"/>
    <w:qFormat/>
    <w:uiPriority w:val="99"/>
    <w:rPr>
      <w:rFonts w:ascii="Times New Roman" w:hAnsi="Times New Roman" w:eastAsia="宋体" w:cs="Times New Roman"/>
      <w:kern w:val="0"/>
      <w:sz w:val="18"/>
      <w:szCs w:val="18"/>
    </w:rPr>
  </w:style>
  <w:style w:type="paragraph" w:customStyle="1" w:styleId="113">
    <w:name w:val="标题 2_1"/>
    <w:basedOn w:val="46"/>
    <w:next w:val="4"/>
    <w:link w:val="115"/>
    <w:qFormat/>
    <w:uiPriority w:val="0"/>
    <w:pPr>
      <w:keepNext/>
      <w:keepLines/>
      <w:spacing w:before="260" w:after="260" w:line="416" w:lineRule="atLeast"/>
      <w:outlineLvl w:val="1"/>
    </w:pPr>
    <w:rPr>
      <w:rFonts w:ascii="Cambria" w:hAnsi="Cambria" w:cs="宋体"/>
      <w:b/>
      <w:bCs/>
      <w:sz w:val="32"/>
      <w:szCs w:val="32"/>
    </w:rPr>
  </w:style>
  <w:style w:type="character" w:customStyle="1" w:styleId="114">
    <w:name w:val="正文文本 字符"/>
    <w:link w:val="4"/>
    <w:qFormat/>
    <w:uiPriority w:val="0"/>
    <w:rPr>
      <w:rFonts w:ascii="微软雅黑" w:hAnsi="微软雅黑"/>
      <w:szCs w:val="21"/>
    </w:rPr>
  </w:style>
  <w:style w:type="character" w:customStyle="1" w:styleId="115">
    <w:name w:val="标题 2 字符_1"/>
    <w:basedOn w:val="36"/>
    <w:link w:val="113"/>
    <w:qFormat/>
    <w:uiPriority w:val="0"/>
    <w:rPr>
      <w:rFonts w:ascii="Cambria" w:hAnsi="Cambria" w:eastAsia="宋体" w:cs="宋体"/>
      <w:b/>
      <w:bCs/>
      <w:kern w:val="0"/>
      <w:sz w:val="32"/>
      <w:szCs w:val="32"/>
    </w:rPr>
  </w:style>
  <w:style w:type="paragraph" w:customStyle="1" w:styleId="116">
    <w:name w:val="标题 3_0"/>
    <w:basedOn w:val="46"/>
    <w:next w:val="46"/>
    <w:link w:val="117"/>
    <w:qFormat/>
    <w:uiPriority w:val="0"/>
    <w:pPr>
      <w:widowControl/>
      <w:spacing w:before="200" w:line="271" w:lineRule="auto"/>
      <w:ind w:firstLine="200" w:firstLineChars="200"/>
      <w:jc w:val="left"/>
      <w:outlineLvl w:val="2"/>
    </w:pPr>
    <w:rPr>
      <w:rFonts w:ascii="Cambria" w:hAnsi="Cambria" w:cs="宋体"/>
      <w:b/>
      <w:bCs/>
      <w:szCs w:val="22"/>
    </w:rPr>
  </w:style>
  <w:style w:type="character" w:customStyle="1" w:styleId="117">
    <w:name w:val="标题 3 字符_0"/>
    <w:basedOn w:val="36"/>
    <w:link w:val="116"/>
    <w:qFormat/>
    <w:uiPriority w:val="0"/>
    <w:rPr>
      <w:rFonts w:ascii="Cambria" w:hAnsi="Cambria" w:eastAsia="宋体" w:cs="宋体"/>
      <w:b/>
      <w:bCs/>
      <w:kern w:val="0"/>
    </w:rPr>
  </w:style>
  <w:style w:type="paragraph" w:customStyle="1" w:styleId="118">
    <w:name w:val="样式  + 首行缩进:  2 字符"/>
    <w:basedOn w:val="46"/>
    <w:qFormat/>
    <w:uiPriority w:val="0"/>
    <w:pPr>
      <w:spacing w:before="60" w:after="60" w:line="360" w:lineRule="auto"/>
      <w:ind w:firstLine="480" w:firstLineChars="200"/>
    </w:pPr>
    <w:rPr>
      <w:rFonts w:cs="宋体"/>
      <w:kern w:val="2"/>
      <w:sz w:val="24"/>
    </w:rPr>
  </w:style>
  <w:style w:type="character" w:customStyle="1" w:styleId="119">
    <w:name w:val="正文文本缩进 字符"/>
    <w:link w:val="16"/>
    <w:qFormat/>
    <w:uiPriority w:val="99"/>
  </w:style>
  <w:style w:type="character" w:customStyle="1" w:styleId="120">
    <w:name w:val="正文首行缩进 2 字符"/>
    <w:link w:val="33"/>
    <w:qFormat/>
    <w:uiPriority w:val="0"/>
  </w:style>
  <w:style w:type="character" w:customStyle="1" w:styleId="121">
    <w:name w:val="正文首行缩进 字符"/>
    <w:link w:val="32"/>
    <w:qFormat/>
    <w:uiPriority w:val="0"/>
  </w:style>
  <w:style w:type="paragraph" w:customStyle="1" w:styleId="122">
    <w:name w:val="ZN正文"/>
    <w:basedOn w:val="46"/>
    <w:qFormat/>
    <w:uiPriority w:val="0"/>
    <w:pPr>
      <w:snapToGrid w:val="0"/>
      <w:spacing w:line="360" w:lineRule="auto"/>
      <w:jc w:val="left"/>
    </w:pPr>
    <w:rPr>
      <w:szCs w:val="24"/>
    </w:rPr>
  </w:style>
  <w:style w:type="character" w:customStyle="1" w:styleId="123">
    <w:name w:val="列出段落 字符"/>
    <w:link w:val="60"/>
    <w:qFormat/>
    <w:uiPriority w:val="34"/>
  </w:style>
  <w:style w:type="paragraph" w:customStyle="1" w:styleId="124">
    <w:name w:val="列出段落4"/>
    <w:basedOn w:val="46"/>
    <w:qFormat/>
    <w:uiPriority w:val="34"/>
    <w:pPr>
      <w:ind w:firstLine="420" w:firstLineChars="200"/>
    </w:pPr>
  </w:style>
  <w:style w:type="paragraph" w:customStyle="1" w:styleId="125">
    <w:name w:val="正文缩进_1"/>
    <w:basedOn w:val="46"/>
    <w:link w:val="126"/>
    <w:qFormat/>
    <w:uiPriority w:val="0"/>
    <w:pPr>
      <w:adjustRightInd w:val="0"/>
      <w:spacing w:line="360" w:lineRule="atLeast"/>
      <w:ind w:firstLine="420" w:firstLineChars="200"/>
      <w:jc w:val="left"/>
      <w:textAlignment w:val="baseline"/>
    </w:pPr>
    <w:rPr>
      <w:sz w:val="24"/>
    </w:rPr>
  </w:style>
  <w:style w:type="character" w:customStyle="1" w:styleId="126">
    <w:name w:val="正文缩进 字符_0"/>
    <w:link w:val="125"/>
    <w:qFormat/>
    <w:uiPriority w:val="0"/>
    <w:rPr>
      <w:rFonts w:ascii="Times New Roman" w:hAnsi="Times New Roman" w:eastAsia="宋体" w:cs="Times New Roman"/>
      <w:kern w:val="0"/>
      <w:sz w:val="24"/>
      <w:szCs w:val="20"/>
    </w:rPr>
  </w:style>
  <w:style w:type="paragraph" w:customStyle="1" w:styleId="127">
    <w:name w:val="列出段落41"/>
    <w:basedOn w:val="46"/>
    <w:qFormat/>
    <w:uiPriority w:val="99"/>
    <w:pPr>
      <w:spacing w:line="240" w:lineRule="auto"/>
      <w:ind w:firstLine="420" w:firstLineChars="200"/>
    </w:pPr>
    <w:rPr>
      <w:rFonts w:ascii="Calibri" w:hAnsi="Calibri"/>
      <w:kern w:val="2"/>
      <w:szCs w:val="22"/>
    </w:rPr>
  </w:style>
  <w:style w:type="paragraph" w:customStyle="1" w:styleId="128">
    <w:name w:val="页眉_1"/>
    <w:basedOn w:val="129"/>
    <w:link w:val="130"/>
    <w:unhideWhenUsed/>
    <w:qFormat/>
    <w:uiPriority w:val="99"/>
    <w:pPr>
      <w:pBdr>
        <w:bottom w:val="single" w:color="auto" w:sz="6" w:space="1"/>
      </w:pBdr>
      <w:tabs>
        <w:tab w:val="center" w:pos="4153"/>
        <w:tab w:val="right" w:pos="8306"/>
      </w:tabs>
      <w:snapToGrid w:val="0"/>
      <w:spacing w:line="240" w:lineRule="auto"/>
      <w:jc w:val="center"/>
    </w:pPr>
    <w:rPr>
      <w:sz w:val="18"/>
      <w:szCs w:val="18"/>
    </w:rPr>
  </w:style>
  <w:style w:type="paragraph" w:customStyle="1" w:styleId="129">
    <w:name w:val="正文_10"/>
    <w:qFormat/>
    <w:uiPriority w:val="0"/>
    <w:pPr>
      <w:spacing w:line="300" w:lineRule="auto"/>
      <w:ind w:firstLine="200" w:firstLineChars="200"/>
    </w:pPr>
    <w:rPr>
      <w:rFonts w:ascii="等线" w:hAnsi="等线" w:eastAsia="等线" w:cs="Times New Roman"/>
      <w:sz w:val="21"/>
      <w:szCs w:val="22"/>
      <w:lang w:val="en-US" w:eastAsia="en-US" w:bidi="ar-SA"/>
    </w:rPr>
  </w:style>
  <w:style w:type="character" w:customStyle="1" w:styleId="130">
    <w:name w:val="页眉 字符_1"/>
    <w:link w:val="128"/>
    <w:qFormat/>
    <w:uiPriority w:val="99"/>
    <w:rPr>
      <w:rFonts w:ascii="等线" w:hAnsi="等线" w:eastAsia="等线" w:cs="Times New Roman"/>
      <w:kern w:val="0"/>
      <w:sz w:val="18"/>
      <w:szCs w:val="18"/>
      <w:lang w:eastAsia="en-US"/>
    </w:rPr>
  </w:style>
  <w:style w:type="paragraph" w:customStyle="1" w:styleId="131">
    <w:name w:val="页脚_2"/>
    <w:basedOn w:val="129"/>
    <w:link w:val="132"/>
    <w:unhideWhenUsed/>
    <w:qFormat/>
    <w:uiPriority w:val="99"/>
    <w:pPr>
      <w:tabs>
        <w:tab w:val="center" w:pos="4153"/>
        <w:tab w:val="right" w:pos="8306"/>
      </w:tabs>
      <w:snapToGrid w:val="0"/>
      <w:spacing w:line="240" w:lineRule="auto"/>
    </w:pPr>
    <w:rPr>
      <w:sz w:val="18"/>
      <w:szCs w:val="18"/>
    </w:rPr>
  </w:style>
  <w:style w:type="character" w:customStyle="1" w:styleId="132">
    <w:name w:val="页脚 字符_3"/>
    <w:link w:val="131"/>
    <w:qFormat/>
    <w:uiPriority w:val="99"/>
    <w:rPr>
      <w:rFonts w:ascii="等线" w:hAnsi="等线" w:eastAsia="等线" w:cs="Times New Roman"/>
      <w:kern w:val="0"/>
      <w:sz w:val="18"/>
      <w:szCs w:val="18"/>
      <w:lang w:eastAsia="en-US"/>
    </w:rPr>
  </w:style>
  <w:style w:type="paragraph" w:customStyle="1" w:styleId="133">
    <w:name w:val="标题 1_4"/>
    <w:basedOn w:val="129"/>
    <w:next w:val="129"/>
    <w:link w:val="134"/>
    <w:qFormat/>
    <w:uiPriority w:val="0"/>
    <w:pPr>
      <w:keepNext/>
      <w:keepLines/>
      <w:spacing w:line="360" w:lineRule="auto"/>
      <w:ind w:firstLine="602"/>
      <w:jc w:val="center"/>
      <w:outlineLvl w:val="0"/>
    </w:pPr>
    <w:rPr>
      <w:rFonts w:ascii="宋体" w:hAnsi="宋体" w:eastAsia="宋体" w:cs="宋体"/>
      <w:b/>
      <w:bCs/>
      <w:kern w:val="44"/>
      <w:sz w:val="30"/>
      <w:szCs w:val="44"/>
      <w:lang w:eastAsia="zh-CN"/>
    </w:rPr>
  </w:style>
  <w:style w:type="character" w:customStyle="1" w:styleId="134">
    <w:name w:val="标题 1 字符_5"/>
    <w:link w:val="133"/>
    <w:qFormat/>
    <w:uiPriority w:val="0"/>
    <w:rPr>
      <w:rFonts w:ascii="宋体" w:hAnsi="宋体" w:eastAsia="宋体" w:cs="宋体"/>
      <w:b/>
      <w:bCs/>
      <w:kern w:val="44"/>
      <w:sz w:val="30"/>
      <w:szCs w:val="44"/>
    </w:rPr>
  </w:style>
  <w:style w:type="paragraph" w:customStyle="1" w:styleId="135">
    <w:name w:val="页眉_0_0"/>
    <w:basedOn w:val="136"/>
    <w:link w:val="137"/>
    <w:unhideWhenUsed/>
    <w:qFormat/>
    <w:uiPriority w:val="99"/>
    <w:pPr>
      <w:pBdr>
        <w:bottom w:val="single" w:color="auto" w:sz="6" w:space="1"/>
      </w:pBdr>
      <w:tabs>
        <w:tab w:val="center" w:pos="4153"/>
        <w:tab w:val="right" w:pos="8306"/>
      </w:tabs>
      <w:jc w:val="center"/>
    </w:pPr>
    <w:rPr>
      <w:sz w:val="18"/>
      <w:szCs w:val="18"/>
    </w:rPr>
  </w:style>
  <w:style w:type="paragraph" w:customStyle="1" w:styleId="136">
    <w:name w:val="正文_23"/>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137">
    <w:name w:val="页眉 Char"/>
    <w:link w:val="135"/>
    <w:qFormat/>
    <w:uiPriority w:val="99"/>
    <w:rPr>
      <w:rFonts w:ascii="宋体" w:hAnsi="宋体" w:eastAsia="宋体" w:cs="宋体"/>
      <w:kern w:val="0"/>
      <w:sz w:val="18"/>
      <w:szCs w:val="18"/>
      <w:lang w:eastAsia="en-US"/>
    </w:rPr>
  </w:style>
  <w:style w:type="paragraph" w:customStyle="1" w:styleId="138">
    <w:name w:val="页脚_0_0"/>
    <w:basedOn w:val="136"/>
    <w:link w:val="139"/>
    <w:unhideWhenUsed/>
    <w:qFormat/>
    <w:uiPriority w:val="99"/>
    <w:pPr>
      <w:tabs>
        <w:tab w:val="center" w:pos="4153"/>
        <w:tab w:val="right" w:pos="8306"/>
      </w:tabs>
    </w:pPr>
    <w:rPr>
      <w:sz w:val="18"/>
      <w:szCs w:val="18"/>
    </w:rPr>
  </w:style>
  <w:style w:type="character" w:customStyle="1" w:styleId="139">
    <w:name w:val="页脚 Char"/>
    <w:link w:val="138"/>
    <w:qFormat/>
    <w:uiPriority w:val="99"/>
    <w:rPr>
      <w:rFonts w:ascii="宋体" w:hAnsi="宋体" w:eastAsia="宋体" w:cs="宋体"/>
      <w:kern w:val="0"/>
      <w:sz w:val="18"/>
      <w:szCs w:val="18"/>
      <w:lang w:eastAsia="en-US"/>
    </w:rPr>
  </w:style>
  <w:style w:type="paragraph" w:customStyle="1" w:styleId="140">
    <w:name w:val="正文文本_20"/>
    <w:basedOn w:val="136"/>
    <w:link w:val="141"/>
    <w:unhideWhenUsed/>
    <w:qFormat/>
    <w:uiPriority w:val="1"/>
    <w:pPr>
      <w:snapToGrid/>
      <w:spacing w:line="240" w:lineRule="auto"/>
      <w:ind w:firstLine="0" w:firstLineChars="0"/>
    </w:pPr>
    <w:rPr>
      <w:rFonts w:cs="Times New Roman"/>
      <w:sz w:val="21"/>
      <w:szCs w:val="21"/>
    </w:rPr>
  </w:style>
  <w:style w:type="character" w:customStyle="1" w:styleId="141">
    <w:name w:val="正文文本 Char1_18"/>
    <w:link w:val="140"/>
    <w:qFormat/>
    <w:locked/>
    <w:uiPriority w:val="1"/>
    <w:rPr>
      <w:rFonts w:ascii="宋体" w:hAnsi="宋体" w:eastAsia="宋体" w:cs="Times New Roman"/>
      <w:kern w:val="0"/>
      <w:szCs w:val="21"/>
      <w:lang w:eastAsia="en-US"/>
    </w:rPr>
  </w:style>
  <w:style w:type="paragraph" w:customStyle="1" w:styleId="142">
    <w:name w:val="标题 2_21"/>
    <w:basedOn w:val="136"/>
    <w:next w:val="136"/>
    <w:link w:val="143"/>
    <w:qFormat/>
    <w:uiPriority w:val="9"/>
    <w:pPr>
      <w:keepNext/>
      <w:keepLines/>
      <w:spacing w:before="260" w:after="260" w:line="416" w:lineRule="atLeast"/>
      <w:outlineLvl w:val="1"/>
    </w:pPr>
    <w:rPr>
      <w:rFonts w:ascii="Calibri Light" w:hAnsi="Calibri Light" w:cs="Times New Roman"/>
      <w:b/>
      <w:bCs/>
      <w:sz w:val="32"/>
      <w:szCs w:val="32"/>
    </w:rPr>
  </w:style>
  <w:style w:type="character" w:customStyle="1" w:styleId="143">
    <w:name w:val="标题 2 Char_18"/>
    <w:link w:val="142"/>
    <w:qFormat/>
    <w:uiPriority w:val="9"/>
    <w:rPr>
      <w:rFonts w:ascii="Calibri Light" w:hAnsi="Calibri Light" w:eastAsia="宋体" w:cs="Times New Roman"/>
      <w:b/>
      <w:bCs/>
      <w:kern w:val="0"/>
      <w:sz w:val="32"/>
      <w:szCs w:val="32"/>
      <w:lang w:eastAsia="en-US"/>
    </w:rPr>
  </w:style>
  <w:style w:type="paragraph" w:customStyle="1" w:styleId="144">
    <w:name w:val="页脚_0_0_0"/>
    <w:basedOn w:val="145"/>
    <w:link w:val="146"/>
    <w:unhideWhenUsed/>
    <w:qFormat/>
    <w:uiPriority w:val="99"/>
    <w:pPr>
      <w:tabs>
        <w:tab w:val="center" w:pos="4153"/>
        <w:tab w:val="right" w:pos="8306"/>
      </w:tabs>
      <w:snapToGrid w:val="0"/>
      <w:jc w:val="left"/>
    </w:pPr>
    <w:rPr>
      <w:sz w:val="18"/>
      <w:szCs w:val="18"/>
    </w:rPr>
  </w:style>
  <w:style w:type="paragraph" w:customStyle="1" w:styleId="145">
    <w:name w:val="正文_0_0"/>
    <w:qFormat/>
    <w:uiPriority w:val="0"/>
    <w:pPr>
      <w:widowControl w:val="0"/>
      <w:jc w:val="both"/>
    </w:pPr>
    <w:rPr>
      <w:rFonts w:ascii="Calibri" w:hAnsi="Calibri" w:eastAsia="宋体" w:cs="Times New Roman"/>
      <w:kern w:val="2"/>
      <w:sz w:val="21"/>
      <w:szCs w:val="22"/>
      <w:lang w:val="en-US" w:eastAsia="zh-CN" w:bidi="ar-SA"/>
    </w:rPr>
  </w:style>
  <w:style w:type="character" w:customStyle="1" w:styleId="146">
    <w:name w:val="页脚 Char_0"/>
    <w:link w:val="144"/>
    <w:qFormat/>
    <w:uiPriority w:val="99"/>
    <w:rPr>
      <w:rFonts w:ascii="Calibri" w:hAnsi="Calibri" w:eastAsia="宋体" w:cs="Times New Roman"/>
      <w:sz w:val="18"/>
      <w:szCs w:val="18"/>
    </w:rPr>
  </w:style>
  <w:style w:type="paragraph" w:customStyle="1" w:styleId="147">
    <w:name w:val="正文_20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48">
    <w:name w:val="正文文本_0_1_18"/>
    <w:basedOn w:val="145"/>
    <w:unhideWhenUsed/>
    <w:qFormat/>
    <w:uiPriority w:val="1"/>
    <w:pPr>
      <w:jc w:val="left"/>
    </w:pPr>
    <w:rPr>
      <w:rFonts w:ascii="宋体" w:hAnsi="宋体"/>
      <w:kern w:val="0"/>
      <w:szCs w:val="21"/>
      <w:lang w:eastAsia="en-US"/>
    </w:rPr>
  </w:style>
  <w:style w:type="paragraph" w:customStyle="1" w:styleId="149">
    <w:name w:val="正文文本_0_0"/>
    <w:basedOn w:val="145"/>
    <w:link w:val="150"/>
    <w:unhideWhenUsed/>
    <w:qFormat/>
    <w:uiPriority w:val="1"/>
    <w:pPr>
      <w:jc w:val="left"/>
    </w:pPr>
    <w:rPr>
      <w:rFonts w:ascii="宋体" w:hAnsi="宋体"/>
      <w:kern w:val="0"/>
      <w:szCs w:val="21"/>
      <w:lang w:eastAsia="en-US"/>
    </w:rPr>
  </w:style>
  <w:style w:type="character" w:customStyle="1" w:styleId="150">
    <w:name w:val="正文文本 Char1_0_0"/>
    <w:link w:val="149"/>
    <w:qFormat/>
    <w:locked/>
    <w:uiPriority w:val="1"/>
    <w:rPr>
      <w:rFonts w:ascii="宋体" w:hAnsi="宋体" w:eastAsia="宋体" w:cs="Times New Roman"/>
      <w:kern w:val="0"/>
      <w:szCs w:val="21"/>
      <w:lang w:eastAsia="en-US"/>
    </w:rPr>
  </w:style>
  <w:style w:type="paragraph" w:customStyle="1" w:styleId="151">
    <w:name w:val="页眉_0_0_0"/>
    <w:basedOn w:val="152"/>
    <w:link w:val="153"/>
    <w:unhideWhenUsed/>
    <w:qFormat/>
    <w:uiPriority w:val="99"/>
    <w:pPr>
      <w:pBdr>
        <w:bottom w:val="single" w:color="auto" w:sz="6" w:space="1"/>
      </w:pBdr>
      <w:tabs>
        <w:tab w:val="center" w:pos="4153"/>
        <w:tab w:val="right" w:pos="8306"/>
      </w:tabs>
      <w:spacing w:line="240" w:lineRule="auto"/>
      <w:ind w:firstLine="0" w:firstLineChars="0"/>
      <w:jc w:val="center"/>
    </w:pPr>
    <w:rPr>
      <w:rFonts w:ascii="Calibri" w:hAnsi="Calibri" w:cs="Times New Roman"/>
      <w:kern w:val="2"/>
      <w:sz w:val="18"/>
      <w:szCs w:val="18"/>
      <w:lang w:eastAsia="zh-CN"/>
    </w:rPr>
  </w:style>
  <w:style w:type="paragraph" w:customStyle="1" w:styleId="152">
    <w:name w:val="正文_1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153">
    <w:name w:val="页眉 字符_0_0"/>
    <w:link w:val="151"/>
    <w:qFormat/>
    <w:uiPriority w:val="99"/>
    <w:rPr>
      <w:rFonts w:ascii="Calibri" w:hAnsi="Calibri" w:eastAsia="宋体" w:cs="Times New Roman"/>
      <w:sz w:val="18"/>
      <w:szCs w:val="18"/>
    </w:rPr>
  </w:style>
  <w:style w:type="paragraph" w:customStyle="1" w:styleId="154">
    <w:name w:val="页脚_1_0"/>
    <w:basedOn w:val="152"/>
    <w:link w:val="155"/>
    <w:unhideWhenUsed/>
    <w:qFormat/>
    <w:uiPriority w:val="99"/>
    <w:pPr>
      <w:tabs>
        <w:tab w:val="center" w:pos="4153"/>
        <w:tab w:val="right" w:pos="8306"/>
      </w:tabs>
      <w:spacing w:line="240" w:lineRule="auto"/>
      <w:ind w:firstLine="0" w:firstLineChars="0"/>
    </w:pPr>
    <w:rPr>
      <w:rFonts w:ascii="Calibri" w:hAnsi="Calibri" w:cs="Times New Roman"/>
      <w:kern w:val="2"/>
      <w:sz w:val="18"/>
      <w:szCs w:val="18"/>
      <w:lang w:eastAsia="zh-CN"/>
    </w:rPr>
  </w:style>
  <w:style w:type="character" w:customStyle="1" w:styleId="155">
    <w:name w:val="页脚 字符_0_0"/>
    <w:link w:val="154"/>
    <w:qFormat/>
    <w:uiPriority w:val="99"/>
    <w:rPr>
      <w:rFonts w:ascii="Calibri" w:hAnsi="Calibri" w:eastAsia="宋体" w:cs="Times New Roman"/>
      <w:sz w:val="18"/>
      <w:szCs w:val="18"/>
    </w:rPr>
  </w:style>
  <w:style w:type="paragraph" w:customStyle="1" w:styleId="156">
    <w:name w:val="正文文本_1_0"/>
    <w:basedOn w:val="152"/>
    <w:link w:val="157"/>
    <w:unhideWhenUsed/>
    <w:qFormat/>
    <w:uiPriority w:val="1"/>
    <w:pPr>
      <w:snapToGrid/>
      <w:spacing w:line="240" w:lineRule="auto"/>
      <w:ind w:firstLine="0" w:firstLineChars="0"/>
    </w:pPr>
    <w:rPr>
      <w:rFonts w:cs="Times New Roman"/>
      <w:sz w:val="21"/>
      <w:szCs w:val="21"/>
    </w:rPr>
  </w:style>
  <w:style w:type="character" w:customStyle="1" w:styleId="157">
    <w:name w:val="正文文本 字符_1"/>
    <w:link w:val="156"/>
    <w:qFormat/>
    <w:locked/>
    <w:uiPriority w:val="1"/>
    <w:rPr>
      <w:rFonts w:ascii="宋体" w:hAnsi="宋体" w:eastAsia="宋体" w:cs="Times New Roman"/>
      <w:kern w:val="0"/>
      <w:szCs w:val="21"/>
      <w:lang w:eastAsia="en-US"/>
    </w:rPr>
  </w:style>
  <w:style w:type="paragraph" w:customStyle="1" w:styleId="158">
    <w:name w:val="正文_2_0_1"/>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59">
    <w:name w:val="页脚_2_0"/>
    <w:basedOn w:val="158"/>
    <w:link w:val="160"/>
    <w:unhideWhenUsed/>
    <w:qFormat/>
    <w:uiPriority w:val="99"/>
    <w:pPr>
      <w:tabs>
        <w:tab w:val="center" w:pos="4153"/>
        <w:tab w:val="right" w:pos="8306"/>
      </w:tabs>
    </w:pPr>
    <w:rPr>
      <w:sz w:val="18"/>
      <w:szCs w:val="18"/>
    </w:rPr>
  </w:style>
  <w:style w:type="character" w:customStyle="1" w:styleId="160">
    <w:name w:val="页脚 Char_1"/>
    <w:link w:val="159"/>
    <w:qFormat/>
    <w:uiPriority w:val="99"/>
    <w:rPr>
      <w:rFonts w:ascii="宋体" w:hAnsi="宋体" w:eastAsia="宋体" w:cs="宋体"/>
      <w:kern w:val="0"/>
      <w:sz w:val="18"/>
      <w:szCs w:val="18"/>
      <w:lang w:eastAsia="en-US"/>
    </w:rPr>
  </w:style>
  <w:style w:type="paragraph" w:customStyle="1" w:styleId="161">
    <w:name w:val="正文_1_2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62">
    <w:name w:val="正文文本_2_2_18"/>
    <w:basedOn w:val="163"/>
    <w:unhideWhenUsed/>
    <w:qFormat/>
    <w:uiPriority w:val="1"/>
    <w:pPr>
      <w:snapToGrid/>
      <w:spacing w:line="480" w:lineRule="atLeast"/>
      <w:ind w:firstLine="0" w:firstLineChars="0"/>
      <w:jc w:val="both"/>
    </w:pPr>
    <w:rPr>
      <w:rFonts w:hAnsi="Arial Rounded MT Bold" w:cs="Times New Roman"/>
      <w:kern w:val="2"/>
      <w:sz w:val="28"/>
      <w:szCs w:val="28"/>
    </w:rPr>
  </w:style>
  <w:style w:type="paragraph" w:customStyle="1" w:styleId="163">
    <w:name w:val="正文_2_2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64">
    <w:name w:val="页眉_1_0"/>
    <w:basedOn w:val="165"/>
    <w:link w:val="166"/>
    <w:unhideWhenUsed/>
    <w:qFormat/>
    <w:uiPriority w:val="99"/>
    <w:pPr>
      <w:pBdr>
        <w:bottom w:val="single" w:color="auto" w:sz="6" w:space="1"/>
      </w:pBdr>
      <w:tabs>
        <w:tab w:val="center" w:pos="4153"/>
        <w:tab w:val="right" w:pos="8306"/>
      </w:tabs>
      <w:spacing w:line="240" w:lineRule="auto"/>
      <w:ind w:firstLine="0" w:firstLineChars="0"/>
      <w:jc w:val="center"/>
    </w:pPr>
    <w:rPr>
      <w:rFonts w:ascii="Calibri" w:hAnsi="Calibri" w:cs="Times New Roman"/>
      <w:kern w:val="2"/>
      <w:sz w:val="18"/>
      <w:szCs w:val="18"/>
      <w:lang w:eastAsia="zh-CN"/>
    </w:rPr>
  </w:style>
  <w:style w:type="paragraph" w:customStyle="1" w:styleId="165">
    <w:name w:val="正文_3_0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166">
    <w:name w:val="页眉 字符_0_0_0"/>
    <w:link w:val="164"/>
    <w:qFormat/>
    <w:uiPriority w:val="99"/>
    <w:rPr>
      <w:rFonts w:ascii="Calibri" w:hAnsi="Calibri" w:eastAsia="宋体" w:cs="Times New Roman"/>
      <w:sz w:val="18"/>
      <w:szCs w:val="18"/>
    </w:rPr>
  </w:style>
  <w:style w:type="paragraph" w:customStyle="1" w:styleId="167">
    <w:name w:val="页脚_3"/>
    <w:basedOn w:val="165"/>
    <w:link w:val="168"/>
    <w:unhideWhenUsed/>
    <w:qFormat/>
    <w:uiPriority w:val="99"/>
    <w:pPr>
      <w:tabs>
        <w:tab w:val="center" w:pos="4153"/>
        <w:tab w:val="right" w:pos="8306"/>
      </w:tabs>
      <w:spacing w:line="240" w:lineRule="auto"/>
      <w:ind w:firstLine="0" w:firstLineChars="0"/>
    </w:pPr>
    <w:rPr>
      <w:rFonts w:ascii="Calibri" w:hAnsi="Calibri" w:cs="Times New Roman"/>
      <w:kern w:val="2"/>
      <w:sz w:val="18"/>
      <w:szCs w:val="18"/>
      <w:lang w:eastAsia="zh-CN"/>
    </w:rPr>
  </w:style>
  <w:style w:type="character" w:customStyle="1" w:styleId="168">
    <w:name w:val="页脚 字符_0_0_0"/>
    <w:link w:val="167"/>
    <w:qFormat/>
    <w:uiPriority w:val="99"/>
    <w:rPr>
      <w:rFonts w:ascii="Calibri" w:hAnsi="Calibri" w:eastAsia="宋体" w:cs="Times New Roman"/>
      <w:sz w:val="18"/>
      <w:szCs w:val="18"/>
    </w:rPr>
  </w:style>
  <w:style w:type="paragraph" w:customStyle="1" w:styleId="169">
    <w:name w:val="正文_2_2_0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70">
    <w:name w:val="正文_3_2_11"/>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71">
    <w:name w:val="正文_4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72">
    <w:name w:val="页脚_4"/>
    <w:basedOn w:val="171"/>
    <w:link w:val="173"/>
    <w:unhideWhenUsed/>
    <w:qFormat/>
    <w:uiPriority w:val="99"/>
    <w:pPr>
      <w:tabs>
        <w:tab w:val="center" w:pos="4153"/>
        <w:tab w:val="right" w:pos="8306"/>
      </w:tabs>
      <w:spacing w:line="240" w:lineRule="auto"/>
      <w:ind w:firstLine="0" w:firstLineChars="0"/>
    </w:pPr>
    <w:rPr>
      <w:rFonts w:ascii="Calibri" w:hAnsi="Calibri" w:cs="Times New Roman"/>
      <w:kern w:val="2"/>
      <w:sz w:val="18"/>
      <w:szCs w:val="18"/>
      <w:lang w:eastAsia="zh-CN"/>
    </w:rPr>
  </w:style>
  <w:style w:type="character" w:customStyle="1" w:styleId="173">
    <w:name w:val="页脚 字符_1_0"/>
    <w:link w:val="172"/>
    <w:qFormat/>
    <w:uiPriority w:val="99"/>
    <w:rPr>
      <w:rFonts w:ascii="Calibri" w:hAnsi="Calibri" w:eastAsia="宋体" w:cs="Times New Roman"/>
      <w:sz w:val="18"/>
      <w:szCs w:val="18"/>
    </w:rPr>
  </w:style>
  <w:style w:type="paragraph" w:customStyle="1" w:styleId="174">
    <w:name w:val="标题 2_2_3_18"/>
    <w:basedOn w:val="175"/>
    <w:next w:val="175"/>
    <w:qFormat/>
    <w:uiPriority w:val="9"/>
    <w:pPr>
      <w:keepNext/>
      <w:keepLines/>
      <w:spacing w:before="260" w:after="260" w:line="416" w:lineRule="atLeast"/>
      <w:outlineLvl w:val="1"/>
    </w:pPr>
    <w:rPr>
      <w:rFonts w:ascii="Calibri Light" w:hAnsi="Calibri Light" w:cs="Times New Roman"/>
      <w:b/>
      <w:bCs/>
      <w:sz w:val="32"/>
      <w:szCs w:val="32"/>
    </w:rPr>
  </w:style>
  <w:style w:type="paragraph" w:customStyle="1" w:styleId="175">
    <w:name w:val="正文_4_3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76">
    <w:name w:val="Normal_0_20"/>
    <w:qFormat/>
    <w:uiPriority w:val="0"/>
    <w:rPr>
      <w:rFonts w:ascii="Times New Roman" w:hAnsi="Times New Roman" w:eastAsia="Times New Roman" w:cs="Times New Roman"/>
      <w:sz w:val="24"/>
      <w:szCs w:val="24"/>
      <w:lang w:val="en-US" w:eastAsia="zh-CN" w:bidi="ar-SA"/>
    </w:rPr>
  </w:style>
  <w:style w:type="paragraph" w:customStyle="1" w:styleId="177">
    <w:name w:val="正文_5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78">
    <w:name w:val="页脚_5"/>
    <w:basedOn w:val="177"/>
    <w:link w:val="179"/>
    <w:unhideWhenUsed/>
    <w:qFormat/>
    <w:uiPriority w:val="99"/>
    <w:pPr>
      <w:tabs>
        <w:tab w:val="center" w:pos="4153"/>
        <w:tab w:val="right" w:pos="8306"/>
      </w:tabs>
    </w:pPr>
    <w:rPr>
      <w:sz w:val="18"/>
      <w:szCs w:val="18"/>
    </w:rPr>
  </w:style>
  <w:style w:type="character" w:customStyle="1" w:styleId="179">
    <w:name w:val="页脚 Char_2"/>
    <w:link w:val="178"/>
    <w:qFormat/>
    <w:uiPriority w:val="99"/>
    <w:rPr>
      <w:rFonts w:ascii="宋体" w:hAnsi="宋体" w:eastAsia="宋体" w:cs="宋体"/>
      <w:kern w:val="0"/>
      <w:sz w:val="18"/>
      <w:szCs w:val="18"/>
      <w:lang w:eastAsia="en-US"/>
    </w:rPr>
  </w:style>
  <w:style w:type="paragraph" w:customStyle="1" w:styleId="180">
    <w:name w:val="副标题_0_3_18"/>
    <w:basedOn w:val="181"/>
    <w:next w:val="181"/>
    <w:qFormat/>
    <w:uiPriority w:val="0"/>
    <w:pPr>
      <w:snapToGrid/>
      <w:spacing w:before="240" w:after="60" w:line="312" w:lineRule="auto"/>
      <w:ind w:firstLine="0" w:firstLineChars="0"/>
      <w:jc w:val="center"/>
      <w:outlineLvl w:val="1"/>
    </w:pPr>
    <w:rPr>
      <w:rFonts w:ascii="Cambria" w:hAnsi="Cambria" w:cs="Times New Roman"/>
      <w:b/>
      <w:bCs/>
      <w:kern w:val="28"/>
      <w:sz w:val="32"/>
      <w:szCs w:val="32"/>
      <w:lang w:eastAsia="zh-CN"/>
    </w:rPr>
  </w:style>
  <w:style w:type="paragraph" w:customStyle="1" w:styleId="181">
    <w:name w:val="正文_5_3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82">
    <w:name w:val="正文_6_7"/>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83">
    <w:name w:val="页脚_6"/>
    <w:basedOn w:val="182"/>
    <w:link w:val="184"/>
    <w:unhideWhenUsed/>
    <w:qFormat/>
    <w:uiPriority w:val="99"/>
    <w:pPr>
      <w:tabs>
        <w:tab w:val="center" w:pos="4153"/>
        <w:tab w:val="right" w:pos="8306"/>
      </w:tabs>
    </w:pPr>
    <w:rPr>
      <w:sz w:val="18"/>
      <w:szCs w:val="18"/>
    </w:rPr>
  </w:style>
  <w:style w:type="character" w:customStyle="1" w:styleId="184">
    <w:name w:val="页脚 字符_2_0"/>
    <w:link w:val="183"/>
    <w:qFormat/>
    <w:uiPriority w:val="99"/>
    <w:rPr>
      <w:rFonts w:ascii="宋体" w:hAnsi="宋体" w:eastAsia="宋体" w:cs="宋体"/>
      <w:kern w:val="0"/>
      <w:sz w:val="18"/>
      <w:szCs w:val="18"/>
      <w:lang w:eastAsia="en-US"/>
    </w:rPr>
  </w:style>
  <w:style w:type="paragraph" w:customStyle="1" w:styleId="185">
    <w:name w:val="副标题_20"/>
    <w:basedOn w:val="182"/>
    <w:next w:val="182"/>
    <w:link w:val="186"/>
    <w:qFormat/>
    <w:uiPriority w:val="11"/>
    <w:pPr>
      <w:spacing w:before="240" w:after="60" w:line="312" w:lineRule="atLeast"/>
      <w:jc w:val="center"/>
      <w:outlineLvl w:val="1"/>
    </w:pPr>
    <w:rPr>
      <w:rFonts w:ascii="Calibri Light" w:hAnsi="Calibri Light" w:cs="Times New Roman"/>
      <w:b/>
      <w:bCs/>
      <w:kern w:val="28"/>
      <w:sz w:val="32"/>
      <w:szCs w:val="32"/>
    </w:rPr>
  </w:style>
  <w:style w:type="character" w:customStyle="1" w:styleId="186">
    <w:name w:val="副标题 字符_18"/>
    <w:link w:val="185"/>
    <w:qFormat/>
    <w:uiPriority w:val="11"/>
    <w:rPr>
      <w:rFonts w:ascii="Calibri Light" w:hAnsi="Calibri Light" w:eastAsia="宋体" w:cs="Times New Roman"/>
      <w:b/>
      <w:bCs/>
      <w:kern w:val="28"/>
      <w:sz w:val="32"/>
      <w:szCs w:val="32"/>
      <w:lang w:eastAsia="en-US"/>
    </w:rPr>
  </w:style>
  <w:style w:type="paragraph" w:customStyle="1" w:styleId="187">
    <w:name w:val="页眉_2"/>
    <w:basedOn w:val="188"/>
    <w:link w:val="189"/>
    <w:unhideWhenUsed/>
    <w:qFormat/>
    <w:uiPriority w:val="99"/>
    <w:pPr>
      <w:pBdr>
        <w:bottom w:val="single" w:color="auto" w:sz="6" w:space="1"/>
      </w:pBdr>
      <w:tabs>
        <w:tab w:val="center" w:pos="4153"/>
        <w:tab w:val="right" w:pos="8306"/>
      </w:tabs>
      <w:jc w:val="center"/>
    </w:pPr>
    <w:rPr>
      <w:sz w:val="18"/>
      <w:szCs w:val="18"/>
    </w:rPr>
  </w:style>
  <w:style w:type="paragraph" w:customStyle="1" w:styleId="188">
    <w:name w:val="正文_7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189">
    <w:name w:val="页眉 字符_1_0"/>
    <w:link w:val="187"/>
    <w:qFormat/>
    <w:uiPriority w:val="99"/>
    <w:rPr>
      <w:rFonts w:ascii="宋体" w:hAnsi="宋体" w:eastAsia="宋体" w:cs="宋体"/>
      <w:kern w:val="0"/>
      <w:sz w:val="18"/>
      <w:szCs w:val="18"/>
      <w:lang w:eastAsia="en-US"/>
    </w:rPr>
  </w:style>
  <w:style w:type="paragraph" w:customStyle="1" w:styleId="190">
    <w:name w:val="页脚_7"/>
    <w:basedOn w:val="188"/>
    <w:link w:val="191"/>
    <w:unhideWhenUsed/>
    <w:qFormat/>
    <w:uiPriority w:val="99"/>
    <w:pPr>
      <w:tabs>
        <w:tab w:val="center" w:pos="4153"/>
        <w:tab w:val="right" w:pos="8306"/>
      </w:tabs>
    </w:pPr>
    <w:rPr>
      <w:sz w:val="18"/>
      <w:szCs w:val="18"/>
    </w:rPr>
  </w:style>
  <w:style w:type="character" w:customStyle="1" w:styleId="191">
    <w:name w:val="页脚 字符_3_0"/>
    <w:link w:val="190"/>
    <w:qFormat/>
    <w:uiPriority w:val="99"/>
    <w:rPr>
      <w:rFonts w:ascii="宋体" w:hAnsi="宋体" w:eastAsia="宋体" w:cs="宋体"/>
      <w:kern w:val="0"/>
      <w:sz w:val="18"/>
      <w:szCs w:val="18"/>
      <w:lang w:eastAsia="en-US"/>
    </w:rPr>
  </w:style>
  <w:style w:type="paragraph" w:customStyle="1" w:styleId="192">
    <w:name w:val="正文_6_2_12"/>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93">
    <w:name w:val="正文_7_2_11"/>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94">
    <w:name w:val="正文_7_1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195">
    <w:name w:val="页脚_8"/>
    <w:basedOn w:val="196"/>
    <w:link w:val="197"/>
    <w:unhideWhenUsed/>
    <w:qFormat/>
    <w:uiPriority w:val="99"/>
    <w:pPr>
      <w:tabs>
        <w:tab w:val="center" w:pos="4153"/>
        <w:tab w:val="right" w:pos="8306"/>
      </w:tabs>
    </w:pPr>
    <w:rPr>
      <w:sz w:val="18"/>
      <w:szCs w:val="18"/>
    </w:rPr>
  </w:style>
  <w:style w:type="paragraph" w:customStyle="1" w:styleId="196">
    <w:name w:val="正文_8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197">
    <w:name w:val="页脚 字符_4"/>
    <w:link w:val="195"/>
    <w:qFormat/>
    <w:uiPriority w:val="99"/>
    <w:rPr>
      <w:rFonts w:ascii="宋体" w:hAnsi="宋体" w:eastAsia="宋体" w:cs="宋体"/>
      <w:kern w:val="0"/>
      <w:sz w:val="18"/>
      <w:szCs w:val="18"/>
      <w:lang w:eastAsia="en-US"/>
    </w:rPr>
  </w:style>
  <w:style w:type="paragraph" w:customStyle="1" w:styleId="198">
    <w:name w:val="样式 标题 3 + (中文) 黑体 小四 非加粗 段前: 7.8 磅 段后: 0 磅 行距: 固定值 20 磅_2_12"/>
    <w:basedOn w:val="199"/>
    <w:next w:val="200"/>
    <w:qFormat/>
    <w:uiPriority w:val="0"/>
    <w:pPr>
      <w:snapToGrid/>
      <w:spacing w:before="0" w:after="0" w:line="400" w:lineRule="exact"/>
      <w:ind w:firstLine="0" w:firstLineChars="0"/>
      <w:jc w:val="both"/>
    </w:pPr>
    <w:rPr>
      <w:rFonts w:ascii="Times New Roman" w:hAnsi="Times New Roman" w:eastAsia="黑体"/>
      <w:b w:val="0"/>
      <w:bCs w:val="0"/>
      <w:kern w:val="2"/>
      <w:sz w:val="24"/>
      <w:szCs w:val="20"/>
    </w:rPr>
  </w:style>
  <w:style w:type="paragraph" w:customStyle="1" w:styleId="199">
    <w:name w:val="标题 3_3_12"/>
    <w:basedOn w:val="200"/>
    <w:next w:val="200"/>
    <w:qFormat/>
    <w:uiPriority w:val="9"/>
    <w:pPr>
      <w:keepNext/>
      <w:keepLines/>
      <w:spacing w:before="260" w:after="260" w:line="416" w:lineRule="atLeast"/>
      <w:outlineLvl w:val="2"/>
    </w:pPr>
    <w:rPr>
      <w:b/>
      <w:bCs/>
      <w:sz w:val="32"/>
      <w:szCs w:val="32"/>
    </w:rPr>
  </w:style>
  <w:style w:type="paragraph" w:customStyle="1" w:styleId="200">
    <w:name w:val="正文_8_2_13"/>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201">
    <w:name w:val="标题 4_3_12"/>
    <w:basedOn w:val="200"/>
    <w:next w:val="200"/>
    <w:qFormat/>
    <w:uiPriority w:val="9"/>
    <w:pPr>
      <w:keepNext/>
      <w:keepLines/>
      <w:snapToGrid/>
      <w:spacing w:before="280" w:after="290" w:line="374" w:lineRule="auto"/>
      <w:ind w:firstLine="0" w:firstLineChars="0"/>
      <w:jc w:val="both"/>
      <w:outlineLvl w:val="3"/>
    </w:pPr>
    <w:rPr>
      <w:rFonts w:ascii="等线 Light" w:hAnsi="等线 Light" w:eastAsia="等线 Light"/>
      <w:b/>
      <w:bCs/>
      <w:kern w:val="2"/>
      <w:sz w:val="28"/>
      <w:szCs w:val="28"/>
    </w:rPr>
  </w:style>
  <w:style w:type="paragraph" w:customStyle="1" w:styleId="202">
    <w:name w:val="正文文本_3_2_13"/>
    <w:basedOn w:val="200"/>
    <w:unhideWhenUsed/>
    <w:qFormat/>
    <w:uiPriority w:val="1"/>
    <w:pPr>
      <w:snapToGrid/>
      <w:spacing w:line="240" w:lineRule="auto"/>
      <w:ind w:firstLine="0" w:firstLineChars="0"/>
    </w:pPr>
    <w:rPr>
      <w:rFonts w:cs="Times New Roman"/>
      <w:sz w:val="21"/>
      <w:szCs w:val="21"/>
    </w:rPr>
  </w:style>
  <w:style w:type="paragraph" w:customStyle="1" w:styleId="203">
    <w:name w:val="正文_8_2_0_12"/>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204">
    <w:name w:val="正文_8_1_12"/>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205">
    <w:name w:val="正文文本_3_2_0_12"/>
    <w:basedOn w:val="203"/>
    <w:semiHidden/>
    <w:qFormat/>
    <w:uiPriority w:val="1"/>
    <w:pPr>
      <w:snapToGrid/>
      <w:spacing w:line="240" w:lineRule="auto"/>
      <w:ind w:firstLine="0" w:firstLineChars="0"/>
    </w:pPr>
    <w:rPr>
      <w:rFonts w:cs="Times New Roman"/>
      <w:sz w:val="21"/>
      <w:szCs w:val="21"/>
    </w:rPr>
  </w:style>
  <w:style w:type="paragraph" w:customStyle="1" w:styleId="206">
    <w:name w:val="页眉_3"/>
    <w:basedOn w:val="207"/>
    <w:link w:val="208"/>
    <w:unhideWhenUsed/>
    <w:qFormat/>
    <w:uiPriority w:val="99"/>
    <w:pPr>
      <w:pBdr>
        <w:bottom w:val="single" w:color="auto" w:sz="6" w:space="1"/>
      </w:pBdr>
      <w:tabs>
        <w:tab w:val="center" w:pos="4153"/>
        <w:tab w:val="right" w:pos="8306"/>
      </w:tabs>
      <w:jc w:val="center"/>
    </w:pPr>
    <w:rPr>
      <w:sz w:val="18"/>
      <w:szCs w:val="18"/>
    </w:rPr>
  </w:style>
  <w:style w:type="paragraph" w:customStyle="1" w:styleId="207">
    <w:name w:val="正文_9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08">
    <w:name w:val="页眉 Char_0"/>
    <w:link w:val="206"/>
    <w:qFormat/>
    <w:uiPriority w:val="99"/>
    <w:rPr>
      <w:rFonts w:ascii="宋体" w:hAnsi="宋体" w:eastAsia="宋体" w:cs="宋体"/>
      <w:kern w:val="0"/>
      <w:sz w:val="18"/>
      <w:szCs w:val="18"/>
      <w:lang w:eastAsia="en-US"/>
    </w:rPr>
  </w:style>
  <w:style w:type="paragraph" w:customStyle="1" w:styleId="209">
    <w:name w:val="页脚_9"/>
    <w:basedOn w:val="207"/>
    <w:link w:val="210"/>
    <w:unhideWhenUsed/>
    <w:qFormat/>
    <w:uiPriority w:val="99"/>
    <w:pPr>
      <w:tabs>
        <w:tab w:val="center" w:pos="4153"/>
        <w:tab w:val="right" w:pos="8306"/>
      </w:tabs>
    </w:pPr>
    <w:rPr>
      <w:sz w:val="18"/>
      <w:szCs w:val="18"/>
    </w:rPr>
  </w:style>
  <w:style w:type="character" w:customStyle="1" w:styleId="210">
    <w:name w:val="页脚 Char_3"/>
    <w:link w:val="209"/>
    <w:qFormat/>
    <w:uiPriority w:val="99"/>
    <w:rPr>
      <w:rFonts w:ascii="宋体" w:hAnsi="宋体" w:eastAsia="宋体" w:cs="宋体"/>
      <w:kern w:val="0"/>
      <w:sz w:val="18"/>
      <w:szCs w:val="18"/>
      <w:lang w:eastAsia="en-US"/>
    </w:rPr>
  </w:style>
  <w:style w:type="table" w:customStyle="1" w:styleId="211">
    <w:name w:val="网格型_1"/>
    <w:basedOn w:val="34"/>
    <w:qFormat/>
    <w:uiPriority w:val="39"/>
    <w:pPr>
      <w:widowControl w:val="0"/>
      <w:jc w:val="both"/>
    </w:pPr>
    <w:rPr>
      <w:rFonts w:ascii="宋体" w:hAnsi="宋体" w:cs="宋体"/>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2">
    <w:name w:val="页眉_4"/>
    <w:basedOn w:val="213"/>
    <w:link w:val="214"/>
    <w:unhideWhenUsed/>
    <w:qFormat/>
    <w:uiPriority w:val="99"/>
    <w:pPr>
      <w:pBdr>
        <w:bottom w:val="single" w:color="auto" w:sz="6" w:space="1"/>
      </w:pBdr>
      <w:tabs>
        <w:tab w:val="center" w:pos="4153"/>
        <w:tab w:val="right" w:pos="8306"/>
      </w:tabs>
      <w:jc w:val="center"/>
    </w:pPr>
    <w:rPr>
      <w:sz w:val="18"/>
      <w:szCs w:val="18"/>
    </w:rPr>
  </w:style>
  <w:style w:type="paragraph" w:customStyle="1" w:styleId="213">
    <w:name w:val="正文_10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14">
    <w:name w:val="页眉 字符_2"/>
    <w:link w:val="212"/>
    <w:qFormat/>
    <w:uiPriority w:val="99"/>
    <w:rPr>
      <w:rFonts w:ascii="宋体" w:hAnsi="宋体" w:eastAsia="宋体" w:cs="宋体"/>
      <w:kern w:val="0"/>
      <w:sz w:val="18"/>
      <w:szCs w:val="18"/>
      <w:lang w:eastAsia="en-US"/>
    </w:rPr>
  </w:style>
  <w:style w:type="paragraph" w:customStyle="1" w:styleId="215">
    <w:name w:val="页脚_10"/>
    <w:basedOn w:val="213"/>
    <w:link w:val="216"/>
    <w:unhideWhenUsed/>
    <w:qFormat/>
    <w:uiPriority w:val="99"/>
    <w:pPr>
      <w:tabs>
        <w:tab w:val="center" w:pos="4153"/>
        <w:tab w:val="right" w:pos="8306"/>
      </w:tabs>
    </w:pPr>
    <w:rPr>
      <w:sz w:val="18"/>
      <w:szCs w:val="18"/>
    </w:rPr>
  </w:style>
  <w:style w:type="character" w:customStyle="1" w:styleId="216">
    <w:name w:val="页脚 字符_5"/>
    <w:link w:val="215"/>
    <w:qFormat/>
    <w:uiPriority w:val="99"/>
    <w:rPr>
      <w:rFonts w:ascii="宋体" w:hAnsi="宋体" w:eastAsia="宋体" w:cs="宋体"/>
      <w:kern w:val="0"/>
      <w:sz w:val="18"/>
      <w:szCs w:val="18"/>
      <w:lang w:eastAsia="en-US"/>
    </w:rPr>
  </w:style>
  <w:style w:type="paragraph" w:customStyle="1" w:styleId="217">
    <w:name w:val="标题 2_0_0"/>
    <w:basedOn w:val="213"/>
    <w:next w:val="213"/>
    <w:link w:val="218"/>
    <w:qFormat/>
    <w:uiPriority w:val="9"/>
    <w:pPr>
      <w:keepNext/>
      <w:keepLines/>
      <w:spacing w:before="260" w:after="260" w:line="416" w:lineRule="atLeast"/>
      <w:outlineLvl w:val="1"/>
    </w:pPr>
    <w:rPr>
      <w:rFonts w:ascii="Calibri Light" w:hAnsi="Calibri Light" w:cs="Times New Roman"/>
      <w:b/>
      <w:bCs/>
      <w:sz w:val="32"/>
      <w:szCs w:val="32"/>
    </w:rPr>
  </w:style>
  <w:style w:type="character" w:customStyle="1" w:styleId="218">
    <w:name w:val="标题 2 字符_2"/>
    <w:link w:val="217"/>
    <w:qFormat/>
    <w:uiPriority w:val="9"/>
    <w:rPr>
      <w:rFonts w:ascii="Calibri Light" w:hAnsi="Calibri Light" w:eastAsia="宋体" w:cs="Times New Roman"/>
      <w:b/>
      <w:bCs/>
      <w:kern w:val="0"/>
      <w:sz w:val="32"/>
      <w:szCs w:val="32"/>
      <w:lang w:eastAsia="en-US"/>
    </w:rPr>
  </w:style>
  <w:style w:type="paragraph" w:customStyle="1" w:styleId="219">
    <w:name w:val="页眉_5"/>
    <w:basedOn w:val="220"/>
    <w:link w:val="221"/>
    <w:unhideWhenUsed/>
    <w:qFormat/>
    <w:uiPriority w:val="99"/>
    <w:pPr>
      <w:pBdr>
        <w:bottom w:val="single" w:color="auto" w:sz="6" w:space="1"/>
      </w:pBdr>
      <w:tabs>
        <w:tab w:val="center" w:pos="4153"/>
        <w:tab w:val="right" w:pos="8306"/>
      </w:tabs>
      <w:jc w:val="center"/>
    </w:pPr>
    <w:rPr>
      <w:sz w:val="18"/>
      <w:szCs w:val="18"/>
    </w:rPr>
  </w:style>
  <w:style w:type="paragraph" w:customStyle="1" w:styleId="220">
    <w:name w:val="正文_11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21">
    <w:name w:val="页眉 字符_3"/>
    <w:link w:val="219"/>
    <w:qFormat/>
    <w:uiPriority w:val="99"/>
    <w:rPr>
      <w:rFonts w:ascii="宋体" w:hAnsi="宋体" w:eastAsia="宋体" w:cs="宋体"/>
      <w:kern w:val="0"/>
      <w:sz w:val="18"/>
      <w:szCs w:val="18"/>
      <w:lang w:eastAsia="en-US"/>
    </w:rPr>
  </w:style>
  <w:style w:type="paragraph" w:customStyle="1" w:styleId="222">
    <w:name w:val="页脚_11"/>
    <w:basedOn w:val="220"/>
    <w:link w:val="223"/>
    <w:unhideWhenUsed/>
    <w:qFormat/>
    <w:uiPriority w:val="99"/>
    <w:pPr>
      <w:tabs>
        <w:tab w:val="center" w:pos="4153"/>
        <w:tab w:val="right" w:pos="8306"/>
      </w:tabs>
    </w:pPr>
    <w:rPr>
      <w:sz w:val="18"/>
      <w:szCs w:val="18"/>
    </w:rPr>
  </w:style>
  <w:style w:type="character" w:customStyle="1" w:styleId="223">
    <w:name w:val="页脚 字符_6"/>
    <w:link w:val="222"/>
    <w:qFormat/>
    <w:uiPriority w:val="99"/>
    <w:rPr>
      <w:rFonts w:ascii="宋体" w:hAnsi="宋体" w:eastAsia="宋体" w:cs="宋体"/>
      <w:kern w:val="0"/>
      <w:sz w:val="18"/>
      <w:szCs w:val="18"/>
      <w:lang w:eastAsia="en-US"/>
    </w:rPr>
  </w:style>
  <w:style w:type="paragraph" w:customStyle="1" w:styleId="224">
    <w:name w:val="副标题_0_0"/>
    <w:basedOn w:val="220"/>
    <w:next w:val="220"/>
    <w:link w:val="225"/>
    <w:qFormat/>
    <w:uiPriority w:val="0"/>
    <w:pPr>
      <w:snapToGrid/>
      <w:spacing w:before="240" w:after="60" w:line="312" w:lineRule="auto"/>
      <w:ind w:firstLine="0" w:firstLineChars="0"/>
      <w:jc w:val="center"/>
      <w:outlineLvl w:val="1"/>
    </w:pPr>
    <w:rPr>
      <w:rFonts w:ascii="Cambria" w:hAnsi="Cambria" w:cs="Times New Roman"/>
      <w:b/>
      <w:bCs/>
      <w:kern w:val="28"/>
      <w:sz w:val="32"/>
      <w:szCs w:val="32"/>
      <w:lang w:eastAsia="zh-CN"/>
    </w:rPr>
  </w:style>
  <w:style w:type="character" w:customStyle="1" w:styleId="225">
    <w:name w:val="副标题 字符1"/>
    <w:link w:val="224"/>
    <w:qFormat/>
    <w:locked/>
    <w:uiPriority w:val="0"/>
    <w:rPr>
      <w:rFonts w:ascii="Cambria" w:hAnsi="Cambria" w:eastAsia="宋体" w:cs="Times New Roman"/>
      <w:b/>
      <w:bCs/>
      <w:kern w:val="28"/>
      <w:sz w:val="32"/>
      <w:szCs w:val="32"/>
    </w:rPr>
  </w:style>
  <w:style w:type="paragraph" w:customStyle="1" w:styleId="226">
    <w:name w:val="Normal_2"/>
    <w:qFormat/>
    <w:uiPriority w:val="0"/>
    <w:pPr>
      <w:widowControl w:val="0"/>
      <w:spacing w:line="400" w:lineRule="atLeast"/>
      <w:jc w:val="both"/>
    </w:pPr>
    <w:rPr>
      <w:rFonts w:ascii="Times New Roman" w:hAnsi="Times New Roman" w:eastAsia="宋体" w:cs="Times New Roman"/>
      <w:sz w:val="21"/>
      <w:lang w:val="en-US" w:eastAsia="zh-CN" w:bidi="ar-SA"/>
    </w:rPr>
  </w:style>
  <w:style w:type="paragraph" w:customStyle="1" w:styleId="227">
    <w:name w:val="页眉_6"/>
    <w:basedOn w:val="228"/>
    <w:link w:val="229"/>
    <w:unhideWhenUsed/>
    <w:qFormat/>
    <w:uiPriority w:val="99"/>
    <w:pPr>
      <w:pBdr>
        <w:bottom w:val="single" w:color="auto" w:sz="6" w:space="1"/>
      </w:pBdr>
      <w:tabs>
        <w:tab w:val="center" w:pos="4153"/>
        <w:tab w:val="right" w:pos="8306"/>
      </w:tabs>
      <w:spacing w:line="240" w:lineRule="auto"/>
      <w:ind w:firstLine="0" w:firstLineChars="0"/>
      <w:jc w:val="center"/>
    </w:pPr>
    <w:rPr>
      <w:rFonts w:ascii="Calibri" w:hAnsi="Calibri" w:cs="Times New Roman"/>
      <w:kern w:val="2"/>
      <w:sz w:val="18"/>
      <w:szCs w:val="18"/>
      <w:lang w:eastAsia="zh-CN"/>
    </w:rPr>
  </w:style>
  <w:style w:type="paragraph" w:customStyle="1" w:styleId="228">
    <w:name w:val="正文_12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29">
    <w:name w:val="页眉 Char_1"/>
    <w:link w:val="227"/>
    <w:qFormat/>
    <w:uiPriority w:val="99"/>
    <w:rPr>
      <w:rFonts w:ascii="Calibri" w:hAnsi="Calibri" w:eastAsia="宋体" w:cs="Times New Roman"/>
      <w:sz w:val="18"/>
      <w:szCs w:val="18"/>
    </w:rPr>
  </w:style>
  <w:style w:type="paragraph" w:customStyle="1" w:styleId="230">
    <w:name w:val="页脚_12"/>
    <w:basedOn w:val="228"/>
    <w:link w:val="231"/>
    <w:unhideWhenUsed/>
    <w:qFormat/>
    <w:uiPriority w:val="99"/>
    <w:pPr>
      <w:tabs>
        <w:tab w:val="center" w:pos="4153"/>
        <w:tab w:val="right" w:pos="8306"/>
      </w:tabs>
      <w:spacing w:line="240" w:lineRule="auto"/>
      <w:ind w:firstLine="0" w:firstLineChars="0"/>
    </w:pPr>
    <w:rPr>
      <w:rFonts w:ascii="Calibri" w:hAnsi="Calibri" w:cs="Times New Roman"/>
      <w:kern w:val="2"/>
      <w:sz w:val="18"/>
      <w:szCs w:val="18"/>
      <w:lang w:eastAsia="zh-CN"/>
    </w:rPr>
  </w:style>
  <w:style w:type="character" w:customStyle="1" w:styleId="231">
    <w:name w:val="页脚 Char_4"/>
    <w:link w:val="230"/>
    <w:qFormat/>
    <w:uiPriority w:val="99"/>
    <w:rPr>
      <w:rFonts w:ascii="Calibri" w:hAnsi="Calibri" w:eastAsia="宋体" w:cs="Times New Roman"/>
      <w:sz w:val="18"/>
      <w:szCs w:val="18"/>
    </w:rPr>
  </w:style>
  <w:style w:type="paragraph" w:customStyle="1" w:styleId="232">
    <w:name w:val="副标题_1_0"/>
    <w:basedOn w:val="228"/>
    <w:next w:val="228"/>
    <w:link w:val="233"/>
    <w:qFormat/>
    <w:uiPriority w:val="0"/>
    <w:pPr>
      <w:snapToGrid/>
      <w:spacing w:before="240" w:after="60" w:line="312" w:lineRule="auto"/>
      <w:ind w:firstLine="0" w:firstLineChars="0"/>
      <w:jc w:val="center"/>
      <w:outlineLvl w:val="1"/>
    </w:pPr>
    <w:rPr>
      <w:rFonts w:ascii="Cambria" w:hAnsi="Cambria" w:cs="Times New Roman"/>
      <w:b/>
      <w:bCs/>
      <w:kern w:val="28"/>
      <w:sz w:val="32"/>
      <w:szCs w:val="32"/>
      <w:lang w:eastAsia="zh-CN"/>
    </w:rPr>
  </w:style>
  <w:style w:type="character" w:customStyle="1" w:styleId="233">
    <w:name w:val="副标题 Char_1"/>
    <w:link w:val="232"/>
    <w:qFormat/>
    <w:locked/>
    <w:uiPriority w:val="0"/>
    <w:rPr>
      <w:rFonts w:ascii="Cambria" w:hAnsi="Cambria" w:eastAsia="宋体" w:cs="Times New Roman"/>
      <w:b/>
      <w:bCs/>
      <w:kern w:val="28"/>
      <w:sz w:val="32"/>
      <w:szCs w:val="32"/>
    </w:rPr>
  </w:style>
  <w:style w:type="paragraph" w:customStyle="1" w:styleId="234">
    <w:name w:val="Normal_1_20"/>
    <w:qFormat/>
    <w:uiPriority w:val="0"/>
    <w:rPr>
      <w:rFonts w:ascii="Times New Roman" w:hAnsi="Times New Roman" w:eastAsia="Times New Roman" w:cs="Times New Roman"/>
      <w:sz w:val="24"/>
      <w:szCs w:val="24"/>
      <w:lang w:val="en-US" w:eastAsia="zh-CN" w:bidi="ar-SA"/>
    </w:rPr>
  </w:style>
  <w:style w:type="paragraph" w:customStyle="1" w:styleId="235">
    <w:name w:val="页眉_7"/>
    <w:basedOn w:val="236"/>
    <w:link w:val="237"/>
    <w:unhideWhenUsed/>
    <w:qFormat/>
    <w:uiPriority w:val="99"/>
    <w:pPr>
      <w:pBdr>
        <w:bottom w:val="single" w:color="auto" w:sz="6" w:space="1"/>
      </w:pBdr>
      <w:tabs>
        <w:tab w:val="center" w:pos="4153"/>
        <w:tab w:val="right" w:pos="8306"/>
      </w:tabs>
      <w:jc w:val="center"/>
    </w:pPr>
    <w:rPr>
      <w:sz w:val="18"/>
      <w:szCs w:val="18"/>
    </w:rPr>
  </w:style>
  <w:style w:type="paragraph" w:customStyle="1" w:styleId="236">
    <w:name w:val="正文_13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37">
    <w:name w:val="页眉 字符_4"/>
    <w:link w:val="235"/>
    <w:qFormat/>
    <w:uiPriority w:val="99"/>
    <w:rPr>
      <w:rFonts w:ascii="宋体" w:hAnsi="宋体" w:eastAsia="宋体" w:cs="宋体"/>
      <w:kern w:val="0"/>
      <w:sz w:val="18"/>
      <w:szCs w:val="18"/>
      <w:lang w:eastAsia="en-US"/>
    </w:rPr>
  </w:style>
  <w:style w:type="paragraph" w:customStyle="1" w:styleId="238">
    <w:name w:val="页脚_13"/>
    <w:basedOn w:val="236"/>
    <w:link w:val="239"/>
    <w:unhideWhenUsed/>
    <w:qFormat/>
    <w:uiPriority w:val="99"/>
    <w:pPr>
      <w:tabs>
        <w:tab w:val="center" w:pos="4153"/>
        <w:tab w:val="right" w:pos="8306"/>
      </w:tabs>
    </w:pPr>
    <w:rPr>
      <w:sz w:val="18"/>
      <w:szCs w:val="18"/>
    </w:rPr>
  </w:style>
  <w:style w:type="character" w:customStyle="1" w:styleId="239">
    <w:name w:val="页脚 字符_7"/>
    <w:link w:val="238"/>
    <w:qFormat/>
    <w:uiPriority w:val="99"/>
    <w:rPr>
      <w:rFonts w:ascii="宋体" w:hAnsi="宋体" w:eastAsia="宋体" w:cs="宋体"/>
      <w:kern w:val="0"/>
      <w:sz w:val="18"/>
      <w:szCs w:val="18"/>
      <w:lang w:eastAsia="en-US"/>
    </w:rPr>
  </w:style>
  <w:style w:type="paragraph" w:customStyle="1" w:styleId="240">
    <w:name w:val="标题 2_1_0"/>
    <w:basedOn w:val="236"/>
    <w:next w:val="236"/>
    <w:link w:val="241"/>
    <w:qFormat/>
    <w:uiPriority w:val="9"/>
    <w:pPr>
      <w:keepNext/>
      <w:keepLines/>
      <w:spacing w:before="260" w:after="260" w:line="416" w:lineRule="atLeast"/>
      <w:outlineLvl w:val="1"/>
    </w:pPr>
    <w:rPr>
      <w:rFonts w:ascii="Calibri Light" w:hAnsi="Calibri Light" w:cs="Times New Roman"/>
      <w:b/>
      <w:bCs/>
      <w:sz w:val="32"/>
      <w:szCs w:val="32"/>
    </w:rPr>
  </w:style>
  <w:style w:type="character" w:customStyle="1" w:styleId="241">
    <w:name w:val="标题 2 字符_0_0"/>
    <w:link w:val="240"/>
    <w:qFormat/>
    <w:uiPriority w:val="9"/>
    <w:rPr>
      <w:rFonts w:ascii="Calibri Light" w:hAnsi="Calibri Light" w:eastAsia="宋体" w:cs="Times New Roman"/>
      <w:b/>
      <w:bCs/>
      <w:kern w:val="0"/>
      <w:sz w:val="32"/>
      <w:szCs w:val="32"/>
      <w:lang w:eastAsia="en-US"/>
    </w:rPr>
  </w:style>
  <w:style w:type="paragraph" w:customStyle="1" w:styleId="242">
    <w:name w:val="正文_15_2_18"/>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paragraph" w:customStyle="1" w:styleId="243">
    <w:name w:val="正文文本_4_2_18"/>
    <w:basedOn w:val="244"/>
    <w:unhideWhenUsed/>
    <w:qFormat/>
    <w:uiPriority w:val="1"/>
    <w:rPr>
      <w:sz w:val="21"/>
      <w:szCs w:val="21"/>
    </w:rPr>
  </w:style>
  <w:style w:type="paragraph" w:customStyle="1" w:styleId="244">
    <w:name w:val="正文_16_2_18"/>
    <w:qFormat/>
    <w:uiPriority w:val="0"/>
    <w:pPr>
      <w:widowControl w:val="0"/>
    </w:pPr>
    <w:rPr>
      <w:rFonts w:ascii="宋体" w:hAnsi="宋体" w:eastAsia="宋体" w:cs="宋体"/>
      <w:sz w:val="22"/>
      <w:szCs w:val="22"/>
      <w:lang w:val="en-US" w:eastAsia="en-US" w:bidi="ar-SA"/>
    </w:rPr>
  </w:style>
  <w:style w:type="paragraph" w:customStyle="1" w:styleId="245">
    <w:name w:val="正文_14_0"/>
    <w:qFormat/>
    <w:uiPriority w:val="0"/>
    <w:pPr>
      <w:widowControl w:val="0"/>
    </w:pPr>
    <w:rPr>
      <w:rFonts w:ascii="宋体" w:hAnsi="宋体" w:eastAsia="宋体" w:cs="宋体"/>
      <w:sz w:val="22"/>
      <w:szCs w:val="22"/>
      <w:lang w:val="en-US" w:eastAsia="en-US" w:bidi="ar-SA"/>
    </w:rPr>
  </w:style>
  <w:style w:type="paragraph" w:customStyle="1" w:styleId="246">
    <w:name w:val="正文文本_2_0"/>
    <w:basedOn w:val="245"/>
    <w:link w:val="247"/>
    <w:unhideWhenUsed/>
    <w:qFormat/>
    <w:uiPriority w:val="1"/>
    <w:rPr>
      <w:sz w:val="21"/>
      <w:szCs w:val="21"/>
    </w:rPr>
  </w:style>
  <w:style w:type="character" w:customStyle="1" w:styleId="247">
    <w:name w:val="正文文本 Char_0"/>
    <w:link w:val="246"/>
    <w:qFormat/>
    <w:uiPriority w:val="1"/>
    <w:rPr>
      <w:rFonts w:ascii="宋体" w:hAnsi="宋体" w:eastAsia="宋体" w:cs="宋体"/>
      <w:kern w:val="0"/>
      <w:szCs w:val="21"/>
      <w:lang w:eastAsia="en-US"/>
    </w:rPr>
  </w:style>
  <w:style w:type="paragraph" w:customStyle="1" w:styleId="248">
    <w:name w:val="正文缩进_18"/>
    <w:basedOn w:val="245"/>
    <w:qFormat/>
    <w:uiPriority w:val="99"/>
    <w:pPr>
      <w:ind w:firstLine="420" w:firstLineChars="200"/>
    </w:pPr>
    <w:rPr>
      <w:rFonts w:ascii="Calibri" w:hAnsi="Calibri"/>
    </w:rPr>
  </w:style>
  <w:style w:type="paragraph" w:customStyle="1" w:styleId="249">
    <w:name w:val="正文_15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50">
    <w:name w:val="Normal_0_0_0"/>
    <w:qFormat/>
    <w:uiPriority w:val="0"/>
    <w:rPr>
      <w:rFonts w:ascii="Times New Roman" w:hAnsi="Times New Roman" w:eastAsia="Times New Roman" w:cs="Times New Roman"/>
      <w:sz w:val="24"/>
      <w:szCs w:val="24"/>
      <w:lang w:val="en-US" w:eastAsia="zh-CN" w:bidi="ar-SA"/>
    </w:rPr>
  </w:style>
  <w:style w:type="table" w:customStyle="1" w:styleId="251">
    <w:name w:val="table_3"/>
    <w:basedOn w:val="34"/>
    <w:qFormat/>
    <w:uiPriority w:val="0"/>
    <w:rPr>
      <w:rFonts w:eastAsia="Times New Roman" w:cs="宋体"/>
    </w:rPr>
  </w:style>
  <w:style w:type="paragraph" w:customStyle="1" w:styleId="252">
    <w:name w:val="页眉_8"/>
    <w:basedOn w:val="253"/>
    <w:link w:val="254"/>
    <w:unhideWhenUsed/>
    <w:qFormat/>
    <w:uiPriority w:val="99"/>
    <w:pPr>
      <w:pBdr>
        <w:bottom w:val="single" w:color="auto" w:sz="6" w:space="1"/>
      </w:pBdr>
      <w:tabs>
        <w:tab w:val="center" w:pos="4153"/>
        <w:tab w:val="right" w:pos="8306"/>
      </w:tabs>
      <w:jc w:val="center"/>
    </w:pPr>
    <w:rPr>
      <w:rFonts w:ascii="Calibri" w:hAnsi="Calibri" w:cs="Times New Roman"/>
      <w:sz w:val="18"/>
      <w:szCs w:val="18"/>
    </w:rPr>
  </w:style>
  <w:style w:type="paragraph" w:customStyle="1" w:styleId="253">
    <w:name w:val="正文_16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54">
    <w:name w:val="页眉 字符_5"/>
    <w:link w:val="252"/>
    <w:qFormat/>
    <w:uiPriority w:val="99"/>
    <w:rPr>
      <w:rFonts w:ascii="Calibri" w:hAnsi="Calibri" w:eastAsia="宋体" w:cs="Times New Roman"/>
      <w:kern w:val="0"/>
      <w:sz w:val="18"/>
      <w:szCs w:val="18"/>
      <w:lang w:eastAsia="en-US"/>
    </w:rPr>
  </w:style>
  <w:style w:type="paragraph" w:customStyle="1" w:styleId="255">
    <w:name w:val="页脚_14"/>
    <w:basedOn w:val="253"/>
    <w:link w:val="256"/>
    <w:unhideWhenUsed/>
    <w:qFormat/>
    <w:uiPriority w:val="99"/>
    <w:pPr>
      <w:tabs>
        <w:tab w:val="center" w:pos="4153"/>
        <w:tab w:val="right" w:pos="8306"/>
      </w:tabs>
    </w:pPr>
    <w:rPr>
      <w:rFonts w:ascii="Calibri" w:hAnsi="Calibri" w:cs="Times New Roman"/>
      <w:sz w:val="18"/>
      <w:szCs w:val="18"/>
    </w:rPr>
  </w:style>
  <w:style w:type="character" w:customStyle="1" w:styleId="256">
    <w:name w:val="页脚 字符_8"/>
    <w:link w:val="255"/>
    <w:qFormat/>
    <w:uiPriority w:val="99"/>
    <w:rPr>
      <w:rFonts w:ascii="Calibri" w:hAnsi="Calibri" w:eastAsia="宋体" w:cs="Times New Roman"/>
      <w:kern w:val="0"/>
      <w:sz w:val="18"/>
      <w:szCs w:val="18"/>
      <w:lang w:eastAsia="en-US"/>
    </w:rPr>
  </w:style>
  <w:style w:type="paragraph" w:customStyle="1" w:styleId="257">
    <w:name w:val="副标题_2_0"/>
    <w:basedOn w:val="253"/>
    <w:next w:val="253"/>
    <w:link w:val="258"/>
    <w:qFormat/>
    <w:uiPriority w:val="11"/>
    <w:pPr>
      <w:spacing w:before="240" w:after="60" w:line="312" w:lineRule="atLeast"/>
      <w:jc w:val="center"/>
      <w:outlineLvl w:val="1"/>
    </w:pPr>
    <w:rPr>
      <w:rFonts w:ascii="Calibri Light" w:hAnsi="Calibri Light" w:cs="Times New Roman"/>
      <w:b/>
      <w:bCs/>
      <w:kern w:val="28"/>
      <w:sz w:val="32"/>
      <w:szCs w:val="32"/>
    </w:rPr>
  </w:style>
  <w:style w:type="character" w:customStyle="1" w:styleId="258">
    <w:name w:val="副标题 字符_0_0"/>
    <w:link w:val="257"/>
    <w:qFormat/>
    <w:uiPriority w:val="11"/>
    <w:rPr>
      <w:rFonts w:ascii="Calibri Light" w:hAnsi="Calibri Light" w:eastAsia="宋体" w:cs="Times New Roman"/>
      <w:b/>
      <w:bCs/>
      <w:kern w:val="28"/>
      <w:sz w:val="32"/>
      <w:szCs w:val="32"/>
      <w:lang w:eastAsia="en-US"/>
    </w:rPr>
  </w:style>
  <w:style w:type="paragraph" w:customStyle="1" w:styleId="259">
    <w:name w:val="正文_16_0_0"/>
    <w:qFormat/>
    <w:uiPriority w:val="1"/>
    <w:pPr>
      <w:widowControl w:val="0"/>
      <w:snapToGrid w:val="0"/>
      <w:spacing w:line="440" w:lineRule="exact"/>
      <w:ind w:firstLine="200" w:firstLineChars="200"/>
    </w:pPr>
    <w:rPr>
      <w:rFonts w:ascii="宋体" w:hAnsi="宋体" w:eastAsia="宋体" w:cs="宋体"/>
      <w:sz w:val="24"/>
      <w:szCs w:val="22"/>
      <w:lang w:val="en-US" w:eastAsia="en-US" w:bidi="ar-SA"/>
    </w:rPr>
  </w:style>
  <w:style w:type="character" w:customStyle="1" w:styleId="260">
    <w:name w:val="批注文字 字符"/>
    <w:link w:val="14"/>
    <w:qFormat/>
    <w:uiPriority w:val="99"/>
    <w:rPr>
      <w:rFonts w:ascii="微软雅黑" w:hAnsi="微软雅黑"/>
      <w:color w:val="262626" w:themeColor="text1" w:themeTint="D9"/>
      <w:szCs w:val="21"/>
      <w14:textFill>
        <w14:solidFill>
          <w14:schemeClr w14:val="tx1">
            <w14:lumMod w14:val="85000"/>
            <w14:lumOff w14:val="15000"/>
          </w14:schemeClr>
        </w14:solidFill>
      </w14:textFill>
    </w:rPr>
  </w:style>
  <w:style w:type="character" w:customStyle="1" w:styleId="261">
    <w:name w:val="批注主题 字符"/>
    <w:link w:val="31"/>
    <w:semiHidden/>
    <w:qFormat/>
    <w:uiPriority w:val="99"/>
    <w:rPr>
      <w:b/>
      <w:bCs/>
    </w:rPr>
  </w:style>
  <w:style w:type="paragraph" w:customStyle="1" w:styleId="262">
    <w:name w:val="技术规范书-标题1"/>
    <w:basedOn w:val="2"/>
    <w:next w:val="1"/>
    <w:qFormat/>
    <w:uiPriority w:val="0"/>
    <w:pPr>
      <w:numPr>
        <w:ilvl w:val="0"/>
        <w:numId w:val="2"/>
      </w:numPr>
      <w:tabs>
        <w:tab w:val="left" w:pos="179"/>
        <w:tab w:val="left" w:pos="283"/>
        <w:tab w:val="clear" w:pos="0"/>
      </w:tabs>
      <w:spacing w:before="260" w:after="260" w:line="416" w:lineRule="atLeast"/>
      <w:outlineLvl w:val="1"/>
    </w:pPr>
    <w:rPr>
      <w:rFonts w:cs="宋体"/>
      <w:kern w:val="0"/>
      <w:szCs w:val="24"/>
    </w:rPr>
  </w:style>
  <w:style w:type="paragraph" w:customStyle="1" w:styleId="263">
    <w:name w:val="技术规范书-标题2"/>
    <w:basedOn w:val="3"/>
    <w:next w:val="1"/>
    <w:qFormat/>
    <w:uiPriority w:val="0"/>
    <w:pPr>
      <w:numPr>
        <w:numId w:val="3"/>
      </w:numPr>
      <w:tabs>
        <w:tab w:val="left" w:pos="179"/>
        <w:tab w:val="clear" w:pos="0"/>
      </w:tabs>
      <w:spacing w:before="200" w:line="360" w:lineRule="auto"/>
    </w:pPr>
    <w:rPr>
      <w:rFonts w:cs="宋体"/>
      <w:color w:val="000000"/>
      <w:kern w:val="0"/>
    </w:rPr>
  </w:style>
  <w:style w:type="paragraph" w:customStyle="1" w:styleId="264">
    <w:name w:val="样式1"/>
    <w:basedOn w:val="1"/>
    <w:qFormat/>
    <w:uiPriority w:val="0"/>
    <w:pPr>
      <w:numPr>
        <w:ilvl w:val="0"/>
        <w:numId w:val="4"/>
      </w:numPr>
    </w:pPr>
  </w:style>
  <w:style w:type="character" w:customStyle="1" w:styleId="265">
    <w:name w:val="font21"/>
    <w:basedOn w:val="36"/>
    <w:qFormat/>
    <w:uiPriority w:val="0"/>
    <w:rPr>
      <w:rFonts w:hint="eastAsia" w:ascii="宋体" w:hAnsi="宋体" w:eastAsia="宋体" w:cs="宋体"/>
      <w:color w:val="000000"/>
      <w:sz w:val="22"/>
      <w:szCs w:val="22"/>
      <w:u w:val="none"/>
    </w:rPr>
  </w:style>
  <w:style w:type="character" w:customStyle="1" w:styleId="266">
    <w:name w:val="font11"/>
    <w:basedOn w:val="36"/>
    <w:qFormat/>
    <w:uiPriority w:val="0"/>
    <w:rPr>
      <w:rFonts w:hint="eastAsia" w:ascii="宋体" w:hAnsi="宋体" w:eastAsia="宋体" w:cs="宋体"/>
      <w:color w:val="000000"/>
      <w:sz w:val="22"/>
      <w:szCs w:val="22"/>
      <w:u w:val="none"/>
    </w:rPr>
  </w:style>
  <w:style w:type="character" w:customStyle="1" w:styleId="267">
    <w:name w:val="font41"/>
    <w:basedOn w:val="36"/>
    <w:qFormat/>
    <w:uiPriority w:val="0"/>
    <w:rPr>
      <w:rFonts w:hint="eastAsia" w:ascii="微软雅黑" w:hAnsi="微软雅黑" w:eastAsia="微软雅黑" w:cs="微软雅黑"/>
      <w:color w:val="0000FF"/>
      <w:sz w:val="20"/>
      <w:szCs w:val="20"/>
      <w:u w:val="none"/>
    </w:rPr>
  </w:style>
  <w:style w:type="character" w:customStyle="1" w:styleId="268">
    <w:name w:val="font31"/>
    <w:basedOn w:val="36"/>
    <w:qFormat/>
    <w:uiPriority w:val="0"/>
    <w:rPr>
      <w:rFonts w:hint="eastAsia" w:ascii="微软雅黑" w:hAnsi="微软雅黑" w:eastAsia="微软雅黑" w:cs="微软雅黑"/>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3.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3.png"/><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Version="6" StyleName="APA" SelectedStyle="\APASixthEditionOfficeOnline.xsl"/>
</file>

<file path=customXml/item3.xml><?xml version="1.0" encoding="utf-8"?>
<contractReview xmlns="http://schemas.wps.cn/vas-ai-hub/contract-review">
  <reviewItems>
    <reviewItem>
      <errorID>a706ea2b-5cf4-4465-9ded-3ba50c1cc5fe</errorID>
      <errorWord>浙</errorWord>
      <group>L1_Word</group>
      <groupName>字词问题</groupName>
      <ability>L2_Typo</ability>
      <abilityName>字词错误</abilityName>
      <candidateList>
        <item>浙江</item>
      </candidateList>
      <explain/>
      <paraID>40B4A331</paraID>
      <start>0</start>
      <end>1</end>
      <status>unmodified</status>
      <modifiedWord/>
      <trackRevisions>false</trackRevisions>
    </reviewItem>
    <reviewItem>
      <errorID>4f953859-1fe4-4b56-ba80-18684ec9acce</errorID>
      <errorWord>经</errorWord>
      <group>L1_Word</group>
      <groupName>字词问题</groupName>
      <ability>L2_Typo</ability>
      <abilityName>字词错误</abilityName>
      <candidateList>
        <item>经过</item>
      </candidateList>
      <explain>❶〈动〉通过（处所、时间、动作等）：从北京坐火车到广州要～武汉｜屋子～打扫，干净多了｜这件事情是～领导上缜密考虑过的。❷〈名〉过程；经历▲：厂长向来宾报告建厂～｜说说你探险的～。</explain>
      <paraID>4D856BB5</paraID>
      <start>0</start>
      <end>1</end>
      <status>unmodified</status>
      <modifiedWord/>
      <trackRevisions>false</trackRevisions>
    </reviewItem>
    <reviewItem>
      <errorID>74f4dc71-914d-490d-959a-40d857ff6690</errorID>
      <errorWord>浙</errorWord>
      <group>L1_Word</group>
      <groupName>字词问题</groupName>
      <ability>L2_Typo</ability>
      <abilityName>字词错误</abilityName>
      <candidateList>
        <item>浙江</item>
      </candidateList>
      <explain/>
      <paraID>66142484</paraID>
      <start>9</start>
      <end>10</end>
      <status>unmodified</status>
      <modifiedWord/>
      <trackRevisions>false</trackRevisions>
    </reviewItem>
    <reviewItem>
      <errorID>c9096618-bbe0-48cd-b3f7-170f15980236</errorID>
      <errorWord>财司</errorWord>
      <group>L1_Word</group>
      <groupName>字词问题</groupName>
      <ability>L2_Typo</ability>
      <abilityName>字词错误</abilityName>
      <candidateList>
        <item>财务</item>
      </candidateList>
      <explain/>
      <paraID>51659B8C</paraID>
      <start>28</start>
      <end>30</end>
      <status>unmodified</status>
      <modifiedWord/>
      <trackRevisions>false</trackRevisions>
    </reviewItem>
    <reviewItem>
      <errorID>5904c316-255c-495a-a100-c349bc4ea0a0</errorID>
      <errorWord>浙</errorWord>
      <group>L1_Word</group>
      <groupName>字词问题</groupName>
      <ability>L2_Typo</ability>
      <abilityName>字词错误</abilityName>
      <candidateList>
        <item>浙江</item>
      </candidateList>
      <explain/>
      <paraID>68A33DAD</paraID>
      <start>21</start>
      <end>22</end>
      <status>ignored</status>
      <modifiedWord/>
      <trackRevisions>false</trackRevisions>
    </reviewItem>
    <reviewItem>
      <errorID>1258b61c-9b14-4feb-ad63-9268ab3c9b6f</errorID>
      <errorWord>站站</errorWord>
      <group>L1_Word</group>
      <groupName>字词问题</groupName>
      <ability>L2_Typo</ability>
      <abilityName>字词错误</abilityName>
      <candidateList>
        <item>站</item>
      </candidateList>
      <explain/>
      <paraID>2F6FF1AC</paraID>
      <start>50</start>
      <end>52</end>
      <status>unmodified</status>
      <modifiedWord/>
      <trackRevisions>false</trackRevisions>
    </reviewItem>
    <reviewItem>
      <errorID>4a1b583d-a2d5-42df-848f-14b88a8ff7ab</errorID>
      <errorWord>站站</errorWord>
      <group>L1_Word</group>
      <groupName>字词问题</groupName>
      <ability>L2_Typo</ability>
      <abilityName>字词错误</abilityName>
      <candidateList>
        <item>站</item>
      </candidateList>
      <explain/>
      <paraID> BD4CD06</paraID>
      <start>2</start>
      <end>4</end>
      <status>unmodified</status>
      <modifiedWord/>
      <trackRevisions>false</trackRevisions>
    </reviewItem>
    <reviewItem>
      <errorID>8524b9f2-4341-4c2e-aa5b-f9da203514de</errorID>
      <errorWord>地</errorWord>
      <group>L1_Word</group>
      <groupName>字词问题</groupName>
      <ability>L2_DDD</ability>
      <abilityName>的地得用法</abilityName>
      <candidateList>
        <item>的</item>
      </candidateList>
      <explain>“的”常用于连接修饰语与名词性中心语，表示属性、所属或描述。</explain>
      <paraID>5CB28A60</paraID>
      <start>91</start>
      <end>92</end>
      <status>unmodified</status>
      <modifiedWord/>
      <trackRevisions>false</trackRevisions>
    </reviewItem>
    <reviewItem>
      <errorID>7e55bd9f-c3ce-4ba0-b291-cbfde26bc678</errorID>
      <errorWord>供能</errorWord>
      <group>L1_Word</group>
      <groupName>字词问题</groupName>
      <ability>L2_Typo</ability>
      <abilityName>字词错误</abilityName>
      <candidateList>
        <item>功能</item>
      </candidateList>
      <explain/>
      <paraID>75B8C39D</paraID>
      <start>27</start>
      <end>29</end>
      <status>unmodified</status>
      <modifiedWord/>
      <trackRevisions>false</trackRevisions>
    </reviewItem>
    <reviewItem>
      <errorID>6768f615-ba4a-4a7e-a4d2-1e9b69c0e152</errorID>
      <errorWord>&lt;</errorWord>
      <group>L1_Format</group>
      <groupName>格式问题</groupName>
      <ability>L2_HalfPunc</ability>
      <abilityName>全半角检查</abilityName>
      <candidateList>
        <item>〈</item>
      </candidateList>
      <explain>文本全半角错误。</explain>
      <paraID>7EA24F46</paraID>
      <start>15</start>
      <end>16</end>
      <status>unmodified</status>
      <modifiedWord/>
      <trackRevisions>false</trackRevisions>
    </reviewItem>
    <reviewItem>
      <errorID>6edcfb8f-16fb-45df-baa8-057f823d8994</errorID>
      <errorWord>&lt;</errorWord>
      <group>L1_Format</group>
      <groupName>格式问题</groupName>
      <ability>L2_HalfPunc</ability>
      <abilityName>全半角检查</abilityName>
      <candidateList>
        <item>〈</item>
      </candidateList>
      <explain>文本全半角错误。</explain>
      <paraID>7EA24F46</paraID>
      <start>26</start>
      <end>27</end>
      <status>unmodified</status>
      <modifiedWord/>
      <trackRevisions>false</trackRevisions>
    </reviewItem>
    <reviewItem>
      <errorID>af51d1b2-ded6-4812-9984-33da118c84aa</errorID>
      <errorWord>&lt;</errorWord>
      <group>L1_Format</group>
      <groupName>格式问题</groupName>
      <ability>L2_HalfPunc</ability>
      <abilityName>全半角检查</abilityName>
      <candidateList>
        <item>〈</item>
      </candidateList>
      <explain>文本全半角错误。</explain>
      <paraID>7EA24F46</paraID>
      <start>37</start>
      <end>38</end>
      <status>unmodified</status>
      <modifiedWord/>
      <trackRevisions>false</trackRevisions>
    </reviewItem>
    <reviewItem>
      <errorID>a493e762-905d-4bdd-886b-4fea1dff8987</errorID>
      <errorWord>&gt;</errorWord>
      <group>L1_Punc</group>
      <groupName>标点问题</groupName>
      <ability>L2_Punc</ability>
      <abilityName>标点符号检查</abilityName>
      <candidateList/>
      <explain/>
      <paraID>36144098</paraID>
      <start>0</start>
      <end>1</end>
      <status>unmodified</status>
      <modifiedWord/>
      <trackRevisions>false</trackRevisions>
    </reviewItem>
    <reviewItem>
      <errorID>925db6c7-5789-4dae-bdfa-ca652b50b0d1</errorID>
      <errorWord>&gt;</errorWord>
      <group>L1_Punc</group>
      <groupName>标点问题</groupName>
      <ability>L2_Punc</ability>
      <abilityName>标点符号检查</abilityName>
      <candidateList/>
      <explain/>
      <paraID>1BE39749</paraID>
      <start>0</start>
      <end>1</end>
      <status>unmodified</status>
      <modifiedWord/>
      <trackRevisions>false</trackRevisions>
    </reviewItem>
    <reviewItem>
      <errorID>4a0048fb-1690-453d-89b5-75e67d62172f</errorID>
      <errorWord>&gt;</errorWord>
      <group>L1_Punc</group>
      <groupName>标点问题</groupName>
      <ability>L2_Punc</ability>
      <abilityName>标点符号检查</abilityName>
      <candidateList/>
      <explain/>
      <paraID>645C85E4</paraID>
      <start>0</start>
      <end>1</end>
      <status>unmodified</status>
      <modifiedWord/>
      <trackRevisions>false</trackRevisions>
    </reviewItem>
    <reviewItem>
      <errorID>66036aef-8983-41c3-ab61-34e71ca609df</errorID>
      <errorWord>&gt;</errorWord>
      <group>L1_Punc</group>
      <groupName>标点问题</groupName>
      <ability>L2_Punc</ability>
      <abilityName>标点符号检查</abilityName>
      <candidateList/>
      <explain/>
      <paraID> 67D09DC</paraID>
      <start>0</start>
      <end>1</end>
      <status>unmodified</status>
      <modifiedWord/>
      <trackRevisions>false</trackRevisions>
    </reviewItem>
    <reviewItem>
      <errorID>b255eefb-1bd5-4709-a0ea-de70a5ba1a6c</errorID>
      <errorWord>&gt;</errorWord>
      <group>L1_Punc</group>
      <groupName>标点问题</groupName>
      <ability>L2_Punc</ability>
      <abilityName>标点符号检查</abilityName>
      <candidateList/>
      <explain/>
      <paraID>7F2F4CF4</paraID>
      <start>0</start>
      <end>1</end>
      <status>unmodified</status>
      <modifiedWord/>
      <trackRevisions>false</trackRevisions>
    </reviewItem>
    <reviewItem>
      <errorID>11d2314f-5c8d-44db-b930-9a1854a4e266</errorID>
      <errorWord>(</errorWord>
      <group>L1_Format</group>
      <groupName>格式问题</groupName>
      <ability>L2_HalfPunc</ability>
      <abilityName>全半角检查</abilityName>
      <candidateList>
        <item>（</item>
      </candidateList>
      <explain>文本全半角错误。</explain>
      <paraID>5C787D06</paraID>
      <start>10</start>
      <end>11</end>
      <status>unmodified</status>
      <modifiedWord/>
      <trackRevisions>false</trackRevisions>
    </reviewItem>
    <reviewItem>
      <errorID>078f87f5-91e8-4226-a9ad-7594bc08fafd</errorID>
      <errorWord>)</errorWord>
      <group>L1_Format</group>
      <groupName>格式问题</groupName>
      <ability>L2_HalfPunc</ability>
      <abilityName>全半角检查</abilityName>
      <candidateList>
        <item>）</item>
      </candidateList>
      <explain>文本全半角错误。</explain>
      <paraID>5C787D06</paraID>
      <start>12</start>
      <end>13</end>
      <status>unmodified</status>
      <modifiedWord/>
      <trackRevisions>false</trackRevisions>
    </reviewItem>
    <reviewItem>
      <errorID>e90ddcbe-4808-41a6-b849-3d6ffe486c2b</errorID>
      <errorWord>(</errorWord>
      <group>L1_Format</group>
      <groupName>格式问题</groupName>
      <ability>L2_HalfPunc</ability>
      <abilityName>全半角检查</abilityName>
      <candidateList>
        <item>（</item>
      </candidateList>
      <explain>文本全半角错误。</explain>
      <paraID>1DE66532</paraID>
      <start>11</start>
      <end>12</end>
      <status>unmodified</status>
      <modifiedWord/>
      <trackRevisions>false</trackRevisions>
    </reviewItem>
    <reviewItem>
      <errorID>415d42e7-bae0-4dc9-99a6-a6ccce0f4f69</errorID>
      <errorWord>)</errorWord>
      <group>L1_Format</group>
      <groupName>格式问题</groupName>
      <ability>L2_HalfPunc</ability>
      <abilityName>全半角检查</abilityName>
      <candidateList>
        <item>）</item>
      </candidateList>
      <explain>文本全半角错误。</explain>
      <paraID>1DE66532</paraID>
      <start>13</start>
      <end>14</end>
      <status>unmodified</status>
      <modifiedWord/>
      <trackRevisions>false</trackRevisions>
    </reviewItem>
    <reviewItem>
      <errorID>44e1ec37-dedf-4c8b-9b8b-262ed7fbe8ed</errorID>
      <errorWord>度</errorWord>
      <group>L1_Word</group>
      <groupName>字词问题</groupName>
      <ability>L2_Typo</ability>
      <abilityName>字词错误</abilityName>
      <candidateList>
        <item>度和</item>
      </candidateList>
      <explain/>
      <paraID>1E6E9727</paraID>
      <start>124</start>
      <end>125</end>
      <status>unmodified</status>
      <modifiedWord/>
      <trackRevisions>false</trackRevisions>
    </reviewItem>
    <reviewItem>
      <errorID>061f9879-e095-49e8-baad-ec659f2c4f61</errorID>
      <errorWord>地</errorWord>
      <group>L1_Word</group>
      <groupName>字词问题</groupName>
      <ability>L2_DDD</ability>
      <abilityName>的地得用法</abilityName>
      <candidateList>
        <item>的</item>
      </candidateList>
      <explain>“的”常用于连接修饰语与名词性中心语，表示属性、所属或描述。</explain>
      <paraID>1818886B</paraID>
      <start>127</start>
      <end>128</end>
      <status>unmodified</status>
      <modifiedWord/>
      <trackRevisions>false</trackRevisions>
    </reviewItem>
    <reviewItem>
      <errorID>15a316f9-3011-4cd3-b1df-6bcef7436b2d</errorID>
      <errorWord>(</errorWord>
      <group>L1_Format</group>
      <groupName>格式问题</groupName>
      <ability>L2_HalfPunc</ability>
      <abilityName>全半角检查</abilityName>
      <candidateList>
        <item>（</item>
      </candidateList>
      <explain>文本全半角错误。</explain>
      <paraID>7A923236</paraID>
      <start>24</start>
      <end>25</end>
      <status>unmodified</status>
      <modifiedWord/>
      <trackRevisions>false</trackRevisions>
    </reviewItem>
    <reviewItem>
      <errorID>6d71802e-776c-4fd8-a24d-18536a1b9141</errorID>
      <errorWord>需</errorWord>
      <group>L1_Word</group>
      <groupName>字词问题</groupName>
      <ability>L2_Typo</ability>
      <abilityName>字词错误</abilityName>
      <candidateList>
        <item>需要</item>
      </candidateList>
      <explain>❶〈动〉应该有或必须有：我们～一支强大的科学技术队伍。❷〈名〉对事物的欲望或要求：从群众的～出发。</explain>
      <paraID> AE3FD2B</paraID>
      <start>107</start>
      <end>108</end>
      <status>unmodified</status>
      <modifiedWord/>
      <trackRevisions>false</trackRevisions>
    </reviewItem>
    <reviewItem>
      <errorID>a2ead491-9cb5-4bea-ab97-08b50c52f513</errorID>
      <errorWord>，</errorWord>
      <group>L1_Word</group>
      <groupName>字词问题</groupName>
      <ability>L2_Typo</ability>
      <abilityName>字词错误</abilityName>
      <candidateList>
        <item>，必</item>
      </candidateList>
      <explain/>
      <paraID>4A7955B7</paraID>
      <start>11</start>
      <end>12</end>
      <status>unmodified</status>
      <modifiedWord/>
      <trackRevisions>false</trackRevisions>
    </reviewItem>
    <reviewItem>
      <errorID>5c0513bc-b73f-40b9-985c-7b8ff55482ff</errorID>
      <errorWord>扩缩</errorWord>
      <group>L1_Word</group>
      <groupName>字词问题</groupName>
      <ability>L2_Typo</ability>
      <abilityName>字词错误</abilityName>
      <candidateList>
        <item>扩</item>
      </candidateList>
      <explain/>
      <paraID>2C49FF78</paraID>
      <start>46</start>
      <end>48</end>
      <status>unmodified</status>
      <modifiedWord/>
      <trackRevisions>false</trackRevisions>
    </reviewItem>
    <reviewItem>
      <errorID>0d1fed4f-6dc9-4041-871d-6091abe40dbe</errorID>
      <errorWord>供能</errorWord>
      <group>L1_Word</group>
      <groupName>字词问题</groupName>
      <ability>L2_Typo</ability>
      <abilityName>字词错误</abilityName>
      <candidateList>
        <item>功能</item>
      </candidateList>
      <explain/>
      <paraID> B8D4B3D</paraID>
      <start>58</start>
      <end>60</end>
      <status>unmodified</status>
      <modifiedWord/>
      <trackRevisions>false</trackRevisions>
    </reviewItem>
    <reviewItem>
      <errorID>42b9c0f8-bf6a-47e7-83a6-1873ee4df1fe</errorID>
      <errorWord>促促</errorWord>
      <group>L1_Word</group>
      <groupName>字词问题</groupName>
      <ability>L2_Typo</ability>
      <abilityName>字词错误</abilityName>
      <candidateList>
        <item>促</item>
      </candidateList>
      <explain/>
      <paraID> 3F4D3C6</paraID>
      <start>3</start>
      <end>5</end>
      <status>unmodified</status>
      <modifiedWord/>
      <trackRevisions>false</trackRevisions>
    </reviewItem>
    <reviewItem>
      <errorID>efc1563a-dde1-46b3-96f2-b2102a147c1d</errorID>
      <errorWord>不仅要</errorWord>
      <group>L1_Word</group>
      <groupName>字词问题</groupName>
      <ability>L2_Typo</ability>
      <abilityName>字词错误</abilityName>
      <candidateList>
        <item>不仅</item>
      </candidateList>
      <explain>❶〈副〉表示超出某个数量或范围；不止：这～是我个人的意见。❷〈连〉不但：～方法对头，而且措施得力｜他们～提前完成了生产任务，而且还支援了兄弟单位。</explain>
      <paraID> C2406C6</paraID>
      <start>86</start>
      <end>89</end>
      <status>unmodified</status>
      <modifiedWord/>
      <trackRevisions>false</trackRevisions>
    </reviewItem>
    <reviewItem>
      <errorID>c35e4eda-ec8f-451f-9fd7-a61c5683e4d9</errorID>
      <errorWord>变类申请</errorWord>
      <group>L1_Knowledge</group>
      <groupName>知识性问题</groupName>
      <ability>L2_Term</ability>
      <abilityName>专业术语</abilityName>
      <candidateList>
        <item>变更申请</item>
      </candidateList>
      <explain/>
      <paraID>6A968071</paraID>
      <start>110</start>
      <end>114</end>
      <status>unmodified</status>
      <modifiedWord/>
      <trackRevisions>false</trackRevisions>
    </reviewItem>
    <reviewItem>
      <errorID>c73e67b8-f9f6-4b43-9416-e0aa28c27610</errorID>
      <errorWord>完备</errorWord>
      <group>L1_Word</group>
      <groupName>字词问题</groupName>
      <ability>L2_Typo</ability>
      <abilityName>字词错误</abilityName>
      <candidateList>
        <item>完善</item>
      </candidateList>
      <explain>“完备～机制”搭配不当，建议修改为“完善～机制”。</explain>
      <paraID> E315EF5</paraID>
      <start>22</start>
      <end>24</end>
      <status>unmodified</status>
      <modifiedWord/>
      <trackRevisions>false</trackRevisions>
    </reviewItem>
    <reviewItem>
      <errorID>4706b3bb-d227-430f-bd29-0c5578426857</errorID>
      <errorWord>收货</errorWord>
      <group>L1_Word</group>
      <groupName>字词问题</groupName>
      <ability>L2_Typo</ability>
      <abilityName>字词错误</abilityName>
      <candidateList>
        <item>收储</item>
      </candidateList>
      <explain/>
      <paraID>7E1EE9BC</paraID>
      <start>121</start>
      <end>123</end>
      <status>unmodified</status>
      <modifiedWord/>
      <trackRevisions>false</trackRevisions>
    </reviewItem>
    <reviewItem>
      <errorID>ad53b617-bef8-44f6-9c76-000eb0a4f638</errorID>
      <errorWord>系统性</errorWord>
      <group>L1_Word</group>
      <groupName>字词问题</groupName>
      <ability>L2_Typo</ability>
      <abilityName>字词错误</abilityName>
      <candidateList>
        <item>系统</item>
      </candidateList>
      <explain>❶〈名〉同类事物按一定的关系组成的整体：～化｜组织～｜灌溉～。❷〈形〉有条理的；有系统的：～学习｜～研究｜资料不够。</explain>
      <paraID>66949A35</paraID>
      <start>13</start>
      <end>16</end>
      <status>unmodified</status>
      <modifiedWord/>
      <trackRevisions>false</trackRevisions>
    </reviewItem>
    <reviewItem>
      <errorID>5cf33985-c42a-41c9-b6df-7b33b8dcd4f9</errorID>
      <errorWord>需</errorWord>
      <group>L1_Word</group>
      <groupName>字词问题</groupName>
      <ability>L2_Typo</ability>
      <abilityName>字词错误</abilityName>
      <candidateList>
        <item>需要</item>
      </candidateList>
      <explain>❶〈动〉应该有或必须有：我们～一支强大的科学技术队伍。❷〈名〉对事物的欲望或要求：从群众的～出发。</explain>
      <paraID>3A3BD9C3</paraID>
      <start>170</start>
      <end>171</end>
      <status>unmodified</status>
      <modifiedWord/>
      <trackRevisions>false</trackRevisions>
    </reviewItem>
    <reviewItem>
      <errorID>2c07fbf4-0f02-4b84-9875-c0d373fb65ea</errorID>
      <errorWord>(</errorWord>
      <group>L1_Format</group>
      <groupName>格式问题</groupName>
      <ability>L2_HalfPunc</ability>
      <abilityName>全半角检查</abilityName>
      <candidateList>
        <item>（</item>
      </candidateList>
      <explain>文本全半角错误。</explain>
      <paraID>79EF103B</paraID>
      <start>172</start>
      <end>173</end>
      <status>unmodified</status>
      <modifiedWord/>
      <trackRevisions>false</trackRevisions>
    </reviewItem>
    <reviewItem>
      <errorID>951a8cf7-fe47-4aa6-9005-2bdd01c36660</errorID>
      <errorWord>同</errorWord>
      <group>L1_Word</group>
      <groupName>字词问题</groupName>
      <ability>L2_Typo</ability>
      <abilityName>字词错误</abilityName>
      <candidateList>
        <item>同一</item>
      </candidateList>
      <explain/>
      <paraID>169E7D51</paraID>
      <start>173</start>
      <end>174</end>
      <status>unmodified</status>
      <modifiedWord/>
      <trackRevisions>false</trackRevisions>
    </reviewItem>
    <reviewItem>
      <errorID>9f5a992c-7f83-4073-981d-c919ea38890d</errorID>
      <errorWord>供能</errorWord>
      <group>L1_Word</group>
      <groupName>字词问题</groupName>
      <ability>L2_Typo</ability>
      <abilityName>字词错误</abilityName>
      <candidateList>
        <item>功能</item>
      </candidateList>
      <explain/>
      <paraID>76D1C864</paraID>
      <start>39</start>
      <end>41</end>
      <status>unmodified</status>
      <modifiedWord/>
      <trackRevisions>false</trackRevisions>
    </reviewItem>
    <reviewItem>
      <errorID>376a68d5-c58b-4d4c-87c8-1e63aeddab3b</errorID>
      <errorWord>供能</errorWord>
      <group>L1_Word</group>
      <groupName>字词问题</groupName>
      <ability>L2_Typo</ability>
      <abilityName>字词错误</abilityName>
      <candidateList>
        <item>功能</item>
      </candidateList>
      <explain/>
      <paraID> E1F88EF</paraID>
      <start>34</start>
      <end>36</end>
      <status>unmodified</status>
      <modifiedWord/>
      <trackRevisions>false</trackRevisions>
    </reviewItem>
    <reviewItem>
      <errorID>13e667e1-25ac-40ee-860e-4a848bd1f38f</errorID>
      <errorWord>繁琐</errorWord>
      <group>L1_Word</group>
      <groupName>字词问题</groupName>
      <ability>L2_Typo</ability>
      <abilityName>字词错误</abilityName>
      <candidateList>
        <item>烦琐</item>
      </candidateList>
      <explain/>
      <paraID> E1F88EF</paraID>
      <start>120</start>
      <end>122</end>
      <status>unmodified</status>
      <modifiedWord/>
      <trackRevisions>false</trackRevisions>
    </reviewItem>
    <reviewItem>
      <errorID>88852278-1e55-48da-9143-9e3fbe319821</errorID>
      <errorWord>繁琐</errorWord>
      <group>L1_Word</group>
      <groupName>字词问题</groupName>
      <ability>L2_Typo</ability>
      <abilityName>字词错误</abilityName>
      <candidateList>
        <item>烦琐</item>
      </candidateList>
      <explain/>
      <paraID>2C1C630B</paraID>
      <start>74</start>
      <end>76</end>
      <status>unmodified</status>
      <modifiedWord/>
      <trackRevisions>false</trackRevisions>
    </reviewItem>
    <reviewItem>
      <errorID>364eed62-6a95-4c4e-8536-51589161fef8</errorID>
      <errorWord>完备</errorWord>
      <group>L1_Word</group>
      <groupName>字词问题</groupName>
      <ability>L2_Typo</ability>
      <abilityName>字词错误</abilityName>
      <candidateList>
        <item>完善</item>
      </candidateList>
      <explain>“完备～机制”搭配不当，建议修改为“完善～机制”。</explain>
      <paraID>2E270BD2</paraID>
      <start>55</start>
      <end>57</end>
      <status>unmodified</status>
      <modifiedWord/>
      <trackRevisions>false</trackRevisions>
    </reviewItem>
    <reviewItem>
      <errorID>a0894e55-a4fb-4088-b1db-243372f8dcf0</errorID>
      <errorWord>打标</errorWord>
      <group>L1_Word</group>
      <groupName>字词问题</groupName>
      <ability>L2_Typo</ability>
      <abilityName>字词错误</abilityName>
      <candidateList>
        <item>达标</item>
      </candidateList>
      <explain/>
      <paraID>1CF9A0E6</paraID>
      <start>101</start>
      <end>103</end>
      <status>unmodified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C5F43F-7598-4192-8CA6-FBF31BD5B00F}">
  <ds:schemaRefs/>
</ds:datastoreItem>
</file>

<file path=customXml/itemProps3.xml><?xml version="1.0" encoding="utf-8"?>
<ds:datastoreItem xmlns:ds="http://schemas.openxmlformats.org/officeDocument/2006/customXml" ds:itemID="{ca4d68d2-971f-416e-82a6-23affa8a1077}">
  <ds:schemaRefs/>
</ds:datastoreItem>
</file>

<file path=docProps/app.xml><?xml version="1.0" encoding="utf-8"?>
<Properties xmlns="http://schemas.openxmlformats.org/officeDocument/2006/extended-properties" xmlns:vt="http://schemas.openxmlformats.org/officeDocument/2006/docPropsVTypes">
  <Pages>94</Pages>
  <Words>8713</Words>
  <Characters>9222</Characters>
  <Lines>598</Lines>
  <Paragraphs>168</Paragraphs>
  <TotalTime>41</TotalTime>
  <ScaleCrop>false</ScaleCrop>
  <LinksUpToDate>false</LinksUpToDate>
  <CharactersWithSpaces>9441</CharactersWithSpaces>
  <Application>WPS Office_11.8.6.11829_F1E327BC-269C-435d-A152-05C5408002CA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2025-03-01T11:28:00Z</dcterms:created>
  <dcterms:modified xsi:type="dcterms:W3CDTF">2026-01-16T07:06:09Z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2052-11.8.6.11829</vt:lpwstr>
  </property>
  <property fmtid="{D5CDD505-2E9C-101B-9397-08002B2CF9AE}" pid="3" name="ICV">
    <vt:lpwstr>3BC18304944A47FFA1A4C1AB07FE24BB_13</vt:lpwstr>
  </property>
  <property fmtid="{D5CDD505-2E9C-101B-9397-08002B2CF9AE}" pid="4" name="KSOTemplateDocerSaveRecord">
    <vt:lpwstr>eyJoZGlkIjoiOTE4Mzk2YjliNTc0M2Q5NTQwNjc5MmQxYThhYjkyNTciLCJ1c2VySWQiOiIxNzE2NTMxNTAzIn0=</vt:lpwstr>
  </property>
</Properties>
</file>