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rPr>
          <w:rFonts w:ascii="宋体"/>
          <w:sz w:val="44"/>
          <w:szCs w:val="44"/>
          <w:highlight w:val="none"/>
        </w:rPr>
      </w:pPr>
    </w:p>
    <w:p>
      <w:pPr>
        <w:snapToGrid w:val="0"/>
        <w:spacing w:line="360" w:lineRule="auto"/>
        <w:rPr>
          <w:rFonts w:ascii="宋体"/>
          <w:b/>
          <w:sz w:val="44"/>
          <w:szCs w:val="44"/>
          <w:highlight w:val="none"/>
          <w:vertAlign w:val="superscript"/>
        </w:rPr>
      </w:pPr>
      <w:r>
        <w:rPr>
          <w:rFonts w:ascii="宋体"/>
          <w:sz w:val="44"/>
          <w:szCs w:val="44"/>
          <w:highlight w:val="none"/>
        </w:rPr>
        <w:drawing>
          <wp:inline distT="0" distB="0" distL="0" distR="0">
            <wp:extent cx="694690" cy="577850"/>
            <wp:effectExtent l="0" t="0" r="0" b="0"/>
            <wp:docPr id="15" name="图片 15" descr="Snap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Snap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694690" cy="577850"/>
                    </a:xfrm>
                    <a:prstGeom prst="rect">
                      <a:avLst/>
                    </a:prstGeom>
                    <a:noFill/>
                    <a:ln>
                      <a:noFill/>
                    </a:ln>
                  </pic:spPr>
                </pic:pic>
              </a:graphicData>
            </a:graphic>
          </wp:inline>
        </w:drawing>
      </w:r>
      <w:r>
        <w:rPr>
          <w:rFonts w:hint="eastAsia" w:ascii="黑体" w:hAnsi="宋体" w:eastAsia="黑体"/>
          <w:i/>
          <w:position w:val="6"/>
          <w:sz w:val="24"/>
          <w:highlight w:val="none"/>
        </w:rPr>
        <w:t>凤台发电分公司</w:t>
      </w:r>
    </w:p>
    <w:p>
      <w:pPr>
        <w:snapToGrid w:val="0"/>
        <w:spacing w:line="360" w:lineRule="auto"/>
        <w:rPr>
          <w:b/>
          <w:sz w:val="28"/>
          <w:szCs w:val="28"/>
          <w:highlight w:val="none"/>
        </w:rPr>
      </w:pPr>
      <w:r>
        <w:rPr>
          <w:b/>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4710430</wp:posOffset>
                </wp:positionH>
                <wp:positionV relativeFrom="paragraph">
                  <wp:posOffset>-100965</wp:posOffset>
                </wp:positionV>
                <wp:extent cx="633095" cy="297180"/>
                <wp:effectExtent l="5080" t="13335" r="9525" b="13335"/>
                <wp:wrapNone/>
                <wp:docPr id="16" name="文本框 16"/>
                <wp:cNvGraphicFramePr/>
                <a:graphic xmlns:a="http://schemas.openxmlformats.org/drawingml/2006/main">
                  <a:graphicData uri="http://schemas.microsoft.com/office/word/2010/wordprocessingShape">
                    <wps:wsp>
                      <wps:cNvSpPr txBox="1">
                        <a:spLocks noChangeArrowheads="1"/>
                      </wps:cNvSpPr>
                      <wps:spPr bwMode="auto">
                        <a:xfrm>
                          <a:off x="0" y="0"/>
                          <a:ext cx="633095" cy="297180"/>
                        </a:xfrm>
                        <a:prstGeom prst="rect">
                          <a:avLst/>
                        </a:prstGeom>
                        <a:solidFill>
                          <a:srgbClr val="FFFFFF"/>
                        </a:solidFill>
                        <a:ln w="9525">
                          <a:solidFill>
                            <a:srgbClr val="000000"/>
                          </a:solidFill>
                          <a:miter lim="800000"/>
                        </a:ln>
                      </wps:spPr>
                      <wps:txbx>
                        <w:txbxContent>
                          <w:p>
                            <w:pPr>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A</w:t>
                            </w:r>
                            <w:r>
                              <w:rPr>
                                <w:rFonts w:hint="eastAsia" w:ascii="宋体" w:hAnsi="宋体" w:eastAsia="宋体"/>
                                <w:szCs w:val="21"/>
                              </w:rPr>
                              <w:t>类</w:t>
                            </w:r>
                          </w:p>
                          <w:p>
                            <w:pPr>
                              <w:rPr>
                                <w:rFonts w:ascii="宋体" w:hAnsi="宋体"/>
                                <w:szCs w:val="21"/>
                              </w:rPr>
                            </w:pPr>
                          </w:p>
                          <w:p>
                            <w:pPr>
                              <w:rPr>
                                <w:rFonts w:ascii="宋体" w:hAnsi="宋体"/>
                                <w:szCs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370.9pt;margin-top:-7.95pt;height:23.4pt;width:49.85pt;z-index:251659264;mso-width-relative:page;mso-height-relative:page;" fillcolor="#FFFFFF" filled="t" stroked="t" coordsize="21600,21600" o:gfxdata="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zavnzaAAAACgEAAA8AAAAAAAAAAQAgAAAA&#10;IgAAAGRycy9kb3ducmV2LnhtbFBLAQIUABQAAAAIAIdO4kAfRLxMQgIAAIgEAAAOAAAAAAAAAAEA&#10;IAAAACkBAABkcnMvZTJvRG9jLnhtbFBLBQYAAAAABgAGAFkBAADdBQAAAAA=&#10;">
                <v:fill on="t" focussize="0,0"/>
                <v:stroke color="#000000" miterlimit="8" joinstyle="miter"/>
                <v:imagedata o:title=""/>
                <o:lock v:ext="edit" aspectratio="f"/>
                <v:textbox>
                  <w:txbxContent>
                    <w:p>
                      <w:pPr>
                        <w:rPr>
                          <w:rFonts w:ascii="宋体" w:hAnsi="宋体"/>
                          <w:szCs w:val="21"/>
                        </w:rPr>
                      </w:pPr>
                      <w:r>
                        <w:rPr>
                          <w:rFonts w:ascii="宋体" w:hAnsi="宋体"/>
                          <w:szCs w:val="21"/>
                        </w:rPr>
                        <w:t xml:space="preserve"> </w:t>
                      </w:r>
                      <w:r>
                        <w:rPr>
                          <w:rFonts w:hint="eastAsia" w:ascii="宋体" w:hAnsi="宋体"/>
                          <w:szCs w:val="21"/>
                        </w:rPr>
                        <w:t xml:space="preserve"> </w:t>
                      </w:r>
                      <w:r>
                        <w:rPr>
                          <w:rFonts w:ascii="宋体" w:hAnsi="宋体"/>
                          <w:szCs w:val="21"/>
                        </w:rPr>
                        <w:t>A</w:t>
                      </w:r>
                      <w:r>
                        <w:rPr>
                          <w:rFonts w:hint="eastAsia" w:ascii="宋体" w:hAnsi="宋体" w:eastAsia="宋体"/>
                          <w:szCs w:val="21"/>
                        </w:rPr>
                        <w:t>类</w:t>
                      </w:r>
                    </w:p>
                    <w:p>
                      <w:pPr>
                        <w:rPr>
                          <w:rFonts w:ascii="宋体" w:hAnsi="宋体"/>
                          <w:szCs w:val="21"/>
                        </w:rPr>
                      </w:pPr>
                    </w:p>
                    <w:p>
                      <w:pPr>
                        <w:rPr>
                          <w:rFonts w:ascii="宋体" w:hAnsi="宋体"/>
                          <w:szCs w:val="21"/>
                        </w:rPr>
                      </w:pPr>
                    </w:p>
                  </w:txbxContent>
                </v:textbox>
              </v:shape>
            </w:pict>
          </mc:Fallback>
        </mc:AlternateContent>
      </w:r>
    </w:p>
    <w:p>
      <w:pPr>
        <w:snapToGrid w:val="0"/>
        <w:spacing w:line="360" w:lineRule="auto"/>
        <w:jc w:val="center"/>
        <w:rPr>
          <w:b/>
          <w:sz w:val="28"/>
          <w:szCs w:val="28"/>
          <w:highlight w:val="none"/>
        </w:rPr>
      </w:pPr>
    </w:p>
    <w:p>
      <w:pPr>
        <w:snapToGrid w:val="0"/>
        <w:spacing w:line="360" w:lineRule="auto"/>
        <w:jc w:val="center"/>
        <w:rPr>
          <w:rFonts w:hint="eastAsia" w:ascii="宋体" w:hAnsi="宋体"/>
          <w:b/>
          <w:bCs/>
          <w:sz w:val="36"/>
          <w:szCs w:val="36"/>
          <w:highlight w:val="none"/>
        </w:rPr>
      </w:pPr>
      <w:r>
        <w:rPr>
          <w:rFonts w:hint="eastAsia" w:ascii="宋体" w:hAnsi="宋体"/>
          <w:b/>
          <w:bCs/>
          <w:sz w:val="36"/>
          <w:szCs w:val="36"/>
          <w:highlight w:val="none"/>
          <w:lang w:val="en-US" w:eastAsia="zh-CN"/>
        </w:rPr>
        <w:t>2026年度</w:t>
      </w:r>
      <w:r>
        <w:rPr>
          <w:rFonts w:hint="eastAsia" w:ascii="宋体" w:hAnsi="宋体"/>
          <w:b/>
          <w:bCs/>
          <w:sz w:val="36"/>
          <w:szCs w:val="36"/>
          <w:highlight w:val="none"/>
        </w:rPr>
        <w:t>锅炉四管防磨防爆检查</w:t>
      </w:r>
    </w:p>
    <w:p>
      <w:pPr>
        <w:autoSpaceDE w:val="0"/>
        <w:autoSpaceDN w:val="0"/>
        <w:adjustRightInd w:val="0"/>
        <w:jc w:val="center"/>
        <w:rPr>
          <w:rFonts w:ascii="宋体,Bold" w:hAnsi="ºÚÌå" w:eastAsia="宋体,Bold" w:cs="宋体,Bold"/>
          <w:b/>
          <w:bCs/>
          <w:kern w:val="0"/>
          <w:sz w:val="45"/>
          <w:szCs w:val="45"/>
          <w:highlight w:val="none"/>
        </w:rPr>
      </w:pPr>
      <w:r>
        <w:rPr>
          <w:rFonts w:hint="eastAsia" w:ascii="Arial" w:hAnsi="Arial"/>
          <w:b/>
          <w:sz w:val="36"/>
          <w:szCs w:val="36"/>
          <w:highlight w:val="none"/>
        </w:rPr>
        <w:t>技术规范书</w:t>
      </w:r>
    </w:p>
    <w:p>
      <w:pPr>
        <w:snapToGrid w:val="0"/>
        <w:spacing w:line="360" w:lineRule="auto"/>
        <w:rPr>
          <w:rFonts w:ascii="宋体" w:hAnsi="宋体"/>
          <w:sz w:val="28"/>
          <w:szCs w:val="28"/>
          <w:highlight w:val="none"/>
        </w:rPr>
      </w:pPr>
    </w:p>
    <w:p>
      <w:pPr>
        <w:snapToGrid w:val="0"/>
        <w:spacing w:line="360" w:lineRule="auto"/>
        <w:jc w:val="center"/>
        <w:rPr>
          <w:rFonts w:ascii="黑体" w:eastAsia="黑体"/>
          <w:b/>
          <w:sz w:val="44"/>
          <w:szCs w:val="44"/>
          <w:highlight w:val="none"/>
        </w:rPr>
      </w:pPr>
    </w:p>
    <w:p>
      <w:pPr>
        <w:snapToGrid w:val="0"/>
        <w:spacing w:line="360" w:lineRule="auto"/>
        <w:jc w:val="center"/>
        <w:rPr>
          <w:rFonts w:ascii="黑体" w:eastAsia="黑体"/>
          <w:b/>
          <w:sz w:val="44"/>
          <w:szCs w:val="44"/>
          <w:highlight w:val="none"/>
        </w:rPr>
      </w:pPr>
    </w:p>
    <w:p>
      <w:pPr>
        <w:snapToGrid w:val="0"/>
        <w:spacing w:line="360" w:lineRule="auto"/>
        <w:jc w:val="center"/>
        <w:rPr>
          <w:rFonts w:ascii="黑体" w:eastAsia="黑体"/>
          <w:b/>
          <w:sz w:val="44"/>
          <w:szCs w:val="44"/>
          <w:highlight w:val="none"/>
        </w:rPr>
      </w:pPr>
    </w:p>
    <w:p>
      <w:pPr>
        <w:snapToGrid w:val="0"/>
        <w:spacing w:line="360" w:lineRule="auto"/>
        <w:jc w:val="center"/>
        <w:rPr>
          <w:rFonts w:ascii="黑体" w:eastAsia="黑体"/>
          <w:b/>
          <w:sz w:val="44"/>
          <w:szCs w:val="44"/>
          <w:highlight w:val="none"/>
        </w:rPr>
      </w:pPr>
    </w:p>
    <w:p>
      <w:pPr>
        <w:snapToGrid w:val="0"/>
        <w:spacing w:line="360" w:lineRule="auto"/>
        <w:jc w:val="center"/>
        <w:rPr>
          <w:rFonts w:ascii="黑体" w:eastAsia="黑体"/>
          <w:b/>
          <w:sz w:val="44"/>
          <w:szCs w:val="44"/>
          <w:highlight w:val="none"/>
        </w:rPr>
      </w:pPr>
    </w:p>
    <w:p>
      <w:pPr>
        <w:snapToGrid w:val="0"/>
        <w:spacing w:line="360" w:lineRule="auto"/>
        <w:jc w:val="center"/>
        <w:rPr>
          <w:rFonts w:ascii="黑体" w:eastAsia="黑体"/>
          <w:b/>
          <w:sz w:val="44"/>
          <w:szCs w:val="44"/>
          <w:highlight w:val="none"/>
        </w:rPr>
      </w:pPr>
    </w:p>
    <w:p>
      <w:pPr>
        <w:snapToGrid w:val="0"/>
        <w:spacing w:line="360" w:lineRule="auto"/>
        <w:jc w:val="center"/>
        <w:rPr>
          <w:rFonts w:ascii="黑体" w:eastAsia="黑体"/>
          <w:b/>
          <w:sz w:val="44"/>
          <w:szCs w:val="44"/>
          <w:highlight w:val="none"/>
        </w:rPr>
      </w:pPr>
    </w:p>
    <w:p>
      <w:pPr>
        <w:snapToGrid w:val="0"/>
        <w:spacing w:line="360" w:lineRule="auto"/>
        <w:jc w:val="center"/>
        <w:rPr>
          <w:rFonts w:ascii="黑体" w:eastAsia="黑体"/>
          <w:b/>
          <w:sz w:val="44"/>
          <w:szCs w:val="44"/>
          <w:highlight w:val="none"/>
        </w:rPr>
      </w:pPr>
    </w:p>
    <w:p>
      <w:pPr>
        <w:snapToGrid w:val="0"/>
        <w:spacing w:line="360" w:lineRule="auto"/>
        <w:jc w:val="center"/>
        <w:rPr>
          <w:rFonts w:ascii="黑体" w:eastAsia="黑体"/>
          <w:b/>
          <w:sz w:val="44"/>
          <w:szCs w:val="44"/>
          <w:highlight w:val="none"/>
        </w:rPr>
      </w:pPr>
    </w:p>
    <w:p>
      <w:pPr>
        <w:snapToGrid w:val="0"/>
        <w:spacing w:line="360" w:lineRule="auto"/>
        <w:jc w:val="center"/>
        <w:rPr>
          <w:rFonts w:ascii="黑体" w:eastAsia="黑体"/>
          <w:b/>
          <w:sz w:val="44"/>
          <w:szCs w:val="44"/>
          <w:highlight w:val="none"/>
        </w:rPr>
      </w:pPr>
    </w:p>
    <w:p>
      <w:pPr>
        <w:snapToGrid w:val="0"/>
        <w:spacing w:line="360" w:lineRule="auto"/>
        <w:jc w:val="center"/>
        <w:rPr>
          <w:rFonts w:ascii="黑体" w:hAnsi="宋体" w:eastAsia="黑体"/>
          <w:sz w:val="28"/>
          <w:szCs w:val="28"/>
          <w:highlight w:val="none"/>
        </w:rPr>
      </w:pPr>
      <w:r>
        <w:rPr>
          <w:rFonts w:ascii="黑体" w:hAnsi="宋体" w:eastAsia="黑体"/>
          <w:sz w:val="28"/>
          <w:szCs w:val="28"/>
          <w:highlight w:val="none"/>
        </w:rPr>
        <w:t>20</w:t>
      </w:r>
      <w:r>
        <w:rPr>
          <w:rFonts w:hint="eastAsia" w:ascii="黑体" w:hAnsi="宋体" w:eastAsia="黑体"/>
          <w:sz w:val="28"/>
          <w:szCs w:val="28"/>
          <w:highlight w:val="none"/>
          <w:lang w:val="en-US" w:eastAsia="zh-CN"/>
        </w:rPr>
        <w:t>26</w:t>
      </w:r>
      <w:r>
        <w:rPr>
          <w:rFonts w:hint="eastAsia" w:ascii="黑体" w:hAnsi="宋体" w:eastAsia="黑体"/>
          <w:sz w:val="28"/>
          <w:szCs w:val="28"/>
          <w:highlight w:val="none"/>
        </w:rPr>
        <w:t>年</w:t>
      </w:r>
      <w:r>
        <w:rPr>
          <w:rFonts w:hint="eastAsia" w:ascii="黑体" w:hAnsi="宋体" w:eastAsia="黑体"/>
          <w:sz w:val="28"/>
          <w:szCs w:val="28"/>
          <w:highlight w:val="none"/>
          <w:lang w:val="en-US" w:eastAsia="zh-CN"/>
        </w:rPr>
        <w:t>1</w:t>
      </w:r>
      <w:bookmarkStart w:id="16" w:name="_GoBack"/>
      <w:bookmarkEnd w:id="16"/>
      <w:r>
        <w:rPr>
          <w:rFonts w:hint="eastAsia" w:ascii="黑体" w:hAnsi="宋体" w:eastAsia="黑体"/>
          <w:sz w:val="28"/>
          <w:szCs w:val="28"/>
          <w:highlight w:val="none"/>
        </w:rPr>
        <w:t>月</w:t>
      </w:r>
    </w:p>
    <w:p>
      <w:pPr>
        <w:snapToGrid w:val="0"/>
        <w:spacing w:line="360" w:lineRule="auto"/>
        <w:jc w:val="center"/>
        <w:rPr>
          <w:rFonts w:ascii="黑体" w:hAnsi="宋体" w:eastAsia="黑体"/>
          <w:sz w:val="28"/>
          <w:szCs w:val="28"/>
          <w:highlight w:val="none"/>
        </w:rPr>
      </w:pPr>
    </w:p>
    <w:sdt>
      <w:sdtPr>
        <w:rPr>
          <w:rFonts w:asciiTheme="minorHAnsi" w:hAnsiTheme="minorHAnsi" w:eastAsiaTheme="minorEastAsia" w:cstheme="minorBidi"/>
          <w:b w:val="0"/>
          <w:bCs w:val="0"/>
          <w:color w:val="auto"/>
          <w:kern w:val="2"/>
          <w:sz w:val="21"/>
          <w:szCs w:val="22"/>
          <w:highlight w:val="none"/>
          <w:lang w:val="zh-CN"/>
        </w:rPr>
        <w:id w:val="-816726049"/>
        <w:docPartObj>
          <w:docPartGallery w:val="Table of Contents"/>
          <w:docPartUnique/>
        </w:docPartObj>
      </w:sdtPr>
      <w:sdtEndPr>
        <w:rPr>
          <w:rFonts w:asciiTheme="minorHAnsi" w:hAnsiTheme="minorHAnsi" w:eastAsiaTheme="minorEastAsia" w:cstheme="minorBidi"/>
          <w:b w:val="0"/>
          <w:bCs w:val="0"/>
          <w:color w:val="auto"/>
          <w:kern w:val="2"/>
          <w:sz w:val="21"/>
          <w:szCs w:val="22"/>
          <w:highlight w:val="none"/>
          <w:lang w:val="zh-CN"/>
        </w:rPr>
      </w:sdtEndPr>
      <w:sdtContent>
        <w:p>
          <w:pPr>
            <w:pStyle w:val="28"/>
            <w:jc w:val="center"/>
            <w:rPr>
              <w:highlight w:val="none"/>
            </w:rPr>
          </w:pPr>
          <w:r>
            <w:rPr>
              <w:highlight w:val="none"/>
              <w:lang w:val="zh-CN"/>
            </w:rPr>
            <w:t>目</w:t>
          </w:r>
          <w:r>
            <w:rPr>
              <w:rFonts w:hint="eastAsia"/>
              <w:highlight w:val="none"/>
              <w:lang w:val="zh-CN"/>
            </w:rPr>
            <w:t xml:space="preserve">   </w:t>
          </w:r>
          <w:r>
            <w:rPr>
              <w:highlight w:val="none"/>
              <w:lang w:val="zh-CN"/>
            </w:rPr>
            <w:t>录</w:t>
          </w:r>
        </w:p>
        <w:p>
          <w:pPr>
            <w:pStyle w:val="11"/>
            <w:tabs>
              <w:tab w:val="right" w:leader="dot" w:pos="9072"/>
            </w:tabs>
            <w:rPr>
              <w:rFonts w:hint="eastAsia" w:ascii="宋体" w:hAnsi="宋体" w:eastAsia="宋体"/>
              <w:szCs w:val="28"/>
              <w:highlight w:val="none"/>
            </w:rPr>
          </w:pPr>
          <w:r>
            <w:rPr>
              <w:highlight w:val="none"/>
            </w:rPr>
            <w:fldChar w:fldCharType="begin"/>
          </w:r>
          <w:r>
            <w:rPr>
              <w:highlight w:val="none"/>
            </w:rPr>
            <w:instrText xml:space="preserve"> TOC \o "1-3" \h \z \u </w:instrText>
          </w:r>
          <w:r>
            <w:rPr>
              <w:highlight w:val="none"/>
            </w:rPr>
            <w:fldChar w:fldCharType="separate"/>
          </w:r>
          <w:r>
            <w:rPr>
              <w:rFonts w:hint="eastAsia" w:ascii="宋体" w:hAnsi="宋体" w:eastAsia="宋体"/>
              <w:szCs w:val="28"/>
              <w:highlight w:val="none"/>
            </w:rPr>
            <w:fldChar w:fldCharType="begin"/>
          </w:r>
          <w:r>
            <w:rPr>
              <w:rFonts w:hint="eastAsia" w:ascii="宋体" w:hAnsi="宋体" w:eastAsia="宋体"/>
              <w:szCs w:val="28"/>
              <w:highlight w:val="none"/>
            </w:rPr>
            <w:instrText xml:space="preserve"> HYPERLINK \l _Toc3482 </w:instrText>
          </w:r>
          <w:r>
            <w:rPr>
              <w:rFonts w:hint="eastAsia" w:ascii="宋体" w:hAnsi="宋体" w:eastAsia="宋体"/>
              <w:szCs w:val="28"/>
              <w:highlight w:val="none"/>
            </w:rPr>
            <w:fldChar w:fldCharType="separate"/>
          </w:r>
          <w:r>
            <w:rPr>
              <w:rFonts w:hint="default" w:ascii="宋体" w:hAnsi="宋体" w:eastAsia="宋体"/>
              <w:szCs w:val="28"/>
              <w:highlight w:val="none"/>
            </w:rPr>
            <w:t xml:space="preserve">1 </w:t>
          </w:r>
          <w:r>
            <w:rPr>
              <w:rFonts w:hint="eastAsia" w:ascii="宋体" w:hAnsi="宋体" w:eastAsia="宋体"/>
              <w:szCs w:val="28"/>
              <w:highlight w:val="none"/>
            </w:rPr>
            <w:t>总则</w:t>
          </w:r>
          <w:r>
            <w:rPr>
              <w:rFonts w:hint="eastAsia" w:ascii="宋体" w:hAnsi="宋体" w:eastAsia="宋体"/>
              <w:szCs w:val="28"/>
              <w:highlight w:val="none"/>
            </w:rPr>
            <w:tab/>
          </w:r>
          <w:r>
            <w:rPr>
              <w:rFonts w:hint="eastAsia" w:ascii="宋体" w:hAnsi="宋体" w:eastAsia="宋体"/>
              <w:szCs w:val="28"/>
              <w:highlight w:val="none"/>
            </w:rPr>
            <w:fldChar w:fldCharType="begin"/>
          </w:r>
          <w:r>
            <w:rPr>
              <w:rFonts w:hint="eastAsia" w:ascii="宋体" w:hAnsi="宋体" w:eastAsia="宋体"/>
              <w:szCs w:val="28"/>
              <w:highlight w:val="none"/>
            </w:rPr>
            <w:instrText xml:space="preserve"> PAGEREF _Toc3482 </w:instrText>
          </w:r>
          <w:r>
            <w:rPr>
              <w:rFonts w:hint="eastAsia" w:ascii="宋体" w:hAnsi="宋体" w:eastAsia="宋体"/>
              <w:szCs w:val="28"/>
              <w:highlight w:val="none"/>
            </w:rPr>
            <w:fldChar w:fldCharType="separate"/>
          </w:r>
          <w:r>
            <w:rPr>
              <w:rFonts w:hint="eastAsia" w:ascii="宋体" w:hAnsi="宋体" w:eastAsia="宋体"/>
              <w:szCs w:val="28"/>
              <w:highlight w:val="none"/>
            </w:rPr>
            <w:t>3</w:t>
          </w:r>
          <w:r>
            <w:rPr>
              <w:rFonts w:hint="eastAsia" w:ascii="宋体" w:hAnsi="宋体" w:eastAsia="宋体"/>
              <w:szCs w:val="28"/>
              <w:highlight w:val="none"/>
            </w:rPr>
            <w:fldChar w:fldCharType="end"/>
          </w:r>
          <w:r>
            <w:rPr>
              <w:rFonts w:hint="eastAsia" w:ascii="宋体" w:hAnsi="宋体" w:eastAsia="宋体"/>
              <w:szCs w:val="28"/>
              <w:highlight w:val="none"/>
            </w:rPr>
            <w:fldChar w:fldCharType="end"/>
          </w:r>
        </w:p>
        <w:p>
          <w:pPr>
            <w:pStyle w:val="11"/>
            <w:tabs>
              <w:tab w:val="right" w:leader="dot" w:pos="9072"/>
            </w:tabs>
            <w:rPr>
              <w:rFonts w:hint="eastAsia" w:ascii="宋体" w:hAnsi="宋体" w:eastAsia="宋体"/>
              <w:szCs w:val="28"/>
              <w:highlight w:val="none"/>
            </w:rPr>
          </w:pPr>
          <w:r>
            <w:rPr>
              <w:rFonts w:hint="eastAsia" w:ascii="宋体" w:hAnsi="宋体" w:eastAsia="宋体"/>
              <w:szCs w:val="28"/>
              <w:highlight w:val="none"/>
              <w:lang w:val="zh-CN"/>
            </w:rPr>
            <w:fldChar w:fldCharType="begin"/>
          </w:r>
          <w:r>
            <w:rPr>
              <w:rFonts w:hint="eastAsia" w:ascii="宋体" w:hAnsi="宋体" w:eastAsia="宋体"/>
              <w:szCs w:val="28"/>
              <w:highlight w:val="none"/>
              <w:lang w:val="zh-CN"/>
            </w:rPr>
            <w:instrText xml:space="preserve"> HYPERLINK \l _Toc21653 </w:instrText>
          </w:r>
          <w:r>
            <w:rPr>
              <w:rFonts w:hint="eastAsia" w:ascii="宋体" w:hAnsi="宋体" w:eastAsia="宋体"/>
              <w:szCs w:val="28"/>
              <w:highlight w:val="none"/>
              <w:lang w:val="zh-CN"/>
            </w:rPr>
            <w:fldChar w:fldCharType="separate"/>
          </w:r>
          <w:r>
            <w:rPr>
              <w:rFonts w:hint="default" w:ascii="宋体" w:hAnsi="宋体" w:eastAsia="宋体"/>
              <w:szCs w:val="28"/>
              <w:highlight w:val="none"/>
            </w:rPr>
            <w:t xml:space="preserve">2 </w:t>
          </w:r>
          <w:r>
            <w:rPr>
              <w:rFonts w:hint="eastAsia" w:ascii="宋体" w:hAnsi="宋体" w:eastAsia="宋体"/>
              <w:szCs w:val="28"/>
              <w:highlight w:val="none"/>
            </w:rPr>
            <w:t>项目概况</w:t>
          </w:r>
          <w:r>
            <w:rPr>
              <w:rFonts w:hint="eastAsia" w:ascii="宋体" w:hAnsi="宋体" w:eastAsia="宋体"/>
              <w:szCs w:val="28"/>
              <w:highlight w:val="none"/>
            </w:rPr>
            <w:tab/>
          </w:r>
          <w:r>
            <w:rPr>
              <w:rFonts w:hint="eastAsia" w:ascii="宋体" w:hAnsi="宋体" w:eastAsia="宋体"/>
              <w:szCs w:val="28"/>
              <w:highlight w:val="none"/>
            </w:rPr>
            <w:fldChar w:fldCharType="begin"/>
          </w:r>
          <w:r>
            <w:rPr>
              <w:rFonts w:hint="eastAsia" w:ascii="宋体" w:hAnsi="宋体" w:eastAsia="宋体"/>
              <w:szCs w:val="28"/>
              <w:highlight w:val="none"/>
            </w:rPr>
            <w:instrText xml:space="preserve"> PAGEREF _Toc21653 </w:instrText>
          </w:r>
          <w:r>
            <w:rPr>
              <w:rFonts w:hint="eastAsia" w:ascii="宋体" w:hAnsi="宋体" w:eastAsia="宋体"/>
              <w:szCs w:val="28"/>
              <w:highlight w:val="none"/>
            </w:rPr>
            <w:fldChar w:fldCharType="separate"/>
          </w:r>
          <w:r>
            <w:rPr>
              <w:rFonts w:hint="eastAsia" w:ascii="宋体" w:hAnsi="宋体" w:eastAsia="宋体"/>
              <w:szCs w:val="28"/>
              <w:highlight w:val="none"/>
            </w:rPr>
            <w:t>3</w:t>
          </w:r>
          <w:r>
            <w:rPr>
              <w:rFonts w:hint="eastAsia" w:ascii="宋体" w:hAnsi="宋体" w:eastAsia="宋体"/>
              <w:szCs w:val="28"/>
              <w:highlight w:val="none"/>
            </w:rPr>
            <w:fldChar w:fldCharType="end"/>
          </w:r>
          <w:r>
            <w:rPr>
              <w:rFonts w:hint="eastAsia" w:ascii="宋体" w:hAnsi="宋体" w:eastAsia="宋体"/>
              <w:szCs w:val="28"/>
              <w:highlight w:val="none"/>
              <w:lang w:val="zh-CN"/>
            </w:rPr>
            <w:fldChar w:fldCharType="end"/>
          </w:r>
        </w:p>
        <w:p>
          <w:pPr>
            <w:pStyle w:val="11"/>
            <w:tabs>
              <w:tab w:val="right" w:leader="dot" w:pos="9072"/>
            </w:tabs>
            <w:rPr>
              <w:rFonts w:hint="eastAsia" w:ascii="宋体" w:hAnsi="宋体" w:eastAsia="宋体"/>
              <w:szCs w:val="28"/>
              <w:highlight w:val="none"/>
            </w:rPr>
          </w:pPr>
          <w:r>
            <w:rPr>
              <w:rFonts w:hint="eastAsia" w:ascii="宋体" w:hAnsi="宋体" w:eastAsia="宋体"/>
              <w:szCs w:val="28"/>
              <w:highlight w:val="none"/>
              <w:lang w:val="zh-CN"/>
            </w:rPr>
            <w:fldChar w:fldCharType="begin"/>
          </w:r>
          <w:r>
            <w:rPr>
              <w:rFonts w:hint="eastAsia" w:ascii="宋体" w:hAnsi="宋体" w:eastAsia="宋体"/>
              <w:szCs w:val="28"/>
              <w:highlight w:val="none"/>
              <w:lang w:val="zh-CN"/>
            </w:rPr>
            <w:instrText xml:space="preserve"> HYPERLINK \l _Toc15154 </w:instrText>
          </w:r>
          <w:r>
            <w:rPr>
              <w:rFonts w:hint="eastAsia" w:ascii="宋体" w:hAnsi="宋体" w:eastAsia="宋体"/>
              <w:szCs w:val="28"/>
              <w:highlight w:val="none"/>
              <w:lang w:val="zh-CN"/>
            </w:rPr>
            <w:fldChar w:fldCharType="separate"/>
          </w:r>
          <w:r>
            <w:rPr>
              <w:rFonts w:hint="default" w:ascii="宋体" w:hAnsi="宋体" w:eastAsia="宋体"/>
              <w:szCs w:val="28"/>
              <w:highlight w:val="none"/>
            </w:rPr>
            <w:t xml:space="preserve">3 </w:t>
          </w:r>
          <w:r>
            <w:rPr>
              <w:rFonts w:hint="eastAsia" w:ascii="宋体" w:hAnsi="宋体" w:eastAsia="宋体"/>
              <w:szCs w:val="28"/>
              <w:highlight w:val="none"/>
            </w:rPr>
            <w:t>工程执行的标准及规范</w:t>
          </w:r>
          <w:r>
            <w:rPr>
              <w:rFonts w:hint="eastAsia" w:ascii="宋体" w:hAnsi="宋体" w:eastAsia="宋体"/>
              <w:szCs w:val="28"/>
              <w:highlight w:val="none"/>
            </w:rPr>
            <w:tab/>
          </w:r>
          <w:r>
            <w:rPr>
              <w:rFonts w:hint="eastAsia" w:ascii="宋体" w:hAnsi="宋体" w:eastAsia="宋体"/>
              <w:szCs w:val="28"/>
              <w:highlight w:val="none"/>
            </w:rPr>
            <w:fldChar w:fldCharType="begin"/>
          </w:r>
          <w:r>
            <w:rPr>
              <w:rFonts w:hint="eastAsia" w:ascii="宋体" w:hAnsi="宋体" w:eastAsia="宋体"/>
              <w:szCs w:val="28"/>
              <w:highlight w:val="none"/>
            </w:rPr>
            <w:instrText xml:space="preserve"> PAGEREF _Toc15154 </w:instrText>
          </w:r>
          <w:r>
            <w:rPr>
              <w:rFonts w:hint="eastAsia" w:ascii="宋体" w:hAnsi="宋体" w:eastAsia="宋体"/>
              <w:szCs w:val="28"/>
              <w:highlight w:val="none"/>
            </w:rPr>
            <w:fldChar w:fldCharType="separate"/>
          </w:r>
          <w:r>
            <w:rPr>
              <w:rFonts w:hint="eastAsia" w:ascii="宋体" w:hAnsi="宋体" w:eastAsia="宋体"/>
              <w:szCs w:val="28"/>
              <w:highlight w:val="none"/>
            </w:rPr>
            <w:t>3</w:t>
          </w:r>
          <w:r>
            <w:rPr>
              <w:rFonts w:hint="eastAsia" w:ascii="宋体" w:hAnsi="宋体" w:eastAsia="宋体"/>
              <w:szCs w:val="28"/>
              <w:highlight w:val="none"/>
            </w:rPr>
            <w:fldChar w:fldCharType="end"/>
          </w:r>
          <w:r>
            <w:rPr>
              <w:rFonts w:hint="eastAsia" w:ascii="宋体" w:hAnsi="宋体" w:eastAsia="宋体"/>
              <w:szCs w:val="28"/>
              <w:highlight w:val="none"/>
              <w:lang w:val="zh-CN"/>
            </w:rPr>
            <w:fldChar w:fldCharType="end"/>
          </w:r>
        </w:p>
        <w:p>
          <w:pPr>
            <w:pStyle w:val="11"/>
            <w:tabs>
              <w:tab w:val="right" w:leader="dot" w:pos="9072"/>
            </w:tabs>
            <w:rPr>
              <w:rFonts w:hint="eastAsia" w:ascii="宋体" w:hAnsi="宋体" w:eastAsia="宋体"/>
              <w:szCs w:val="28"/>
              <w:highlight w:val="none"/>
            </w:rPr>
          </w:pPr>
          <w:r>
            <w:rPr>
              <w:rFonts w:hint="eastAsia" w:ascii="宋体" w:hAnsi="宋体" w:eastAsia="宋体"/>
              <w:szCs w:val="28"/>
              <w:highlight w:val="none"/>
              <w:lang w:val="zh-CN"/>
            </w:rPr>
            <w:fldChar w:fldCharType="begin"/>
          </w:r>
          <w:r>
            <w:rPr>
              <w:rFonts w:hint="eastAsia" w:ascii="宋体" w:hAnsi="宋体" w:eastAsia="宋体"/>
              <w:szCs w:val="28"/>
              <w:highlight w:val="none"/>
              <w:lang w:val="zh-CN"/>
            </w:rPr>
            <w:instrText xml:space="preserve"> HYPERLINK \l _Toc13981 </w:instrText>
          </w:r>
          <w:r>
            <w:rPr>
              <w:rFonts w:hint="eastAsia" w:ascii="宋体" w:hAnsi="宋体" w:eastAsia="宋体"/>
              <w:szCs w:val="28"/>
              <w:highlight w:val="none"/>
              <w:lang w:val="zh-CN"/>
            </w:rPr>
            <w:fldChar w:fldCharType="separate"/>
          </w:r>
          <w:r>
            <w:rPr>
              <w:rFonts w:hint="default" w:ascii="宋体" w:hAnsi="宋体" w:eastAsia="宋体"/>
              <w:szCs w:val="28"/>
              <w:highlight w:val="none"/>
            </w:rPr>
            <w:t xml:space="preserve">4 </w:t>
          </w:r>
          <w:r>
            <w:rPr>
              <w:rFonts w:hint="eastAsia" w:ascii="宋体" w:hAnsi="宋体" w:eastAsia="宋体"/>
              <w:szCs w:val="28"/>
              <w:highlight w:val="none"/>
            </w:rPr>
            <w:t>检验实施</w:t>
          </w:r>
          <w:r>
            <w:rPr>
              <w:rFonts w:hint="eastAsia" w:ascii="宋体" w:hAnsi="宋体" w:eastAsia="宋体"/>
              <w:szCs w:val="28"/>
              <w:highlight w:val="none"/>
            </w:rPr>
            <w:tab/>
          </w:r>
          <w:r>
            <w:rPr>
              <w:rFonts w:hint="eastAsia" w:ascii="宋体" w:hAnsi="宋体" w:eastAsia="宋体"/>
              <w:szCs w:val="28"/>
              <w:highlight w:val="none"/>
            </w:rPr>
            <w:fldChar w:fldCharType="begin"/>
          </w:r>
          <w:r>
            <w:rPr>
              <w:rFonts w:hint="eastAsia" w:ascii="宋体" w:hAnsi="宋体" w:eastAsia="宋体"/>
              <w:szCs w:val="28"/>
              <w:highlight w:val="none"/>
            </w:rPr>
            <w:instrText xml:space="preserve"> PAGEREF _Toc13981 </w:instrText>
          </w:r>
          <w:r>
            <w:rPr>
              <w:rFonts w:hint="eastAsia" w:ascii="宋体" w:hAnsi="宋体" w:eastAsia="宋体"/>
              <w:szCs w:val="28"/>
              <w:highlight w:val="none"/>
            </w:rPr>
            <w:fldChar w:fldCharType="separate"/>
          </w:r>
          <w:r>
            <w:rPr>
              <w:rFonts w:hint="eastAsia" w:ascii="宋体" w:hAnsi="宋体" w:eastAsia="宋体"/>
              <w:szCs w:val="28"/>
              <w:highlight w:val="none"/>
              <w:lang w:val="en-US" w:eastAsia="zh-CN"/>
            </w:rPr>
            <w:t>4</w:t>
          </w:r>
          <w:r>
            <w:rPr>
              <w:rFonts w:hint="eastAsia" w:ascii="宋体" w:hAnsi="宋体" w:eastAsia="宋体"/>
              <w:szCs w:val="28"/>
              <w:highlight w:val="none"/>
            </w:rPr>
            <w:fldChar w:fldCharType="end"/>
          </w:r>
          <w:r>
            <w:rPr>
              <w:rFonts w:hint="eastAsia" w:ascii="宋体" w:hAnsi="宋体" w:eastAsia="宋体"/>
              <w:szCs w:val="28"/>
              <w:highlight w:val="none"/>
              <w:lang w:val="zh-CN"/>
            </w:rPr>
            <w:fldChar w:fldCharType="end"/>
          </w:r>
        </w:p>
        <w:p>
          <w:pPr>
            <w:pStyle w:val="11"/>
            <w:tabs>
              <w:tab w:val="right" w:leader="dot" w:pos="9072"/>
            </w:tabs>
            <w:rPr>
              <w:rFonts w:hint="eastAsia" w:ascii="宋体" w:hAnsi="宋体" w:eastAsia="宋体"/>
              <w:szCs w:val="28"/>
              <w:highlight w:val="none"/>
            </w:rPr>
          </w:pPr>
          <w:r>
            <w:rPr>
              <w:rFonts w:hint="eastAsia" w:ascii="宋体" w:hAnsi="宋体" w:eastAsia="宋体"/>
              <w:szCs w:val="28"/>
              <w:highlight w:val="none"/>
              <w:lang w:val="zh-CN"/>
            </w:rPr>
            <w:fldChar w:fldCharType="begin"/>
          </w:r>
          <w:r>
            <w:rPr>
              <w:rFonts w:hint="eastAsia" w:ascii="宋体" w:hAnsi="宋体" w:eastAsia="宋体"/>
              <w:szCs w:val="28"/>
              <w:highlight w:val="none"/>
              <w:lang w:val="zh-CN"/>
            </w:rPr>
            <w:instrText xml:space="preserve"> HYPERLINK \l _Toc20680 </w:instrText>
          </w:r>
          <w:r>
            <w:rPr>
              <w:rFonts w:hint="eastAsia" w:ascii="宋体" w:hAnsi="宋体" w:eastAsia="宋体"/>
              <w:szCs w:val="28"/>
              <w:highlight w:val="none"/>
              <w:lang w:val="zh-CN"/>
            </w:rPr>
            <w:fldChar w:fldCharType="separate"/>
          </w:r>
          <w:r>
            <w:rPr>
              <w:rFonts w:hint="default" w:ascii="宋体" w:hAnsi="宋体" w:eastAsia="宋体"/>
              <w:szCs w:val="28"/>
              <w:highlight w:val="none"/>
            </w:rPr>
            <w:t xml:space="preserve">5 </w:t>
          </w:r>
          <w:r>
            <w:rPr>
              <w:rFonts w:hint="eastAsia" w:ascii="宋体" w:hAnsi="宋体" w:eastAsia="宋体"/>
              <w:szCs w:val="28"/>
              <w:highlight w:val="none"/>
            </w:rPr>
            <w:t>受热面检查验收标准</w:t>
          </w:r>
          <w:r>
            <w:rPr>
              <w:rFonts w:hint="eastAsia" w:ascii="宋体" w:hAnsi="宋体" w:eastAsia="宋体"/>
              <w:szCs w:val="28"/>
              <w:highlight w:val="none"/>
            </w:rPr>
            <w:tab/>
          </w:r>
          <w:r>
            <w:rPr>
              <w:rFonts w:hint="eastAsia" w:ascii="宋体" w:hAnsi="宋体" w:eastAsia="宋体"/>
              <w:szCs w:val="28"/>
              <w:highlight w:val="none"/>
            </w:rPr>
            <w:fldChar w:fldCharType="begin"/>
          </w:r>
          <w:r>
            <w:rPr>
              <w:rFonts w:hint="eastAsia" w:ascii="宋体" w:hAnsi="宋体" w:eastAsia="宋体"/>
              <w:szCs w:val="28"/>
              <w:highlight w:val="none"/>
            </w:rPr>
            <w:instrText xml:space="preserve"> PAGEREF _Toc20680 </w:instrText>
          </w:r>
          <w:r>
            <w:rPr>
              <w:rFonts w:hint="eastAsia" w:ascii="宋体" w:hAnsi="宋体" w:eastAsia="宋体"/>
              <w:szCs w:val="28"/>
              <w:highlight w:val="none"/>
            </w:rPr>
            <w:fldChar w:fldCharType="separate"/>
          </w:r>
          <w:r>
            <w:rPr>
              <w:rFonts w:hint="eastAsia" w:ascii="宋体" w:hAnsi="宋体" w:eastAsia="宋体"/>
              <w:szCs w:val="28"/>
              <w:highlight w:val="none"/>
            </w:rPr>
            <w:t>1</w:t>
          </w:r>
          <w:r>
            <w:rPr>
              <w:rFonts w:hint="eastAsia" w:ascii="宋体" w:hAnsi="宋体" w:eastAsia="宋体"/>
              <w:szCs w:val="28"/>
              <w:highlight w:val="none"/>
              <w:lang w:val="en-US" w:eastAsia="zh-CN"/>
            </w:rPr>
            <w:t>1</w:t>
          </w:r>
          <w:r>
            <w:rPr>
              <w:rFonts w:hint="eastAsia" w:ascii="宋体" w:hAnsi="宋体" w:eastAsia="宋体"/>
              <w:szCs w:val="28"/>
              <w:highlight w:val="none"/>
            </w:rPr>
            <w:fldChar w:fldCharType="end"/>
          </w:r>
          <w:r>
            <w:rPr>
              <w:rFonts w:hint="eastAsia" w:ascii="宋体" w:hAnsi="宋体" w:eastAsia="宋体"/>
              <w:szCs w:val="28"/>
              <w:highlight w:val="none"/>
              <w:lang w:val="zh-CN"/>
            </w:rPr>
            <w:fldChar w:fldCharType="end"/>
          </w:r>
        </w:p>
        <w:p>
          <w:pPr>
            <w:pStyle w:val="11"/>
            <w:tabs>
              <w:tab w:val="right" w:leader="dot" w:pos="9072"/>
            </w:tabs>
            <w:rPr>
              <w:rFonts w:hint="eastAsia" w:ascii="宋体" w:hAnsi="宋体" w:eastAsia="宋体"/>
              <w:szCs w:val="28"/>
              <w:highlight w:val="none"/>
            </w:rPr>
          </w:pPr>
          <w:r>
            <w:rPr>
              <w:rFonts w:hint="eastAsia" w:ascii="宋体" w:hAnsi="宋体" w:eastAsia="宋体"/>
              <w:szCs w:val="28"/>
              <w:highlight w:val="none"/>
              <w:lang w:val="zh-CN"/>
            </w:rPr>
            <w:fldChar w:fldCharType="begin"/>
          </w:r>
          <w:r>
            <w:rPr>
              <w:rFonts w:hint="eastAsia" w:ascii="宋体" w:hAnsi="宋体" w:eastAsia="宋体"/>
              <w:szCs w:val="28"/>
              <w:highlight w:val="none"/>
              <w:lang w:val="zh-CN"/>
            </w:rPr>
            <w:instrText xml:space="preserve"> HYPERLINK \l _Toc20079 </w:instrText>
          </w:r>
          <w:r>
            <w:rPr>
              <w:rFonts w:hint="eastAsia" w:ascii="宋体" w:hAnsi="宋体" w:eastAsia="宋体"/>
              <w:szCs w:val="28"/>
              <w:highlight w:val="none"/>
              <w:lang w:val="zh-CN"/>
            </w:rPr>
            <w:fldChar w:fldCharType="separate"/>
          </w:r>
          <w:r>
            <w:rPr>
              <w:rFonts w:hint="default" w:ascii="宋体" w:hAnsi="宋体" w:eastAsia="宋体"/>
              <w:szCs w:val="28"/>
              <w:highlight w:val="none"/>
            </w:rPr>
            <w:t xml:space="preserve">6 </w:t>
          </w:r>
          <w:r>
            <w:rPr>
              <w:rFonts w:hint="eastAsia" w:ascii="宋体" w:hAnsi="宋体" w:eastAsia="宋体"/>
              <w:szCs w:val="28"/>
              <w:highlight w:val="none"/>
            </w:rPr>
            <w:t>工程工期及人员、仪器要求、检验质量控制</w:t>
          </w:r>
          <w:r>
            <w:rPr>
              <w:rFonts w:hint="eastAsia" w:ascii="宋体" w:hAnsi="宋体" w:eastAsia="宋体"/>
              <w:szCs w:val="28"/>
              <w:highlight w:val="none"/>
            </w:rPr>
            <w:tab/>
          </w:r>
          <w:r>
            <w:rPr>
              <w:rFonts w:hint="eastAsia" w:ascii="宋体" w:hAnsi="宋体" w:eastAsia="宋体"/>
              <w:szCs w:val="28"/>
              <w:highlight w:val="none"/>
            </w:rPr>
            <w:fldChar w:fldCharType="begin"/>
          </w:r>
          <w:r>
            <w:rPr>
              <w:rFonts w:hint="eastAsia" w:ascii="宋体" w:hAnsi="宋体" w:eastAsia="宋体"/>
              <w:szCs w:val="28"/>
              <w:highlight w:val="none"/>
            </w:rPr>
            <w:instrText xml:space="preserve"> PAGEREF _Toc20079 </w:instrText>
          </w:r>
          <w:r>
            <w:rPr>
              <w:rFonts w:hint="eastAsia" w:ascii="宋体" w:hAnsi="宋体" w:eastAsia="宋体"/>
              <w:szCs w:val="28"/>
              <w:highlight w:val="none"/>
            </w:rPr>
            <w:fldChar w:fldCharType="separate"/>
          </w:r>
          <w:r>
            <w:rPr>
              <w:rFonts w:hint="eastAsia" w:ascii="宋体" w:hAnsi="宋体" w:eastAsia="宋体"/>
              <w:szCs w:val="28"/>
              <w:highlight w:val="none"/>
            </w:rPr>
            <w:t>1</w:t>
          </w:r>
          <w:r>
            <w:rPr>
              <w:rFonts w:hint="eastAsia" w:ascii="宋体" w:hAnsi="宋体" w:eastAsia="宋体"/>
              <w:szCs w:val="28"/>
              <w:highlight w:val="none"/>
              <w:lang w:val="en-US" w:eastAsia="zh-CN"/>
            </w:rPr>
            <w:t>6</w:t>
          </w:r>
          <w:r>
            <w:rPr>
              <w:rFonts w:hint="eastAsia" w:ascii="宋体" w:hAnsi="宋体" w:eastAsia="宋体"/>
              <w:szCs w:val="28"/>
              <w:highlight w:val="none"/>
            </w:rPr>
            <w:fldChar w:fldCharType="end"/>
          </w:r>
          <w:r>
            <w:rPr>
              <w:rFonts w:hint="eastAsia" w:ascii="宋体" w:hAnsi="宋体" w:eastAsia="宋体"/>
              <w:szCs w:val="28"/>
              <w:highlight w:val="none"/>
              <w:lang w:val="zh-CN"/>
            </w:rPr>
            <w:fldChar w:fldCharType="end"/>
          </w:r>
        </w:p>
        <w:p>
          <w:pPr>
            <w:pStyle w:val="11"/>
            <w:tabs>
              <w:tab w:val="right" w:leader="dot" w:pos="9072"/>
            </w:tabs>
            <w:rPr>
              <w:rFonts w:hint="eastAsia" w:ascii="宋体" w:hAnsi="宋体" w:eastAsia="宋体"/>
              <w:szCs w:val="28"/>
              <w:highlight w:val="none"/>
            </w:rPr>
          </w:pPr>
          <w:r>
            <w:rPr>
              <w:rFonts w:hint="eastAsia" w:ascii="宋体" w:hAnsi="宋体" w:eastAsia="宋体"/>
              <w:szCs w:val="28"/>
              <w:highlight w:val="none"/>
              <w:lang w:val="zh-CN"/>
            </w:rPr>
            <w:fldChar w:fldCharType="begin"/>
          </w:r>
          <w:r>
            <w:rPr>
              <w:rFonts w:hint="eastAsia" w:ascii="宋体" w:hAnsi="宋体" w:eastAsia="宋体"/>
              <w:szCs w:val="28"/>
              <w:highlight w:val="none"/>
              <w:lang w:val="zh-CN"/>
            </w:rPr>
            <w:instrText xml:space="preserve"> HYPERLINK \l _Toc23732 </w:instrText>
          </w:r>
          <w:r>
            <w:rPr>
              <w:rFonts w:hint="eastAsia" w:ascii="宋体" w:hAnsi="宋体" w:eastAsia="宋体"/>
              <w:szCs w:val="28"/>
              <w:highlight w:val="none"/>
              <w:lang w:val="zh-CN"/>
            </w:rPr>
            <w:fldChar w:fldCharType="separate"/>
          </w:r>
          <w:r>
            <w:rPr>
              <w:rFonts w:hint="default" w:ascii="宋体" w:hAnsi="宋体" w:eastAsia="宋体"/>
              <w:szCs w:val="28"/>
              <w:highlight w:val="none"/>
            </w:rPr>
            <w:t xml:space="preserve">7 </w:t>
          </w:r>
          <w:r>
            <w:rPr>
              <w:rFonts w:hint="eastAsia" w:ascii="宋体" w:hAnsi="宋体" w:eastAsia="宋体"/>
              <w:szCs w:val="28"/>
              <w:highlight w:val="none"/>
            </w:rPr>
            <w:t>工期及人员要求</w:t>
          </w:r>
          <w:r>
            <w:rPr>
              <w:rFonts w:hint="eastAsia" w:ascii="宋体" w:hAnsi="宋体" w:eastAsia="宋体"/>
              <w:szCs w:val="28"/>
              <w:highlight w:val="none"/>
            </w:rPr>
            <w:tab/>
          </w:r>
          <w:r>
            <w:rPr>
              <w:rFonts w:hint="eastAsia" w:ascii="宋体" w:hAnsi="宋体" w:eastAsia="宋体"/>
              <w:szCs w:val="28"/>
              <w:highlight w:val="none"/>
            </w:rPr>
            <w:fldChar w:fldCharType="begin"/>
          </w:r>
          <w:r>
            <w:rPr>
              <w:rFonts w:hint="eastAsia" w:ascii="宋体" w:hAnsi="宋体" w:eastAsia="宋体"/>
              <w:szCs w:val="28"/>
              <w:highlight w:val="none"/>
            </w:rPr>
            <w:instrText xml:space="preserve"> PAGEREF _Toc23732 </w:instrText>
          </w:r>
          <w:r>
            <w:rPr>
              <w:rFonts w:hint="eastAsia" w:ascii="宋体" w:hAnsi="宋体" w:eastAsia="宋体"/>
              <w:szCs w:val="28"/>
              <w:highlight w:val="none"/>
            </w:rPr>
            <w:fldChar w:fldCharType="separate"/>
          </w:r>
          <w:r>
            <w:rPr>
              <w:rFonts w:hint="eastAsia" w:ascii="宋体" w:hAnsi="宋体" w:eastAsia="宋体"/>
              <w:szCs w:val="28"/>
              <w:highlight w:val="none"/>
            </w:rPr>
            <w:t>18</w:t>
          </w:r>
          <w:r>
            <w:rPr>
              <w:rFonts w:hint="eastAsia" w:ascii="宋体" w:hAnsi="宋体" w:eastAsia="宋体"/>
              <w:szCs w:val="28"/>
              <w:highlight w:val="none"/>
            </w:rPr>
            <w:fldChar w:fldCharType="end"/>
          </w:r>
          <w:r>
            <w:rPr>
              <w:rFonts w:hint="eastAsia" w:ascii="宋体" w:hAnsi="宋体" w:eastAsia="宋体"/>
              <w:szCs w:val="28"/>
              <w:highlight w:val="none"/>
              <w:lang w:val="zh-CN"/>
            </w:rPr>
            <w:fldChar w:fldCharType="end"/>
          </w:r>
        </w:p>
        <w:p>
          <w:pPr>
            <w:pStyle w:val="11"/>
            <w:tabs>
              <w:tab w:val="right" w:leader="dot" w:pos="9072"/>
            </w:tabs>
            <w:rPr>
              <w:rFonts w:hint="eastAsia" w:ascii="宋体" w:hAnsi="宋体" w:eastAsia="宋体"/>
              <w:szCs w:val="28"/>
              <w:highlight w:val="none"/>
              <w:lang w:val="en-US" w:eastAsia="zh-CN"/>
            </w:rPr>
          </w:pPr>
          <w:r>
            <w:rPr>
              <w:rFonts w:hint="eastAsia" w:ascii="宋体" w:hAnsi="宋体" w:eastAsia="宋体"/>
              <w:szCs w:val="28"/>
              <w:highlight w:val="none"/>
              <w:lang w:val="zh-CN"/>
            </w:rPr>
            <w:fldChar w:fldCharType="begin"/>
          </w:r>
          <w:r>
            <w:rPr>
              <w:rFonts w:hint="eastAsia" w:ascii="宋体" w:hAnsi="宋体" w:eastAsia="宋体"/>
              <w:szCs w:val="28"/>
              <w:highlight w:val="none"/>
              <w:lang w:val="zh-CN"/>
            </w:rPr>
            <w:instrText xml:space="preserve"> HYPERLINK \l _Toc6438 </w:instrText>
          </w:r>
          <w:r>
            <w:rPr>
              <w:rFonts w:hint="eastAsia" w:ascii="宋体" w:hAnsi="宋体" w:eastAsia="宋体"/>
              <w:szCs w:val="28"/>
              <w:highlight w:val="none"/>
              <w:lang w:val="zh-CN"/>
            </w:rPr>
            <w:fldChar w:fldCharType="separate"/>
          </w:r>
          <w:r>
            <w:rPr>
              <w:rFonts w:hint="default" w:ascii="宋体" w:hAnsi="宋体" w:eastAsia="宋体"/>
              <w:szCs w:val="28"/>
              <w:highlight w:val="none"/>
            </w:rPr>
            <w:t xml:space="preserve">8 </w:t>
          </w:r>
          <w:r>
            <w:rPr>
              <w:rFonts w:hint="eastAsia" w:ascii="宋体" w:hAnsi="宋体" w:eastAsia="宋体"/>
              <w:szCs w:val="28"/>
              <w:highlight w:val="none"/>
            </w:rPr>
            <w:t>乙供</w:t>
          </w:r>
          <w:r>
            <w:rPr>
              <w:rFonts w:hint="eastAsia" w:ascii="宋体" w:hAnsi="宋体" w:eastAsia="宋体"/>
              <w:szCs w:val="28"/>
              <w:highlight w:val="none"/>
              <w:lang w:val="en-US" w:eastAsia="zh-CN"/>
            </w:rPr>
            <w:t>工器具</w:t>
          </w:r>
          <w:r>
            <w:rPr>
              <w:rFonts w:hint="eastAsia" w:ascii="宋体" w:hAnsi="宋体" w:eastAsia="宋体"/>
              <w:szCs w:val="28"/>
              <w:highlight w:val="none"/>
            </w:rPr>
            <w:t>范围及要求</w:t>
          </w:r>
          <w:r>
            <w:rPr>
              <w:rFonts w:hint="eastAsia" w:ascii="宋体" w:hAnsi="宋体" w:eastAsia="宋体"/>
              <w:szCs w:val="28"/>
              <w:highlight w:val="none"/>
            </w:rPr>
            <w:tab/>
          </w:r>
          <w:r>
            <w:rPr>
              <w:rFonts w:hint="eastAsia" w:ascii="宋体" w:hAnsi="宋体" w:eastAsia="宋体"/>
              <w:szCs w:val="28"/>
              <w:highlight w:val="none"/>
              <w:lang w:val="en-US" w:eastAsia="zh-CN"/>
            </w:rPr>
            <w:t>1</w:t>
          </w:r>
          <w:r>
            <w:rPr>
              <w:rFonts w:hint="eastAsia" w:ascii="宋体" w:hAnsi="宋体" w:eastAsia="宋体"/>
              <w:szCs w:val="28"/>
              <w:highlight w:val="none"/>
              <w:lang w:val="zh-CN"/>
            </w:rPr>
            <w:fldChar w:fldCharType="end"/>
          </w:r>
          <w:r>
            <w:rPr>
              <w:rFonts w:hint="eastAsia" w:ascii="宋体" w:hAnsi="宋体" w:eastAsia="宋体"/>
              <w:szCs w:val="28"/>
              <w:highlight w:val="none"/>
              <w:lang w:val="en-US" w:eastAsia="zh-CN"/>
            </w:rPr>
            <w:t>7</w:t>
          </w:r>
        </w:p>
        <w:p>
          <w:pPr>
            <w:pStyle w:val="11"/>
            <w:tabs>
              <w:tab w:val="right" w:leader="dot" w:pos="9072"/>
            </w:tabs>
            <w:rPr>
              <w:rFonts w:hint="eastAsia" w:ascii="宋体" w:hAnsi="宋体" w:eastAsia="宋体"/>
              <w:szCs w:val="28"/>
              <w:highlight w:val="none"/>
              <w:lang w:val="en-US" w:eastAsia="zh-CN"/>
            </w:rPr>
          </w:pPr>
          <w:r>
            <w:rPr>
              <w:rFonts w:hint="eastAsia" w:ascii="宋体" w:hAnsi="宋体" w:eastAsia="宋体"/>
              <w:szCs w:val="28"/>
              <w:highlight w:val="none"/>
              <w:lang w:val="zh-CN"/>
            </w:rPr>
            <w:fldChar w:fldCharType="begin"/>
          </w:r>
          <w:r>
            <w:rPr>
              <w:rFonts w:hint="eastAsia" w:ascii="宋体" w:hAnsi="宋体" w:eastAsia="宋体"/>
              <w:szCs w:val="28"/>
              <w:highlight w:val="none"/>
              <w:lang w:val="zh-CN"/>
            </w:rPr>
            <w:instrText xml:space="preserve"> HYPERLINK \l _Toc30527 </w:instrText>
          </w:r>
          <w:r>
            <w:rPr>
              <w:rFonts w:hint="eastAsia" w:ascii="宋体" w:hAnsi="宋体" w:eastAsia="宋体"/>
              <w:szCs w:val="28"/>
              <w:highlight w:val="none"/>
              <w:lang w:val="zh-CN"/>
            </w:rPr>
            <w:fldChar w:fldCharType="separate"/>
          </w:r>
          <w:r>
            <w:rPr>
              <w:rFonts w:hint="default" w:ascii="宋体" w:hAnsi="宋体" w:eastAsia="宋体"/>
              <w:szCs w:val="28"/>
              <w:highlight w:val="none"/>
            </w:rPr>
            <w:t xml:space="preserve">9 </w:t>
          </w:r>
          <w:r>
            <w:rPr>
              <w:rFonts w:hint="eastAsia" w:ascii="宋体" w:hAnsi="宋体" w:eastAsia="宋体"/>
              <w:szCs w:val="28"/>
              <w:highlight w:val="none"/>
            </w:rPr>
            <w:t>质安健环目标、要求及考核</w:t>
          </w:r>
          <w:r>
            <w:rPr>
              <w:rFonts w:hint="eastAsia" w:ascii="宋体" w:hAnsi="宋体" w:eastAsia="宋体"/>
              <w:szCs w:val="28"/>
              <w:highlight w:val="none"/>
            </w:rPr>
            <w:tab/>
          </w:r>
          <w:r>
            <w:rPr>
              <w:rFonts w:hint="eastAsia" w:ascii="宋体" w:hAnsi="宋体" w:eastAsia="宋体"/>
              <w:szCs w:val="28"/>
              <w:highlight w:val="none"/>
              <w:lang w:val="en-US" w:eastAsia="zh-CN"/>
            </w:rPr>
            <w:t>1</w:t>
          </w:r>
          <w:r>
            <w:rPr>
              <w:rFonts w:hint="eastAsia" w:ascii="宋体" w:hAnsi="宋体" w:eastAsia="宋体"/>
              <w:szCs w:val="28"/>
              <w:highlight w:val="none"/>
              <w:lang w:val="zh-CN"/>
            </w:rPr>
            <w:fldChar w:fldCharType="end"/>
          </w:r>
          <w:r>
            <w:rPr>
              <w:rFonts w:hint="eastAsia" w:ascii="宋体" w:hAnsi="宋体" w:eastAsia="宋体"/>
              <w:szCs w:val="28"/>
              <w:highlight w:val="none"/>
              <w:lang w:val="en-US" w:eastAsia="zh-CN"/>
            </w:rPr>
            <w:t>8</w:t>
          </w:r>
        </w:p>
        <w:p>
          <w:pPr>
            <w:pStyle w:val="11"/>
            <w:tabs>
              <w:tab w:val="right" w:leader="dot" w:pos="9072"/>
            </w:tabs>
            <w:rPr>
              <w:rFonts w:hint="eastAsia" w:ascii="宋体" w:hAnsi="宋体" w:eastAsia="宋体"/>
              <w:szCs w:val="28"/>
              <w:highlight w:val="none"/>
              <w:lang w:val="en-US" w:eastAsia="zh-CN"/>
            </w:rPr>
          </w:pPr>
          <w:r>
            <w:rPr>
              <w:rFonts w:hint="eastAsia" w:ascii="宋体" w:hAnsi="宋体" w:eastAsia="宋体"/>
              <w:szCs w:val="28"/>
              <w:highlight w:val="none"/>
              <w:lang w:val="zh-CN"/>
            </w:rPr>
            <w:fldChar w:fldCharType="begin"/>
          </w:r>
          <w:r>
            <w:rPr>
              <w:rFonts w:hint="eastAsia" w:ascii="宋体" w:hAnsi="宋体" w:eastAsia="宋体"/>
              <w:szCs w:val="28"/>
              <w:highlight w:val="none"/>
              <w:lang w:val="zh-CN"/>
            </w:rPr>
            <w:instrText xml:space="preserve"> HYPERLINK \l _Toc1818 </w:instrText>
          </w:r>
          <w:r>
            <w:rPr>
              <w:rFonts w:hint="eastAsia" w:ascii="宋体" w:hAnsi="宋体" w:eastAsia="宋体"/>
              <w:szCs w:val="28"/>
              <w:highlight w:val="none"/>
              <w:lang w:val="zh-CN"/>
            </w:rPr>
            <w:fldChar w:fldCharType="separate"/>
          </w:r>
          <w:r>
            <w:rPr>
              <w:rFonts w:hint="default" w:ascii="宋体" w:hAnsi="宋体" w:eastAsia="宋体"/>
              <w:szCs w:val="28"/>
              <w:highlight w:val="none"/>
            </w:rPr>
            <w:t xml:space="preserve">10 </w:t>
          </w:r>
          <w:r>
            <w:rPr>
              <w:rFonts w:hint="eastAsia" w:ascii="宋体" w:hAnsi="宋体" w:eastAsia="宋体"/>
              <w:szCs w:val="28"/>
              <w:highlight w:val="none"/>
            </w:rPr>
            <w:t>项目管理和要求</w:t>
          </w:r>
          <w:r>
            <w:rPr>
              <w:rFonts w:hint="eastAsia" w:ascii="宋体" w:hAnsi="宋体" w:eastAsia="宋体"/>
              <w:szCs w:val="28"/>
              <w:highlight w:val="none"/>
            </w:rPr>
            <w:tab/>
          </w:r>
          <w:r>
            <w:rPr>
              <w:rFonts w:hint="eastAsia" w:ascii="宋体" w:hAnsi="宋体" w:eastAsia="宋体"/>
              <w:szCs w:val="28"/>
              <w:highlight w:val="none"/>
              <w:lang w:val="en-US" w:eastAsia="zh-CN"/>
            </w:rPr>
            <w:t>2</w:t>
          </w:r>
          <w:r>
            <w:rPr>
              <w:rFonts w:hint="eastAsia" w:ascii="宋体" w:hAnsi="宋体" w:eastAsia="宋体"/>
              <w:szCs w:val="28"/>
              <w:highlight w:val="none"/>
              <w:lang w:val="zh-CN"/>
            </w:rPr>
            <w:fldChar w:fldCharType="end"/>
          </w:r>
          <w:r>
            <w:rPr>
              <w:rFonts w:hint="eastAsia" w:ascii="宋体" w:hAnsi="宋体" w:eastAsia="宋体"/>
              <w:szCs w:val="28"/>
              <w:highlight w:val="none"/>
              <w:lang w:val="en-US" w:eastAsia="zh-CN"/>
            </w:rPr>
            <w:t>3</w:t>
          </w:r>
        </w:p>
        <w:p>
          <w:pPr>
            <w:pStyle w:val="11"/>
            <w:tabs>
              <w:tab w:val="right" w:leader="dot" w:pos="9072"/>
            </w:tabs>
            <w:rPr>
              <w:rFonts w:hint="eastAsia" w:ascii="宋体" w:hAnsi="宋体" w:eastAsia="宋体"/>
              <w:szCs w:val="28"/>
              <w:highlight w:val="none"/>
              <w:lang w:val="en-US" w:eastAsia="zh-CN"/>
            </w:rPr>
          </w:pPr>
          <w:r>
            <w:rPr>
              <w:rFonts w:hint="eastAsia" w:ascii="宋体" w:hAnsi="宋体" w:eastAsia="宋体"/>
              <w:szCs w:val="28"/>
              <w:highlight w:val="none"/>
              <w:lang w:val="zh-CN"/>
            </w:rPr>
            <w:fldChar w:fldCharType="begin"/>
          </w:r>
          <w:r>
            <w:rPr>
              <w:rFonts w:hint="eastAsia" w:ascii="宋体" w:hAnsi="宋体" w:eastAsia="宋体"/>
              <w:szCs w:val="28"/>
              <w:highlight w:val="none"/>
              <w:lang w:val="zh-CN"/>
            </w:rPr>
            <w:instrText xml:space="preserve"> HYPERLINK \l _Toc27593 </w:instrText>
          </w:r>
          <w:r>
            <w:rPr>
              <w:rFonts w:hint="eastAsia" w:ascii="宋体" w:hAnsi="宋体" w:eastAsia="宋体"/>
              <w:szCs w:val="28"/>
              <w:highlight w:val="none"/>
              <w:lang w:val="zh-CN"/>
            </w:rPr>
            <w:fldChar w:fldCharType="separate"/>
          </w:r>
          <w:r>
            <w:rPr>
              <w:rFonts w:hint="default" w:ascii="宋体" w:hAnsi="宋体" w:eastAsia="宋体"/>
              <w:szCs w:val="28"/>
              <w:highlight w:val="none"/>
            </w:rPr>
            <w:t xml:space="preserve">11 </w:t>
          </w:r>
          <w:r>
            <w:rPr>
              <w:rFonts w:hint="eastAsia" w:ascii="宋体" w:hAnsi="宋体" w:eastAsia="宋体"/>
              <w:szCs w:val="28"/>
              <w:highlight w:val="none"/>
            </w:rPr>
            <w:t>质量管理要求与验收标</w:t>
          </w:r>
          <w:r>
            <w:rPr>
              <w:rFonts w:hint="eastAsia" w:ascii="宋体" w:hAnsi="宋体" w:eastAsia="宋体"/>
              <w:szCs w:val="28"/>
              <w:highlight w:val="none"/>
              <w:lang w:val="en-US" w:eastAsia="zh-CN"/>
            </w:rPr>
            <w:t>准</w:t>
          </w:r>
          <w:r>
            <w:rPr>
              <w:rFonts w:hint="eastAsia" w:ascii="宋体" w:hAnsi="宋体" w:eastAsia="宋体"/>
              <w:szCs w:val="28"/>
              <w:highlight w:val="none"/>
            </w:rPr>
            <w:tab/>
          </w:r>
          <w:r>
            <w:rPr>
              <w:rFonts w:hint="eastAsia" w:ascii="宋体" w:hAnsi="宋体" w:eastAsia="宋体"/>
              <w:szCs w:val="28"/>
              <w:highlight w:val="none"/>
              <w:lang w:val="en-US" w:eastAsia="zh-CN"/>
            </w:rPr>
            <w:t>2</w:t>
          </w:r>
          <w:r>
            <w:rPr>
              <w:rFonts w:hint="eastAsia" w:ascii="宋体" w:hAnsi="宋体" w:eastAsia="宋体"/>
              <w:szCs w:val="28"/>
              <w:highlight w:val="none"/>
              <w:lang w:val="zh-CN"/>
            </w:rPr>
            <w:fldChar w:fldCharType="end"/>
          </w:r>
          <w:r>
            <w:rPr>
              <w:rFonts w:hint="eastAsia" w:ascii="宋体" w:hAnsi="宋体" w:eastAsia="宋体"/>
              <w:szCs w:val="28"/>
              <w:highlight w:val="none"/>
              <w:lang w:val="en-US" w:eastAsia="zh-CN"/>
            </w:rPr>
            <w:t>4</w:t>
          </w:r>
        </w:p>
        <w:p>
          <w:pPr>
            <w:pStyle w:val="11"/>
            <w:tabs>
              <w:tab w:val="right" w:leader="dot" w:pos="9072"/>
            </w:tabs>
            <w:rPr>
              <w:rFonts w:hint="eastAsia" w:ascii="宋体" w:hAnsi="宋体" w:eastAsia="宋体"/>
              <w:szCs w:val="28"/>
              <w:highlight w:val="none"/>
              <w:lang w:val="zh-CN"/>
            </w:rPr>
          </w:pPr>
          <w:r>
            <w:rPr>
              <w:rFonts w:hint="eastAsia" w:ascii="宋体" w:hAnsi="宋体" w:eastAsia="宋体"/>
              <w:szCs w:val="28"/>
              <w:highlight w:val="none"/>
              <w:lang w:val="zh-CN"/>
            </w:rPr>
            <w:fldChar w:fldCharType="begin"/>
          </w:r>
          <w:r>
            <w:rPr>
              <w:rFonts w:hint="eastAsia" w:ascii="宋体" w:hAnsi="宋体" w:eastAsia="宋体"/>
              <w:szCs w:val="28"/>
              <w:highlight w:val="none"/>
              <w:lang w:val="zh-CN"/>
            </w:rPr>
            <w:instrText xml:space="preserve"> HYPERLINK \l _Toc2279 </w:instrText>
          </w:r>
          <w:r>
            <w:rPr>
              <w:rFonts w:hint="eastAsia" w:ascii="宋体" w:hAnsi="宋体" w:eastAsia="宋体"/>
              <w:szCs w:val="28"/>
              <w:highlight w:val="none"/>
              <w:lang w:val="zh-CN"/>
            </w:rPr>
            <w:fldChar w:fldCharType="separate"/>
          </w:r>
          <w:r>
            <w:rPr>
              <w:rFonts w:hint="default" w:ascii="宋体" w:hAnsi="宋体" w:eastAsia="宋体"/>
              <w:szCs w:val="28"/>
              <w:highlight w:val="none"/>
            </w:rPr>
            <w:t xml:space="preserve">12 </w:t>
          </w:r>
          <w:r>
            <w:rPr>
              <w:rFonts w:hint="eastAsia" w:ascii="宋体" w:hAnsi="宋体" w:eastAsia="宋体"/>
              <w:szCs w:val="28"/>
              <w:highlight w:val="none"/>
            </w:rPr>
            <w:t>方案报告要求</w:t>
          </w:r>
          <w:r>
            <w:rPr>
              <w:rFonts w:hint="eastAsia" w:ascii="宋体" w:hAnsi="宋体" w:eastAsia="宋体"/>
              <w:szCs w:val="28"/>
              <w:highlight w:val="none"/>
            </w:rPr>
            <w:tab/>
          </w:r>
          <w:r>
            <w:rPr>
              <w:rFonts w:hint="eastAsia" w:ascii="宋体" w:hAnsi="宋体" w:eastAsia="宋体"/>
              <w:szCs w:val="28"/>
              <w:highlight w:val="none"/>
            </w:rPr>
            <w:fldChar w:fldCharType="begin"/>
          </w:r>
          <w:r>
            <w:rPr>
              <w:rFonts w:hint="eastAsia" w:ascii="宋体" w:hAnsi="宋体" w:eastAsia="宋体"/>
              <w:szCs w:val="28"/>
              <w:highlight w:val="none"/>
            </w:rPr>
            <w:instrText xml:space="preserve"> PAGEREF _Toc2279 </w:instrText>
          </w:r>
          <w:r>
            <w:rPr>
              <w:rFonts w:hint="eastAsia" w:ascii="宋体" w:hAnsi="宋体" w:eastAsia="宋体"/>
              <w:szCs w:val="28"/>
              <w:highlight w:val="none"/>
            </w:rPr>
            <w:fldChar w:fldCharType="separate"/>
          </w:r>
          <w:r>
            <w:rPr>
              <w:rFonts w:hint="eastAsia" w:ascii="宋体" w:hAnsi="宋体" w:eastAsia="宋体"/>
              <w:szCs w:val="28"/>
              <w:highlight w:val="none"/>
              <w:lang w:val="en-US" w:eastAsia="zh-CN"/>
            </w:rPr>
            <w:t>25</w:t>
          </w:r>
          <w:r>
            <w:rPr>
              <w:rFonts w:hint="eastAsia" w:ascii="宋体" w:hAnsi="宋体" w:eastAsia="宋体"/>
              <w:szCs w:val="28"/>
              <w:highlight w:val="none"/>
            </w:rPr>
            <w:fldChar w:fldCharType="end"/>
          </w:r>
          <w:r>
            <w:rPr>
              <w:rFonts w:hint="eastAsia" w:ascii="宋体" w:hAnsi="宋体" w:eastAsia="宋体"/>
              <w:szCs w:val="28"/>
              <w:highlight w:val="none"/>
              <w:lang w:val="zh-CN"/>
            </w:rPr>
            <w:fldChar w:fldCharType="end"/>
          </w:r>
        </w:p>
        <w:p>
          <w:pPr>
            <w:pStyle w:val="11"/>
            <w:tabs>
              <w:tab w:val="right" w:leader="dot" w:pos="9072"/>
            </w:tabs>
            <w:rPr>
              <w:rFonts w:hint="eastAsia" w:ascii="宋体" w:hAnsi="宋体" w:eastAsia="宋体" w:cs="宋体"/>
              <w:b w:val="0"/>
              <w:bCs w:val="0"/>
              <w:sz w:val="24"/>
              <w:szCs w:val="24"/>
              <w:highlight w:val="none"/>
            </w:rPr>
          </w:pPr>
          <w:r>
            <w:rPr>
              <w:rFonts w:hint="eastAsia" w:ascii="宋体" w:hAnsi="宋体" w:eastAsia="宋体"/>
              <w:szCs w:val="28"/>
              <w:highlight w:val="none"/>
              <w:lang w:val="en-US" w:eastAsia="zh-CN"/>
            </w:rPr>
            <w:t>13</w:t>
          </w:r>
          <w:r>
            <w:rPr>
              <w:rFonts w:hint="eastAsia" w:ascii="宋体" w:hAnsi="宋体" w:eastAsia="宋体"/>
              <w:szCs w:val="28"/>
              <w:highlight w:val="none"/>
            </w:rPr>
            <w:t>质量保证</w:t>
          </w:r>
          <w:r>
            <w:rPr>
              <w:rFonts w:hint="eastAsia" w:ascii="宋体" w:hAnsi="宋体" w:eastAsia="宋体"/>
              <w:szCs w:val="28"/>
              <w:highlight w:val="none"/>
            </w:rPr>
            <w:tab/>
          </w:r>
          <w:r>
            <w:rPr>
              <w:rFonts w:hint="eastAsia" w:ascii="宋体" w:hAnsi="宋体" w:eastAsia="宋体" w:cs="宋体"/>
              <w:b w:val="0"/>
              <w:bCs w:val="0"/>
              <w:sz w:val="24"/>
              <w:szCs w:val="24"/>
              <w:highlight w:val="none"/>
            </w:rPr>
            <w:fldChar w:fldCharType="begin"/>
          </w:r>
          <w:r>
            <w:rPr>
              <w:rFonts w:hint="eastAsia" w:ascii="宋体" w:hAnsi="宋体" w:eastAsia="宋体" w:cs="宋体"/>
              <w:b w:val="0"/>
              <w:bCs w:val="0"/>
              <w:sz w:val="24"/>
              <w:szCs w:val="24"/>
              <w:highlight w:val="none"/>
            </w:rPr>
            <w:instrText xml:space="preserve"> PAGEREF _Toc2279 </w:instrText>
          </w:r>
          <w:r>
            <w:rPr>
              <w:rFonts w:hint="eastAsia" w:ascii="宋体" w:hAnsi="宋体" w:eastAsia="宋体" w:cs="宋体"/>
              <w:b w:val="0"/>
              <w:bCs w:val="0"/>
              <w:sz w:val="24"/>
              <w:szCs w:val="24"/>
              <w:highlight w:val="none"/>
            </w:rPr>
            <w:fldChar w:fldCharType="separate"/>
          </w:r>
          <w:r>
            <w:rPr>
              <w:rFonts w:hint="eastAsia" w:ascii="宋体" w:hAnsi="宋体" w:eastAsia="宋体" w:cs="宋体"/>
              <w:b w:val="0"/>
              <w:bCs w:val="0"/>
              <w:sz w:val="24"/>
              <w:szCs w:val="24"/>
              <w:highlight w:val="none"/>
              <w:lang w:val="en-US" w:eastAsia="zh-CN"/>
            </w:rPr>
            <w:t>25</w:t>
          </w:r>
          <w:r>
            <w:rPr>
              <w:rFonts w:hint="eastAsia" w:ascii="宋体" w:hAnsi="宋体" w:eastAsia="宋体" w:cs="宋体"/>
              <w:b w:val="0"/>
              <w:bCs w:val="0"/>
              <w:sz w:val="24"/>
              <w:szCs w:val="24"/>
              <w:highlight w:val="none"/>
            </w:rPr>
            <w:fldChar w:fldCharType="end"/>
          </w:r>
        </w:p>
        <w:p>
          <w:pPr>
            <w:rPr>
              <w:rFonts w:hint="eastAsia"/>
              <w:highlight w:val="none"/>
            </w:rPr>
          </w:pPr>
        </w:p>
        <w:p>
          <w:pPr>
            <w:rPr>
              <w:highlight w:val="none"/>
            </w:rPr>
          </w:pPr>
          <w:r>
            <w:rPr>
              <w:bCs/>
              <w:highlight w:val="none"/>
              <w:lang w:val="zh-CN"/>
            </w:rPr>
            <w:fldChar w:fldCharType="end"/>
          </w:r>
        </w:p>
      </w:sdtContent>
    </w:sdt>
    <w:p>
      <w:pPr>
        <w:tabs>
          <w:tab w:val="left" w:pos="2342"/>
        </w:tabs>
        <w:jc w:val="left"/>
        <w:rPr>
          <w:rFonts w:hint="eastAsia"/>
          <w:highlight w:val="none"/>
          <w:lang w:eastAsia="zh-CN"/>
        </w:rPr>
      </w:pPr>
    </w:p>
    <w:p>
      <w:pPr>
        <w:pStyle w:val="17"/>
        <w:numPr>
          <w:ilvl w:val="0"/>
          <w:numId w:val="0"/>
        </w:numPr>
        <w:spacing w:line="360" w:lineRule="auto"/>
        <w:ind w:leftChars="0"/>
        <w:outlineLvl w:val="0"/>
        <w:rPr>
          <w:rFonts w:hint="eastAsia" w:ascii="宋体" w:hAnsi="宋体" w:eastAsia="宋体" w:cs="宋体"/>
          <w:b w:val="0"/>
          <w:bCs w:val="0"/>
          <w:sz w:val="24"/>
          <w:szCs w:val="24"/>
          <w:highlight w:val="none"/>
        </w:rPr>
      </w:pPr>
    </w:p>
    <w:p>
      <w:pPr>
        <w:tabs>
          <w:tab w:val="left" w:pos="2342"/>
        </w:tabs>
        <w:jc w:val="left"/>
        <w:rPr>
          <w:rFonts w:hint="eastAsia" w:eastAsiaTheme="minorEastAsia"/>
          <w:highlight w:val="none"/>
          <w:lang w:eastAsia="zh-CN"/>
        </w:rPr>
        <w:sectPr>
          <w:pgSz w:w="11906" w:h="16838"/>
          <w:pgMar w:top="1417" w:right="1417" w:bottom="1417" w:left="1417" w:header="851" w:footer="992" w:gutter="0"/>
          <w:cols w:space="0" w:num="1"/>
          <w:rtlGutter w:val="0"/>
          <w:docGrid w:type="lines" w:linePitch="312" w:charSpace="0"/>
        </w:sectPr>
      </w:pPr>
      <w:r>
        <w:rPr>
          <w:rFonts w:hint="eastAsia"/>
          <w:highlight w:val="none"/>
          <w:lang w:eastAsia="zh-CN"/>
        </w:rPr>
        <w:tab/>
      </w:r>
    </w:p>
    <w:p>
      <w:pPr>
        <w:pStyle w:val="17"/>
        <w:numPr>
          <w:ilvl w:val="0"/>
          <w:numId w:val="3"/>
        </w:numPr>
        <w:spacing w:line="360" w:lineRule="auto"/>
        <w:ind w:left="1045" w:leftChars="0" w:hanging="1045" w:firstLineChars="0"/>
        <w:outlineLvl w:val="0"/>
        <w:rPr>
          <w:rFonts w:hint="eastAsia" w:ascii="宋体" w:hAnsi="宋体" w:eastAsia="宋体" w:cs="宋体"/>
          <w:b w:val="0"/>
          <w:bCs/>
          <w:sz w:val="24"/>
          <w:szCs w:val="24"/>
          <w:highlight w:val="none"/>
        </w:rPr>
      </w:pPr>
      <w:bookmarkStart w:id="0" w:name="_Toc3482"/>
      <w:r>
        <w:rPr>
          <w:rFonts w:hint="eastAsia" w:ascii="宋体" w:hAnsi="宋体" w:eastAsia="宋体" w:cs="宋体"/>
          <w:b w:val="0"/>
          <w:bCs/>
          <w:sz w:val="24"/>
          <w:szCs w:val="24"/>
          <w:highlight w:val="none"/>
        </w:rPr>
        <w:t>总则</w:t>
      </w:r>
      <w:bookmarkEnd w:id="0"/>
    </w:p>
    <w:p>
      <w:pPr>
        <w:pStyle w:val="17"/>
        <w:numPr>
          <w:ilvl w:val="1"/>
          <w:numId w:val="4"/>
        </w:numPr>
        <w:spacing w:line="360" w:lineRule="auto"/>
        <w:ind w:left="1058" w:leftChars="0" w:hanging="1058" w:hangingChars="441"/>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本技术规范书为淮浙煤电有限责任公司</w:t>
      </w:r>
      <w:r>
        <w:rPr>
          <w:rFonts w:hint="eastAsia" w:ascii="宋体" w:hAnsi="宋体" w:eastAsia="宋体" w:cs="宋体"/>
          <w:b w:val="0"/>
          <w:bCs/>
          <w:color w:val="auto"/>
          <w:sz w:val="24"/>
          <w:szCs w:val="24"/>
          <w:highlight w:val="none"/>
          <w:lang w:eastAsia="zh-CN"/>
        </w:rPr>
        <w:t>全厂</w:t>
      </w:r>
      <w:r>
        <w:rPr>
          <w:rFonts w:hint="eastAsia" w:ascii="宋体" w:hAnsi="宋体" w:eastAsia="宋体" w:cs="宋体"/>
          <w:b w:val="0"/>
          <w:bCs/>
          <w:color w:val="auto"/>
          <w:sz w:val="24"/>
          <w:szCs w:val="24"/>
          <w:highlight w:val="none"/>
        </w:rPr>
        <w:t>锅炉四管防磨防爆检查而提出的技术上规范和说明，明确了</w:t>
      </w:r>
      <w:r>
        <w:rPr>
          <w:rFonts w:hint="eastAsia" w:ascii="宋体" w:hAnsi="宋体" w:eastAsia="宋体" w:cs="宋体"/>
          <w:b w:val="0"/>
          <w:bCs/>
          <w:color w:val="auto"/>
          <w:sz w:val="24"/>
          <w:szCs w:val="24"/>
          <w:highlight w:val="none"/>
          <w:lang w:eastAsia="zh-CN"/>
        </w:rPr>
        <w:t>全厂</w:t>
      </w:r>
      <w:r>
        <w:rPr>
          <w:rFonts w:hint="eastAsia" w:ascii="宋体" w:hAnsi="宋体" w:eastAsia="宋体" w:cs="宋体"/>
          <w:b w:val="0"/>
          <w:bCs/>
          <w:color w:val="auto"/>
          <w:sz w:val="24"/>
          <w:szCs w:val="24"/>
          <w:highlight w:val="none"/>
        </w:rPr>
        <w:t>锅炉</w:t>
      </w:r>
      <w:r>
        <w:rPr>
          <w:rFonts w:hint="eastAsia" w:ascii="宋体" w:hAnsi="宋体" w:eastAsia="宋体" w:cs="宋体"/>
          <w:b w:val="0"/>
          <w:bCs/>
          <w:sz w:val="24"/>
          <w:szCs w:val="24"/>
          <w:highlight w:val="none"/>
        </w:rPr>
        <w:t>四管防磨防爆检查</w:t>
      </w:r>
      <w:r>
        <w:rPr>
          <w:rFonts w:hint="eastAsia" w:ascii="宋体" w:hAnsi="宋体" w:eastAsia="宋体" w:cs="宋体"/>
          <w:b w:val="0"/>
          <w:bCs/>
          <w:color w:val="auto"/>
          <w:sz w:val="24"/>
          <w:szCs w:val="24"/>
          <w:highlight w:val="none"/>
        </w:rPr>
        <w:t>的主要内容，提出了</w:t>
      </w:r>
      <w:r>
        <w:rPr>
          <w:rFonts w:hint="eastAsia" w:ascii="宋体" w:hAnsi="宋体" w:eastAsia="宋体" w:cs="宋体"/>
          <w:b w:val="0"/>
          <w:bCs/>
          <w:color w:val="auto"/>
          <w:sz w:val="24"/>
          <w:szCs w:val="24"/>
          <w:highlight w:val="none"/>
          <w:lang w:val="en-US" w:eastAsia="zh-CN"/>
        </w:rPr>
        <w:t>检查、配合消缺、</w:t>
      </w:r>
      <w:r>
        <w:rPr>
          <w:rFonts w:hint="eastAsia" w:ascii="宋体" w:hAnsi="宋体" w:eastAsia="宋体" w:cs="宋体"/>
          <w:b w:val="0"/>
          <w:bCs/>
          <w:color w:val="auto"/>
          <w:sz w:val="24"/>
          <w:szCs w:val="24"/>
          <w:highlight w:val="none"/>
        </w:rPr>
        <w:t>管理、质量、安全、进度、文明生产以及7S+管理等方面的要求。</w:t>
      </w:r>
    </w:p>
    <w:p>
      <w:pPr>
        <w:pStyle w:val="17"/>
        <w:numPr>
          <w:ilvl w:val="1"/>
          <w:numId w:val="4"/>
        </w:numPr>
        <w:spacing w:line="360" w:lineRule="auto"/>
        <w:ind w:left="1058" w:leftChars="0" w:hanging="1058" w:hangingChars="441"/>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本技术规范书所提出的是最低限度的要求，并未对一切细节作出明确规定，也未充分引述有关标准、规范的条文。</w:t>
      </w:r>
    </w:p>
    <w:p>
      <w:pPr>
        <w:pStyle w:val="17"/>
        <w:numPr>
          <w:ilvl w:val="1"/>
          <w:numId w:val="4"/>
        </w:numPr>
        <w:spacing w:line="360" w:lineRule="auto"/>
        <w:ind w:left="1058" w:leftChars="0" w:hanging="1058" w:hangingChars="441"/>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合同签订后，招标方有权因规范、标准、规程发生变化而提出一些补充要求，或根据机组运行情况对</w:t>
      </w:r>
      <w:r>
        <w:rPr>
          <w:rFonts w:hint="eastAsia" w:ascii="宋体" w:hAnsi="宋体" w:eastAsia="宋体" w:cs="宋体"/>
          <w:b w:val="0"/>
          <w:bCs/>
          <w:sz w:val="24"/>
          <w:szCs w:val="24"/>
          <w:highlight w:val="none"/>
        </w:rPr>
        <w:t>锅炉四管防磨防爆检查</w:t>
      </w:r>
      <w:r>
        <w:rPr>
          <w:rFonts w:hint="eastAsia" w:ascii="宋体" w:hAnsi="宋体" w:eastAsia="宋体" w:cs="宋体"/>
          <w:b w:val="0"/>
          <w:bCs/>
          <w:color w:val="auto"/>
          <w:sz w:val="24"/>
          <w:szCs w:val="24"/>
          <w:highlight w:val="none"/>
        </w:rPr>
        <w:t>内容和工期等内容进行必要的调整，具体内容由双方共同商定。</w:t>
      </w:r>
    </w:p>
    <w:p>
      <w:pPr>
        <w:pStyle w:val="17"/>
        <w:numPr>
          <w:ilvl w:val="1"/>
          <w:numId w:val="4"/>
        </w:numPr>
        <w:spacing w:line="360" w:lineRule="auto"/>
        <w:ind w:left="1058" w:leftChars="0" w:hanging="1058" w:hangingChars="441"/>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招标方提供</w:t>
      </w:r>
      <w:r>
        <w:rPr>
          <w:rFonts w:hint="eastAsia" w:ascii="宋体" w:hAnsi="宋体" w:eastAsia="宋体" w:cs="宋体"/>
          <w:b w:val="0"/>
          <w:bCs/>
          <w:sz w:val="24"/>
          <w:szCs w:val="24"/>
          <w:highlight w:val="none"/>
        </w:rPr>
        <w:t>锅炉四管防磨防爆检查</w:t>
      </w:r>
      <w:r>
        <w:rPr>
          <w:rFonts w:hint="eastAsia" w:ascii="宋体" w:hAnsi="宋体" w:eastAsia="宋体" w:cs="宋体"/>
          <w:b w:val="0"/>
          <w:bCs/>
          <w:color w:val="auto"/>
          <w:sz w:val="24"/>
          <w:szCs w:val="24"/>
          <w:highlight w:val="none"/>
        </w:rPr>
        <w:t>检修电源等便利条件。</w:t>
      </w:r>
    </w:p>
    <w:p>
      <w:pPr>
        <w:pStyle w:val="17"/>
        <w:numPr>
          <w:ilvl w:val="1"/>
          <w:numId w:val="4"/>
        </w:numPr>
        <w:spacing w:line="360" w:lineRule="auto"/>
        <w:ind w:left="1058" w:leftChars="0" w:hanging="1058" w:hangingChars="441"/>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接到通知后</w:t>
      </w:r>
      <w:r>
        <w:rPr>
          <w:rFonts w:hint="eastAsia" w:ascii="宋体" w:hAnsi="宋体" w:eastAsia="宋体" w:cs="宋体"/>
          <w:b w:val="0"/>
          <w:bCs/>
          <w:color w:val="auto"/>
          <w:sz w:val="24"/>
          <w:szCs w:val="24"/>
          <w:highlight w:val="none"/>
          <w:lang w:val="en-US" w:eastAsia="zh-CN"/>
        </w:rPr>
        <w:t>3天内</w:t>
      </w:r>
      <w:r>
        <w:rPr>
          <w:rFonts w:hint="eastAsia" w:ascii="宋体" w:hAnsi="宋体" w:eastAsia="宋体" w:cs="宋体"/>
          <w:b w:val="0"/>
          <w:bCs/>
          <w:color w:val="auto"/>
          <w:sz w:val="24"/>
          <w:szCs w:val="24"/>
          <w:highlight w:val="none"/>
        </w:rPr>
        <w:t>到厂开展</w:t>
      </w:r>
      <w:r>
        <w:rPr>
          <w:rFonts w:hint="eastAsia" w:ascii="宋体" w:hAnsi="宋体" w:eastAsia="宋体" w:cs="宋体"/>
          <w:b w:val="0"/>
          <w:bCs/>
          <w:sz w:val="24"/>
          <w:szCs w:val="24"/>
          <w:highlight w:val="none"/>
        </w:rPr>
        <w:t>锅炉四管防磨防爆检查</w:t>
      </w:r>
      <w:r>
        <w:rPr>
          <w:rFonts w:hint="eastAsia" w:ascii="宋体" w:hAnsi="宋体" w:eastAsia="宋体" w:cs="宋体"/>
          <w:b w:val="0"/>
          <w:bCs/>
          <w:color w:val="auto"/>
          <w:sz w:val="24"/>
          <w:szCs w:val="24"/>
          <w:highlight w:val="none"/>
        </w:rPr>
        <w:t>工作，设备、人员能满足</w:t>
      </w:r>
      <w:r>
        <w:rPr>
          <w:rFonts w:hint="eastAsia" w:ascii="宋体" w:hAnsi="宋体" w:eastAsia="宋体" w:cs="宋体"/>
          <w:b w:val="0"/>
          <w:bCs/>
          <w:color w:val="auto"/>
          <w:sz w:val="24"/>
          <w:szCs w:val="24"/>
          <w:highlight w:val="none"/>
          <w:lang w:val="en-US" w:eastAsia="zh-CN"/>
        </w:rPr>
        <w:t>现场进度要求</w:t>
      </w:r>
      <w:r>
        <w:rPr>
          <w:rFonts w:hint="eastAsia" w:ascii="宋体" w:hAnsi="宋体" w:eastAsia="宋体" w:cs="宋体"/>
          <w:b w:val="0"/>
          <w:bCs/>
          <w:color w:val="auto"/>
          <w:sz w:val="24"/>
          <w:szCs w:val="24"/>
          <w:highlight w:val="none"/>
        </w:rPr>
        <w:t>需要。</w:t>
      </w:r>
    </w:p>
    <w:p>
      <w:pPr>
        <w:pStyle w:val="17"/>
        <w:numPr>
          <w:ilvl w:val="1"/>
          <w:numId w:val="4"/>
        </w:numPr>
        <w:spacing w:line="360" w:lineRule="auto"/>
        <w:ind w:left="1058" w:leftChars="0" w:hanging="1058" w:hangingChars="441"/>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本项目检修纳入招标方的ERP、全员安健环绩效评价和企业微信等平台管理，投标方相关人员应具备相应的能力。</w:t>
      </w:r>
    </w:p>
    <w:p>
      <w:pPr>
        <w:pStyle w:val="17"/>
        <w:numPr>
          <w:ilvl w:val="0"/>
          <w:numId w:val="3"/>
        </w:numPr>
        <w:spacing w:line="360" w:lineRule="auto"/>
        <w:ind w:left="1045" w:leftChars="0" w:hanging="1045" w:firstLineChars="0"/>
        <w:outlineLvl w:val="0"/>
        <w:rPr>
          <w:rFonts w:hint="eastAsia" w:ascii="宋体" w:hAnsi="宋体" w:eastAsia="宋体" w:cs="宋体"/>
          <w:b w:val="0"/>
          <w:bCs/>
          <w:sz w:val="24"/>
          <w:szCs w:val="24"/>
          <w:highlight w:val="none"/>
          <w:lang w:val="en-US" w:eastAsia="zh-CN"/>
        </w:rPr>
      </w:pPr>
      <w:bookmarkStart w:id="1" w:name="_Toc21653"/>
      <w:r>
        <w:rPr>
          <w:rFonts w:hint="eastAsia" w:ascii="宋体" w:hAnsi="宋体" w:eastAsia="宋体" w:cs="宋体"/>
          <w:b w:val="0"/>
          <w:bCs/>
          <w:sz w:val="24"/>
          <w:szCs w:val="24"/>
          <w:highlight w:val="none"/>
        </w:rPr>
        <w:t>项目概况</w:t>
      </w:r>
      <w:bookmarkEnd w:id="1"/>
      <w:r>
        <w:rPr>
          <w:rFonts w:hint="eastAsia" w:ascii="宋体" w:hAnsi="宋体" w:eastAsia="宋体" w:cs="宋体"/>
          <w:b w:val="0"/>
          <w:bCs/>
          <w:sz w:val="24"/>
          <w:szCs w:val="24"/>
          <w:highlight w:val="none"/>
        </w:rPr>
        <w:br w:type="textWrapping"/>
      </w:r>
      <w:r>
        <w:rPr>
          <w:rFonts w:hint="eastAsia" w:ascii="宋体" w:hAnsi="宋体" w:eastAsia="宋体" w:cs="宋体"/>
          <w:b w:val="0"/>
          <w:bCs/>
          <w:sz w:val="24"/>
          <w:szCs w:val="24"/>
          <w:highlight w:val="none"/>
        </w:rPr>
        <w:t>凤台电厂位于安徽省淮南市凤台县桂集镇和城北乡境内，厂址范围南侧为阜淮铁路，东侧为凤蒙公路（S203省道）。淮浙煤电凤台电厂一期工程2×630MW国产超临界燃煤发电机组，锅炉为东方锅炉厂股份有限公司制造的超临界参数直流炉、固态排渣、单炉膛、一次再热、平衡通风、露天布置、全钢构架、全悬吊结构，Π型锅炉。二期工程2×660MW国产超超临界燃煤发电机组，锅炉为上海锅炉厂股份有限公司制造的超临界参数直流炉、固态排渣、单炉膛、一次再热、平衡通风、露天布置、全钢构架、全悬吊结构，Π型锅炉。 1、2号机组于2008年8月和9月份投产，3、4号机组于2013年12月投产</w:t>
      </w:r>
      <w:r>
        <w:rPr>
          <w:rFonts w:hint="eastAsia" w:ascii="宋体" w:hAnsi="宋体" w:eastAsia="宋体" w:cs="宋体"/>
          <w:b w:val="0"/>
          <w:bCs/>
          <w:sz w:val="24"/>
          <w:szCs w:val="24"/>
          <w:highlight w:val="none"/>
          <w:lang w:val="en-US" w:eastAsia="zh-CN"/>
        </w:rPr>
        <w:t>。</w:t>
      </w:r>
    </w:p>
    <w:p>
      <w:pPr>
        <w:pStyle w:val="17"/>
        <w:numPr>
          <w:ilvl w:val="0"/>
          <w:numId w:val="3"/>
        </w:numPr>
        <w:spacing w:line="360" w:lineRule="auto"/>
        <w:ind w:left="1045" w:leftChars="0" w:hanging="1045" w:firstLineChars="0"/>
        <w:outlineLvl w:val="0"/>
        <w:rPr>
          <w:rFonts w:hint="eastAsia" w:ascii="宋体" w:hAnsi="宋体" w:eastAsia="宋体" w:cs="宋体"/>
          <w:b w:val="0"/>
          <w:bCs/>
          <w:sz w:val="24"/>
          <w:szCs w:val="24"/>
          <w:highlight w:val="none"/>
        </w:rPr>
      </w:pPr>
      <w:bookmarkStart w:id="2" w:name="_Toc15154"/>
      <w:r>
        <w:rPr>
          <w:rFonts w:hint="eastAsia" w:ascii="宋体" w:hAnsi="宋体" w:eastAsia="宋体" w:cs="宋体"/>
          <w:b w:val="0"/>
          <w:bCs/>
          <w:sz w:val="24"/>
          <w:szCs w:val="24"/>
          <w:highlight w:val="none"/>
        </w:rPr>
        <w:t>工程执行的标准及规范</w:t>
      </w:r>
      <w:bookmarkEnd w:id="2"/>
      <w:r>
        <w:rPr>
          <w:rFonts w:hint="eastAsia" w:ascii="宋体" w:hAnsi="宋体" w:eastAsia="宋体" w:cs="宋体"/>
          <w:b w:val="0"/>
          <w:bCs/>
          <w:sz w:val="24"/>
          <w:szCs w:val="24"/>
          <w:highlight w:val="none"/>
        </w:rPr>
        <w:br w:type="textWrapping"/>
      </w:r>
      <w:r>
        <w:rPr>
          <w:rFonts w:hint="eastAsia" w:ascii="宋体" w:hAnsi="宋体" w:eastAsia="宋体" w:cs="宋体"/>
          <w:sz w:val="24"/>
          <w:szCs w:val="24"/>
          <w:highlight w:val="none"/>
        </w:rPr>
        <w:t>本技术</w:t>
      </w:r>
      <w:r>
        <w:rPr>
          <w:rFonts w:hint="eastAsia" w:ascii="宋体" w:hAnsi="宋体" w:eastAsia="宋体" w:cs="宋体"/>
          <w:sz w:val="24"/>
          <w:szCs w:val="24"/>
          <w:highlight w:val="none"/>
          <w:lang w:val="en-US" w:eastAsia="zh-CN"/>
        </w:rPr>
        <w:t>诡诞</w:t>
      </w:r>
      <w:r>
        <w:rPr>
          <w:rFonts w:hint="eastAsia" w:ascii="宋体" w:hAnsi="宋体" w:eastAsia="宋体" w:cs="宋体"/>
          <w:sz w:val="24"/>
          <w:szCs w:val="24"/>
          <w:highlight w:val="none"/>
        </w:rPr>
        <w:t xml:space="preserve">中涉及的包括且不限于如下的所有标准，标准如有更新，则在施工过程中按最新标准执行。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《中华人民共和国合同法》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《中华人民共和国特种设备安全法》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TSG 11-2020《锅炉安全技术规程》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GB/T 16507.4-2022《水管锅炉第4部分：受压元件强度计算》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GB/T 11344-2021《无损检测 超声测厚》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NB/T 47013-2015《承压设备无损检测》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DL/T 939－2016《火力发电厂锅炉受热面管监督检验技术导则》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DL/T 438-2016 《火力发电厂金属技术监督规程》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DL/T 869-2021《火力发电厂焊接技术规程》 </w:t>
      </w:r>
      <w:r>
        <w:rPr>
          <w:rFonts w:hint="eastAsia" w:ascii="宋体" w:hAnsi="宋体" w:eastAsia="宋体" w:cs="宋体"/>
          <w:sz w:val="24"/>
          <w:szCs w:val="24"/>
          <w:highlight w:val="none"/>
        </w:rPr>
        <w:br w:type="textWrapping"/>
      </w:r>
      <w:r>
        <w:rPr>
          <w:rFonts w:hint="eastAsia" w:ascii="宋体" w:hAnsi="宋体" w:eastAsia="宋体" w:cs="宋体"/>
          <w:sz w:val="24"/>
          <w:szCs w:val="24"/>
          <w:highlight w:val="none"/>
        </w:rPr>
        <w:t xml:space="preserve">DL/T 884-2019《火电厂金相检验与评定技术导则》 </w:t>
      </w:r>
    </w:p>
    <w:p>
      <w:pPr>
        <w:pStyle w:val="17"/>
        <w:numPr>
          <w:ilvl w:val="0"/>
          <w:numId w:val="3"/>
        </w:numPr>
        <w:spacing w:line="360" w:lineRule="auto"/>
        <w:ind w:left="1045" w:leftChars="0" w:hanging="1045" w:firstLineChars="0"/>
        <w:outlineLvl w:val="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检验实施 </w:t>
      </w:r>
    </w:p>
    <w:p>
      <w:pPr>
        <w:pStyle w:val="17"/>
        <w:numPr>
          <w:ilvl w:val="1"/>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b w:val="0"/>
          <w:bCs/>
          <w:color w:val="auto"/>
          <w:sz w:val="24"/>
          <w:szCs w:val="24"/>
          <w:highlight w:val="none"/>
        </w:rPr>
        <w:t>开工</w:t>
      </w:r>
      <w:r>
        <w:rPr>
          <w:rFonts w:hint="eastAsia" w:ascii="宋体" w:hAnsi="宋体" w:eastAsia="宋体" w:cs="宋体"/>
          <w:sz w:val="24"/>
          <w:szCs w:val="24"/>
          <w:highlight w:val="none"/>
        </w:rPr>
        <w:t xml:space="preserve">前的准备 </w:t>
      </w:r>
    </w:p>
    <w:p>
      <w:pPr>
        <w:pStyle w:val="17"/>
        <w:numPr>
          <w:ilvl w:val="2"/>
          <w:numId w:val="3"/>
        </w:numPr>
        <w:spacing w:line="360" w:lineRule="auto"/>
        <w:ind w:left="1045" w:leftChars="0" w:hanging="1045" w:firstLineChars="0"/>
        <w:outlineLvl w:val="0"/>
        <w:rPr>
          <w:rFonts w:hint="eastAsia" w:ascii="宋体" w:hAnsi="宋体" w:eastAsia="宋体" w:cs="宋体"/>
          <w:sz w:val="24"/>
          <w:szCs w:val="24"/>
          <w:highlight w:val="none"/>
        </w:rPr>
      </w:pPr>
      <w:r>
        <w:rPr>
          <w:rFonts w:hint="eastAsia" w:ascii="宋体" w:hAnsi="宋体" w:eastAsia="宋体" w:cs="宋体"/>
          <w:b/>
          <w:bCs/>
          <w:sz w:val="24"/>
          <w:szCs w:val="24"/>
          <w:highlight w:val="none"/>
        </w:rPr>
        <w:t>检验实施前，对锅炉技术资料进行查阅，充分了解受检设备状况，特别对相关图纸和故障记录重点审查，根据被检锅炉实际情况和电厂计划编制切实可行的检验方案</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包括同类机组缺陷</w:t>
      </w:r>
      <w:r>
        <w:rPr>
          <w:rFonts w:hint="eastAsia" w:ascii="宋体" w:hAnsi="宋体" w:eastAsia="宋体" w:cs="宋体"/>
          <w:sz w:val="24"/>
          <w:szCs w:val="24"/>
          <w:highlight w:val="none"/>
        </w:rPr>
        <w:t xml:space="preserve">。 </w:t>
      </w:r>
    </w:p>
    <w:p>
      <w:pPr>
        <w:pStyle w:val="17"/>
        <w:numPr>
          <w:ilvl w:val="2"/>
          <w:numId w:val="3"/>
        </w:numPr>
        <w:spacing w:line="360" w:lineRule="auto"/>
        <w:ind w:left="1045" w:leftChars="0" w:hanging="104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本检验方案经审批程序完成后，应通知到所有项目参加人</w:t>
      </w:r>
      <w:r>
        <w:rPr>
          <w:rFonts w:hint="eastAsia" w:ascii="宋体" w:hAnsi="宋体" w:eastAsia="宋体" w:cs="宋体"/>
          <w:sz w:val="24"/>
          <w:szCs w:val="24"/>
          <w:highlight w:val="none"/>
          <w:lang w:val="en-US" w:eastAsia="zh-CN"/>
        </w:rPr>
        <w:t>进行交底</w:t>
      </w:r>
      <w:r>
        <w:rPr>
          <w:rFonts w:hint="eastAsia" w:ascii="宋体" w:hAnsi="宋体" w:eastAsia="宋体" w:cs="宋体"/>
          <w:sz w:val="24"/>
          <w:szCs w:val="24"/>
          <w:highlight w:val="none"/>
        </w:rPr>
        <w:t xml:space="preserve">，并使参与的检验人员充分了解和认识受检设备状况。 </w:t>
      </w:r>
    </w:p>
    <w:p>
      <w:pPr>
        <w:pStyle w:val="17"/>
        <w:numPr>
          <w:ilvl w:val="2"/>
          <w:numId w:val="3"/>
        </w:numPr>
        <w:spacing w:line="360" w:lineRule="auto"/>
        <w:ind w:left="1045" w:leftChars="0" w:hanging="104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做好现场组织工作 </w:t>
      </w:r>
    </w:p>
    <w:p>
      <w:pPr>
        <w:pStyle w:val="17"/>
        <w:numPr>
          <w:ilvl w:val="0"/>
          <w:numId w:val="5"/>
        </w:numPr>
        <w:spacing w:line="360" w:lineRule="auto"/>
        <w:ind w:left="1060" w:leftChars="0" w:hanging="1060"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确保相关检验人员对所检设备和现场危险源有充分了解。 </w:t>
      </w:r>
    </w:p>
    <w:p>
      <w:pPr>
        <w:pStyle w:val="17"/>
        <w:numPr>
          <w:ilvl w:val="0"/>
          <w:numId w:val="5"/>
        </w:numPr>
        <w:spacing w:line="360" w:lineRule="auto"/>
        <w:ind w:left="1060" w:leftChars="0" w:hanging="1060"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准备需用的仪器、设备和物资器材；确认仪器设备处于完好状态，保证其处于有效的检定周期内。 </w:t>
      </w:r>
    </w:p>
    <w:p>
      <w:pPr>
        <w:pStyle w:val="17"/>
        <w:numPr>
          <w:ilvl w:val="0"/>
          <w:numId w:val="5"/>
        </w:numPr>
        <w:spacing w:line="360" w:lineRule="auto"/>
        <w:ind w:left="1060" w:leftChars="0" w:hanging="1060"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派相关人员到现场对锅炉受检前的准备情况进行检查核实。 </w:t>
      </w:r>
    </w:p>
    <w:p>
      <w:pPr>
        <w:pStyle w:val="17"/>
        <w:numPr>
          <w:ilvl w:val="0"/>
          <w:numId w:val="5"/>
        </w:numPr>
        <w:spacing w:line="360" w:lineRule="auto"/>
        <w:ind w:left="1060" w:leftChars="0" w:hanging="1060"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参加检验人员应严格执行锅炉使用单位安全操作要求，确保检测安全。 </w:t>
      </w:r>
    </w:p>
    <w:p>
      <w:pPr>
        <w:pStyle w:val="17"/>
        <w:numPr>
          <w:ilvl w:val="0"/>
          <w:numId w:val="5"/>
        </w:numPr>
        <w:spacing w:line="360" w:lineRule="auto"/>
        <w:ind w:left="1060" w:leftChars="0" w:hanging="1060"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准备好现场工作用的记录表格等。 </w:t>
      </w:r>
    </w:p>
    <w:p>
      <w:pPr>
        <w:pStyle w:val="17"/>
        <w:numPr>
          <w:ilvl w:val="0"/>
          <w:numId w:val="5"/>
        </w:numPr>
        <w:spacing w:line="360" w:lineRule="auto"/>
        <w:ind w:left="1060" w:leftChars="0" w:hanging="1060"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检验前，安全负责人应检查确认被检设备的准备状态 </w:t>
      </w:r>
    </w:p>
    <w:p>
      <w:pPr>
        <w:pStyle w:val="17"/>
        <w:numPr>
          <w:ilvl w:val="0"/>
          <w:numId w:val="5"/>
        </w:numPr>
        <w:spacing w:line="360" w:lineRule="auto"/>
        <w:ind w:left="1060" w:leftChars="0" w:hanging="1060"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被检设备的汽水系统、燃烧系统、风烟系统、排污系统、仪表系统已和运行设备可靠隔绝，并已悬挂不准启动的警告牌；并切断与被检设备运行有关的电源。 </w:t>
      </w:r>
    </w:p>
    <w:p>
      <w:pPr>
        <w:pStyle w:val="17"/>
        <w:numPr>
          <w:ilvl w:val="0"/>
          <w:numId w:val="5"/>
        </w:numPr>
        <w:spacing w:line="360" w:lineRule="auto"/>
        <w:ind w:left="1060" w:leftChars="0" w:hanging="1060"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需登高检验的部位应搭设脚手架、检查平台、护拦等，为检验而搭设的内外脚手架必须牢固安全，并能牢固地固定在架子上。 </w:t>
      </w:r>
    </w:p>
    <w:p>
      <w:pPr>
        <w:pStyle w:val="17"/>
        <w:numPr>
          <w:ilvl w:val="0"/>
          <w:numId w:val="5"/>
        </w:numPr>
        <w:spacing w:line="360" w:lineRule="auto"/>
        <w:ind w:left="1060" w:leftChars="0" w:hanging="1060"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检验部位的人孔门、手孔盖已全部打开，经通风换气冷却；高温运行的被检设备，检验前应充分冷却，待其壁温低于35℃时方可进入检验；在被检设备内部检验时，其内部应有良好的通风。 </w:t>
      </w:r>
    </w:p>
    <w:p>
      <w:pPr>
        <w:pStyle w:val="17"/>
        <w:numPr>
          <w:ilvl w:val="0"/>
          <w:numId w:val="5"/>
        </w:numPr>
        <w:spacing w:line="360" w:lineRule="auto"/>
        <w:ind w:left="1060" w:leftChars="0" w:hanging="1060"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拆除妨碍检验的部件和受检范围内的保温材料。 </w:t>
      </w:r>
    </w:p>
    <w:p>
      <w:pPr>
        <w:pStyle w:val="17"/>
        <w:numPr>
          <w:ilvl w:val="0"/>
          <w:numId w:val="5"/>
        </w:numPr>
        <w:spacing w:line="360" w:lineRule="auto"/>
        <w:ind w:left="1060" w:leftChars="0" w:hanging="1060"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清除被检设备内部的积水和污物；锅炉炉膛及后部受热面必要时应清理干净，露出金属表面。 </w:t>
      </w:r>
    </w:p>
    <w:p>
      <w:pPr>
        <w:pStyle w:val="17"/>
        <w:numPr>
          <w:ilvl w:val="0"/>
          <w:numId w:val="5"/>
        </w:numPr>
        <w:spacing w:line="360" w:lineRule="auto"/>
        <w:ind w:left="1060" w:leftChars="0" w:hanging="1060"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检验中所用的照明及工作电源电压不应超过36伏，仪器设备的电压超过36伏时，必须采用绝缘良好的导线并应有可靠的接地。 </w:t>
      </w:r>
    </w:p>
    <w:p>
      <w:pPr>
        <w:pStyle w:val="17"/>
        <w:numPr>
          <w:ilvl w:val="1"/>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省煤器 </w:t>
      </w:r>
    </w:p>
    <w:p>
      <w:pPr>
        <w:pStyle w:val="17"/>
        <w:numPr>
          <w:ilvl w:val="2"/>
          <w:numId w:val="3"/>
        </w:numPr>
        <w:spacing w:line="360" w:lineRule="auto"/>
        <w:ind w:left="1045" w:leftChars="0" w:hanging="104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检查管排平整度及其间距，应不存在烟气走廊及杂物，并着重检查该处管排、弯头的磨损情况。 </w:t>
      </w:r>
    </w:p>
    <w:p>
      <w:pPr>
        <w:pStyle w:val="17"/>
        <w:numPr>
          <w:ilvl w:val="2"/>
          <w:numId w:val="3"/>
        </w:numPr>
        <w:spacing w:line="360" w:lineRule="auto"/>
        <w:ind w:left="1045" w:leftChars="0" w:hanging="104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检查省煤器管排积灰及外壁低温腐蚀状况。 </w:t>
      </w:r>
    </w:p>
    <w:p>
      <w:pPr>
        <w:pStyle w:val="17"/>
        <w:numPr>
          <w:ilvl w:val="2"/>
          <w:numId w:val="3"/>
        </w:numPr>
        <w:spacing w:line="360" w:lineRule="auto"/>
        <w:ind w:left="1045" w:leftChars="0" w:hanging="104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阻流板、护瓦等防磨装置有无脱落、歪斜等。 </w:t>
      </w:r>
    </w:p>
    <w:p>
      <w:pPr>
        <w:pStyle w:val="17"/>
        <w:numPr>
          <w:ilvl w:val="2"/>
          <w:numId w:val="3"/>
        </w:numPr>
        <w:spacing w:line="360" w:lineRule="auto"/>
        <w:ind w:left="1045" w:leftChars="0" w:hanging="104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省煤器上下管卡及阻流板附近管子应无明显磨损，必要时进行测厚。 </w:t>
      </w:r>
    </w:p>
    <w:p>
      <w:pPr>
        <w:pStyle w:val="17"/>
        <w:numPr>
          <w:ilvl w:val="2"/>
          <w:numId w:val="3"/>
        </w:numPr>
        <w:spacing w:line="360" w:lineRule="auto"/>
        <w:ind w:left="1045" w:leftChars="0" w:hanging="104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省煤器支吊架、管卡等固定装置有无烧坏和脱落。 </w:t>
      </w:r>
    </w:p>
    <w:p>
      <w:pPr>
        <w:pStyle w:val="17"/>
        <w:numPr>
          <w:ilvl w:val="2"/>
          <w:numId w:val="3"/>
        </w:numPr>
        <w:spacing w:line="360" w:lineRule="auto"/>
        <w:ind w:left="1045" w:leftChars="0" w:hanging="104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外观检查悬吊管磨损及其焊缝。 </w:t>
      </w:r>
    </w:p>
    <w:p>
      <w:pPr>
        <w:pStyle w:val="17"/>
        <w:numPr>
          <w:ilvl w:val="2"/>
          <w:numId w:val="3"/>
        </w:numPr>
        <w:spacing w:line="360" w:lineRule="auto"/>
        <w:ind w:left="1045" w:leftChars="0" w:hanging="104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检查吹灰器通道内省煤器吹损情况，必要时进行测厚。 </w:t>
      </w:r>
    </w:p>
    <w:p>
      <w:pPr>
        <w:spacing w:beforeLines="0" w:afterLine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表1省煤器及附近包墙检验项目</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2428"/>
        <w:gridCol w:w="62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1" w:type="dxa"/>
            <w:tcBorders>
              <w:tl2br w:val="nil"/>
              <w:tr2bl w:val="nil"/>
            </w:tcBorders>
            <w:vAlign w:val="center"/>
          </w:tcPr>
          <w:p>
            <w:pPr>
              <w:spacing w:beforeLines="0" w:afterLines="0"/>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序号</w:t>
            </w:r>
          </w:p>
        </w:tc>
        <w:tc>
          <w:tcPr>
            <w:tcW w:w="2428"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位置</w:t>
            </w:r>
            <w:r>
              <w:rPr>
                <w:rFonts w:hint="eastAsia" w:ascii="宋体" w:hAnsi="宋体" w:eastAsia="宋体" w:cs="宋体"/>
                <w:b/>
                <w:color w:val="000000"/>
                <w:sz w:val="18"/>
                <w:szCs w:val="18"/>
                <w:highlight w:val="none"/>
              </w:rPr>
              <w:t xml:space="preserve"> </w:t>
            </w:r>
          </w:p>
        </w:tc>
        <w:tc>
          <w:tcPr>
            <w:tcW w:w="6259" w:type="dxa"/>
            <w:tcBorders>
              <w:tl2br w:val="nil"/>
              <w:tr2bl w:val="nil"/>
            </w:tcBorders>
            <w:vAlign w:val="center"/>
          </w:tcPr>
          <w:p>
            <w:pPr>
              <w:spacing w:beforeLines="0" w:afterLines="0"/>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1" w:type="dxa"/>
            <w:tcBorders>
              <w:tl2br w:val="nil"/>
              <w:tr2bl w:val="nil"/>
            </w:tcBorders>
            <w:vAlign w:val="center"/>
          </w:tcPr>
          <w:p>
            <w:pPr>
              <w:spacing w:beforeLines="0" w:afterLines="0"/>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w:t>
            </w:r>
          </w:p>
        </w:tc>
        <w:tc>
          <w:tcPr>
            <w:tcW w:w="2428"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各管排 </w:t>
            </w:r>
          </w:p>
        </w:tc>
        <w:tc>
          <w:tcPr>
            <w:tcW w:w="6259"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1）全面检查低温再热器管排间距均匀性，特别是两侧墙是否存在烟气走廊（附照片）； </w:t>
            </w:r>
          </w:p>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2）检查中间隔墙有无变形，是否存在烟气走廊（附照片）。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1" w:type="dxa"/>
            <w:tcBorders>
              <w:tl2br w:val="nil"/>
              <w:tr2bl w:val="nil"/>
            </w:tcBorders>
            <w:vAlign w:val="center"/>
          </w:tcPr>
          <w:p>
            <w:pPr>
              <w:spacing w:beforeLines="0" w:afterLines="0"/>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2428"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前、后部弯头、后部直段及存在烟气走廊、错位的管排、以及局部积灰的管排 </w:t>
            </w:r>
          </w:p>
        </w:tc>
        <w:tc>
          <w:tcPr>
            <w:tcW w:w="6259"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检查测量管子的磨损情况。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1" w:type="dxa"/>
            <w:tcBorders>
              <w:tl2br w:val="nil"/>
              <w:tr2bl w:val="nil"/>
            </w:tcBorders>
            <w:vAlign w:val="center"/>
          </w:tcPr>
          <w:p>
            <w:pPr>
              <w:spacing w:beforeLines="0" w:afterLines="0"/>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w:t>
            </w:r>
          </w:p>
        </w:tc>
        <w:tc>
          <w:tcPr>
            <w:tcW w:w="2428"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防磨片 </w:t>
            </w:r>
          </w:p>
        </w:tc>
        <w:tc>
          <w:tcPr>
            <w:tcW w:w="6259"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1）检查各阻流板、防磨瓦等防磨装置是否脱落、歪斜或磨损（附照片）； </w:t>
            </w:r>
          </w:p>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2）检查防磨片膨胀是否正常； </w:t>
            </w:r>
          </w:p>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3）检查防磨片与管夹固定良好、合理，无管子局部磨损； </w:t>
            </w:r>
          </w:p>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4）检查防磨片不与其它管排碰磨。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1" w:type="dxa"/>
            <w:tcBorders>
              <w:tl2br w:val="nil"/>
              <w:tr2bl w:val="nil"/>
            </w:tcBorders>
            <w:vAlign w:val="center"/>
          </w:tcPr>
          <w:p>
            <w:pPr>
              <w:spacing w:beforeLines="0" w:afterLines="0"/>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w:t>
            </w:r>
          </w:p>
        </w:tc>
        <w:tc>
          <w:tcPr>
            <w:tcW w:w="2428"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吊挂装置 </w:t>
            </w:r>
          </w:p>
        </w:tc>
        <w:tc>
          <w:tcPr>
            <w:tcW w:w="6259"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1）检查吊挂装置与管子接触位置是否存在磨损； </w:t>
            </w:r>
          </w:p>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2）重点检查低再、低过侧悬吊管现场焊缝附近腐蚀情况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1" w:type="dxa"/>
            <w:tcBorders>
              <w:tl2br w:val="nil"/>
              <w:tr2bl w:val="nil"/>
            </w:tcBorders>
            <w:vAlign w:val="center"/>
          </w:tcPr>
          <w:p>
            <w:pPr>
              <w:spacing w:beforeLines="0" w:afterLines="0"/>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5</w:t>
            </w:r>
          </w:p>
        </w:tc>
        <w:tc>
          <w:tcPr>
            <w:tcW w:w="2428"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人孔位置 </w:t>
            </w:r>
          </w:p>
        </w:tc>
        <w:tc>
          <w:tcPr>
            <w:tcW w:w="6259"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所有人孔、吹灰孔部位周围受热面是否磨损、拉裂、鼓包、变形。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1" w:type="dxa"/>
            <w:tcBorders>
              <w:tl2br w:val="nil"/>
              <w:tr2bl w:val="nil"/>
            </w:tcBorders>
            <w:vAlign w:val="center"/>
          </w:tcPr>
          <w:p>
            <w:pPr>
              <w:spacing w:beforeLines="0" w:afterLines="0"/>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w:t>
            </w:r>
          </w:p>
        </w:tc>
        <w:tc>
          <w:tcPr>
            <w:tcW w:w="2428"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吹灰区域 </w:t>
            </w:r>
          </w:p>
        </w:tc>
        <w:tc>
          <w:tcPr>
            <w:tcW w:w="6259"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全面检查吹灰通道管子磨损情况； </w:t>
            </w:r>
          </w:p>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检查更换吹灰器支架。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1" w:type="dxa"/>
            <w:tcBorders>
              <w:tl2br w:val="nil"/>
              <w:tr2bl w:val="nil"/>
            </w:tcBorders>
            <w:vAlign w:val="center"/>
          </w:tcPr>
          <w:p>
            <w:pPr>
              <w:spacing w:beforeLines="0" w:afterLines="0"/>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7</w:t>
            </w:r>
          </w:p>
        </w:tc>
        <w:tc>
          <w:tcPr>
            <w:tcW w:w="2428"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包墙 </w:t>
            </w:r>
          </w:p>
        </w:tc>
        <w:tc>
          <w:tcPr>
            <w:tcW w:w="6259"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鳍片与管子的焊缝是否有开裂、严重咬边、漏焊、假焊、穿孔情况，检查与低再管相邻位置是否存在磨损。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01" w:type="dxa"/>
            <w:tcBorders>
              <w:tl2br w:val="nil"/>
              <w:tr2bl w:val="nil"/>
            </w:tcBorders>
            <w:vAlign w:val="center"/>
          </w:tcPr>
          <w:p>
            <w:pPr>
              <w:spacing w:beforeLines="0" w:afterLines="0"/>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8</w:t>
            </w:r>
          </w:p>
        </w:tc>
        <w:tc>
          <w:tcPr>
            <w:tcW w:w="2428"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阻流板 </w:t>
            </w:r>
          </w:p>
        </w:tc>
        <w:tc>
          <w:tcPr>
            <w:tcW w:w="6259" w:type="dxa"/>
            <w:tcBorders>
              <w:tl2br w:val="nil"/>
              <w:tr2bl w:val="nil"/>
            </w:tcBorders>
            <w:vAlign w:val="center"/>
          </w:tcPr>
          <w:p>
            <w:pPr>
              <w:spacing w:beforeLines="0" w:afterLines="0"/>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检查阻流板是否脱落、积灰（附照片）。 </w:t>
            </w:r>
          </w:p>
        </w:tc>
      </w:tr>
    </w:tbl>
    <w:p>
      <w:pPr>
        <w:pStyle w:val="17"/>
        <w:numPr>
          <w:ilvl w:val="1"/>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水冷壁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燃烧器周围和热负荷较高区域水冷壁管检查磨损及胀粗等情况，必要时测量管子壁厚及管径。磨损剩余厚度不应小于强度计算书中规定的管子设计最小需要壁厚，胀粗管径不超过原管径的2.5％。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cs="宋体"/>
          <w:sz w:val="24"/>
          <w:szCs w:val="24"/>
          <w:highlight w:val="none"/>
        </w:rPr>
        <w:t>所有</w:t>
      </w:r>
      <w:r>
        <w:rPr>
          <w:rFonts w:hint="eastAsia" w:ascii="宋体" w:hAnsi="宋体" w:eastAsia="宋体"/>
          <w:sz w:val="24"/>
          <w:szCs w:val="24"/>
          <w:highlight w:val="none"/>
        </w:rPr>
        <w:t xml:space="preserve">人孔、看火孔、吹灰孔及其它门孔周围水冷壁管应无磨损、拉裂、鼓包、变形等异常情况。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外观抽查鳍片水冷壁，鳍片与管子的连接焊缝有无开裂等情况，重点手工焊部位。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冷灰斗区域水冷壁管检查有无落焦砸伤、划伤等情况，冷灰斗下弯头处浇注料有无脱落、破损情况，此处管子有无磨损减薄。炉底水封板焊缝应无膨胀或焊接原因造成的开裂。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cs="宋体"/>
          <w:sz w:val="24"/>
          <w:szCs w:val="24"/>
          <w:highlight w:val="none"/>
        </w:rPr>
        <w:t>检查</w:t>
      </w:r>
      <w:r>
        <w:rPr>
          <w:rFonts w:hint="eastAsia" w:ascii="宋体" w:hAnsi="宋体" w:eastAsia="宋体"/>
          <w:sz w:val="24"/>
          <w:szCs w:val="24"/>
          <w:highlight w:val="none"/>
        </w:rPr>
        <w:t xml:space="preserve">水平烟道水冷壁悬吊管磨损情况。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折焰角区域水冷壁管外观检查，高温再热器通道下方的水冷壁管段进行壁厚抽查。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水冷壁拉钩、管卡、膨胀装置等应完好，无损坏和脱落等。 </w:t>
      </w:r>
    </w:p>
    <w:p>
      <w:pPr>
        <w:pStyle w:val="17"/>
        <w:numPr>
          <w:ilvl w:val="2"/>
          <w:numId w:val="3"/>
        </w:numPr>
        <w:spacing w:line="360" w:lineRule="auto"/>
        <w:ind w:left="1045" w:leftChars="0" w:hanging="1045" w:firstLineChars="0"/>
        <w:outlineLvl w:val="0"/>
        <w:rPr>
          <w:rFonts w:hint="eastAsia" w:ascii="宋体" w:hAnsi="宋体" w:eastAsia="宋体"/>
          <w:sz w:val="24"/>
          <w:highlight w:val="none"/>
        </w:rPr>
      </w:pPr>
      <w:r>
        <w:rPr>
          <w:rFonts w:hint="eastAsia" w:ascii="宋体" w:hAnsi="宋体" w:eastAsia="宋体" w:cs="宋体"/>
          <w:sz w:val="24"/>
          <w:szCs w:val="24"/>
          <w:highlight w:val="none"/>
        </w:rPr>
        <w:t>定点</w:t>
      </w:r>
      <w:r>
        <w:rPr>
          <w:rFonts w:hint="eastAsia" w:ascii="宋体" w:hAnsi="宋体" w:eastAsia="宋体"/>
          <w:sz w:val="24"/>
          <w:szCs w:val="24"/>
          <w:highlight w:val="none"/>
        </w:rPr>
        <w:t xml:space="preserve">对水冷壁管子进行壁厚抽查。 </w:t>
      </w:r>
      <w:r>
        <w:rPr>
          <w:rFonts w:hint="eastAsia" w:ascii="宋体" w:hAnsi="宋体" w:eastAsia="宋体"/>
          <w:sz w:val="24"/>
          <w:highlight w:val="none"/>
        </w:rPr>
        <w:t xml:space="preserve"> </w:t>
      </w:r>
    </w:p>
    <w:p>
      <w:pPr>
        <w:spacing w:beforeLines="0" w:afterLine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表2 水冷壁检查项目</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1223"/>
        <w:gridCol w:w="7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序号</w:t>
            </w:r>
          </w:p>
        </w:tc>
        <w:tc>
          <w:tcPr>
            <w:tcW w:w="122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位置</w:t>
            </w:r>
          </w:p>
        </w:tc>
        <w:tc>
          <w:tcPr>
            <w:tcW w:w="747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工作内容</w:t>
            </w:r>
            <w:r>
              <w:rPr>
                <w:rFonts w:hint="eastAsia" w:ascii="宋体" w:hAnsi="宋体" w:eastAsia="宋体" w:cs="宋体"/>
                <w:b/>
                <w:color w:val="000000"/>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vMerge w:val="restart"/>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w:t>
            </w:r>
          </w:p>
        </w:tc>
        <w:tc>
          <w:tcPr>
            <w:tcW w:w="1223"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所有管子</w:t>
            </w:r>
          </w:p>
        </w:tc>
        <w:tc>
          <w:tcPr>
            <w:tcW w:w="747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全面检查咬边、机械损伤</w:t>
            </w:r>
            <w:r>
              <w:rPr>
                <w:rFonts w:hint="eastAsia" w:ascii="宋体" w:hAnsi="宋体" w:eastAsia="宋体" w:cs="宋体"/>
                <w:color w:val="000000"/>
                <w:sz w:val="18"/>
                <w:szCs w:val="18"/>
                <w:highlight w:val="none"/>
                <w:lang w:eastAsia="zh-CN"/>
              </w:rPr>
              <w:t>、</w:t>
            </w:r>
            <w:r>
              <w:rPr>
                <w:rFonts w:hint="eastAsia" w:ascii="宋体" w:hAnsi="宋体" w:eastAsia="宋体" w:cs="宋体"/>
                <w:color w:val="000000"/>
                <w:sz w:val="18"/>
                <w:szCs w:val="18"/>
                <w:highlight w:val="none"/>
                <w:lang w:val="en-US" w:eastAsia="zh-CN"/>
              </w:rPr>
              <w:t>高温腐蚀等</w:t>
            </w:r>
            <w:r>
              <w:rPr>
                <w:rFonts w:hint="eastAsia" w:ascii="宋体" w:hAnsi="宋体" w:eastAsia="宋体" w:cs="宋体"/>
                <w:color w:val="000000"/>
                <w:sz w:val="18"/>
                <w:szCs w:val="18"/>
                <w:highlight w:val="none"/>
              </w:rPr>
              <w:t xml:space="preserve">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vMerge w:val="continue"/>
            <w:tcBorders>
              <w:tl2br w:val="nil"/>
              <w:tr2bl w:val="nil"/>
            </w:tcBorders>
            <w:vAlign w:val="center"/>
          </w:tcPr>
          <w:p>
            <w:pPr>
              <w:spacing w:beforeLines="0" w:afterLines="0" w:line="240" w:lineRule="auto"/>
              <w:jc w:val="center"/>
              <w:rPr>
                <w:rFonts w:hint="eastAsia" w:ascii="宋体" w:hAnsi="宋体" w:eastAsia="宋体" w:cs="宋体"/>
                <w:sz w:val="18"/>
                <w:szCs w:val="18"/>
                <w:highlight w:val="none"/>
              </w:rPr>
            </w:pPr>
          </w:p>
        </w:tc>
        <w:tc>
          <w:tcPr>
            <w:tcW w:w="1223"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747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检查鳍片与管子的焊缝，应无开裂、严重咬边、漏焊、假焊等情况，重点对水冷壁中间联箱附近、燃烧器附近、吹灰器附近、人孔门附近鳍片等部位的焊缝做100%外观检查。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vMerge w:val="continue"/>
            <w:tcBorders>
              <w:tl2br w:val="nil"/>
              <w:tr2bl w:val="nil"/>
            </w:tcBorders>
            <w:vAlign w:val="center"/>
          </w:tcPr>
          <w:p>
            <w:pPr>
              <w:spacing w:beforeLines="0" w:afterLines="0" w:line="240" w:lineRule="auto"/>
              <w:jc w:val="center"/>
              <w:rPr>
                <w:rFonts w:hint="eastAsia" w:ascii="宋体" w:hAnsi="宋体" w:eastAsia="宋体" w:cs="宋体"/>
                <w:sz w:val="18"/>
                <w:szCs w:val="18"/>
                <w:highlight w:val="none"/>
              </w:rPr>
            </w:pPr>
          </w:p>
        </w:tc>
        <w:tc>
          <w:tcPr>
            <w:tcW w:w="1223"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747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管排平整，间距均匀，无变形。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vMerge w:val="continue"/>
            <w:tcBorders>
              <w:tl2br w:val="nil"/>
              <w:tr2bl w:val="nil"/>
            </w:tcBorders>
            <w:vAlign w:val="center"/>
          </w:tcPr>
          <w:p>
            <w:pPr>
              <w:spacing w:beforeLines="0" w:afterLines="0" w:line="240" w:lineRule="auto"/>
              <w:jc w:val="center"/>
              <w:rPr>
                <w:rFonts w:hint="eastAsia" w:ascii="宋体" w:hAnsi="宋体" w:eastAsia="宋体" w:cs="宋体"/>
                <w:sz w:val="18"/>
                <w:szCs w:val="18"/>
                <w:highlight w:val="none"/>
              </w:rPr>
            </w:pPr>
          </w:p>
        </w:tc>
        <w:tc>
          <w:tcPr>
            <w:tcW w:w="1223"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747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全面检查安装遗留吊耳，对有怀疑部位修磨着色检查（附照片）。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122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冷灰斗</w:t>
            </w:r>
          </w:p>
        </w:tc>
        <w:tc>
          <w:tcPr>
            <w:tcW w:w="747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1）有无落焦砸伤、砸弯管壁情况（附照片）；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2）对斜坡及弯头管子进行壁厚抽测；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3）水封连接板对接处是否有开裂，并扩展到水冷壁管（附照片）；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4）检查直段与拐弯处水冷壁管鳍片是否有拉裂（长期受焦渣冲击）；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5）检查测量水封插板与水封槽的距离。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w:t>
            </w:r>
          </w:p>
        </w:tc>
        <w:tc>
          <w:tcPr>
            <w:tcW w:w="122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燃烧器喷口附近</w:t>
            </w:r>
          </w:p>
        </w:tc>
        <w:tc>
          <w:tcPr>
            <w:tcW w:w="747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各喷口周围水冷壁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1）逐一检查、记录每个喷口有无冲刷磨损情况，必要时壁厚测量、记录；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2）逐根检查，燃烧器上方约1米处过热、变形、鼓包检查（附照片）；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3）全面检查两侧墙的高温腐蚀情况，每隔1米进行测厚检查。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w:t>
            </w:r>
          </w:p>
        </w:tc>
        <w:tc>
          <w:tcPr>
            <w:tcW w:w="122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吹灰器喷口位置</w:t>
            </w:r>
          </w:p>
        </w:tc>
        <w:tc>
          <w:tcPr>
            <w:tcW w:w="747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全面检查各层各台吹灰器附近水冷壁是否存在吹损情况，必要时壁厚测量、记录。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5</w:t>
            </w:r>
          </w:p>
        </w:tc>
        <w:tc>
          <w:tcPr>
            <w:tcW w:w="122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后墙悬吊管</w:t>
            </w:r>
          </w:p>
        </w:tc>
        <w:tc>
          <w:tcPr>
            <w:tcW w:w="747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1）悬吊管是否受力不均，有松动现象；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2）是否过热、胀粗、变形、鼓包和疲劳裂纹等缺陷，必要时测厚抽检。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w:t>
            </w:r>
          </w:p>
        </w:tc>
        <w:tc>
          <w:tcPr>
            <w:tcW w:w="122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与包墙相连的水冷壁管</w:t>
            </w:r>
          </w:p>
        </w:tc>
        <w:tc>
          <w:tcPr>
            <w:tcW w:w="747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水冷壁与侧包墙管座（左右两侧、上下相连位置）、鳍片末端是否存在裂纹，宏观检查（附照片）。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7</w:t>
            </w:r>
          </w:p>
        </w:tc>
        <w:tc>
          <w:tcPr>
            <w:tcW w:w="122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鳍片焊缝</w:t>
            </w:r>
          </w:p>
        </w:tc>
        <w:tc>
          <w:tcPr>
            <w:tcW w:w="747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1）重点检查安装焊缝前后为对口而割开的安装鳍片；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2）安装对接焊缝是否存在咬边、漏焊、裂纹、机械损伤等各缺陷；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3）水冷壁与二次风箱连接处鳍片检查是否拉裂等。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8</w:t>
            </w:r>
          </w:p>
        </w:tc>
        <w:tc>
          <w:tcPr>
            <w:tcW w:w="122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人孔、看火孔位置</w:t>
            </w:r>
          </w:p>
        </w:tc>
        <w:tc>
          <w:tcPr>
            <w:tcW w:w="7476" w:type="dxa"/>
            <w:tcBorders>
              <w:tl2br w:val="nil"/>
              <w:tr2bl w:val="nil"/>
            </w:tcBorders>
            <w:vAlign w:val="center"/>
          </w:tcPr>
          <w:p>
            <w:pPr>
              <w:numPr>
                <w:ilvl w:val="0"/>
                <w:numId w:val="0"/>
              </w:num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1）所有孔周围水冷壁管是否磨损、拉裂、鼓包、变形等情况，必要时测厚。 </w:t>
            </w:r>
          </w:p>
          <w:p>
            <w:pPr>
              <w:numPr>
                <w:ilvl w:val="0"/>
                <w:numId w:val="0"/>
              </w:num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2）所有吹灰器孔、看火孔等鳍片角焊缝（向火侧）及让管是否有裂纹，必要时进行渗透检测。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9</w:t>
            </w:r>
          </w:p>
        </w:tc>
        <w:tc>
          <w:tcPr>
            <w:tcW w:w="122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漏风检查</w:t>
            </w:r>
          </w:p>
        </w:tc>
        <w:tc>
          <w:tcPr>
            <w:tcW w:w="747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检查是否存在漏风，并检查漏风处管排是否磨损，特别是风箱、燃烧器周围漏风及磨损情况。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89" w:type="dxa"/>
            <w:tcBorders>
              <w:tl2br w:val="nil"/>
              <w:tr2bl w:val="nil"/>
            </w:tcBorders>
            <w:vAlign w:val="center"/>
          </w:tcPr>
          <w:p>
            <w:pPr>
              <w:spacing w:beforeLines="0" w:afterLines="0" w:line="240" w:lineRule="auto"/>
              <w:jc w:val="center"/>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10</w:t>
            </w:r>
          </w:p>
        </w:tc>
        <w:tc>
          <w:tcPr>
            <w:tcW w:w="122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eastAsia="zh-CN"/>
              </w:rPr>
            </w:pPr>
          </w:p>
        </w:tc>
        <w:tc>
          <w:tcPr>
            <w:tcW w:w="7476" w:type="dxa"/>
            <w:tcBorders>
              <w:tl2br w:val="nil"/>
              <w:tr2bl w:val="nil"/>
            </w:tcBorders>
            <w:vAlign w:val="center"/>
          </w:tcPr>
          <w:p>
            <w:pPr>
              <w:spacing w:beforeLines="0" w:afterLines="0" w:line="240" w:lineRule="auto"/>
              <w:jc w:val="left"/>
              <w:rPr>
                <w:rFonts w:hint="default"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容易产生膨胀拉裂位置进行检查，风箱焊接部位、燃烧器连接部位、宽鳍片位置、梳型板等处。</w:t>
            </w:r>
          </w:p>
        </w:tc>
      </w:tr>
    </w:tbl>
    <w:p>
      <w:pPr>
        <w:pStyle w:val="17"/>
        <w:numPr>
          <w:ilvl w:val="1"/>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cs="宋体"/>
          <w:b w:val="0"/>
          <w:bCs/>
          <w:color w:val="auto"/>
          <w:sz w:val="24"/>
          <w:szCs w:val="24"/>
          <w:highlight w:val="none"/>
        </w:rPr>
        <w:t>顶棚</w:t>
      </w:r>
      <w:r>
        <w:rPr>
          <w:rFonts w:hint="eastAsia" w:ascii="宋体" w:hAnsi="宋体" w:eastAsia="宋体"/>
          <w:sz w:val="24"/>
          <w:szCs w:val="24"/>
          <w:highlight w:val="none"/>
        </w:rPr>
        <w:t xml:space="preserve">过热器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重点关注顶棚过热器是否有塌陷、鳍片是否有开裂和脱开等。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检查穿顶棚管位置是否存在卡死、管子是否存在磨损。 </w:t>
      </w:r>
    </w:p>
    <w:p>
      <w:pPr>
        <w:pStyle w:val="17"/>
        <w:numPr>
          <w:ilvl w:val="1"/>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cs="宋体"/>
          <w:b w:val="0"/>
          <w:bCs/>
          <w:color w:val="auto"/>
          <w:sz w:val="24"/>
          <w:szCs w:val="24"/>
          <w:highlight w:val="none"/>
        </w:rPr>
        <w:t>低温</w:t>
      </w:r>
      <w:r>
        <w:rPr>
          <w:rFonts w:hint="eastAsia" w:ascii="宋体" w:hAnsi="宋体" w:eastAsia="宋体"/>
          <w:sz w:val="24"/>
          <w:szCs w:val="24"/>
          <w:highlight w:val="none"/>
        </w:rPr>
        <w:t xml:space="preserve">过热器、包墙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检查管排间距应均匀，不存在烟气走廊。重点检查后部弯头、上部管子表面及烟气走廊附近管子的磨损情况。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检查低温过热器防磨板、阻流板、阻流板是否良好，无磨损、变形、移位、脱焊等现象，管子与均流板、阻流板等是否存在碰磨。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检查炉前炉后弯管是否与前包墙和中隔墙管子有碰磨。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人孔和吹灰器周围包墙管子及鳍片检查，是否有吹损、磨损以及鳍片开裂等情况。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检查低温过热器管子与省煤器悬吊管交叉区域蒸汽吹灰侧的吹损情况。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定点对低温过热器管子进行壁厚抽查。  </w:t>
      </w:r>
    </w:p>
    <w:p>
      <w:pPr>
        <w:spacing w:beforeLines="0" w:afterLines="0"/>
        <w:jc w:val="center"/>
        <w:rPr>
          <w:rFonts w:hint="eastAsia" w:ascii="Times New Roman" w:hAnsi="Times New Roman" w:eastAsia="Times New Roman"/>
          <w:sz w:val="24"/>
          <w:szCs w:val="24"/>
          <w:highlight w:val="none"/>
        </w:rPr>
      </w:pPr>
      <w:r>
        <w:rPr>
          <w:rFonts w:hint="eastAsia" w:ascii="宋体" w:hAnsi="宋体" w:eastAsia="宋体"/>
          <w:sz w:val="24"/>
          <w:szCs w:val="24"/>
          <w:highlight w:val="none"/>
        </w:rPr>
        <w:t>表</w:t>
      </w:r>
      <w:r>
        <w:rPr>
          <w:rFonts w:hint="eastAsia" w:ascii="Times New Roman" w:hAnsi="Times New Roman" w:eastAsia="Times New Roman"/>
          <w:sz w:val="24"/>
          <w:szCs w:val="24"/>
          <w:highlight w:val="none"/>
        </w:rPr>
        <w:t xml:space="preserve">3 </w:t>
      </w:r>
      <w:r>
        <w:rPr>
          <w:rFonts w:hint="eastAsia" w:ascii="宋体" w:hAnsi="宋体" w:eastAsia="宋体"/>
          <w:sz w:val="24"/>
          <w:szCs w:val="24"/>
          <w:highlight w:val="none"/>
        </w:rPr>
        <w:t>低过及附近顶棚、包墙、吊挂管检验项目</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3248"/>
        <w:gridCol w:w="5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序号</w:t>
            </w:r>
          </w:p>
        </w:tc>
        <w:tc>
          <w:tcPr>
            <w:tcW w:w="32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位置 </w:t>
            </w:r>
          </w:p>
        </w:tc>
        <w:tc>
          <w:tcPr>
            <w:tcW w:w="536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检查项目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w:t>
            </w:r>
          </w:p>
        </w:tc>
        <w:tc>
          <w:tcPr>
            <w:tcW w:w="32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各管排 </w:t>
            </w:r>
          </w:p>
        </w:tc>
        <w:tc>
          <w:tcPr>
            <w:tcW w:w="536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1）全面检查低温再热器管排间距均匀性，特别是两侧墙是否存在烟气走廊（附照片）；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2）检查中间隔墙有无变形，是否存在烟气走廊（附照片）。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32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前、后部弯头、后部直段及存在烟气走廊、错位的管排、以及局部积灰的管排 </w:t>
            </w:r>
          </w:p>
        </w:tc>
        <w:tc>
          <w:tcPr>
            <w:tcW w:w="536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检查测量管子的磨损情况。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w:t>
            </w:r>
          </w:p>
        </w:tc>
        <w:tc>
          <w:tcPr>
            <w:tcW w:w="32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防磨片 </w:t>
            </w:r>
          </w:p>
        </w:tc>
        <w:tc>
          <w:tcPr>
            <w:tcW w:w="536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1）检查各阻流板、防磨瓦等防磨装置是否脱落、歪斜或磨损（附照片）；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2）检查防磨片膨胀是否正常；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3）检查防磨片与管夹固定良好、合理，无管子局部磨损；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4）检查防磨片不与其它管排碰磨。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w:t>
            </w:r>
          </w:p>
        </w:tc>
        <w:tc>
          <w:tcPr>
            <w:tcW w:w="32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吊挂装置 </w:t>
            </w:r>
          </w:p>
        </w:tc>
        <w:tc>
          <w:tcPr>
            <w:tcW w:w="536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全面检查吊挂装置与管子接触位置是否存在磨损。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5</w:t>
            </w:r>
          </w:p>
        </w:tc>
        <w:tc>
          <w:tcPr>
            <w:tcW w:w="32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人孔、看火孔位置 </w:t>
            </w:r>
          </w:p>
        </w:tc>
        <w:tc>
          <w:tcPr>
            <w:tcW w:w="536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所有人孔、吹灰孔部位周围受热面是否磨损、拉裂、鼓包、变形。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w:t>
            </w:r>
          </w:p>
        </w:tc>
        <w:tc>
          <w:tcPr>
            <w:tcW w:w="32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吹灰区域 </w:t>
            </w:r>
          </w:p>
        </w:tc>
        <w:tc>
          <w:tcPr>
            <w:tcW w:w="536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全面检查吹灰通道管子磨损情况。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7</w:t>
            </w:r>
          </w:p>
        </w:tc>
        <w:tc>
          <w:tcPr>
            <w:tcW w:w="32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顶棚 </w:t>
            </w:r>
          </w:p>
        </w:tc>
        <w:tc>
          <w:tcPr>
            <w:tcW w:w="536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视磨损情况，壁厚抽查。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8</w:t>
            </w:r>
          </w:p>
        </w:tc>
        <w:tc>
          <w:tcPr>
            <w:tcW w:w="32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包墙 </w:t>
            </w:r>
          </w:p>
        </w:tc>
        <w:tc>
          <w:tcPr>
            <w:tcW w:w="536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鳍片与管子的焊缝是否有开裂、严重咬边、漏焊、假焊、穿孔情况，检查与低再管相邻位置是否存在磨损。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9</w:t>
            </w:r>
          </w:p>
        </w:tc>
        <w:tc>
          <w:tcPr>
            <w:tcW w:w="32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阻流板 </w:t>
            </w:r>
          </w:p>
        </w:tc>
        <w:tc>
          <w:tcPr>
            <w:tcW w:w="536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检查阻流板是否脱落、积灰（附照片）。 </w:t>
            </w:r>
          </w:p>
        </w:tc>
      </w:tr>
    </w:tbl>
    <w:p>
      <w:pPr>
        <w:pStyle w:val="17"/>
        <w:numPr>
          <w:ilvl w:val="1"/>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cs="宋体"/>
          <w:b w:val="0"/>
          <w:bCs/>
          <w:color w:val="auto"/>
          <w:sz w:val="24"/>
          <w:szCs w:val="24"/>
          <w:highlight w:val="none"/>
        </w:rPr>
        <w:t>分隔</w:t>
      </w:r>
      <w:r>
        <w:rPr>
          <w:rFonts w:hint="eastAsia" w:ascii="宋体" w:hAnsi="宋体" w:eastAsia="宋体"/>
          <w:sz w:val="24"/>
          <w:szCs w:val="24"/>
          <w:highlight w:val="none"/>
        </w:rPr>
        <w:t xml:space="preserve">屏过热器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检查每大屏各小屏之间是否有碰磨，对碰磨部位进行壁厚测量。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检查夹持管与分隔屏管子碰磨情况。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检查每屏最外圈管子水平段下半周是否有烟气冲刷。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检查夹持管与前墙水冷壁定位管碰磨情况。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检查夹持管和定位管上的防磨块焊缝是否有裂纹、裂纹是否延伸至管子母材或有延伸迹象。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检查定位卡块脱落、脱开情况，卡块焊缝是否有开裂，卡块是否对附近管子产生碰磨。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检查分隔屏过热器两侧墙水冷壁吹灰器周围管子和鳍片情况检查，是否有吹损、磨损以及鳍片开裂等情况。 </w:t>
      </w:r>
    </w:p>
    <w:p>
      <w:pPr>
        <w:spacing w:beforeLines="0" w:afterLine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表4 分隔屏及附近顶棚管检验项目</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1964"/>
        <w:gridCol w:w="6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6"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序号</w:t>
            </w:r>
          </w:p>
        </w:tc>
        <w:tc>
          <w:tcPr>
            <w:tcW w:w="196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位置</w:t>
            </w:r>
          </w:p>
        </w:tc>
        <w:tc>
          <w:tcPr>
            <w:tcW w:w="6778"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6"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w:t>
            </w:r>
          </w:p>
        </w:tc>
        <w:tc>
          <w:tcPr>
            <w:tcW w:w="19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屏过每屏管排及下部弯头 </w:t>
            </w:r>
          </w:p>
        </w:tc>
        <w:tc>
          <w:tcPr>
            <w:tcW w:w="677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1）检查管排及下弯头有无磨损、过热、腐蚀等异常现象,重点检查下部区域向火侧（附照片）；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2）胀粗测量；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3）迎风侧管子抽查测厚，有问题时扩大。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6"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19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管排检查 </w:t>
            </w:r>
          </w:p>
        </w:tc>
        <w:tc>
          <w:tcPr>
            <w:tcW w:w="677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1）测量管排之间节距；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2）测量每一管排的平整度，管子应无出列；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3）检查管子之间膨胀情况检查（附照片）。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6"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w:t>
            </w:r>
          </w:p>
        </w:tc>
        <w:tc>
          <w:tcPr>
            <w:tcW w:w="19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滑动块 </w:t>
            </w:r>
          </w:p>
        </w:tc>
        <w:tc>
          <w:tcPr>
            <w:tcW w:w="677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 检查有无变形松动、烧坏、脱落、裂开及管子碰磨情况（附照片）；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 检查滑动块的焊接情况（附照片）。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6"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w:t>
            </w:r>
          </w:p>
        </w:tc>
        <w:tc>
          <w:tcPr>
            <w:tcW w:w="19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顶棚管 </w:t>
            </w:r>
          </w:p>
        </w:tc>
        <w:tc>
          <w:tcPr>
            <w:tcW w:w="677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1）检查顶棚过热器管是否有变形、外壁腐蚀情况；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2）壁厚抽测。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6"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5</w:t>
            </w:r>
          </w:p>
        </w:tc>
        <w:tc>
          <w:tcPr>
            <w:tcW w:w="19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穿墙管部位 </w:t>
            </w:r>
          </w:p>
        </w:tc>
        <w:tc>
          <w:tcPr>
            <w:tcW w:w="677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1）检查穿墙管膨胀情况、裂纹；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2）检查穿墙管与顶棚管是否碰磨（附照片）；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3）重点检查屏过、高过、高再穿顶处。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6"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w:t>
            </w:r>
          </w:p>
        </w:tc>
        <w:tc>
          <w:tcPr>
            <w:tcW w:w="19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异种钢接头 </w:t>
            </w:r>
          </w:p>
        </w:tc>
        <w:tc>
          <w:tcPr>
            <w:tcW w:w="677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1）检查异种钢接头上方过渡段材质是否过热（附照片）；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2）对异种钢接头上方过渡段材质胀粗情况进行抽查。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6"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7</w:t>
            </w:r>
          </w:p>
        </w:tc>
        <w:tc>
          <w:tcPr>
            <w:tcW w:w="19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吹灰区域 </w:t>
            </w:r>
          </w:p>
        </w:tc>
        <w:tc>
          <w:tcPr>
            <w:tcW w:w="677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检查测量吹灰区域管子的磨损情况，必要时壁厚抽检。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6"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8</w:t>
            </w:r>
          </w:p>
        </w:tc>
        <w:tc>
          <w:tcPr>
            <w:tcW w:w="19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屏过进出口管 </w:t>
            </w:r>
          </w:p>
        </w:tc>
        <w:tc>
          <w:tcPr>
            <w:tcW w:w="677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检查超温过热情况（宏观检查）。 </w:t>
            </w:r>
          </w:p>
        </w:tc>
      </w:tr>
    </w:tbl>
    <w:p>
      <w:pPr>
        <w:pStyle w:val="17"/>
        <w:numPr>
          <w:ilvl w:val="1"/>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后屏过热器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检查脚手架搭设区域夹持管和自夹管与后屏管子是否有碰磨。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检查夹持管、汽冷定位管与后屏管子碰磨情况。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每屏最外圈管子水平段下半周是否有烟气冲刷。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夹持管、自夹管以及汽冷定位管上的防磨块焊缝是否有裂纹、裂纹是否延伸至管子母材或有延伸迹象。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卡块脱落、脱开情况检查，卡块焊缝是否有开裂。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两侧墙水冷壁吹灰器周围管子和鳍片情况检查，是否有吹损、磨损以及鳍片开裂等情况。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定点对后屏过热器管子进行胀粗和壁厚抽查。 </w:t>
      </w:r>
    </w:p>
    <w:p>
      <w:pPr>
        <w:pStyle w:val="17"/>
        <w:numPr>
          <w:ilvl w:val="1"/>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高温过热器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检查脚手架搭设区域汽冷定位管与两侧墙水冷壁管是否有碰磨。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炉后侧最内圈管子吹灰器吹扫区域迎烟侧是否有腐蚀现象。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汽冷定位管与高过管子碰磨情况检查。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顶棚下方高过出口段管子胀粗测量抽查。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卡块脱落、脱开情况检查，卡块焊缝是否有开裂。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两侧墙水冷壁吹灰器周围管子和鳍片情况检查，是否有吹损、磨损以及鳍片开裂等情况。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炉前最外圈管子弯管外弧面是否有烟气冲刷。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定点对高温过热器管子进行胀粗和壁厚抽查。 </w:t>
      </w:r>
    </w:p>
    <w:p>
      <w:pPr>
        <w:spacing w:beforeLines="0" w:afterLine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表5 后屏过、高过及附近顶棚检验项目</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4"/>
        <w:gridCol w:w="1659"/>
        <w:gridCol w:w="6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序号</w:t>
            </w:r>
          </w:p>
        </w:tc>
        <w:tc>
          <w:tcPr>
            <w:tcW w:w="1659"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位置</w:t>
            </w:r>
          </w:p>
        </w:tc>
        <w:tc>
          <w:tcPr>
            <w:tcW w:w="6775"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w:t>
            </w:r>
          </w:p>
        </w:tc>
        <w:tc>
          <w:tcPr>
            <w:tcW w:w="1659"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管排及下部弯头 </w:t>
            </w:r>
          </w:p>
        </w:tc>
        <w:tc>
          <w:tcPr>
            <w:tcW w:w="677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1）检查管排及下弯头有无磨损、过热、腐蚀等异常现象，重点检查下部区域向火侧（附照片）；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2）胀粗测量；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1659"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管排检查 </w:t>
            </w:r>
          </w:p>
        </w:tc>
        <w:tc>
          <w:tcPr>
            <w:tcW w:w="677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1）测量管排之间节距；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2）测量每一管排的平整度，管子应无出列；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3）检查管子之间膨胀情况检查（附照片）。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w:t>
            </w:r>
          </w:p>
        </w:tc>
        <w:tc>
          <w:tcPr>
            <w:tcW w:w="1659"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滑动块 </w:t>
            </w:r>
          </w:p>
        </w:tc>
        <w:tc>
          <w:tcPr>
            <w:tcW w:w="677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1）检查有无变形松动、烧坏、脱落、裂开及管子碰磨情况（附照片）；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2）检查滑动块的焊接情况（附照片）。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w:t>
            </w:r>
          </w:p>
        </w:tc>
        <w:tc>
          <w:tcPr>
            <w:tcW w:w="1659"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吹灰器区域管排 </w:t>
            </w:r>
          </w:p>
        </w:tc>
        <w:tc>
          <w:tcPr>
            <w:tcW w:w="677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1）检查测量管排是否存在磨损；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2）检查防磨片是否变形、脱落（附照片）。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5</w:t>
            </w:r>
          </w:p>
        </w:tc>
        <w:tc>
          <w:tcPr>
            <w:tcW w:w="1659"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顶棚管 </w:t>
            </w:r>
          </w:p>
        </w:tc>
        <w:tc>
          <w:tcPr>
            <w:tcW w:w="677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1）检查顶棚过热器管是否有变形、外壁腐蚀情况；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2）壁厚抽测。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w:t>
            </w:r>
          </w:p>
        </w:tc>
        <w:tc>
          <w:tcPr>
            <w:tcW w:w="1659"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穿墙管部位 </w:t>
            </w:r>
          </w:p>
        </w:tc>
        <w:tc>
          <w:tcPr>
            <w:tcW w:w="677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1）检查穿墙管膨胀情况、裂纹；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2）炉内检查每个穿墙管与顶棚管是否碰磨（附照片）。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7</w:t>
            </w:r>
          </w:p>
        </w:tc>
        <w:tc>
          <w:tcPr>
            <w:tcW w:w="1659"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异种钢接头 </w:t>
            </w:r>
          </w:p>
        </w:tc>
        <w:tc>
          <w:tcPr>
            <w:tcW w:w="677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1）检查异种钢接头上方过渡段材质是否过热（附照片）；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2）抽查异种钢接头上方过渡段材质胀粗情况。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5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8</w:t>
            </w:r>
          </w:p>
        </w:tc>
        <w:tc>
          <w:tcPr>
            <w:tcW w:w="1659"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高过进出口管 </w:t>
            </w:r>
          </w:p>
        </w:tc>
        <w:tc>
          <w:tcPr>
            <w:tcW w:w="677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检查超温过热情况（宏观检查）。 </w:t>
            </w:r>
          </w:p>
        </w:tc>
      </w:tr>
    </w:tbl>
    <w:p>
      <w:pPr>
        <w:pStyle w:val="17"/>
        <w:numPr>
          <w:ilvl w:val="1"/>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低温再热器、包墙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检查管排间距应均匀，不存在烟气走廊，管子应无明显变形。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检查后部弯头、上部管子表面及烟气走廊附近管子的磨损情况。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检查低温再热器防磨板、阻流板、阻流板是否良好，无磨损、变形、移位、脱焊等现象，管子与均流板、阻流板等是否存在碰磨。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检查炉前炉后弯管是否与后包墙和中隔墙管子有碰磨。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人孔和吹灰器周围包墙管子及鳍片检查，是否有吹损、磨损以及鳍片开裂等情况。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检查低温再热器管子与省煤器悬吊管交叉区域蒸汽吹灰侧的吹损情况。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定点对低温再热器管子进行壁厚抽查。 </w:t>
      </w:r>
    </w:p>
    <w:p>
      <w:pPr>
        <w:spacing w:beforeLines="0" w:afterLines="0"/>
        <w:jc w:val="center"/>
        <w:rPr>
          <w:rFonts w:hint="eastAsia" w:ascii="Times New Roman" w:hAnsi="Times New Roman" w:eastAsia="Times New Roman"/>
          <w:sz w:val="20"/>
          <w:highlight w:val="none"/>
        </w:rPr>
      </w:pPr>
      <w:r>
        <w:rPr>
          <w:rFonts w:hint="eastAsia" w:ascii="宋体" w:hAnsi="宋体" w:eastAsia="宋体" w:cs="宋体"/>
          <w:sz w:val="24"/>
          <w:szCs w:val="24"/>
          <w:highlight w:val="none"/>
        </w:rPr>
        <w:t>表6 低再及附近顶棚、包墙、吊挂管检验项目</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3551"/>
        <w:gridCol w:w="5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序号</w:t>
            </w:r>
          </w:p>
        </w:tc>
        <w:tc>
          <w:tcPr>
            <w:tcW w:w="355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位置</w:t>
            </w:r>
            <w:r>
              <w:rPr>
                <w:rFonts w:hint="eastAsia" w:ascii="宋体" w:hAnsi="宋体" w:eastAsia="宋体" w:cs="宋体"/>
                <w:b/>
                <w:color w:val="000000"/>
                <w:sz w:val="18"/>
                <w:szCs w:val="18"/>
                <w:highlight w:val="none"/>
              </w:rPr>
              <w:t xml:space="preserve"> </w:t>
            </w:r>
          </w:p>
        </w:tc>
        <w:tc>
          <w:tcPr>
            <w:tcW w:w="50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检查项目</w:t>
            </w:r>
            <w:r>
              <w:rPr>
                <w:rFonts w:hint="eastAsia" w:ascii="宋体" w:hAnsi="宋体" w:eastAsia="宋体" w:cs="宋体"/>
                <w:b/>
                <w:color w:val="000000"/>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w:t>
            </w:r>
          </w:p>
        </w:tc>
        <w:tc>
          <w:tcPr>
            <w:tcW w:w="355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各管排 </w:t>
            </w:r>
          </w:p>
        </w:tc>
        <w:tc>
          <w:tcPr>
            <w:tcW w:w="50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1）全面检查低温再热器管排间距均匀性，特别是两侧墙是否存在烟气走廊（附照片）；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2）检查中间隔墙有无变形，是否存在烟气走廊（附照片）。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355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前、后部弯头、后部直段及存在烟气走廊、错位的管排、以及局部积灰的管排 </w:t>
            </w:r>
          </w:p>
        </w:tc>
        <w:tc>
          <w:tcPr>
            <w:tcW w:w="50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检查测量管子的磨损情况。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w:t>
            </w:r>
          </w:p>
        </w:tc>
        <w:tc>
          <w:tcPr>
            <w:tcW w:w="355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防磨片 </w:t>
            </w:r>
          </w:p>
        </w:tc>
        <w:tc>
          <w:tcPr>
            <w:tcW w:w="50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1）检查各阻流板、防磨瓦等防磨装置是否脱落、歪斜或磨损（附照片）；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2）检查防磨片膨胀是否正常；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3）检查防磨片与管夹固定良好、合理，无管子局部磨损；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4）检查防磨片不与其它管排碰磨。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w:t>
            </w:r>
          </w:p>
        </w:tc>
        <w:tc>
          <w:tcPr>
            <w:tcW w:w="355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吊挂装置 </w:t>
            </w:r>
          </w:p>
        </w:tc>
        <w:tc>
          <w:tcPr>
            <w:tcW w:w="50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全面检查吊挂装置与管子接触位置是否存在磨损。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5</w:t>
            </w:r>
          </w:p>
        </w:tc>
        <w:tc>
          <w:tcPr>
            <w:tcW w:w="355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人孔、看火孔位置 </w:t>
            </w:r>
          </w:p>
        </w:tc>
        <w:tc>
          <w:tcPr>
            <w:tcW w:w="50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所有人孔、吹灰孔部位周围受热面是否磨损、拉裂、鼓包、变形。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w:t>
            </w:r>
          </w:p>
        </w:tc>
        <w:tc>
          <w:tcPr>
            <w:tcW w:w="355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吹灰区域 </w:t>
            </w:r>
          </w:p>
        </w:tc>
        <w:tc>
          <w:tcPr>
            <w:tcW w:w="50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全面检查吹灰通道管子磨损情况。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7</w:t>
            </w:r>
          </w:p>
        </w:tc>
        <w:tc>
          <w:tcPr>
            <w:tcW w:w="355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顶棚 </w:t>
            </w:r>
          </w:p>
        </w:tc>
        <w:tc>
          <w:tcPr>
            <w:tcW w:w="50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视磨损情况，壁厚抽查。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8</w:t>
            </w:r>
          </w:p>
        </w:tc>
        <w:tc>
          <w:tcPr>
            <w:tcW w:w="355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包墙 </w:t>
            </w:r>
          </w:p>
        </w:tc>
        <w:tc>
          <w:tcPr>
            <w:tcW w:w="50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鳍片与管子的焊缝是否有开裂、严重咬边、漏焊、假焊、穿孔情况，检查与低再管相邻位置是否存在磨损。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9</w:t>
            </w:r>
          </w:p>
        </w:tc>
        <w:tc>
          <w:tcPr>
            <w:tcW w:w="355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阻流板 </w:t>
            </w:r>
          </w:p>
        </w:tc>
        <w:tc>
          <w:tcPr>
            <w:tcW w:w="506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检查阻流板是否脱落、积灰（附照片）。 </w:t>
            </w:r>
          </w:p>
        </w:tc>
      </w:tr>
    </w:tbl>
    <w:p>
      <w:pPr>
        <w:pStyle w:val="17"/>
        <w:numPr>
          <w:ilvl w:val="1"/>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高温再热器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检查吹灰器辐射区域部位管子应无开裂、无明显冲蚀减薄，必要时进行测厚。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检查高温再热器管屏有无变形，间距应均匀，无明显烟气走廊。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检查高温再热器下弯头与水冷壁折焰角斜坡管间的机械磨损情况。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检查高温再热器迎流面及其下弯头无磨损、高温腐蚀、变形、鼓包等情况。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检查高温再热器管夹、防磨瓦应无烧坏、移位、脱落，管子间无碰磨情况。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对高温再热器下弯头定点进行管径和壁厚测量。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检查顶棚下方高再夹持管碰磨情况。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检查两侧墙水冷壁吹灰器周围管子和鳍片情况检查，是否有吹损、磨损以及鳍片开裂等情况。 </w:t>
      </w:r>
    </w:p>
    <w:p>
      <w:pPr>
        <w:pStyle w:val="17"/>
        <w:numPr>
          <w:ilvl w:val="2"/>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定点对高温再热器管子进行胀粗和壁厚抽查。 </w:t>
      </w:r>
    </w:p>
    <w:p>
      <w:pPr>
        <w:spacing w:beforeLines="0" w:afterLine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表7 高再及附近顶棚检验项目</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
        <w:gridCol w:w="1800"/>
        <w:gridCol w:w="6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序号</w:t>
            </w:r>
            <w:r>
              <w:rPr>
                <w:rFonts w:hint="eastAsia" w:ascii="宋体" w:hAnsi="宋体" w:eastAsia="宋体" w:cs="宋体"/>
                <w:b/>
                <w:color w:val="000000"/>
                <w:sz w:val="18"/>
                <w:szCs w:val="18"/>
                <w:highlight w:val="none"/>
              </w:rPr>
              <w:t xml:space="preserve"> </w:t>
            </w:r>
          </w:p>
        </w:tc>
        <w:tc>
          <w:tcPr>
            <w:tcW w:w="18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位置</w:t>
            </w:r>
            <w:r>
              <w:rPr>
                <w:rFonts w:hint="eastAsia" w:ascii="宋体" w:hAnsi="宋体" w:eastAsia="宋体" w:cs="宋体"/>
                <w:b/>
                <w:color w:val="000000"/>
                <w:sz w:val="18"/>
                <w:szCs w:val="18"/>
                <w:highlight w:val="none"/>
              </w:rPr>
              <w:t xml:space="preserve"> </w:t>
            </w:r>
          </w:p>
        </w:tc>
        <w:tc>
          <w:tcPr>
            <w:tcW w:w="694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检查项目</w:t>
            </w:r>
            <w:r>
              <w:rPr>
                <w:rFonts w:hint="eastAsia" w:ascii="宋体" w:hAnsi="宋体" w:eastAsia="宋体" w:cs="宋体"/>
                <w:b/>
                <w:color w:val="000000"/>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w:t>
            </w:r>
          </w:p>
        </w:tc>
        <w:tc>
          <w:tcPr>
            <w:tcW w:w="18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高再每屏管排及下部弯头 </w:t>
            </w:r>
          </w:p>
        </w:tc>
        <w:tc>
          <w:tcPr>
            <w:tcW w:w="694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1）检查管排及下弯头有无磨损、过热、腐蚀等异常现象，重点检查下部区域向火侧（附照片）；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2）胀粗测量。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18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管排检查 </w:t>
            </w:r>
          </w:p>
        </w:tc>
        <w:tc>
          <w:tcPr>
            <w:tcW w:w="694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1）测量管排之间节距；测量管子与水冷壁的距离；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2）测量每一管排的平整度，管子应无出列；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3）检查管子之间膨胀情况检查（附照片）；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4）检查管排与定位板的磨损情况。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w:t>
            </w:r>
          </w:p>
        </w:tc>
        <w:tc>
          <w:tcPr>
            <w:tcW w:w="18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滑动块 </w:t>
            </w:r>
          </w:p>
        </w:tc>
        <w:tc>
          <w:tcPr>
            <w:tcW w:w="694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1）检查有无变形松动、烧坏、脱落、裂开及管子碰磨情况（附照片）；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2）检查滑动块的焊接情况（附照片）。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w:t>
            </w:r>
          </w:p>
        </w:tc>
        <w:tc>
          <w:tcPr>
            <w:tcW w:w="18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内弯管 </w:t>
            </w:r>
          </w:p>
        </w:tc>
        <w:tc>
          <w:tcPr>
            <w:tcW w:w="694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检查是否有超温的痕迹（是否变色或有明显的氧化皮）。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5</w:t>
            </w:r>
          </w:p>
        </w:tc>
        <w:tc>
          <w:tcPr>
            <w:tcW w:w="18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吹灰器区域管排 </w:t>
            </w:r>
          </w:p>
        </w:tc>
        <w:tc>
          <w:tcPr>
            <w:tcW w:w="694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1）检查测量管排是否存在磨损；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2）检查防磨片是否变形、脱落（附照片）。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w:t>
            </w:r>
          </w:p>
        </w:tc>
        <w:tc>
          <w:tcPr>
            <w:tcW w:w="18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顶棚管 </w:t>
            </w:r>
          </w:p>
        </w:tc>
        <w:tc>
          <w:tcPr>
            <w:tcW w:w="694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1）检查顶棚过热器管是否有变形、外壁腐蚀情况；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2）壁厚抽测。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7</w:t>
            </w:r>
          </w:p>
        </w:tc>
        <w:tc>
          <w:tcPr>
            <w:tcW w:w="18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穿墙管部位 </w:t>
            </w:r>
          </w:p>
        </w:tc>
        <w:tc>
          <w:tcPr>
            <w:tcW w:w="694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1）检查穿墙管膨胀情况、裂纹；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2）炉内检查每个穿墙管与顶棚管是否碰磨（附照片）。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8</w:t>
            </w:r>
          </w:p>
        </w:tc>
        <w:tc>
          <w:tcPr>
            <w:tcW w:w="18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异种钢接头 </w:t>
            </w:r>
          </w:p>
        </w:tc>
        <w:tc>
          <w:tcPr>
            <w:tcW w:w="694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1）检查异种钢接头上方过渡段材质是否过热（附照片）；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2）抽查异种钢接头上方过渡段材质胀粗情况。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44"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9</w:t>
            </w:r>
          </w:p>
        </w:tc>
        <w:tc>
          <w:tcPr>
            <w:tcW w:w="18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高再进出口管 </w:t>
            </w:r>
          </w:p>
        </w:tc>
        <w:tc>
          <w:tcPr>
            <w:tcW w:w="694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检查超温过热情况（宏观检查）。 </w:t>
            </w:r>
          </w:p>
        </w:tc>
      </w:tr>
    </w:tbl>
    <w:p>
      <w:pPr>
        <w:pStyle w:val="17"/>
        <w:numPr>
          <w:ilvl w:val="2"/>
          <w:numId w:val="3"/>
        </w:numPr>
        <w:spacing w:line="360" w:lineRule="auto"/>
        <w:ind w:left="1045" w:leftChars="0" w:hanging="1045" w:firstLineChars="0"/>
        <w:outlineLvl w:val="0"/>
        <w:rPr>
          <w:rFonts w:hint="eastAsia" w:ascii="宋体" w:hAnsi="宋体" w:eastAsia="宋体"/>
          <w:b/>
          <w:bCs/>
          <w:sz w:val="24"/>
          <w:szCs w:val="24"/>
          <w:highlight w:val="none"/>
          <w:lang w:val="en-US" w:eastAsia="zh-CN"/>
        </w:rPr>
      </w:pPr>
      <w:r>
        <w:rPr>
          <w:rFonts w:hint="eastAsia" w:ascii="宋体" w:hAnsi="宋体" w:eastAsia="宋体"/>
          <w:b/>
          <w:bCs/>
          <w:sz w:val="24"/>
          <w:szCs w:val="24"/>
          <w:highlight w:val="none"/>
          <w:lang w:val="en-US" w:eastAsia="zh-CN"/>
        </w:rPr>
        <w:t>检查包含但不限于以上内容，投标方须根据其它机组检查经验，提出检查内容，包括需要甲方进行无损检查内容。</w:t>
      </w:r>
    </w:p>
    <w:p>
      <w:pPr>
        <w:pStyle w:val="17"/>
        <w:numPr>
          <w:ilvl w:val="2"/>
          <w:numId w:val="3"/>
        </w:numPr>
        <w:spacing w:line="360" w:lineRule="auto"/>
        <w:ind w:left="1045" w:leftChars="0" w:hanging="1045" w:firstLineChars="0"/>
        <w:outlineLvl w:val="0"/>
        <w:rPr>
          <w:rFonts w:hint="default" w:ascii="宋体" w:hAnsi="宋体" w:eastAsia="宋体"/>
          <w:b/>
          <w:bCs/>
          <w:sz w:val="24"/>
          <w:szCs w:val="24"/>
          <w:highlight w:val="none"/>
          <w:lang w:val="en-US" w:eastAsia="zh-CN"/>
        </w:rPr>
      </w:pPr>
      <w:r>
        <w:rPr>
          <w:rFonts w:hint="eastAsia" w:ascii="宋体" w:hAnsi="宋体" w:eastAsia="宋体"/>
          <w:b/>
          <w:bCs/>
          <w:sz w:val="24"/>
          <w:szCs w:val="24"/>
          <w:highlight w:val="none"/>
          <w:lang w:val="en-US" w:eastAsia="zh-CN"/>
        </w:rPr>
        <w:t>对监督点进行测厚，并做好记录。</w:t>
      </w:r>
    </w:p>
    <w:p>
      <w:pPr>
        <w:pStyle w:val="17"/>
        <w:numPr>
          <w:ilvl w:val="0"/>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cs="宋体"/>
          <w:sz w:val="24"/>
          <w:szCs w:val="24"/>
          <w:highlight w:val="none"/>
        </w:rPr>
        <w:t>受热面</w:t>
      </w:r>
      <w:r>
        <w:rPr>
          <w:rFonts w:hint="eastAsia" w:ascii="宋体" w:hAnsi="宋体" w:eastAsia="宋体"/>
          <w:sz w:val="24"/>
          <w:szCs w:val="24"/>
          <w:highlight w:val="none"/>
        </w:rPr>
        <w:t xml:space="preserve">检查验收标准 </w:t>
      </w:r>
    </w:p>
    <w:p>
      <w:pPr>
        <w:pStyle w:val="17"/>
        <w:numPr>
          <w:ilvl w:val="1"/>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省煤器检查验收标准 </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
        <w:gridCol w:w="1003"/>
        <w:gridCol w:w="4405"/>
        <w:gridCol w:w="3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3" w:type="dxa"/>
            <w:vMerge w:val="restart"/>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序号</w:t>
            </w:r>
          </w:p>
        </w:tc>
        <w:tc>
          <w:tcPr>
            <w:tcW w:w="1003" w:type="dxa"/>
            <w:vMerge w:val="restart"/>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检查</w:t>
            </w:r>
          </w:p>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项目</w:t>
            </w:r>
          </w:p>
        </w:tc>
        <w:tc>
          <w:tcPr>
            <w:tcW w:w="4405"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标准 </w:t>
            </w:r>
          </w:p>
        </w:tc>
        <w:tc>
          <w:tcPr>
            <w:tcW w:w="3407"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3"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1003"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4405"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3407"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省煤器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w:t>
            </w:r>
          </w:p>
        </w:tc>
        <w:tc>
          <w:tcPr>
            <w:tcW w:w="100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胀粗、鼓包 </w:t>
            </w:r>
          </w:p>
        </w:tc>
        <w:tc>
          <w:tcPr>
            <w:tcW w:w="440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胀粗不大于3.5%D。 </w:t>
            </w:r>
          </w:p>
        </w:tc>
        <w:tc>
          <w:tcPr>
            <w:tcW w:w="340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100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吹灰器吹损减薄 </w:t>
            </w:r>
          </w:p>
        </w:tc>
        <w:tc>
          <w:tcPr>
            <w:tcW w:w="440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减薄量不大于公称壁厚</w:t>
            </w:r>
            <w:r>
              <w:rPr>
                <w:rFonts w:hint="eastAsia" w:ascii="宋体" w:hAnsi="宋体" w:eastAsia="宋体" w:cs="宋体"/>
                <w:b/>
                <w:bCs/>
                <w:color w:val="000000"/>
                <w:sz w:val="18"/>
                <w:szCs w:val="18"/>
                <w:highlight w:val="none"/>
              </w:rPr>
              <w:t>的</w:t>
            </w:r>
            <w:r>
              <w:rPr>
                <w:rFonts w:hint="eastAsia" w:ascii="宋体" w:hAnsi="宋体" w:eastAsia="宋体" w:cs="宋体"/>
                <w:b/>
                <w:bCs/>
                <w:color w:val="000000"/>
                <w:sz w:val="18"/>
                <w:szCs w:val="18"/>
                <w:highlight w:val="none"/>
                <w:lang w:val="en-US" w:eastAsia="zh-CN"/>
              </w:rPr>
              <w:t>2</w:t>
            </w:r>
            <w:r>
              <w:rPr>
                <w:rFonts w:hint="eastAsia" w:ascii="宋体" w:hAnsi="宋体" w:eastAsia="宋体" w:cs="宋体"/>
                <w:b/>
                <w:bCs/>
                <w:color w:val="000000"/>
                <w:sz w:val="18"/>
                <w:szCs w:val="18"/>
                <w:highlight w:val="none"/>
              </w:rPr>
              <w:t>0%。</w:t>
            </w:r>
            <w:r>
              <w:rPr>
                <w:rFonts w:hint="eastAsia" w:ascii="宋体" w:hAnsi="宋体" w:eastAsia="宋体" w:cs="宋体"/>
                <w:color w:val="000000"/>
                <w:sz w:val="18"/>
                <w:szCs w:val="18"/>
                <w:highlight w:val="none"/>
              </w:rPr>
              <w:t xml:space="preserve"> </w:t>
            </w:r>
          </w:p>
        </w:tc>
        <w:tc>
          <w:tcPr>
            <w:tcW w:w="340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检查吹灰器吹扫范围内管子，重点检查无防磨板处、第一、二排管、管排错列处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3</w:t>
            </w:r>
          </w:p>
        </w:tc>
        <w:tc>
          <w:tcPr>
            <w:tcW w:w="100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机械碰磨减薄 </w:t>
            </w:r>
          </w:p>
        </w:tc>
        <w:tc>
          <w:tcPr>
            <w:tcW w:w="440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减薄量不大于公称壁厚的</w:t>
            </w:r>
            <w:r>
              <w:rPr>
                <w:rFonts w:hint="eastAsia" w:ascii="宋体" w:hAnsi="宋体" w:eastAsia="宋体" w:cs="宋体"/>
                <w:b/>
                <w:bCs/>
                <w:color w:val="000000"/>
                <w:sz w:val="18"/>
                <w:szCs w:val="18"/>
                <w:highlight w:val="none"/>
                <w:lang w:val="en-US" w:eastAsia="zh-CN"/>
              </w:rPr>
              <w:t>2</w:t>
            </w:r>
            <w:r>
              <w:rPr>
                <w:rFonts w:hint="eastAsia" w:ascii="宋体" w:hAnsi="宋体" w:eastAsia="宋体" w:cs="宋体"/>
                <w:b/>
                <w:bCs/>
                <w:color w:val="000000"/>
                <w:sz w:val="18"/>
                <w:szCs w:val="18"/>
                <w:highlight w:val="none"/>
              </w:rPr>
              <w:t>0%</w:t>
            </w:r>
            <w:r>
              <w:rPr>
                <w:rFonts w:hint="eastAsia" w:ascii="宋体" w:hAnsi="宋体" w:eastAsia="宋体" w:cs="宋体"/>
                <w:color w:val="000000"/>
                <w:sz w:val="18"/>
                <w:szCs w:val="18"/>
                <w:highlight w:val="none"/>
              </w:rPr>
              <w:t xml:space="preserve">。 </w:t>
            </w:r>
          </w:p>
        </w:tc>
        <w:tc>
          <w:tcPr>
            <w:tcW w:w="340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重点检查管卡、穿墙部位处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4</w:t>
            </w:r>
          </w:p>
        </w:tc>
        <w:tc>
          <w:tcPr>
            <w:tcW w:w="100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飞灰磨损减薄 </w:t>
            </w:r>
          </w:p>
        </w:tc>
        <w:tc>
          <w:tcPr>
            <w:tcW w:w="440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减薄量不大于公称壁厚的</w:t>
            </w:r>
            <w:r>
              <w:rPr>
                <w:rFonts w:hint="eastAsia" w:ascii="宋体" w:hAnsi="宋体" w:eastAsia="宋体" w:cs="宋体"/>
                <w:b/>
                <w:bCs/>
                <w:color w:val="000000"/>
                <w:sz w:val="18"/>
                <w:szCs w:val="18"/>
                <w:highlight w:val="none"/>
                <w:lang w:val="en-US" w:eastAsia="zh-CN"/>
              </w:rPr>
              <w:t>2</w:t>
            </w:r>
            <w:r>
              <w:rPr>
                <w:rFonts w:hint="eastAsia" w:ascii="宋体" w:hAnsi="宋体" w:eastAsia="宋体" w:cs="宋体"/>
                <w:b/>
                <w:bCs/>
                <w:color w:val="000000"/>
                <w:sz w:val="18"/>
                <w:szCs w:val="18"/>
                <w:highlight w:val="none"/>
              </w:rPr>
              <w:t>0%</w:t>
            </w:r>
            <w:r>
              <w:rPr>
                <w:rFonts w:hint="eastAsia" w:ascii="宋体" w:hAnsi="宋体" w:eastAsia="宋体" w:cs="宋体"/>
                <w:color w:val="000000"/>
                <w:sz w:val="18"/>
                <w:szCs w:val="18"/>
                <w:highlight w:val="none"/>
              </w:rPr>
              <w:t xml:space="preserve">。 </w:t>
            </w:r>
          </w:p>
        </w:tc>
        <w:tc>
          <w:tcPr>
            <w:tcW w:w="340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1、检查无防磨板处；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2、检查管排错列处；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3、检查管子穿中隔墙处；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4、检查边排管和烟气走廊处；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5、检查省煤器入口联箱处；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6、省煤器弯头处；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7、省煤器管卡处。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5</w:t>
            </w:r>
          </w:p>
        </w:tc>
        <w:tc>
          <w:tcPr>
            <w:tcW w:w="100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管子氧化腐蚀 </w:t>
            </w:r>
          </w:p>
        </w:tc>
        <w:tc>
          <w:tcPr>
            <w:tcW w:w="440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1、管子内壁均匀腐蚀时，壁厚减薄量不大于</w:t>
            </w:r>
            <w:r>
              <w:rPr>
                <w:rFonts w:hint="eastAsia" w:ascii="宋体" w:hAnsi="宋体" w:eastAsia="宋体" w:cs="宋体"/>
                <w:b/>
                <w:bCs/>
                <w:color w:val="000000"/>
                <w:sz w:val="18"/>
                <w:szCs w:val="18"/>
                <w:highlight w:val="none"/>
                <w:lang w:val="en-US" w:eastAsia="zh-CN"/>
              </w:rPr>
              <w:t>2</w:t>
            </w:r>
            <w:r>
              <w:rPr>
                <w:rFonts w:hint="eastAsia" w:ascii="宋体" w:hAnsi="宋体" w:eastAsia="宋体" w:cs="宋体"/>
                <w:b/>
                <w:bCs/>
                <w:color w:val="000000"/>
                <w:sz w:val="18"/>
                <w:szCs w:val="18"/>
                <w:highlight w:val="none"/>
              </w:rPr>
              <w:t>0%</w:t>
            </w:r>
            <w:r>
              <w:rPr>
                <w:rFonts w:hint="eastAsia" w:ascii="宋体" w:hAnsi="宋体" w:eastAsia="宋体" w:cs="宋体"/>
                <w:color w:val="000000"/>
                <w:sz w:val="18"/>
                <w:szCs w:val="18"/>
                <w:highlight w:val="none"/>
              </w:rPr>
              <w:t xml:space="preserve">壁厚；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2、存在深度大于0.5mm的点腐蚀时，扩大抽检范围。 </w:t>
            </w:r>
          </w:p>
        </w:tc>
        <w:tc>
          <w:tcPr>
            <w:tcW w:w="340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6</w:t>
            </w:r>
          </w:p>
        </w:tc>
        <w:tc>
          <w:tcPr>
            <w:tcW w:w="100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管子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裂纹 </w:t>
            </w:r>
          </w:p>
        </w:tc>
        <w:tc>
          <w:tcPr>
            <w:tcW w:w="440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不允许有开裂现象。 </w:t>
            </w:r>
          </w:p>
        </w:tc>
        <w:tc>
          <w:tcPr>
            <w:tcW w:w="340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7</w:t>
            </w:r>
          </w:p>
        </w:tc>
        <w:tc>
          <w:tcPr>
            <w:tcW w:w="100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其它表面缺陷 </w:t>
            </w:r>
          </w:p>
        </w:tc>
        <w:tc>
          <w:tcPr>
            <w:tcW w:w="440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1、凹陷深度1.5mm，同时面积超过10cm</w:t>
            </w:r>
            <w:r>
              <w:rPr>
                <w:rFonts w:hint="eastAsia" w:ascii="宋体" w:hAnsi="宋体" w:eastAsia="宋体" w:cs="宋体"/>
                <w:color w:val="000000"/>
                <w:sz w:val="18"/>
                <w:szCs w:val="18"/>
                <w:highlight w:val="none"/>
                <w:vertAlign w:val="superscript"/>
              </w:rPr>
              <w:t>2</w:t>
            </w:r>
            <w:r>
              <w:rPr>
                <w:rFonts w:hint="eastAsia" w:ascii="宋体" w:hAnsi="宋体" w:eastAsia="宋体" w:cs="宋体"/>
                <w:color w:val="000000"/>
                <w:sz w:val="18"/>
                <w:szCs w:val="18"/>
                <w:highlight w:val="none"/>
              </w:rPr>
              <w:t xml:space="preserve">时更换新管； 2、管子表面尖锐划痕不允许超过0.3mm。 </w:t>
            </w:r>
          </w:p>
        </w:tc>
        <w:tc>
          <w:tcPr>
            <w:tcW w:w="340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重点检查最上层管子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3"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8</w:t>
            </w:r>
          </w:p>
        </w:tc>
        <w:tc>
          <w:tcPr>
            <w:tcW w:w="100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管排平整度 </w:t>
            </w:r>
          </w:p>
        </w:tc>
        <w:tc>
          <w:tcPr>
            <w:tcW w:w="440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1、管排平整度不大于20mm；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2、管排间距均匀，偏差小于5mm；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3、梳形定位板、管排定位板、管排吊卡完好无损；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4、梳形定位板、管排定位板、管排吊卡无变形、无脱焊，与管排固定良好，并保证管子能自由膨胀。 </w:t>
            </w:r>
          </w:p>
        </w:tc>
        <w:tc>
          <w:tcPr>
            <w:tcW w:w="340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1、检查管排有无错列现象；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2、检查各管排间距是否均匀；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3、检查各固定及定距装置；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4、管排变形弯曲情况检查、高温段蠕胀抽查。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7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9 </w:t>
            </w:r>
          </w:p>
        </w:tc>
        <w:tc>
          <w:tcPr>
            <w:tcW w:w="100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防磨装置 </w:t>
            </w:r>
          </w:p>
        </w:tc>
        <w:tc>
          <w:tcPr>
            <w:tcW w:w="440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1、防磨瓦无松动、脱落及烧损；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2、阻流板（耐火砖）无松动、脱落。 </w:t>
            </w:r>
          </w:p>
        </w:tc>
        <w:tc>
          <w:tcPr>
            <w:tcW w:w="340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检查防磨瓦、阻流板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r>
    </w:tbl>
    <w:p>
      <w:pPr>
        <w:pStyle w:val="17"/>
        <w:keepNext w:val="0"/>
        <w:keepLines w:val="0"/>
        <w:pageBreakBefore w:val="0"/>
        <w:widowControl w:val="0"/>
        <w:numPr>
          <w:ilvl w:val="1"/>
          <w:numId w:val="3"/>
        </w:numPr>
        <w:kinsoku/>
        <w:wordWrap/>
        <w:overflowPunct/>
        <w:topLinePunct w:val="0"/>
        <w:autoSpaceDE/>
        <w:autoSpaceDN/>
        <w:bidi w:val="0"/>
        <w:adjustRightInd/>
        <w:snapToGrid/>
        <w:spacing w:before="157" w:beforeLines="50" w:line="360" w:lineRule="auto"/>
        <w:ind w:left="1066" w:leftChars="0" w:hanging="1066" w:firstLineChars="0"/>
        <w:textAlignment w:val="auto"/>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水冷壁检查验收标准 </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1307"/>
        <w:gridCol w:w="2738"/>
        <w:gridCol w:w="1682"/>
        <w:gridCol w:w="2083"/>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4"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序号 </w:t>
            </w:r>
          </w:p>
        </w:tc>
        <w:tc>
          <w:tcPr>
            <w:tcW w:w="1307"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检查项目 </w:t>
            </w:r>
          </w:p>
        </w:tc>
        <w:tc>
          <w:tcPr>
            <w:tcW w:w="2738"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标准 </w:t>
            </w:r>
          </w:p>
        </w:tc>
        <w:tc>
          <w:tcPr>
            <w:tcW w:w="4819" w:type="dxa"/>
            <w:gridSpan w:val="3"/>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4"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1307" w:type="dxa"/>
            <w:vMerge w:val="continue"/>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p>
        </w:tc>
        <w:tc>
          <w:tcPr>
            <w:tcW w:w="2738"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1682"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水冷壁 </w:t>
            </w:r>
          </w:p>
        </w:tc>
        <w:tc>
          <w:tcPr>
            <w:tcW w:w="20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燃烧区域 </w:t>
            </w:r>
          </w:p>
        </w:tc>
        <w:tc>
          <w:tcPr>
            <w:tcW w:w="105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冷灰斗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 </w:t>
            </w:r>
          </w:p>
        </w:tc>
        <w:tc>
          <w:tcPr>
            <w:tcW w:w="130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防磨装置检查 </w:t>
            </w:r>
          </w:p>
        </w:tc>
        <w:tc>
          <w:tcPr>
            <w:tcW w:w="273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防磨喷涂无脱落、翘起。 </w:t>
            </w:r>
          </w:p>
        </w:tc>
        <w:tc>
          <w:tcPr>
            <w:tcW w:w="1682"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c>
          <w:tcPr>
            <w:tcW w:w="20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c>
          <w:tcPr>
            <w:tcW w:w="105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4"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 </w:t>
            </w:r>
          </w:p>
        </w:tc>
        <w:tc>
          <w:tcPr>
            <w:tcW w:w="1307"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管子表面 （磨损、腐蚀、重皮、硬伤）检查 </w:t>
            </w:r>
          </w:p>
        </w:tc>
        <w:tc>
          <w:tcPr>
            <w:tcW w:w="273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1、管子表面光洁，无异常或严重的磨损痕迹； </w:t>
            </w:r>
          </w:p>
        </w:tc>
        <w:tc>
          <w:tcPr>
            <w:tcW w:w="1682"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重点检查：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 检查管子两端有无疲劳裂纹； 2、 管子有无明显飞灰磨损；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3、检查管排变形弯曲、蠕胀检查。 </w:t>
            </w:r>
          </w:p>
        </w:tc>
        <w:tc>
          <w:tcPr>
            <w:tcW w:w="2083"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重点检查： </w:t>
            </w:r>
          </w:p>
          <w:p>
            <w:pPr>
              <w:numPr>
                <w:ilvl w:val="0"/>
                <w:numId w:val="6"/>
              </w:num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管壁的冲刷和腐蚀程度；重点检查弯管处； </w:t>
            </w:r>
          </w:p>
          <w:p>
            <w:pPr>
              <w:numPr>
                <w:ilvl w:val="0"/>
                <w:numId w:val="6"/>
              </w:num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对可能出现传热恶化的部位，应检查有无热疲劳裂纹的产生；</w:t>
            </w:r>
          </w:p>
          <w:p>
            <w:pPr>
              <w:numPr>
                <w:ilvl w:val="0"/>
                <w:numId w:val="6"/>
              </w:num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对高负荷区域管排进行定点测厚。</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c>
          <w:tcPr>
            <w:tcW w:w="1054"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重点检查：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1、检查冷灰斗管自有无机械损伤；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2、检查下部弯头是否存在磨损；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3.检查冷灰斗四角是否存在磨损。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4"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1307"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2738" w:type="dxa"/>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r>
              <w:rPr>
                <w:rFonts w:hint="eastAsia" w:ascii="宋体" w:hAnsi="宋体" w:eastAsia="宋体" w:cs="宋体"/>
                <w:color w:val="000000"/>
                <w:sz w:val="18"/>
                <w:szCs w:val="18"/>
                <w:highlight w:val="none"/>
              </w:rPr>
              <w:t>2、管子表面局部腐蚀点凹坑深度不得超过管子壁厚的</w:t>
            </w:r>
            <w:r>
              <w:rPr>
                <w:rFonts w:hint="eastAsia" w:ascii="宋体" w:hAnsi="宋体" w:eastAsia="宋体" w:cs="宋体"/>
                <w:b/>
                <w:bCs/>
                <w:color w:val="000000"/>
                <w:sz w:val="18"/>
                <w:szCs w:val="18"/>
                <w:highlight w:val="none"/>
                <w:lang w:val="en-US" w:eastAsia="zh-CN"/>
              </w:rPr>
              <w:t>2</w:t>
            </w:r>
            <w:r>
              <w:rPr>
                <w:rFonts w:hint="eastAsia" w:ascii="宋体" w:hAnsi="宋体" w:eastAsia="宋体" w:cs="宋体"/>
                <w:b/>
                <w:bCs/>
                <w:color w:val="000000"/>
                <w:sz w:val="18"/>
                <w:szCs w:val="18"/>
                <w:highlight w:val="none"/>
              </w:rPr>
              <w:t>0</w:t>
            </w:r>
            <w:r>
              <w:rPr>
                <w:rFonts w:hint="eastAsia" w:ascii="宋体" w:hAnsi="宋体" w:eastAsia="宋体" w:cs="宋体"/>
                <w:color w:val="000000"/>
                <w:sz w:val="18"/>
                <w:szCs w:val="18"/>
                <w:highlight w:val="none"/>
              </w:rPr>
              <w:t>%；</w:t>
            </w:r>
          </w:p>
        </w:tc>
        <w:tc>
          <w:tcPr>
            <w:tcW w:w="1682"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2083" w:type="dxa"/>
            <w:vMerge w:val="continue"/>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p>
        </w:tc>
        <w:tc>
          <w:tcPr>
            <w:tcW w:w="1054" w:type="dxa"/>
            <w:vMerge w:val="continue"/>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4"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1307"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2738" w:type="dxa"/>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r>
              <w:rPr>
                <w:rFonts w:hint="eastAsia" w:ascii="宋体" w:hAnsi="宋体" w:eastAsia="宋体" w:cs="宋体"/>
                <w:color w:val="000000"/>
                <w:sz w:val="18"/>
                <w:szCs w:val="18"/>
                <w:highlight w:val="none"/>
              </w:rPr>
              <w:t>3、管子磨损深度不得超过管子壁厚的</w:t>
            </w:r>
            <w:r>
              <w:rPr>
                <w:rFonts w:hint="eastAsia" w:ascii="宋体" w:hAnsi="宋体" w:eastAsia="宋体" w:cs="宋体"/>
                <w:b/>
                <w:bCs/>
                <w:color w:val="000000"/>
                <w:sz w:val="18"/>
                <w:szCs w:val="18"/>
                <w:highlight w:val="none"/>
                <w:lang w:val="en-US" w:eastAsia="zh-CN"/>
              </w:rPr>
              <w:t>2</w:t>
            </w:r>
            <w:r>
              <w:rPr>
                <w:rFonts w:hint="eastAsia" w:ascii="宋体" w:hAnsi="宋体" w:eastAsia="宋体" w:cs="宋体"/>
                <w:b/>
                <w:bCs/>
                <w:color w:val="000000"/>
                <w:sz w:val="18"/>
                <w:szCs w:val="18"/>
                <w:highlight w:val="none"/>
              </w:rPr>
              <w:t>0</w:t>
            </w:r>
            <w:r>
              <w:rPr>
                <w:rFonts w:hint="eastAsia" w:ascii="宋体" w:hAnsi="宋体" w:eastAsia="宋体" w:cs="宋体"/>
                <w:color w:val="000000"/>
                <w:sz w:val="18"/>
                <w:szCs w:val="18"/>
                <w:highlight w:val="none"/>
              </w:rPr>
              <w:t>%, 磨损深度达2mm时更换新管，磨损深度1.5mm，同时磨损面积超过10cm2时更换新管；</w:t>
            </w:r>
          </w:p>
        </w:tc>
        <w:tc>
          <w:tcPr>
            <w:tcW w:w="1682"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2083"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1054" w:type="dxa"/>
            <w:vMerge w:val="continue"/>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4"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1307"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2738" w:type="dxa"/>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r>
              <w:rPr>
                <w:rFonts w:hint="eastAsia" w:ascii="宋体" w:hAnsi="宋体" w:eastAsia="宋体" w:cs="宋体"/>
                <w:color w:val="000000"/>
                <w:sz w:val="18"/>
                <w:szCs w:val="18"/>
                <w:highlight w:val="none"/>
              </w:rPr>
              <w:t>4、硬伤深度超过1.5mm时进行补焊；</w:t>
            </w:r>
          </w:p>
        </w:tc>
        <w:tc>
          <w:tcPr>
            <w:tcW w:w="1682"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2083"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1054" w:type="dxa"/>
            <w:vMerge w:val="continue"/>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4"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1307"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2738" w:type="dxa"/>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r>
              <w:rPr>
                <w:rFonts w:hint="eastAsia" w:ascii="宋体" w:hAnsi="宋体" w:eastAsia="宋体" w:cs="宋体"/>
                <w:color w:val="000000"/>
                <w:sz w:val="18"/>
                <w:szCs w:val="18"/>
                <w:highlight w:val="none"/>
              </w:rPr>
              <w:t xml:space="preserve">5、重皮应磨掉，磨掉深度按第三条处理。 </w:t>
            </w:r>
          </w:p>
        </w:tc>
        <w:tc>
          <w:tcPr>
            <w:tcW w:w="1682"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2083"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1054" w:type="dxa"/>
            <w:vMerge w:val="continue"/>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4"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 </w:t>
            </w:r>
          </w:p>
        </w:tc>
        <w:tc>
          <w:tcPr>
            <w:tcW w:w="1307"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管子胀粗检查 </w:t>
            </w:r>
          </w:p>
        </w:tc>
        <w:tc>
          <w:tcPr>
            <w:tcW w:w="273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1、管子外表无鼓包和蠕变裂纹； </w:t>
            </w:r>
          </w:p>
        </w:tc>
        <w:tc>
          <w:tcPr>
            <w:tcW w:w="1682"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管子外表无鼓包和蠕变裂纹。 </w:t>
            </w:r>
          </w:p>
        </w:tc>
        <w:tc>
          <w:tcPr>
            <w:tcW w:w="20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管子外表无鼓包和蠕变裂纹。 </w:t>
            </w:r>
          </w:p>
        </w:tc>
        <w:tc>
          <w:tcPr>
            <w:tcW w:w="105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4"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1307"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273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2、碳钢管子胀粗值应小于管子外径的3.5%。 </w:t>
            </w:r>
          </w:p>
        </w:tc>
        <w:tc>
          <w:tcPr>
            <w:tcW w:w="1682"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c>
          <w:tcPr>
            <w:tcW w:w="20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c>
          <w:tcPr>
            <w:tcW w:w="105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42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 </w:t>
            </w:r>
          </w:p>
        </w:tc>
        <w:tc>
          <w:tcPr>
            <w:tcW w:w="130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拉裂损伤 </w:t>
            </w:r>
          </w:p>
        </w:tc>
        <w:tc>
          <w:tcPr>
            <w:tcW w:w="273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炉墙及角部密封板与水冷壁管焊接质量良好；焊接咬边深度≤0.5mm 密封板无变形、烧损、开裂现象。 </w:t>
            </w:r>
          </w:p>
        </w:tc>
        <w:tc>
          <w:tcPr>
            <w:tcW w:w="1682"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后墙水冷壁悬吊管根部密封板、承重筋板开裂、烧损、变形拉裂检查。 </w:t>
            </w:r>
          </w:p>
        </w:tc>
        <w:tc>
          <w:tcPr>
            <w:tcW w:w="20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燃烧器区域各弯管之间连接密封件焊接部位开裂拉伤检查、烧损变形、焊接质量检查。 </w:t>
            </w:r>
          </w:p>
        </w:tc>
        <w:tc>
          <w:tcPr>
            <w:tcW w:w="105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r>
    </w:tbl>
    <w:p>
      <w:pPr>
        <w:pStyle w:val="17"/>
        <w:keepNext w:val="0"/>
        <w:keepLines w:val="0"/>
        <w:pageBreakBefore w:val="0"/>
        <w:widowControl w:val="0"/>
        <w:numPr>
          <w:ilvl w:val="1"/>
          <w:numId w:val="3"/>
        </w:numPr>
        <w:kinsoku/>
        <w:wordWrap/>
        <w:overflowPunct/>
        <w:topLinePunct w:val="0"/>
        <w:autoSpaceDE/>
        <w:autoSpaceDN/>
        <w:bidi w:val="0"/>
        <w:adjustRightInd/>
        <w:snapToGrid/>
        <w:spacing w:before="157" w:beforeLines="50" w:line="360" w:lineRule="auto"/>
        <w:ind w:left="1066" w:leftChars="0" w:hanging="1066" w:firstLineChars="0"/>
        <w:textAlignment w:val="auto"/>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过热器检查验收标准 </w:t>
      </w:r>
    </w:p>
    <w:tbl>
      <w:tblPr>
        <w:tblStyle w:val="13"/>
        <w:tblW w:w="92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924"/>
        <w:gridCol w:w="2625"/>
        <w:gridCol w:w="1137"/>
        <w:gridCol w:w="1400"/>
        <w:gridCol w:w="1388"/>
        <w:gridCol w:w="1258"/>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23" w:hRule="atLeast"/>
        </w:trPr>
        <w:tc>
          <w:tcPr>
            <w:tcW w:w="508"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序号 </w:t>
            </w:r>
          </w:p>
        </w:tc>
        <w:tc>
          <w:tcPr>
            <w:tcW w:w="924"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检查项目</w:t>
            </w:r>
          </w:p>
        </w:tc>
        <w:tc>
          <w:tcPr>
            <w:tcW w:w="2625"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标准 </w:t>
            </w:r>
          </w:p>
        </w:tc>
        <w:tc>
          <w:tcPr>
            <w:tcW w:w="5183" w:type="dxa"/>
            <w:gridSpan w:val="4"/>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8"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924"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2625"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113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屏式过热器 </w:t>
            </w:r>
          </w:p>
        </w:tc>
        <w:tc>
          <w:tcPr>
            <w:tcW w:w="14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后屏过热器 </w:t>
            </w:r>
          </w:p>
        </w:tc>
        <w:tc>
          <w:tcPr>
            <w:tcW w:w="138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低温过热器 </w:t>
            </w:r>
          </w:p>
        </w:tc>
        <w:tc>
          <w:tcPr>
            <w:tcW w:w="1259" w:type="dxa"/>
            <w:gridSpan w:val="2"/>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高温过热器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23" w:hRule="atLeast"/>
        </w:trPr>
        <w:tc>
          <w:tcPr>
            <w:tcW w:w="50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 </w:t>
            </w:r>
          </w:p>
        </w:tc>
        <w:tc>
          <w:tcPr>
            <w:tcW w:w="92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过热胀粗、鼓包、氧化皮</w:t>
            </w:r>
          </w:p>
        </w:tc>
        <w:tc>
          <w:tcPr>
            <w:tcW w:w="262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1、碳钢管胀粗不大于3.5%D；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2、低合金管胀粗不大于2.5%D；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3、T91类管胀粗不大于1.2%D；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4、奥氏体耐热钢管胀粗不大于4.5%D。 </w:t>
            </w:r>
          </w:p>
        </w:tc>
        <w:tc>
          <w:tcPr>
            <w:tcW w:w="5183" w:type="dxa"/>
            <w:gridSpan w:val="4"/>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可检查部位全面检查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 </w:t>
            </w:r>
          </w:p>
        </w:tc>
        <w:tc>
          <w:tcPr>
            <w:tcW w:w="92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吹灰器吹损减薄</w:t>
            </w:r>
          </w:p>
        </w:tc>
        <w:tc>
          <w:tcPr>
            <w:tcW w:w="262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1、高温段过热器减薄量不大于公称壁厚的20%；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2、低温段过热器减薄量不大于公称壁厚的20%。 </w:t>
            </w:r>
          </w:p>
        </w:tc>
        <w:tc>
          <w:tcPr>
            <w:tcW w:w="113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c>
          <w:tcPr>
            <w:tcW w:w="14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重点检查吹扫范围内，尤其是弯管、缺少防磨装置部位。 </w:t>
            </w:r>
          </w:p>
        </w:tc>
        <w:tc>
          <w:tcPr>
            <w:tcW w:w="138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检查吹灰器吹扫范围内管子，重点检查无防磨板处、第一、二排管、管排错列处。。 </w:t>
            </w:r>
          </w:p>
        </w:tc>
        <w:tc>
          <w:tcPr>
            <w:tcW w:w="1259" w:type="dxa"/>
            <w:gridSpan w:val="2"/>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检查吹灰器吹扫范围内管子，重点检查无防磨板处、管排错列处。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 </w:t>
            </w:r>
          </w:p>
        </w:tc>
        <w:tc>
          <w:tcPr>
            <w:tcW w:w="92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机械碰磨减薄</w:t>
            </w:r>
          </w:p>
        </w:tc>
        <w:tc>
          <w:tcPr>
            <w:tcW w:w="262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1、高温段过热器减薄量不大于公称壁厚的20%；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2、低温段过热器减薄量不大于公称壁厚的20%</w:t>
            </w:r>
          </w:p>
        </w:tc>
        <w:tc>
          <w:tcPr>
            <w:tcW w:w="113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重点检查屏过管与其它受热面管穿顶处是否存在摩擦现象</w:t>
            </w:r>
            <w:r>
              <w:rPr>
                <w:rFonts w:hint="eastAsia" w:ascii="宋体" w:hAnsi="宋体" w:eastAsia="宋体" w:cs="宋体"/>
                <w:color w:val="000000"/>
                <w:sz w:val="18"/>
                <w:szCs w:val="18"/>
                <w:highlight w:val="none"/>
                <w:lang w:eastAsia="zh-CN"/>
              </w:rPr>
              <w:t>。</w:t>
            </w:r>
          </w:p>
        </w:tc>
        <w:tc>
          <w:tcPr>
            <w:tcW w:w="14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重点检查前包墙穿顶与顶棚管相交处。 </w:t>
            </w:r>
          </w:p>
        </w:tc>
        <w:tc>
          <w:tcPr>
            <w:tcW w:w="138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检查悬吊管处、阻流板处、管排固定装置及定距装置处</w:t>
            </w:r>
            <w:r>
              <w:rPr>
                <w:rFonts w:hint="eastAsia" w:ascii="宋体" w:hAnsi="宋体" w:eastAsia="宋体" w:cs="宋体"/>
                <w:color w:val="000000"/>
                <w:sz w:val="18"/>
                <w:szCs w:val="18"/>
                <w:highlight w:val="none"/>
                <w:lang w:eastAsia="zh-CN"/>
              </w:rPr>
              <w:t>。</w:t>
            </w:r>
          </w:p>
        </w:tc>
        <w:tc>
          <w:tcPr>
            <w:tcW w:w="1259" w:type="dxa"/>
            <w:gridSpan w:val="2"/>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rPr>
              <w:t>1、检查冷却定位管与管屏接角处；                        2、检查自夹管处</w:t>
            </w:r>
            <w:r>
              <w:rPr>
                <w:rFonts w:hint="eastAsia" w:ascii="宋体" w:hAnsi="宋体" w:eastAsia="宋体" w:cs="宋体"/>
                <w:color w:val="000000"/>
                <w:sz w:val="18"/>
                <w:szCs w:val="18"/>
                <w:highlight w:val="none"/>
                <w:lang w:eastAsia="zh-CN"/>
              </w:rPr>
              <w:t>，</w:t>
            </w:r>
            <w:r>
              <w:rPr>
                <w:rFonts w:hint="eastAsia" w:ascii="宋体" w:hAnsi="宋体" w:eastAsia="宋体" w:cs="宋体"/>
                <w:color w:val="000000"/>
                <w:sz w:val="18"/>
                <w:szCs w:val="18"/>
                <w:highlight w:val="none"/>
              </w:rPr>
              <w:t>3、检查管排固定装置处。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 </w:t>
            </w:r>
          </w:p>
        </w:tc>
        <w:tc>
          <w:tcPr>
            <w:tcW w:w="92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飞灰磨损减薄</w:t>
            </w:r>
          </w:p>
        </w:tc>
        <w:tc>
          <w:tcPr>
            <w:tcW w:w="262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1、高温段过热器减薄量不大于公称壁厚的20%；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2、低温段过热器减薄量不大于公称壁厚的20%。 </w:t>
            </w:r>
          </w:p>
        </w:tc>
        <w:tc>
          <w:tcPr>
            <w:tcW w:w="113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重点检查屏过管与其它受热面管穿顶处是否存在漏风现象。 </w:t>
            </w:r>
          </w:p>
        </w:tc>
        <w:tc>
          <w:tcPr>
            <w:tcW w:w="14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1、检查前包墙拉稀管处；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2、检查左右侧包墙与边排管相邻处。 </w:t>
            </w:r>
          </w:p>
        </w:tc>
        <w:tc>
          <w:tcPr>
            <w:tcW w:w="138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检查管排迎风面管一排管、管排错列处、易形成烟气走廊处、阻流板处、靠近包墙及隔墙处及边排管处。重点检查与炉墙相近位置的弯头内弧面有无飞灰磨损 </w:t>
            </w:r>
          </w:p>
        </w:tc>
        <w:tc>
          <w:tcPr>
            <w:tcW w:w="1259" w:type="dxa"/>
            <w:gridSpan w:val="2"/>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1、检查迎风面第一根管子；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2、检查管排错列处；                   3、检查管排底部。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5 </w:t>
            </w:r>
          </w:p>
        </w:tc>
        <w:tc>
          <w:tcPr>
            <w:tcW w:w="92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管子氧化腐蚀</w:t>
            </w:r>
          </w:p>
        </w:tc>
        <w:tc>
          <w:tcPr>
            <w:tcW w:w="262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1、表面氧化皮不超过0.6mm；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2、点蚀深度不超过20%壁厚（高温段20%）。 </w:t>
            </w:r>
          </w:p>
        </w:tc>
        <w:tc>
          <w:tcPr>
            <w:tcW w:w="113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c>
          <w:tcPr>
            <w:tcW w:w="14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c>
          <w:tcPr>
            <w:tcW w:w="138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c>
          <w:tcPr>
            <w:tcW w:w="1259" w:type="dxa"/>
            <w:gridSpan w:val="2"/>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1、全面外观检查；                                      2、外壁结焦垢下高温腐蚀。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23" w:hRule="atLeast"/>
        </w:trPr>
        <w:tc>
          <w:tcPr>
            <w:tcW w:w="50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6 </w:t>
            </w:r>
          </w:p>
        </w:tc>
        <w:tc>
          <w:tcPr>
            <w:tcW w:w="92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管子裂纹</w:t>
            </w:r>
          </w:p>
        </w:tc>
        <w:tc>
          <w:tcPr>
            <w:tcW w:w="262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不允许有开裂现象。 </w:t>
            </w:r>
          </w:p>
        </w:tc>
        <w:tc>
          <w:tcPr>
            <w:tcW w:w="5183" w:type="dxa"/>
            <w:gridSpan w:val="4"/>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7 </w:t>
            </w:r>
          </w:p>
        </w:tc>
        <w:tc>
          <w:tcPr>
            <w:tcW w:w="92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其它表面缺陷</w:t>
            </w:r>
          </w:p>
        </w:tc>
        <w:tc>
          <w:tcPr>
            <w:tcW w:w="262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1、凹陷深度1.5mm，同时面积超过10cm</w:t>
            </w:r>
            <w:r>
              <w:rPr>
                <w:rFonts w:hint="eastAsia" w:ascii="宋体" w:hAnsi="宋体" w:eastAsia="宋体" w:cs="宋体"/>
                <w:color w:val="000000"/>
                <w:sz w:val="18"/>
                <w:szCs w:val="18"/>
                <w:highlight w:val="none"/>
                <w:vertAlign w:val="superscript"/>
              </w:rPr>
              <w:t>2</w:t>
            </w:r>
            <w:r>
              <w:rPr>
                <w:rFonts w:hint="eastAsia" w:ascii="宋体" w:hAnsi="宋体" w:eastAsia="宋体" w:cs="宋体"/>
                <w:color w:val="000000"/>
                <w:sz w:val="18"/>
                <w:szCs w:val="18"/>
                <w:highlight w:val="none"/>
              </w:rPr>
              <w:t xml:space="preserve">时更换新管； 2、管子表面尖锐划痕不允许超过0.3mm。 </w:t>
            </w:r>
          </w:p>
        </w:tc>
        <w:tc>
          <w:tcPr>
            <w:tcW w:w="113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c>
          <w:tcPr>
            <w:tcW w:w="14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c>
          <w:tcPr>
            <w:tcW w:w="138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重点检查最上层管子 </w:t>
            </w:r>
          </w:p>
        </w:tc>
        <w:tc>
          <w:tcPr>
            <w:tcW w:w="1259" w:type="dxa"/>
            <w:gridSpan w:val="2"/>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8 </w:t>
            </w:r>
          </w:p>
        </w:tc>
        <w:tc>
          <w:tcPr>
            <w:tcW w:w="92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管排平整度</w:t>
            </w:r>
          </w:p>
        </w:tc>
        <w:tc>
          <w:tcPr>
            <w:tcW w:w="262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1、管排平整度不大于20mm；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2、管排间距均匀，偏差小于5mm；                    3、梳形定位板、管排定位板、管排吊卡完好无损；                      4、梳形定位板、管排定位板、管排吊卡无变形、无脱焊，与管排固定良好，并保证管子能自由膨胀。 </w:t>
            </w:r>
          </w:p>
        </w:tc>
        <w:tc>
          <w:tcPr>
            <w:tcW w:w="113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c>
          <w:tcPr>
            <w:tcW w:w="14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检查前包墙拉稀管有无错列现象。 </w:t>
            </w:r>
          </w:p>
        </w:tc>
        <w:tc>
          <w:tcPr>
            <w:tcW w:w="138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1、检查管排有无错列现象；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2、检查各管排间距是否均匀；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3、检查各固定及定距装置。 </w:t>
            </w:r>
          </w:p>
        </w:tc>
        <w:tc>
          <w:tcPr>
            <w:tcW w:w="1259" w:type="dxa"/>
            <w:gridSpan w:val="2"/>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1、检查管排有无错列现象；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2、检查各管排间距是否均匀；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3、检查冷却定位管、自夹管、各固定及定距装置。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50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9 </w:t>
            </w:r>
          </w:p>
        </w:tc>
        <w:tc>
          <w:tcPr>
            <w:tcW w:w="92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lang w:val="en-US" w:eastAsia="zh-CN"/>
              </w:rPr>
            </w:pPr>
            <w:r>
              <w:rPr>
                <w:rFonts w:hint="eastAsia" w:ascii="宋体" w:hAnsi="宋体" w:eastAsia="宋体" w:cs="宋体"/>
                <w:color w:val="000000"/>
                <w:sz w:val="18"/>
                <w:szCs w:val="18"/>
                <w:highlight w:val="none"/>
                <w:lang w:val="en-US" w:eastAsia="zh-CN"/>
              </w:rPr>
              <w:t>防磨装置</w:t>
            </w:r>
          </w:p>
        </w:tc>
        <w:tc>
          <w:tcPr>
            <w:tcW w:w="262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1、防磨板无松动、脱落及烧损；                               2、阻流板（耐火砖）无松动、脱落。 </w:t>
            </w:r>
          </w:p>
        </w:tc>
        <w:tc>
          <w:tcPr>
            <w:tcW w:w="1137"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屏过管与顶棚密封装置变形损伤检查。 </w:t>
            </w:r>
          </w:p>
        </w:tc>
        <w:tc>
          <w:tcPr>
            <w:tcW w:w="1400"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1、检查前包墙拉稀管处防磨板；                        2、检查阻流板（耐火砖）。       </w:t>
            </w:r>
          </w:p>
        </w:tc>
        <w:tc>
          <w:tcPr>
            <w:tcW w:w="138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1、检查防磨板；                          2、检查阻流板（耐火砖）。 </w:t>
            </w:r>
          </w:p>
        </w:tc>
        <w:tc>
          <w:tcPr>
            <w:tcW w:w="1259" w:type="dxa"/>
            <w:gridSpan w:val="2"/>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检查防磨板，尤其注意烧损。 </w:t>
            </w:r>
          </w:p>
        </w:tc>
      </w:tr>
    </w:tbl>
    <w:p>
      <w:pPr>
        <w:pStyle w:val="17"/>
        <w:numPr>
          <w:ilvl w:val="1"/>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再热器检查内容及标准 </w:t>
      </w:r>
    </w:p>
    <w:tbl>
      <w:tblPr>
        <w:tblStyle w:val="13"/>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383"/>
        <w:gridCol w:w="2171"/>
        <w:gridCol w:w="2335"/>
        <w:gridCol w:w="1906"/>
        <w:gridCol w:w="1"/>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8"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序号 </w:t>
            </w:r>
          </w:p>
        </w:tc>
        <w:tc>
          <w:tcPr>
            <w:tcW w:w="1383"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检查项目 </w:t>
            </w:r>
          </w:p>
        </w:tc>
        <w:tc>
          <w:tcPr>
            <w:tcW w:w="2171" w:type="dxa"/>
            <w:vMerge w:val="restart"/>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标准 </w:t>
            </w:r>
          </w:p>
        </w:tc>
        <w:tc>
          <w:tcPr>
            <w:tcW w:w="5086" w:type="dxa"/>
            <w:gridSpan w:val="4"/>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8"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1383"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2171" w:type="dxa"/>
            <w:vMerge w:val="continue"/>
            <w:tcBorders>
              <w:tl2br w:val="nil"/>
              <w:tr2bl w:val="nil"/>
            </w:tcBorders>
            <w:vAlign w:val="center"/>
          </w:tcPr>
          <w:p>
            <w:pPr>
              <w:spacing w:beforeLines="0" w:afterLines="0" w:line="240" w:lineRule="auto"/>
              <w:jc w:val="left"/>
              <w:rPr>
                <w:rFonts w:hint="eastAsia" w:ascii="宋体" w:hAnsi="宋体" w:eastAsia="宋体" w:cs="宋体"/>
                <w:sz w:val="18"/>
                <w:szCs w:val="18"/>
                <w:highlight w:val="none"/>
              </w:rPr>
            </w:pPr>
          </w:p>
        </w:tc>
        <w:tc>
          <w:tcPr>
            <w:tcW w:w="2335" w:type="dxa"/>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低温再热器</w:t>
            </w:r>
          </w:p>
        </w:tc>
        <w:tc>
          <w:tcPr>
            <w:tcW w:w="2751" w:type="dxa"/>
            <w:gridSpan w:val="3"/>
            <w:tcBorders>
              <w:tl2br w:val="nil"/>
              <w:tr2bl w:val="nil"/>
            </w:tcBorders>
            <w:vAlign w:val="center"/>
          </w:tcPr>
          <w:p>
            <w:pPr>
              <w:spacing w:beforeLines="0" w:afterLines="0" w:line="240" w:lineRule="auto"/>
              <w:jc w:val="center"/>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高温再热器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 </w:t>
            </w:r>
          </w:p>
        </w:tc>
        <w:tc>
          <w:tcPr>
            <w:tcW w:w="13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过热胀粗、鼓包、氧化皮 </w:t>
            </w:r>
          </w:p>
        </w:tc>
        <w:tc>
          <w:tcPr>
            <w:tcW w:w="217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1、碳钢管胀粗不大于3.5%D；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2、低合金管胀粗不大于2.5%D；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3、T91类管胀粗不大于1.2%D；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4、奥氏体耐热钢管胀粗不大于4.5%D。 </w:t>
            </w:r>
          </w:p>
        </w:tc>
        <w:tc>
          <w:tcPr>
            <w:tcW w:w="5086" w:type="dxa"/>
            <w:gridSpan w:val="4"/>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可检查部位全面检查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 </w:t>
            </w:r>
          </w:p>
        </w:tc>
        <w:tc>
          <w:tcPr>
            <w:tcW w:w="13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吹灰器吹损减薄 </w:t>
            </w:r>
          </w:p>
        </w:tc>
        <w:tc>
          <w:tcPr>
            <w:tcW w:w="217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减薄量不大于公称壁厚的20%。 </w:t>
            </w:r>
          </w:p>
        </w:tc>
        <w:tc>
          <w:tcPr>
            <w:tcW w:w="233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检查吹灰器吹扫范围内管子，重点检查无防磨板处、第一、二排管、管排错列处。 </w:t>
            </w:r>
          </w:p>
        </w:tc>
        <w:tc>
          <w:tcPr>
            <w:tcW w:w="2751" w:type="dxa"/>
            <w:gridSpan w:val="3"/>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检查吹灰器吹扫范围内管子，重点检查无防磨板处、管排错列处。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 </w:t>
            </w:r>
          </w:p>
        </w:tc>
        <w:tc>
          <w:tcPr>
            <w:tcW w:w="13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机械碰磨减薄 </w:t>
            </w:r>
          </w:p>
        </w:tc>
        <w:tc>
          <w:tcPr>
            <w:tcW w:w="217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减薄量不大于公称壁厚的20%。 </w:t>
            </w:r>
          </w:p>
        </w:tc>
        <w:tc>
          <w:tcPr>
            <w:tcW w:w="233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检查悬吊管处、阻流板处、管排固定装置及定距装置处。 </w:t>
            </w:r>
          </w:p>
        </w:tc>
        <w:tc>
          <w:tcPr>
            <w:tcW w:w="2751" w:type="dxa"/>
            <w:gridSpan w:val="3"/>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1、检查冷却定位管与管屏接角处；                        2、检查自夹管处；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3、检查管排固定装置处。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 </w:t>
            </w:r>
          </w:p>
        </w:tc>
        <w:tc>
          <w:tcPr>
            <w:tcW w:w="13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飞灰磨损减薄 </w:t>
            </w:r>
          </w:p>
        </w:tc>
        <w:tc>
          <w:tcPr>
            <w:tcW w:w="217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减薄量不大于公称壁厚的20%。 </w:t>
            </w:r>
          </w:p>
        </w:tc>
        <w:tc>
          <w:tcPr>
            <w:tcW w:w="233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检查管排迎风面管一排管、管排错列处、易形成烟气走廊处、阻流板处、靠近包墙及隔墙处及边排管处。 </w:t>
            </w:r>
          </w:p>
        </w:tc>
        <w:tc>
          <w:tcPr>
            <w:tcW w:w="2751" w:type="dxa"/>
            <w:gridSpan w:val="3"/>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1、检查迎风面第一根管子；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2、检查管排错列处；                   3、检查管排底部；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4、检查低再与高再过渡处的弯头。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5 </w:t>
            </w:r>
          </w:p>
        </w:tc>
        <w:tc>
          <w:tcPr>
            <w:tcW w:w="13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管子氧化腐蚀 </w:t>
            </w:r>
          </w:p>
        </w:tc>
        <w:tc>
          <w:tcPr>
            <w:tcW w:w="217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1、表面氧化皮不超过0.6mm；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2、点蚀深度不超过20%壁厚。 </w:t>
            </w:r>
          </w:p>
        </w:tc>
        <w:tc>
          <w:tcPr>
            <w:tcW w:w="233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c>
          <w:tcPr>
            <w:tcW w:w="1907" w:type="dxa"/>
            <w:gridSpan w:val="2"/>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1、全面外观检查；                                          2、外壁结焦垢下高温腐蚀。 </w:t>
            </w:r>
          </w:p>
        </w:tc>
        <w:tc>
          <w:tcPr>
            <w:tcW w:w="844"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6 </w:t>
            </w:r>
          </w:p>
        </w:tc>
        <w:tc>
          <w:tcPr>
            <w:tcW w:w="13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管子裂纹 </w:t>
            </w:r>
          </w:p>
        </w:tc>
        <w:tc>
          <w:tcPr>
            <w:tcW w:w="217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不允许有开裂现象。 </w:t>
            </w:r>
          </w:p>
        </w:tc>
        <w:tc>
          <w:tcPr>
            <w:tcW w:w="5086" w:type="dxa"/>
            <w:gridSpan w:val="4"/>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7 </w:t>
            </w:r>
          </w:p>
        </w:tc>
        <w:tc>
          <w:tcPr>
            <w:tcW w:w="13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其它表面缺陷 </w:t>
            </w:r>
          </w:p>
        </w:tc>
        <w:tc>
          <w:tcPr>
            <w:tcW w:w="217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1、凹陷深度1.5mm，同时面积超过10cm</w:t>
            </w:r>
            <w:r>
              <w:rPr>
                <w:rFonts w:hint="eastAsia" w:ascii="宋体" w:hAnsi="宋体" w:eastAsia="宋体" w:cs="宋体"/>
                <w:color w:val="000000"/>
                <w:sz w:val="18"/>
                <w:szCs w:val="18"/>
                <w:highlight w:val="none"/>
                <w:vertAlign w:val="superscript"/>
              </w:rPr>
              <w:t>2</w:t>
            </w:r>
            <w:r>
              <w:rPr>
                <w:rFonts w:hint="eastAsia" w:ascii="宋体" w:hAnsi="宋体" w:eastAsia="宋体" w:cs="宋体"/>
                <w:color w:val="000000"/>
                <w:sz w:val="18"/>
                <w:szCs w:val="18"/>
                <w:highlight w:val="none"/>
              </w:rPr>
              <w:t xml:space="preserve">时更换新管； 2、管子表面尖锐划痕不允许超过0.3mm； </w:t>
            </w:r>
          </w:p>
        </w:tc>
        <w:tc>
          <w:tcPr>
            <w:tcW w:w="233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重点检查最上层管子 </w:t>
            </w:r>
          </w:p>
        </w:tc>
        <w:tc>
          <w:tcPr>
            <w:tcW w:w="190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c>
          <w:tcPr>
            <w:tcW w:w="845" w:type="dxa"/>
            <w:gridSpan w:val="2"/>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普查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8 </w:t>
            </w:r>
          </w:p>
        </w:tc>
        <w:tc>
          <w:tcPr>
            <w:tcW w:w="13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管排平整度 </w:t>
            </w:r>
          </w:p>
        </w:tc>
        <w:tc>
          <w:tcPr>
            <w:tcW w:w="217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1、管排平整度不大于20mm；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2、管排间距均匀，偏差小于5mm；                    3、梳形定位板、管排定位板、管排吊卡完好无损；                      4、梳形定位板、管排定位板、管排吊卡无变形、无脱焊，与管排固定良好，并保证管子能自由膨胀。</w:t>
            </w:r>
          </w:p>
        </w:tc>
        <w:tc>
          <w:tcPr>
            <w:tcW w:w="233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1、检查管排有无错列现象；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2、检查各管排间距是否均匀；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3、检查各固定及定距装置。 </w:t>
            </w:r>
          </w:p>
        </w:tc>
        <w:tc>
          <w:tcPr>
            <w:tcW w:w="190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1、检查管排有无错列现象；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2、检查各管排间距是否均匀；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3、检查冷却定位管、自夹管、各固定及定距装置。 </w:t>
            </w:r>
          </w:p>
        </w:tc>
        <w:tc>
          <w:tcPr>
            <w:tcW w:w="845" w:type="dxa"/>
            <w:gridSpan w:val="2"/>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9 </w:t>
            </w:r>
          </w:p>
        </w:tc>
        <w:tc>
          <w:tcPr>
            <w:tcW w:w="13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防磨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装置 </w:t>
            </w:r>
          </w:p>
        </w:tc>
        <w:tc>
          <w:tcPr>
            <w:tcW w:w="217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1、防磨板无松动、脱落及烧损；                               2、阻流板（耐火砖）无松动、脱落。 </w:t>
            </w:r>
          </w:p>
        </w:tc>
        <w:tc>
          <w:tcPr>
            <w:tcW w:w="233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1、检查防磨板；                           2、检查阻流板（耐火砖）。 </w:t>
            </w:r>
          </w:p>
        </w:tc>
        <w:tc>
          <w:tcPr>
            <w:tcW w:w="190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检查防磨板，尤其注意烧损。 </w:t>
            </w:r>
          </w:p>
        </w:tc>
        <w:tc>
          <w:tcPr>
            <w:tcW w:w="845" w:type="dxa"/>
            <w:gridSpan w:val="2"/>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8"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10 </w:t>
            </w:r>
          </w:p>
        </w:tc>
        <w:tc>
          <w:tcPr>
            <w:tcW w:w="1383"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理化 </w:t>
            </w:r>
          </w:p>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检查 </w:t>
            </w:r>
          </w:p>
        </w:tc>
        <w:tc>
          <w:tcPr>
            <w:tcW w:w="2171"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c>
          <w:tcPr>
            <w:tcW w:w="2335"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c>
          <w:tcPr>
            <w:tcW w:w="1906" w:type="dxa"/>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异种钢焊口硬度金相抽查，必要时割管检查。 </w:t>
            </w:r>
          </w:p>
        </w:tc>
        <w:tc>
          <w:tcPr>
            <w:tcW w:w="845" w:type="dxa"/>
            <w:gridSpan w:val="2"/>
            <w:tcBorders>
              <w:tl2br w:val="nil"/>
              <w:tr2bl w:val="nil"/>
            </w:tcBorders>
            <w:vAlign w:val="center"/>
          </w:tcPr>
          <w:p>
            <w:pPr>
              <w:spacing w:beforeLines="0" w:afterLines="0" w:line="240" w:lineRule="auto"/>
              <w:jc w:val="left"/>
              <w:rPr>
                <w:rFonts w:hint="eastAsia" w:ascii="宋体" w:hAnsi="宋体" w:eastAsia="宋体" w:cs="宋体"/>
                <w:color w:val="000000"/>
                <w:sz w:val="18"/>
                <w:szCs w:val="18"/>
                <w:highlight w:val="none"/>
              </w:rPr>
            </w:pPr>
            <w:r>
              <w:rPr>
                <w:rFonts w:hint="eastAsia" w:ascii="宋体" w:hAnsi="宋体" w:eastAsia="宋体" w:cs="宋体"/>
                <w:color w:val="000000"/>
                <w:sz w:val="18"/>
                <w:szCs w:val="18"/>
                <w:highlight w:val="none"/>
              </w:rPr>
              <w:t xml:space="preserve"> </w:t>
            </w:r>
          </w:p>
        </w:tc>
      </w:tr>
    </w:tbl>
    <w:p>
      <w:pPr>
        <w:pStyle w:val="17"/>
        <w:numPr>
          <w:ilvl w:val="0"/>
          <w:numId w:val="3"/>
        </w:numPr>
        <w:spacing w:line="360" w:lineRule="auto"/>
        <w:ind w:left="1045" w:leftChars="0" w:hanging="1045" w:firstLineChars="0"/>
        <w:outlineLvl w:val="0"/>
        <w:rPr>
          <w:rFonts w:hint="eastAsia" w:ascii="宋体" w:hAnsi="宋体" w:eastAsia="宋体"/>
          <w:sz w:val="24"/>
          <w:szCs w:val="24"/>
          <w:highlight w:val="none"/>
        </w:rPr>
      </w:pPr>
      <w:r>
        <w:rPr>
          <w:rFonts w:hint="eastAsia" w:ascii="宋体" w:hAnsi="宋体" w:eastAsia="宋体" w:cs="宋体"/>
          <w:sz w:val="24"/>
          <w:szCs w:val="24"/>
          <w:highlight w:val="none"/>
        </w:rPr>
        <w:t>工程</w:t>
      </w:r>
      <w:r>
        <w:rPr>
          <w:rFonts w:hint="eastAsia" w:ascii="宋体" w:hAnsi="宋体" w:eastAsia="宋体"/>
          <w:sz w:val="24"/>
          <w:szCs w:val="24"/>
          <w:highlight w:val="none"/>
        </w:rPr>
        <w:t xml:space="preserve">工期及人员、仪器要求、检验质量控制 </w:t>
      </w:r>
    </w:p>
    <w:p>
      <w:pPr>
        <w:pStyle w:val="17"/>
        <w:numPr>
          <w:ilvl w:val="1"/>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工期要求 </w:t>
      </w:r>
      <w:r>
        <w:rPr>
          <w:rFonts w:hint="eastAsia" w:ascii="宋体" w:hAnsi="宋体" w:eastAsia="宋体"/>
          <w:sz w:val="24"/>
          <w:szCs w:val="24"/>
          <w:highlight w:val="none"/>
        </w:rPr>
        <w:br w:type="textWrapping"/>
      </w:r>
      <w:r>
        <w:rPr>
          <w:rFonts w:hint="eastAsia" w:ascii="宋体" w:hAnsi="宋体" w:eastAsia="宋体"/>
          <w:sz w:val="24"/>
          <w:szCs w:val="24"/>
          <w:highlight w:val="none"/>
        </w:rPr>
        <w:t>一般项目检查应在15天内完工，实际工期以现场进度安排为准，完成现场工作后</w:t>
      </w:r>
      <w:r>
        <w:rPr>
          <w:rFonts w:hint="eastAsia" w:ascii="宋体" w:hAnsi="宋体" w:eastAsia="宋体"/>
          <w:sz w:val="24"/>
          <w:szCs w:val="24"/>
          <w:highlight w:val="none"/>
          <w:lang w:val="en-US" w:eastAsia="zh-CN"/>
        </w:rPr>
        <w:t>45</w:t>
      </w:r>
      <w:r>
        <w:rPr>
          <w:rFonts w:hint="eastAsia" w:ascii="宋体" w:hAnsi="宋体" w:eastAsia="宋体"/>
          <w:sz w:val="24"/>
          <w:szCs w:val="24"/>
          <w:highlight w:val="none"/>
        </w:rPr>
        <w:t xml:space="preserve">天内出具正式技术报告。 </w:t>
      </w:r>
    </w:p>
    <w:p>
      <w:pPr>
        <w:pStyle w:val="17"/>
        <w:numPr>
          <w:ilvl w:val="1"/>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人员要求 </w:t>
      </w:r>
      <w:r>
        <w:rPr>
          <w:rFonts w:hint="eastAsia" w:ascii="宋体" w:hAnsi="宋体" w:eastAsia="宋体"/>
          <w:sz w:val="24"/>
          <w:szCs w:val="24"/>
          <w:highlight w:val="none"/>
        </w:rPr>
        <w:br w:type="textWrapping"/>
      </w:r>
      <w:r>
        <w:rPr>
          <w:rFonts w:hint="eastAsia" w:ascii="宋体" w:hAnsi="宋体" w:eastAsia="宋体"/>
          <w:sz w:val="24"/>
          <w:szCs w:val="24"/>
          <w:highlight w:val="none"/>
        </w:rPr>
        <w:t xml:space="preserve">现场管理组织机构和劳动力计划，为了顺利完成本工程，乙方合理安排人员，必须满足安全、文明和高质量完成本项目。 </w:t>
      </w:r>
    </w:p>
    <w:p>
      <w:pPr>
        <w:pStyle w:val="17"/>
        <w:numPr>
          <w:ilvl w:val="1"/>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拟安排检验人员及仪器 </w:t>
      </w:r>
    </w:p>
    <w:p>
      <w:pPr>
        <w:pStyle w:val="17"/>
        <w:numPr>
          <w:ilvl w:val="2"/>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检验人员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本</w:t>
      </w:r>
      <w:r>
        <w:rPr>
          <w:rFonts w:hint="eastAsia" w:ascii="宋体" w:hAnsi="宋体" w:eastAsia="宋体" w:cs="宋体"/>
          <w:sz w:val="24"/>
          <w:szCs w:val="24"/>
          <w:highlight w:val="none"/>
        </w:rPr>
        <w:t>检验</w:t>
      </w:r>
      <w:r>
        <w:rPr>
          <w:rFonts w:hint="eastAsia" w:ascii="宋体" w:hAnsi="宋体" w:eastAsia="宋体"/>
          <w:sz w:val="24"/>
          <w:szCs w:val="24"/>
          <w:highlight w:val="none"/>
        </w:rPr>
        <w:t xml:space="preserve">项目拟安排如下检验负责人：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项目负责人： 1人；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安全负责人： 1人；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检验工作人员：满足现场检查需求； </w:t>
      </w:r>
    </w:p>
    <w:p>
      <w:pPr>
        <w:pStyle w:val="17"/>
        <w:numPr>
          <w:ilvl w:val="2"/>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项目负责人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负责项目的组织和管理工作；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项目实施前，负责项目的策划和组织准备工作（包括：</w:t>
      </w:r>
      <w:r>
        <w:rPr>
          <w:rFonts w:hint="eastAsia" w:ascii="宋体" w:hAnsi="宋体" w:eastAsia="宋体"/>
          <w:sz w:val="24"/>
          <w:szCs w:val="24"/>
          <w:highlight w:val="none"/>
          <w:lang w:val="en-US" w:eastAsia="zh-CN"/>
        </w:rPr>
        <w:t>检查方案编制、</w:t>
      </w:r>
      <w:r>
        <w:rPr>
          <w:rFonts w:hint="eastAsia" w:ascii="宋体" w:hAnsi="宋体" w:eastAsia="宋体"/>
          <w:sz w:val="24"/>
          <w:szCs w:val="24"/>
          <w:highlight w:val="none"/>
        </w:rPr>
        <w:t xml:space="preserve">检验人员、检验设备、检验器材、检验依据的法规、标准、被检设备的资料、现场检验所需的检验记录表以及确保项目实施所需的资源和活动）；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现场组织和实施项目的检验工作；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监控项目的实施，收集并分析实施中获得的信息，改进现场检验工作。 </w:t>
      </w:r>
    </w:p>
    <w:p>
      <w:pPr>
        <w:pStyle w:val="17"/>
        <w:numPr>
          <w:ilvl w:val="2"/>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安全负责人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cs="宋体"/>
          <w:sz w:val="24"/>
          <w:szCs w:val="24"/>
          <w:highlight w:val="none"/>
        </w:rPr>
        <w:t>协助</w:t>
      </w:r>
      <w:r>
        <w:rPr>
          <w:rFonts w:hint="eastAsia" w:ascii="宋体" w:hAnsi="宋体" w:eastAsia="宋体"/>
          <w:sz w:val="24"/>
          <w:szCs w:val="24"/>
          <w:highlight w:val="none"/>
        </w:rPr>
        <w:t xml:space="preserve">项目负责人负责检验项目的安全管理工作；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cs="宋体"/>
          <w:sz w:val="24"/>
          <w:szCs w:val="24"/>
          <w:highlight w:val="none"/>
        </w:rPr>
        <w:t>采取</w:t>
      </w:r>
      <w:r>
        <w:rPr>
          <w:rFonts w:hint="eastAsia" w:ascii="宋体" w:hAnsi="宋体" w:eastAsia="宋体"/>
          <w:sz w:val="24"/>
          <w:szCs w:val="24"/>
          <w:highlight w:val="none"/>
        </w:rPr>
        <w:t xml:space="preserve">措施做好安全教育和现场安全监控工作。 </w:t>
      </w:r>
    </w:p>
    <w:p>
      <w:pPr>
        <w:pStyle w:val="17"/>
        <w:numPr>
          <w:ilvl w:val="2"/>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所有检验人员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本项目的所有检验人员，在检验前，应熟悉并了解被检设备情况，积极做好各项准备工作；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cs="宋体"/>
          <w:sz w:val="24"/>
          <w:szCs w:val="24"/>
          <w:highlight w:val="none"/>
        </w:rPr>
        <w:t>项目</w:t>
      </w:r>
      <w:r>
        <w:rPr>
          <w:rFonts w:hint="eastAsia" w:ascii="宋体" w:hAnsi="宋体" w:eastAsia="宋体"/>
          <w:sz w:val="24"/>
          <w:szCs w:val="24"/>
          <w:highlight w:val="none"/>
        </w:rPr>
        <w:t xml:space="preserve">实施中，遵守工艺纪律，积极配合，对自己检验的结果负责；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切实做好人身安全和检测设备保管工作； </w:t>
      </w:r>
    </w:p>
    <w:p>
      <w:pPr>
        <w:pStyle w:val="17"/>
        <w:numPr>
          <w:ilvl w:val="0"/>
          <w:numId w:val="5"/>
        </w:numPr>
        <w:spacing w:line="360" w:lineRule="auto"/>
        <w:ind w:left="1060" w:leftChars="0" w:hanging="1060"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主动分析检验中发现的问题，配合项目负责人采取措施，做好改进检验技术质量。 </w:t>
      </w:r>
    </w:p>
    <w:p>
      <w:pPr>
        <w:pStyle w:val="17"/>
        <w:numPr>
          <w:ilvl w:val="2"/>
          <w:numId w:val="3"/>
        </w:numPr>
        <w:spacing w:line="360" w:lineRule="auto"/>
        <w:ind w:left="1065" w:leftChars="0" w:hanging="1065" w:firstLineChars="0"/>
        <w:outlineLvl w:val="0"/>
        <w:rPr>
          <w:rFonts w:hint="eastAsia" w:ascii="宋体" w:hAnsi="宋体" w:eastAsia="宋体"/>
          <w:sz w:val="24"/>
          <w:szCs w:val="24"/>
          <w:highlight w:val="none"/>
        </w:rPr>
      </w:pPr>
      <w:r>
        <w:rPr>
          <w:rFonts w:hint="eastAsia" w:ascii="宋体" w:hAnsi="宋体" w:eastAsia="宋体"/>
          <w:sz w:val="24"/>
          <w:szCs w:val="24"/>
          <w:highlight w:val="none"/>
        </w:rPr>
        <w:t xml:space="preserve">检验仪器设备 </w:t>
      </w:r>
    </w:p>
    <w:p>
      <w:pPr>
        <w:spacing w:beforeLines="0" w:afterLine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表8  拟安排仪器设备使用计划</w:t>
      </w:r>
    </w:p>
    <w:tbl>
      <w:tblPr>
        <w:tblStyle w:val="13"/>
        <w:tblW w:w="8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4483"/>
        <w:gridCol w:w="2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01" w:type="dxa"/>
            <w:tcBorders>
              <w:tl2br w:val="nil"/>
              <w:tr2bl w:val="nil"/>
            </w:tcBorders>
            <w:vAlign w:val="center"/>
          </w:tcPr>
          <w:p>
            <w:pPr>
              <w:spacing w:beforeLines="0" w:afterLines="0"/>
              <w:jc w:val="center"/>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序号</w:t>
            </w:r>
          </w:p>
        </w:tc>
        <w:tc>
          <w:tcPr>
            <w:tcW w:w="4483" w:type="dxa"/>
            <w:tcBorders>
              <w:tl2br w:val="nil"/>
              <w:tr2bl w:val="nil"/>
            </w:tcBorders>
            <w:vAlign w:val="center"/>
          </w:tcPr>
          <w:p>
            <w:pPr>
              <w:spacing w:beforeLines="0" w:afterLines="0"/>
              <w:jc w:val="left"/>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 xml:space="preserve">仪器名称 </w:t>
            </w:r>
          </w:p>
        </w:tc>
        <w:tc>
          <w:tcPr>
            <w:tcW w:w="2842" w:type="dxa"/>
            <w:tcBorders>
              <w:tl2br w:val="nil"/>
              <w:tr2bl w:val="nil"/>
            </w:tcBorders>
            <w:vAlign w:val="center"/>
          </w:tcPr>
          <w:p>
            <w:pPr>
              <w:spacing w:beforeLines="0" w:afterLines="0"/>
              <w:jc w:val="left"/>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 xml:space="preserve">制造单位及型号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01" w:type="dxa"/>
            <w:tcBorders>
              <w:tl2br w:val="nil"/>
              <w:tr2bl w:val="nil"/>
            </w:tcBorders>
            <w:vAlign w:val="center"/>
          </w:tcPr>
          <w:p>
            <w:pPr>
              <w:spacing w:beforeLines="0" w:afterLines="0"/>
              <w:jc w:val="center"/>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1</w:t>
            </w:r>
          </w:p>
        </w:tc>
        <w:tc>
          <w:tcPr>
            <w:tcW w:w="4483" w:type="dxa"/>
            <w:tcBorders>
              <w:tl2br w:val="nil"/>
              <w:tr2bl w:val="nil"/>
            </w:tcBorders>
            <w:vAlign w:val="center"/>
          </w:tcPr>
          <w:p>
            <w:pPr>
              <w:spacing w:beforeLines="0" w:afterLines="0"/>
              <w:jc w:val="left"/>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 xml:space="preserve">超声波测厚仪 </w:t>
            </w:r>
          </w:p>
        </w:tc>
        <w:tc>
          <w:tcPr>
            <w:tcW w:w="2842" w:type="dxa"/>
            <w:tcBorders>
              <w:tl2br w:val="nil"/>
              <w:tr2bl w:val="nil"/>
            </w:tcBorders>
            <w:vAlign w:val="center"/>
          </w:tcPr>
          <w:p>
            <w:pPr>
              <w:spacing w:beforeLines="0" w:afterLines="0"/>
              <w:jc w:val="left"/>
              <w:rPr>
                <w:rFonts w:hint="eastAsia" w:ascii="宋体" w:hAnsi="宋体" w:eastAsia="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01" w:type="dxa"/>
            <w:tcBorders>
              <w:tl2br w:val="nil"/>
              <w:tr2bl w:val="nil"/>
            </w:tcBorders>
            <w:vAlign w:val="center"/>
          </w:tcPr>
          <w:p>
            <w:pPr>
              <w:spacing w:beforeLines="0" w:afterLines="0"/>
              <w:jc w:val="center"/>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2</w:t>
            </w:r>
          </w:p>
        </w:tc>
        <w:tc>
          <w:tcPr>
            <w:tcW w:w="4483" w:type="dxa"/>
            <w:tcBorders>
              <w:tl2br w:val="nil"/>
              <w:tr2bl w:val="nil"/>
            </w:tcBorders>
            <w:vAlign w:val="center"/>
          </w:tcPr>
          <w:p>
            <w:pPr>
              <w:spacing w:beforeLines="0" w:afterLines="0"/>
              <w:jc w:val="left"/>
              <w:rPr>
                <w:rFonts w:hint="eastAsia" w:ascii="宋体" w:hAnsi="宋体" w:eastAsia="宋体" w:cstheme="minorBidi"/>
                <w:color w:val="000000"/>
                <w:kern w:val="2"/>
                <w:sz w:val="21"/>
                <w:szCs w:val="21"/>
                <w:highlight w:val="none"/>
                <w:lang w:val="en-US" w:eastAsia="zh-CN" w:bidi="ar-SA"/>
              </w:rPr>
            </w:pPr>
            <w:r>
              <w:rPr>
                <w:rFonts w:hint="eastAsia" w:ascii="宋体" w:hAnsi="宋体" w:eastAsia="宋体"/>
                <w:color w:val="000000"/>
                <w:sz w:val="21"/>
                <w:szCs w:val="21"/>
                <w:highlight w:val="none"/>
              </w:rPr>
              <w:t xml:space="preserve">卷尺 </w:t>
            </w:r>
          </w:p>
        </w:tc>
        <w:tc>
          <w:tcPr>
            <w:tcW w:w="2842" w:type="dxa"/>
            <w:tcBorders>
              <w:tl2br w:val="nil"/>
              <w:tr2bl w:val="nil"/>
            </w:tcBorders>
            <w:vAlign w:val="center"/>
          </w:tcPr>
          <w:p>
            <w:pPr>
              <w:spacing w:beforeLines="0" w:afterLines="0"/>
              <w:jc w:val="left"/>
              <w:rPr>
                <w:rFonts w:hint="eastAsia" w:ascii="宋体" w:hAnsi="宋体" w:eastAsia="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01" w:type="dxa"/>
            <w:tcBorders>
              <w:tl2br w:val="nil"/>
              <w:tr2bl w:val="nil"/>
            </w:tcBorders>
            <w:vAlign w:val="center"/>
          </w:tcPr>
          <w:p>
            <w:pPr>
              <w:spacing w:beforeLines="0" w:afterLines="0"/>
              <w:jc w:val="center"/>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3</w:t>
            </w:r>
          </w:p>
        </w:tc>
        <w:tc>
          <w:tcPr>
            <w:tcW w:w="4483" w:type="dxa"/>
            <w:tcBorders>
              <w:tl2br w:val="nil"/>
              <w:tr2bl w:val="nil"/>
            </w:tcBorders>
            <w:vAlign w:val="center"/>
          </w:tcPr>
          <w:p>
            <w:pPr>
              <w:spacing w:beforeLines="0" w:afterLines="0"/>
              <w:jc w:val="left"/>
              <w:rPr>
                <w:rFonts w:hint="eastAsia" w:ascii="宋体" w:hAnsi="宋体" w:eastAsia="宋体" w:cstheme="minorBidi"/>
                <w:color w:val="000000"/>
                <w:kern w:val="2"/>
                <w:sz w:val="21"/>
                <w:szCs w:val="21"/>
                <w:highlight w:val="none"/>
                <w:lang w:val="en-US" w:eastAsia="zh-CN" w:bidi="ar-SA"/>
              </w:rPr>
            </w:pPr>
            <w:r>
              <w:rPr>
                <w:rFonts w:hint="eastAsia" w:ascii="宋体" w:hAnsi="宋体" w:eastAsia="宋体"/>
                <w:color w:val="000000"/>
                <w:sz w:val="21"/>
                <w:szCs w:val="21"/>
                <w:highlight w:val="none"/>
              </w:rPr>
              <w:t xml:space="preserve">手电筒 </w:t>
            </w:r>
          </w:p>
        </w:tc>
        <w:tc>
          <w:tcPr>
            <w:tcW w:w="2842" w:type="dxa"/>
            <w:tcBorders>
              <w:tl2br w:val="nil"/>
              <w:tr2bl w:val="nil"/>
            </w:tcBorders>
            <w:vAlign w:val="center"/>
          </w:tcPr>
          <w:p>
            <w:pPr>
              <w:spacing w:beforeLines="0" w:afterLines="0"/>
              <w:jc w:val="left"/>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01" w:type="dxa"/>
            <w:tcBorders>
              <w:tl2br w:val="nil"/>
              <w:tr2bl w:val="nil"/>
            </w:tcBorders>
            <w:vAlign w:val="center"/>
          </w:tcPr>
          <w:p>
            <w:pPr>
              <w:spacing w:beforeLines="0" w:afterLines="0"/>
              <w:jc w:val="center"/>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4</w:t>
            </w:r>
          </w:p>
        </w:tc>
        <w:tc>
          <w:tcPr>
            <w:tcW w:w="4483" w:type="dxa"/>
            <w:tcBorders>
              <w:tl2br w:val="nil"/>
              <w:tr2bl w:val="nil"/>
            </w:tcBorders>
            <w:vAlign w:val="center"/>
          </w:tcPr>
          <w:p>
            <w:pPr>
              <w:spacing w:beforeLines="0" w:afterLines="0"/>
              <w:jc w:val="left"/>
              <w:rPr>
                <w:rFonts w:hint="eastAsia" w:ascii="宋体" w:hAnsi="宋体" w:eastAsia="宋体" w:cstheme="minorBidi"/>
                <w:color w:val="000000"/>
                <w:kern w:val="2"/>
                <w:sz w:val="21"/>
                <w:szCs w:val="21"/>
                <w:highlight w:val="none"/>
                <w:lang w:val="en-US" w:eastAsia="zh-CN" w:bidi="ar-SA"/>
              </w:rPr>
            </w:pPr>
            <w:r>
              <w:rPr>
                <w:rFonts w:hint="eastAsia" w:ascii="宋体" w:hAnsi="宋体" w:eastAsia="宋体"/>
                <w:color w:val="000000"/>
                <w:sz w:val="21"/>
                <w:szCs w:val="21"/>
                <w:highlight w:val="none"/>
              </w:rPr>
              <w:t xml:space="preserve">放大镜 </w:t>
            </w:r>
          </w:p>
        </w:tc>
        <w:tc>
          <w:tcPr>
            <w:tcW w:w="2842" w:type="dxa"/>
            <w:tcBorders>
              <w:tl2br w:val="nil"/>
              <w:tr2bl w:val="nil"/>
            </w:tcBorders>
            <w:vAlign w:val="center"/>
          </w:tcPr>
          <w:p>
            <w:pPr>
              <w:spacing w:beforeLines="0" w:afterLines="0"/>
              <w:jc w:val="left"/>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01" w:type="dxa"/>
            <w:tcBorders>
              <w:tl2br w:val="nil"/>
              <w:tr2bl w:val="nil"/>
            </w:tcBorders>
            <w:vAlign w:val="center"/>
          </w:tcPr>
          <w:p>
            <w:pPr>
              <w:spacing w:beforeLines="0" w:afterLines="0"/>
              <w:jc w:val="center"/>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5</w:t>
            </w:r>
          </w:p>
        </w:tc>
        <w:tc>
          <w:tcPr>
            <w:tcW w:w="4483" w:type="dxa"/>
            <w:tcBorders>
              <w:tl2br w:val="nil"/>
              <w:tr2bl w:val="nil"/>
            </w:tcBorders>
            <w:vAlign w:val="center"/>
          </w:tcPr>
          <w:p>
            <w:pPr>
              <w:spacing w:beforeLines="0" w:afterLines="0"/>
              <w:jc w:val="left"/>
              <w:rPr>
                <w:rFonts w:hint="eastAsia" w:ascii="宋体" w:hAnsi="宋体" w:eastAsia="宋体" w:cstheme="minorBidi"/>
                <w:color w:val="000000"/>
                <w:kern w:val="2"/>
                <w:sz w:val="21"/>
                <w:szCs w:val="21"/>
                <w:highlight w:val="none"/>
                <w:lang w:val="en-US" w:eastAsia="zh-CN" w:bidi="ar-SA"/>
              </w:rPr>
            </w:pPr>
            <w:r>
              <w:rPr>
                <w:rFonts w:hint="eastAsia" w:ascii="宋体" w:hAnsi="宋体" w:eastAsia="宋体"/>
                <w:color w:val="000000"/>
                <w:sz w:val="21"/>
                <w:szCs w:val="21"/>
                <w:highlight w:val="none"/>
              </w:rPr>
              <w:t xml:space="preserve">游标卡尺 </w:t>
            </w:r>
          </w:p>
        </w:tc>
        <w:tc>
          <w:tcPr>
            <w:tcW w:w="2842" w:type="dxa"/>
            <w:tcBorders>
              <w:tl2br w:val="nil"/>
              <w:tr2bl w:val="nil"/>
            </w:tcBorders>
            <w:vAlign w:val="center"/>
          </w:tcPr>
          <w:p>
            <w:pPr>
              <w:spacing w:beforeLines="0" w:afterLines="0"/>
              <w:jc w:val="left"/>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01" w:type="dxa"/>
            <w:tcBorders>
              <w:tl2br w:val="nil"/>
              <w:tr2bl w:val="nil"/>
            </w:tcBorders>
            <w:vAlign w:val="center"/>
          </w:tcPr>
          <w:p>
            <w:pPr>
              <w:spacing w:beforeLines="0" w:afterLines="0"/>
              <w:jc w:val="center"/>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6</w:t>
            </w:r>
          </w:p>
        </w:tc>
        <w:tc>
          <w:tcPr>
            <w:tcW w:w="4483" w:type="dxa"/>
            <w:tcBorders>
              <w:tl2br w:val="nil"/>
              <w:tr2bl w:val="nil"/>
            </w:tcBorders>
            <w:vAlign w:val="center"/>
          </w:tcPr>
          <w:p>
            <w:pPr>
              <w:spacing w:beforeLines="0" w:afterLines="0"/>
              <w:jc w:val="left"/>
              <w:rPr>
                <w:rFonts w:hint="eastAsia" w:ascii="宋体" w:hAnsi="宋体" w:eastAsia="宋体" w:cstheme="minorBidi"/>
                <w:color w:val="000000"/>
                <w:kern w:val="2"/>
                <w:sz w:val="21"/>
                <w:szCs w:val="21"/>
                <w:highlight w:val="none"/>
                <w:lang w:val="en-US" w:eastAsia="zh-CN" w:bidi="ar-SA"/>
              </w:rPr>
            </w:pPr>
            <w:r>
              <w:rPr>
                <w:rFonts w:hint="eastAsia" w:ascii="宋体" w:hAnsi="宋体" w:eastAsia="宋体"/>
                <w:color w:val="000000"/>
                <w:sz w:val="21"/>
                <w:szCs w:val="21"/>
                <w:highlight w:val="none"/>
              </w:rPr>
              <w:t xml:space="preserve">硬度计 </w:t>
            </w:r>
          </w:p>
        </w:tc>
        <w:tc>
          <w:tcPr>
            <w:tcW w:w="2842" w:type="dxa"/>
            <w:tcBorders>
              <w:tl2br w:val="nil"/>
              <w:tr2bl w:val="nil"/>
            </w:tcBorders>
            <w:vAlign w:val="center"/>
          </w:tcPr>
          <w:p>
            <w:pPr>
              <w:spacing w:beforeLines="0" w:afterLines="0"/>
              <w:jc w:val="left"/>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01" w:type="dxa"/>
            <w:tcBorders>
              <w:tl2br w:val="nil"/>
              <w:tr2bl w:val="nil"/>
            </w:tcBorders>
            <w:vAlign w:val="center"/>
          </w:tcPr>
          <w:p>
            <w:pPr>
              <w:spacing w:beforeLines="0" w:afterLines="0"/>
              <w:jc w:val="center"/>
              <w:rPr>
                <w:rFonts w:hint="eastAsia" w:ascii="宋体" w:hAnsi="宋体" w:eastAsia="宋体"/>
                <w:color w:val="000000"/>
                <w:sz w:val="21"/>
                <w:szCs w:val="21"/>
                <w:highlight w:val="none"/>
              </w:rPr>
            </w:pPr>
            <w:r>
              <w:rPr>
                <w:rFonts w:hint="eastAsia" w:ascii="宋体" w:hAnsi="宋体" w:eastAsia="宋体"/>
                <w:color w:val="000000"/>
                <w:sz w:val="21"/>
                <w:szCs w:val="21"/>
                <w:highlight w:val="none"/>
              </w:rPr>
              <w:t>7</w:t>
            </w:r>
          </w:p>
        </w:tc>
        <w:tc>
          <w:tcPr>
            <w:tcW w:w="4483" w:type="dxa"/>
            <w:tcBorders>
              <w:tl2br w:val="nil"/>
              <w:tr2bl w:val="nil"/>
            </w:tcBorders>
            <w:vAlign w:val="center"/>
          </w:tcPr>
          <w:p>
            <w:pPr>
              <w:spacing w:beforeLines="0" w:afterLines="0"/>
              <w:jc w:val="left"/>
              <w:rPr>
                <w:rFonts w:hint="eastAsia" w:ascii="宋体" w:hAnsi="宋体" w:eastAsia="宋体" w:cstheme="minorBidi"/>
                <w:color w:val="000000"/>
                <w:kern w:val="2"/>
                <w:sz w:val="21"/>
                <w:szCs w:val="21"/>
                <w:highlight w:val="none"/>
                <w:lang w:val="en-US" w:eastAsia="zh-CN" w:bidi="ar-SA"/>
              </w:rPr>
            </w:pPr>
            <w:r>
              <w:rPr>
                <w:rFonts w:hint="eastAsia" w:ascii="宋体" w:hAnsi="宋体" w:eastAsia="宋体"/>
                <w:color w:val="000000"/>
                <w:sz w:val="21"/>
                <w:szCs w:val="21"/>
                <w:highlight w:val="none"/>
              </w:rPr>
              <w:t xml:space="preserve">电脑 </w:t>
            </w:r>
          </w:p>
        </w:tc>
        <w:tc>
          <w:tcPr>
            <w:tcW w:w="2842" w:type="dxa"/>
            <w:tcBorders>
              <w:tl2br w:val="nil"/>
              <w:tr2bl w:val="nil"/>
            </w:tcBorders>
            <w:vAlign w:val="center"/>
          </w:tcPr>
          <w:p>
            <w:pPr>
              <w:spacing w:beforeLines="0" w:afterLines="0"/>
              <w:jc w:val="left"/>
              <w:rPr>
                <w:rFonts w:hint="eastAsia" w:ascii="宋体" w:hAnsi="宋体" w:eastAsia="宋体"/>
                <w:color w:val="000000"/>
                <w:sz w:val="21"/>
                <w:szCs w:val="21"/>
                <w:highlight w:val="none"/>
              </w:rPr>
            </w:pPr>
          </w:p>
        </w:tc>
      </w:tr>
    </w:tbl>
    <w:p>
      <w:pPr>
        <w:pStyle w:val="17"/>
        <w:numPr>
          <w:ilvl w:val="1"/>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检验质量控制 </w:t>
      </w:r>
    </w:p>
    <w:p>
      <w:pPr>
        <w:pStyle w:val="17"/>
        <w:numPr>
          <w:ilvl w:val="2"/>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项目负责人应有效组织进行现场检验工作，负责组织全过程的质量控制和现场安全。 </w:t>
      </w:r>
    </w:p>
    <w:p>
      <w:pPr>
        <w:pStyle w:val="17"/>
        <w:numPr>
          <w:ilvl w:val="2"/>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检验工作必须严格按照检验方案进行，若方案在实施过程中因现场条件等原因需要更改时，经双方同意并记录在案。 </w:t>
      </w:r>
    </w:p>
    <w:p>
      <w:pPr>
        <w:pStyle w:val="17"/>
        <w:numPr>
          <w:ilvl w:val="2"/>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工作开始前，项目负责人应对受检部件指定现场负责人。现场负责人负责对该部件的检验工作，掌握该部件的整体检验情况，控制检验工作质量和进度，确认所发现的问题（缺陷）并及时出具检验意见联络单，提出处理建议，负责给出该部件的最终检验结论，负责或组织编制该部件的检验报告。 </w:t>
      </w:r>
    </w:p>
    <w:p>
      <w:pPr>
        <w:pStyle w:val="17"/>
        <w:numPr>
          <w:ilvl w:val="2"/>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检验人员应按照规定的检验方案和方法进行检验，填写检验记录，并对其承担的检验质量负责，出具承担的检验分项报告并签字。 </w:t>
      </w:r>
    </w:p>
    <w:p>
      <w:pPr>
        <w:pStyle w:val="17"/>
        <w:numPr>
          <w:ilvl w:val="2"/>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项目负责人每日现场工作完毕后召开工作会，汇总检验工作情况，掌握整体工作进度，强调质量控制和现场安全，检查检验记录的填写，讨论检验结论和缺陷处理方案，协调检验工作组织，确保检验工作顺利进行。 </w:t>
      </w:r>
    </w:p>
    <w:p>
      <w:pPr>
        <w:pStyle w:val="17"/>
        <w:numPr>
          <w:ilvl w:val="2"/>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为确保现场检验工作按检验方案进行，各种检验记录应填写齐全。当某一部件的检验项目完成后，负责此项目的检验员应自查检验工作是否有遗漏、检验记录是否齐全。 </w:t>
      </w:r>
    </w:p>
    <w:p>
      <w:pPr>
        <w:pStyle w:val="17"/>
        <w:numPr>
          <w:ilvl w:val="2"/>
          <w:numId w:val="3"/>
        </w:numPr>
        <w:spacing w:line="360" w:lineRule="auto"/>
        <w:ind w:left="1065" w:leftChars="0" w:hanging="1065" w:firstLineChars="0"/>
        <w:outlineLvl w:val="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当日现场工作结束后，应及时整理检验记录，出具检验意见联络单（缺陷描述、处理建议），重大缺陷应于当天反馈，其他缺陷于第二日上午交于电厂相关专业负责人。当缺陷处理完毕后，及时安排人员去复检，形成闭环。</w:t>
      </w:r>
    </w:p>
    <w:p>
      <w:pPr>
        <w:pStyle w:val="17"/>
        <w:numPr>
          <w:ilvl w:val="0"/>
          <w:numId w:val="3"/>
        </w:numPr>
        <w:spacing w:line="360" w:lineRule="auto"/>
        <w:ind w:left="1045" w:leftChars="0" w:hanging="1045" w:firstLineChars="0"/>
        <w:outlineLvl w:val="0"/>
        <w:rPr>
          <w:rFonts w:hint="eastAsia" w:ascii="宋体" w:hAnsi="宋体" w:eastAsia="宋体" w:cs="宋体"/>
          <w:b w:val="0"/>
          <w:bCs w:val="0"/>
          <w:sz w:val="24"/>
          <w:szCs w:val="24"/>
          <w:highlight w:val="none"/>
        </w:rPr>
      </w:pPr>
      <w:bookmarkStart w:id="3" w:name="_Toc20680"/>
      <w:r>
        <w:rPr>
          <w:rFonts w:hint="eastAsia" w:ascii="宋体" w:hAnsi="宋体" w:eastAsia="宋体" w:cs="宋体"/>
          <w:b w:val="0"/>
          <w:bCs w:val="0"/>
          <w:sz w:val="24"/>
          <w:szCs w:val="24"/>
          <w:highlight w:val="none"/>
        </w:rPr>
        <w:t>工期及人员要求</w:t>
      </w:r>
      <w:bookmarkEnd w:id="3"/>
    </w:p>
    <w:p>
      <w:pPr>
        <w:pStyle w:val="17"/>
        <w:numPr>
          <w:ilvl w:val="1"/>
          <w:numId w:val="3"/>
        </w:numPr>
        <w:spacing w:line="360" w:lineRule="auto"/>
        <w:ind w:left="1065" w:leftChars="0" w:hanging="1065"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工期要求：</w:t>
      </w:r>
      <w:r>
        <w:rPr>
          <w:rFonts w:hint="eastAsia" w:ascii="宋体" w:hAnsi="宋体" w:eastAsia="宋体" w:cs="宋体"/>
          <w:b w:val="0"/>
          <w:bCs w:val="0"/>
          <w:color w:val="auto"/>
          <w:sz w:val="24"/>
          <w:szCs w:val="24"/>
          <w:highlight w:val="none"/>
        </w:rPr>
        <w:br w:type="textWrapping"/>
      </w:r>
      <w:r>
        <w:rPr>
          <w:rFonts w:hint="eastAsia" w:ascii="宋体" w:hAnsi="宋体" w:eastAsia="宋体" w:cs="宋体"/>
          <w:b w:val="0"/>
          <w:bCs w:val="0"/>
          <w:sz w:val="24"/>
          <w:szCs w:val="24"/>
          <w:highlight w:val="none"/>
        </w:rPr>
        <w:t>锅炉四管防磨防爆检查</w:t>
      </w:r>
      <w:r>
        <w:rPr>
          <w:rFonts w:hint="eastAsia" w:ascii="宋体" w:hAnsi="宋体" w:eastAsia="宋体" w:cs="宋体"/>
          <w:b w:val="0"/>
          <w:bCs w:val="0"/>
          <w:color w:val="auto"/>
          <w:sz w:val="24"/>
          <w:szCs w:val="24"/>
          <w:highlight w:val="none"/>
          <w:lang w:val="en-US" w:eastAsia="zh-CN"/>
        </w:rPr>
        <w:t>15天/台炉，特殊情况工期另行商定</w:t>
      </w:r>
      <w:r>
        <w:rPr>
          <w:rFonts w:hint="eastAsia" w:ascii="宋体" w:hAnsi="宋体" w:eastAsia="宋体" w:cs="宋体"/>
          <w:b w:val="0"/>
          <w:bCs w:val="0"/>
          <w:color w:val="auto"/>
          <w:sz w:val="24"/>
          <w:szCs w:val="24"/>
          <w:highlight w:val="none"/>
        </w:rPr>
        <w:t>。</w:t>
      </w:r>
    </w:p>
    <w:p>
      <w:pPr>
        <w:pStyle w:val="17"/>
        <w:numPr>
          <w:ilvl w:val="1"/>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人员数量及素质要求：</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每次</w:t>
      </w:r>
      <w:r>
        <w:rPr>
          <w:rFonts w:hint="eastAsia" w:ascii="宋体" w:hAnsi="宋体" w:eastAsia="宋体" w:cs="宋体"/>
          <w:b w:val="0"/>
          <w:bCs w:val="0"/>
          <w:sz w:val="24"/>
          <w:szCs w:val="24"/>
          <w:highlight w:val="none"/>
        </w:rPr>
        <w:t>锅炉四管防磨防爆检查</w:t>
      </w:r>
      <w:r>
        <w:rPr>
          <w:rFonts w:hint="eastAsia" w:ascii="宋体" w:hAnsi="宋体" w:eastAsia="宋体" w:cs="宋体"/>
          <w:b w:val="0"/>
          <w:bCs w:val="0"/>
          <w:sz w:val="24"/>
          <w:szCs w:val="24"/>
          <w:highlight w:val="none"/>
          <w:lang w:val="en-US" w:eastAsia="zh-CN"/>
        </w:rPr>
        <w:t>人员不得少于5人</w:t>
      </w:r>
      <w:r>
        <w:rPr>
          <w:rFonts w:hint="eastAsia" w:ascii="宋体" w:hAnsi="宋体" w:eastAsia="宋体" w:cs="宋体"/>
          <w:b w:val="0"/>
          <w:bCs w:val="0"/>
          <w:sz w:val="24"/>
          <w:szCs w:val="24"/>
          <w:highlight w:val="none"/>
        </w:rPr>
        <w:t>。</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投标方所派现场工作负责人及以上岗位人员应具备相关资质且近3年内有不少于</w:t>
      </w:r>
      <w:r>
        <w:rPr>
          <w:rFonts w:hint="eastAsia" w:ascii="宋体" w:hAnsi="宋体" w:eastAsia="宋体" w:cs="宋体"/>
          <w:b w:val="0"/>
          <w:bCs w:val="0"/>
          <w:sz w:val="24"/>
          <w:szCs w:val="24"/>
          <w:highlight w:val="none"/>
          <w:lang w:val="en-US" w:eastAsia="zh-CN"/>
        </w:rPr>
        <w:t>10</w:t>
      </w:r>
      <w:r>
        <w:rPr>
          <w:rFonts w:hint="eastAsia" w:ascii="宋体" w:hAnsi="宋体" w:eastAsia="宋体" w:cs="宋体"/>
          <w:b w:val="0"/>
          <w:bCs w:val="0"/>
          <w:sz w:val="24"/>
          <w:szCs w:val="24"/>
          <w:highlight w:val="none"/>
        </w:rPr>
        <w:t>次参与600MW及以上</w:t>
      </w:r>
      <w:r>
        <w:rPr>
          <w:rFonts w:hint="eastAsia" w:ascii="宋体" w:hAnsi="宋体" w:eastAsia="宋体" w:cs="宋体"/>
          <w:b w:val="0"/>
          <w:bCs w:val="0"/>
          <w:sz w:val="24"/>
          <w:szCs w:val="24"/>
          <w:highlight w:val="none"/>
          <w:lang w:val="en-US" w:eastAsia="zh-CN"/>
        </w:rPr>
        <w:t>机组</w:t>
      </w:r>
      <w:r>
        <w:rPr>
          <w:rFonts w:hint="eastAsia" w:ascii="宋体" w:hAnsi="宋体" w:eastAsia="宋体" w:cs="宋体"/>
          <w:b w:val="0"/>
          <w:bCs w:val="0"/>
          <w:sz w:val="24"/>
          <w:szCs w:val="24"/>
          <w:highlight w:val="none"/>
        </w:rPr>
        <w:t>锅炉四管防磨防爆检查工作经验，并且业绩良好</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lang w:val="en-US" w:eastAsia="zh-CN"/>
        </w:rPr>
        <w:t>并提供业绩</w:t>
      </w:r>
      <w:r>
        <w:rPr>
          <w:rFonts w:hint="eastAsia" w:ascii="宋体" w:hAnsi="宋体" w:eastAsia="宋体" w:cs="宋体"/>
          <w:b w:val="0"/>
          <w:bCs w:val="0"/>
          <w:sz w:val="24"/>
          <w:szCs w:val="24"/>
          <w:highlight w:val="none"/>
          <w:lang w:eastAsia="zh-CN"/>
        </w:rPr>
        <w:t>）</w:t>
      </w:r>
      <w:r>
        <w:rPr>
          <w:rFonts w:hint="eastAsia" w:ascii="宋体" w:hAnsi="宋体" w:eastAsia="宋体" w:cs="宋体"/>
          <w:b w:val="0"/>
          <w:bCs w:val="0"/>
          <w:sz w:val="24"/>
          <w:szCs w:val="24"/>
          <w:highlight w:val="none"/>
        </w:rPr>
        <w:t>。</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投标方参与锅炉四管防磨防爆检查人员应具有初中以上文化程度，掌握一定的锅炉四管防磨防爆检查安全知识，参与锅炉四管防磨防爆检查工作经验，所有锅炉四管防磨防爆检查人员必须通过招标方的相关考试后方可进入现场工作。</w:t>
      </w:r>
    </w:p>
    <w:p>
      <w:pPr>
        <w:pStyle w:val="17"/>
        <w:numPr>
          <w:ilvl w:val="0"/>
          <w:numId w:val="3"/>
        </w:numPr>
        <w:spacing w:line="360" w:lineRule="auto"/>
        <w:ind w:left="1045" w:leftChars="0" w:hanging="1045" w:firstLineChars="0"/>
        <w:outlineLvl w:val="0"/>
        <w:rPr>
          <w:rFonts w:hint="eastAsia" w:ascii="宋体" w:hAnsi="宋体" w:eastAsia="宋体" w:cs="宋体"/>
          <w:b w:val="0"/>
          <w:bCs w:val="0"/>
          <w:sz w:val="24"/>
          <w:szCs w:val="24"/>
          <w:highlight w:val="none"/>
        </w:rPr>
      </w:pPr>
      <w:bookmarkStart w:id="4" w:name="_Toc20079"/>
      <w:r>
        <w:rPr>
          <w:rFonts w:hint="eastAsia" w:ascii="宋体" w:hAnsi="宋体" w:eastAsia="宋体" w:cs="宋体"/>
          <w:b w:val="0"/>
          <w:bCs w:val="0"/>
          <w:sz w:val="24"/>
          <w:szCs w:val="24"/>
          <w:highlight w:val="none"/>
        </w:rPr>
        <w:t>乙供</w:t>
      </w:r>
      <w:r>
        <w:rPr>
          <w:rFonts w:hint="eastAsia" w:ascii="宋体" w:hAnsi="宋体" w:eastAsia="宋体" w:cs="宋体"/>
          <w:b w:val="0"/>
          <w:bCs w:val="0"/>
          <w:sz w:val="24"/>
          <w:szCs w:val="24"/>
          <w:highlight w:val="none"/>
          <w:lang w:val="en-US" w:eastAsia="zh-CN"/>
        </w:rPr>
        <w:t>工器具</w:t>
      </w:r>
      <w:r>
        <w:rPr>
          <w:rFonts w:hint="eastAsia" w:ascii="宋体" w:hAnsi="宋体" w:eastAsia="宋体" w:cs="宋体"/>
          <w:b w:val="0"/>
          <w:bCs w:val="0"/>
          <w:sz w:val="24"/>
          <w:szCs w:val="24"/>
          <w:highlight w:val="none"/>
        </w:rPr>
        <w:t>范围及要求</w:t>
      </w:r>
      <w:bookmarkEnd w:id="4"/>
      <w:r>
        <w:rPr>
          <w:rFonts w:hint="eastAsia" w:ascii="宋体" w:hAnsi="宋体" w:eastAsia="宋体" w:cs="宋体"/>
          <w:b w:val="0"/>
          <w:bCs w:val="0"/>
          <w:sz w:val="24"/>
          <w:szCs w:val="24"/>
          <w:highlight w:val="none"/>
        </w:rPr>
        <w:t xml:space="preserve"> </w:t>
      </w:r>
    </w:p>
    <w:p>
      <w:pPr>
        <w:pStyle w:val="17"/>
        <w:numPr>
          <w:ilvl w:val="1"/>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锅炉四管防磨防爆检查</w:t>
      </w:r>
      <w:r>
        <w:rPr>
          <w:rFonts w:hint="eastAsia" w:ascii="宋体" w:hAnsi="宋体" w:eastAsia="宋体" w:cs="宋体"/>
          <w:b w:val="0"/>
          <w:bCs w:val="0"/>
          <w:sz w:val="24"/>
          <w:szCs w:val="24"/>
          <w:highlight w:val="none"/>
          <w:lang w:val="en-US" w:eastAsia="zh-CN"/>
        </w:rPr>
        <w:t>所需所有设备，符合国家及行业规范要求</w:t>
      </w:r>
      <w:r>
        <w:rPr>
          <w:rFonts w:hint="eastAsia" w:ascii="宋体" w:hAnsi="宋体" w:eastAsia="宋体" w:cs="宋体"/>
          <w:b w:val="0"/>
          <w:bCs w:val="0"/>
          <w:sz w:val="24"/>
          <w:szCs w:val="24"/>
          <w:highlight w:val="none"/>
          <w:lang w:eastAsia="zh-CN"/>
        </w:rPr>
        <w:t>；</w:t>
      </w:r>
    </w:p>
    <w:p>
      <w:pPr>
        <w:pStyle w:val="17"/>
        <w:numPr>
          <w:ilvl w:val="1"/>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在</w:t>
      </w:r>
      <w:r>
        <w:rPr>
          <w:rFonts w:hint="eastAsia" w:ascii="宋体" w:hAnsi="宋体" w:eastAsia="宋体" w:cs="宋体"/>
          <w:b w:val="0"/>
          <w:bCs w:val="0"/>
          <w:sz w:val="24"/>
          <w:szCs w:val="24"/>
          <w:highlight w:val="none"/>
        </w:rPr>
        <w:t>锅炉四管防磨防爆检查</w:t>
      </w:r>
      <w:r>
        <w:rPr>
          <w:rFonts w:hint="eastAsia" w:ascii="宋体" w:hAnsi="宋体" w:eastAsia="宋体" w:cs="宋体"/>
          <w:b w:val="0"/>
          <w:bCs w:val="0"/>
          <w:sz w:val="24"/>
          <w:szCs w:val="24"/>
          <w:highlight w:val="none"/>
          <w:lang w:val="en-US" w:eastAsia="zh-CN"/>
        </w:rPr>
        <w:t>时，投标方需提供至少一台适合现场使用的测厚仪供招标方检测验收使用；</w:t>
      </w:r>
    </w:p>
    <w:p>
      <w:pPr>
        <w:pStyle w:val="17"/>
        <w:numPr>
          <w:ilvl w:val="0"/>
          <w:numId w:val="3"/>
        </w:numPr>
        <w:spacing w:line="360" w:lineRule="auto"/>
        <w:ind w:left="1045" w:leftChars="0" w:hanging="1045" w:firstLineChars="0"/>
        <w:outlineLvl w:val="0"/>
        <w:rPr>
          <w:rFonts w:hint="eastAsia" w:ascii="宋体" w:hAnsi="宋体" w:eastAsia="宋体" w:cs="宋体"/>
          <w:b w:val="0"/>
          <w:bCs w:val="0"/>
          <w:color w:val="auto"/>
          <w:sz w:val="24"/>
          <w:szCs w:val="24"/>
          <w:highlight w:val="none"/>
        </w:rPr>
      </w:pPr>
      <w:bookmarkStart w:id="5" w:name="_Toc23732"/>
      <w:r>
        <w:rPr>
          <w:rFonts w:hint="eastAsia" w:ascii="宋体" w:hAnsi="宋体" w:eastAsia="宋体" w:cs="宋体"/>
          <w:b w:val="0"/>
          <w:bCs w:val="0"/>
          <w:color w:val="auto"/>
          <w:sz w:val="24"/>
          <w:szCs w:val="24"/>
          <w:highlight w:val="none"/>
        </w:rPr>
        <w:t>质安健环目标、要求及考核</w:t>
      </w:r>
      <w:bookmarkEnd w:id="5"/>
      <w:r>
        <w:rPr>
          <w:rFonts w:hint="eastAsia" w:ascii="宋体" w:hAnsi="宋体" w:eastAsia="宋体" w:cs="宋体"/>
          <w:b w:val="0"/>
          <w:bCs w:val="0"/>
          <w:color w:val="auto"/>
          <w:sz w:val="24"/>
          <w:szCs w:val="24"/>
          <w:highlight w:val="none"/>
        </w:rPr>
        <w:t xml:space="preserve"> </w:t>
      </w:r>
    </w:p>
    <w:p>
      <w:pPr>
        <w:pStyle w:val="17"/>
        <w:numPr>
          <w:ilvl w:val="1"/>
          <w:numId w:val="3"/>
        </w:numPr>
        <w:spacing w:line="360" w:lineRule="auto"/>
        <w:ind w:left="1065" w:leftChars="0" w:hanging="1065"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安全管理</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安全政策法规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必须贯彻落实“安全第一、预防为主、综合治理”的方针，严格遵守国家有关安全生产法律、行政法规、国家标准和行业标准，并采取必要措施，强化安全管理，保证承包项目实施过程中，现场人员和设备安全。</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单位</w:t>
      </w:r>
      <w:r>
        <w:rPr>
          <w:rFonts w:hint="eastAsia" w:ascii="宋体" w:hAnsi="宋体" w:eastAsia="宋体" w:cs="宋体"/>
          <w:color w:val="auto"/>
          <w:sz w:val="24"/>
          <w:szCs w:val="24"/>
          <w:highlight w:val="none"/>
        </w:rPr>
        <w:t>安全资质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营业执照和资质证书、法人资格证书或其委托代理人证书符合要求，其经营范围应与招标项目涉及的业务相符；具有与招标项目相符合的安全生产许可证或经营许可证；有近3年安全生产记录良好的证明材料；无“承包商黑名单”或“不良行为供应商”记录。</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人员安全资质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必须具有与招标项目涉及业务相适应的管理人员、特种作业人员、特种设备操作人员。项目实施期间，项目负责人、安全管理人员应依据相关规定持有效的安全合格证上岗；特种作业人员、特种设备操作人员应持有效的操作证上岗。</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安全管理体系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投标方必须有健全的安全生产保证体系、监督体系。项目实施前，应建立与承包项目相适应的安全组织体系，依法依规配置满足安全生产需要的安全管理人员及其他人员。</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安全规章制度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投标方必须有健全的制度体系。项目实施前，针对承包的项目制定有齐全的、切实有效的安全生产责任制、安全生产规章制度和操作规程，并严格执行。</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应急管理体系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投标方必须有健全的应急管理体系。项目实施前，建立与承包项目相适应的应急组织人员、应急预案（或现场处置方案）。</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安全费用投入</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投标方应按照相关规定明确安全费用投入名目及额度。在项目实施前编制安全生产费用提取和使用计划，保证项目实施期间安全生产费用足额投入使用。</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设施装备安全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投标方具有与招标项目所涉及业务相适应的机具、装备、设施。项目实施中，所使用的</w:t>
      </w:r>
      <w:r>
        <w:rPr>
          <w:rFonts w:hint="eastAsia" w:ascii="宋体" w:hAnsi="宋体" w:eastAsia="宋体" w:cs="宋体"/>
          <w:sz w:val="24"/>
          <w:szCs w:val="24"/>
          <w:highlight w:val="none"/>
        </w:rPr>
        <w:t>锅炉四管防磨防爆检查</w:t>
      </w:r>
      <w:r>
        <w:rPr>
          <w:rFonts w:hint="eastAsia" w:ascii="宋体" w:hAnsi="宋体" w:eastAsia="宋体" w:cs="宋体"/>
          <w:color w:val="auto"/>
          <w:sz w:val="24"/>
          <w:szCs w:val="24"/>
          <w:highlight w:val="none"/>
          <w:lang w:val="en-US" w:eastAsia="zh-CN"/>
        </w:rPr>
        <w:t>设备</w:t>
      </w:r>
      <w:r>
        <w:rPr>
          <w:rFonts w:hint="eastAsia" w:ascii="宋体" w:hAnsi="宋体" w:eastAsia="宋体" w:cs="宋体"/>
          <w:color w:val="auto"/>
          <w:sz w:val="24"/>
          <w:szCs w:val="24"/>
          <w:highlight w:val="none"/>
        </w:rPr>
        <w:t>、安全工器具等应有有效的安全检验合格证（或标志）。安全防护设施符合安全要求，满足安全生产需要。</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禁用工艺设备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投标方在项目实施中，禁止采用国家明文淘汰的严重危及生产安全的工艺、设备。禁止使用报废的或有明显缺陷的施工装备、设施和工具。</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工程分包约束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投标方不得转包、违法分包、托管或者代管承包项目，不得将承包项目的主要工作再次分包。</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安全管理协议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投标方在项目开工前必须与招标方签订安全生产管理协议，如有与其他外包单位在同一作业区域内进行作业，并可能危及对方生产安全的，必须与其签订交叉作业安全管理协议。</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人员安全培训</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投标方依法对项目作业人员进行合格的安全生产教育和培训。招标方有权对项目作业人员安全教育情况进行抽查考试，考试不合格人员不得进入项目现场。</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技术方案措施</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应针对项目实际和特点，编制项目组织策划方案，项目中涉及重要临时设施、重要施工工序、特殊作业、季节性施工、危险性较大分部分项工程和超过一定规模危险性较大分部分项工程，还必须单独编制安全专项施工方案，明确各项安全技术措施，经招标方审核批准后实施。</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安全</w:t>
      </w:r>
      <w:r>
        <w:rPr>
          <w:rFonts w:hint="eastAsia" w:ascii="宋体" w:hAnsi="宋体" w:eastAsia="宋体" w:cs="宋体"/>
          <w:color w:val="auto"/>
          <w:sz w:val="24"/>
          <w:szCs w:val="24"/>
          <w:highlight w:val="none"/>
        </w:rPr>
        <w:t>技术交底</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在项目开工前，除接受招标方项目负责人对投标方项目负责人、技术负责人、安全管理负责人的安全技术交底外，投标方应按有关规定对所有作业人员进行安全技术交底，告知每位人员可能存在的风险及预防措施等。</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现场</w:t>
      </w:r>
      <w:r>
        <w:rPr>
          <w:rFonts w:hint="eastAsia" w:ascii="宋体" w:hAnsi="宋体" w:eastAsia="宋体" w:cs="宋体"/>
          <w:color w:val="auto"/>
          <w:sz w:val="24"/>
          <w:szCs w:val="24"/>
          <w:highlight w:val="none"/>
        </w:rPr>
        <w:t>监督管理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在项目实施中，应遵守招标方各项安全生产规程和制度，并接受招标方管理人员的监督、检查和考核。投标方安全管理人员应对安全生产状况进行经常性检查，及时制止违章，排查和消除隐患。投标方在进行吊装、高空作业等危险作业时，应安排专门人员进行现场安全管理，确保操作规程的遵守和安全措施的落实。</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事故</w:t>
      </w:r>
      <w:r>
        <w:rPr>
          <w:rFonts w:hint="eastAsia" w:ascii="宋体" w:hAnsi="宋体" w:eastAsia="宋体" w:cs="宋体"/>
          <w:color w:val="auto"/>
          <w:sz w:val="24"/>
          <w:szCs w:val="24"/>
          <w:highlight w:val="none"/>
        </w:rPr>
        <w:t>应急处置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由于投标方人员违反有关安全工作规程、规定，造成人员伤亡和设备设施损坏事故，投标方应及时报告招标方，并做好事故应急处置和善后工作，按事故调查结果，投标方承担相应的事故责任。</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安全考核惩处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因投标方责任发生事故、事件、违章行为及其他管理不力情况，将按照招标方《外包工程（项目）安全管理标准》及相应合同条款对投标方进行考核，或清退违章人员，甚至约谈项目负责人，通报其上级单位，并可要求更换承包单位项目负责人。</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安全</w:t>
      </w:r>
      <w:r>
        <w:rPr>
          <w:rFonts w:hint="eastAsia" w:ascii="宋体" w:hAnsi="宋体" w:eastAsia="宋体" w:cs="宋体"/>
          <w:color w:val="auto"/>
          <w:sz w:val="24"/>
          <w:szCs w:val="24"/>
          <w:highlight w:val="none"/>
        </w:rPr>
        <w:t>绩效考评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项目实施过程中，招标方通过外包单位安全绩效管理平台记录投标方安全生产管理状况，每年对长期外委项目进行安全绩效考评。</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强调执行的安规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投标方在项目实施过程中应严格遵守最新标准</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《电业安全工作规程(第1部分：热力和机械)》（GB 26164.1）</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《电力安全工作规程（发电厂和变电站电气部分）》（GB 26860）</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《电力建设安全工作规程（第1部分：火力发电厂）》（DL 5009.1）</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《电力设备典型消防规程》（DL 5027）。</w:t>
      </w:r>
    </w:p>
    <w:p>
      <w:pPr>
        <w:pStyle w:val="17"/>
        <w:numPr>
          <w:ilvl w:val="1"/>
          <w:numId w:val="3"/>
        </w:numPr>
        <w:spacing w:line="360" w:lineRule="auto"/>
        <w:ind w:left="1065" w:leftChars="0" w:hanging="1065" w:firstLineChars="0"/>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职业健康</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职业健康组织体系</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投标方应有职业健康组织机构、职业健康管理责任人和职业健康岗位职责。项目实施过程，应按规定配置职业健康管理人员，负责具体的职业危害防护工作。</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职业健康政策法规</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投标方应严格遵守《中华人民共和国职业病防治法》及相配套的法律法规、凤电职业健康管理标准；投标方应根据施工特点制定相应的职业健康管理制度、岗位职业卫生操作规程等； </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highlight w:val="none"/>
        </w:rPr>
        <w:t>作业</w:t>
      </w:r>
      <w:r>
        <w:rPr>
          <w:rFonts w:hint="eastAsia" w:ascii="宋体" w:hAnsi="宋体" w:eastAsia="宋体" w:cs="宋体"/>
          <w:color w:val="000000" w:themeColor="text1"/>
          <w:sz w:val="24"/>
          <w:szCs w:val="24"/>
          <w:highlight w:val="none"/>
          <w14:textFill>
            <w14:solidFill>
              <w14:schemeClr w14:val="tx1"/>
            </w14:solidFill>
          </w14:textFill>
        </w:rPr>
        <w:t>项目禁止转移</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投标方不得将产生职业危害的作业项目转移给其他不具备职业危害防护条件的单位和个人。</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职业危害因素识别</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投标方在项目开工前，做好职业病危害因素识别，并在安全技术交底的同时，告知职业病危害因素；投标方应做好职业健康劳动保护的培训教育工作。</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职业卫生防护措施</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投标方在项目实施期间，应做好职业卫生防护措施，按规定发放劳动防护用品；合理安排工作，尽可能减少员工接触职业病危害因素的时间与强度。</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highlight w:val="none"/>
        </w:rPr>
        <w:t>职业</w:t>
      </w:r>
      <w:r>
        <w:rPr>
          <w:rFonts w:hint="eastAsia" w:ascii="宋体" w:hAnsi="宋体" w:eastAsia="宋体" w:cs="宋体"/>
          <w:color w:val="000000" w:themeColor="text1"/>
          <w:sz w:val="24"/>
          <w:szCs w:val="24"/>
          <w:highlight w:val="none"/>
          <w14:textFill>
            <w14:solidFill>
              <w14:schemeClr w14:val="tx1"/>
            </w14:solidFill>
          </w14:textFill>
        </w:rPr>
        <w:t>健康检查要求</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投标方对从事接触职业病危害的作业人员，应当按照职业病防治法的规定组织上岗前、在岗期间和离岗时的职业健康检查，费用由投标方承担。</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highlight w:val="none"/>
        </w:rPr>
        <w:t>职业</w:t>
      </w:r>
      <w:r>
        <w:rPr>
          <w:rFonts w:hint="eastAsia" w:ascii="宋体" w:hAnsi="宋体" w:eastAsia="宋体" w:cs="宋体"/>
          <w:color w:val="000000" w:themeColor="text1"/>
          <w:sz w:val="24"/>
          <w:szCs w:val="24"/>
          <w:highlight w:val="none"/>
          <w14:textFill>
            <w14:solidFill>
              <w14:schemeClr w14:val="tx1"/>
            </w14:solidFill>
          </w14:textFill>
        </w:rPr>
        <w:t>禁忌合理处理</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方不得安排未经上岗前职业健康检查的从业人员从事接触职业危害的作业；不得安排有职业禁忌的从业人员从事其所禁忌的作业；对在职业健康检查中发现有与所从事职业相关的健康损害的从业人员，应当调离原工作岗位，并妥善安置；对未进行离岗前职业健康检查的从业人员，不得解除或者终止与其订立的劳动合同。</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职业健康档案要求</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投标方应当为接触职业危害的从业人员建立职业健康监护档案，并按规定期限妥善保存。</w:t>
      </w:r>
    </w:p>
    <w:p>
      <w:pPr>
        <w:pStyle w:val="17"/>
        <w:numPr>
          <w:ilvl w:val="1"/>
          <w:numId w:val="3"/>
        </w:numPr>
        <w:spacing w:line="360" w:lineRule="auto"/>
        <w:ind w:left="1065" w:leftChars="0" w:hanging="1065" w:firstLineChars="0"/>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文明生产管理</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文明生产前期策划</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投标方在编制项目组织策划、施工方案、作业指导书等技术方案时，必须同时做好文明生产策划工作，明确文明生产管控措施、定置管理方案，并内嵌到作业程序中。</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现场区域</w:t>
      </w:r>
      <w:r>
        <w:rPr>
          <w:rFonts w:hint="eastAsia" w:ascii="宋体" w:hAnsi="宋体" w:eastAsia="宋体" w:cs="宋体"/>
          <w:color w:val="000000" w:themeColor="text1"/>
          <w:sz w:val="24"/>
          <w:szCs w:val="24"/>
          <w:highlight w:val="none"/>
          <w:lang w:val="en-US" w:eastAsia="zh-CN"/>
          <w14:textFill>
            <w14:solidFill>
              <w14:schemeClr w14:val="tx1"/>
            </w14:solidFill>
          </w14:textFill>
        </w:rPr>
        <w:t>封闭</w:t>
      </w:r>
      <w:r>
        <w:rPr>
          <w:rFonts w:hint="eastAsia" w:ascii="宋体" w:hAnsi="宋体" w:eastAsia="宋体" w:cs="宋体"/>
          <w:color w:val="000000" w:themeColor="text1"/>
          <w:sz w:val="24"/>
          <w:szCs w:val="24"/>
          <w:highlight w:val="none"/>
          <w14:textFill>
            <w14:solidFill>
              <w14:schemeClr w14:val="tx1"/>
            </w14:solidFill>
          </w14:textFill>
        </w:rPr>
        <w:t>管理</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投标方在项目实施期间对现场应实行</w:t>
      </w:r>
      <w:r>
        <w:rPr>
          <w:rFonts w:hint="eastAsia" w:ascii="宋体" w:hAnsi="宋体" w:eastAsia="宋体" w:cs="宋体"/>
          <w:color w:val="000000" w:themeColor="text1"/>
          <w:sz w:val="24"/>
          <w:szCs w:val="24"/>
          <w:highlight w:val="none"/>
          <w:lang w:val="en-US" w:eastAsia="zh-CN"/>
          <w14:textFill>
            <w14:solidFill>
              <w14:schemeClr w14:val="tx1"/>
            </w14:solidFill>
          </w14:textFill>
        </w:rPr>
        <w:t>封闭管理和</w:t>
      </w:r>
      <w:r>
        <w:rPr>
          <w:rFonts w:hint="eastAsia" w:ascii="宋体" w:hAnsi="宋体" w:eastAsia="宋体" w:cs="宋体"/>
          <w:color w:val="000000" w:themeColor="text1"/>
          <w:sz w:val="24"/>
          <w:szCs w:val="24"/>
          <w:highlight w:val="none"/>
          <w14:textFill>
            <w14:solidFill>
              <w14:schemeClr w14:val="tx1"/>
            </w14:solidFill>
          </w14:textFill>
        </w:rPr>
        <w:t>定置管理，</w:t>
      </w:r>
      <w:r>
        <w:rPr>
          <w:rFonts w:hint="eastAsia" w:ascii="宋体" w:hAnsi="宋体" w:eastAsia="宋体" w:cs="宋体"/>
          <w:color w:val="000000" w:themeColor="text1"/>
          <w:sz w:val="24"/>
          <w:szCs w:val="24"/>
          <w:highlight w:val="none"/>
          <w:lang w:val="en-US" w:eastAsia="zh-CN"/>
          <w14:textFill>
            <w14:solidFill>
              <w14:schemeClr w14:val="tx1"/>
            </w14:solidFill>
          </w14:textFill>
        </w:rPr>
        <w:t>现场</w:t>
      </w:r>
      <w:r>
        <w:rPr>
          <w:rFonts w:hint="eastAsia" w:ascii="宋体" w:hAnsi="宋体" w:eastAsia="宋体" w:cs="宋体"/>
          <w:color w:val="000000" w:themeColor="text1"/>
          <w:sz w:val="24"/>
          <w:szCs w:val="24"/>
          <w:highlight w:val="none"/>
          <w14:textFill>
            <w14:solidFill>
              <w14:schemeClr w14:val="tx1"/>
            </w14:solidFill>
          </w14:textFill>
        </w:rPr>
        <w:t>按办公区、检修区（或施工区）、待检区（或加工区）、工具区、材料区、废料区</w:t>
      </w:r>
      <w:r>
        <w:rPr>
          <w:rFonts w:hint="eastAsia" w:ascii="宋体" w:hAnsi="宋体" w:eastAsia="宋体" w:cs="宋体"/>
          <w:color w:val="000000" w:themeColor="text1"/>
          <w:sz w:val="24"/>
          <w:szCs w:val="24"/>
          <w:highlight w:val="none"/>
          <w:lang w:val="en-US" w:eastAsia="zh-CN"/>
          <w14:textFill>
            <w14:solidFill>
              <w14:schemeClr w14:val="tx1"/>
            </w14:solidFill>
          </w14:textFill>
        </w:rPr>
        <w:t>等划分</w:t>
      </w:r>
      <w:r>
        <w:rPr>
          <w:rFonts w:hint="eastAsia" w:ascii="宋体" w:hAnsi="宋体" w:eastAsia="宋体" w:cs="宋体"/>
          <w:color w:val="000000" w:themeColor="text1"/>
          <w:sz w:val="24"/>
          <w:szCs w:val="24"/>
          <w:highlight w:val="none"/>
          <w14:textFill>
            <w14:solidFill>
              <w14:schemeClr w14:val="tx1"/>
            </w14:solidFill>
          </w14:textFill>
        </w:rPr>
        <w:t>，区间界线清楚；作业现场设置</w:t>
      </w:r>
      <w:r>
        <w:rPr>
          <w:rFonts w:hint="eastAsia" w:ascii="宋体" w:hAnsi="宋体" w:eastAsia="宋体" w:cs="宋体"/>
          <w:color w:val="000000" w:themeColor="text1"/>
          <w:sz w:val="24"/>
          <w:szCs w:val="24"/>
          <w:highlight w:val="none"/>
          <w:lang w:val="en-US" w:eastAsia="zh-CN"/>
          <w14:textFill>
            <w14:solidFill>
              <w14:schemeClr w14:val="tx1"/>
            </w14:solidFill>
          </w14:textFill>
        </w:rPr>
        <w:t>封闭</w:t>
      </w:r>
      <w:r>
        <w:rPr>
          <w:rFonts w:hint="eastAsia" w:ascii="宋体" w:hAnsi="宋体" w:eastAsia="宋体" w:cs="宋体"/>
          <w:color w:val="000000" w:themeColor="text1"/>
          <w:sz w:val="24"/>
          <w:szCs w:val="24"/>
          <w:highlight w:val="none"/>
          <w14:textFill>
            <w14:solidFill>
              <w14:schemeClr w14:val="tx1"/>
            </w14:solidFill>
          </w14:textFill>
        </w:rPr>
        <w:t>围栏和作业信息牌</w:t>
      </w:r>
      <w:r>
        <w:rPr>
          <w:rFonts w:hint="eastAsia" w:ascii="宋体" w:hAnsi="宋体" w:eastAsia="宋体" w:cs="宋体"/>
          <w:color w:val="000000" w:themeColor="text1"/>
          <w:sz w:val="24"/>
          <w:szCs w:val="24"/>
          <w:highlight w:val="none"/>
          <w:lang w:val="en-US" w:eastAsia="zh-CN"/>
          <w14:textFill>
            <w14:solidFill>
              <w14:schemeClr w14:val="tx1"/>
            </w14:solidFill>
          </w14:textFill>
        </w:rPr>
        <w:t>及其他图牌</w:t>
      </w:r>
      <w:r>
        <w:rPr>
          <w:rFonts w:hint="eastAsia" w:ascii="宋体" w:hAnsi="宋体" w:eastAsia="宋体" w:cs="宋体"/>
          <w:color w:val="000000" w:themeColor="text1"/>
          <w:sz w:val="24"/>
          <w:szCs w:val="24"/>
          <w:highlight w:val="none"/>
          <w14:textFill>
            <w14:solidFill>
              <w14:schemeClr w14:val="tx1"/>
            </w14:solidFill>
          </w14:textFill>
        </w:rPr>
        <w:t>，并设置必要的安全警示标识等 。</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文明生产过程要求</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项目实施过程中，现场文明生产达到如下要求：</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作业现场通道畅通</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临时围栏规范整齐、完整牢固，所有井、坑、孔、洞必须整齐完好，盖板齐全；塔、罐、厂房等高处平台，过道、通道不准堆放设备、材料等任何物品。</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作业现场做到“三无”（无油迹、无积水、无积灰）、“三齐”（拆下的零部件排放整齐、检修机具摆放整齐、材料备件堆放整齐）、“三不乱”（电线不乱拉、管件不乱放、杂物不乱丢）、“三不落地”（工器具与量具不落地、设备零部件不落地、油污不落地）。每天收工前应清扫场地，做到工完料净场地清。</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不准随意损坏花、草、树木及厂区道路；因工作需要在绿化区施工，必须提前报相关部门批准，作业过程要将树木、花草、草坪、绿篱加以保护，作业完结后恢复原状。</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文明生产考核措施</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对投标方文明生产管控不力情况，招标方将按照本单位《外包工程（项目）安全管理标准》及相应合同条款对投标方进行考核。</w:t>
      </w:r>
    </w:p>
    <w:p>
      <w:pPr>
        <w:pStyle w:val="17"/>
        <w:numPr>
          <w:ilvl w:val="1"/>
          <w:numId w:val="3"/>
        </w:numPr>
        <w:spacing w:line="360" w:lineRule="auto"/>
        <w:ind w:left="1065" w:leftChars="0" w:hanging="1065" w:firstLineChars="0"/>
        <w:outlineLvl w:val="0"/>
        <w:rPr>
          <w:rFonts w:hint="eastAsia" w:ascii="宋体" w:hAnsi="宋体" w:eastAsia="宋体" w:cs="宋体"/>
          <w:color w:val="auto"/>
          <w:sz w:val="24"/>
          <w:szCs w:val="24"/>
          <w:highlight w:val="none"/>
          <w:lang w:val="en-US" w:eastAsia="zh-CN"/>
        </w:rPr>
      </w:pPr>
      <w:r>
        <w:rPr>
          <w:rFonts w:hint="eastAsia" w:ascii="宋体" w:hAnsi="宋体" w:eastAsia="宋体" w:cs="宋体"/>
          <w:sz w:val="24"/>
          <w:szCs w:val="24"/>
          <w:highlight w:val="none"/>
          <w:lang w:val="en-US" w:eastAsia="zh-CN"/>
        </w:rPr>
        <w:t>环保</w:t>
      </w:r>
      <w:r>
        <w:rPr>
          <w:rFonts w:hint="eastAsia" w:ascii="宋体" w:hAnsi="宋体" w:eastAsia="宋体" w:cs="宋体"/>
          <w:color w:val="auto"/>
          <w:sz w:val="24"/>
          <w:szCs w:val="24"/>
          <w:highlight w:val="none"/>
          <w:lang w:val="en-US" w:eastAsia="zh-CN"/>
        </w:rPr>
        <w:t>管理</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环保法规政策</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投标方必须严格遵守国家有关环境保护法律、行政法规、国家标准和行业标准，并采取必要措施，强化环保管理，保证承包项目实施过程中，不出现污染环境的情况。</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散装物管控要求</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投标方在项目实施过程中产生的灰、渣等散装物应全部袋装，并与零星土建工程产生的建筑垃圾集中存放到指定地点。</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废弃物管控要求</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投标方在项目实施过程中过程中产生（或泄漏）的灰、渣等废弃物，不得冲入雨水系统，不得扫入地下沟道，应收集后统一送到指定地点。废弃物按招标方《废品废弃物资管理标准》进行处置。</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环保事故处置</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项目实施过程中，发生投标方责任的环保事故，投标方及时向招标方报告，并做好应急处置工作，按照环保部门的调查和责任认定，投标方承担事故责任，并负责事故的处理及上报工作。</w:t>
      </w:r>
    </w:p>
    <w:p>
      <w:pPr>
        <w:pStyle w:val="17"/>
        <w:numPr>
          <w:ilvl w:val="2"/>
          <w:numId w:val="3"/>
        </w:numPr>
        <w:spacing w:line="360" w:lineRule="auto"/>
        <w:ind w:left="1065" w:leftChars="0" w:hanging="1065" w:firstLineChars="0"/>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环保考核措施</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因投标方责任发生违反环保规定行为及环保管理不力情况，按照招标方《外包工程（项目）安全管理标准》</w:t>
      </w:r>
      <w:r>
        <w:rPr>
          <w:rFonts w:hint="eastAsia" w:ascii="宋体" w:hAnsi="宋体" w:eastAsia="宋体" w:cs="宋体"/>
          <w:color w:val="000000" w:themeColor="text1"/>
          <w:sz w:val="24"/>
          <w:szCs w:val="24"/>
          <w:highlight w:val="none"/>
          <w:lang w:val="en-US" w:eastAsia="zh-CN"/>
          <w14:textFill>
            <w14:solidFill>
              <w14:schemeClr w14:val="tx1"/>
            </w14:solidFill>
          </w14:textFill>
        </w:rPr>
        <w:t>及</w:t>
      </w:r>
      <w:r>
        <w:rPr>
          <w:rFonts w:hint="eastAsia" w:ascii="宋体" w:hAnsi="宋体" w:eastAsia="宋体" w:cs="宋体"/>
          <w:color w:val="000000" w:themeColor="text1"/>
          <w:sz w:val="24"/>
          <w:szCs w:val="24"/>
          <w:highlight w:val="none"/>
          <w14:textFill>
            <w14:solidFill>
              <w14:schemeClr w14:val="tx1"/>
            </w14:solidFill>
          </w14:textFill>
        </w:rPr>
        <w:t>相应合同条款对投标方进行考核，或清退违章人员，甚至约谈项目负责人，通报其上级单位，并可要求更换承包单位项目负责人。</w:t>
      </w:r>
    </w:p>
    <w:p>
      <w:pPr>
        <w:pStyle w:val="17"/>
        <w:numPr>
          <w:ilvl w:val="1"/>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考核</w:t>
      </w:r>
    </w:p>
    <w:p>
      <w:pPr>
        <w:pStyle w:val="17"/>
        <w:numPr>
          <w:ilvl w:val="2"/>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sz w:val="24"/>
          <w:highlight w:val="none"/>
        </w:rPr>
        <w:t>质保期</w:t>
      </w:r>
      <w:r>
        <w:rPr>
          <w:rFonts w:hint="eastAsia" w:ascii="宋体" w:hAnsi="宋体" w:eastAsia="宋体"/>
          <w:sz w:val="24"/>
          <w:highlight w:val="none"/>
          <w:lang w:val="en-US" w:eastAsia="zh-CN"/>
        </w:rPr>
        <w:t>1年</w:t>
      </w:r>
      <w:r>
        <w:rPr>
          <w:rFonts w:hint="eastAsia" w:ascii="宋体" w:hAnsi="宋体" w:eastAsia="宋体"/>
          <w:sz w:val="24"/>
          <w:highlight w:val="none"/>
        </w:rPr>
        <w:t>，</w:t>
      </w:r>
      <w:r>
        <w:rPr>
          <w:rFonts w:hint="eastAsia" w:ascii="宋体" w:hAnsi="宋体" w:eastAsia="宋体"/>
          <w:sz w:val="24"/>
          <w:highlight w:val="none"/>
          <w:lang w:val="en-US" w:eastAsia="zh-CN"/>
        </w:rPr>
        <w:t>1年内不能因</w:t>
      </w:r>
      <w:r>
        <w:rPr>
          <w:rFonts w:hint="eastAsia" w:ascii="宋体" w:hAnsi="宋体" w:eastAsia="宋体"/>
          <w:sz w:val="24"/>
          <w:highlight w:val="none"/>
        </w:rPr>
        <w:t>防磨防爆漏检而发生锅炉受热面受检部件泄漏现象。</w:t>
      </w:r>
    </w:p>
    <w:p>
      <w:pPr>
        <w:pStyle w:val="17"/>
        <w:numPr>
          <w:ilvl w:val="2"/>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sz w:val="24"/>
          <w:highlight w:val="none"/>
          <w:lang w:val="en-US" w:eastAsia="zh-CN"/>
        </w:rPr>
        <w:t>因</w:t>
      </w:r>
      <w:r>
        <w:rPr>
          <w:rFonts w:hint="eastAsia" w:ascii="宋体" w:hAnsi="宋体" w:eastAsia="宋体"/>
          <w:sz w:val="24"/>
          <w:highlight w:val="none"/>
        </w:rPr>
        <w:t>管材</w:t>
      </w:r>
      <w:r>
        <w:rPr>
          <w:rFonts w:hint="eastAsia" w:ascii="宋体" w:hAnsi="宋体" w:eastAsia="宋体"/>
          <w:sz w:val="24"/>
          <w:highlight w:val="none"/>
          <w:lang w:val="en-US" w:eastAsia="zh-CN"/>
        </w:rPr>
        <w:t>本身质量</w:t>
      </w:r>
      <w:r>
        <w:rPr>
          <w:rFonts w:hint="eastAsia" w:ascii="宋体" w:hAnsi="宋体" w:eastAsia="宋体"/>
          <w:sz w:val="24"/>
          <w:highlight w:val="none"/>
        </w:rPr>
        <w:t>、管子内部缺陷、</w:t>
      </w:r>
      <w:r>
        <w:rPr>
          <w:rFonts w:hint="eastAsia" w:ascii="宋体" w:hAnsi="宋体" w:eastAsia="宋体"/>
          <w:sz w:val="24"/>
          <w:highlight w:val="none"/>
          <w:lang w:val="en-US" w:eastAsia="zh-CN"/>
        </w:rPr>
        <w:t>异物堵塞造成的堵塞</w:t>
      </w:r>
      <w:r>
        <w:rPr>
          <w:rFonts w:hint="eastAsia" w:ascii="宋体" w:hAnsi="宋体" w:eastAsia="宋体"/>
          <w:sz w:val="24"/>
          <w:highlight w:val="none"/>
        </w:rPr>
        <w:t>超温</w:t>
      </w:r>
      <w:r>
        <w:rPr>
          <w:rFonts w:hint="eastAsia" w:ascii="宋体" w:hAnsi="宋体" w:eastAsia="宋体"/>
          <w:sz w:val="24"/>
          <w:highlight w:val="none"/>
          <w:lang w:val="en-US" w:eastAsia="zh-CN"/>
        </w:rPr>
        <w:t>等</w:t>
      </w:r>
      <w:r>
        <w:rPr>
          <w:rFonts w:hint="eastAsia" w:ascii="宋体" w:hAnsi="宋体" w:eastAsia="宋体"/>
          <w:sz w:val="24"/>
          <w:highlight w:val="none"/>
        </w:rPr>
        <w:t>，由此而造成的泄漏不包含在以上质保所要求范围内</w:t>
      </w:r>
      <w:r>
        <w:rPr>
          <w:rFonts w:hint="eastAsia" w:ascii="宋体" w:hAnsi="宋体" w:eastAsia="宋体" w:cs="宋体"/>
          <w:sz w:val="24"/>
          <w:szCs w:val="24"/>
          <w:highlight w:val="none"/>
        </w:rPr>
        <w:t>。</w:t>
      </w:r>
    </w:p>
    <w:p>
      <w:pPr>
        <w:pStyle w:val="17"/>
        <w:numPr>
          <w:ilvl w:val="2"/>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招标</w:t>
      </w:r>
      <w:r>
        <w:rPr>
          <w:rFonts w:hint="eastAsia" w:ascii="宋体" w:hAnsi="宋体" w:eastAsia="宋体" w:cs="宋体"/>
          <w:sz w:val="24"/>
          <w:szCs w:val="24"/>
          <w:highlight w:val="none"/>
          <w:lang w:val="en-US" w:eastAsia="zh-CN"/>
        </w:rPr>
        <w:t>方验收时，发现投标方未能发现的明显缺陷，进行考核，1000元/处；较大缺陷2000元/处。</w:t>
      </w:r>
    </w:p>
    <w:p>
      <w:pPr>
        <w:pStyle w:val="17"/>
        <w:numPr>
          <w:ilvl w:val="2"/>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如果</w:t>
      </w:r>
      <w:r>
        <w:rPr>
          <w:rFonts w:hint="eastAsia" w:ascii="宋体" w:hAnsi="宋体" w:eastAsia="宋体" w:cs="宋体"/>
          <w:sz w:val="24"/>
          <w:szCs w:val="24"/>
          <w:highlight w:val="none"/>
          <w:lang w:val="en-US" w:eastAsia="zh-CN"/>
        </w:rPr>
        <w:t>因投标方原因造成未能按照工期完成，或重大缺陷未能及时发现导致启机延误的，10000元/天。</w:t>
      </w:r>
    </w:p>
    <w:p>
      <w:pPr>
        <w:pStyle w:val="17"/>
        <w:numPr>
          <w:ilvl w:val="2"/>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防磨防爆工作结束45天内提供正式报告，如未能提供，扣1000元。</w:t>
      </w:r>
    </w:p>
    <w:p>
      <w:pPr>
        <w:pStyle w:val="17"/>
        <w:numPr>
          <w:ilvl w:val="2"/>
          <w:numId w:val="3"/>
        </w:numPr>
        <w:spacing w:line="360" w:lineRule="auto"/>
        <w:ind w:left="1065" w:leftChars="0" w:hanging="1065" w:firstLineChars="0"/>
        <w:outlineLvl w:val="0"/>
        <w:rPr>
          <w:rFonts w:hint="eastAsia" w:ascii="宋体" w:hAnsi="宋体" w:eastAsia="宋体" w:cs="宋体"/>
          <w:sz w:val="24"/>
          <w:szCs w:val="24"/>
          <w:highlight w:val="none"/>
        </w:rPr>
      </w:pPr>
      <w:r>
        <w:rPr>
          <w:rFonts w:hint="eastAsia" w:ascii="宋体" w:hAnsi="宋体" w:eastAsia="宋体" w:cs="宋体"/>
          <w:sz w:val="24"/>
          <w:szCs w:val="24"/>
          <w:highlight w:val="none"/>
        </w:rPr>
        <w:t>投标方违反</w:t>
      </w:r>
      <w:r>
        <w:rPr>
          <w:rFonts w:hint="eastAsia" w:ascii="宋体" w:hAnsi="宋体" w:eastAsia="宋体" w:cs="宋体"/>
          <w:sz w:val="24"/>
          <w:szCs w:val="24"/>
          <w:highlight w:val="none"/>
          <w:lang w:val="en-US" w:eastAsia="zh-CN"/>
        </w:rPr>
        <w:t>凤台电厂其他</w:t>
      </w:r>
      <w:r>
        <w:rPr>
          <w:rFonts w:hint="eastAsia" w:ascii="宋体" w:hAnsi="宋体" w:eastAsia="宋体" w:cs="宋体"/>
          <w:sz w:val="24"/>
          <w:szCs w:val="24"/>
          <w:highlight w:val="none"/>
        </w:rPr>
        <w:t>相关规定</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rPr>
        <w:t>将按照凤电《外包工程安全管理标准》Q/HZFD 2116-2018及其他考核管理制度进行考核，其中：</w:t>
      </w:r>
    </w:p>
    <w:tbl>
      <w:tblPr>
        <w:tblStyle w:val="13"/>
        <w:tblW w:w="82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4536"/>
        <w:gridCol w:w="297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blHeader/>
          <w:jc w:val="center"/>
        </w:trPr>
        <w:tc>
          <w:tcPr>
            <w:tcW w:w="709" w:type="dxa"/>
          </w:tcPr>
          <w:p>
            <w:pPr>
              <w:spacing w:line="280" w:lineRule="exact"/>
              <w:jc w:val="center"/>
              <w:rPr>
                <w:rFonts w:ascii="宋体" w:hAnsi="宋体" w:eastAsia="宋体" w:cs="宋体"/>
                <w:b/>
                <w:color w:val="000000"/>
                <w:sz w:val="18"/>
                <w:szCs w:val="18"/>
                <w:highlight w:val="none"/>
              </w:rPr>
            </w:pPr>
            <w:r>
              <w:rPr>
                <w:rFonts w:hint="eastAsia" w:ascii="宋体" w:hAnsi="宋体" w:eastAsia="宋体" w:cs="宋体"/>
                <w:b/>
                <w:color w:val="000000"/>
                <w:sz w:val="18"/>
                <w:szCs w:val="18"/>
                <w:highlight w:val="none"/>
              </w:rPr>
              <w:t>序号</w:t>
            </w:r>
          </w:p>
        </w:tc>
        <w:tc>
          <w:tcPr>
            <w:tcW w:w="4536" w:type="dxa"/>
          </w:tcPr>
          <w:p>
            <w:pPr>
              <w:spacing w:line="280" w:lineRule="exact"/>
              <w:jc w:val="center"/>
              <w:rPr>
                <w:rFonts w:ascii="宋体" w:hAnsi="宋体" w:eastAsia="宋体" w:cs="宋体"/>
                <w:b/>
                <w:color w:val="000000"/>
                <w:sz w:val="18"/>
                <w:szCs w:val="18"/>
                <w:highlight w:val="none"/>
              </w:rPr>
            </w:pPr>
            <w:r>
              <w:rPr>
                <w:rFonts w:hint="eastAsia" w:ascii="宋体" w:hAnsi="宋体" w:eastAsia="宋体" w:cs="宋体"/>
                <w:b/>
                <w:color w:val="000000"/>
                <w:sz w:val="18"/>
                <w:szCs w:val="18"/>
                <w:highlight w:val="none"/>
              </w:rPr>
              <w:t>考核内容</w:t>
            </w:r>
          </w:p>
        </w:tc>
        <w:tc>
          <w:tcPr>
            <w:tcW w:w="2977" w:type="dxa"/>
          </w:tcPr>
          <w:p>
            <w:pPr>
              <w:spacing w:line="280" w:lineRule="exact"/>
              <w:jc w:val="center"/>
              <w:rPr>
                <w:rFonts w:ascii="宋体" w:hAnsi="宋体" w:eastAsia="宋体" w:cs="宋体"/>
                <w:b/>
                <w:color w:val="000000"/>
                <w:sz w:val="18"/>
                <w:szCs w:val="18"/>
                <w:highlight w:val="none"/>
              </w:rPr>
            </w:pPr>
            <w:r>
              <w:rPr>
                <w:rFonts w:hint="eastAsia" w:ascii="宋体" w:hAnsi="宋体" w:eastAsia="宋体" w:cs="宋体"/>
                <w:b/>
                <w:color w:val="000000"/>
                <w:sz w:val="18"/>
                <w:szCs w:val="18"/>
                <w:highlight w:val="none"/>
              </w:rPr>
              <w:t>考核扣罚金额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9" w:type="dxa"/>
            <w:vAlign w:val="center"/>
          </w:tcPr>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1</w:t>
            </w:r>
          </w:p>
        </w:tc>
        <w:tc>
          <w:tcPr>
            <w:tcW w:w="4536" w:type="dxa"/>
            <w:vAlign w:val="center"/>
          </w:tcPr>
          <w:p>
            <w:pPr>
              <w:spacing w:line="280" w:lineRule="exac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发生人身轻伤事故</w:t>
            </w:r>
          </w:p>
        </w:tc>
        <w:tc>
          <w:tcPr>
            <w:tcW w:w="2977" w:type="dxa"/>
            <w:vAlign w:val="center"/>
          </w:tcPr>
          <w:p>
            <w:pPr>
              <w:spacing w:line="280" w:lineRule="exac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3000～10000元/轻伤人次；</w:t>
            </w:r>
          </w:p>
          <w:p>
            <w:pPr>
              <w:spacing w:line="280" w:lineRule="exac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10000元/轻伤人次（群伤）</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9" w:type="dxa"/>
            <w:vAlign w:val="center"/>
          </w:tcPr>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2</w:t>
            </w:r>
          </w:p>
        </w:tc>
        <w:tc>
          <w:tcPr>
            <w:tcW w:w="4536" w:type="dxa"/>
            <w:vAlign w:val="center"/>
          </w:tcPr>
          <w:p>
            <w:pPr>
              <w:spacing w:line="280" w:lineRule="exac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发生一般未遂事件</w:t>
            </w:r>
          </w:p>
        </w:tc>
        <w:tc>
          <w:tcPr>
            <w:tcW w:w="2977" w:type="dxa"/>
            <w:vAlign w:val="center"/>
          </w:tcPr>
          <w:p>
            <w:pPr>
              <w:spacing w:line="280" w:lineRule="exac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1000～5000元/次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9" w:type="dxa"/>
            <w:vAlign w:val="center"/>
          </w:tcPr>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3</w:t>
            </w:r>
          </w:p>
        </w:tc>
        <w:tc>
          <w:tcPr>
            <w:tcW w:w="4536" w:type="dxa"/>
            <w:vAlign w:val="center"/>
          </w:tcPr>
          <w:p>
            <w:pPr>
              <w:spacing w:line="280" w:lineRule="exac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检修工作无正当理由延期</w:t>
            </w:r>
          </w:p>
        </w:tc>
        <w:tc>
          <w:tcPr>
            <w:tcW w:w="2977" w:type="dxa"/>
            <w:vAlign w:val="center"/>
          </w:tcPr>
          <w:p>
            <w:pPr>
              <w:spacing w:line="280" w:lineRule="exac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2000元/天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9" w:type="dxa"/>
            <w:vAlign w:val="center"/>
          </w:tcPr>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4</w:t>
            </w:r>
          </w:p>
        </w:tc>
        <w:tc>
          <w:tcPr>
            <w:tcW w:w="4536" w:type="dxa"/>
            <w:vAlign w:val="center"/>
          </w:tcPr>
          <w:p>
            <w:pPr>
              <w:spacing w:line="280" w:lineRule="exac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发生异常事件</w:t>
            </w:r>
          </w:p>
        </w:tc>
        <w:tc>
          <w:tcPr>
            <w:tcW w:w="2977" w:type="dxa"/>
            <w:vAlign w:val="center"/>
          </w:tcPr>
          <w:p>
            <w:pPr>
              <w:spacing w:line="280" w:lineRule="exac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3000元/次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9" w:type="dxa"/>
            <w:vAlign w:val="center"/>
          </w:tcPr>
          <w:p>
            <w:pPr>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5</w:t>
            </w:r>
          </w:p>
        </w:tc>
        <w:tc>
          <w:tcPr>
            <w:tcW w:w="4536" w:type="dxa"/>
            <w:vAlign w:val="center"/>
          </w:tcPr>
          <w:p>
            <w:pPr>
              <w:spacing w:line="280" w:lineRule="exac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发生其他不安全事件</w:t>
            </w:r>
          </w:p>
        </w:tc>
        <w:tc>
          <w:tcPr>
            <w:tcW w:w="2977" w:type="dxa"/>
            <w:vAlign w:val="center"/>
          </w:tcPr>
          <w:p>
            <w:pPr>
              <w:spacing w:line="280" w:lineRule="exac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1000～5000元/次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709" w:type="dxa"/>
            <w:vAlign w:val="center"/>
          </w:tcPr>
          <w:p>
            <w:pPr>
              <w:rPr>
                <w:rFonts w:hint="eastAsia" w:ascii="宋体" w:hAnsi="宋体" w:eastAsia="宋体" w:cs="宋体"/>
                <w:color w:val="000000"/>
                <w:sz w:val="18"/>
                <w:szCs w:val="18"/>
                <w:highlight w:val="none"/>
                <w:lang w:eastAsia="zh-CN"/>
              </w:rPr>
            </w:pPr>
            <w:r>
              <w:rPr>
                <w:rFonts w:hint="eastAsia" w:ascii="宋体" w:hAnsi="宋体" w:eastAsia="宋体" w:cs="宋体"/>
                <w:color w:val="000000"/>
                <w:sz w:val="18"/>
                <w:szCs w:val="18"/>
                <w:highlight w:val="none"/>
                <w:lang w:val="en-US" w:eastAsia="zh-CN"/>
              </w:rPr>
              <w:t>6</w:t>
            </w:r>
          </w:p>
        </w:tc>
        <w:tc>
          <w:tcPr>
            <w:tcW w:w="4536" w:type="dxa"/>
            <w:vAlign w:val="center"/>
          </w:tcPr>
          <w:p>
            <w:pPr>
              <w:spacing w:line="280" w:lineRule="exac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现场文明生产不符合要求</w:t>
            </w:r>
          </w:p>
        </w:tc>
        <w:tc>
          <w:tcPr>
            <w:tcW w:w="2977" w:type="dxa"/>
            <w:vAlign w:val="center"/>
          </w:tcPr>
          <w:p>
            <w:pPr>
              <w:spacing w:line="280" w:lineRule="exact"/>
              <w:rPr>
                <w:rFonts w:ascii="宋体" w:hAnsi="宋体" w:eastAsia="宋体" w:cs="宋体"/>
                <w:color w:val="000000"/>
                <w:sz w:val="18"/>
                <w:szCs w:val="18"/>
                <w:highlight w:val="none"/>
              </w:rPr>
            </w:pPr>
            <w:r>
              <w:rPr>
                <w:rFonts w:hint="eastAsia" w:ascii="宋体" w:hAnsi="宋体" w:eastAsia="宋体" w:cs="宋体"/>
                <w:color w:val="000000"/>
                <w:sz w:val="18"/>
                <w:szCs w:val="18"/>
                <w:highlight w:val="none"/>
              </w:rPr>
              <w:t>200～1000元</w:t>
            </w:r>
          </w:p>
        </w:tc>
      </w:tr>
    </w:tbl>
    <w:p>
      <w:pPr>
        <w:pStyle w:val="17"/>
        <w:numPr>
          <w:ilvl w:val="0"/>
          <w:numId w:val="3"/>
        </w:numPr>
        <w:spacing w:line="360" w:lineRule="auto"/>
        <w:ind w:left="1045" w:leftChars="0" w:hanging="1045" w:firstLineChars="0"/>
        <w:outlineLvl w:val="0"/>
        <w:rPr>
          <w:rFonts w:hint="eastAsia" w:ascii="宋体" w:hAnsi="宋体" w:eastAsia="宋体" w:cs="宋体"/>
          <w:b w:val="0"/>
          <w:bCs w:val="0"/>
          <w:sz w:val="24"/>
          <w:szCs w:val="24"/>
          <w:highlight w:val="none"/>
        </w:rPr>
      </w:pPr>
      <w:bookmarkStart w:id="6" w:name="_Toc6438"/>
      <w:r>
        <w:rPr>
          <w:rFonts w:hint="eastAsia" w:ascii="宋体" w:hAnsi="宋体" w:eastAsia="宋体" w:cs="宋体"/>
          <w:b w:val="0"/>
          <w:bCs w:val="0"/>
          <w:sz w:val="24"/>
          <w:szCs w:val="24"/>
          <w:highlight w:val="none"/>
        </w:rPr>
        <w:t>项目管理和要求</w:t>
      </w:r>
      <w:bookmarkEnd w:id="6"/>
    </w:p>
    <w:p>
      <w:pPr>
        <w:pStyle w:val="17"/>
        <w:numPr>
          <w:ilvl w:val="1"/>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施工管理</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凤电现场始终坚持“强三基，反三违，严问责，重激励”的安全文明生产管理方法，并在生产管理全过程推行7S+管理，将对违反相关规定的行为进行严厉处罚。</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现场</w:t>
      </w:r>
      <w:r>
        <w:rPr>
          <w:rFonts w:hint="eastAsia" w:ascii="宋体" w:hAnsi="宋体" w:eastAsia="宋体" w:cs="宋体"/>
          <w:color w:val="auto"/>
          <w:sz w:val="24"/>
          <w:szCs w:val="24"/>
          <w:highlight w:val="none"/>
        </w:rPr>
        <w:t>实行区域管理制度，投标方作为所检修</w:t>
      </w:r>
      <w:r>
        <w:rPr>
          <w:rFonts w:hint="eastAsia" w:ascii="宋体" w:hAnsi="宋体" w:eastAsia="宋体" w:cs="宋体"/>
          <w:color w:val="auto"/>
          <w:sz w:val="24"/>
          <w:szCs w:val="24"/>
          <w:highlight w:val="none"/>
          <w:lang w:val="en-US" w:eastAsia="zh-CN"/>
        </w:rPr>
        <w:t>施工</w:t>
      </w:r>
      <w:r>
        <w:rPr>
          <w:rFonts w:hint="eastAsia" w:ascii="宋体" w:hAnsi="宋体" w:eastAsia="宋体" w:cs="宋体"/>
          <w:color w:val="auto"/>
          <w:sz w:val="24"/>
          <w:szCs w:val="24"/>
          <w:highlight w:val="none"/>
        </w:rPr>
        <w:t>区域内的管理责任单位，负责本区域的文明卫生、场地管理等事宜。</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方应完全接受招标方管理人员包括常维项目部人员和凤电各级管理人员监督、协调管理工作，自觉遵守招标方的各项规章制度，凤电主机长维单位班组人员代表招标方行使现场管理、监督权时，投标方应与其密切配合、通力合作做好相关管理工作。</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投标方自带工器具须符合相关标准要求，有检验合格证等证明文件。</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bookmarkStart w:id="7" w:name="OLE_LINK4"/>
      <w:bookmarkStart w:id="8" w:name="OLE_LINK2"/>
      <w:bookmarkStart w:id="9" w:name="OLE_LINK3"/>
      <w:bookmarkStart w:id="10" w:name="OLE_LINK1"/>
      <w:bookmarkStart w:id="11" w:name="OLE_LINK5"/>
      <w:r>
        <w:rPr>
          <w:rFonts w:hint="eastAsia" w:ascii="宋体" w:hAnsi="宋体" w:eastAsia="宋体" w:cs="宋体"/>
          <w:color w:val="auto"/>
          <w:sz w:val="24"/>
          <w:szCs w:val="24"/>
          <w:highlight w:val="none"/>
        </w:rPr>
        <w:t>投标方</w:t>
      </w:r>
      <w:bookmarkEnd w:id="7"/>
      <w:bookmarkEnd w:id="8"/>
      <w:bookmarkEnd w:id="9"/>
      <w:bookmarkEnd w:id="10"/>
      <w:bookmarkEnd w:id="11"/>
      <w:r>
        <w:rPr>
          <w:rFonts w:hint="eastAsia" w:ascii="宋体" w:hAnsi="宋体" w:eastAsia="宋体" w:cs="宋体"/>
          <w:color w:val="auto"/>
          <w:sz w:val="24"/>
          <w:szCs w:val="24"/>
          <w:highlight w:val="none"/>
        </w:rPr>
        <w:t>管理人员应提前5天入厂联系办理入厂事宜，作业人员应提前3天入厂参加有关交底、教育、考试。</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招标</w:t>
      </w:r>
      <w:r>
        <w:rPr>
          <w:rFonts w:hint="eastAsia" w:ascii="宋体" w:hAnsi="宋体" w:eastAsia="宋体" w:cs="宋体"/>
          <w:color w:val="auto"/>
          <w:sz w:val="24"/>
          <w:szCs w:val="24"/>
          <w:highlight w:val="none"/>
        </w:rPr>
        <w:t>方可根据现场情况调整施工计划，投标方必须积极配合，如招标方因生产需要必须加快</w:t>
      </w:r>
      <w:r>
        <w:rPr>
          <w:rFonts w:hint="eastAsia" w:ascii="宋体" w:hAnsi="宋体" w:eastAsia="宋体" w:cs="宋体"/>
          <w:sz w:val="24"/>
          <w:szCs w:val="24"/>
          <w:highlight w:val="none"/>
        </w:rPr>
        <w:t>锅炉四管防磨防爆检查</w:t>
      </w:r>
      <w:r>
        <w:rPr>
          <w:rFonts w:hint="eastAsia" w:ascii="宋体" w:hAnsi="宋体" w:eastAsia="宋体" w:cs="宋体"/>
          <w:color w:val="auto"/>
          <w:sz w:val="24"/>
          <w:szCs w:val="24"/>
          <w:highlight w:val="none"/>
        </w:rPr>
        <w:t>进度的，投标方应能随时安排两个班次进行全天倒班工作，并且两个班次的相关人员均具备</w:t>
      </w:r>
      <w:r>
        <w:rPr>
          <w:rFonts w:hint="eastAsia" w:ascii="宋体" w:hAnsi="宋体" w:eastAsia="宋体" w:cs="宋体"/>
          <w:color w:val="auto"/>
          <w:sz w:val="24"/>
          <w:szCs w:val="24"/>
          <w:highlight w:val="none"/>
          <w:lang w:val="en-US" w:eastAsia="zh-CN"/>
        </w:rPr>
        <w:t>相应</w:t>
      </w:r>
      <w:r>
        <w:rPr>
          <w:rFonts w:hint="eastAsia" w:ascii="宋体" w:hAnsi="宋体" w:eastAsia="宋体" w:cs="宋体"/>
          <w:color w:val="auto"/>
          <w:sz w:val="24"/>
          <w:szCs w:val="24"/>
          <w:highlight w:val="none"/>
        </w:rPr>
        <w:t>的能力和丰富经验。</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color w:val="000000" w:themeColor="text1"/>
          <w:sz w:val="24"/>
          <w:szCs w:val="24"/>
          <w:highlight w:val="none"/>
          <w14:textFill>
            <w14:solidFill>
              <w14:schemeClr w14:val="tx1"/>
            </w14:solidFill>
          </w14:textFill>
        </w:rPr>
        <w:t>现场</w:t>
      </w:r>
      <w:r>
        <w:rPr>
          <w:rFonts w:hint="eastAsia" w:ascii="宋体" w:hAnsi="宋体" w:eastAsia="宋体" w:cs="宋体"/>
          <w:color w:val="auto"/>
          <w:sz w:val="24"/>
          <w:szCs w:val="24"/>
          <w:highlight w:val="none"/>
        </w:rPr>
        <w:t>检修用电需在检修电源柜处悬挂用电信息牌，需从检修电源箱内接线端子（非插座电源）处引出电源时，必须填写《检修电源使用申请单》履行相关审批手续。</w:t>
      </w:r>
    </w:p>
    <w:p>
      <w:pPr>
        <w:pStyle w:val="17"/>
        <w:numPr>
          <w:ilvl w:val="2"/>
          <w:numId w:val="3"/>
        </w:numPr>
        <w:spacing w:line="360" w:lineRule="auto"/>
        <w:ind w:left="1065" w:leftChars="0" w:hanging="1065" w:firstLineChars="0"/>
        <w:outlineLvl w:val="0"/>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锅炉四管防磨防爆检查</w:t>
      </w:r>
      <w:r>
        <w:rPr>
          <w:rFonts w:hint="eastAsia" w:ascii="宋体" w:hAnsi="宋体" w:eastAsia="宋体" w:cs="宋体"/>
          <w:color w:val="auto"/>
          <w:sz w:val="24"/>
          <w:szCs w:val="24"/>
          <w:highlight w:val="none"/>
        </w:rPr>
        <w:t>结束后</w:t>
      </w:r>
      <w:r>
        <w:rPr>
          <w:rFonts w:hint="eastAsia" w:ascii="宋体" w:hAnsi="宋体" w:eastAsia="宋体" w:cs="宋体"/>
          <w:color w:val="auto"/>
          <w:sz w:val="24"/>
          <w:szCs w:val="24"/>
          <w:highlight w:val="none"/>
          <w:lang w:val="en-US" w:eastAsia="zh-CN"/>
        </w:rPr>
        <w:t>45</w:t>
      </w:r>
      <w:r>
        <w:rPr>
          <w:rFonts w:hint="eastAsia" w:ascii="宋体" w:hAnsi="宋体" w:eastAsia="宋体" w:cs="宋体"/>
          <w:color w:val="auto"/>
          <w:sz w:val="24"/>
          <w:szCs w:val="24"/>
          <w:highlight w:val="none"/>
        </w:rPr>
        <w:t>天内，投标方向招标方提供完整的完工报告和</w:t>
      </w:r>
      <w:r>
        <w:rPr>
          <w:rFonts w:hint="eastAsia" w:ascii="宋体" w:hAnsi="宋体" w:eastAsia="宋体" w:cs="宋体"/>
          <w:sz w:val="24"/>
          <w:szCs w:val="24"/>
          <w:highlight w:val="none"/>
        </w:rPr>
        <w:t>锅炉四管防磨防爆检查</w:t>
      </w:r>
      <w:r>
        <w:rPr>
          <w:rFonts w:hint="eastAsia" w:ascii="宋体" w:hAnsi="宋体" w:eastAsia="宋体" w:cs="宋体"/>
          <w:color w:val="auto"/>
          <w:sz w:val="24"/>
          <w:szCs w:val="24"/>
          <w:highlight w:val="none"/>
        </w:rPr>
        <w:t>总结（按照招标方要求份数和质量）。</w:t>
      </w:r>
    </w:p>
    <w:p>
      <w:pPr>
        <w:pStyle w:val="17"/>
        <w:numPr>
          <w:ilvl w:val="2"/>
          <w:numId w:val="3"/>
        </w:numPr>
        <w:spacing w:line="360" w:lineRule="auto"/>
        <w:ind w:left="1065" w:leftChars="0" w:hanging="1065"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000000" w:themeColor="text1"/>
          <w:sz w:val="24"/>
          <w:szCs w:val="24"/>
          <w:highlight w:val="none"/>
          <w14:textFill>
            <w14:solidFill>
              <w14:schemeClr w14:val="tx1"/>
            </w14:solidFill>
          </w14:textFill>
        </w:rPr>
        <w:t>投标</w:t>
      </w:r>
      <w:r>
        <w:rPr>
          <w:rFonts w:hint="eastAsia" w:ascii="宋体" w:hAnsi="宋体" w:eastAsia="宋体" w:cs="宋体"/>
          <w:b w:val="0"/>
          <w:bCs w:val="0"/>
          <w:color w:val="auto"/>
          <w:sz w:val="24"/>
          <w:szCs w:val="24"/>
          <w:highlight w:val="none"/>
        </w:rPr>
        <w:t>方在设备检修结束，未</w:t>
      </w:r>
      <w:r>
        <w:rPr>
          <w:rFonts w:hint="eastAsia" w:ascii="宋体" w:hAnsi="宋体" w:eastAsia="宋体" w:cs="宋体"/>
          <w:b w:val="0"/>
          <w:bCs w:val="0"/>
          <w:color w:val="auto"/>
          <w:sz w:val="24"/>
          <w:szCs w:val="24"/>
          <w:highlight w:val="none"/>
          <w:lang w:val="en-US" w:eastAsia="zh-CN"/>
        </w:rPr>
        <w:t>经过招标方许可</w:t>
      </w:r>
      <w:r>
        <w:rPr>
          <w:rFonts w:hint="eastAsia" w:ascii="宋体" w:hAnsi="宋体" w:eastAsia="宋体" w:cs="宋体"/>
          <w:b w:val="0"/>
          <w:bCs w:val="0"/>
          <w:color w:val="auto"/>
          <w:sz w:val="24"/>
          <w:szCs w:val="24"/>
          <w:highlight w:val="none"/>
        </w:rPr>
        <w:t>不得擅自撤离相关主要作业人员。</w:t>
      </w:r>
    </w:p>
    <w:p>
      <w:pPr>
        <w:pStyle w:val="17"/>
        <w:numPr>
          <w:ilvl w:val="1"/>
          <w:numId w:val="3"/>
        </w:numPr>
        <w:spacing w:line="360" w:lineRule="auto"/>
        <w:ind w:left="1065" w:leftChars="0" w:hanging="1065"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kern w:val="0"/>
          <w:sz w:val="24"/>
          <w:szCs w:val="24"/>
          <w:highlight w:val="none"/>
        </w:rPr>
        <w:t>7S+管理要求</w:t>
      </w:r>
      <w:r>
        <w:rPr>
          <w:rFonts w:hint="eastAsia" w:ascii="宋体" w:hAnsi="宋体" w:eastAsia="宋体" w:cs="宋体"/>
          <w:b w:val="0"/>
          <w:bCs w:val="0"/>
          <w:color w:val="auto"/>
          <w:kern w:val="0"/>
          <w:sz w:val="24"/>
          <w:szCs w:val="24"/>
          <w:highlight w:val="none"/>
        </w:rPr>
        <w:br w:type="textWrapping"/>
      </w:r>
      <w:r>
        <w:rPr>
          <w:rFonts w:hint="eastAsia" w:ascii="宋体" w:hAnsi="宋体" w:eastAsia="宋体" w:cs="宋体"/>
          <w:b w:val="0"/>
          <w:bCs w:val="0"/>
          <w:color w:val="auto"/>
          <w:sz w:val="24"/>
          <w:szCs w:val="24"/>
          <w:highlight w:val="none"/>
        </w:rPr>
        <w:t>投标方需根据凤台电厂7S+管理标准执行，现场7S+规范化检修方案等标准和要求做好检修现场的布置7S+管理工作，包括设置看板、通道标示等目视化工作，投标方需充分考虑相关人力和物力投入。主要要求如下（详细请参阅凤电7S+相关管理手册）：</w:t>
      </w:r>
    </w:p>
    <w:p>
      <w:pPr>
        <w:pStyle w:val="17"/>
        <w:numPr>
          <w:ilvl w:val="2"/>
          <w:numId w:val="3"/>
        </w:numPr>
        <w:spacing w:line="360" w:lineRule="auto"/>
        <w:ind w:left="1065" w:leftChars="0" w:hanging="1065"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sz w:val="24"/>
          <w:szCs w:val="24"/>
          <w:highlight w:val="none"/>
        </w:rPr>
        <w:t>锅炉四管防磨防爆检查</w:t>
      </w:r>
      <w:r>
        <w:rPr>
          <w:rFonts w:hint="eastAsia" w:ascii="宋体" w:hAnsi="宋体" w:eastAsia="宋体" w:cs="宋体"/>
          <w:b w:val="0"/>
          <w:bCs w:val="0"/>
          <w:color w:val="auto"/>
          <w:sz w:val="24"/>
          <w:szCs w:val="24"/>
          <w:highlight w:val="none"/>
        </w:rPr>
        <w:t>区域管理：要求全面做好隔离措施，人员进出要登记，包括人员自带的工器具登记，隔离区域门口要有明显的检修作业信息牌</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sz w:val="24"/>
          <w:szCs w:val="24"/>
          <w:highlight w:val="none"/>
        </w:rPr>
        <w:t>锅炉四管防磨防爆检查</w:t>
      </w:r>
      <w:r>
        <w:rPr>
          <w:rFonts w:hint="eastAsia" w:ascii="宋体" w:hAnsi="宋体" w:eastAsia="宋体" w:cs="宋体"/>
          <w:b w:val="0"/>
          <w:bCs w:val="0"/>
          <w:color w:val="auto"/>
          <w:sz w:val="24"/>
          <w:szCs w:val="24"/>
          <w:highlight w:val="none"/>
        </w:rPr>
        <w:t>区域内要有专人负责安全管理，佩戴“安全督查”红色袖标，工作负责人要佩戴“工作负责人”红色背心，隔离区域只有1处进出口门设置，设有专人全天安全管理；</w:t>
      </w:r>
    </w:p>
    <w:p>
      <w:pPr>
        <w:pStyle w:val="17"/>
        <w:numPr>
          <w:ilvl w:val="2"/>
          <w:numId w:val="3"/>
        </w:numPr>
        <w:spacing w:line="360" w:lineRule="auto"/>
        <w:ind w:left="1065" w:leftChars="0" w:hanging="1065"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sz w:val="24"/>
          <w:szCs w:val="24"/>
          <w:highlight w:val="none"/>
        </w:rPr>
        <w:t>锅炉四管防磨防爆检查</w:t>
      </w:r>
      <w:r>
        <w:rPr>
          <w:rFonts w:hint="eastAsia" w:ascii="宋体" w:hAnsi="宋体" w:eastAsia="宋体" w:cs="宋体"/>
          <w:b w:val="0"/>
          <w:bCs w:val="0"/>
          <w:color w:val="auto"/>
          <w:sz w:val="24"/>
          <w:szCs w:val="24"/>
          <w:highlight w:val="none"/>
        </w:rPr>
        <w:t>采用规范合适的工具；</w:t>
      </w:r>
    </w:p>
    <w:p>
      <w:pPr>
        <w:pStyle w:val="17"/>
        <w:numPr>
          <w:ilvl w:val="2"/>
          <w:numId w:val="3"/>
        </w:numPr>
        <w:spacing w:line="360" w:lineRule="auto"/>
        <w:ind w:left="1065" w:leftChars="0" w:hanging="1065"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000000" w:themeColor="text1"/>
          <w:sz w:val="24"/>
          <w:szCs w:val="24"/>
          <w:highlight w:val="none"/>
          <w14:textFill>
            <w14:solidFill>
              <w14:schemeClr w14:val="tx1"/>
            </w14:solidFill>
          </w14:textFill>
        </w:rPr>
        <w:t>明确</w:t>
      </w:r>
      <w:r>
        <w:rPr>
          <w:rFonts w:hint="eastAsia" w:ascii="宋体" w:hAnsi="宋体" w:eastAsia="宋体" w:cs="宋体"/>
          <w:b w:val="0"/>
          <w:bCs w:val="0"/>
          <w:color w:val="auto"/>
          <w:sz w:val="24"/>
          <w:szCs w:val="24"/>
          <w:highlight w:val="none"/>
        </w:rPr>
        <w:t>标识检修区域通道，检修过程中严禁占用通道；</w:t>
      </w:r>
    </w:p>
    <w:p>
      <w:pPr>
        <w:pStyle w:val="17"/>
        <w:numPr>
          <w:ilvl w:val="0"/>
          <w:numId w:val="3"/>
        </w:numPr>
        <w:spacing w:line="360" w:lineRule="auto"/>
        <w:ind w:left="1045" w:leftChars="0" w:hanging="1045" w:firstLineChars="0"/>
        <w:outlineLvl w:val="0"/>
        <w:rPr>
          <w:rFonts w:hint="eastAsia" w:ascii="宋体" w:hAnsi="宋体" w:eastAsia="宋体" w:cs="宋体"/>
          <w:b w:val="0"/>
          <w:bCs w:val="0"/>
          <w:sz w:val="24"/>
          <w:szCs w:val="24"/>
          <w:highlight w:val="none"/>
        </w:rPr>
      </w:pPr>
      <w:bookmarkStart w:id="12" w:name="_Toc30527"/>
      <w:r>
        <w:rPr>
          <w:rFonts w:hint="eastAsia" w:ascii="宋体" w:hAnsi="宋体" w:eastAsia="宋体" w:cs="宋体"/>
          <w:b w:val="0"/>
          <w:bCs w:val="0"/>
          <w:sz w:val="24"/>
          <w:szCs w:val="24"/>
          <w:highlight w:val="none"/>
        </w:rPr>
        <w:t>质量管理要求与验收标准</w:t>
      </w:r>
      <w:bookmarkEnd w:id="12"/>
    </w:p>
    <w:p>
      <w:pPr>
        <w:pStyle w:val="17"/>
        <w:numPr>
          <w:ilvl w:val="1"/>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质量验收管理要求</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在锅炉四管防磨防爆检查</w:t>
      </w:r>
      <w:r>
        <w:rPr>
          <w:rFonts w:hint="eastAsia" w:ascii="宋体" w:hAnsi="宋体" w:eastAsia="宋体" w:cs="宋体"/>
          <w:b w:val="0"/>
          <w:bCs w:val="0"/>
          <w:sz w:val="24"/>
          <w:szCs w:val="24"/>
          <w:highlight w:val="none"/>
          <w:lang w:val="en-US" w:eastAsia="zh-CN"/>
        </w:rPr>
        <w:t>完毕后</w:t>
      </w:r>
      <w:r>
        <w:rPr>
          <w:rFonts w:hint="eastAsia" w:ascii="宋体" w:hAnsi="宋体" w:eastAsia="宋体" w:cs="宋体"/>
          <w:b w:val="0"/>
          <w:bCs w:val="0"/>
          <w:sz w:val="24"/>
          <w:szCs w:val="24"/>
          <w:highlight w:val="none"/>
        </w:rPr>
        <w:t>，投标方负责锅炉四管防磨防爆检查</w:t>
      </w:r>
      <w:r>
        <w:rPr>
          <w:rFonts w:hint="eastAsia" w:ascii="宋体" w:hAnsi="宋体" w:eastAsia="宋体" w:cs="宋体"/>
          <w:b w:val="0"/>
          <w:bCs w:val="0"/>
          <w:sz w:val="24"/>
          <w:szCs w:val="24"/>
          <w:highlight w:val="none"/>
          <w:lang w:val="en-US" w:eastAsia="zh-CN"/>
        </w:rPr>
        <w:t>缺陷处理方案，重大缺陷与招标方共同讨论决定</w:t>
      </w:r>
      <w:r>
        <w:rPr>
          <w:rFonts w:hint="eastAsia" w:ascii="宋体" w:hAnsi="宋体" w:eastAsia="宋体" w:cs="宋体"/>
          <w:b w:val="0"/>
          <w:bCs w:val="0"/>
          <w:sz w:val="24"/>
          <w:szCs w:val="24"/>
          <w:highlight w:val="none"/>
          <w:lang w:eastAsia="zh-CN"/>
        </w:rPr>
        <w:t>。</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投标方应负责锅炉四管防磨防爆检查</w:t>
      </w:r>
      <w:r>
        <w:rPr>
          <w:rFonts w:hint="eastAsia" w:ascii="宋体" w:hAnsi="宋体" w:eastAsia="宋体" w:cs="宋体"/>
          <w:b w:val="0"/>
          <w:bCs w:val="0"/>
          <w:sz w:val="24"/>
          <w:szCs w:val="24"/>
          <w:highlight w:val="none"/>
          <w:lang w:val="en-US" w:eastAsia="zh-CN"/>
        </w:rPr>
        <w:t>缺陷处理的</w:t>
      </w:r>
      <w:r>
        <w:rPr>
          <w:rFonts w:hint="eastAsia" w:ascii="宋体" w:hAnsi="宋体" w:eastAsia="宋体" w:cs="宋体"/>
          <w:b w:val="0"/>
          <w:bCs w:val="0"/>
          <w:sz w:val="24"/>
          <w:szCs w:val="24"/>
          <w:highlight w:val="none"/>
        </w:rPr>
        <w:t>验收。</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投标时投标方要报制定的质量保证目标和措施。</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投标方应执行招标方制定的质量检验程序，验收代表应在验收单上签字，双方对质量有异议时，原则上协调解决，未经招标方验收合格的设备不得投入运行（或进行下道工序）。</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投标方必须有最基本</w:t>
      </w:r>
      <w:r>
        <w:rPr>
          <w:rFonts w:hint="eastAsia" w:ascii="宋体" w:hAnsi="宋体" w:eastAsia="宋体" w:cs="宋体"/>
          <w:b w:val="0"/>
          <w:bCs w:val="0"/>
          <w:sz w:val="24"/>
          <w:szCs w:val="24"/>
          <w:highlight w:val="none"/>
          <w:lang w:val="en-US" w:eastAsia="zh-CN"/>
        </w:rPr>
        <w:t>缺陷处理的</w:t>
      </w:r>
      <w:r>
        <w:rPr>
          <w:rFonts w:hint="eastAsia" w:ascii="宋体" w:hAnsi="宋体" w:eastAsia="宋体" w:cs="宋体"/>
          <w:b w:val="0"/>
          <w:bCs w:val="0"/>
          <w:sz w:val="24"/>
          <w:szCs w:val="24"/>
          <w:highlight w:val="none"/>
        </w:rPr>
        <w:t>验收质量措施，如ISO9000质量体系，符合浙能集团有关质量标准的规定。</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投标方应执行招标方制定的不符合项管理程序。</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投标方需准备足够的锅炉四管防磨防爆检查用工具，满足锅炉四管防磨防爆检查工作需要</w:t>
      </w:r>
      <w:r>
        <w:rPr>
          <w:rFonts w:hint="eastAsia" w:ascii="宋体" w:hAnsi="宋体" w:eastAsia="宋体" w:cs="宋体"/>
          <w:b w:val="0"/>
          <w:bCs w:val="0"/>
          <w:sz w:val="24"/>
          <w:szCs w:val="24"/>
          <w:highlight w:val="none"/>
          <w:lang w:eastAsia="zh-CN"/>
        </w:rPr>
        <w:t>。</w:t>
      </w:r>
    </w:p>
    <w:p>
      <w:pPr>
        <w:pStyle w:val="17"/>
        <w:numPr>
          <w:ilvl w:val="1"/>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质量验收标准</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提供防磨防爆检查问题清单，列出详细位置，处理方法。</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按照防磨防爆缺陷处理方案，对处理缺陷验收完成并签字确认完成</w:t>
      </w:r>
      <w:r>
        <w:rPr>
          <w:rFonts w:hint="eastAsia" w:ascii="宋体" w:hAnsi="宋体" w:eastAsia="宋体" w:cs="宋体"/>
          <w:b w:val="0"/>
          <w:bCs w:val="0"/>
          <w:sz w:val="24"/>
          <w:szCs w:val="24"/>
          <w:highlight w:val="none"/>
        </w:rPr>
        <w:t>。</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防磨防爆检查处理清单所列内容无遗漏，处理工艺按照要求执行，检查确认无缺陷</w:t>
      </w:r>
      <w:r>
        <w:rPr>
          <w:rFonts w:hint="eastAsia" w:ascii="宋体" w:hAnsi="宋体" w:eastAsia="宋体" w:cs="宋体"/>
          <w:b w:val="0"/>
          <w:bCs w:val="0"/>
          <w:sz w:val="24"/>
          <w:szCs w:val="24"/>
          <w:highlight w:val="none"/>
        </w:rPr>
        <w:t>。</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lang w:val="en-US" w:eastAsia="zh-CN"/>
        </w:rPr>
        <w:t>检查验收时，不能发现遗漏有影响机组安全运行的缺陷</w:t>
      </w:r>
      <w:r>
        <w:rPr>
          <w:rFonts w:hint="eastAsia" w:ascii="宋体" w:hAnsi="宋体" w:eastAsia="宋体" w:cs="宋体"/>
          <w:b w:val="0"/>
          <w:bCs w:val="0"/>
          <w:sz w:val="24"/>
          <w:szCs w:val="24"/>
          <w:highlight w:val="none"/>
        </w:rPr>
        <w:t>。</w:t>
      </w:r>
    </w:p>
    <w:p>
      <w:pPr>
        <w:pStyle w:val="17"/>
        <w:numPr>
          <w:ilvl w:val="2"/>
          <w:numId w:val="3"/>
        </w:numPr>
        <w:spacing w:line="360" w:lineRule="auto"/>
        <w:ind w:left="1065" w:leftChars="0" w:hanging="1065" w:firstLineChars="0"/>
        <w:outlineLvl w:val="0"/>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sz w:val="24"/>
          <w:szCs w:val="24"/>
          <w:highlight w:val="none"/>
          <w:lang w:val="en-US" w:eastAsia="zh-CN"/>
        </w:rPr>
        <w:t>质保期内，不得发生因投标方原因造成的泄漏。</w:t>
      </w:r>
    </w:p>
    <w:p>
      <w:pPr>
        <w:pStyle w:val="17"/>
        <w:numPr>
          <w:ilvl w:val="1"/>
          <w:numId w:val="3"/>
        </w:numPr>
        <w:spacing w:line="360" w:lineRule="auto"/>
        <w:ind w:left="1065" w:leftChars="0" w:hanging="1065" w:firstLineChars="0"/>
        <w:outlineLvl w:val="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rPr>
        <w:t>锅炉</w:t>
      </w:r>
      <w:r>
        <w:rPr>
          <w:rFonts w:hint="eastAsia" w:ascii="宋体" w:hAnsi="宋体" w:eastAsia="宋体" w:cs="宋体"/>
          <w:b w:val="0"/>
          <w:bCs w:val="0"/>
          <w:color w:val="auto"/>
          <w:sz w:val="24"/>
          <w:szCs w:val="24"/>
          <w:highlight w:val="none"/>
        </w:rPr>
        <w:t>四管防磨防爆检查纪律</w:t>
      </w:r>
      <w:r>
        <w:rPr>
          <w:rFonts w:hint="eastAsia" w:ascii="宋体" w:hAnsi="宋体" w:eastAsia="宋体" w:cs="宋体"/>
          <w:b w:val="0"/>
          <w:bCs w:val="0"/>
          <w:color w:val="auto"/>
          <w:sz w:val="24"/>
          <w:szCs w:val="24"/>
          <w:highlight w:val="none"/>
        </w:rPr>
        <w:br w:type="textWrapping"/>
      </w:r>
      <w:r>
        <w:rPr>
          <w:rFonts w:hint="eastAsia" w:ascii="宋体" w:hAnsi="宋体" w:eastAsia="宋体" w:cs="宋体"/>
          <w:b w:val="0"/>
          <w:bCs w:val="0"/>
          <w:sz w:val="24"/>
          <w:szCs w:val="24"/>
          <w:highlight w:val="none"/>
        </w:rPr>
        <w:t>为加强锅炉四管防磨防爆检查管理，提高锅炉四管防磨防爆检查</w:t>
      </w:r>
      <w:r>
        <w:rPr>
          <w:rFonts w:hint="eastAsia" w:ascii="宋体" w:hAnsi="宋体" w:eastAsia="宋体" w:cs="宋体"/>
          <w:b w:val="0"/>
          <w:bCs w:val="0"/>
          <w:sz w:val="24"/>
          <w:szCs w:val="24"/>
          <w:highlight w:val="none"/>
          <w:lang w:val="en-US" w:eastAsia="zh-CN"/>
        </w:rPr>
        <w:t>质量</w:t>
      </w:r>
      <w:r>
        <w:rPr>
          <w:rFonts w:hint="eastAsia" w:ascii="宋体" w:hAnsi="宋体" w:eastAsia="宋体" w:cs="宋体"/>
          <w:b w:val="0"/>
          <w:bCs w:val="0"/>
          <w:sz w:val="24"/>
          <w:szCs w:val="24"/>
          <w:highlight w:val="none"/>
        </w:rPr>
        <w:t>，确保设备安全稳定运行，</w:t>
      </w:r>
      <w:r>
        <w:rPr>
          <w:rFonts w:hint="eastAsia" w:ascii="宋体" w:hAnsi="宋体" w:eastAsia="宋体" w:cs="宋体"/>
          <w:b w:val="0"/>
          <w:bCs w:val="0"/>
          <w:sz w:val="24"/>
          <w:szCs w:val="24"/>
          <w:highlight w:val="none"/>
          <w:lang w:val="en-US" w:eastAsia="zh-CN"/>
        </w:rPr>
        <w:t>投标方应遵从以下工艺纪律：</w:t>
      </w:r>
    </w:p>
    <w:p>
      <w:pPr>
        <w:pStyle w:val="17"/>
        <w:numPr>
          <w:ilvl w:val="2"/>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锅炉四管防磨防爆检查纪律</w:t>
      </w:r>
    </w:p>
    <w:p>
      <w:pPr>
        <w:pStyle w:val="31"/>
        <w:numPr>
          <w:ilvl w:val="0"/>
          <w:numId w:val="7"/>
        </w:numPr>
        <w:spacing w:line="360" w:lineRule="auto"/>
        <w:ind w:left="1060" w:leftChars="0" w:hanging="106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进入现场必须戴安全帽，安全帽带必须系牢固。</w:t>
      </w:r>
    </w:p>
    <w:p>
      <w:pPr>
        <w:pStyle w:val="31"/>
        <w:numPr>
          <w:ilvl w:val="0"/>
          <w:numId w:val="7"/>
        </w:numPr>
        <w:spacing w:line="360" w:lineRule="auto"/>
        <w:ind w:left="1060" w:leftChars="0" w:hanging="106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高空作业必须扎安全带，不准冒险违章作业。</w:t>
      </w:r>
    </w:p>
    <w:p>
      <w:pPr>
        <w:pStyle w:val="31"/>
        <w:numPr>
          <w:ilvl w:val="0"/>
          <w:numId w:val="7"/>
        </w:numPr>
        <w:spacing w:line="360" w:lineRule="auto"/>
        <w:ind w:left="1060" w:leftChars="0" w:hanging="106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锅炉四管防磨防爆检查现场，特别是夜间有工作的地方，照明必须充足，不准在照明不足的地方工作。</w:t>
      </w:r>
    </w:p>
    <w:p>
      <w:pPr>
        <w:pStyle w:val="31"/>
        <w:numPr>
          <w:ilvl w:val="0"/>
          <w:numId w:val="7"/>
        </w:numPr>
        <w:spacing w:line="360" w:lineRule="auto"/>
        <w:ind w:left="1060" w:leftChars="0" w:hanging="106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锅炉四管防磨防爆检查工作每天必须做到工完料净场地清，不准在现场遗留杂物。</w:t>
      </w:r>
    </w:p>
    <w:p>
      <w:pPr>
        <w:pStyle w:val="31"/>
        <w:numPr>
          <w:ilvl w:val="0"/>
          <w:numId w:val="7"/>
        </w:numPr>
        <w:spacing w:line="360" w:lineRule="auto"/>
        <w:ind w:left="1060" w:leftChars="0" w:hanging="1060" w:firstLineChars="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rPr>
        <w:t>锅炉四管防磨防爆检查</w:t>
      </w:r>
      <w:r>
        <w:rPr>
          <w:rFonts w:hint="eastAsia" w:ascii="宋体" w:hAnsi="宋体" w:eastAsia="宋体" w:cs="宋体"/>
          <w:b w:val="0"/>
          <w:bCs w:val="0"/>
          <w:sz w:val="24"/>
          <w:szCs w:val="24"/>
          <w:highlight w:val="none"/>
          <w:lang w:val="en-US" w:eastAsia="zh-CN"/>
        </w:rPr>
        <w:t>用的临时电源必须接在检修电源盘或指定的设备上，电源摆放必须整齐，多余的电源线必须盘好，不准私自接在运行设备的电源盘上。</w:t>
      </w:r>
      <w:bookmarkStart w:id="13" w:name="bookmark214"/>
    </w:p>
    <w:bookmarkEnd w:id="13"/>
    <w:p>
      <w:pPr>
        <w:pStyle w:val="31"/>
        <w:numPr>
          <w:ilvl w:val="0"/>
          <w:numId w:val="7"/>
        </w:numPr>
        <w:spacing w:line="360" w:lineRule="auto"/>
        <w:ind w:left="1060" w:leftChars="0" w:hanging="1060" w:firstLineChars="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电源箱盖必须关闭严密，关闭装置必须灵活可靠，箱内接线必须固定牢固且做好标识, 接线不准影响门的开关。</w:t>
      </w:r>
    </w:p>
    <w:p>
      <w:pPr>
        <w:pStyle w:val="31"/>
        <w:numPr>
          <w:ilvl w:val="0"/>
          <w:numId w:val="7"/>
        </w:numPr>
        <w:spacing w:line="360" w:lineRule="auto"/>
        <w:ind w:left="1060" w:leftChars="0" w:hanging="106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临时电源线穿过通道时，应架空，如放在地面上，必须有防止碾压或被划伤的措施，不 准未采取措施而直接放在通道上。</w:t>
      </w:r>
    </w:p>
    <w:p>
      <w:pPr>
        <w:pStyle w:val="31"/>
        <w:numPr>
          <w:ilvl w:val="0"/>
          <w:numId w:val="7"/>
        </w:numPr>
        <w:spacing w:line="360" w:lineRule="auto"/>
        <w:ind w:left="1060" w:leftChars="0" w:hanging="106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在锅炉四管防磨防爆检查现场，监护人必须履行监护职责，监护人不准干与监护无关的工作。</w:t>
      </w:r>
    </w:p>
    <w:p>
      <w:pPr>
        <w:pStyle w:val="31"/>
        <w:numPr>
          <w:ilvl w:val="0"/>
          <w:numId w:val="7"/>
        </w:numPr>
        <w:spacing w:line="360" w:lineRule="auto"/>
        <w:ind w:left="1060" w:leftChars="0" w:hanging="1060" w:firstLineChars="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锅炉四管防磨防爆检查工作进行时不准破坏和影响其他设备。不准踏踩设备或保温、铁皮。</w:t>
      </w:r>
    </w:p>
    <w:p>
      <w:pPr>
        <w:pStyle w:val="17"/>
        <w:numPr>
          <w:ilvl w:val="0"/>
          <w:numId w:val="3"/>
        </w:numPr>
        <w:spacing w:line="360" w:lineRule="auto"/>
        <w:ind w:left="1045" w:leftChars="0" w:hanging="1045" w:firstLineChars="0"/>
        <w:outlineLvl w:val="0"/>
        <w:rPr>
          <w:rFonts w:hint="eastAsia" w:ascii="宋体" w:hAnsi="宋体" w:eastAsia="宋体" w:cs="宋体"/>
          <w:b w:val="0"/>
          <w:bCs w:val="0"/>
          <w:sz w:val="24"/>
          <w:szCs w:val="24"/>
          <w:highlight w:val="none"/>
        </w:rPr>
      </w:pPr>
      <w:bookmarkStart w:id="14" w:name="_Toc1818"/>
      <w:r>
        <w:rPr>
          <w:rFonts w:hint="eastAsia" w:ascii="宋体" w:hAnsi="宋体" w:eastAsia="宋体" w:cs="宋体"/>
          <w:b w:val="0"/>
          <w:bCs w:val="0"/>
          <w:sz w:val="24"/>
          <w:szCs w:val="24"/>
          <w:highlight w:val="none"/>
        </w:rPr>
        <w:t>方案报告要求</w:t>
      </w:r>
      <w:bookmarkEnd w:id="14"/>
    </w:p>
    <w:p>
      <w:pPr>
        <w:pStyle w:val="17"/>
        <w:numPr>
          <w:ilvl w:val="1"/>
          <w:numId w:val="3"/>
        </w:numPr>
        <w:spacing w:line="360" w:lineRule="auto"/>
        <w:ind w:left="1065" w:leftChars="0" w:hanging="1065"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sz w:val="24"/>
          <w:szCs w:val="24"/>
          <w:highlight w:val="none"/>
        </w:rPr>
        <w:t>完工</w:t>
      </w:r>
      <w:r>
        <w:rPr>
          <w:rFonts w:hint="eastAsia" w:ascii="宋体" w:hAnsi="宋体" w:eastAsia="宋体" w:cs="宋体"/>
          <w:b w:val="0"/>
          <w:bCs w:val="0"/>
          <w:color w:val="auto"/>
          <w:sz w:val="24"/>
          <w:szCs w:val="24"/>
          <w:highlight w:val="none"/>
        </w:rPr>
        <w:t>文件填写规范完整、字迹清晰，无涂改和脏污现象。</w:t>
      </w:r>
    </w:p>
    <w:p>
      <w:pPr>
        <w:pStyle w:val="17"/>
        <w:numPr>
          <w:ilvl w:val="1"/>
          <w:numId w:val="3"/>
        </w:numPr>
        <w:spacing w:line="360" w:lineRule="auto"/>
        <w:ind w:left="1065" w:leftChars="0" w:hanging="1065" w:firstLineChars="0"/>
        <w:outlineLvl w:val="0"/>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锅炉四管防磨防爆检查结束后，将完工文件扫描为电子版与纸质版一起交还。</w:t>
      </w:r>
    </w:p>
    <w:p>
      <w:pPr>
        <w:pStyle w:val="17"/>
        <w:numPr>
          <w:ilvl w:val="0"/>
          <w:numId w:val="3"/>
        </w:numPr>
        <w:spacing w:line="360" w:lineRule="auto"/>
        <w:ind w:left="1045" w:leftChars="0" w:hanging="1045" w:firstLineChars="0"/>
        <w:outlineLvl w:val="0"/>
        <w:rPr>
          <w:rFonts w:hint="eastAsia" w:ascii="宋体" w:hAnsi="宋体" w:eastAsia="宋体" w:cs="宋体"/>
          <w:b w:val="0"/>
          <w:bCs w:val="0"/>
          <w:sz w:val="24"/>
          <w:szCs w:val="24"/>
          <w:highlight w:val="none"/>
        </w:rPr>
      </w:pPr>
      <w:bookmarkStart w:id="15" w:name="_Toc27593"/>
      <w:r>
        <w:rPr>
          <w:rFonts w:hint="eastAsia" w:ascii="宋体" w:hAnsi="宋体" w:eastAsia="宋体" w:cs="宋体"/>
          <w:b w:val="0"/>
          <w:bCs w:val="0"/>
          <w:sz w:val="24"/>
          <w:szCs w:val="24"/>
          <w:highlight w:val="none"/>
        </w:rPr>
        <w:t>质量保证</w:t>
      </w:r>
      <w:bookmarkEnd w:id="15"/>
    </w:p>
    <w:p>
      <w:pPr>
        <w:pStyle w:val="17"/>
        <w:numPr>
          <w:ilvl w:val="1"/>
          <w:numId w:val="3"/>
        </w:numPr>
        <w:spacing w:line="360" w:lineRule="auto"/>
        <w:ind w:left="1065" w:leftChars="0" w:hanging="1065"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投标方必须有足够的，经验丰富的</w:t>
      </w:r>
      <w:r>
        <w:rPr>
          <w:rFonts w:hint="eastAsia" w:ascii="宋体" w:hAnsi="宋体" w:eastAsia="宋体" w:cs="宋体"/>
          <w:b w:val="0"/>
          <w:bCs w:val="0"/>
          <w:sz w:val="24"/>
          <w:szCs w:val="24"/>
          <w:highlight w:val="none"/>
        </w:rPr>
        <w:t>锅炉四管防磨防爆检查</w:t>
      </w:r>
      <w:r>
        <w:rPr>
          <w:rFonts w:hint="eastAsia" w:ascii="宋体" w:hAnsi="宋体" w:eastAsia="宋体" w:cs="宋体"/>
          <w:b w:val="0"/>
          <w:bCs w:val="0"/>
          <w:color w:val="auto"/>
          <w:sz w:val="24"/>
          <w:szCs w:val="24"/>
          <w:highlight w:val="none"/>
          <w:lang w:val="en-US" w:eastAsia="zh-CN"/>
        </w:rPr>
        <w:t>人员。</w:t>
      </w:r>
    </w:p>
    <w:p>
      <w:pPr>
        <w:pStyle w:val="17"/>
        <w:numPr>
          <w:ilvl w:val="1"/>
          <w:numId w:val="3"/>
        </w:numPr>
        <w:spacing w:line="360" w:lineRule="auto"/>
        <w:ind w:left="1065" w:leftChars="0" w:hanging="1065"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sz w:val="24"/>
          <w:szCs w:val="24"/>
          <w:highlight w:val="none"/>
        </w:rPr>
        <w:t>锅炉四管防磨防爆检查</w:t>
      </w:r>
      <w:r>
        <w:rPr>
          <w:rFonts w:hint="eastAsia" w:ascii="宋体" w:hAnsi="宋体" w:eastAsia="宋体" w:cs="宋体"/>
          <w:b w:val="0"/>
          <w:bCs w:val="0"/>
          <w:color w:val="auto"/>
          <w:sz w:val="24"/>
          <w:szCs w:val="24"/>
          <w:highlight w:val="none"/>
          <w:lang w:val="en-US" w:eastAsia="zh-CN"/>
        </w:rPr>
        <w:t>期间要连续进行，保证足够人员进行</w:t>
      </w:r>
      <w:r>
        <w:rPr>
          <w:rFonts w:hint="eastAsia" w:ascii="宋体" w:hAnsi="宋体" w:eastAsia="宋体" w:cs="宋体"/>
          <w:b w:val="0"/>
          <w:bCs w:val="0"/>
          <w:sz w:val="24"/>
          <w:szCs w:val="24"/>
          <w:highlight w:val="none"/>
        </w:rPr>
        <w:t>锅炉四管防磨防爆检查</w:t>
      </w:r>
      <w:r>
        <w:rPr>
          <w:rFonts w:hint="eastAsia" w:ascii="宋体" w:hAnsi="宋体" w:eastAsia="宋体" w:cs="宋体"/>
          <w:b w:val="0"/>
          <w:bCs w:val="0"/>
          <w:sz w:val="24"/>
          <w:szCs w:val="24"/>
          <w:highlight w:val="none"/>
          <w:lang w:val="en-US" w:eastAsia="zh-CN"/>
        </w:rPr>
        <w:t>。</w:t>
      </w:r>
    </w:p>
    <w:p>
      <w:pPr>
        <w:pStyle w:val="17"/>
        <w:numPr>
          <w:ilvl w:val="1"/>
          <w:numId w:val="3"/>
        </w:numPr>
        <w:spacing w:line="360" w:lineRule="auto"/>
        <w:ind w:left="1065" w:leftChars="0" w:hanging="1065"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sz w:val="24"/>
          <w:szCs w:val="24"/>
          <w:highlight w:val="none"/>
          <w:lang w:val="en-US" w:eastAsia="zh-CN"/>
        </w:rPr>
        <w:t>使用的工器具先进，工具轻巧，便于现场</w:t>
      </w:r>
      <w:r>
        <w:rPr>
          <w:rFonts w:hint="eastAsia" w:ascii="宋体" w:hAnsi="宋体" w:eastAsia="宋体" w:cs="宋体"/>
          <w:b w:val="0"/>
          <w:bCs w:val="0"/>
          <w:sz w:val="24"/>
          <w:szCs w:val="24"/>
          <w:highlight w:val="none"/>
        </w:rPr>
        <w:t>锅炉四管防磨防爆检查</w:t>
      </w:r>
      <w:r>
        <w:rPr>
          <w:rFonts w:hint="eastAsia" w:ascii="宋体" w:hAnsi="宋体" w:eastAsia="宋体" w:cs="宋体"/>
          <w:b w:val="0"/>
          <w:bCs w:val="0"/>
          <w:sz w:val="24"/>
          <w:szCs w:val="24"/>
          <w:highlight w:val="none"/>
          <w:lang w:val="en-US" w:eastAsia="zh-CN"/>
        </w:rPr>
        <w:t>人员使用。</w:t>
      </w:r>
    </w:p>
    <w:p>
      <w:pPr>
        <w:pStyle w:val="17"/>
        <w:numPr>
          <w:ilvl w:val="1"/>
          <w:numId w:val="3"/>
        </w:numPr>
        <w:spacing w:line="360" w:lineRule="auto"/>
        <w:ind w:left="1065" w:leftChars="0" w:hanging="1065"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sz w:val="24"/>
          <w:szCs w:val="24"/>
          <w:highlight w:val="none"/>
          <w:lang w:val="en-US" w:eastAsia="zh-CN"/>
        </w:rPr>
        <w:t>配备足够的工器具，不因损坏而停工耽误时间。</w:t>
      </w:r>
    </w:p>
    <w:p>
      <w:pPr>
        <w:pStyle w:val="17"/>
        <w:numPr>
          <w:ilvl w:val="1"/>
          <w:numId w:val="3"/>
        </w:numPr>
        <w:spacing w:line="360" w:lineRule="auto"/>
        <w:ind w:left="1065" w:leftChars="0" w:hanging="1065" w:firstLineChars="0"/>
        <w:outlineLvl w:val="0"/>
        <w:rPr>
          <w:rFonts w:hint="eastAsia" w:ascii="宋体" w:hAnsi="宋体" w:eastAsia="宋体" w:cs="宋体"/>
          <w:b w:val="0"/>
          <w:bCs w:val="0"/>
          <w:color w:val="auto"/>
          <w:sz w:val="24"/>
          <w:szCs w:val="24"/>
          <w:highlight w:val="none"/>
        </w:rPr>
      </w:pPr>
      <w:r>
        <w:rPr>
          <w:rFonts w:hint="eastAsia" w:ascii="宋体" w:hAnsi="宋体" w:eastAsia="宋体" w:cs="宋体"/>
          <w:b w:val="0"/>
          <w:bCs w:val="0"/>
          <w:sz w:val="24"/>
          <w:szCs w:val="24"/>
          <w:highlight w:val="none"/>
        </w:rPr>
        <w:t>投标方应保证所提供的锅炉四管防磨防爆检查</w:t>
      </w:r>
      <w:r>
        <w:rPr>
          <w:rFonts w:hint="eastAsia" w:ascii="宋体" w:hAnsi="宋体" w:eastAsia="宋体" w:cs="宋体"/>
          <w:b w:val="0"/>
          <w:bCs w:val="0"/>
          <w:sz w:val="24"/>
          <w:szCs w:val="24"/>
          <w:highlight w:val="none"/>
          <w:lang w:val="en-US" w:eastAsia="zh-CN"/>
        </w:rPr>
        <w:t>服务</w:t>
      </w:r>
      <w:r>
        <w:rPr>
          <w:rFonts w:hint="eastAsia" w:ascii="宋体" w:hAnsi="宋体" w:eastAsia="宋体" w:cs="宋体"/>
          <w:b w:val="0"/>
          <w:bCs w:val="0"/>
          <w:sz w:val="24"/>
          <w:szCs w:val="24"/>
          <w:highlight w:val="none"/>
        </w:rPr>
        <w:t>满足电厂安全、可靠运行的要求，并对现场施工等过程全面负责</w:t>
      </w:r>
      <w:r>
        <w:rPr>
          <w:rFonts w:hint="eastAsia" w:ascii="宋体" w:hAnsi="宋体" w:eastAsia="宋体" w:cs="宋体"/>
          <w:b w:val="0"/>
          <w:bCs w:val="0"/>
          <w:color w:val="auto"/>
          <w:sz w:val="24"/>
          <w:szCs w:val="24"/>
          <w:highlight w:val="none"/>
        </w:rPr>
        <w:t>。</w:t>
      </w:r>
    </w:p>
    <w:p>
      <w:pPr>
        <w:keepNext w:val="0"/>
        <w:keepLines w:val="0"/>
        <w:widowControl/>
        <w:suppressLineNumbers w:val="0"/>
        <w:jc w:val="center"/>
        <w:rPr>
          <w:rFonts w:hint="eastAsia" w:eastAsia="宋体" w:cs="Times New Roman"/>
          <w:sz w:val="32"/>
          <w:szCs w:val="32"/>
          <w:highlight w:val="none"/>
          <w:lang w:val="en-US" w:eastAsia="zh-CN"/>
        </w:rPr>
      </w:pPr>
      <w:r>
        <w:rPr>
          <w:rFonts w:hint="eastAsia" w:eastAsia="宋体" w:cs="Times New Roman"/>
          <w:sz w:val="32"/>
          <w:szCs w:val="32"/>
          <w:highlight w:val="none"/>
          <w:lang w:val="en-US" w:eastAsia="zh-CN"/>
        </w:rPr>
        <w:t>2026计划工作量</w:t>
      </w:r>
    </w:p>
    <w:tbl>
      <w:tblPr>
        <w:tblStyle w:val="13"/>
        <w:tblW w:w="910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40"/>
        <w:gridCol w:w="2792"/>
        <w:gridCol w:w="1005"/>
        <w:gridCol w:w="1005"/>
        <w:gridCol w:w="1298"/>
        <w:gridCol w:w="1257"/>
        <w:gridCol w:w="10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0"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序号</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检查内容</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单位</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次数</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单价（万元）</w:t>
            </w: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总价（万元）</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9102"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机组等级检修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both"/>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机组</w:t>
            </w:r>
            <w:r>
              <w:rPr>
                <w:rFonts w:ascii="Calibri" w:hAnsi="Calibri" w:eastAsia="宋体" w:cs="Calibri"/>
                <w:i w:val="0"/>
                <w:color w:val="000000"/>
                <w:kern w:val="0"/>
                <w:sz w:val="21"/>
                <w:szCs w:val="21"/>
                <w:highlight w:val="none"/>
                <w:u w:val="none"/>
                <w:lang w:val="en-US" w:eastAsia="zh-CN" w:bidi="ar"/>
              </w:rPr>
              <w:t>A</w:t>
            </w:r>
            <w:r>
              <w:rPr>
                <w:rFonts w:hint="eastAsia" w:ascii="宋体" w:hAnsi="宋体" w:eastAsia="宋体" w:cs="宋体"/>
                <w:i w:val="0"/>
                <w:color w:val="000000"/>
                <w:kern w:val="0"/>
                <w:sz w:val="21"/>
                <w:szCs w:val="21"/>
                <w:highlight w:val="none"/>
                <w:u w:val="none"/>
                <w:lang w:val="en-US" w:eastAsia="zh-CN" w:bidi="ar"/>
              </w:rPr>
              <w:t>修</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台.炉</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机组</w:t>
            </w:r>
            <w:r>
              <w:rPr>
                <w:rFonts w:ascii="Calibri" w:hAnsi="Calibri" w:eastAsia="宋体" w:cs="Calibri"/>
                <w:i w:val="0"/>
                <w:color w:val="000000"/>
                <w:kern w:val="0"/>
                <w:sz w:val="21"/>
                <w:szCs w:val="21"/>
                <w:highlight w:val="none"/>
                <w:u w:val="none"/>
                <w:lang w:val="en-US" w:eastAsia="zh-CN" w:bidi="ar"/>
              </w:rPr>
              <w:t>C</w:t>
            </w:r>
            <w:r>
              <w:rPr>
                <w:rFonts w:hint="eastAsia" w:ascii="宋体" w:hAnsi="宋体" w:eastAsia="宋体" w:cs="宋体"/>
                <w:i w:val="0"/>
                <w:color w:val="000000"/>
                <w:kern w:val="0"/>
                <w:sz w:val="21"/>
                <w:szCs w:val="21"/>
                <w:highlight w:val="none"/>
                <w:u w:val="none"/>
                <w:lang w:val="en-US" w:eastAsia="zh-CN" w:bidi="ar"/>
              </w:rPr>
              <w:t>修</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台.炉</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9102" w:type="dxa"/>
            <w:gridSpan w:val="7"/>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临时调停（一期机组）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冷灰斗水冷壁（一期）</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螺旋水冷壁（一期）</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垂直水冷壁（一期）</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4</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屏式过热器（一期、</w:t>
            </w:r>
            <w:r>
              <w:rPr>
                <w:rFonts w:ascii="Calibri" w:hAnsi="Calibri" w:eastAsia="宋体" w:cs="Calibri"/>
                <w:i w:val="0"/>
                <w:color w:val="000000"/>
                <w:kern w:val="0"/>
                <w:sz w:val="21"/>
                <w:szCs w:val="21"/>
                <w:highlight w:val="none"/>
                <w:u w:val="none"/>
                <w:lang w:val="en-US" w:eastAsia="zh-CN" w:bidi="ar"/>
              </w:rPr>
              <w:t>13</w:t>
            </w:r>
            <w:r>
              <w:rPr>
                <w:rFonts w:hint="eastAsia" w:ascii="宋体" w:hAnsi="宋体" w:eastAsia="宋体" w:cs="宋体"/>
                <w:i w:val="0"/>
                <w:color w:val="000000"/>
                <w:kern w:val="0"/>
                <w:sz w:val="21"/>
                <w:szCs w:val="21"/>
                <w:highlight w:val="none"/>
                <w:u w:val="none"/>
                <w:lang w:val="en-US" w:eastAsia="zh-CN" w:bidi="ar"/>
              </w:rPr>
              <w:t>片）</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5</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高温过热器（一期、</w:t>
            </w:r>
            <w:r>
              <w:rPr>
                <w:rFonts w:ascii="Calibri" w:hAnsi="Calibri" w:eastAsia="宋体" w:cs="Calibri"/>
                <w:i w:val="0"/>
                <w:color w:val="000000"/>
                <w:kern w:val="0"/>
                <w:sz w:val="21"/>
                <w:szCs w:val="21"/>
                <w:highlight w:val="none"/>
                <w:u w:val="none"/>
                <w:lang w:val="en-US" w:eastAsia="zh-CN" w:bidi="ar"/>
              </w:rPr>
              <w:t>31</w:t>
            </w:r>
            <w:r>
              <w:rPr>
                <w:rFonts w:hint="eastAsia" w:ascii="宋体" w:hAnsi="宋体" w:eastAsia="宋体" w:cs="宋体"/>
                <w:i w:val="0"/>
                <w:color w:val="000000"/>
                <w:kern w:val="0"/>
                <w:sz w:val="21"/>
                <w:szCs w:val="21"/>
                <w:highlight w:val="none"/>
                <w:u w:val="none"/>
                <w:lang w:val="en-US" w:eastAsia="zh-CN" w:bidi="ar"/>
              </w:rPr>
              <w:t>片）</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6</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高温再热器（一期、</w:t>
            </w:r>
            <w:r>
              <w:rPr>
                <w:rFonts w:ascii="Calibri" w:hAnsi="Calibri" w:eastAsia="宋体" w:cs="Calibri"/>
                <w:i w:val="0"/>
                <w:color w:val="000000"/>
                <w:kern w:val="0"/>
                <w:sz w:val="21"/>
                <w:szCs w:val="21"/>
                <w:highlight w:val="none"/>
                <w:u w:val="none"/>
                <w:lang w:val="en-US" w:eastAsia="zh-CN" w:bidi="ar"/>
              </w:rPr>
              <w:t>84</w:t>
            </w:r>
            <w:r>
              <w:rPr>
                <w:rFonts w:hint="eastAsia" w:ascii="宋体" w:hAnsi="宋体" w:eastAsia="宋体" w:cs="宋体"/>
                <w:i w:val="0"/>
                <w:color w:val="000000"/>
                <w:kern w:val="0"/>
                <w:sz w:val="21"/>
                <w:szCs w:val="21"/>
                <w:highlight w:val="none"/>
                <w:u w:val="none"/>
                <w:lang w:val="en-US" w:eastAsia="zh-CN" w:bidi="ar"/>
              </w:rPr>
              <w:t>片）</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7</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低温再热器（一期、</w:t>
            </w:r>
            <w:r>
              <w:rPr>
                <w:rFonts w:ascii="Calibri" w:hAnsi="Calibri" w:eastAsia="宋体" w:cs="Calibri"/>
                <w:i w:val="0"/>
                <w:color w:val="000000"/>
                <w:kern w:val="0"/>
                <w:sz w:val="21"/>
                <w:szCs w:val="21"/>
                <w:highlight w:val="none"/>
                <w:u w:val="none"/>
                <w:lang w:val="en-US" w:eastAsia="zh-CN" w:bidi="ar"/>
              </w:rPr>
              <w:t>3</w:t>
            </w:r>
            <w:r>
              <w:rPr>
                <w:rFonts w:hint="eastAsia" w:ascii="宋体" w:hAnsi="宋体" w:eastAsia="宋体" w:cs="宋体"/>
                <w:i w:val="0"/>
                <w:color w:val="000000"/>
                <w:kern w:val="0"/>
                <w:sz w:val="21"/>
                <w:szCs w:val="21"/>
                <w:highlight w:val="none"/>
                <w:u w:val="none"/>
                <w:lang w:val="en-US" w:eastAsia="zh-CN" w:bidi="ar"/>
              </w:rPr>
              <w:t>层）</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8</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低温过热器（一期、</w:t>
            </w:r>
            <w:r>
              <w:rPr>
                <w:rFonts w:ascii="Calibri" w:hAnsi="Calibri" w:eastAsia="宋体" w:cs="Calibri"/>
                <w:i w:val="0"/>
                <w:color w:val="000000"/>
                <w:kern w:val="0"/>
                <w:sz w:val="21"/>
                <w:szCs w:val="21"/>
                <w:highlight w:val="none"/>
                <w:u w:val="none"/>
                <w:lang w:val="en-US" w:eastAsia="zh-CN" w:bidi="ar"/>
              </w:rPr>
              <w:t>1</w:t>
            </w:r>
            <w:r>
              <w:rPr>
                <w:rFonts w:hint="eastAsia" w:ascii="宋体" w:hAnsi="宋体" w:eastAsia="宋体" w:cs="宋体"/>
                <w:i w:val="0"/>
                <w:color w:val="000000"/>
                <w:kern w:val="0"/>
                <w:sz w:val="21"/>
                <w:szCs w:val="21"/>
                <w:highlight w:val="none"/>
                <w:u w:val="none"/>
                <w:lang w:val="en-US" w:eastAsia="zh-CN" w:bidi="ar"/>
              </w:rPr>
              <w:t>层）</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9</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省煤器（一期、</w:t>
            </w:r>
            <w:r>
              <w:rPr>
                <w:rFonts w:ascii="Calibri" w:hAnsi="Calibri" w:eastAsia="宋体" w:cs="Calibri"/>
                <w:i w:val="0"/>
                <w:color w:val="000000"/>
                <w:kern w:val="0"/>
                <w:sz w:val="21"/>
                <w:szCs w:val="21"/>
                <w:highlight w:val="none"/>
                <w:u w:val="none"/>
                <w:lang w:val="en-US" w:eastAsia="zh-CN" w:bidi="ar"/>
              </w:rPr>
              <w:t>2</w:t>
            </w:r>
            <w:r>
              <w:rPr>
                <w:rFonts w:hint="eastAsia" w:ascii="宋体" w:hAnsi="宋体" w:eastAsia="宋体" w:cs="宋体"/>
                <w:i w:val="0"/>
                <w:color w:val="000000"/>
                <w:kern w:val="0"/>
                <w:sz w:val="21"/>
                <w:szCs w:val="21"/>
                <w:highlight w:val="none"/>
                <w:u w:val="none"/>
                <w:lang w:val="en-US" w:eastAsia="zh-CN" w:bidi="ar"/>
              </w:rPr>
              <w:t>层）</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9102" w:type="dxa"/>
            <w:gridSpan w:val="7"/>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临时调停（二期机组）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冷灰斗水冷壁（二期）</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2</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螺旋水冷壁（二期）</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3</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垂直水冷壁（二期）</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4</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分隔屏式过热器（二期、</w:t>
            </w:r>
            <w:r>
              <w:rPr>
                <w:rFonts w:ascii="Calibri" w:hAnsi="Calibri" w:eastAsia="宋体" w:cs="Calibri"/>
                <w:i w:val="0"/>
                <w:color w:val="000000"/>
                <w:kern w:val="0"/>
                <w:sz w:val="21"/>
                <w:szCs w:val="21"/>
                <w:highlight w:val="none"/>
                <w:u w:val="none"/>
                <w:lang w:val="en-US" w:eastAsia="zh-CN" w:bidi="ar"/>
              </w:rPr>
              <w:t>12</w:t>
            </w:r>
            <w:r>
              <w:rPr>
                <w:rFonts w:hint="eastAsia" w:ascii="宋体" w:hAnsi="宋体" w:eastAsia="宋体" w:cs="宋体"/>
                <w:i w:val="0"/>
                <w:color w:val="000000"/>
                <w:kern w:val="0"/>
                <w:sz w:val="21"/>
                <w:szCs w:val="21"/>
                <w:highlight w:val="none"/>
                <w:u w:val="none"/>
                <w:lang w:val="en-US" w:eastAsia="zh-CN" w:bidi="ar"/>
              </w:rPr>
              <w:t>片）</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5</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后屏过热器（二期、</w:t>
            </w:r>
            <w:r>
              <w:rPr>
                <w:rFonts w:ascii="Calibri" w:hAnsi="Calibri" w:eastAsia="宋体" w:cs="Calibri"/>
                <w:i w:val="0"/>
                <w:color w:val="000000"/>
                <w:kern w:val="0"/>
                <w:sz w:val="21"/>
                <w:szCs w:val="21"/>
                <w:highlight w:val="none"/>
                <w:u w:val="none"/>
                <w:lang w:val="en-US" w:eastAsia="zh-CN" w:bidi="ar"/>
              </w:rPr>
              <w:t>20</w:t>
            </w:r>
            <w:r>
              <w:rPr>
                <w:rFonts w:hint="eastAsia" w:ascii="宋体" w:hAnsi="宋体" w:eastAsia="宋体" w:cs="宋体"/>
                <w:i w:val="0"/>
                <w:color w:val="000000"/>
                <w:kern w:val="0"/>
                <w:sz w:val="21"/>
                <w:szCs w:val="21"/>
                <w:highlight w:val="none"/>
                <w:u w:val="none"/>
                <w:lang w:val="en-US" w:eastAsia="zh-CN" w:bidi="ar"/>
              </w:rPr>
              <w:t>片）</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6</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高温过热器（二期、</w:t>
            </w:r>
            <w:r>
              <w:rPr>
                <w:rFonts w:ascii="Calibri" w:hAnsi="Calibri" w:eastAsia="宋体" w:cs="Calibri"/>
                <w:i w:val="0"/>
                <w:color w:val="000000"/>
                <w:kern w:val="0"/>
                <w:sz w:val="21"/>
                <w:szCs w:val="21"/>
                <w:highlight w:val="none"/>
                <w:u w:val="none"/>
                <w:lang w:val="en-US" w:eastAsia="zh-CN" w:bidi="ar"/>
              </w:rPr>
              <w:t>33</w:t>
            </w:r>
            <w:r>
              <w:rPr>
                <w:rFonts w:hint="eastAsia" w:ascii="宋体" w:hAnsi="宋体" w:eastAsia="宋体" w:cs="宋体"/>
                <w:i w:val="0"/>
                <w:color w:val="000000"/>
                <w:kern w:val="0"/>
                <w:sz w:val="21"/>
                <w:szCs w:val="21"/>
                <w:highlight w:val="none"/>
                <w:u w:val="none"/>
                <w:lang w:val="en-US" w:eastAsia="zh-CN" w:bidi="ar"/>
              </w:rPr>
              <w:t>片）</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7</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高温再热器（二期、</w:t>
            </w:r>
            <w:r>
              <w:rPr>
                <w:rFonts w:ascii="Calibri" w:hAnsi="Calibri" w:eastAsia="宋体" w:cs="Calibri"/>
                <w:i w:val="0"/>
                <w:color w:val="000000"/>
                <w:kern w:val="0"/>
                <w:sz w:val="21"/>
                <w:szCs w:val="21"/>
                <w:highlight w:val="none"/>
                <w:u w:val="none"/>
                <w:lang w:val="en-US" w:eastAsia="zh-CN" w:bidi="ar"/>
              </w:rPr>
              <w:t>82</w:t>
            </w:r>
            <w:r>
              <w:rPr>
                <w:rFonts w:hint="eastAsia" w:ascii="宋体" w:hAnsi="宋体" w:eastAsia="宋体" w:cs="宋体"/>
                <w:i w:val="0"/>
                <w:color w:val="000000"/>
                <w:kern w:val="0"/>
                <w:sz w:val="21"/>
                <w:szCs w:val="21"/>
                <w:highlight w:val="none"/>
                <w:u w:val="none"/>
                <w:lang w:val="en-US" w:eastAsia="zh-CN" w:bidi="ar"/>
              </w:rPr>
              <w:t>片）</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8</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低温再热器（二期、</w:t>
            </w:r>
            <w:r>
              <w:rPr>
                <w:rFonts w:ascii="Calibri" w:hAnsi="Calibri" w:eastAsia="宋体" w:cs="Calibri"/>
                <w:i w:val="0"/>
                <w:color w:val="000000"/>
                <w:kern w:val="0"/>
                <w:sz w:val="21"/>
                <w:szCs w:val="21"/>
                <w:highlight w:val="none"/>
                <w:u w:val="none"/>
                <w:lang w:val="en-US" w:eastAsia="zh-CN" w:bidi="ar"/>
              </w:rPr>
              <w:t>4</w:t>
            </w:r>
            <w:r>
              <w:rPr>
                <w:rFonts w:hint="eastAsia" w:ascii="宋体" w:hAnsi="宋体" w:eastAsia="宋体" w:cs="宋体"/>
                <w:i w:val="0"/>
                <w:color w:val="000000"/>
                <w:kern w:val="0"/>
                <w:sz w:val="21"/>
                <w:szCs w:val="21"/>
                <w:highlight w:val="none"/>
                <w:u w:val="none"/>
                <w:lang w:val="en-US" w:eastAsia="zh-CN" w:bidi="ar"/>
              </w:rPr>
              <w:t>层）</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9</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低温过热器（二期、</w:t>
            </w:r>
            <w:r>
              <w:rPr>
                <w:rFonts w:ascii="Calibri" w:hAnsi="Calibri" w:eastAsia="宋体" w:cs="Calibri"/>
                <w:i w:val="0"/>
                <w:color w:val="000000"/>
                <w:kern w:val="0"/>
                <w:sz w:val="21"/>
                <w:szCs w:val="21"/>
                <w:highlight w:val="none"/>
                <w:u w:val="none"/>
                <w:lang w:val="en-US" w:eastAsia="zh-CN" w:bidi="ar"/>
              </w:rPr>
              <w:t>4</w:t>
            </w:r>
            <w:r>
              <w:rPr>
                <w:rFonts w:hint="eastAsia" w:ascii="宋体" w:hAnsi="宋体" w:eastAsia="宋体" w:cs="宋体"/>
                <w:i w:val="0"/>
                <w:color w:val="000000"/>
                <w:kern w:val="0"/>
                <w:sz w:val="21"/>
                <w:szCs w:val="21"/>
                <w:highlight w:val="none"/>
                <w:u w:val="none"/>
                <w:lang w:val="en-US" w:eastAsia="zh-CN" w:bidi="ar"/>
              </w:rPr>
              <w:t>层）</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left"/>
              <w:rPr>
                <w:rFonts w:hint="eastAsia" w:ascii="宋体" w:hAnsi="宋体" w:eastAsia="宋体" w:cs="宋体"/>
                <w:i w:val="0"/>
                <w:color w:val="000000"/>
                <w:sz w:val="21"/>
                <w:szCs w:val="21"/>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lang w:val="en-US" w:eastAsia="zh-CN"/>
              </w:rPr>
            </w:pPr>
            <w:r>
              <w:rPr>
                <w:rFonts w:hint="eastAsia" w:ascii="宋体" w:hAnsi="宋体" w:eastAsia="宋体" w:cs="宋体"/>
                <w:i w:val="0"/>
                <w:color w:val="000000"/>
                <w:sz w:val="21"/>
                <w:szCs w:val="21"/>
                <w:highlight w:val="none"/>
                <w:u w:val="none"/>
                <w:lang w:val="en-US" w:eastAsia="zh-CN"/>
              </w:rPr>
              <w:t>10</w:t>
            </w: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省煤器（二期、</w:t>
            </w:r>
            <w:r>
              <w:rPr>
                <w:rFonts w:ascii="Calibri" w:hAnsi="Calibri" w:eastAsia="宋体" w:cs="Calibri"/>
                <w:i w:val="0"/>
                <w:color w:val="000000"/>
                <w:kern w:val="0"/>
                <w:sz w:val="21"/>
                <w:szCs w:val="21"/>
                <w:highlight w:val="none"/>
                <w:u w:val="none"/>
                <w:lang w:val="en-US" w:eastAsia="zh-CN" w:bidi="ar"/>
              </w:rPr>
              <w:t>4</w:t>
            </w:r>
            <w:r>
              <w:rPr>
                <w:rFonts w:hint="eastAsia" w:ascii="宋体" w:hAnsi="宋体" w:eastAsia="宋体" w:cs="宋体"/>
                <w:i w:val="0"/>
                <w:color w:val="000000"/>
                <w:kern w:val="0"/>
                <w:sz w:val="21"/>
                <w:szCs w:val="21"/>
                <w:highlight w:val="none"/>
                <w:u w:val="none"/>
                <w:lang w:val="en-US" w:eastAsia="zh-CN" w:bidi="ar"/>
              </w:rPr>
              <w:t>层）</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1</w:t>
            </w: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both"/>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5" w:hRule="atLeast"/>
        </w:trPr>
        <w:tc>
          <w:tcPr>
            <w:tcW w:w="74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279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1"/>
                <w:szCs w:val="21"/>
                <w:highlight w:val="none"/>
                <w:u w:val="none"/>
              </w:rPr>
            </w:pPr>
            <w:r>
              <w:rPr>
                <w:rFonts w:hint="eastAsia" w:ascii="宋体" w:hAnsi="宋体" w:eastAsia="宋体" w:cs="宋体"/>
                <w:i w:val="0"/>
                <w:color w:val="000000"/>
                <w:kern w:val="0"/>
                <w:sz w:val="21"/>
                <w:szCs w:val="21"/>
                <w:highlight w:val="none"/>
                <w:u w:val="none"/>
                <w:lang w:val="en-US" w:eastAsia="zh-CN" w:bidi="ar"/>
              </w:rPr>
              <w:t>合计</w:t>
            </w: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29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000000"/>
                <w:sz w:val="21"/>
                <w:szCs w:val="21"/>
                <w:highlight w:val="none"/>
                <w:u w:val="none"/>
              </w:rPr>
            </w:pPr>
          </w:p>
        </w:tc>
        <w:tc>
          <w:tcPr>
            <w:tcW w:w="125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rPr>
                <w:rFonts w:hint="eastAsia" w:ascii="宋体" w:hAnsi="宋体" w:eastAsia="宋体" w:cs="宋体"/>
                <w:i w:val="0"/>
                <w:color w:val="000000"/>
                <w:sz w:val="24"/>
                <w:szCs w:val="24"/>
                <w:highlight w:val="none"/>
                <w:u w:val="none"/>
              </w:rPr>
            </w:pPr>
          </w:p>
        </w:tc>
      </w:tr>
    </w:tbl>
    <w:p>
      <w:pPr>
        <w:pStyle w:val="17"/>
        <w:widowControl w:val="0"/>
        <w:numPr>
          <w:ilvl w:val="0"/>
          <w:numId w:val="0"/>
        </w:numPr>
        <w:spacing w:line="360" w:lineRule="auto"/>
        <w:jc w:val="both"/>
        <w:outlineLvl w:val="0"/>
        <w:rPr>
          <w:rFonts w:hint="eastAsia" w:ascii="宋体" w:hAnsi="宋体" w:eastAsia="宋体" w:cs="宋体"/>
          <w:b w:val="0"/>
          <w:bCs w:val="0"/>
          <w:color w:val="auto"/>
          <w:sz w:val="24"/>
          <w:szCs w:val="24"/>
          <w:highlight w:val="none"/>
        </w:rPr>
      </w:pPr>
    </w:p>
    <w:p>
      <w:pPr>
        <w:pStyle w:val="17"/>
        <w:numPr>
          <w:ilvl w:val="0"/>
          <w:numId w:val="0"/>
        </w:numPr>
        <w:spacing w:line="360" w:lineRule="auto"/>
        <w:ind w:leftChars="0"/>
        <w:outlineLvl w:val="0"/>
        <w:rPr>
          <w:rFonts w:hint="eastAsia"/>
          <w:b w:val="0"/>
          <w:bCs w:val="0"/>
          <w:color w:val="auto"/>
          <w:sz w:val="28"/>
          <w:szCs w:val="28"/>
          <w:highlight w:val="none"/>
          <w:lang w:val="en-US" w:eastAsia="zh-CN"/>
        </w:rPr>
      </w:pPr>
    </w:p>
    <w:p>
      <w:pPr>
        <w:pStyle w:val="17"/>
        <w:numPr>
          <w:ilvl w:val="0"/>
          <w:numId w:val="0"/>
        </w:numPr>
        <w:spacing w:line="360" w:lineRule="auto"/>
        <w:ind w:leftChars="0"/>
        <w:outlineLvl w:val="0"/>
        <w:rPr>
          <w:rFonts w:hint="eastAsia"/>
          <w:b w:val="0"/>
          <w:bCs w:val="0"/>
          <w:color w:val="auto"/>
          <w:sz w:val="28"/>
          <w:szCs w:val="28"/>
          <w:highlight w:val="none"/>
          <w:lang w:val="en-US" w:eastAsia="zh-CN"/>
        </w:rPr>
      </w:pPr>
    </w:p>
    <w:p>
      <w:pPr>
        <w:pStyle w:val="17"/>
        <w:numPr>
          <w:ilvl w:val="0"/>
          <w:numId w:val="0"/>
        </w:numPr>
        <w:spacing w:line="360" w:lineRule="auto"/>
        <w:ind w:leftChars="0"/>
        <w:outlineLvl w:val="0"/>
        <w:rPr>
          <w:rFonts w:hint="eastAsia"/>
          <w:b w:val="0"/>
          <w:bCs w:val="0"/>
          <w:color w:val="auto"/>
          <w:sz w:val="28"/>
          <w:szCs w:val="28"/>
          <w:highlight w:val="none"/>
          <w:lang w:val="en-US" w:eastAsia="zh-CN"/>
        </w:rPr>
      </w:pPr>
    </w:p>
    <w:sectPr>
      <w:pgSz w:w="11906" w:h="16838"/>
      <w:pgMar w:top="1417" w:right="1417" w:bottom="1417" w:left="1417" w:header="851" w:footer="992" w:gutter="0"/>
      <w:cols w:space="0" w:num="1"/>
      <w:rtlGutter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宋体,Bold">
    <w:altName w:val="黑体"/>
    <w:panose1 w:val="00000000000000000000"/>
    <w:charset w:val="86"/>
    <w:family w:val="auto"/>
    <w:pitch w:val="default"/>
    <w:sig w:usb0="00000000" w:usb1="00000000" w:usb2="00000010" w:usb3="00000000" w:csb0="00040000" w:csb1="00000000"/>
  </w:font>
  <w:font w:name="ºÚÌå">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C7ACD0"/>
    <w:multiLevelType w:val="singleLevel"/>
    <w:tmpl w:val="85C7ACD0"/>
    <w:lvl w:ilvl="0" w:tentative="0">
      <w:start w:val="1"/>
      <w:numFmt w:val="bullet"/>
      <w:lvlText w:val=""/>
      <w:lvlJc w:val="left"/>
      <w:pPr>
        <w:ind w:left="420" w:hanging="420"/>
      </w:pPr>
      <w:rPr>
        <w:rFonts w:hint="default" w:ascii="Wingdings" w:hAnsi="Wingdings"/>
      </w:rPr>
    </w:lvl>
  </w:abstractNum>
  <w:abstractNum w:abstractNumId="1">
    <w:nsid w:val="B2DF973D"/>
    <w:multiLevelType w:val="multilevel"/>
    <w:tmpl w:val="B2DF973D"/>
    <w:lvl w:ilvl="0" w:tentative="0">
      <w:start w:val="1"/>
      <w:numFmt w:val="decimal"/>
      <w:lvlText w:val="%1"/>
      <w:lvlJc w:val="left"/>
      <w:pPr>
        <w:ind w:left="425" w:hanging="425"/>
      </w:pPr>
      <w:rPr>
        <w:rFonts w:hint="default" w:ascii="宋体" w:hAnsi="宋体" w:eastAsia="宋体" w:cs="宋体"/>
      </w:rPr>
    </w:lvl>
    <w:lvl w:ilvl="1" w:tentative="0">
      <w:start w:val="1"/>
      <w:numFmt w:val="decimal"/>
      <w:lvlText w:val="%1.%2"/>
      <w:lvlJc w:val="left"/>
      <w:pPr>
        <w:ind w:left="567" w:hanging="567"/>
      </w:pPr>
      <w:rPr>
        <w:rFonts w:hint="default" w:ascii="宋体" w:hAnsi="宋体" w:eastAsia="宋体" w:cs="宋体"/>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BF3E8F56"/>
    <w:multiLevelType w:val="singleLevel"/>
    <w:tmpl w:val="BF3E8F56"/>
    <w:lvl w:ilvl="0" w:tentative="0">
      <w:start w:val="1"/>
      <w:numFmt w:val="decimal"/>
      <w:suff w:val="nothing"/>
      <w:lvlText w:val="%1、"/>
      <w:lvlJc w:val="left"/>
    </w:lvl>
  </w:abstractNum>
  <w:abstractNum w:abstractNumId="3">
    <w:nsid w:val="C1D5A082"/>
    <w:multiLevelType w:val="singleLevel"/>
    <w:tmpl w:val="C1D5A082"/>
    <w:lvl w:ilvl="0" w:tentative="0">
      <w:start w:val="1"/>
      <w:numFmt w:val="bullet"/>
      <w:lvlText w:val=""/>
      <w:lvlJc w:val="left"/>
      <w:pPr>
        <w:ind w:left="420" w:hanging="420"/>
      </w:pPr>
      <w:rPr>
        <w:rFonts w:hint="default" w:ascii="Wingdings" w:hAnsi="Wingdings"/>
      </w:rPr>
    </w:lvl>
  </w:abstractNum>
  <w:abstractNum w:abstractNumId="4">
    <w:nsid w:val="10D91072"/>
    <w:multiLevelType w:val="multilevel"/>
    <w:tmpl w:val="10D9107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pStyle w:val="22"/>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
      <w:suff w:val="nothing"/>
      <w:lvlText w:val="2.%2　"/>
      <w:lvlJc w:val="left"/>
      <w:pPr>
        <w:ind w:left="21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3"/>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4E0A2631"/>
    <w:multiLevelType w:val="multilevel"/>
    <w:tmpl w:val="4E0A2631"/>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4"/>
  </w:num>
  <w:num w:numId="2">
    <w:abstractNumId w:val="5"/>
  </w:num>
  <w:num w:numId="3">
    <w:abstractNumId w:val="1"/>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FlZTNjNzg5NGVmZDg3ZTQzYWY2MjBiYTU5ZjcxMmMifQ=="/>
  </w:docVars>
  <w:rsids>
    <w:rsidRoot w:val="007134D8"/>
    <w:rsid w:val="000142AB"/>
    <w:rsid w:val="0001773F"/>
    <w:rsid w:val="000258CD"/>
    <w:rsid w:val="0003194F"/>
    <w:rsid w:val="0004476A"/>
    <w:rsid w:val="00051DF4"/>
    <w:rsid w:val="00056C5A"/>
    <w:rsid w:val="00065211"/>
    <w:rsid w:val="00067E3B"/>
    <w:rsid w:val="00073061"/>
    <w:rsid w:val="00083425"/>
    <w:rsid w:val="000859F7"/>
    <w:rsid w:val="00085A10"/>
    <w:rsid w:val="00090E14"/>
    <w:rsid w:val="000A2CC4"/>
    <w:rsid w:val="000A3AE1"/>
    <w:rsid w:val="000D3F67"/>
    <w:rsid w:val="001015E1"/>
    <w:rsid w:val="001168C4"/>
    <w:rsid w:val="00124D69"/>
    <w:rsid w:val="00135ECF"/>
    <w:rsid w:val="001560C4"/>
    <w:rsid w:val="001568E0"/>
    <w:rsid w:val="00164C76"/>
    <w:rsid w:val="001A5A38"/>
    <w:rsid w:val="001C100A"/>
    <w:rsid w:val="001C7A67"/>
    <w:rsid w:val="001E4843"/>
    <w:rsid w:val="0020494B"/>
    <w:rsid w:val="00206E56"/>
    <w:rsid w:val="00213050"/>
    <w:rsid w:val="00214E5F"/>
    <w:rsid w:val="002160A5"/>
    <w:rsid w:val="0022002B"/>
    <w:rsid w:val="0024719A"/>
    <w:rsid w:val="00254121"/>
    <w:rsid w:val="0027099F"/>
    <w:rsid w:val="002974B7"/>
    <w:rsid w:val="002B408A"/>
    <w:rsid w:val="002B40E3"/>
    <w:rsid w:val="002D2AC3"/>
    <w:rsid w:val="002F19E5"/>
    <w:rsid w:val="002F2EAE"/>
    <w:rsid w:val="002F3C42"/>
    <w:rsid w:val="003035C3"/>
    <w:rsid w:val="00315BC1"/>
    <w:rsid w:val="0034240F"/>
    <w:rsid w:val="003524D1"/>
    <w:rsid w:val="00373895"/>
    <w:rsid w:val="003949E2"/>
    <w:rsid w:val="003C475D"/>
    <w:rsid w:val="003D27A2"/>
    <w:rsid w:val="003E7F81"/>
    <w:rsid w:val="003F09B5"/>
    <w:rsid w:val="00412568"/>
    <w:rsid w:val="00437359"/>
    <w:rsid w:val="004414A3"/>
    <w:rsid w:val="004663C5"/>
    <w:rsid w:val="00483BB2"/>
    <w:rsid w:val="00487138"/>
    <w:rsid w:val="004B686D"/>
    <w:rsid w:val="004D7BB2"/>
    <w:rsid w:val="00505FEB"/>
    <w:rsid w:val="00534D74"/>
    <w:rsid w:val="005479F6"/>
    <w:rsid w:val="00554FF8"/>
    <w:rsid w:val="005854C5"/>
    <w:rsid w:val="005C547D"/>
    <w:rsid w:val="005E1811"/>
    <w:rsid w:val="00606FDA"/>
    <w:rsid w:val="0063175E"/>
    <w:rsid w:val="00640E78"/>
    <w:rsid w:val="0064651B"/>
    <w:rsid w:val="00647FF3"/>
    <w:rsid w:val="00653A0B"/>
    <w:rsid w:val="006B4CCA"/>
    <w:rsid w:val="006D6F84"/>
    <w:rsid w:val="006F5EAC"/>
    <w:rsid w:val="007134D8"/>
    <w:rsid w:val="0075280F"/>
    <w:rsid w:val="0075296D"/>
    <w:rsid w:val="00752D96"/>
    <w:rsid w:val="00757839"/>
    <w:rsid w:val="007B7190"/>
    <w:rsid w:val="007C1E30"/>
    <w:rsid w:val="007C4096"/>
    <w:rsid w:val="007D276D"/>
    <w:rsid w:val="007D4BFA"/>
    <w:rsid w:val="007D61FD"/>
    <w:rsid w:val="00800225"/>
    <w:rsid w:val="00805D61"/>
    <w:rsid w:val="00807861"/>
    <w:rsid w:val="00807B8A"/>
    <w:rsid w:val="0082079E"/>
    <w:rsid w:val="008247EC"/>
    <w:rsid w:val="0083039F"/>
    <w:rsid w:val="008338F0"/>
    <w:rsid w:val="00854437"/>
    <w:rsid w:val="00861FD6"/>
    <w:rsid w:val="00871269"/>
    <w:rsid w:val="0087204B"/>
    <w:rsid w:val="00874EEB"/>
    <w:rsid w:val="00881895"/>
    <w:rsid w:val="008847AD"/>
    <w:rsid w:val="00884D31"/>
    <w:rsid w:val="008B7A86"/>
    <w:rsid w:val="008B7E98"/>
    <w:rsid w:val="008D5748"/>
    <w:rsid w:val="0091397E"/>
    <w:rsid w:val="0092405B"/>
    <w:rsid w:val="00924BAE"/>
    <w:rsid w:val="00944FDF"/>
    <w:rsid w:val="00967DF4"/>
    <w:rsid w:val="0098247C"/>
    <w:rsid w:val="009A748A"/>
    <w:rsid w:val="009B0428"/>
    <w:rsid w:val="009C0F90"/>
    <w:rsid w:val="009C383C"/>
    <w:rsid w:val="009D3D0E"/>
    <w:rsid w:val="009D43A9"/>
    <w:rsid w:val="009F4F51"/>
    <w:rsid w:val="00A205FE"/>
    <w:rsid w:val="00A46EDD"/>
    <w:rsid w:val="00A51E3E"/>
    <w:rsid w:val="00AA145D"/>
    <w:rsid w:val="00AA2E9F"/>
    <w:rsid w:val="00AA493F"/>
    <w:rsid w:val="00AC6491"/>
    <w:rsid w:val="00AC6F9F"/>
    <w:rsid w:val="00AD1F43"/>
    <w:rsid w:val="00AF6D6D"/>
    <w:rsid w:val="00B13338"/>
    <w:rsid w:val="00B3518A"/>
    <w:rsid w:val="00B35B37"/>
    <w:rsid w:val="00B43F19"/>
    <w:rsid w:val="00B608C3"/>
    <w:rsid w:val="00B80DED"/>
    <w:rsid w:val="00B938B6"/>
    <w:rsid w:val="00BB33B9"/>
    <w:rsid w:val="00BD3A7C"/>
    <w:rsid w:val="00C0616A"/>
    <w:rsid w:val="00C06D97"/>
    <w:rsid w:val="00C115BD"/>
    <w:rsid w:val="00C15041"/>
    <w:rsid w:val="00C16B59"/>
    <w:rsid w:val="00C513B4"/>
    <w:rsid w:val="00C52765"/>
    <w:rsid w:val="00C5790C"/>
    <w:rsid w:val="00C95811"/>
    <w:rsid w:val="00CD1FB5"/>
    <w:rsid w:val="00CE4014"/>
    <w:rsid w:val="00CE4204"/>
    <w:rsid w:val="00CF54D6"/>
    <w:rsid w:val="00D07979"/>
    <w:rsid w:val="00D165C3"/>
    <w:rsid w:val="00D22A10"/>
    <w:rsid w:val="00D44665"/>
    <w:rsid w:val="00D54251"/>
    <w:rsid w:val="00D56070"/>
    <w:rsid w:val="00D63A6F"/>
    <w:rsid w:val="00D666F5"/>
    <w:rsid w:val="00DB24B7"/>
    <w:rsid w:val="00DF7C86"/>
    <w:rsid w:val="00E0764A"/>
    <w:rsid w:val="00E54E6A"/>
    <w:rsid w:val="00E555CC"/>
    <w:rsid w:val="00E65B86"/>
    <w:rsid w:val="00E84ADD"/>
    <w:rsid w:val="00E87878"/>
    <w:rsid w:val="00EC2945"/>
    <w:rsid w:val="00EC5DD0"/>
    <w:rsid w:val="00EF1FFA"/>
    <w:rsid w:val="00EF3FD0"/>
    <w:rsid w:val="00F1153E"/>
    <w:rsid w:val="00F24E57"/>
    <w:rsid w:val="00F43A47"/>
    <w:rsid w:val="00F56383"/>
    <w:rsid w:val="00F71F47"/>
    <w:rsid w:val="00F765A9"/>
    <w:rsid w:val="00F83EA9"/>
    <w:rsid w:val="00F91158"/>
    <w:rsid w:val="00F97424"/>
    <w:rsid w:val="00FB15E3"/>
    <w:rsid w:val="00FC6141"/>
    <w:rsid w:val="00FE5D51"/>
    <w:rsid w:val="00FF2CAF"/>
    <w:rsid w:val="01877267"/>
    <w:rsid w:val="01935392"/>
    <w:rsid w:val="01CB2776"/>
    <w:rsid w:val="0266216D"/>
    <w:rsid w:val="02971635"/>
    <w:rsid w:val="02A549FA"/>
    <w:rsid w:val="02B427A2"/>
    <w:rsid w:val="02BB567D"/>
    <w:rsid w:val="02EC6CB6"/>
    <w:rsid w:val="031C308B"/>
    <w:rsid w:val="044071C1"/>
    <w:rsid w:val="04542BF7"/>
    <w:rsid w:val="04635ECE"/>
    <w:rsid w:val="046A2D30"/>
    <w:rsid w:val="04BB5895"/>
    <w:rsid w:val="04D92726"/>
    <w:rsid w:val="050D0F58"/>
    <w:rsid w:val="059A0BF6"/>
    <w:rsid w:val="05AF4D8B"/>
    <w:rsid w:val="05CB3265"/>
    <w:rsid w:val="060A1504"/>
    <w:rsid w:val="061B283B"/>
    <w:rsid w:val="062F6DA9"/>
    <w:rsid w:val="063137B8"/>
    <w:rsid w:val="069B37D2"/>
    <w:rsid w:val="07146672"/>
    <w:rsid w:val="07606CB5"/>
    <w:rsid w:val="076B229E"/>
    <w:rsid w:val="079F543E"/>
    <w:rsid w:val="07AA536F"/>
    <w:rsid w:val="083B6ACA"/>
    <w:rsid w:val="08781A30"/>
    <w:rsid w:val="088A193A"/>
    <w:rsid w:val="089008CC"/>
    <w:rsid w:val="08901CAC"/>
    <w:rsid w:val="097573AA"/>
    <w:rsid w:val="098F244D"/>
    <w:rsid w:val="09BE28D5"/>
    <w:rsid w:val="09DE65E0"/>
    <w:rsid w:val="0A266D52"/>
    <w:rsid w:val="0A2D2DDF"/>
    <w:rsid w:val="0A7D43A8"/>
    <w:rsid w:val="0AB32382"/>
    <w:rsid w:val="0B0762EA"/>
    <w:rsid w:val="0B235E0D"/>
    <w:rsid w:val="0B247678"/>
    <w:rsid w:val="0B9561CE"/>
    <w:rsid w:val="0B961A35"/>
    <w:rsid w:val="0BBC0E4C"/>
    <w:rsid w:val="0BD02480"/>
    <w:rsid w:val="0C192A3A"/>
    <w:rsid w:val="0C345588"/>
    <w:rsid w:val="0C69766A"/>
    <w:rsid w:val="0CC166AB"/>
    <w:rsid w:val="0CDB4C32"/>
    <w:rsid w:val="0D21293D"/>
    <w:rsid w:val="0D2237D0"/>
    <w:rsid w:val="0D455950"/>
    <w:rsid w:val="0D574CED"/>
    <w:rsid w:val="0D893A8B"/>
    <w:rsid w:val="0D922FCF"/>
    <w:rsid w:val="0DBF427C"/>
    <w:rsid w:val="0E3909CE"/>
    <w:rsid w:val="0E805D76"/>
    <w:rsid w:val="0E826339"/>
    <w:rsid w:val="0EB91305"/>
    <w:rsid w:val="0F9476BA"/>
    <w:rsid w:val="100C60B4"/>
    <w:rsid w:val="10800732"/>
    <w:rsid w:val="10EF4DC9"/>
    <w:rsid w:val="11946C82"/>
    <w:rsid w:val="11B74F85"/>
    <w:rsid w:val="121B3957"/>
    <w:rsid w:val="122F3633"/>
    <w:rsid w:val="129303E5"/>
    <w:rsid w:val="12D864F1"/>
    <w:rsid w:val="13061F3E"/>
    <w:rsid w:val="130B24C5"/>
    <w:rsid w:val="13FA09AE"/>
    <w:rsid w:val="146E54AF"/>
    <w:rsid w:val="147628DE"/>
    <w:rsid w:val="14790B51"/>
    <w:rsid w:val="14A335D8"/>
    <w:rsid w:val="14F31111"/>
    <w:rsid w:val="15156EBA"/>
    <w:rsid w:val="15426961"/>
    <w:rsid w:val="15503948"/>
    <w:rsid w:val="156C3D3D"/>
    <w:rsid w:val="1575391D"/>
    <w:rsid w:val="159619FB"/>
    <w:rsid w:val="15D437AE"/>
    <w:rsid w:val="16177536"/>
    <w:rsid w:val="161E67B1"/>
    <w:rsid w:val="16AB6BC8"/>
    <w:rsid w:val="16B75499"/>
    <w:rsid w:val="16CB3E79"/>
    <w:rsid w:val="16E57CE9"/>
    <w:rsid w:val="171B2156"/>
    <w:rsid w:val="17436568"/>
    <w:rsid w:val="174C1E32"/>
    <w:rsid w:val="17510F5A"/>
    <w:rsid w:val="17CF3A02"/>
    <w:rsid w:val="17D225D4"/>
    <w:rsid w:val="19076FE6"/>
    <w:rsid w:val="19481E5B"/>
    <w:rsid w:val="19DA1D3E"/>
    <w:rsid w:val="19E57257"/>
    <w:rsid w:val="1A2067D7"/>
    <w:rsid w:val="1A697C1F"/>
    <w:rsid w:val="1B031F3B"/>
    <w:rsid w:val="1B2236C2"/>
    <w:rsid w:val="1BB65A6F"/>
    <w:rsid w:val="1C687871"/>
    <w:rsid w:val="1C6D6462"/>
    <w:rsid w:val="1CAF01C6"/>
    <w:rsid w:val="1CE1494E"/>
    <w:rsid w:val="1CE6375B"/>
    <w:rsid w:val="1CEB639F"/>
    <w:rsid w:val="1CF46733"/>
    <w:rsid w:val="1D227786"/>
    <w:rsid w:val="1D6F50B3"/>
    <w:rsid w:val="1DCD2288"/>
    <w:rsid w:val="1DE849CC"/>
    <w:rsid w:val="1E1B22BE"/>
    <w:rsid w:val="1E3875C3"/>
    <w:rsid w:val="1E487497"/>
    <w:rsid w:val="1E51630B"/>
    <w:rsid w:val="1EC22DA9"/>
    <w:rsid w:val="1EC77BEB"/>
    <w:rsid w:val="1F27461F"/>
    <w:rsid w:val="1F2E747F"/>
    <w:rsid w:val="1F6629B1"/>
    <w:rsid w:val="1FC735F9"/>
    <w:rsid w:val="1FDC75FD"/>
    <w:rsid w:val="1FE00EF7"/>
    <w:rsid w:val="20277ED3"/>
    <w:rsid w:val="20327DFC"/>
    <w:rsid w:val="20F41189"/>
    <w:rsid w:val="20F97292"/>
    <w:rsid w:val="20FF5868"/>
    <w:rsid w:val="210141C6"/>
    <w:rsid w:val="211C1367"/>
    <w:rsid w:val="222C0148"/>
    <w:rsid w:val="224376A4"/>
    <w:rsid w:val="224A3356"/>
    <w:rsid w:val="224F365B"/>
    <w:rsid w:val="229F242B"/>
    <w:rsid w:val="229F3B5B"/>
    <w:rsid w:val="22B503DA"/>
    <w:rsid w:val="22CC78BF"/>
    <w:rsid w:val="22F34374"/>
    <w:rsid w:val="239E6728"/>
    <w:rsid w:val="24672CA9"/>
    <w:rsid w:val="24D116E9"/>
    <w:rsid w:val="24F76DF1"/>
    <w:rsid w:val="25711F61"/>
    <w:rsid w:val="25A247E8"/>
    <w:rsid w:val="25AC6C1F"/>
    <w:rsid w:val="25E51593"/>
    <w:rsid w:val="266545B7"/>
    <w:rsid w:val="26A83110"/>
    <w:rsid w:val="26D0129E"/>
    <w:rsid w:val="273F768F"/>
    <w:rsid w:val="27871597"/>
    <w:rsid w:val="279B14BD"/>
    <w:rsid w:val="27C70611"/>
    <w:rsid w:val="28247934"/>
    <w:rsid w:val="282F05A4"/>
    <w:rsid w:val="28704C1B"/>
    <w:rsid w:val="28BC28DA"/>
    <w:rsid w:val="29051FDF"/>
    <w:rsid w:val="290E53FA"/>
    <w:rsid w:val="297B57CF"/>
    <w:rsid w:val="29D61438"/>
    <w:rsid w:val="2A3765D4"/>
    <w:rsid w:val="2AE51350"/>
    <w:rsid w:val="2B0B4CE0"/>
    <w:rsid w:val="2B163056"/>
    <w:rsid w:val="2B2A6A30"/>
    <w:rsid w:val="2B983F46"/>
    <w:rsid w:val="2BCC61A4"/>
    <w:rsid w:val="2BDE1CD8"/>
    <w:rsid w:val="2C172799"/>
    <w:rsid w:val="2C1E32A1"/>
    <w:rsid w:val="2CE608B8"/>
    <w:rsid w:val="2CF560ED"/>
    <w:rsid w:val="2D174AD7"/>
    <w:rsid w:val="2D252324"/>
    <w:rsid w:val="2DEA1B7D"/>
    <w:rsid w:val="2DF17ACC"/>
    <w:rsid w:val="2E9E2332"/>
    <w:rsid w:val="2EEC2EFA"/>
    <w:rsid w:val="2F5D0EFF"/>
    <w:rsid w:val="2F604A76"/>
    <w:rsid w:val="2F6B233F"/>
    <w:rsid w:val="2FFD7AE0"/>
    <w:rsid w:val="2FFF45A1"/>
    <w:rsid w:val="30722ED1"/>
    <w:rsid w:val="31B94976"/>
    <w:rsid w:val="31C60B8B"/>
    <w:rsid w:val="31F062CD"/>
    <w:rsid w:val="322E02E8"/>
    <w:rsid w:val="3290008B"/>
    <w:rsid w:val="329D7211"/>
    <w:rsid w:val="33EE1226"/>
    <w:rsid w:val="341A0CF1"/>
    <w:rsid w:val="341B6392"/>
    <w:rsid w:val="3429472C"/>
    <w:rsid w:val="34CB61B8"/>
    <w:rsid w:val="34D05001"/>
    <w:rsid w:val="34E639FD"/>
    <w:rsid w:val="35340C7D"/>
    <w:rsid w:val="35407F02"/>
    <w:rsid w:val="357B3C86"/>
    <w:rsid w:val="358B27AC"/>
    <w:rsid w:val="35A42FA2"/>
    <w:rsid w:val="35AD4CEC"/>
    <w:rsid w:val="364E48F1"/>
    <w:rsid w:val="36B529F0"/>
    <w:rsid w:val="37873924"/>
    <w:rsid w:val="37B27EC2"/>
    <w:rsid w:val="38041C1A"/>
    <w:rsid w:val="38C32EA2"/>
    <w:rsid w:val="38CA27FD"/>
    <w:rsid w:val="395D1A10"/>
    <w:rsid w:val="397A32F2"/>
    <w:rsid w:val="3A5169CC"/>
    <w:rsid w:val="3AB95EFD"/>
    <w:rsid w:val="3ABD49BB"/>
    <w:rsid w:val="3ACF4294"/>
    <w:rsid w:val="3AF61C1A"/>
    <w:rsid w:val="3B0958D0"/>
    <w:rsid w:val="3B4641E3"/>
    <w:rsid w:val="3B6B5954"/>
    <w:rsid w:val="3B72756D"/>
    <w:rsid w:val="3C0007A9"/>
    <w:rsid w:val="3C2B184B"/>
    <w:rsid w:val="3C3A444D"/>
    <w:rsid w:val="3CF56F36"/>
    <w:rsid w:val="3D0A70CF"/>
    <w:rsid w:val="3D7475BB"/>
    <w:rsid w:val="3D875486"/>
    <w:rsid w:val="3D9D73FD"/>
    <w:rsid w:val="3DA12FE8"/>
    <w:rsid w:val="3DBC7440"/>
    <w:rsid w:val="3E28465C"/>
    <w:rsid w:val="3E986AEC"/>
    <w:rsid w:val="3EDD0D23"/>
    <w:rsid w:val="3EE35D0B"/>
    <w:rsid w:val="3EF20192"/>
    <w:rsid w:val="3F014D23"/>
    <w:rsid w:val="3F2245B3"/>
    <w:rsid w:val="3FA67B0B"/>
    <w:rsid w:val="3FAD2CC7"/>
    <w:rsid w:val="3FE172F5"/>
    <w:rsid w:val="3FF04313"/>
    <w:rsid w:val="4086525F"/>
    <w:rsid w:val="409E1BCF"/>
    <w:rsid w:val="40EF3076"/>
    <w:rsid w:val="40F42859"/>
    <w:rsid w:val="4146473B"/>
    <w:rsid w:val="41A201DB"/>
    <w:rsid w:val="41F97BAD"/>
    <w:rsid w:val="424B1B22"/>
    <w:rsid w:val="42680C8F"/>
    <w:rsid w:val="427838E1"/>
    <w:rsid w:val="42EC3D3E"/>
    <w:rsid w:val="439216EE"/>
    <w:rsid w:val="44157D20"/>
    <w:rsid w:val="44C105DB"/>
    <w:rsid w:val="44D10E5C"/>
    <w:rsid w:val="44DB60A3"/>
    <w:rsid w:val="453F55FC"/>
    <w:rsid w:val="457E46D4"/>
    <w:rsid w:val="45B77846"/>
    <w:rsid w:val="45F52B6B"/>
    <w:rsid w:val="46226D91"/>
    <w:rsid w:val="465657E3"/>
    <w:rsid w:val="46E64220"/>
    <w:rsid w:val="46FA25EE"/>
    <w:rsid w:val="471A40AD"/>
    <w:rsid w:val="47320924"/>
    <w:rsid w:val="4749668A"/>
    <w:rsid w:val="478211ED"/>
    <w:rsid w:val="47B2666D"/>
    <w:rsid w:val="4829271D"/>
    <w:rsid w:val="48371B81"/>
    <w:rsid w:val="484C1FFA"/>
    <w:rsid w:val="48634B00"/>
    <w:rsid w:val="48A07F46"/>
    <w:rsid w:val="48DB43E2"/>
    <w:rsid w:val="48DC75E8"/>
    <w:rsid w:val="490527B2"/>
    <w:rsid w:val="49075967"/>
    <w:rsid w:val="491052FD"/>
    <w:rsid w:val="49235316"/>
    <w:rsid w:val="494569C5"/>
    <w:rsid w:val="49911DBC"/>
    <w:rsid w:val="49FC031A"/>
    <w:rsid w:val="4A6E40C2"/>
    <w:rsid w:val="4A727BE2"/>
    <w:rsid w:val="4A8E5944"/>
    <w:rsid w:val="4AF51050"/>
    <w:rsid w:val="4B072C80"/>
    <w:rsid w:val="4B202DEA"/>
    <w:rsid w:val="4B3B0CA4"/>
    <w:rsid w:val="4B7123BA"/>
    <w:rsid w:val="4B9272E1"/>
    <w:rsid w:val="4BA30D7A"/>
    <w:rsid w:val="4BC76164"/>
    <w:rsid w:val="4BDF5876"/>
    <w:rsid w:val="4C0900C9"/>
    <w:rsid w:val="4C746B99"/>
    <w:rsid w:val="4CB9341F"/>
    <w:rsid w:val="4D064184"/>
    <w:rsid w:val="4D60376C"/>
    <w:rsid w:val="4DFF1D6B"/>
    <w:rsid w:val="4E6D08C9"/>
    <w:rsid w:val="4E821DED"/>
    <w:rsid w:val="4E98545E"/>
    <w:rsid w:val="4F1412D3"/>
    <w:rsid w:val="4F1D539B"/>
    <w:rsid w:val="4F853A72"/>
    <w:rsid w:val="4F981D9F"/>
    <w:rsid w:val="4FA87BAE"/>
    <w:rsid w:val="4FD71975"/>
    <w:rsid w:val="50040F6D"/>
    <w:rsid w:val="50C252A5"/>
    <w:rsid w:val="512A5FE2"/>
    <w:rsid w:val="51BC3900"/>
    <w:rsid w:val="51CA1D11"/>
    <w:rsid w:val="52025B1E"/>
    <w:rsid w:val="52161680"/>
    <w:rsid w:val="52631E20"/>
    <w:rsid w:val="53E3013C"/>
    <w:rsid w:val="541D4F22"/>
    <w:rsid w:val="54DA206A"/>
    <w:rsid w:val="54EE54F5"/>
    <w:rsid w:val="55587B13"/>
    <w:rsid w:val="5574671D"/>
    <w:rsid w:val="5603225F"/>
    <w:rsid w:val="56194F60"/>
    <w:rsid w:val="562D0CD8"/>
    <w:rsid w:val="56323B50"/>
    <w:rsid w:val="56C545C0"/>
    <w:rsid w:val="56E80899"/>
    <w:rsid w:val="56EB34B1"/>
    <w:rsid w:val="580441D3"/>
    <w:rsid w:val="594B58E0"/>
    <w:rsid w:val="59504B6D"/>
    <w:rsid w:val="59795BBC"/>
    <w:rsid w:val="5A042D0E"/>
    <w:rsid w:val="5A6A269F"/>
    <w:rsid w:val="5A734440"/>
    <w:rsid w:val="5A7C45AE"/>
    <w:rsid w:val="5B6130EA"/>
    <w:rsid w:val="5B6D0C72"/>
    <w:rsid w:val="5BA25D3F"/>
    <w:rsid w:val="5BD12FE9"/>
    <w:rsid w:val="5BF75840"/>
    <w:rsid w:val="5C4B2956"/>
    <w:rsid w:val="5C697019"/>
    <w:rsid w:val="5C6B53DF"/>
    <w:rsid w:val="5C7F2481"/>
    <w:rsid w:val="5D1A541F"/>
    <w:rsid w:val="5D6158A7"/>
    <w:rsid w:val="5D7934E5"/>
    <w:rsid w:val="5E263C5C"/>
    <w:rsid w:val="5E7D1409"/>
    <w:rsid w:val="5EFF6B27"/>
    <w:rsid w:val="5F065E04"/>
    <w:rsid w:val="5F2D3E32"/>
    <w:rsid w:val="5F8C6CA3"/>
    <w:rsid w:val="5FA6527E"/>
    <w:rsid w:val="60232F25"/>
    <w:rsid w:val="602C0654"/>
    <w:rsid w:val="60837B0E"/>
    <w:rsid w:val="610709A8"/>
    <w:rsid w:val="61250663"/>
    <w:rsid w:val="61390924"/>
    <w:rsid w:val="6145485C"/>
    <w:rsid w:val="619D361E"/>
    <w:rsid w:val="61D239E0"/>
    <w:rsid w:val="61F86DDB"/>
    <w:rsid w:val="61FB39C5"/>
    <w:rsid w:val="61FE4AF8"/>
    <w:rsid w:val="6220668F"/>
    <w:rsid w:val="624772DC"/>
    <w:rsid w:val="62510F2B"/>
    <w:rsid w:val="629E7D9C"/>
    <w:rsid w:val="631F0109"/>
    <w:rsid w:val="63B81584"/>
    <w:rsid w:val="641C4AD9"/>
    <w:rsid w:val="646C5029"/>
    <w:rsid w:val="649E0875"/>
    <w:rsid w:val="64A96572"/>
    <w:rsid w:val="64C24E23"/>
    <w:rsid w:val="656E19E4"/>
    <w:rsid w:val="6610028B"/>
    <w:rsid w:val="664F2E78"/>
    <w:rsid w:val="665A6474"/>
    <w:rsid w:val="66605A3F"/>
    <w:rsid w:val="66755F26"/>
    <w:rsid w:val="668730CC"/>
    <w:rsid w:val="668802DF"/>
    <w:rsid w:val="66F37B1D"/>
    <w:rsid w:val="670B668E"/>
    <w:rsid w:val="67592745"/>
    <w:rsid w:val="675C7319"/>
    <w:rsid w:val="67747B8E"/>
    <w:rsid w:val="67BA6046"/>
    <w:rsid w:val="67BB7877"/>
    <w:rsid w:val="67BC0A75"/>
    <w:rsid w:val="67DA751D"/>
    <w:rsid w:val="67E01B65"/>
    <w:rsid w:val="682E7877"/>
    <w:rsid w:val="68BD6B4F"/>
    <w:rsid w:val="68CC62EE"/>
    <w:rsid w:val="68E33DB8"/>
    <w:rsid w:val="68FE0A2E"/>
    <w:rsid w:val="69B455B6"/>
    <w:rsid w:val="6A0052F8"/>
    <w:rsid w:val="6A1A4B45"/>
    <w:rsid w:val="6A2A37B1"/>
    <w:rsid w:val="6A3F1C62"/>
    <w:rsid w:val="6A593988"/>
    <w:rsid w:val="6B69169F"/>
    <w:rsid w:val="6CAB78B7"/>
    <w:rsid w:val="6CC937F0"/>
    <w:rsid w:val="6CE3429F"/>
    <w:rsid w:val="6D4927B5"/>
    <w:rsid w:val="6DBC2DF4"/>
    <w:rsid w:val="6DBF26A2"/>
    <w:rsid w:val="6DEE2BD8"/>
    <w:rsid w:val="6E046066"/>
    <w:rsid w:val="6E7200F9"/>
    <w:rsid w:val="6EC63BED"/>
    <w:rsid w:val="6F9C1197"/>
    <w:rsid w:val="6FBE091D"/>
    <w:rsid w:val="6FD142BA"/>
    <w:rsid w:val="6FD7541B"/>
    <w:rsid w:val="6FEA5792"/>
    <w:rsid w:val="707632F4"/>
    <w:rsid w:val="70C348BD"/>
    <w:rsid w:val="70F12928"/>
    <w:rsid w:val="71823A21"/>
    <w:rsid w:val="71A61813"/>
    <w:rsid w:val="71D10A2B"/>
    <w:rsid w:val="71F87A23"/>
    <w:rsid w:val="72773B07"/>
    <w:rsid w:val="72E01ABE"/>
    <w:rsid w:val="72E468D0"/>
    <w:rsid w:val="72ED3AB5"/>
    <w:rsid w:val="72F95354"/>
    <w:rsid w:val="73910528"/>
    <w:rsid w:val="73A30F8D"/>
    <w:rsid w:val="73D167DD"/>
    <w:rsid w:val="73D36CB8"/>
    <w:rsid w:val="746065A6"/>
    <w:rsid w:val="74A23407"/>
    <w:rsid w:val="74CE574D"/>
    <w:rsid w:val="75687F18"/>
    <w:rsid w:val="756F58AB"/>
    <w:rsid w:val="75AD7F76"/>
    <w:rsid w:val="76143DBD"/>
    <w:rsid w:val="76492871"/>
    <w:rsid w:val="76A41CB5"/>
    <w:rsid w:val="76B71475"/>
    <w:rsid w:val="76D02C0B"/>
    <w:rsid w:val="77150663"/>
    <w:rsid w:val="77647E45"/>
    <w:rsid w:val="779A1B45"/>
    <w:rsid w:val="77DC2B39"/>
    <w:rsid w:val="77FB1231"/>
    <w:rsid w:val="788F0B7C"/>
    <w:rsid w:val="78E80A30"/>
    <w:rsid w:val="78F30ADA"/>
    <w:rsid w:val="7917567A"/>
    <w:rsid w:val="79A8056A"/>
    <w:rsid w:val="79B403AE"/>
    <w:rsid w:val="7A2568C2"/>
    <w:rsid w:val="7A8E14BC"/>
    <w:rsid w:val="7AA90BF0"/>
    <w:rsid w:val="7AAF355B"/>
    <w:rsid w:val="7AD4273C"/>
    <w:rsid w:val="7B8B7D6E"/>
    <w:rsid w:val="7BBC72BA"/>
    <w:rsid w:val="7C175310"/>
    <w:rsid w:val="7C202F4C"/>
    <w:rsid w:val="7C29368D"/>
    <w:rsid w:val="7C3B1F57"/>
    <w:rsid w:val="7C505443"/>
    <w:rsid w:val="7C5601D8"/>
    <w:rsid w:val="7C611A07"/>
    <w:rsid w:val="7CB851AB"/>
    <w:rsid w:val="7D2237D0"/>
    <w:rsid w:val="7D38252D"/>
    <w:rsid w:val="7D397026"/>
    <w:rsid w:val="7D795D22"/>
    <w:rsid w:val="7D8D11C7"/>
    <w:rsid w:val="7E0678B0"/>
    <w:rsid w:val="7E0823EE"/>
    <w:rsid w:val="7E590ED6"/>
    <w:rsid w:val="7F034FA5"/>
    <w:rsid w:val="7F041B35"/>
    <w:rsid w:val="7F4C4447"/>
    <w:rsid w:val="7F903F78"/>
    <w:rsid w:val="7FA045F4"/>
    <w:rsid w:val="7FA631A9"/>
    <w:rsid w:val="7FD3307A"/>
    <w:rsid w:val="7FF56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qFormat/>
    <w:uiPriority w:val="9"/>
    <w:pPr>
      <w:keepNext/>
      <w:keepLines/>
      <w:spacing w:before="340" w:after="330" w:line="578" w:lineRule="auto"/>
      <w:outlineLvl w:val="0"/>
    </w:pPr>
    <w:rPr>
      <w:b/>
      <w:bCs/>
      <w:kern w:val="44"/>
      <w:sz w:val="44"/>
      <w:szCs w:val="44"/>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unhideWhenUsed/>
    <w:qFormat/>
    <w:uiPriority w:val="35"/>
    <w:rPr>
      <w:rFonts w:eastAsia="黑体" w:asciiTheme="majorHAnsi" w:hAnsiTheme="majorHAnsi" w:cstheme="majorBidi"/>
      <w:sz w:val="20"/>
      <w:szCs w:val="20"/>
    </w:rPr>
  </w:style>
  <w:style w:type="paragraph" w:styleId="4">
    <w:name w:val="Body Text"/>
    <w:basedOn w:val="1"/>
    <w:qFormat/>
    <w:uiPriority w:val="1"/>
    <w:rPr>
      <w:rFonts w:ascii="宋体" w:hAnsi="宋体" w:eastAsia="宋体" w:cs="宋体"/>
      <w:sz w:val="21"/>
      <w:szCs w:val="21"/>
      <w:lang w:val="zh-CN" w:eastAsia="zh-CN" w:bidi="zh-CN"/>
    </w:rPr>
  </w:style>
  <w:style w:type="paragraph" w:styleId="5">
    <w:name w:val="Body Text Indent"/>
    <w:basedOn w:val="1"/>
    <w:link w:val="21"/>
    <w:qFormat/>
    <w:uiPriority w:val="0"/>
    <w:pPr>
      <w:spacing w:after="120"/>
      <w:ind w:left="420" w:leftChars="200"/>
    </w:pPr>
    <w:rPr>
      <w:rFonts w:eastAsia="宋体"/>
      <w:szCs w:val="24"/>
    </w:rPr>
  </w:style>
  <w:style w:type="paragraph" w:styleId="6">
    <w:name w:val="toc 3"/>
    <w:basedOn w:val="1"/>
    <w:next w:val="1"/>
    <w:semiHidden/>
    <w:unhideWhenUsed/>
    <w:qFormat/>
    <w:uiPriority w:val="39"/>
    <w:pPr>
      <w:widowControl/>
      <w:spacing w:after="100" w:line="276" w:lineRule="auto"/>
      <w:ind w:left="440"/>
      <w:jc w:val="left"/>
    </w:pPr>
    <w:rPr>
      <w:kern w:val="0"/>
      <w:sz w:val="22"/>
    </w:rPr>
  </w:style>
  <w:style w:type="paragraph" w:styleId="7">
    <w:name w:val="Plain Text"/>
    <w:basedOn w:val="1"/>
    <w:qFormat/>
    <w:uiPriority w:val="0"/>
    <w:rPr>
      <w:rFonts w:ascii="宋体" w:hAnsi="Courier New"/>
      <w:szCs w:val="20"/>
    </w:rPr>
  </w:style>
  <w:style w:type="paragraph" w:styleId="8">
    <w:name w:val="Date"/>
    <w:basedOn w:val="1"/>
    <w:next w:val="1"/>
    <w:qFormat/>
    <w:uiPriority w:val="0"/>
    <w:rPr>
      <w:rFonts w:eastAsia="楷体_GB2312"/>
      <w:b/>
      <w:sz w:val="32"/>
      <w:szCs w:val="20"/>
    </w:rPr>
  </w:style>
  <w:style w:type="paragraph" w:styleId="9">
    <w:name w:val="footer"/>
    <w:basedOn w:val="1"/>
    <w:link w:val="19"/>
    <w:unhideWhenUsed/>
    <w:qFormat/>
    <w:uiPriority w:val="99"/>
    <w:pPr>
      <w:tabs>
        <w:tab w:val="center" w:pos="4153"/>
        <w:tab w:val="right" w:pos="8306"/>
      </w:tabs>
      <w:snapToGrid w:val="0"/>
      <w:jc w:val="left"/>
    </w:pPr>
    <w:rPr>
      <w:sz w:val="18"/>
      <w:szCs w:val="18"/>
    </w:rPr>
  </w:style>
  <w:style w:type="paragraph" w:styleId="10">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unhideWhenUsed/>
    <w:qFormat/>
    <w:uiPriority w:val="39"/>
    <w:pPr>
      <w:widowControl/>
      <w:spacing w:after="100" w:line="276" w:lineRule="auto"/>
      <w:jc w:val="left"/>
    </w:pPr>
    <w:rPr>
      <w:kern w:val="0"/>
      <w:sz w:val="22"/>
    </w:rPr>
  </w:style>
  <w:style w:type="paragraph" w:styleId="12">
    <w:name w:val="toc 2"/>
    <w:basedOn w:val="1"/>
    <w:next w:val="1"/>
    <w:semiHidden/>
    <w:unhideWhenUsed/>
    <w:qFormat/>
    <w:uiPriority w:val="39"/>
    <w:pPr>
      <w:widowControl/>
      <w:spacing w:after="100" w:line="276" w:lineRule="auto"/>
      <w:ind w:left="220"/>
      <w:jc w:val="left"/>
    </w:pPr>
    <w:rPr>
      <w:kern w:val="0"/>
      <w:sz w:val="22"/>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Hyperlink"/>
    <w:basedOn w:val="15"/>
    <w:unhideWhenUsed/>
    <w:qFormat/>
    <w:uiPriority w:val="99"/>
    <w:rPr>
      <w:color w:val="0563C1" w:themeColor="hyperlink"/>
      <w:u w:val="single"/>
      <w14:textFill>
        <w14:solidFill>
          <w14:schemeClr w14:val="hlink"/>
        </w14:solidFill>
      </w14:textFill>
    </w:rPr>
  </w:style>
  <w:style w:type="paragraph" w:styleId="17">
    <w:name w:val="List Paragraph"/>
    <w:basedOn w:val="1"/>
    <w:qFormat/>
    <w:uiPriority w:val="34"/>
    <w:pPr>
      <w:ind w:firstLine="420" w:firstLineChars="200"/>
    </w:pPr>
  </w:style>
  <w:style w:type="character" w:customStyle="1" w:styleId="18">
    <w:name w:val="页眉 字符"/>
    <w:basedOn w:val="15"/>
    <w:link w:val="10"/>
    <w:qFormat/>
    <w:uiPriority w:val="99"/>
    <w:rPr>
      <w:sz w:val="18"/>
      <w:szCs w:val="18"/>
    </w:rPr>
  </w:style>
  <w:style w:type="character" w:customStyle="1" w:styleId="19">
    <w:name w:val="页脚 字符"/>
    <w:basedOn w:val="15"/>
    <w:link w:val="9"/>
    <w:qFormat/>
    <w:uiPriority w:val="99"/>
    <w:rPr>
      <w:sz w:val="18"/>
      <w:szCs w:val="18"/>
    </w:rPr>
  </w:style>
  <w:style w:type="character" w:customStyle="1" w:styleId="20">
    <w:name w:val="p11"/>
    <w:basedOn w:val="15"/>
    <w:qFormat/>
    <w:uiPriority w:val="0"/>
  </w:style>
  <w:style w:type="character" w:customStyle="1" w:styleId="21">
    <w:name w:val="正文文本缩进 字符"/>
    <w:link w:val="5"/>
    <w:qFormat/>
    <w:uiPriority w:val="0"/>
    <w:rPr>
      <w:rFonts w:eastAsia="宋体"/>
      <w:kern w:val="2"/>
      <w:sz w:val="21"/>
      <w:szCs w:val="24"/>
    </w:rPr>
  </w:style>
  <w:style w:type="paragraph" w:customStyle="1" w:styleId="22">
    <w:name w:val="三级条标题"/>
    <w:basedOn w:val="23"/>
    <w:next w:val="1"/>
    <w:qFormat/>
    <w:uiPriority w:val="0"/>
    <w:pPr>
      <w:numPr>
        <w:ilvl w:val="3"/>
        <w:numId w:val="1"/>
      </w:numPr>
      <w:outlineLvl w:val="4"/>
    </w:pPr>
  </w:style>
  <w:style w:type="paragraph" w:customStyle="1" w:styleId="23">
    <w:name w:val="二级条标题"/>
    <w:basedOn w:val="24"/>
    <w:next w:val="1"/>
    <w:qFormat/>
    <w:uiPriority w:val="0"/>
    <w:pPr>
      <w:numPr>
        <w:ilvl w:val="2"/>
      </w:numPr>
      <w:spacing w:before="50" w:after="50"/>
      <w:outlineLvl w:val="3"/>
    </w:pPr>
  </w:style>
  <w:style w:type="paragraph" w:customStyle="1" w:styleId="24">
    <w:name w:val="一级条标题"/>
    <w:next w:val="1"/>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character" w:customStyle="1" w:styleId="25">
    <w:name w:val="正文文本缩进 Char1"/>
    <w:basedOn w:val="15"/>
    <w:semiHidden/>
    <w:qFormat/>
    <w:uiPriority w:val="99"/>
    <w:rPr>
      <w:kern w:val="2"/>
      <w:sz w:val="21"/>
      <w:szCs w:val="22"/>
    </w:rPr>
  </w:style>
  <w:style w:type="paragraph" w:customStyle="1" w:styleId="2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7">
    <w:name w:val="标题 1 字符"/>
    <w:basedOn w:val="15"/>
    <w:link w:val="2"/>
    <w:qFormat/>
    <w:uiPriority w:val="9"/>
    <w:rPr>
      <w:b/>
      <w:bCs/>
      <w:kern w:val="44"/>
      <w:sz w:val="44"/>
      <w:szCs w:val="44"/>
    </w:rPr>
  </w:style>
  <w:style w:type="paragraph" w:customStyle="1" w:styleId="28">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paragraph" w:customStyle="1" w:styleId="29">
    <w:name w:val="一级无"/>
    <w:basedOn w:val="24"/>
    <w:qFormat/>
    <w:uiPriority w:val="0"/>
    <w:pPr>
      <w:spacing w:beforeLines="0" w:afterLines="0"/>
    </w:pPr>
    <w:rPr>
      <w:rFonts w:ascii="宋体" w:eastAsia="宋体"/>
    </w:rPr>
  </w:style>
  <w:style w:type="paragraph" w:customStyle="1" w:styleId="30">
    <w:name w:val="Table Paragraph"/>
    <w:basedOn w:val="1"/>
    <w:qFormat/>
    <w:uiPriority w:val="1"/>
    <w:pPr>
      <w:ind w:left="107"/>
    </w:pPr>
    <w:rPr>
      <w:rFonts w:ascii="宋体" w:hAnsi="宋体" w:eastAsia="宋体" w:cs="宋体"/>
      <w:lang w:val="zh-CN" w:bidi="zh-CN"/>
    </w:rPr>
  </w:style>
  <w:style w:type="paragraph" w:customStyle="1" w:styleId="31">
    <w:name w:val="Body text|1"/>
    <w:basedOn w:val="1"/>
    <w:qFormat/>
    <w:uiPriority w:val="0"/>
    <w:pPr>
      <w:spacing w:line="430" w:lineRule="auto"/>
    </w:pPr>
    <w:rPr>
      <w:rFonts w:ascii="宋体" w:hAnsi="宋体" w:eastAsia="宋体" w:cs="宋体"/>
      <w:sz w:val="22"/>
      <w:lang w:val="zh-TW" w:eastAsia="zh-TW" w:bidi="zh-TW"/>
    </w:rPr>
  </w:style>
  <w:style w:type="paragraph" w:customStyle="1" w:styleId="32">
    <w:name w:val="Other|1"/>
    <w:basedOn w:val="1"/>
    <w:qFormat/>
    <w:uiPriority w:val="0"/>
    <w:pPr>
      <w:spacing w:line="298" w:lineRule="auto"/>
    </w:pPr>
    <w:rPr>
      <w:rFonts w:ascii="宋体" w:hAnsi="宋体" w:eastAsia="宋体" w:cs="宋体"/>
      <w:sz w:val="20"/>
      <w:szCs w:val="20"/>
      <w:lang w:val="zh-TW" w:eastAsia="zh-TW" w:bidi="zh-TW"/>
    </w:rPr>
  </w:style>
  <w:style w:type="character" w:customStyle="1" w:styleId="33">
    <w:name w:val="font61"/>
    <w:basedOn w:val="15"/>
    <w:qFormat/>
    <w:uiPriority w:val="0"/>
    <w:rPr>
      <w:rFonts w:hint="eastAsia" w:ascii="宋体" w:hAnsi="宋体" w:eastAsia="宋体" w:cs="宋体"/>
      <w:color w:val="000000"/>
      <w:sz w:val="24"/>
      <w:szCs w:val="24"/>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56E85E-2FB1-4456-B870-0A0B8863D78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18504</Words>
  <Characters>18945</Characters>
  <Lines>130</Lines>
  <Paragraphs>36</Paragraphs>
  <TotalTime>4</TotalTime>
  <ScaleCrop>false</ScaleCrop>
  <LinksUpToDate>false</LinksUpToDate>
  <CharactersWithSpaces>20078</CharactersWithSpaces>
  <Application>WPS Office_11.8.6.11829_F1E327BC-269C-435d-A152-05C5408002CA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cp:revision>
  <dcterms:created xsi:type="dcterms:W3CDTF">2020-02-28T08:47:00Z</dcterms:created>
  <dcterms:modified xsi:type="dcterms:W3CDTF">2026-01-05T08:42:34Z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2052-11.8.6.11829</vt:lpwstr>
  </property>
  <property fmtid="{D5CDD505-2E9C-101B-9397-08002B2CF9AE}" pid="3" name="ICV">
    <vt:lpwstr>736E791EFFE24F0388A021CD414B5C3F</vt:lpwstr>
  </property>
</Properties>
</file>