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sz w:val="52"/>
        </w:rPr>
      </w:pPr>
      <w:bookmarkStart w:id="0" w:name="_Toc272229864"/>
      <w:r>
        <w:rPr>
          <w:rFonts w:ascii="黑体" w:eastAsia="黑体"/>
          <w:b/>
          <w:sz w:val="52"/>
        </w:rPr>
        <mc:AlternateContent>
          <mc:Choice Requires="wpg">
            <w:drawing>
              <wp:anchor distT="0" distB="0" distL="114300" distR="114300" simplePos="0" relativeHeight="251661312" behindDoc="0" locked="0" layoutInCell="1" allowOverlap="1">
                <wp:simplePos x="0" y="0"/>
                <wp:positionH relativeFrom="column">
                  <wp:posOffset>-222885</wp:posOffset>
                </wp:positionH>
                <wp:positionV relativeFrom="paragraph">
                  <wp:posOffset>-48895</wp:posOffset>
                </wp:positionV>
                <wp:extent cx="1122680" cy="544830"/>
                <wp:effectExtent l="0" t="0" r="0" b="6350"/>
                <wp:wrapNone/>
                <wp:docPr id="1" name="组合 5"/>
                <wp:cNvGraphicFramePr/>
                <a:graphic xmlns:a="http://schemas.openxmlformats.org/drawingml/2006/main">
                  <a:graphicData uri="http://schemas.microsoft.com/office/word/2010/wordprocessingGroup">
                    <wpg:wgp>
                      <wpg:cNvGrpSpPr/>
                      <wpg:grpSpPr>
                        <a:xfrm>
                          <a:off x="0" y="0"/>
                          <a:ext cx="1122680" cy="544830"/>
                          <a:chOff x="1304" y="597"/>
                          <a:chExt cx="1768" cy="633"/>
                        </a:xfrm>
                      </wpg:grpSpPr>
                      <pic:pic xmlns:pic="http://schemas.openxmlformats.org/drawingml/2006/picture">
                        <pic:nvPicPr>
                          <pic:cNvPr id="3" name="图片 3" descr="能源公司图标2"/>
                          <pic:cNvPicPr>
                            <a:picLocks noChangeAspect="1"/>
                          </pic:cNvPicPr>
                        </pic:nvPicPr>
                        <pic:blipFill>
                          <a:blip r:embed="rId5"/>
                          <a:stretch>
                            <a:fillRect/>
                          </a:stretch>
                        </pic:blipFill>
                        <pic:spPr>
                          <a:xfrm>
                            <a:off x="1304" y="696"/>
                            <a:ext cx="540" cy="534"/>
                          </a:xfrm>
                          <a:prstGeom prst="rect">
                            <a:avLst/>
                          </a:prstGeom>
                          <a:noFill/>
                          <a:ln>
                            <a:noFill/>
                          </a:ln>
                        </pic:spPr>
                      </pic:pic>
                      <wps:wsp>
                        <wps:cNvPr id="2" name="文本框 2"/>
                        <wps:cNvSpPr txBox="1"/>
                        <wps:spPr bwMode="auto">
                          <a:xfrm>
                            <a:off x="1992" y="597"/>
                            <a:ext cx="1080" cy="447"/>
                          </a:xfrm>
                          <a:prstGeom prst="rect">
                            <a:avLst/>
                          </a:prstGeom>
                          <a:noFill/>
                          <a:ln>
                            <a:noFill/>
                          </a:ln>
                        </wps:spPr>
                        <wps:txbx>
                          <w:txbxContent>
                            <w:p>
                              <w:pPr>
                                <w:rPr>
                                  <w:sz w:val="24"/>
                                </w:rPr>
                              </w:pPr>
                            </w:p>
                          </w:txbxContent>
                        </wps:txbx>
                        <wps:bodyPr upright="1"/>
                      </wps:wsp>
                    </wpg:wgp>
                  </a:graphicData>
                </a:graphic>
              </wp:anchor>
            </w:drawing>
          </mc:Choice>
          <mc:Fallback>
            <w:pict>
              <v:group id="组合 5" o:spid="_x0000_s1026" o:spt="203" style="position:absolute;left:0pt;margin-left:-17.55pt;margin-top:-3.85pt;height:42.9pt;width:88.4pt;z-index:251661312;mso-width-relative:page;mso-height-relative:page;" coordorigin="1304,597" coordsize="1768,633" o:gfxdata="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">
                <o:lock v:ext="edit" aspectratio="f"/>
                <v:shape id="_x0000_s1026" o:spid="_x0000_s1026" o:spt="75" alt="能源公司图标2" type="#_x0000_t75" style="position:absolute;left:1304;top:696;height:534;width:540;" filled="f" o:preferrelative="t" stroked="f" coordsize="21600,21600" o:gfxdata="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4XcugAAANoA&#10;AAAPAAAAAAAAAAEAIAAAACIAAABkcnMvZG93bnJldi54bWxQSwECFAAUAAAACACHTuJAMy8FnjsA&#10;AAA5AAAAEAAAAAAAAAABACAAAAAJAQAAZHJzL3NoYXBleG1sLnhtbFBLBQYAAAAABgAGAFsBAACz&#10;AwAAAAA=&#10;">
                  <v:fill on="f" focussize="0,0"/>
                  <v:stroke on="f"/>
                  <v:imagedata r:id="rId5" o:title=""/>
                  <o:lock v:ext="edit" aspectratio="t"/>
                </v:shape>
                <v:shape id="_x0000_s1026" o:spid="_x0000_s1026" o:spt="202" type="#_x0000_t202" style="position:absolute;left:1992;top:597;height:447;width:1080;"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sz w:val="24"/>
                          </w:rPr>
                        </w:pPr>
                      </w:p>
                    </w:txbxContent>
                  </v:textbox>
                </v:shape>
              </v:group>
            </w:pict>
          </mc:Fallback>
        </mc:AlternateContent>
      </w:r>
      <w:r>
        <w:rPr>
          <w:rFonts w:hint="eastAsia" w:ascii="宋体" w:hAnsi="宋体"/>
          <w:b/>
          <w:spacing w:val="175"/>
          <w:sz w:val="52"/>
        </w:rPr>
        <w:t>66</w:t>
      </w:r>
      <w:r>
        <w:rPr>
          <w:rFonts w:ascii="宋体" w:hAnsi="宋体"/>
          <w:b/>
          <w:spacing w:val="175"/>
          <w:sz w:val="52"/>
        </w:rPr>
        <w:t>0</w:t>
      </w:r>
      <w:r>
        <w:rPr>
          <w:rFonts w:ascii="黑体" w:eastAsia="黑体"/>
          <w:b/>
          <w:spacing w:val="175"/>
          <w:sz w:val="52"/>
        </w:rPr>
        <w:t>MW</w:t>
      </w:r>
      <w:r>
        <w:rPr>
          <w:rFonts w:hint="eastAsia" w:ascii="黑体" w:eastAsia="黑体"/>
          <w:b/>
          <w:spacing w:val="175"/>
          <w:sz w:val="52"/>
        </w:rPr>
        <w:t>机组技术文件</w:t>
      </w:r>
    </w:p>
    <w:p>
      <w:pPr>
        <w:jc w:val="center"/>
        <w:rPr>
          <w:rFonts w:ascii="黑体" w:eastAsia="黑体"/>
          <w:sz w:val="28"/>
        </w:rPr>
      </w:pPr>
      <w:r>
        <mc:AlternateContent>
          <mc:Choice Requires="wps">
            <w:drawing>
              <wp:anchor distT="0" distB="0" distL="114300" distR="114300" simplePos="0" relativeHeight="251659264" behindDoc="0" locked="0" layoutInCell="0" allowOverlap="1">
                <wp:simplePos x="0" y="0"/>
                <wp:positionH relativeFrom="column">
                  <wp:posOffset>-265430</wp:posOffset>
                </wp:positionH>
                <wp:positionV relativeFrom="paragraph">
                  <wp:posOffset>72390</wp:posOffset>
                </wp:positionV>
                <wp:extent cx="6045200" cy="0"/>
                <wp:effectExtent l="0" t="19050" r="12700" b="19050"/>
                <wp:wrapNone/>
                <wp:docPr id="4" name="直接连接符 1"/>
                <wp:cNvGraphicFramePr/>
                <a:graphic xmlns:a="http://schemas.openxmlformats.org/drawingml/2006/main">
                  <a:graphicData uri="http://schemas.microsoft.com/office/word/2010/wordprocessingShape">
                    <wps:wsp>
                      <wps:cNvCnPr/>
                      <wps:spPr bwMode="auto">
                        <a:xfrm>
                          <a:off x="0" y="0"/>
                          <a:ext cx="6045200" cy="0"/>
                        </a:xfrm>
                        <a:prstGeom prst="line">
                          <a:avLst/>
                        </a:prstGeom>
                        <a:ln w="38100" cap="flat" cmpd="sng">
                          <a:solidFill>
                            <a:srgbClr val="000000"/>
                          </a:solidFill>
                          <a:prstDash val="solid"/>
                          <a:headEnd type="none" w="med" len="med"/>
                          <a:tailEnd type="none" w="med" len="med"/>
                        </a:ln>
                      </wps:spPr>
                      <wps:bodyPr rot="0">
                        <a:noAutofit/>
                      </wps:bodyPr>
                    </wps:wsp>
                  </a:graphicData>
                </a:graphic>
              </wp:anchor>
            </w:drawing>
          </mc:Choice>
          <mc:Fallback>
            <w:pict>
              <v:line id="直接连接符 1" o:spid="_x0000_s1026" o:spt="20" style="position:absolute;left:0pt;margin-left:-20.9pt;margin-top:5.7pt;height:0pt;width:476pt;z-index:251659264;mso-width-relative:page;mso-height-relative:page;" filled="f" stroked="t" coordsize="21600,21600" o:allowincell="f" o:gfxdata="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Z3/Ab0wAAAAkBAAAPAAAAAAAAAAEAIAAAACIAAABkcnMvZG93&#10;bnJldi54bWxQSwECFAAUAAAACACHTuJADt4OhwUCAAAJBAAADgAAAAAAAAABACAAAAAiAQAAZHJz&#10;L2Uyb0RvYy54bWxQSwUGAAAAAAYABgBZAQAAmQUAAAAA&#10;">
                <v:fill on="f" focussize="0,0"/>
                <v:stroke weight="3pt" color="#000000" joinstyle="round"/>
                <v:imagedata o:title=""/>
                <o:lock v:ext="edit" aspectratio="f"/>
              </v:line>
            </w:pict>
          </mc:Fallback>
        </mc:AlternateContent>
      </w:r>
      <w:r>
        <w:rPr>
          <w:rFonts w:ascii="黑体" w:eastAsia="黑体"/>
          <w:sz w:val="28"/>
        </w:rPr>
        <w:t xml:space="preserve">                                                 </w:t>
      </w:r>
    </w:p>
    <w:p>
      <w:pPr>
        <w:ind w:right="-21"/>
        <w:jc w:val="center"/>
        <w:rPr>
          <w:rFonts w:eastAsia="隶书"/>
          <w:b/>
          <w:sz w:val="48"/>
        </w:rPr>
      </w:pPr>
      <w:r>
        <w:rPr>
          <w:rFonts w:ascii="黑体" w:eastAsia="黑体"/>
          <w:sz w:val="28"/>
        </w:rPr>
        <w:t xml:space="preserve">                                    </w:t>
      </w:r>
    </w:p>
    <w:p>
      <w:pPr>
        <w:rPr>
          <w:rFonts w:ascii="黑体" w:eastAsia="黑体"/>
          <w:b/>
          <w:sz w:val="52"/>
        </w:rPr>
      </w:pPr>
    </w:p>
    <w:p>
      <w:pPr>
        <w:jc w:val="center"/>
        <w:rPr>
          <w:rFonts w:hint="eastAsia" w:ascii="宋体" w:hAnsi="宋体"/>
          <w:b/>
          <w:bCs/>
          <w:sz w:val="48"/>
          <w:szCs w:val="48"/>
        </w:rPr>
      </w:pPr>
    </w:p>
    <w:p>
      <w:pPr>
        <w:jc w:val="center"/>
        <w:rPr>
          <w:rFonts w:hint="eastAsia" w:ascii="宋体" w:hAnsi="宋体"/>
          <w:b/>
          <w:bCs/>
          <w:sz w:val="48"/>
          <w:szCs w:val="48"/>
        </w:rPr>
      </w:pPr>
      <w:r>
        <w:rPr>
          <w:rFonts w:hint="eastAsia" w:ascii="宋体" w:hAnsi="宋体"/>
          <w:b/>
          <w:bCs/>
          <w:sz w:val="48"/>
          <w:szCs w:val="48"/>
          <w:lang w:val="en-US" w:eastAsia="zh-CN"/>
        </w:rPr>
        <w:t>3</w:t>
      </w:r>
      <w:r>
        <w:rPr>
          <w:rFonts w:hint="eastAsia" w:ascii="宋体" w:hAnsi="宋体"/>
          <w:b/>
          <w:bCs/>
          <w:sz w:val="48"/>
          <w:szCs w:val="48"/>
          <w:lang w:eastAsia="zh-CN"/>
        </w:rPr>
        <w:t>、</w:t>
      </w:r>
      <w:r>
        <w:rPr>
          <w:rFonts w:hint="eastAsia" w:ascii="宋体" w:hAnsi="宋体"/>
          <w:b/>
          <w:bCs/>
          <w:sz w:val="48"/>
          <w:szCs w:val="48"/>
          <w:lang w:val="en-US" w:eastAsia="zh-CN"/>
        </w:rPr>
        <w:t>4号</w:t>
      </w:r>
      <w:r>
        <w:rPr>
          <w:rFonts w:hint="eastAsia" w:ascii="宋体" w:hAnsi="宋体"/>
          <w:b/>
          <w:bCs/>
          <w:sz w:val="48"/>
          <w:szCs w:val="48"/>
        </w:rPr>
        <w:t>机组</w:t>
      </w:r>
      <w:r>
        <w:rPr>
          <w:rFonts w:hint="eastAsia" w:ascii="宋体" w:hAnsi="宋体"/>
          <w:b/>
          <w:bCs/>
          <w:sz w:val="48"/>
          <w:szCs w:val="48"/>
          <w:lang w:val="en-US" w:eastAsia="zh-CN"/>
        </w:rPr>
        <w:t>锅炉</w:t>
      </w:r>
      <w:r>
        <w:rPr>
          <w:rFonts w:hint="eastAsia" w:ascii="宋体" w:hAnsi="宋体"/>
          <w:b/>
          <w:bCs/>
          <w:sz w:val="48"/>
          <w:szCs w:val="48"/>
        </w:rPr>
        <w:t>化学清洗项目</w:t>
      </w:r>
    </w:p>
    <w:p>
      <w:pPr>
        <w:jc w:val="center"/>
        <w:rPr>
          <w:rFonts w:hint="eastAsia" w:ascii="宋体" w:hAnsi="宋体"/>
          <w:b/>
          <w:bCs/>
          <w:sz w:val="48"/>
          <w:szCs w:val="48"/>
        </w:rPr>
      </w:pPr>
    </w:p>
    <w:p>
      <w:pPr>
        <w:jc w:val="center"/>
        <w:rPr>
          <w:rFonts w:ascii="黑体" w:eastAsia="黑体"/>
          <w:b/>
          <w:sz w:val="52"/>
        </w:rPr>
      </w:pPr>
      <w:r>
        <w:rPr>
          <w:rFonts w:hint="eastAsia" w:ascii="宋体" w:hAnsi="宋体"/>
          <w:b/>
          <w:bCs/>
          <w:sz w:val="48"/>
          <w:szCs w:val="48"/>
        </w:rPr>
        <w:t>技术规范书</w:t>
      </w:r>
    </w:p>
    <w:p>
      <w:pPr>
        <w:jc w:val="center"/>
        <w:rPr>
          <w:rFonts w:hint="eastAsia" w:ascii="黑体"/>
          <w:sz w:val="30"/>
        </w:rPr>
      </w:pPr>
    </w:p>
    <w:p>
      <w:pPr>
        <w:jc w:val="center"/>
        <w:rPr>
          <w:rFonts w:hint="eastAsia" w:ascii="黑体"/>
          <w:sz w:val="30"/>
        </w:rPr>
      </w:pPr>
    </w:p>
    <w:p>
      <w:pPr>
        <w:jc w:val="center"/>
        <w:rPr>
          <w:rFonts w:hint="eastAsia" w:ascii="黑体"/>
          <w:sz w:val="30"/>
        </w:rPr>
      </w:pPr>
    </w:p>
    <w:p>
      <w:pPr>
        <w:jc w:val="center"/>
        <w:rPr>
          <w:rFonts w:ascii="黑体"/>
          <w:sz w:val="30"/>
        </w:rPr>
      </w:pPr>
    </w:p>
    <w:p>
      <w:pPr>
        <w:jc w:val="center"/>
        <w:rPr>
          <w:b/>
          <w:sz w:val="36"/>
        </w:rPr>
      </w:pPr>
      <w:r>
        <w:rPr>
          <w:b/>
          <w:sz w:val="36"/>
        </w:rPr>
        <w:t xml:space="preserve">   </w:t>
      </w:r>
    </w:p>
    <w:p>
      <w:pPr>
        <w:ind w:firstLine="2096"/>
        <w:rPr>
          <w:b/>
          <w:sz w:val="36"/>
        </w:rPr>
      </w:pPr>
      <w:r>
        <w:rPr>
          <w:rFonts w:hint="eastAsia" w:eastAsia="黑体"/>
          <w:b/>
          <w:sz w:val="30"/>
        </w:rPr>
        <w:t>编制：</w:t>
      </w:r>
      <w:r>
        <w:rPr>
          <w:rFonts w:eastAsia="黑体"/>
          <w:b/>
          <w:sz w:val="30"/>
          <w:u w:val="single"/>
        </w:rPr>
        <w:t xml:space="preserve">                    </w:t>
      </w:r>
    </w:p>
    <w:p>
      <w:pPr>
        <w:rPr>
          <w:rFonts w:eastAsia="黑体"/>
          <w:b/>
          <w:sz w:val="30"/>
        </w:rPr>
      </w:pPr>
    </w:p>
    <w:p>
      <w:pPr>
        <w:ind w:firstLine="2096"/>
        <w:rPr>
          <w:rFonts w:eastAsia="黑体"/>
          <w:b/>
          <w:sz w:val="30"/>
          <w:u w:val="single"/>
        </w:rPr>
      </w:pPr>
      <w:r>
        <w:rPr>
          <w:rFonts w:hint="eastAsia" w:eastAsia="黑体"/>
          <w:b/>
          <w:sz w:val="30"/>
        </w:rPr>
        <w:t>会签：</w:t>
      </w:r>
      <w:r>
        <w:rPr>
          <w:rFonts w:eastAsia="黑体"/>
          <w:b/>
          <w:sz w:val="30"/>
          <w:u w:val="single"/>
        </w:rPr>
        <w:t xml:space="preserve">                    </w:t>
      </w:r>
    </w:p>
    <w:p>
      <w:pPr>
        <w:rPr>
          <w:rFonts w:eastAsia="黑体"/>
          <w:b/>
          <w:sz w:val="30"/>
        </w:rPr>
      </w:pPr>
    </w:p>
    <w:p>
      <w:pPr>
        <w:ind w:firstLine="2096"/>
        <w:rPr>
          <w:rFonts w:eastAsia="黑体"/>
          <w:b/>
          <w:sz w:val="30"/>
          <w:u w:val="single"/>
        </w:rPr>
      </w:pPr>
      <w:r>
        <w:rPr>
          <w:rFonts w:hint="eastAsia" w:eastAsia="黑体"/>
          <w:b/>
          <w:sz w:val="30"/>
        </w:rPr>
        <w:t>审核：</w:t>
      </w:r>
      <w:r>
        <w:rPr>
          <w:rFonts w:eastAsia="黑体"/>
          <w:b/>
          <w:sz w:val="30"/>
          <w:u w:val="single"/>
        </w:rPr>
        <w:t xml:space="preserve">                    </w:t>
      </w:r>
    </w:p>
    <w:p>
      <w:pPr>
        <w:rPr>
          <w:rFonts w:eastAsia="黑体"/>
          <w:b/>
          <w:sz w:val="30"/>
        </w:rPr>
      </w:pPr>
    </w:p>
    <w:p>
      <w:pPr>
        <w:ind w:firstLine="2096"/>
        <w:rPr>
          <w:sz w:val="30"/>
          <w:u w:val="single"/>
        </w:rPr>
      </w:pPr>
      <w:r>
        <w:rPr>
          <w:rFonts w:hint="eastAsia" w:eastAsia="黑体"/>
          <w:b/>
          <w:sz w:val="30"/>
        </w:rPr>
        <w:t>批准：</w:t>
      </w:r>
      <w:r>
        <w:rPr>
          <w:rFonts w:eastAsia="黑体"/>
          <w:b/>
          <w:sz w:val="30"/>
          <w:u w:val="single"/>
        </w:rPr>
        <w:t xml:space="preserve">                    </w:t>
      </w:r>
    </w:p>
    <w:p>
      <w:pPr>
        <w:jc w:val="center"/>
        <w:rPr>
          <w:sz w:val="28"/>
        </w:rPr>
      </w:pPr>
      <w:r>
        <w:rPr>
          <w:sz w:val="30"/>
        </w:rPr>
        <w:t xml:space="preserve">             </w:t>
      </w:r>
    </w:p>
    <w:p>
      <w:pPr>
        <w:rPr>
          <w:rFonts w:ascii="黑体" w:eastAsia="黑体"/>
          <w:b/>
          <w:sz w:val="36"/>
        </w:rPr>
      </w:pPr>
    </w:p>
    <w:p>
      <w:pPr>
        <w:rPr>
          <w:rFonts w:hint="eastAsia" w:ascii="黑体" w:eastAsia="黑体"/>
          <w:b/>
          <w:sz w:val="36"/>
        </w:rPr>
      </w:pPr>
    </w:p>
    <w:p>
      <w:pPr>
        <w:rPr>
          <w:rFonts w:hint="eastAsia" w:ascii="黑体" w:eastAsia="黑体"/>
          <w:b/>
          <w:sz w:val="36"/>
        </w:rPr>
      </w:pPr>
    </w:p>
    <w:p>
      <w:pPr>
        <w:rPr>
          <w:rFonts w:hint="eastAsia" w:ascii="黑体" w:eastAsia="黑体"/>
          <w:b/>
          <w:sz w:val="36"/>
        </w:rPr>
      </w:pPr>
    </w:p>
    <w:p>
      <w:pPr>
        <w:rPr>
          <w:rFonts w:hint="eastAsia" w:ascii="黑体" w:eastAsia="黑体"/>
          <w:b/>
          <w:sz w:val="36"/>
        </w:rPr>
      </w:pPr>
    </w:p>
    <w:p>
      <w:pPr>
        <w:rPr>
          <w:rFonts w:hint="eastAsia" w:ascii="黑体" w:eastAsia="黑体"/>
          <w:b/>
          <w:sz w:val="36"/>
        </w:rPr>
      </w:pPr>
    </w:p>
    <w:p>
      <w:pPr>
        <w:rPr>
          <w:rFonts w:ascii="黑体" w:eastAsia="黑体"/>
          <w:b/>
          <w:sz w:val="30"/>
        </w:rPr>
      </w:pPr>
      <w:r>
        <w:rPr>
          <w:rFonts w:ascii="黑体" w:eastAsia="黑体"/>
          <w:b/>
          <w:sz w:val="36"/>
        </w:rPr>
        <w:t xml:space="preserve">                               </w:t>
      </w:r>
      <w:r>
        <w:rPr>
          <w:rFonts w:hint="eastAsia" w:ascii="黑体" w:eastAsia="黑体"/>
          <w:b/>
          <w:sz w:val="36"/>
        </w:rPr>
        <w:t xml:space="preserve">     </w:t>
      </w:r>
      <w:r>
        <w:rPr>
          <w:rFonts w:ascii="黑体" w:eastAsia="黑体"/>
          <w:b/>
          <w:sz w:val="30"/>
        </w:rPr>
        <w:t>20</w:t>
      </w:r>
      <w:r>
        <w:rPr>
          <w:rFonts w:hint="eastAsia" w:ascii="黑体" w:eastAsia="黑体"/>
          <w:b/>
          <w:sz w:val="30"/>
          <w:lang w:val="en-US" w:eastAsia="zh-CN"/>
        </w:rPr>
        <w:t>26</w:t>
      </w:r>
      <w:r>
        <w:rPr>
          <w:rFonts w:hint="eastAsia" w:ascii="黑体" w:eastAsia="黑体"/>
          <w:b/>
          <w:sz w:val="30"/>
        </w:rPr>
        <w:t>年</w:t>
      </w:r>
      <w:r>
        <w:rPr>
          <w:rFonts w:hint="eastAsia" w:ascii="黑体" w:eastAsia="黑体"/>
          <w:b/>
          <w:sz w:val="30"/>
          <w:lang w:val="en-US" w:eastAsia="zh-CN"/>
        </w:rPr>
        <w:t>1</w:t>
      </w:r>
      <w:r>
        <w:rPr>
          <w:rFonts w:hint="eastAsia" w:ascii="黑体" w:eastAsia="黑体"/>
          <w:b/>
          <w:sz w:val="30"/>
        </w:rPr>
        <w:t>月</w:t>
      </w:r>
    </w:p>
    <w:p>
      <w:pPr>
        <w:rPr>
          <w:b/>
          <w:sz w:val="36"/>
        </w:rPr>
      </w:pPr>
      <w:r>
        <mc:AlternateContent>
          <mc:Choice Requires="wps">
            <w:drawing>
              <wp:anchor distT="0" distB="0" distL="114300" distR="114300" simplePos="0" relativeHeight="251660288" behindDoc="0" locked="0" layoutInCell="0" allowOverlap="1">
                <wp:simplePos x="0" y="0"/>
                <wp:positionH relativeFrom="column">
                  <wp:posOffset>12700</wp:posOffset>
                </wp:positionH>
                <wp:positionV relativeFrom="paragraph">
                  <wp:posOffset>79375</wp:posOffset>
                </wp:positionV>
                <wp:extent cx="6057900" cy="5080"/>
                <wp:effectExtent l="0" t="0" r="0" b="0"/>
                <wp:wrapNone/>
                <wp:docPr id="5" name="直接连接符 2"/>
                <wp:cNvGraphicFramePr/>
                <a:graphic xmlns:a="http://schemas.openxmlformats.org/drawingml/2006/main">
                  <a:graphicData uri="http://schemas.microsoft.com/office/word/2010/wordprocessingShape">
                    <wps:wsp>
                      <wps:cNvCnPr/>
                      <wps:spPr bwMode="auto">
                        <a:xfrm>
                          <a:off x="0" y="0"/>
                          <a:ext cx="6057900" cy="5080"/>
                        </a:xfrm>
                        <a:prstGeom prst="line">
                          <a:avLst/>
                        </a:prstGeom>
                        <a:ln w="28575" cap="flat" cmpd="sng">
                          <a:solidFill>
                            <a:srgbClr val="000000"/>
                          </a:solidFill>
                          <a:prstDash val="solid"/>
                          <a:headEnd type="none" w="med" len="med"/>
                          <a:tailEnd type="none" w="med" len="med"/>
                        </a:ln>
                      </wps:spPr>
                      <wps:bodyPr rot="0">
                        <a:noAutofit/>
                      </wps:bodyPr>
                    </wps:wsp>
                  </a:graphicData>
                </a:graphic>
              </wp:anchor>
            </w:drawing>
          </mc:Choice>
          <mc:Fallback>
            <w:pict>
              <v:line id="直接连接符 2" o:spid="_x0000_s1026" o:spt="20" style="position:absolute;left:0pt;margin-left:1pt;margin-top:6.25pt;height:0.4pt;width:477pt;z-index:251660288;mso-width-relative:page;mso-height-relative:page;" filled="f" stroked="t" coordsize="21600,21600" o:allowincell="f" o:gfxdata="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JkTO7VAAAABwEAAA8AAAAAAAAAAQAgAAAAIgAA&#10;AGRycy9kb3ducmV2LnhtbFBLAQIUABQAAAAIAIdO4kAcfowuCwIAAAwEAAAOAAAAAAAAAAEAIAAA&#10;ACQBAABkcnMvZTJvRG9jLnhtbFBLBQYAAAAABgAGAFkBAAChBQAAAAA=&#10;">
                <v:fill on="f" focussize="0,0"/>
                <v:stroke weight="2.25pt" color="#000000" joinstyle="round"/>
                <v:imagedata o:title=""/>
                <o:lock v:ext="edit" aspectratio="f"/>
              </v:line>
            </w:pict>
          </mc:Fallback>
        </mc:AlternateContent>
      </w:r>
      <w:r>
        <w:rPr>
          <w:b/>
          <w:sz w:val="36"/>
        </w:rPr>
        <w:t xml:space="preserve">                                      </w:t>
      </w:r>
    </w:p>
    <w:p>
      <w:pPr>
        <w:jc w:val="center"/>
        <w:rPr>
          <w:rFonts w:eastAsia="黑体"/>
          <w:b/>
        </w:rPr>
      </w:pPr>
      <w:r>
        <w:rPr>
          <w:rFonts w:hint="eastAsia" w:eastAsia="黑体"/>
          <w:b/>
          <w:sz w:val="44"/>
        </w:rPr>
        <w:t>浙江浙能乐清发电有限责任公司</w:t>
      </w:r>
      <w:bookmarkEnd w:id="0"/>
    </w:p>
    <w:p>
      <w:pPr>
        <w:pStyle w:val="187"/>
        <w:jc w:val="both"/>
        <w:rPr>
          <w:rFonts w:ascii="宋体" w:hAnsi="宋体" w:eastAsia="宋体"/>
          <w:sz w:val="28"/>
          <w:szCs w:val="28"/>
        </w:rPr>
      </w:pPr>
      <w:bookmarkStart w:id="1" w:name="_Toc356478188"/>
      <w:r>
        <w:rPr>
          <w:rFonts w:hint="eastAsia" w:ascii="宋体" w:hAnsi="宋体" w:eastAsia="宋体"/>
          <w:sz w:val="28"/>
          <w:szCs w:val="28"/>
        </w:rPr>
        <w:t>1.总则</w:t>
      </w:r>
      <w:bookmarkEnd w:id="1"/>
    </w:p>
    <w:p>
      <w:pPr>
        <w:spacing w:line="360" w:lineRule="auto"/>
        <w:rPr>
          <w:rFonts w:hint="eastAsia" w:ascii="宋体" w:hAnsi="宋体"/>
          <w:sz w:val="21"/>
          <w:szCs w:val="21"/>
        </w:rPr>
      </w:pPr>
      <w:r>
        <w:rPr>
          <w:rFonts w:hint="eastAsia" w:ascii="宋体" w:hAnsi="宋体"/>
          <w:sz w:val="21"/>
          <w:szCs w:val="21"/>
        </w:rPr>
        <w:t>1.1 本</w:t>
      </w:r>
      <w:r>
        <w:rPr>
          <w:rFonts w:hint="eastAsia" w:ascii="宋体" w:hAnsi="宋体"/>
          <w:sz w:val="21"/>
          <w:szCs w:val="21"/>
          <w:lang w:val="en-US" w:eastAsia="zh-CN"/>
        </w:rPr>
        <w:t>技术</w:t>
      </w:r>
      <w:r>
        <w:rPr>
          <w:rFonts w:hint="eastAsia" w:ascii="宋体" w:hAnsi="宋体"/>
          <w:sz w:val="21"/>
          <w:szCs w:val="21"/>
        </w:rPr>
        <w:t>规范书提出了</w:t>
      </w:r>
      <w:r>
        <w:rPr>
          <w:rFonts w:hint="eastAsia" w:ascii="宋体" w:hAnsi="宋体"/>
          <w:sz w:val="21"/>
          <w:szCs w:val="21"/>
          <w:lang w:val="en-US" w:eastAsia="zh-CN"/>
        </w:rPr>
        <w:t>浙江</w:t>
      </w:r>
      <w:r>
        <w:rPr>
          <w:rFonts w:hint="eastAsia" w:ascii="宋体" w:hAnsi="宋体"/>
          <w:sz w:val="21"/>
          <w:szCs w:val="21"/>
        </w:rPr>
        <w:t>浙能乐清发电有限责任公司</w:t>
      </w:r>
      <w:r>
        <w:rPr>
          <w:rFonts w:hint="eastAsia" w:ascii="宋体" w:hAnsi="宋体"/>
          <w:sz w:val="21"/>
          <w:szCs w:val="21"/>
          <w:lang w:eastAsia="zh-CN"/>
        </w:rPr>
        <w:t>（</w:t>
      </w:r>
      <w:r>
        <w:rPr>
          <w:rFonts w:hint="eastAsia" w:ascii="宋体" w:hAnsi="宋体"/>
          <w:sz w:val="21"/>
          <w:szCs w:val="21"/>
          <w:lang w:val="en-US" w:eastAsia="zh-CN"/>
        </w:rPr>
        <w:t>以下简称“浙能乐电”</w:t>
      </w:r>
      <w:r>
        <w:rPr>
          <w:rFonts w:hint="eastAsia" w:ascii="宋体" w:hAnsi="宋体"/>
          <w:sz w:val="21"/>
          <w:szCs w:val="21"/>
          <w:lang w:eastAsia="zh-CN"/>
        </w:rPr>
        <w:t>）</w:t>
      </w:r>
      <w:r>
        <w:rPr>
          <w:rFonts w:hint="eastAsia" w:ascii="宋体" w:hAnsi="宋体"/>
          <w:sz w:val="21"/>
          <w:szCs w:val="21"/>
          <w:lang w:val="en-US" w:eastAsia="zh-CN"/>
        </w:rPr>
        <w:t>3</w:t>
      </w:r>
      <w:r>
        <w:rPr>
          <w:rFonts w:hint="eastAsia" w:ascii="宋体" w:hAnsi="宋体"/>
          <w:sz w:val="21"/>
          <w:szCs w:val="21"/>
          <w:lang w:eastAsia="zh-CN"/>
        </w:rPr>
        <w:t>、</w:t>
      </w:r>
      <w:r>
        <w:rPr>
          <w:rFonts w:hint="eastAsia" w:ascii="宋体" w:hAnsi="宋体"/>
          <w:sz w:val="21"/>
          <w:szCs w:val="21"/>
          <w:lang w:val="en-US" w:eastAsia="zh-CN"/>
        </w:rPr>
        <w:t>4号机组</w:t>
      </w:r>
      <w:r>
        <w:rPr>
          <w:rFonts w:hint="eastAsia" w:ascii="宋体" w:hAnsi="宋体"/>
          <w:sz w:val="21"/>
          <w:szCs w:val="21"/>
        </w:rPr>
        <w:t>锅炉化学清洗的技术要求。</w:t>
      </w:r>
    </w:p>
    <w:p>
      <w:pPr>
        <w:spacing w:line="360" w:lineRule="auto"/>
        <w:rPr>
          <w:rFonts w:hint="eastAsia" w:ascii="宋体" w:hAnsi="宋体"/>
          <w:sz w:val="21"/>
          <w:szCs w:val="21"/>
        </w:rPr>
      </w:pPr>
      <w:r>
        <w:rPr>
          <w:rFonts w:hint="eastAsia" w:ascii="宋体" w:hAnsi="宋体"/>
          <w:sz w:val="21"/>
          <w:szCs w:val="21"/>
        </w:rPr>
        <w:t>1.2 本</w:t>
      </w:r>
      <w:r>
        <w:rPr>
          <w:rFonts w:hint="eastAsia" w:ascii="宋体" w:hAnsi="宋体"/>
          <w:sz w:val="21"/>
          <w:szCs w:val="21"/>
          <w:lang w:val="en-US" w:eastAsia="zh-CN"/>
        </w:rPr>
        <w:t>技术</w:t>
      </w:r>
      <w:r>
        <w:rPr>
          <w:rFonts w:hint="eastAsia" w:ascii="宋体" w:hAnsi="宋体"/>
          <w:sz w:val="21"/>
          <w:szCs w:val="21"/>
        </w:rPr>
        <w:t>规范书中提出的是最低限度的技术要求，并未对一切技术细节做出规定，也未充分引述有关标准和规范的条文，投标方应提供符合本规范的优质工程服务，该项目施工质量满足国家标准、行业标准，以及环境保护标准的要求。</w:t>
      </w:r>
    </w:p>
    <w:p>
      <w:pPr>
        <w:spacing w:line="360" w:lineRule="auto"/>
        <w:rPr>
          <w:rFonts w:hint="eastAsia" w:ascii="宋体" w:hAnsi="宋体"/>
          <w:sz w:val="21"/>
          <w:szCs w:val="21"/>
        </w:rPr>
      </w:pPr>
      <w:r>
        <w:rPr>
          <w:rFonts w:hint="eastAsia" w:ascii="宋体" w:hAnsi="宋体"/>
          <w:sz w:val="21"/>
          <w:szCs w:val="21"/>
        </w:rPr>
        <w:t>1.3 如果投标方没有以书面形式对本条文提出异议，则意味着投标方提供的工程服务完全符合本规范书的要求。</w:t>
      </w:r>
    </w:p>
    <w:p>
      <w:pPr>
        <w:spacing w:line="360" w:lineRule="auto"/>
        <w:rPr>
          <w:rFonts w:hint="eastAsia" w:ascii="宋体" w:hAnsi="宋体"/>
          <w:sz w:val="21"/>
          <w:szCs w:val="21"/>
        </w:rPr>
      </w:pPr>
      <w:r>
        <w:rPr>
          <w:rFonts w:hint="eastAsia" w:ascii="宋体" w:hAnsi="宋体"/>
          <w:sz w:val="21"/>
          <w:szCs w:val="21"/>
        </w:rPr>
        <w:t>1.4 本</w:t>
      </w:r>
      <w:r>
        <w:rPr>
          <w:rFonts w:hint="eastAsia" w:ascii="宋体" w:hAnsi="宋体"/>
          <w:sz w:val="21"/>
          <w:szCs w:val="21"/>
          <w:lang w:val="en-US" w:eastAsia="zh-CN"/>
        </w:rPr>
        <w:t>技术</w:t>
      </w:r>
      <w:r>
        <w:rPr>
          <w:rFonts w:hint="eastAsia" w:ascii="宋体" w:hAnsi="宋体"/>
          <w:sz w:val="21"/>
          <w:szCs w:val="21"/>
        </w:rPr>
        <w:t>规范书所使用的标准如与投标方所执行的标准发生矛盾时,按较高标准执行。</w:t>
      </w:r>
    </w:p>
    <w:p>
      <w:pPr>
        <w:spacing w:line="360" w:lineRule="auto"/>
        <w:rPr>
          <w:rFonts w:hint="eastAsia" w:ascii="宋体" w:hAnsi="宋体"/>
          <w:sz w:val="21"/>
          <w:szCs w:val="21"/>
        </w:rPr>
      </w:pPr>
      <w:r>
        <w:rPr>
          <w:rFonts w:hint="eastAsia" w:ascii="宋体" w:hAnsi="宋体"/>
          <w:sz w:val="21"/>
          <w:szCs w:val="21"/>
        </w:rPr>
        <w:t>1.5 本</w:t>
      </w:r>
      <w:r>
        <w:rPr>
          <w:rFonts w:hint="eastAsia" w:ascii="宋体" w:hAnsi="宋体"/>
          <w:sz w:val="21"/>
          <w:szCs w:val="21"/>
          <w:lang w:val="en-US" w:eastAsia="zh-CN"/>
        </w:rPr>
        <w:t>技术</w:t>
      </w:r>
      <w:r>
        <w:rPr>
          <w:rFonts w:hint="eastAsia" w:ascii="宋体" w:hAnsi="宋体"/>
          <w:sz w:val="21"/>
          <w:szCs w:val="21"/>
        </w:rPr>
        <w:t>规范书经供、需双方确认后,作为合同的技术附件，与合同正文具有同等效力。</w:t>
      </w:r>
    </w:p>
    <w:p>
      <w:pPr>
        <w:spacing w:line="360" w:lineRule="auto"/>
        <w:rPr>
          <w:rFonts w:hint="eastAsia" w:ascii="宋体" w:hAnsi="宋体"/>
          <w:sz w:val="21"/>
          <w:szCs w:val="21"/>
        </w:rPr>
      </w:pPr>
      <w:r>
        <w:rPr>
          <w:rFonts w:hint="eastAsia" w:ascii="宋体" w:hAnsi="宋体"/>
          <w:sz w:val="21"/>
          <w:szCs w:val="21"/>
        </w:rPr>
        <w:t>1.6 在合同签定后，招标方有权因规范、标准、规程发生变化而提出一些补充要求，具体内容双方共同商定。</w:t>
      </w:r>
    </w:p>
    <w:p>
      <w:pPr>
        <w:pStyle w:val="4"/>
        <w:spacing w:before="120" w:after="120" w:line="415" w:lineRule="auto"/>
        <w:rPr>
          <w:rFonts w:hint="eastAsia" w:ascii="宋体" w:hAnsi="宋体" w:eastAsia="宋体"/>
          <w:sz w:val="28"/>
          <w:szCs w:val="28"/>
        </w:rPr>
      </w:pPr>
      <w:bookmarkStart w:id="2" w:name="_Toc356478189"/>
      <w:r>
        <w:rPr>
          <w:rFonts w:hint="eastAsia" w:ascii="宋体" w:hAnsi="宋体" w:eastAsia="宋体"/>
          <w:sz w:val="28"/>
          <w:szCs w:val="28"/>
        </w:rPr>
        <w:t>2.工程概况</w:t>
      </w:r>
      <w:bookmarkEnd w:id="2"/>
    </w:p>
    <w:p>
      <w:pPr>
        <w:pStyle w:val="193"/>
        <w:numPr>
          <w:ilvl w:val="-1"/>
          <w:numId w:val="0"/>
        </w:numPr>
        <w:tabs>
          <w:tab w:val="clear" w:pos="1134"/>
        </w:tabs>
        <w:spacing w:line="360" w:lineRule="auto"/>
        <w:ind w:left="0" w:firstLine="420"/>
        <w:rPr>
          <w:rFonts w:ascii="宋体" w:hAnsi="宋体" w:cs="Arial"/>
          <w:sz w:val="21"/>
          <w:szCs w:val="21"/>
        </w:rPr>
      </w:pPr>
      <w:r>
        <w:rPr>
          <w:rFonts w:hint="eastAsia" w:ascii="宋体" w:hAnsi="宋体" w:cs="Arial"/>
          <w:sz w:val="21"/>
          <w:szCs w:val="21"/>
          <w:lang w:val="en-US" w:eastAsia="zh-CN"/>
        </w:rPr>
        <w:t>浙江</w:t>
      </w:r>
      <w:r>
        <w:rPr>
          <w:rFonts w:ascii="宋体" w:hAnsi="宋体" w:cs="Arial"/>
          <w:sz w:val="21"/>
          <w:szCs w:val="21"/>
        </w:rPr>
        <w:t>浙能乐清发电</w:t>
      </w:r>
      <w:r>
        <w:rPr>
          <w:rFonts w:hint="eastAsia" w:ascii="宋体" w:hAnsi="宋体" w:cs="Arial"/>
          <w:sz w:val="21"/>
          <w:szCs w:val="21"/>
        </w:rPr>
        <w:t>有限责任公司</w:t>
      </w:r>
      <w:r>
        <w:rPr>
          <w:rFonts w:hint="eastAsia" w:ascii="宋体" w:hAnsi="宋体" w:cs="Arial"/>
          <w:sz w:val="21"/>
          <w:szCs w:val="21"/>
          <w:lang w:val="en-US" w:eastAsia="zh-CN"/>
        </w:rPr>
        <w:t>3</w:t>
      </w:r>
      <w:r>
        <w:rPr>
          <w:rFonts w:hint="eastAsia" w:ascii="宋体" w:hAnsi="宋体" w:cs="Arial"/>
          <w:sz w:val="21"/>
          <w:szCs w:val="21"/>
          <w:lang w:eastAsia="zh-CN"/>
        </w:rPr>
        <w:t>、</w:t>
      </w:r>
      <w:r>
        <w:rPr>
          <w:rFonts w:hint="eastAsia" w:ascii="宋体" w:hAnsi="宋体" w:cs="Arial"/>
          <w:sz w:val="21"/>
          <w:szCs w:val="21"/>
          <w:lang w:val="en-US" w:eastAsia="zh-CN"/>
        </w:rPr>
        <w:t>4号机组</w:t>
      </w:r>
      <w:r>
        <w:rPr>
          <w:rFonts w:hint="eastAsia" w:ascii="宋体" w:hAnsi="宋体" w:cs="Arial"/>
          <w:sz w:val="21"/>
          <w:szCs w:val="21"/>
        </w:rPr>
        <w:t>锅炉为</w:t>
      </w:r>
      <w:r>
        <w:rPr>
          <w:rFonts w:ascii="宋体" w:hAnsi="宋体" w:cs="Arial"/>
          <w:sz w:val="21"/>
          <w:szCs w:val="21"/>
        </w:rPr>
        <w:t>6</w:t>
      </w:r>
      <w:r>
        <w:rPr>
          <w:rFonts w:hint="eastAsia" w:ascii="宋体" w:hAnsi="宋体" w:cs="Arial"/>
          <w:sz w:val="21"/>
          <w:szCs w:val="21"/>
        </w:rPr>
        <w:t>6</w:t>
      </w:r>
      <w:r>
        <w:rPr>
          <w:rFonts w:ascii="宋体" w:hAnsi="宋体" w:cs="Arial"/>
          <w:sz w:val="21"/>
          <w:szCs w:val="21"/>
        </w:rPr>
        <w:t>0MW</w:t>
      </w:r>
      <w:r>
        <w:rPr>
          <w:rFonts w:hint="eastAsia"/>
          <w:sz w:val="21"/>
          <w:szCs w:val="21"/>
        </w:rPr>
        <w:t>超超临界参数变压运行螺旋管圈直流炉，单炉膛、一次中间再热、采用四角切圆燃烧方式、平衡通风、固态排渣、全钢悬吊Π型结构、露天布置燃煤锅炉。</w:t>
      </w:r>
      <w:r>
        <w:rPr>
          <w:rFonts w:hint="eastAsia" w:ascii="宋体" w:hAnsi="宋体" w:cs="Arial"/>
          <w:sz w:val="21"/>
          <w:szCs w:val="21"/>
        </w:rPr>
        <w:t>炉膛宽度18816</w:t>
      </w:r>
      <w:r>
        <w:rPr>
          <w:rFonts w:ascii="宋体" w:hAnsi="宋体" w:cs="Arial"/>
          <w:sz w:val="21"/>
          <w:szCs w:val="21"/>
        </w:rPr>
        <w:t>mm</w:t>
      </w:r>
      <w:r>
        <w:rPr>
          <w:rFonts w:hint="eastAsia" w:ascii="宋体" w:hAnsi="宋体" w:cs="Arial"/>
          <w:sz w:val="21"/>
          <w:szCs w:val="21"/>
        </w:rPr>
        <w:t>，炉膛深度</w:t>
      </w:r>
      <w:r>
        <w:rPr>
          <w:rFonts w:ascii="宋体" w:hAnsi="宋体"/>
          <w:sz w:val="21"/>
          <w:szCs w:val="21"/>
        </w:rPr>
        <w:t>18816</w:t>
      </w:r>
      <w:r>
        <w:rPr>
          <w:rFonts w:ascii="宋体" w:hAnsi="宋体" w:cs="Arial"/>
          <w:sz w:val="21"/>
          <w:szCs w:val="21"/>
        </w:rPr>
        <w:t>mm</w:t>
      </w:r>
      <w:r>
        <w:rPr>
          <w:rFonts w:hint="eastAsia" w:ascii="宋体" w:hAnsi="宋体" w:cs="Arial"/>
          <w:sz w:val="21"/>
          <w:szCs w:val="21"/>
        </w:rPr>
        <w:t>，水冷壁下集箱标高为8300</w:t>
      </w:r>
      <w:r>
        <w:rPr>
          <w:rFonts w:ascii="宋体" w:hAnsi="宋体" w:cs="Arial"/>
          <w:sz w:val="21"/>
          <w:szCs w:val="21"/>
        </w:rPr>
        <w:t>mm</w:t>
      </w:r>
      <w:r>
        <w:rPr>
          <w:rFonts w:hint="eastAsia" w:ascii="宋体" w:hAnsi="宋体" w:cs="Arial"/>
          <w:sz w:val="21"/>
          <w:szCs w:val="21"/>
        </w:rPr>
        <w:t>，炉顶管中心标高为7</w:t>
      </w:r>
      <w:r>
        <w:rPr>
          <w:rFonts w:hint="eastAsia" w:ascii="宋体" w:hAnsi="宋体" w:cs="Arial"/>
          <w:sz w:val="21"/>
          <w:szCs w:val="21"/>
          <w:lang w:val="en-US" w:eastAsia="zh-CN"/>
        </w:rPr>
        <w:t>5230</w:t>
      </w:r>
      <w:r>
        <w:rPr>
          <w:rFonts w:ascii="宋体" w:hAnsi="宋体" w:cs="Arial"/>
          <w:sz w:val="21"/>
          <w:szCs w:val="21"/>
        </w:rPr>
        <w:t>mm</w:t>
      </w:r>
      <w:r>
        <w:rPr>
          <w:rFonts w:hint="eastAsia" w:ascii="宋体" w:hAnsi="宋体" w:cs="Arial"/>
          <w:sz w:val="21"/>
          <w:szCs w:val="21"/>
        </w:rPr>
        <w:t>。炉膛由膜式壁组成，从炉膛冷灰斗进口（标高8300mm）到标高</w:t>
      </w:r>
      <w:r>
        <w:rPr>
          <w:rFonts w:hint="eastAsia"/>
          <w:color w:val="auto"/>
          <w:sz w:val="21"/>
          <w:szCs w:val="21"/>
        </w:rPr>
        <w:t>51873</w:t>
      </w:r>
      <w:r>
        <w:rPr>
          <w:rFonts w:hint="eastAsia" w:ascii="宋体" w:hAnsi="宋体" w:cs="Arial"/>
          <w:sz w:val="21"/>
          <w:szCs w:val="21"/>
        </w:rPr>
        <w:t>mm处炉膛四周采用螺旋管圈</w:t>
      </w:r>
      <w:r>
        <w:rPr>
          <w:rFonts w:hint="eastAsia" w:ascii="宋体" w:hAnsi="宋体" w:cs="Arial"/>
          <w:sz w:val="21"/>
          <w:szCs w:val="21"/>
          <w:lang w:eastAsia="zh-CN"/>
        </w:rPr>
        <w:t>。</w:t>
      </w:r>
      <w:r>
        <w:rPr>
          <w:rFonts w:ascii="宋体" w:hAnsi="宋体" w:cs="Arial"/>
          <w:sz w:val="21"/>
          <w:szCs w:val="21"/>
        </w:rPr>
        <w:t>该锅炉主要设计参数如下：</w:t>
      </w:r>
    </w:p>
    <w:p>
      <w:pPr>
        <w:spacing w:line="360" w:lineRule="auto"/>
        <w:ind w:firstLine="1050"/>
        <w:rPr>
          <w:rFonts w:ascii="宋体" w:hAnsi="宋体" w:cs="Arial"/>
          <w:sz w:val="21"/>
          <w:szCs w:val="21"/>
        </w:rPr>
      </w:pPr>
      <w:r>
        <w:rPr>
          <w:rFonts w:ascii="宋体" w:hAnsi="宋体" w:cs="Arial"/>
          <w:sz w:val="21"/>
          <w:szCs w:val="21"/>
        </w:rPr>
        <w:t xml:space="preserve">过热蒸汽流量：        </w:t>
      </w:r>
      <w:r>
        <w:rPr>
          <w:rFonts w:hint="eastAsia" w:ascii="宋体" w:hAnsi="宋体" w:cs="Arial"/>
          <w:sz w:val="21"/>
          <w:szCs w:val="21"/>
          <w:lang w:val="en-US" w:eastAsia="zh-CN"/>
        </w:rPr>
        <w:t>2031</w:t>
      </w:r>
      <w:r>
        <w:rPr>
          <w:rFonts w:ascii="宋体" w:hAnsi="宋体" w:cs="Arial"/>
          <w:sz w:val="21"/>
          <w:szCs w:val="21"/>
        </w:rPr>
        <w:t>t/h；</w:t>
      </w:r>
    </w:p>
    <w:p>
      <w:pPr>
        <w:spacing w:line="360" w:lineRule="auto"/>
        <w:ind w:firstLine="1050"/>
        <w:rPr>
          <w:rFonts w:ascii="宋体" w:hAnsi="宋体" w:cs="Arial"/>
          <w:sz w:val="21"/>
          <w:szCs w:val="21"/>
        </w:rPr>
      </w:pPr>
      <w:r>
        <w:rPr>
          <w:rFonts w:ascii="宋体" w:hAnsi="宋体" w:cs="Arial"/>
          <w:sz w:val="21"/>
          <w:szCs w:val="21"/>
        </w:rPr>
        <w:t xml:space="preserve">过热蒸汽压力/温度：   </w:t>
      </w:r>
      <w:r>
        <w:rPr>
          <w:rFonts w:hint="eastAsia" w:ascii="宋体" w:hAnsi="宋体" w:cs="Arial"/>
          <w:sz w:val="21"/>
          <w:szCs w:val="21"/>
          <w:lang w:val="en-US" w:eastAsia="zh-CN"/>
        </w:rPr>
        <w:t>26.15</w:t>
      </w:r>
      <w:r>
        <w:rPr>
          <w:rFonts w:ascii="宋体" w:hAnsi="宋体" w:cs="Arial"/>
          <w:sz w:val="21"/>
          <w:szCs w:val="21"/>
        </w:rPr>
        <w:t>MPa/</w:t>
      </w:r>
      <w:r>
        <w:rPr>
          <w:rFonts w:hint="eastAsia" w:ascii="宋体" w:hAnsi="宋体" w:cs="Arial"/>
          <w:sz w:val="21"/>
          <w:szCs w:val="21"/>
          <w:lang w:val="en-US" w:eastAsia="zh-CN"/>
        </w:rPr>
        <w:t>605</w:t>
      </w:r>
      <w:r>
        <w:rPr>
          <w:rFonts w:ascii="宋体" w:hAnsi="宋体" w:cs="Arial"/>
          <w:sz w:val="21"/>
          <w:szCs w:val="21"/>
        </w:rPr>
        <w:t>℃；</w:t>
      </w:r>
    </w:p>
    <w:p>
      <w:pPr>
        <w:spacing w:line="360" w:lineRule="auto"/>
        <w:ind w:firstLine="1050"/>
        <w:rPr>
          <w:rFonts w:ascii="宋体" w:hAnsi="宋体" w:cs="Arial"/>
          <w:sz w:val="21"/>
          <w:szCs w:val="21"/>
        </w:rPr>
      </w:pPr>
      <w:r>
        <w:rPr>
          <w:rFonts w:ascii="宋体" w:hAnsi="宋体" w:cs="Arial"/>
          <w:sz w:val="21"/>
          <w:szCs w:val="21"/>
        </w:rPr>
        <w:t xml:space="preserve">再热蒸汽流量：        </w:t>
      </w:r>
      <w:r>
        <w:rPr>
          <w:rFonts w:hint="eastAsia" w:ascii="宋体" w:hAnsi="宋体" w:cs="Arial"/>
          <w:sz w:val="21"/>
          <w:szCs w:val="21"/>
          <w:lang w:val="en-US" w:eastAsia="zh-CN"/>
        </w:rPr>
        <w:t>1713</w:t>
      </w:r>
      <w:r>
        <w:rPr>
          <w:rFonts w:ascii="宋体" w:hAnsi="宋体" w:cs="Arial"/>
          <w:sz w:val="21"/>
          <w:szCs w:val="21"/>
        </w:rPr>
        <w:t>t/h；</w:t>
      </w:r>
    </w:p>
    <w:p>
      <w:pPr>
        <w:spacing w:line="360" w:lineRule="auto"/>
        <w:ind w:firstLine="1050"/>
        <w:rPr>
          <w:rFonts w:ascii="宋体" w:hAnsi="宋体" w:cs="Arial"/>
          <w:sz w:val="21"/>
          <w:szCs w:val="21"/>
        </w:rPr>
      </w:pPr>
      <w:r>
        <w:rPr>
          <w:rFonts w:ascii="宋体" w:hAnsi="宋体" w:cs="Arial"/>
          <w:sz w:val="21"/>
          <w:szCs w:val="21"/>
        </w:rPr>
        <w:t>再热器出口压力/温度：</w:t>
      </w:r>
      <w:r>
        <w:rPr>
          <w:rFonts w:hint="eastAsia" w:ascii="宋体" w:hAnsi="宋体"/>
          <w:sz w:val="21"/>
          <w:szCs w:val="21"/>
        </w:rPr>
        <w:t>5.96</w:t>
      </w:r>
      <w:r>
        <w:rPr>
          <w:rFonts w:ascii="宋体" w:hAnsi="宋体" w:cs="Arial"/>
          <w:sz w:val="21"/>
          <w:szCs w:val="21"/>
        </w:rPr>
        <w:t>MPa/</w:t>
      </w:r>
      <w:r>
        <w:rPr>
          <w:rFonts w:hint="eastAsia" w:ascii="宋体" w:hAnsi="宋体"/>
          <w:sz w:val="21"/>
          <w:szCs w:val="21"/>
        </w:rPr>
        <w:t>603</w:t>
      </w:r>
      <w:r>
        <w:rPr>
          <w:rFonts w:ascii="宋体" w:hAnsi="宋体" w:cs="Arial"/>
          <w:sz w:val="21"/>
          <w:szCs w:val="21"/>
        </w:rPr>
        <w:t>℃；</w:t>
      </w:r>
    </w:p>
    <w:p>
      <w:pPr>
        <w:spacing w:line="360" w:lineRule="auto"/>
        <w:ind w:firstLine="1050"/>
        <w:rPr>
          <w:rFonts w:ascii="宋体" w:hAnsi="宋体" w:cs="Arial"/>
          <w:sz w:val="21"/>
          <w:szCs w:val="21"/>
        </w:rPr>
      </w:pPr>
      <w:r>
        <w:rPr>
          <w:rFonts w:ascii="宋体" w:hAnsi="宋体" w:cs="Arial"/>
          <w:sz w:val="21"/>
          <w:szCs w:val="21"/>
        </w:rPr>
        <w:t xml:space="preserve">省煤器入口给水温度：  </w:t>
      </w:r>
      <w:r>
        <w:rPr>
          <w:rFonts w:hint="eastAsia" w:ascii="宋体" w:hAnsi="宋体"/>
          <w:sz w:val="21"/>
          <w:szCs w:val="21"/>
        </w:rPr>
        <w:t>298</w:t>
      </w:r>
      <w:r>
        <w:rPr>
          <w:rFonts w:ascii="宋体" w:hAnsi="宋体" w:cs="Arial"/>
          <w:sz w:val="21"/>
          <w:szCs w:val="21"/>
        </w:rPr>
        <w:t>℃。</w:t>
      </w:r>
    </w:p>
    <w:p>
      <w:pPr>
        <w:spacing w:line="360" w:lineRule="auto"/>
        <w:ind w:firstLine="1050"/>
        <w:rPr>
          <w:rFonts w:hint="eastAsia" w:ascii="宋体" w:hAnsi="宋体" w:eastAsia="宋体" w:cs="Arial"/>
          <w:sz w:val="21"/>
          <w:szCs w:val="21"/>
          <w:lang w:eastAsia="zh-CN"/>
        </w:rPr>
      </w:pPr>
      <w:r>
        <w:rPr>
          <w:rFonts w:ascii="宋体" w:hAnsi="宋体" w:cs="Arial"/>
          <w:sz w:val="21"/>
          <w:szCs w:val="21"/>
        </w:rPr>
        <w:t>水冷壁及省煤器管规格如下</w:t>
      </w:r>
      <w:r>
        <w:rPr>
          <w:rFonts w:hint="eastAsia" w:ascii="宋体" w:hAnsi="宋体" w:cs="Arial"/>
          <w:sz w:val="21"/>
          <w:szCs w:val="21"/>
          <w:lang w:eastAsia="zh-CN"/>
        </w:rPr>
        <w:t>：</w:t>
      </w:r>
    </w:p>
    <w:tbl>
      <w:tblPr>
        <w:tblStyle w:val="33"/>
        <w:tblpPr w:leftFromText="180" w:rightFromText="180" w:vertAnchor="text" w:horzAnchor="page" w:tblpX="1832" w:tblpY="30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2294"/>
        <w:gridCol w:w="1138"/>
        <w:gridCol w:w="962"/>
        <w:gridCol w:w="2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52" w:type="dxa"/>
            <w:noWrap w:val="0"/>
            <w:vAlign w:val="center"/>
          </w:tcPr>
          <w:p>
            <w:pPr>
              <w:spacing w:line="360" w:lineRule="auto"/>
              <w:jc w:val="center"/>
              <w:rPr>
                <w:rFonts w:ascii="宋体" w:hAnsi="宋体" w:cs="Arial"/>
                <w:b/>
                <w:bCs/>
                <w:sz w:val="21"/>
                <w:szCs w:val="21"/>
              </w:rPr>
            </w:pPr>
            <w:r>
              <w:rPr>
                <w:rFonts w:ascii="宋体" w:hAnsi="宋体" w:cs="Arial"/>
                <w:b/>
                <w:bCs/>
                <w:sz w:val="21"/>
                <w:szCs w:val="21"/>
              </w:rPr>
              <w:t>名称</w:t>
            </w:r>
          </w:p>
        </w:tc>
        <w:tc>
          <w:tcPr>
            <w:tcW w:w="2294" w:type="dxa"/>
            <w:noWrap w:val="0"/>
            <w:vAlign w:val="center"/>
          </w:tcPr>
          <w:p>
            <w:pPr>
              <w:spacing w:line="360" w:lineRule="auto"/>
              <w:ind w:firstLine="422"/>
              <w:jc w:val="center"/>
              <w:rPr>
                <w:rFonts w:ascii="宋体" w:hAnsi="宋体" w:cs="Arial"/>
                <w:b/>
                <w:bCs/>
                <w:sz w:val="21"/>
                <w:szCs w:val="21"/>
              </w:rPr>
            </w:pPr>
            <w:r>
              <w:rPr>
                <w:rFonts w:ascii="宋体" w:hAnsi="宋体" w:cs="Arial"/>
                <w:b/>
                <w:bCs/>
                <w:sz w:val="21"/>
                <w:szCs w:val="21"/>
              </w:rPr>
              <w:t>规格</w:t>
            </w:r>
          </w:p>
        </w:tc>
        <w:tc>
          <w:tcPr>
            <w:tcW w:w="1138" w:type="dxa"/>
            <w:noWrap w:val="0"/>
            <w:vAlign w:val="center"/>
          </w:tcPr>
          <w:p>
            <w:pPr>
              <w:spacing w:line="360" w:lineRule="auto"/>
              <w:jc w:val="center"/>
              <w:rPr>
                <w:rFonts w:ascii="宋体" w:hAnsi="宋体" w:cs="Arial"/>
                <w:b/>
                <w:bCs/>
                <w:sz w:val="21"/>
                <w:szCs w:val="21"/>
              </w:rPr>
            </w:pPr>
            <w:r>
              <w:rPr>
                <w:rFonts w:ascii="宋体" w:hAnsi="宋体" w:cs="Arial"/>
                <w:b/>
                <w:bCs/>
                <w:sz w:val="21"/>
                <w:szCs w:val="21"/>
              </w:rPr>
              <w:t>型式</w:t>
            </w:r>
          </w:p>
        </w:tc>
        <w:tc>
          <w:tcPr>
            <w:tcW w:w="962" w:type="dxa"/>
            <w:noWrap w:val="0"/>
            <w:vAlign w:val="center"/>
          </w:tcPr>
          <w:p>
            <w:pPr>
              <w:spacing w:line="360" w:lineRule="auto"/>
              <w:jc w:val="center"/>
              <w:rPr>
                <w:rFonts w:hint="eastAsia" w:ascii="宋体" w:hAnsi="宋体" w:eastAsia="宋体" w:cs="Arial"/>
                <w:b/>
                <w:bCs/>
                <w:sz w:val="21"/>
                <w:szCs w:val="21"/>
                <w:lang w:val="en-US" w:eastAsia="zh-CN"/>
              </w:rPr>
            </w:pPr>
            <w:r>
              <w:rPr>
                <w:rFonts w:ascii="宋体" w:hAnsi="宋体" w:cs="Arial"/>
                <w:b/>
                <w:bCs/>
                <w:sz w:val="21"/>
                <w:szCs w:val="21"/>
              </w:rPr>
              <w:t>数量</w:t>
            </w:r>
            <w:r>
              <w:rPr>
                <w:rFonts w:hint="eastAsia" w:ascii="宋体" w:hAnsi="宋体" w:cs="Arial"/>
                <w:b/>
                <w:bCs/>
                <w:sz w:val="21"/>
                <w:szCs w:val="21"/>
                <w:lang w:eastAsia="zh-CN"/>
              </w:rPr>
              <w:t>（</w:t>
            </w:r>
            <w:r>
              <w:rPr>
                <w:rFonts w:ascii="宋体" w:hAnsi="宋体"/>
                <w:b/>
                <w:bCs/>
                <w:sz w:val="21"/>
                <w:szCs w:val="21"/>
              </w:rPr>
              <w:t>根</w:t>
            </w:r>
            <w:r>
              <w:rPr>
                <w:rFonts w:hint="eastAsia" w:ascii="宋体" w:hAnsi="宋体"/>
                <w:b/>
                <w:bCs/>
                <w:sz w:val="21"/>
                <w:szCs w:val="21"/>
                <w:lang w:val="en-US" w:eastAsia="zh-CN"/>
              </w:rPr>
              <w:t>)</w:t>
            </w:r>
          </w:p>
        </w:tc>
        <w:tc>
          <w:tcPr>
            <w:tcW w:w="2731" w:type="dxa"/>
            <w:noWrap w:val="0"/>
            <w:vAlign w:val="center"/>
          </w:tcPr>
          <w:p>
            <w:pPr>
              <w:spacing w:line="360" w:lineRule="auto"/>
              <w:jc w:val="center"/>
              <w:rPr>
                <w:rFonts w:ascii="宋体" w:hAnsi="宋体" w:cs="Arial"/>
                <w:b/>
                <w:bCs/>
                <w:sz w:val="21"/>
                <w:szCs w:val="21"/>
              </w:rPr>
            </w:pPr>
            <w:r>
              <w:rPr>
                <w:rFonts w:ascii="宋体" w:hAnsi="宋体" w:cs="Arial"/>
                <w:b/>
                <w:bCs/>
                <w:sz w:val="21"/>
                <w:szCs w:val="21"/>
              </w:rPr>
              <w:t>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52" w:type="dxa"/>
            <w:noWrap w:val="0"/>
            <w:vAlign w:val="center"/>
          </w:tcPr>
          <w:p>
            <w:pPr>
              <w:spacing w:line="360" w:lineRule="auto"/>
              <w:jc w:val="center"/>
              <w:rPr>
                <w:rFonts w:ascii="宋体" w:hAnsi="宋体" w:cs="Arial"/>
                <w:sz w:val="21"/>
                <w:szCs w:val="21"/>
              </w:rPr>
            </w:pPr>
            <w:r>
              <w:rPr>
                <w:rFonts w:ascii="宋体" w:hAnsi="宋体" w:cs="Arial"/>
                <w:sz w:val="21"/>
                <w:szCs w:val="21"/>
              </w:rPr>
              <w:t>螺旋水冷壁</w:t>
            </w:r>
          </w:p>
        </w:tc>
        <w:tc>
          <w:tcPr>
            <w:tcW w:w="2294" w:type="dxa"/>
            <w:noWrap w:val="0"/>
            <w:vAlign w:val="center"/>
          </w:tcPr>
          <w:p>
            <w:pPr>
              <w:tabs>
                <w:tab w:val="center" w:pos="1261"/>
                <w:tab w:val="right" w:pos="2402"/>
              </w:tabs>
              <w:spacing w:line="360" w:lineRule="auto"/>
              <w:jc w:val="center"/>
              <w:rPr>
                <w:rFonts w:hint="eastAsia" w:ascii="宋体" w:hAnsi="宋体" w:eastAsia="宋体"/>
                <w:sz w:val="21"/>
                <w:szCs w:val="21"/>
                <w:lang w:eastAsia="zh-CN"/>
              </w:rPr>
            </w:pPr>
            <w:r>
              <w:rPr>
                <w:rFonts w:ascii="宋体" w:hAnsi="宋体"/>
                <w:sz w:val="21"/>
                <w:szCs w:val="21"/>
              </w:rPr>
              <w:t>Φ38.1</w:t>
            </w:r>
            <w:r>
              <w:rPr>
                <w:rFonts w:ascii="Symbol" w:hAnsi="Symbol" w:eastAsia="Symbol" w:cs="Symbol"/>
                <w:sz w:val="21"/>
                <w:szCs w:val="21"/>
              </w:rPr>
              <w:t>´</w:t>
            </w:r>
            <w:r>
              <w:rPr>
                <w:rFonts w:ascii="宋体" w:hAnsi="宋体"/>
                <w:sz w:val="21"/>
                <w:szCs w:val="21"/>
              </w:rPr>
              <w:t>7.2</w:t>
            </w:r>
          </w:p>
        </w:tc>
        <w:tc>
          <w:tcPr>
            <w:tcW w:w="1138" w:type="dxa"/>
            <w:noWrap w:val="0"/>
            <w:vAlign w:val="center"/>
          </w:tcPr>
          <w:p>
            <w:pPr>
              <w:spacing w:line="360" w:lineRule="auto"/>
              <w:jc w:val="center"/>
              <w:rPr>
                <w:rFonts w:ascii="宋体" w:hAnsi="宋体"/>
                <w:sz w:val="21"/>
                <w:szCs w:val="21"/>
              </w:rPr>
            </w:pPr>
            <w:r>
              <w:rPr>
                <w:rFonts w:ascii="宋体" w:hAnsi="宋体"/>
                <w:sz w:val="21"/>
                <w:szCs w:val="21"/>
              </w:rPr>
              <w:t>光管</w:t>
            </w:r>
          </w:p>
        </w:tc>
        <w:tc>
          <w:tcPr>
            <w:tcW w:w="962" w:type="dxa"/>
            <w:noWrap w:val="0"/>
            <w:vAlign w:val="center"/>
          </w:tcPr>
          <w:p>
            <w:pPr>
              <w:spacing w:line="360" w:lineRule="auto"/>
              <w:jc w:val="center"/>
              <w:rPr>
                <w:rFonts w:ascii="宋体" w:hAnsi="宋体"/>
                <w:sz w:val="21"/>
                <w:szCs w:val="21"/>
              </w:rPr>
            </w:pPr>
            <w:r>
              <w:rPr>
                <w:rFonts w:ascii="宋体" w:hAnsi="宋体"/>
                <w:sz w:val="21"/>
                <w:szCs w:val="21"/>
              </w:rPr>
              <w:t>448</w:t>
            </w:r>
          </w:p>
        </w:tc>
        <w:tc>
          <w:tcPr>
            <w:tcW w:w="2731" w:type="dxa"/>
            <w:noWrap w:val="0"/>
            <w:vAlign w:val="center"/>
          </w:tcPr>
          <w:p>
            <w:pPr>
              <w:spacing w:line="360" w:lineRule="auto"/>
              <w:jc w:val="center"/>
              <w:rPr>
                <w:rFonts w:ascii="宋体" w:hAnsi="宋体"/>
                <w:sz w:val="21"/>
                <w:szCs w:val="21"/>
              </w:rPr>
            </w:pPr>
            <w:r>
              <w:rPr>
                <w:rFonts w:ascii="宋体" w:hAnsi="宋体"/>
                <w:sz w:val="21"/>
                <w:szCs w:val="21"/>
              </w:rPr>
              <w:t>15CrMoG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52" w:type="dxa"/>
            <w:noWrap w:val="0"/>
            <w:vAlign w:val="center"/>
          </w:tcPr>
          <w:p>
            <w:pPr>
              <w:spacing w:line="360" w:lineRule="auto"/>
              <w:jc w:val="center"/>
              <w:rPr>
                <w:rFonts w:ascii="宋体" w:hAnsi="宋体" w:cs="Arial"/>
                <w:sz w:val="21"/>
                <w:szCs w:val="21"/>
              </w:rPr>
            </w:pPr>
            <w:r>
              <w:rPr>
                <w:rFonts w:ascii="宋体" w:hAnsi="宋体" w:cs="Arial"/>
                <w:sz w:val="21"/>
                <w:szCs w:val="21"/>
              </w:rPr>
              <w:t>垂直水冷壁</w:t>
            </w:r>
          </w:p>
        </w:tc>
        <w:tc>
          <w:tcPr>
            <w:tcW w:w="2294" w:type="dxa"/>
            <w:noWrap w:val="0"/>
            <w:vAlign w:val="center"/>
          </w:tcPr>
          <w:p>
            <w:pPr>
              <w:spacing w:line="360" w:lineRule="auto"/>
              <w:jc w:val="center"/>
              <w:rPr>
                <w:rFonts w:ascii="宋体" w:hAnsi="宋体"/>
                <w:sz w:val="21"/>
                <w:szCs w:val="21"/>
              </w:rPr>
            </w:pPr>
            <w:r>
              <w:rPr>
                <w:rFonts w:ascii="宋体" w:hAnsi="宋体"/>
                <w:sz w:val="21"/>
                <w:szCs w:val="21"/>
              </w:rPr>
              <w:t>Φ34.9</w:t>
            </w:r>
            <w:r>
              <w:rPr>
                <w:rFonts w:ascii="Symbol" w:hAnsi="Symbol" w:eastAsia="Symbol" w:cs="Symbol"/>
                <w:sz w:val="21"/>
                <w:szCs w:val="21"/>
              </w:rPr>
              <w:t>´</w:t>
            </w:r>
            <w:r>
              <w:rPr>
                <w:rFonts w:hint="eastAsia" w:ascii="宋体" w:hAnsi="宋体"/>
                <w:sz w:val="21"/>
                <w:szCs w:val="21"/>
                <w:lang w:val="en-US" w:eastAsia="zh-CN"/>
              </w:rPr>
              <w:t>6.2/</w:t>
            </w:r>
            <w:r>
              <w:rPr>
                <w:rFonts w:ascii="宋体" w:hAnsi="宋体"/>
                <w:sz w:val="21"/>
                <w:szCs w:val="21"/>
              </w:rPr>
              <w:t>7.2</w:t>
            </w:r>
            <w:r>
              <w:rPr>
                <w:rFonts w:hint="eastAsia" w:ascii="宋体" w:hAnsi="宋体"/>
                <w:sz w:val="21"/>
                <w:szCs w:val="21"/>
                <w:lang w:val="en-US" w:eastAsia="zh-CN"/>
              </w:rPr>
              <w:t>/</w:t>
            </w:r>
            <w:r>
              <w:rPr>
                <w:rFonts w:ascii="宋体" w:hAnsi="宋体"/>
                <w:sz w:val="21"/>
                <w:szCs w:val="21"/>
              </w:rPr>
              <w:t>8.0</w:t>
            </w:r>
          </w:p>
          <w:p>
            <w:pPr>
              <w:spacing w:line="360" w:lineRule="auto"/>
              <w:jc w:val="center"/>
              <w:rPr>
                <w:rFonts w:ascii="宋体" w:hAnsi="宋体"/>
                <w:sz w:val="21"/>
                <w:szCs w:val="21"/>
              </w:rPr>
            </w:pPr>
            <w:r>
              <w:rPr>
                <w:rFonts w:ascii="宋体" w:hAnsi="宋体"/>
                <w:sz w:val="21"/>
                <w:szCs w:val="21"/>
              </w:rPr>
              <w:t>Φ57.2×15.9</w:t>
            </w:r>
          </w:p>
        </w:tc>
        <w:tc>
          <w:tcPr>
            <w:tcW w:w="1138" w:type="dxa"/>
            <w:noWrap w:val="0"/>
            <w:vAlign w:val="center"/>
          </w:tcPr>
          <w:p>
            <w:pPr>
              <w:spacing w:line="360" w:lineRule="auto"/>
              <w:jc w:val="center"/>
              <w:rPr>
                <w:rFonts w:ascii="宋体" w:hAnsi="宋体"/>
                <w:sz w:val="21"/>
                <w:szCs w:val="21"/>
              </w:rPr>
            </w:pPr>
            <w:r>
              <w:rPr>
                <w:rFonts w:ascii="宋体" w:hAnsi="宋体"/>
                <w:sz w:val="21"/>
                <w:szCs w:val="21"/>
              </w:rPr>
              <w:t>光管</w:t>
            </w:r>
          </w:p>
        </w:tc>
        <w:tc>
          <w:tcPr>
            <w:tcW w:w="962" w:type="dxa"/>
            <w:noWrap w:val="0"/>
            <w:vAlign w:val="center"/>
          </w:tcPr>
          <w:p>
            <w:pPr>
              <w:spacing w:line="360" w:lineRule="auto"/>
              <w:jc w:val="center"/>
              <w:rPr>
                <w:rFonts w:ascii="宋体" w:hAnsi="宋体"/>
                <w:sz w:val="21"/>
                <w:szCs w:val="21"/>
              </w:rPr>
            </w:pPr>
            <w:r>
              <w:rPr>
                <w:rFonts w:ascii="宋体" w:hAnsi="宋体"/>
                <w:sz w:val="21"/>
                <w:szCs w:val="21"/>
              </w:rPr>
              <w:t>1344</w:t>
            </w:r>
          </w:p>
        </w:tc>
        <w:tc>
          <w:tcPr>
            <w:tcW w:w="2731" w:type="dxa"/>
            <w:noWrap w:val="0"/>
            <w:vAlign w:val="center"/>
          </w:tcPr>
          <w:p>
            <w:pPr>
              <w:spacing w:line="360" w:lineRule="auto"/>
              <w:jc w:val="center"/>
              <w:rPr>
                <w:rFonts w:ascii="宋体" w:hAnsi="宋体"/>
                <w:sz w:val="21"/>
                <w:szCs w:val="21"/>
                <w:lang w:val="fr-FR"/>
              </w:rPr>
            </w:pPr>
            <w:r>
              <w:rPr>
                <w:rFonts w:ascii="宋体" w:hAnsi="宋体"/>
                <w:sz w:val="21"/>
                <w:szCs w:val="21"/>
                <w:lang w:val="fr-FR"/>
              </w:rPr>
              <w:t>15CrMoG</w:t>
            </w:r>
            <w:r>
              <w:rPr>
                <w:rFonts w:ascii="宋体" w:hAnsi="宋体"/>
                <w:sz w:val="21"/>
                <w:szCs w:val="21"/>
              </w:rPr>
              <w:t>、</w:t>
            </w:r>
            <w:r>
              <w:rPr>
                <w:rFonts w:ascii="宋体" w:hAnsi="宋体"/>
                <w:sz w:val="21"/>
                <w:szCs w:val="21"/>
                <w:lang w:val="fr-FR"/>
              </w:rPr>
              <w:t>12Cr1MoVG</w:t>
            </w:r>
            <w:r>
              <w:rPr>
                <w:rFonts w:ascii="宋体" w:hAnsi="宋体"/>
                <w:sz w:val="21"/>
                <w:szCs w:val="21"/>
              </w:rPr>
              <w:t>、</w:t>
            </w:r>
            <w:r>
              <w:rPr>
                <w:rFonts w:ascii="宋体" w:hAnsi="宋体"/>
                <w:sz w:val="21"/>
                <w:szCs w:val="21"/>
                <w:lang w:val="fr-FR"/>
              </w:rPr>
              <w:t xml:space="preserve"> SA213-T22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52" w:type="dxa"/>
            <w:noWrap w:val="0"/>
            <w:vAlign w:val="center"/>
          </w:tcPr>
          <w:p>
            <w:pPr>
              <w:spacing w:line="360" w:lineRule="auto"/>
              <w:jc w:val="center"/>
              <w:rPr>
                <w:rFonts w:ascii="宋体" w:hAnsi="宋体" w:cs="Arial"/>
                <w:sz w:val="21"/>
                <w:szCs w:val="21"/>
              </w:rPr>
            </w:pPr>
            <w:r>
              <w:rPr>
                <w:rFonts w:ascii="宋体" w:hAnsi="宋体" w:cs="Arial"/>
                <w:sz w:val="21"/>
                <w:szCs w:val="21"/>
              </w:rPr>
              <w:t>省煤器管</w:t>
            </w:r>
          </w:p>
        </w:tc>
        <w:tc>
          <w:tcPr>
            <w:tcW w:w="2294" w:type="dxa"/>
            <w:noWrap w:val="0"/>
            <w:vAlign w:val="center"/>
          </w:tcPr>
          <w:p>
            <w:pPr>
              <w:spacing w:line="360" w:lineRule="auto"/>
              <w:jc w:val="center"/>
              <w:rPr>
                <w:rFonts w:ascii="宋体" w:hAnsi="宋体"/>
                <w:sz w:val="21"/>
                <w:szCs w:val="21"/>
              </w:rPr>
            </w:pPr>
            <w:r>
              <w:rPr>
                <w:rFonts w:ascii="宋体" w:hAnsi="宋体"/>
                <w:sz w:val="21"/>
                <w:szCs w:val="21"/>
              </w:rPr>
              <w:t>Φ47.6×7.8</w:t>
            </w:r>
          </w:p>
          <w:p>
            <w:pPr>
              <w:spacing w:line="360" w:lineRule="auto"/>
              <w:jc w:val="center"/>
              <w:rPr>
                <w:rFonts w:ascii="宋体" w:hAnsi="宋体"/>
                <w:sz w:val="21"/>
                <w:szCs w:val="21"/>
              </w:rPr>
            </w:pPr>
            <w:r>
              <w:rPr>
                <w:rFonts w:ascii="宋体" w:hAnsi="宋体"/>
                <w:sz w:val="21"/>
                <w:szCs w:val="21"/>
              </w:rPr>
              <w:t>Φ47.6×7.8</w:t>
            </w:r>
          </w:p>
        </w:tc>
        <w:tc>
          <w:tcPr>
            <w:tcW w:w="1138" w:type="dxa"/>
            <w:noWrap w:val="0"/>
            <w:vAlign w:val="center"/>
          </w:tcPr>
          <w:p>
            <w:pPr>
              <w:spacing w:line="360" w:lineRule="auto"/>
              <w:jc w:val="center"/>
              <w:rPr>
                <w:rFonts w:ascii="宋体" w:hAnsi="宋体"/>
                <w:sz w:val="21"/>
                <w:szCs w:val="21"/>
              </w:rPr>
            </w:pPr>
            <w:r>
              <w:rPr>
                <w:rFonts w:ascii="宋体" w:hAnsi="宋体"/>
                <w:sz w:val="21"/>
                <w:szCs w:val="21"/>
              </w:rPr>
              <w:t>光管</w:t>
            </w:r>
          </w:p>
        </w:tc>
        <w:tc>
          <w:tcPr>
            <w:tcW w:w="962" w:type="dxa"/>
            <w:noWrap w:val="0"/>
            <w:vAlign w:val="center"/>
          </w:tcPr>
          <w:p>
            <w:pPr>
              <w:spacing w:line="360" w:lineRule="auto"/>
              <w:jc w:val="center"/>
              <w:rPr>
                <w:rFonts w:hint="default" w:ascii="宋体" w:hAnsi="宋体" w:eastAsia="宋体"/>
                <w:sz w:val="21"/>
                <w:szCs w:val="21"/>
                <w:lang w:val="en-US" w:eastAsia="zh-CN"/>
              </w:rPr>
            </w:pPr>
            <w:r>
              <w:rPr>
                <w:rFonts w:hint="eastAsia" w:ascii="宋体" w:hAnsi="宋体"/>
                <w:lang w:val="en-US" w:eastAsia="zh-CN"/>
              </w:rPr>
              <w:t>668</w:t>
            </w:r>
          </w:p>
        </w:tc>
        <w:tc>
          <w:tcPr>
            <w:tcW w:w="2731" w:type="dxa"/>
            <w:noWrap w:val="0"/>
            <w:vAlign w:val="center"/>
          </w:tcPr>
          <w:p>
            <w:pPr>
              <w:spacing w:line="360" w:lineRule="auto"/>
              <w:jc w:val="center"/>
              <w:rPr>
                <w:rFonts w:ascii="宋体" w:hAnsi="宋体"/>
                <w:sz w:val="21"/>
                <w:szCs w:val="21"/>
              </w:rPr>
            </w:pPr>
            <w:r>
              <w:rPr>
                <w:rFonts w:ascii="宋体" w:hAnsi="宋体"/>
                <w:sz w:val="21"/>
                <w:szCs w:val="21"/>
              </w:rPr>
              <w:t>SA-210C</w:t>
            </w:r>
          </w:p>
        </w:tc>
      </w:tr>
    </w:tbl>
    <w:p>
      <w:pPr>
        <w:tabs>
          <w:tab w:val="left" w:pos="5760"/>
        </w:tabs>
        <w:spacing w:line="360" w:lineRule="auto"/>
        <w:ind w:firstLine="420"/>
        <w:rPr>
          <w:rFonts w:hint="eastAsia" w:ascii="宋体" w:hAnsi="宋体" w:eastAsia="宋体" w:cs="Times New Roman"/>
          <w:color w:val="000000"/>
          <w:sz w:val="21"/>
          <w:szCs w:val="21"/>
          <w:lang w:val="en-US" w:eastAsia="zh-CN"/>
        </w:rPr>
      </w:pPr>
      <w:r>
        <w:rPr>
          <w:rFonts w:hint="eastAsia" w:ascii="宋体" w:hAnsi="宋体" w:cs="Arial"/>
          <w:sz w:val="21"/>
          <w:szCs w:val="21"/>
          <w:lang w:val="en-US" w:eastAsia="zh-CN"/>
        </w:rPr>
        <w:t>3号</w:t>
      </w:r>
      <w:r>
        <w:rPr>
          <w:rFonts w:ascii="宋体" w:hAnsi="宋体" w:cs="Arial"/>
          <w:sz w:val="21"/>
          <w:szCs w:val="21"/>
        </w:rPr>
        <w:t>机组于20</w:t>
      </w:r>
      <w:r>
        <w:rPr>
          <w:rFonts w:hint="eastAsia" w:ascii="宋体" w:hAnsi="宋体" w:cs="Arial"/>
          <w:sz w:val="21"/>
          <w:szCs w:val="21"/>
          <w:lang w:val="en-US" w:eastAsia="zh-CN"/>
        </w:rPr>
        <w:t>10</w:t>
      </w:r>
      <w:r>
        <w:rPr>
          <w:rFonts w:ascii="宋体" w:hAnsi="宋体" w:cs="Arial"/>
          <w:sz w:val="21"/>
          <w:szCs w:val="21"/>
        </w:rPr>
        <w:t>年</w:t>
      </w:r>
      <w:r>
        <w:rPr>
          <w:rFonts w:hint="eastAsia" w:ascii="宋体" w:hAnsi="宋体" w:cs="Arial"/>
          <w:sz w:val="21"/>
          <w:szCs w:val="21"/>
          <w:lang w:val="en-US" w:eastAsia="zh-CN"/>
        </w:rPr>
        <w:t>3</w:t>
      </w:r>
      <w:r>
        <w:rPr>
          <w:rFonts w:ascii="宋体" w:hAnsi="宋体" w:cs="Arial"/>
          <w:sz w:val="21"/>
          <w:szCs w:val="21"/>
        </w:rPr>
        <w:t>月投产运行，</w:t>
      </w:r>
      <w:r>
        <w:rPr>
          <w:rFonts w:hint="eastAsia" w:ascii="宋体" w:hAnsi="宋体" w:cs="Arial"/>
          <w:sz w:val="21"/>
          <w:szCs w:val="21"/>
        </w:rPr>
        <w:t>至20</w:t>
      </w:r>
      <w:r>
        <w:rPr>
          <w:rFonts w:hint="eastAsia" w:ascii="宋体" w:hAnsi="宋体" w:cs="Arial"/>
          <w:sz w:val="21"/>
          <w:szCs w:val="21"/>
          <w:lang w:val="en-US" w:eastAsia="zh-CN"/>
        </w:rPr>
        <w:t>26</w:t>
      </w:r>
      <w:r>
        <w:rPr>
          <w:rFonts w:hint="eastAsia" w:ascii="宋体" w:hAnsi="宋体" w:cs="Arial"/>
          <w:sz w:val="21"/>
          <w:szCs w:val="21"/>
        </w:rPr>
        <w:t>年</w:t>
      </w:r>
      <w:r>
        <w:rPr>
          <w:rFonts w:hint="eastAsia" w:ascii="宋体" w:hAnsi="宋体" w:cs="Arial"/>
          <w:sz w:val="21"/>
          <w:szCs w:val="21"/>
          <w:lang w:val="en-US" w:eastAsia="zh-CN"/>
        </w:rPr>
        <w:t>3</w:t>
      </w:r>
      <w:r>
        <w:rPr>
          <w:rFonts w:hint="eastAsia" w:ascii="宋体" w:hAnsi="宋体" w:cs="Arial"/>
          <w:sz w:val="21"/>
          <w:szCs w:val="21"/>
        </w:rPr>
        <w:t>月运行1</w:t>
      </w:r>
      <w:r>
        <w:rPr>
          <w:rFonts w:hint="eastAsia" w:ascii="宋体" w:hAnsi="宋体" w:cs="Arial"/>
          <w:sz w:val="21"/>
          <w:szCs w:val="21"/>
          <w:lang w:val="en-US" w:eastAsia="zh-CN"/>
        </w:rPr>
        <w:t>6</w:t>
      </w:r>
      <w:r>
        <w:rPr>
          <w:rFonts w:hint="eastAsia" w:ascii="宋体" w:hAnsi="宋体" w:cs="Arial"/>
          <w:sz w:val="21"/>
          <w:szCs w:val="21"/>
        </w:rPr>
        <w:t>年时间</w:t>
      </w:r>
      <w:r>
        <w:rPr>
          <w:rFonts w:ascii="宋体" w:hAnsi="宋体" w:cs="Arial"/>
          <w:sz w:val="21"/>
          <w:szCs w:val="21"/>
        </w:rPr>
        <w:t>，</w:t>
      </w:r>
      <w:r>
        <w:rPr>
          <w:rFonts w:hint="eastAsia" w:ascii="宋体" w:hAnsi="宋体" w:cs="Arial"/>
          <w:sz w:val="21"/>
          <w:szCs w:val="21"/>
          <w:lang w:val="en-US" w:eastAsia="zh-CN"/>
        </w:rPr>
        <w:t>期间在</w:t>
      </w:r>
      <w:r>
        <w:rPr>
          <w:rFonts w:hint="eastAsia" w:ascii="宋体" w:hAnsi="宋体" w:cs="Arial"/>
          <w:sz w:val="21"/>
          <w:szCs w:val="21"/>
        </w:rPr>
        <w:t>201</w:t>
      </w:r>
      <w:r>
        <w:rPr>
          <w:rFonts w:hint="eastAsia" w:ascii="宋体" w:hAnsi="宋体" w:cs="Arial"/>
          <w:sz w:val="21"/>
          <w:szCs w:val="21"/>
          <w:lang w:val="en-US" w:eastAsia="zh-CN"/>
        </w:rPr>
        <w:t>3年进行过锅炉化学清洗。4号</w:t>
      </w:r>
      <w:r>
        <w:rPr>
          <w:rFonts w:ascii="宋体" w:hAnsi="宋体" w:cs="Arial"/>
          <w:sz w:val="21"/>
          <w:szCs w:val="21"/>
        </w:rPr>
        <w:t>机组于20</w:t>
      </w:r>
      <w:r>
        <w:rPr>
          <w:rFonts w:hint="eastAsia" w:ascii="宋体" w:hAnsi="宋体" w:cs="Arial"/>
          <w:sz w:val="21"/>
          <w:szCs w:val="21"/>
          <w:lang w:val="en-US" w:eastAsia="zh-CN"/>
        </w:rPr>
        <w:t>10</w:t>
      </w:r>
      <w:r>
        <w:rPr>
          <w:rFonts w:ascii="宋体" w:hAnsi="宋体" w:cs="Arial"/>
          <w:sz w:val="21"/>
          <w:szCs w:val="21"/>
        </w:rPr>
        <w:t>年</w:t>
      </w:r>
      <w:r>
        <w:rPr>
          <w:rFonts w:hint="eastAsia" w:ascii="宋体" w:hAnsi="宋体" w:cs="Arial"/>
          <w:sz w:val="21"/>
          <w:szCs w:val="21"/>
          <w:lang w:val="en-US" w:eastAsia="zh-CN"/>
        </w:rPr>
        <w:t>6</w:t>
      </w:r>
      <w:r>
        <w:rPr>
          <w:rFonts w:ascii="宋体" w:hAnsi="宋体" w:cs="Arial"/>
          <w:sz w:val="21"/>
          <w:szCs w:val="21"/>
        </w:rPr>
        <w:t>月投产运行，</w:t>
      </w:r>
      <w:r>
        <w:rPr>
          <w:rFonts w:hint="eastAsia" w:ascii="宋体" w:hAnsi="宋体" w:cs="Arial"/>
          <w:sz w:val="21"/>
          <w:szCs w:val="21"/>
        </w:rPr>
        <w:t>至20</w:t>
      </w:r>
      <w:r>
        <w:rPr>
          <w:rFonts w:hint="eastAsia" w:ascii="宋体" w:hAnsi="宋体" w:cs="Arial"/>
          <w:sz w:val="21"/>
          <w:szCs w:val="21"/>
          <w:lang w:val="en-US" w:eastAsia="zh-CN"/>
        </w:rPr>
        <w:t>26</w:t>
      </w:r>
      <w:r>
        <w:rPr>
          <w:rFonts w:hint="eastAsia" w:ascii="宋体" w:hAnsi="宋体" w:cs="Arial"/>
          <w:sz w:val="21"/>
          <w:szCs w:val="21"/>
        </w:rPr>
        <w:t>年</w:t>
      </w:r>
      <w:r>
        <w:rPr>
          <w:rFonts w:hint="eastAsia" w:ascii="宋体" w:hAnsi="宋体" w:cs="Arial"/>
          <w:sz w:val="21"/>
          <w:szCs w:val="21"/>
          <w:lang w:val="en-US" w:eastAsia="zh-CN"/>
        </w:rPr>
        <w:t>10</w:t>
      </w:r>
      <w:r>
        <w:rPr>
          <w:rFonts w:hint="eastAsia" w:ascii="宋体" w:hAnsi="宋体" w:cs="Arial"/>
          <w:sz w:val="21"/>
          <w:szCs w:val="21"/>
        </w:rPr>
        <w:t>月</w:t>
      </w:r>
      <w:r>
        <w:rPr>
          <w:rFonts w:hint="eastAsia" w:ascii="宋体" w:hAnsi="宋体" w:cs="Arial"/>
          <w:sz w:val="21"/>
          <w:szCs w:val="21"/>
          <w:lang w:val="en-US" w:eastAsia="zh-CN"/>
        </w:rPr>
        <w:t>将超</w:t>
      </w:r>
      <w:r>
        <w:rPr>
          <w:rFonts w:hint="eastAsia" w:ascii="宋体" w:hAnsi="宋体" w:cs="Arial"/>
          <w:sz w:val="21"/>
          <w:szCs w:val="21"/>
        </w:rPr>
        <w:t>1</w:t>
      </w:r>
      <w:r>
        <w:rPr>
          <w:rFonts w:hint="eastAsia" w:ascii="宋体" w:hAnsi="宋体" w:cs="Arial"/>
          <w:sz w:val="21"/>
          <w:szCs w:val="21"/>
          <w:lang w:val="en-US" w:eastAsia="zh-CN"/>
        </w:rPr>
        <w:t>6</w:t>
      </w:r>
      <w:r>
        <w:rPr>
          <w:rFonts w:hint="eastAsia" w:ascii="宋体" w:hAnsi="宋体" w:cs="Arial"/>
          <w:sz w:val="21"/>
          <w:szCs w:val="21"/>
        </w:rPr>
        <w:t>年时间</w:t>
      </w:r>
      <w:r>
        <w:rPr>
          <w:rFonts w:ascii="宋体" w:hAnsi="宋体" w:cs="Arial"/>
          <w:sz w:val="21"/>
          <w:szCs w:val="21"/>
        </w:rPr>
        <w:t>，</w:t>
      </w:r>
      <w:r>
        <w:rPr>
          <w:rFonts w:hint="eastAsia" w:ascii="宋体" w:hAnsi="宋体" w:cs="Arial"/>
          <w:sz w:val="21"/>
          <w:szCs w:val="21"/>
          <w:lang w:val="en-US" w:eastAsia="zh-CN"/>
        </w:rPr>
        <w:t>期间在</w:t>
      </w:r>
      <w:r>
        <w:rPr>
          <w:rFonts w:hint="eastAsia" w:ascii="宋体" w:hAnsi="宋体" w:cs="Arial"/>
          <w:sz w:val="21"/>
          <w:szCs w:val="21"/>
        </w:rPr>
        <w:t>2012</w:t>
      </w:r>
      <w:r>
        <w:rPr>
          <w:rFonts w:hint="eastAsia" w:ascii="宋体" w:hAnsi="宋体" w:cs="Arial"/>
          <w:sz w:val="21"/>
          <w:szCs w:val="21"/>
          <w:lang w:val="en-US" w:eastAsia="zh-CN"/>
        </w:rPr>
        <w:t>年进行过锅炉化学清洗。</w:t>
      </w:r>
      <w:r>
        <w:rPr>
          <w:rFonts w:hint="eastAsia" w:ascii="宋体" w:hAnsi="宋体" w:cs="Times New Roman"/>
          <w:color w:val="000000"/>
          <w:sz w:val="21"/>
          <w:szCs w:val="21"/>
          <w:lang w:val="en-US" w:eastAsia="zh-CN"/>
        </w:rPr>
        <w:t>浙能乐电二</w:t>
      </w:r>
      <w:r>
        <w:rPr>
          <w:rFonts w:hint="eastAsia" w:ascii="宋体" w:hAnsi="宋体" w:eastAsia="宋体" w:cs="Times New Roman"/>
          <w:color w:val="000000"/>
          <w:sz w:val="21"/>
          <w:szCs w:val="21"/>
          <w:lang w:val="en-US" w:eastAsia="zh-CN"/>
        </w:rPr>
        <w:t>期</w:t>
      </w:r>
      <w:r>
        <w:rPr>
          <w:rFonts w:hint="eastAsia" w:ascii="宋体" w:hAnsi="宋体" w:cs="Times New Roman"/>
          <w:color w:val="000000"/>
          <w:sz w:val="21"/>
          <w:szCs w:val="21"/>
          <w:lang w:val="en-US" w:eastAsia="zh-CN"/>
        </w:rPr>
        <w:t>3</w:t>
      </w:r>
      <w:r>
        <w:rPr>
          <w:rFonts w:hint="eastAsia" w:ascii="宋体" w:hAnsi="宋体" w:eastAsia="宋体" w:cs="Times New Roman"/>
          <w:color w:val="000000"/>
          <w:sz w:val="21"/>
          <w:szCs w:val="21"/>
          <w:lang w:val="en-US" w:eastAsia="zh-CN"/>
        </w:rPr>
        <w:t>、</w:t>
      </w:r>
      <w:r>
        <w:rPr>
          <w:rFonts w:hint="eastAsia" w:ascii="宋体" w:hAnsi="宋体" w:cs="Times New Roman"/>
          <w:color w:val="000000"/>
          <w:sz w:val="21"/>
          <w:szCs w:val="21"/>
          <w:lang w:val="en-US" w:eastAsia="zh-CN"/>
        </w:rPr>
        <w:t>4</w:t>
      </w:r>
      <w:r>
        <w:rPr>
          <w:rFonts w:hint="eastAsia" w:ascii="宋体" w:hAnsi="宋体" w:eastAsia="宋体" w:cs="Times New Roman"/>
          <w:color w:val="000000"/>
          <w:sz w:val="21"/>
          <w:szCs w:val="21"/>
          <w:lang w:val="en-US" w:eastAsia="zh-CN"/>
        </w:rPr>
        <w:t>号机组给水采用全挥发AVT(O)</w:t>
      </w:r>
      <w:r>
        <w:rPr>
          <w:rFonts w:hint="eastAsia" w:ascii="宋体" w:hAnsi="宋体" w:cs="Times New Roman"/>
          <w:color w:val="000000"/>
          <w:sz w:val="21"/>
          <w:szCs w:val="21"/>
          <w:lang w:val="en-US" w:eastAsia="zh-CN"/>
        </w:rPr>
        <w:t>及加氧</w:t>
      </w:r>
      <w:r>
        <w:rPr>
          <w:rFonts w:hint="eastAsia" w:ascii="宋体" w:hAnsi="宋体" w:eastAsia="宋体" w:cs="Times New Roman"/>
          <w:color w:val="000000"/>
          <w:sz w:val="21"/>
          <w:szCs w:val="21"/>
          <w:lang w:val="en-US" w:eastAsia="zh-CN"/>
        </w:rPr>
        <w:t>处理，给水系统和高加疏水系统</w:t>
      </w:r>
      <w:r>
        <w:rPr>
          <w:rFonts w:hint="eastAsia" w:ascii="宋体" w:hAnsi="宋体" w:cs="Times New Roman"/>
          <w:color w:val="000000"/>
          <w:sz w:val="21"/>
          <w:szCs w:val="21"/>
          <w:lang w:val="en-US" w:eastAsia="zh-CN"/>
        </w:rPr>
        <w:t>加氧已经超过12年</w:t>
      </w:r>
      <w:r>
        <w:rPr>
          <w:rFonts w:hint="eastAsia" w:ascii="宋体" w:hAnsi="宋体" w:eastAsia="宋体" w:cs="Times New Roman"/>
          <w:color w:val="000000"/>
          <w:sz w:val="21"/>
          <w:szCs w:val="21"/>
          <w:lang w:val="en-US" w:eastAsia="zh-CN"/>
        </w:rPr>
        <w:t>。</w:t>
      </w:r>
    </w:p>
    <w:p>
      <w:pPr>
        <w:tabs>
          <w:tab w:val="left" w:pos="5760"/>
        </w:tabs>
        <w:spacing w:line="360" w:lineRule="auto"/>
        <w:ind w:firstLine="420"/>
        <w:rPr>
          <w:rFonts w:hint="eastAsia" w:ascii="宋体" w:hAnsi="宋体"/>
          <w:sz w:val="21"/>
          <w:szCs w:val="21"/>
          <w:lang w:eastAsia="zh-CN"/>
        </w:rPr>
      </w:pPr>
      <w:r>
        <w:rPr>
          <w:rFonts w:hint="eastAsia" w:ascii="宋体" w:hAnsi="宋体" w:cs="Times New Roman"/>
          <w:color w:val="000000"/>
          <w:sz w:val="21"/>
          <w:szCs w:val="21"/>
          <w:lang w:val="en-US" w:eastAsia="zh-CN"/>
        </w:rPr>
        <w:t>3</w:t>
      </w:r>
      <w:r>
        <w:rPr>
          <w:rFonts w:hint="eastAsia" w:ascii="宋体" w:hAnsi="宋体" w:eastAsia="宋体" w:cs="Times New Roman"/>
          <w:color w:val="000000"/>
          <w:sz w:val="21"/>
          <w:szCs w:val="21"/>
          <w:lang w:val="en-US" w:eastAsia="zh-CN"/>
        </w:rPr>
        <w:t>号机组于202</w:t>
      </w:r>
      <w:r>
        <w:rPr>
          <w:rFonts w:hint="eastAsia" w:ascii="宋体" w:hAnsi="宋体" w:cs="Times New Roman"/>
          <w:color w:val="000000"/>
          <w:sz w:val="21"/>
          <w:szCs w:val="21"/>
          <w:lang w:val="en-US" w:eastAsia="zh-CN"/>
        </w:rPr>
        <w:t>4</w:t>
      </w:r>
      <w:r>
        <w:rPr>
          <w:rFonts w:hint="eastAsia" w:ascii="宋体" w:hAnsi="宋体" w:eastAsia="宋体" w:cs="Times New Roman"/>
          <w:color w:val="000000"/>
          <w:sz w:val="21"/>
          <w:szCs w:val="21"/>
          <w:lang w:val="en-US" w:eastAsia="zh-CN"/>
        </w:rPr>
        <w:t>年</w:t>
      </w:r>
      <w:r>
        <w:rPr>
          <w:rFonts w:hint="eastAsia" w:ascii="宋体" w:hAnsi="宋体" w:cs="Times New Roman"/>
          <w:color w:val="000000"/>
          <w:sz w:val="21"/>
          <w:szCs w:val="21"/>
          <w:lang w:val="en-US" w:eastAsia="zh-CN"/>
        </w:rPr>
        <w:t>10</w:t>
      </w:r>
      <w:r>
        <w:rPr>
          <w:rFonts w:hint="eastAsia" w:ascii="宋体" w:hAnsi="宋体" w:eastAsia="宋体" w:cs="Times New Roman"/>
          <w:color w:val="000000"/>
          <w:sz w:val="21"/>
          <w:szCs w:val="21"/>
          <w:lang w:val="en-US" w:eastAsia="zh-CN"/>
        </w:rPr>
        <w:t>月C修期间割管进行垢样检查，检查结果显示省煤器结垢量为</w:t>
      </w:r>
      <w:r>
        <w:rPr>
          <w:rFonts w:hint="eastAsia" w:ascii="宋体" w:hAnsi="宋体" w:cs="Times New Roman"/>
          <w:color w:val="000000"/>
          <w:sz w:val="21"/>
          <w:szCs w:val="21"/>
          <w:lang w:val="en-US" w:eastAsia="zh-CN"/>
        </w:rPr>
        <w:t>39</w:t>
      </w:r>
      <w:r>
        <w:rPr>
          <w:rFonts w:hint="eastAsia" w:ascii="宋体" w:hAnsi="宋体" w:eastAsia="宋体" w:cs="Times New Roman"/>
          <w:color w:val="000000"/>
          <w:sz w:val="21"/>
          <w:szCs w:val="21"/>
          <w:lang w:val="en-US" w:eastAsia="zh-CN"/>
        </w:rPr>
        <w:t>g/m</w:t>
      </w:r>
      <w:r>
        <w:rPr>
          <w:rFonts w:hint="eastAsia" w:ascii="宋体" w:hAnsi="宋体" w:eastAsia="宋体" w:cs="Times New Roman"/>
          <w:color w:val="000000"/>
          <w:sz w:val="21"/>
          <w:szCs w:val="21"/>
          <w:vertAlign w:val="superscript"/>
          <w:lang w:val="en-US" w:eastAsia="zh-CN"/>
        </w:rPr>
        <w:t>2</w:t>
      </w:r>
      <w:r>
        <w:rPr>
          <w:rFonts w:hint="eastAsia" w:ascii="宋体" w:hAnsi="宋体" w:eastAsia="宋体" w:cs="Times New Roman"/>
          <w:color w:val="000000"/>
          <w:sz w:val="21"/>
          <w:szCs w:val="21"/>
          <w:lang w:val="en-US" w:eastAsia="zh-CN"/>
        </w:rPr>
        <w:t>，结垢速率为</w:t>
      </w:r>
      <w:r>
        <w:rPr>
          <w:rFonts w:hint="eastAsia" w:ascii="宋体" w:hAnsi="宋体" w:cs="Times New Roman"/>
          <w:color w:val="000000"/>
          <w:sz w:val="21"/>
          <w:szCs w:val="21"/>
          <w:lang w:val="en-US" w:eastAsia="zh-CN"/>
        </w:rPr>
        <w:t>3.57</w:t>
      </w:r>
      <w:r>
        <w:rPr>
          <w:rFonts w:hint="eastAsia" w:ascii="宋体" w:hAnsi="宋体" w:eastAsia="宋体" w:cs="Times New Roman"/>
          <w:color w:val="000000"/>
          <w:sz w:val="21"/>
          <w:szCs w:val="21"/>
          <w:lang w:val="en-US" w:eastAsia="zh-CN"/>
        </w:rPr>
        <w:t>g/m</w:t>
      </w:r>
      <w:r>
        <w:rPr>
          <w:rFonts w:hint="eastAsia" w:ascii="宋体" w:hAnsi="宋体" w:eastAsia="宋体" w:cs="Times New Roman"/>
          <w:color w:val="000000"/>
          <w:sz w:val="21"/>
          <w:szCs w:val="21"/>
          <w:vertAlign w:val="superscript"/>
          <w:lang w:val="en-US" w:eastAsia="zh-CN"/>
        </w:rPr>
        <w:t>2</w:t>
      </w:r>
      <w:r>
        <w:rPr>
          <w:rFonts w:hint="eastAsia" w:ascii="宋体" w:hAnsi="宋体" w:eastAsia="宋体" w:cs="Times New Roman"/>
          <w:color w:val="000000"/>
          <w:sz w:val="21"/>
          <w:szCs w:val="21"/>
          <w:lang w:val="en-US" w:eastAsia="zh-CN"/>
        </w:rPr>
        <w:t>.a（</w:t>
      </w:r>
      <w:r>
        <w:rPr>
          <w:rFonts w:hint="eastAsia" w:ascii="宋体" w:hAnsi="宋体" w:cs="Times New Roman"/>
          <w:color w:val="000000"/>
          <w:sz w:val="21"/>
          <w:szCs w:val="21"/>
          <w:lang w:val="en-US" w:eastAsia="zh-CN"/>
        </w:rPr>
        <w:t>一</w:t>
      </w:r>
      <w:r>
        <w:rPr>
          <w:rFonts w:hint="eastAsia" w:ascii="宋体" w:hAnsi="宋体" w:eastAsia="宋体" w:cs="Times New Roman"/>
          <w:color w:val="000000"/>
          <w:sz w:val="21"/>
          <w:szCs w:val="21"/>
          <w:lang w:val="en-US" w:eastAsia="zh-CN"/>
        </w:rPr>
        <w:t>类设备），水冷壁结垢量为</w:t>
      </w:r>
      <w:r>
        <w:rPr>
          <w:rFonts w:hint="eastAsia" w:ascii="宋体" w:hAnsi="宋体" w:cs="Times New Roman"/>
          <w:color w:val="000000"/>
          <w:sz w:val="21"/>
          <w:szCs w:val="21"/>
          <w:lang w:val="en-US" w:eastAsia="zh-CN"/>
        </w:rPr>
        <w:t>234.5</w:t>
      </w:r>
      <w:r>
        <w:rPr>
          <w:rFonts w:hint="eastAsia" w:ascii="宋体" w:hAnsi="宋体"/>
          <w:sz w:val="21"/>
          <w:szCs w:val="21"/>
        </w:rPr>
        <w:t>g/m</w:t>
      </w:r>
      <w:r>
        <w:rPr>
          <w:rFonts w:hint="eastAsia" w:ascii="宋体" w:hAnsi="宋体"/>
          <w:sz w:val="21"/>
          <w:szCs w:val="21"/>
          <w:vertAlign w:val="superscript"/>
        </w:rPr>
        <w:t>2</w:t>
      </w:r>
      <w:r>
        <w:rPr>
          <w:rFonts w:hint="eastAsia" w:ascii="宋体" w:hAnsi="宋体"/>
          <w:sz w:val="21"/>
          <w:szCs w:val="21"/>
          <w:vertAlign w:val="baseline"/>
          <w:lang w:eastAsia="zh-CN"/>
        </w:rPr>
        <w:t>，</w:t>
      </w:r>
      <w:r>
        <w:rPr>
          <w:rFonts w:hint="eastAsia" w:ascii="宋体" w:hAnsi="宋体"/>
          <w:sz w:val="21"/>
          <w:szCs w:val="21"/>
          <w:vertAlign w:val="baseline"/>
          <w:lang w:val="en-US" w:eastAsia="zh-CN"/>
        </w:rPr>
        <w:t>结垢速率为21.49</w:t>
      </w:r>
      <w:r>
        <w:rPr>
          <w:rFonts w:hint="eastAsia" w:ascii="宋体" w:hAnsi="宋体"/>
          <w:sz w:val="21"/>
          <w:szCs w:val="21"/>
        </w:rPr>
        <w:t>g/m</w:t>
      </w:r>
      <w:r>
        <w:rPr>
          <w:rFonts w:hint="eastAsia" w:ascii="宋体" w:hAnsi="宋体"/>
          <w:sz w:val="21"/>
          <w:szCs w:val="21"/>
          <w:vertAlign w:val="superscript"/>
        </w:rPr>
        <w:t>2</w:t>
      </w:r>
      <w:r>
        <w:rPr>
          <w:rFonts w:hint="eastAsia" w:ascii="宋体" w:hAnsi="宋体"/>
          <w:sz w:val="21"/>
          <w:szCs w:val="21"/>
        </w:rPr>
        <w:t>.a</w:t>
      </w:r>
      <w:r>
        <w:rPr>
          <w:rFonts w:hint="eastAsia" w:ascii="宋体" w:hAnsi="宋体"/>
          <w:sz w:val="21"/>
          <w:szCs w:val="21"/>
          <w:lang w:eastAsia="zh-CN"/>
        </w:rPr>
        <w:t>（</w:t>
      </w:r>
      <w:r>
        <w:rPr>
          <w:rFonts w:hint="eastAsia" w:ascii="宋体" w:hAnsi="宋体"/>
          <w:sz w:val="21"/>
          <w:szCs w:val="21"/>
          <w:lang w:val="en-US" w:eastAsia="zh-CN"/>
        </w:rPr>
        <w:t>一类设备</w:t>
      </w:r>
      <w:r>
        <w:rPr>
          <w:rFonts w:hint="eastAsia" w:ascii="宋体" w:hAnsi="宋体"/>
          <w:sz w:val="21"/>
          <w:szCs w:val="21"/>
          <w:lang w:eastAsia="zh-CN"/>
        </w:rPr>
        <w:t>）</w:t>
      </w:r>
      <w:r>
        <w:rPr>
          <w:rFonts w:hint="eastAsia" w:ascii="宋体" w:hAnsi="宋体"/>
          <w:sz w:val="21"/>
          <w:szCs w:val="21"/>
          <w:lang w:val="en-US" w:eastAsia="zh-CN"/>
        </w:rPr>
        <w:t>。4号机组于2024年3月A修期间割管取样，检查结果显示</w:t>
      </w:r>
      <w:r>
        <w:rPr>
          <w:rFonts w:hint="eastAsia" w:ascii="宋体" w:hAnsi="宋体" w:eastAsia="宋体" w:cs="Times New Roman"/>
          <w:color w:val="000000"/>
          <w:sz w:val="21"/>
          <w:szCs w:val="21"/>
          <w:lang w:val="en-US" w:eastAsia="zh-CN"/>
        </w:rPr>
        <w:t>省煤器结垢量为</w:t>
      </w:r>
      <w:r>
        <w:rPr>
          <w:rFonts w:hint="eastAsia" w:ascii="宋体" w:hAnsi="宋体" w:cs="Times New Roman"/>
          <w:color w:val="000000"/>
          <w:sz w:val="21"/>
          <w:szCs w:val="21"/>
          <w:lang w:val="en-US" w:eastAsia="zh-CN"/>
        </w:rPr>
        <w:t>71.8</w:t>
      </w:r>
      <w:r>
        <w:rPr>
          <w:rFonts w:hint="eastAsia" w:ascii="宋体" w:hAnsi="宋体" w:eastAsia="宋体" w:cs="Times New Roman"/>
          <w:color w:val="000000"/>
          <w:sz w:val="21"/>
          <w:szCs w:val="21"/>
          <w:lang w:val="en-US" w:eastAsia="zh-CN"/>
        </w:rPr>
        <w:t>g/m</w:t>
      </w:r>
      <w:r>
        <w:rPr>
          <w:rFonts w:hint="eastAsia" w:ascii="宋体" w:hAnsi="宋体" w:eastAsia="宋体" w:cs="Times New Roman"/>
          <w:color w:val="000000"/>
          <w:sz w:val="21"/>
          <w:szCs w:val="21"/>
          <w:vertAlign w:val="superscript"/>
          <w:lang w:val="en-US" w:eastAsia="zh-CN"/>
        </w:rPr>
        <w:t>2</w:t>
      </w:r>
      <w:r>
        <w:rPr>
          <w:rFonts w:hint="eastAsia" w:ascii="宋体" w:hAnsi="宋体" w:eastAsia="宋体" w:cs="Times New Roman"/>
          <w:color w:val="000000"/>
          <w:sz w:val="21"/>
          <w:szCs w:val="21"/>
          <w:lang w:val="en-US" w:eastAsia="zh-CN"/>
        </w:rPr>
        <w:t>，结垢速率为</w:t>
      </w:r>
      <w:r>
        <w:rPr>
          <w:rFonts w:hint="eastAsia" w:ascii="宋体" w:hAnsi="宋体" w:cs="Times New Roman"/>
          <w:color w:val="000000"/>
          <w:sz w:val="21"/>
          <w:szCs w:val="21"/>
          <w:lang w:val="en-US" w:eastAsia="zh-CN"/>
        </w:rPr>
        <w:t>5.60</w:t>
      </w:r>
      <w:r>
        <w:rPr>
          <w:rFonts w:hint="eastAsia" w:ascii="宋体" w:hAnsi="宋体" w:eastAsia="宋体" w:cs="Times New Roman"/>
          <w:color w:val="000000"/>
          <w:sz w:val="21"/>
          <w:szCs w:val="21"/>
          <w:lang w:val="en-US" w:eastAsia="zh-CN"/>
        </w:rPr>
        <w:t>g/m</w:t>
      </w:r>
      <w:r>
        <w:rPr>
          <w:rFonts w:hint="eastAsia" w:ascii="宋体" w:hAnsi="宋体" w:eastAsia="宋体" w:cs="Times New Roman"/>
          <w:color w:val="000000"/>
          <w:sz w:val="21"/>
          <w:szCs w:val="21"/>
          <w:vertAlign w:val="superscript"/>
          <w:lang w:val="en-US" w:eastAsia="zh-CN"/>
        </w:rPr>
        <w:t>2</w:t>
      </w:r>
      <w:r>
        <w:rPr>
          <w:rFonts w:hint="eastAsia" w:ascii="宋体" w:hAnsi="宋体" w:eastAsia="宋体" w:cs="Times New Roman"/>
          <w:color w:val="000000"/>
          <w:sz w:val="21"/>
          <w:szCs w:val="21"/>
          <w:lang w:val="en-US" w:eastAsia="zh-CN"/>
        </w:rPr>
        <w:t>.a（一类设备），水冷壁结垢量为2</w:t>
      </w:r>
      <w:r>
        <w:rPr>
          <w:rFonts w:hint="eastAsia" w:ascii="宋体" w:hAnsi="宋体" w:cs="Times New Roman"/>
          <w:color w:val="000000"/>
          <w:sz w:val="21"/>
          <w:szCs w:val="21"/>
          <w:lang w:val="en-US" w:eastAsia="zh-CN"/>
        </w:rPr>
        <w:t>20</w:t>
      </w:r>
      <w:r>
        <w:rPr>
          <w:rFonts w:hint="eastAsia" w:ascii="宋体" w:hAnsi="宋体" w:eastAsia="宋体" w:cs="Times New Roman"/>
          <w:color w:val="000000"/>
          <w:sz w:val="21"/>
          <w:szCs w:val="21"/>
          <w:lang w:val="en-US" w:eastAsia="zh-CN"/>
        </w:rPr>
        <w:t>.</w:t>
      </w:r>
      <w:r>
        <w:rPr>
          <w:rFonts w:hint="eastAsia" w:ascii="宋体" w:hAnsi="宋体" w:cs="Times New Roman"/>
          <w:color w:val="000000"/>
          <w:sz w:val="21"/>
          <w:szCs w:val="21"/>
          <w:lang w:val="en-US" w:eastAsia="zh-CN"/>
        </w:rPr>
        <w:t>4</w:t>
      </w:r>
      <w:r>
        <w:rPr>
          <w:rFonts w:hint="eastAsia" w:ascii="宋体" w:hAnsi="宋体"/>
          <w:sz w:val="21"/>
          <w:szCs w:val="21"/>
        </w:rPr>
        <w:t>g/m</w:t>
      </w:r>
      <w:r>
        <w:rPr>
          <w:rFonts w:hint="eastAsia" w:ascii="宋体" w:hAnsi="宋体"/>
          <w:sz w:val="21"/>
          <w:szCs w:val="21"/>
          <w:vertAlign w:val="superscript"/>
        </w:rPr>
        <w:t>2</w:t>
      </w:r>
      <w:r>
        <w:rPr>
          <w:rFonts w:hint="eastAsia" w:ascii="宋体" w:hAnsi="宋体"/>
          <w:sz w:val="21"/>
          <w:szCs w:val="21"/>
          <w:vertAlign w:val="baseline"/>
          <w:lang w:eastAsia="zh-CN"/>
        </w:rPr>
        <w:t>，</w:t>
      </w:r>
      <w:r>
        <w:rPr>
          <w:rFonts w:hint="eastAsia" w:ascii="宋体" w:hAnsi="宋体"/>
          <w:sz w:val="21"/>
          <w:szCs w:val="21"/>
          <w:vertAlign w:val="baseline"/>
          <w:lang w:val="en-US" w:eastAsia="zh-CN"/>
        </w:rPr>
        <w:t>结垢速率为17.17</w:t>
      </w:r>
      <w:r>
        <w:rPr>
          <w:rFonts w:hint="eastAsia" w:ascii="宋体" w:hAnsi="宋体"/>
          <w:sz w:val="21"/>
          <w:szCs w:val="21"/>
        </w:rPr>
        <w:t>g/m</w:t>
      </w:r>
      <w:r>
        <w:rPr>
          <w:rFonts w:hint="eastAsia" w:ascii="宋体" w:hAnsi="宋体"/>
          <w:sz w:val="21"/>
          <w:szCs w:val="21"/>
          <w:vertAlign w:val="superscript"/>
        </w:rPr>
        <w:t>2</w:t>
      </w:r>
      <w:r>
        <w:rPr>
          <w:rFonts w:hint="eastAsia" w:ascii="宋体" w:hAnsi="宋体"/>
          <w:sz w:val="21"/>
          <w:szCs w:val="21"/>
        </w:rPr>
        <w:t>.a</w:t>
      </w:r>
      <w:r>
        <w:rPr>
          <w:rFonts w:hint="eastAsia" w:ascii="宋体" w:hAnsi="宋体"/>
          <w:sz w:val="21"/>
          <w:szCs w:val="21"/>
          <w:lang w:eastAsia="zh-CN"/>
        </w:rPr>
        <w:t>（</w:t>
      </w:r>
      <w:r>
        <w:rPr>
          <w:rFonts w:hint="eastAsia" w:ascii="宋体" w:hAnsi="宋体"/>
          <w:sz w:val="21"/>
          <w:szCs w:val="21"/>
          <w:lang w:val="en-US" w:eastAsia="zh-CN"/>
        </w:rPr>
        <w:t>一类设备</w:t>
      </w:r>
      <w:r>
        <w:rPr>
          <w:rFonts w:hint="eastAsia" w:ascii="宋体" w:hAnsi="宋体"/>
          <w:sz w:val="21"/>
          <w:szCs w:val="21"/>
          <w:lang w:eastAsia="zh-CN"/>
        </w:rPr>
        <w:t>）。</w:t>
      </w:r>
    </w:p>
    <w:p>
      <w:pPr>
        <w:tabs>
          <w:tab w:val="left" w:pos="5760"/>
        </w:tabs>
        <w:spacing w:line="360" w:lineRule="auto"/>
        <w:ind w:firstLine="420"/>
        <w:rPr>
          <w:rFonts w:hint="eastAsia" w:ascii="仿宋" w:hAnsi="仿宋" w:eastAsia="宋体"/>
          <w:sz w:val="24"/>
          <w:szCs w:val="24"/>
          <w:lang w:eastAsia="zh-CN"/>
        </w:rPr>
      </w:pPr>
      <w:r>
        <w:rPr>
          <w:rFonts w:ascii="宋体" w:hAnsi="宋体" w:cs="Arial"/>
          <w:sz w:val="21"/>
          <w:szCs w:val="21"/>
        </w:rPr>
        <w:t>化学清洗的目标是清洗质量优良，清洗质量指标符合《火力发电厂锅炉化学清洗导则》的规定，即被清洗金属表面清洁无残留氧化物，无过洗；平均腐蚀速率＜</w:t>
      </w:r>
      <w:r>
        <w:rPr>
          <w:rFonts w:hint="eastAsia" w:ascii="宋体" w:hAnsi="宋体" w:cs="Arial"/>
          <w:sz w:val="21"/>
          <w:szCs w:val="21"/>
          <w:lang w:val="en-US" w:eastAsia="zh-CN"/>
        </w:rPr>
        <w:t>8</w:t>
      </w:r>
      <w:r>
        <w:rPr>
          <w:rFonts w:ascii="宋体" w:hAnsi="宋体" w:cs="Arial"/>
          <w:sz w:val="21"/>
          <w:szCs w:val="21"/>
        </w:rPr>
        <w:t>g/（m</w:t>
      </w:r>
      <w:r>
        <w:rPr>
          <w:rFonts w:ascii="宋体" w:hAnsi="宋体" w:cs="Arial"/>
          <w:sz w:val="21"/>
          <w:szCs w:val="21"/>
          <w:vertAlign w:val="superscript"/>
        </w:rPr>
        <w:t>2</w:t>
      </w:r>
      <w:r>
        <w:rPr>
          <w:rFonts w:ascii="宋体" w:hAnsi="宋体" w:cs="Arial"/>
          <w:sz w:val="21"/>
          <w:szCs w:val="21"/>
        </w:rPr>
        <w:t>·h），总腐蚀量＜80g/m</w:t>
      </w:r>
      <w:r>
        <w:rPr>
          <w:rFonts w:ascii="宋体" w:hAnsi="宋体" w:cs="Arial"/>
          <w:sz w:val="21"/>
          <w:szCs w:val="21"/>
          <w:vertAlign w:val="superscript"/>
        </w:rPr>
        <w:t>2</w:t>
      </w:r>
      <w:r>
        <w:rPr>
          <w:rFonts w:ascii="宋体" w:hAnsi="宋体" w:cs="Arial"/>
          <w:sz w:val="21"/>
          <w:szCs w:val="21"/>
        </w:rPr>
        <w:t>，除垢率不小于9</w:t>
      </w:r>
      <w:r>
        <w:rPr>
          <w:rFonts w:hint="eastAsia" w:ascii="宋体" w:hAnsi="宋体" w:cs="Arial"/>
          <w:sz w:val="21"/>
          <w:szCs w:val="21"/>
        </w:rPr>
        <w:t>5</w:t>
      </w:r>
      <w:r>
        <w:rPr>
          <w:rFonts w:ascii="宋体" w:hAnsi="宋体" w:cs="Arial"/>
          <w:sz w:val="21"/>
          <w:szCs w:val="21"/>
        </w:rPr>
        <w:t>%；钝化形成膜良好，无二次锈蚀</w:t>
      </w:r>
      <w:r>
        <w:rPr>
          <w:rFonts w:hint="eastAsia" w:ascii="宋体" w:hAnsi="宋体" w:cs="Arial"/>
          <w:sz w:val="21"/>
          <w:szCs w:val="21"/>
        </w:rPr>
        <w:t>，无</w:t>
      </w:r>
      <w:r>
        <w:rPr>
          <w:rFonts w:hint="eastAsia" w:ascii="宋体" w:hAnsi="宋体" w:cs="Arial"/>
          <w:sz w:val="21"/>
          <w:szCs w:val="21"/>
          <w:lang w:eastAsia="zh-CN"/>
        </w:rPr>
        <w:t>镀铜</w:t>
      </w:r>
      <w:r>
        <w:rPr>
          <w:rFonts w:hint="eastAsia" w:ascii="宋体" w:hAnsi="宋体"/>
          <w:color w:val="000000"/>
          <w:sz w:val="21"/>
          <w:szCs w:val="21"/>
          <w:lang w:eastAsia="zh-CN"/>
        </w:rPr>
        <w:t>。</w:t>
      </w:r>
    </w:p>
    <w:p>
      <w:pPr>
        <w:spacing w:line="348" w:lineRule="auto"/>
        <w:ind w:firstLine="420"/>
        <w:rPr>
          <w:rFonts w:ascii="宋体" w:hAnsi="宋体" w:cs="Arial"/>
          <w:sz w:val="21"/>
          <w:szCs w:val="21"/>
        </w:rPr>
      </w:pPr>
      <w:r>
        <w:rPr>
          <w:rFonts w:hint="eastAsia" w:ascii="宋体" w:hAnsi="宋体" w:cs="Arial"/>
          <w:sz w:val="21"/>
          <w:szCs w:val="21"/>
          <w:lang w:val="en-US" w:eastAsia="zh-CN"/>
        </w:rPr>
        <w:t>由于3号、4号机组锅炉垢量</w:t>
      </w:r>
      <w:r>
        <w:rPr>
          <w:rFonts w:hint="eastAsia" w:ascii="宋体" w:hAnsi="宋体" w:cs="Arial"/>
          <w:sz w:val="21"/>
          <w:szCs w:val="21"/>
        </w:rPr>
        <w:t>已经</w:t>
      </w:r>
      <w:r>
        <w:rPr>
          <w:rFonts w:hint="eastAsia" w:ascii="宋体" w:hAnsi="宋体" w:cs="Arial"/>
          <w:sz w:val="21"/>
          <w:szCs w:val="21"/>
          <w:lang w:val="en-US" w:eastAsia="zh-CN"/>
        </w:rPr>
        <w:t>超过</w:t>
      </w:r>
      <w:r>
        <w:rPr>
          <w:rFonts w:ascii="宋体" w:hAnsi="宋体" w:cs="Arial"/>
          <w:sz w:val="21"/>
          <w:szCs w:val="21"/>
        </w:rPr>
        <w:t>《火力发电厂锅炉化学清洗导则》（</w:t>
      </w:r>
      <w:r>
        <w:rPr>
          <w:rFonts w:ascii="宋体" w:hAnsi="宋体" w:cs="Arial"/>
          <w:spacing w:val="10"/>
          <w:sz w:val="21"/>
          <w:szCs w:val="21"/>
        </w:rPr>
        <w:t>DL/T794）规定的必须进行化学清洗的垢量标准</w:t>
      </w:r>
      <w:r>
        <w:rPr>
          <w:rFonts w:hint="eastAsia" w:ascii="宋体" w:hAnsi="宋体" w:cs="Arial"/>
          <w:spacing w:val="10"/>
          <w:sz w:val="21"/>
          <w:szCs w:val="21"/>
        </w:rPr>
        <w:t>（垢量大于200</w:t>
      </w:r>
      <w:r>
        <w:rPr>
          <w:rFonts w:ascii="宋体" w:hAnsi="宋体" w:cs="Arial"/>
          <w:sz w:val="21"/>
          <w:szCs w:val="21"/>
        </w:rPr>
        <w:t>g/m</w:t>
      </w:r>
      <w:r>
        <w:rPr>
          <w:rFonts w:ascii="宋体" w:hAnsi="宋体" w:cs="Arial"/>
          <w:sz w:val="21"/>
          <w:szCs w:val="21"/>
          <w:vertAlign w:val="superscript"/>
        </w:rPr>
        <w:t>2</w:t>
      </w:r>
      <w:r>
        <w:rPr>
          <w:rFonts w:hint="eastAsia" w:ascii="宋体" w:hAnsi="宋体" w:cs="Arial"/>
          <w:sz w:val="21"/>
          <w:szCs w:val="21"/>
        </w:rPr>
        <w:t>）</w:t>
      </w:r>
      <w:r>
        <w:rPr>
          <w:rFonts w:ascii="宋体" w:hAnsi="宋体" w:cs="Arial"/>
          <w:spacing w:val="10"/>
          <w:sz w:val="21"/>
          <w:szCs w:val="21"/>
        </w:rPr>
        <w:t>。</w:t>
      </w:r>
      <w:r>
        <w:rPr>
          <w:rFonts w:ascii="宋体" w:hAnsi="宋体" w:cs="Arial"/>
          <w:sz w:val="21"/>
          <w:szCs w:val="21"/>
        </w:rPr>
        <w:t>为提高锅炉整体效率，</w:t>
      </w:r>
      <w:r>
        <w:rPr>
          <w:rFonts w:hint="eastAsia" w:ascii="宋体" w:hAnsi="宋体" w:cs="宋体"/>
          <w:b w:val="0"/>
          <w:bCs/>
          <w:sz w:val="21"/>
          <w:szCs w:val="21"/>
          <w:lang w:val="en-US" w:eastAsia="zh-CN"/>
        </w:rPr>
        <w:t>计划</w:t>
      </w:r>
      <w:r>
        <w:rPr>
          <w:rFonts w:ascii="宋体" w:hAnsi="宋体" w:cs="Arial"/>
          <w:sz w:val="21"/>
          <w:szCs w:val="21"/>
        </w:rPr>
        <w:t>在20</w:t>
      </w:r>
      <w:r>
        <w:rPr>
          <w:rFonts w:hint="eastAsia" w:ascii="宋体" w:hAnsi="宋体" w:cs="Arial"/>
          <w:sz w:val="21"/>
          <w:szCs w:val="21"/>
          <w:lang w:val="en-US" w:eastAsia="zh-CN"/>
        </w:rPr>
        <w:t>26</w:t>
      </w:r>
      <w:r>
        <w:rPr>
          <w:rFonts w:ascii="宋体" w:hAnsi="宋体" w:cs="Arial"/>
          <w:sz w:val="21"/>
          <w:szCs w:val="21"/>
        </w:rPr>
        <w:t>年</w:t>
      </w:r>
      <w:r>
        <w:rPr>
          <w:rFonts w:hint="eastAsia" w:ascii="宋体" w:hAnsi="宋体" w:cs="Arial"/>
          <w:sz w:val="21"/>
          <w:szCs w:val="21"/>
          <w:lang w:val="en-US" w:eastAsia="zh-CN"/>
        </w:rPr>
        <w:t>3</w:t>
      </w:r>
      <w:r>
        <w:rPr>
          <w:rFonts w:hint="eastAsia" w:ascii="宋体" w:hAnsi="宋体" w:cs="Arial"/>
          <w:sz w:val="21"/>
          <w:szCs w:val="21"/>
          <w:lang w:eastAsia="zh-CN"/>
        </w:rPr>
        <w:t>、</w:t>
      </w:r>
      <w:r>
        <w:rPr>
          <w:rFonts w:hint="eastAsia" w:ascii="宋体" w:hAnsi="宋体" w:cs="Arial"/>
          <w:sz w:val="21"/>
          <w:szCs w:val="21"/>
          <w:lang w:val="en-US" w:eastAsia="zh-CN"/>
        </w:rPr>
        <w:t>4号机组计划性检修</w:t>
      </w:r>
      <w:r>
        <w:rPr>
          <w:rFonts w:ascii="宋体" w:hAnsi="宋体" w:cs="Arial"/>
          <w:sz w:val="21"/>
          <w:szCs w:val="21"/>
        </w:rPr>
        <w:t>期间对锅炉本体进行化学清洗，以清除炉管受热面沉积物，保持锅炉受热面内表面清洁，提高机组运行安全性和经济性</w:t>
      </w:r>
      <w:r>
        <w:rPr>
          <w:rFonts w:hint="eastAsia" w:ascii="宋体" w:hAnsi="宋体" w:cs="Arial"/>
          <w:sz w:val="21"/>
          <w:szCs w:val="21"/>
          <w:lang w:eastAsia="zh-CN"/>
        </w:rPr>
        <w:t>，</w:t>
      </w:r>
      <w:r>
        <w:rPr>
          <w:rFonts w:hint="eastAsia" w:ascii="宋体" w:hAnsi="宋体" w:cs="Arial"/>
          <w:sz w:val="21"/>
          <w:szCs w:val="21"/>
          <w:lang w:val="en-US" w:eastAsia="zh-CN"/>
        </w:rPr>
        <w:t>清洗后两台机组继续加氧运行</w:t>
      </w:r>
      <w:r>
        <w:rPr>
          <w:rFonts w:ascii="宋体" w:hAnsi="宋体" w:cs="Arial"/>
          <w:sz w:val="21"/>
          <w:szCs w:val="21"/>
        </w:rPr>
        <w:t>。</w:t>
      </w:r>
    </w:p>
    <w:p>
      <w:pPr>
        <w:pStyle w:val="4"/>
        <w:spacing w:before="120" w:after="120" w:line="415" w:lineRule="auto"/>
        <w:rPr>
          <w:rFonts w:hint="eastAsia" w:ascii="宋体" w:hAnsi="宋体" w:eastAsia="宋体"/>
          <w:sz w:val="28"/>
          <w:szCs w:val="28"/>
        </w:rPr>
      </w:pPr>
      <w:bookmarkStart w:id="3" w:name="_Toc356478190"/>
      <w:r>
        <w:rPr>
          <w:rFonts w:ascii="宋体" w:hAnsi="宋体" w:eastAsia="宋体"/>
          <w:sz w:val="28"/>
          <w:szCs w:val="28"/>
        </w:rPr>
        <w:t>3</w:t>
      </w:r>
      <w:r>
        <w:rPr>
          <w:rFonts w:hint="eastAsia" w:ascii="宋体" w:hAnsi="宋体" w:eastAsia="宋体"/>
          <w:sz w:val="28"/>
          <w:szCs w:val="28"/>
        </w:rPr>
        <w:t>．技术要求</w:t>
      </w:r>
      <w:bookmarkEnd w:id="3"/>
    </w:p>
    <w:p>
      <w:pPr>
        <w:spacing w:line="360" w:lineRule="auto"/>
        <w:rPr>
          <w:rFonts w:ascii="宋体" w:hAnsi="宋体"/>
          <w:sz w:val="21"/>
          <w:szCs w:val="21"/>
        </w:rPr>
      </w:pPr>
      <w:r>
        <w:rPr>
          <w:rFonts w:ascii="宋体" w:hAnsi="宋体"/>
          <w:sz w:val="21"/>
          <w:szCs w:val="21"/>
        </w:rPr>
        <w:t>3.1</w:t>
      </w:r>
      <w:r>
        <w:rPr>
          <w:rFonts w:hint="eastAsia" w:ascii="宋体" w:hAnsi="宋体"/>
          <w:sz w:val="21"/>
          <w:szCs w:val="21"/>
        </w:rPr>
        <w:t>基本要求</w:t>
      </w:r>
    </w:p>
    <w:p>
      <w:pPr>
        <w:spacing w:line="360" w:lineRule="auto"/>
        <w:rPr>
          <w:rFonts w:ascii="宋体" w:hAnsi="宋体"/>
          <w:sz w:val="21"/>
          <w:szCs w:val="21"/>
        </w:rPr>
      </w:pPr>
      <w:r>
        <w:rPr>
          <w:rFonts w:hint="eastAsia" w:ascii="宋体" w:hAnsi="宋体"/>
          <w:sz w:val="21"/>
          <w:szCs w:val="21"/>
        </w:rPr>
        <w:t>3.1.1化学清洗范围、清洗工艺及废液处理</w:t>
      </w:r>
    </w:p>
    <w:p>
      <w:pPr>
        <w:spacing w:line="360" w:lineRule="auto"/>
        <w:ind w:firstLine="403"/>
        <w:rPr>
          <w:rFonts w:ascii="宋体" w:hAnsi="宋体"/>
          <w:sz w:val="21"/>
          <w:szCs w:val="21"/>
        </w:rPr>
      </w:pPr>
      <w:r>
        <w:rPr>
          <w:rFonts w:hint="eastAsia" w:ascii="宋体" w:hAnsi="宋体"/>
          <w:sz w:val="21"/>
          <w:szCs w:val="21"/>
          <w:lang w:val="en-US" w:eastAsia="zh-CN"/>
        </w:rPr>
        <w:t>3</w:t>
      </w:r>
      <w:r>
        <w:rPr>
          <w:rFonts w:hint="eastAsia" w:ascii="宋体" w:hAnsi="宋体"/>
          <w:sz w:val="21"/>
          <w:szCs w:val="21"/>
          <w:lang w:eastAsia="zh-CN"/>
        </w:rPr>
        <w:t>、</w:t>
      </w:r>
      <w:r>
        <w:rPr>
          <w:rFonts w:hint="eastAsia" w:ascii="宋体" w:hAnsi="宋体"/>
          <w:sz w:val="21"/>
          <w:szCs w:val="21"/>
          <w:lang w:val="en-US" w:eastAsia="zh-CN"/>
        </w:rPr>
        <w:t>4号</w:t>
      </w:r>
      <w:r>
        <w:rPr>
          <w:rFonts w:hint="eastAsia" w:ascii="宋体" w:hAnsi="宋体"/>
          <w:sz w:val="21"/>
          <w:szCs w:val="21"/>
        </w:rPr>
        <w:t>锅炉化学清洗范围拟定为：省煤器、水冷壁系统，以及锅炉本体系统内的管道集箱等</w:t>
      </w:r>
      <w:r>
        <w:rPr>
          <w:rFonts w:hint="eastAsia" w:ascii="宋体" w:hAnsi="宋体"/>
          <w:sz w:val="21"/>
          <w:szCs w:val="21"/>
          <w:lang w:eastAsia="zh-CN"/>
        </w:rPr>
        <w:t>，</w:t>
      </w:r>
      <w:r>
        <w:rPr>
          <w:rFonts w:hint="eastAsia" w:ascii="宋体" w:hAnsi="宋体"/>
          <w:sz w:val="21"/>
          <w:szCs w:val="21"/>
        </w:rPr>
        <w:t>清洗系统水容积约2</w:t>
      </w:r>
      <w:r>
        <w:rPr>
          <w:rFonts w:hint="eastAsia" w:ascii="宋体" w:hAnsi="宋体"/>
          <w:sz w:val="21"/>
          <w:szCs w:val="21"/>
          <w:lang w:val="en-US" w:eastAsia="zh-CN"/>
        </w:rPr>
        <w:t>66</w:t>
      </w:r>
      <w:r>
        <w:rPr>
          <w:rFonts w:hint="eastAsia" w:ascii="宋体" w:hAnsi="宋体"/>
          <w:sz w:val="21"/>
          <w:szCs w:val="21"/>
        </w:rPr>
        <w:t>m</w:t>
      </w:r>
      <w:r>
        <w:rPr>
          <w:rFonts w:hint="eastAsia" w:ascii="宋体" w:hAnsi="宋体"/>
          <w:sz w:val="21"/>
          <w:szCs w:val="21"/>
          <w:vertAlign w:val="superscript"/>
        </w:rPr>
        <w:t>3</w:t>
      </w:r>
      <w:r>
        <w:rPr>
          <w:rFonts w:hint="eastAsia" w:ascii="宋体" w:hAnsi="宋体"/>
          <w:sz w:val="21"/>
          <w:szCs w:val="21"/>
        </w:rPr>
        <w:t>。</w:t>
      </w:r>
    </w:p>
    <w:p>
      <w:pPr>
        <w:spacing w:line="360" w:lineRule="auto"/>
        <w:ind w:firstLine="454"/>
        <w:rPr>
          <w:rFonts w:hint="eastAsia" w:ascii="宋体" w:hAnsi="宋体"/>
          <w:sz w:val="21"/>
          <w:szCs w:val="21"/>
        </w:rPr>
      </w:pPr>
      <w:r>
        <w:rPr>
          <w:rFonts w:hint="eastAsia" w:ascii="宋体" w:hAnsi="宋体"/>
          <w:sz w:val="21"/>
          <w:szCs w:val="21"/>
        </w:rPr>
        <w:t>招标方确定</w:t>
      </w:r>
      <w:r>
        <w:rPr>
          <w:rFonts w:hint="eastAsia" w:ascii="宋体" w:hAnsi="宋体"/>
          <w:sz w:val="21"/>
          <w:szCs w:val="21"/>
          <w:lang w:val="en-US" w:eastAsia="zh-CN"/>
        </w:rPr>
        <w:t>3</w:t>
      </w:r>
      <w:r>
        <w:rPr>
          <w:rFonts w:hint="eastAsia" w:ascii="宋体" w:hAnsi="宋体"/>
          <w:sz w:val="21"/>
          <w:szCs w:val="21"/>
          <w:lang w:eastAsia="zh-CN"/>
        </w:rPr>
        <w:t>、</w:t>
      </w:r>
      <w:r>
        <w:rPr>
          <w:rFonts w:hint="eastAsia" w:ascii="宋体" w:hAnsi="宋体"/>
          <w:sz w:val="21"/>
          <w:szCs w:val="21"/>
          <w:lang w:val="en-US" w:eastAsia="zh-CN"/>
        </w:rPr>
        <w:t>4号</w:t>
      </w:r>
      <w:r>
        <w:rPr>
          <w:rFonts w:hint="eastAsia" w:ascii="宋体" w:hAnsi="宋体"/>
          <w:sz w:val="21"/>
          <w:szCs w:val="21"/>
        </w:rPr>
        <w:t>锅炉本次化学清洗采用羟基乙酸+甲酸清洗工艺，不使用EDTA或无机强酸，清洗加热采用辅助蒸汽，锅炉不点火。</w:t>
      </w:r>
    </w:p>
    <w:p>
      <w:pPr>
        <w:spacing w:line="360" w:lineRule="auto"/>
        <w:ind w:firstLine="420"/>
        <w:rPr>
          <w:rFonts w:hint="eastAsia" w:ascii="宋体" w:hAnsi="宋体"/>
          <w:sz w:val="21"/>
          <w:szCs w:val="21"/>
        </w:rPr>
      </w:pPr>
      <w:r>
        <w:rPr>
          <w:rFonts w:hint="eastAsia" w:ascii="宋体" w:hAnsi="宋体"/>
          <w:sz w:val="21"/>
          <w:szCs w:val="21"/>
        </w:rPr>
        <w:t>在编制方案时要考虑过热器的保护方式，保证清洗液不进入过热器系统中，同时必须考虑化学清洗废液的处理方式，符合环保标准要求。</w:t>
      </w:r>
    </w:p>
    <w:p>
      <w:pPr>
        <w:spacing w:line="360" w:lineRule="auto"/>
        <w:rPr>
          <w:rFonts w:hint="eastAsia" w:ascii="宋体" w:hAnsi="宋体"/>
          <w:sz w:val="21"/>
          <w:szCs w:val="21"/>
        </w:rPr>
      </w:pPr>
      <w:r>
        <w:rPr>
          <w:rFonts w:hint="eastAsia" w:ascii="宋体" w:hAnsi="宋体"/>
          <w:sz w:val="21"/>
          <w:szCs w:val="21"/>
        </w:rPr>
        <w:t>3.1.2投标方工作内容</w:t>
      </w:r>
    </w:p>
    <w:p>
      <w:pPr>
        <w:spacing w:line="360" w:lineRule="auto"/>
        <w:ind w:firstLine="420"/>
        <w:rPr>
          <w:rFonts w:hint="eastAsia" w:ascii="宋体" w:hAnsi="宋体"/>
          <w:sz w:val="21"/>
          <w:szCs w:val="21"/>
        </w:rPr>
      </w:pPr>
      <w:r>
        <w:rPr>
          <w:rFonts w:hint="eastAsia" w:ascii="宋体" w:hAnsi="宋体"/>
          <w:sz w:val="21"/>
          <w:szCs w:val="21"/>
          <w:lang w:eastAsia="zh-CN"/>
        </w:rPr>
        <w:t>3、4</w:t>
      </w:r>
      <w:r>
        <w:rPr>
          <w:rFonts w:hint="eastAsia" w:ascii="宋体" w:hAnsi="宋体"/>
          <w:sz w:val="21"/>
          <w:szCs w:val="21"/>
          <w:lang w:val="en-US" w:eastAsia="zh-CN"/>
        </w:rPr>
        <w:t>号</w:t>
      </w:r>
      <w:r>
        <w:rPr>
          <w:rFonts w:hint="eastAsia" w:ascii="宋体" w:hAnsi="宋体"/>
          <w:sz w:val="21"/>
          <w:szCs w:val="21"/>
        </w:rPr>
        <w:t>锅炉化学清洗工作的全过程工作，包括但不限于：酸洗前的小型试验、</w:t>
      </w:r>
      <w:r>
        <w:rPr>
          <w:rFonts w:hint="eastAsia" w:ascii="宋体" w:hAnsi="宋体"/>
          <w:sz w:val="21"/>
          <w:szCs w:val="21"/>
          <w:lang w:val="en-US" w:eastAsia="zh-CN"/>
        </w:rPr>
        <w:t>编制</w:t>
      </w:r>
      <w:r>
        <w:rPr>
          <w:rFonts w:hint="eastAsia" w:ascii="宋体" w:hAnsi="宋体"/>
          <w:sz w:val="21"/>
          <w:szCs w:val="21"/>
        </w:rPr>
        <w:t>化学清洗方案（经招标方认可）、提供化学清洗平台（溶药箱、清洗泵等）</w:t>
      </w:r>
      <w:r>
        <w:rPr>
          <w:rFonts w:hint="eastAsia" w:ascii="宋体" w:hAnsi="宋体"/>
          <w:color w:val="auto"/>
          <w:sz w:val="21"/>
          <w:szCs w:val="21"/>
        </w:rPr>
        <w:t>、</w:t>
      </w:r>
      <w:r>
        <w:rPr>
          <w:rFonts w:hint="eastAsia" w:ascii="宋体" w:hAnsi="宋体"/>
          <w:color w:val="auto"/>
          <w:sz w:val="21"/>
          <w:szCs w:val="21"/>
          <w:lang w:val="en-US" w:eastAsia="zh-CN"/>
        </w:rPr>
        <w:t>提供浓缩废液相关设备、</w:t>
      </w:r>
      <w:r>
        <w:rPr>
          <w:rFonts w:hint="eastAsia" w:ascii="宋体" w:hAnsi="宋体"/>
          <w:sz w:val="21"/>
          <w:szCs w:val="21"/>
        </w:rPr>
        <w:t>提供清洗临时系统所有管路材料和阀门，负责酸洗临时系统的安装，提供清洗所有的药品，负责化学清洗过程的临时系统操作、加药、试验分析、进行废液处理的操作及测试等各项工作，负责施工进度计划安排及工期保证措施、负责施工质量保证措施及施工安全保证措施</w:t>
      </w:r>
      <w:r>
        <w:rPr>
          <w:rFonts w:hint="eastAsia" w:ascii="宋体" w:hAnsi="宋体"/>
          <w:sz w:val="21"/>
          <w:szCs w:val="21"/>
          <w:lang w:eastAsia="zh-CN"/>
        </w:rPr>
        <w:t>，</w:t>
      </w:r>
      <w:r>
        <w:rPr>
          <w:rFonts w:hint="eastAsia" w:ascii="宋体" w:hAnsi="宋体"/>
          <w:sz w:val="21"/>
          <w:szCs w:val="21"/>
          <w:lang w:val="en-US" w:eastAsia="zh-CN"/>
        </w:rPr>
        <w:t>清洗完成</w:t>
      </w:r>
      <w:r>
        <w:rPr>
          <w:rFonts w:hint="eastAsia" w:ascii="宋体" w:hAnsi="宋体"/>
          <w:sz w:val="21"/>
          <w:szCs w:val="21"/>
        </w:rPr>
        <w:t>提供清洗报告。</w:t>
      </w:r>
    </w:p>
    <w:p>
      <w:pPr>
        <w:spacing w:line="360" w:lineRule="auto"/>
        <w:rPr>
          <w:rFonts w:hint="eastAsia" w:ascii="宋体" w:hAnsi="宋体"/>
          <w:sz w:val="21"/>
          <w:szCs w:val="21"/>
        </w:rPr>
      </w:pPr>
      <w:r>
        <w:rPr>
          <w:rFonts w:hint="eastAsia" w:ascii="宋体" w:hAnsi="宋体"/>
          <w:sz w:val="21"/>
          <w:szCs w:val="21"/>
        </w:rPr>
        <w:t>3.1.2.1根据招标方通知，在停机后及时对割下来的管样进行垢量及垢成分分析，进行清洗前的小型试验，以确定清洗浓度和清洗工艺，编制《</w:t>
      </w:r>
      <w:r>
        <w:rPr>
          <w:rFonts w:hint="eastAsia" w:ascii="宋体" w:hAnsi="宋体"/>
          <w:sz w:val="21"/>
          <w:szCs w:val="21"/>
          <w:lang w:val="en-US" w:eastAsia="zh-CN"/>
        </w:rPr>
        <w:t>浙江</w:t>
      </w:r>
      <w:r>
        <w:rPr>
          <w:rFonts w:hint="eastAsia" w:ascii="宋体" w:hAnsi="宋体"/>
          <w:sz w:val="21"/>
          <w:szCs w:val="21"/>
        </w:rPr>
        <w:t>浙能乐清发电有限责任公司</w:t>
      </w:r>
      <w:r>
        <w:rPr>
          <w:rFonts w:hint="eastAsia" w:ascii="宋体" w:hAnsi="宋体"/>
          <w:sz w:val="21"/>
          <w:szCs w:val="21"/>
          <w:lang w:eastAsia="zh-CN"/>
        </w:rPr>
        <w:t>3、4</w:t>
      </w:r>
      <w:r>
        <w:rPr>
          <w:rFonts w:hint="eastAsia" w:ascii="宋体" w:hAnsi="宋体"/>
          <w:sz w:val="21"/>
          <w:szCs w:val="21"/>
          <w:lang w:val="en-US" w:eastAsia="zh-CN"/>
        </w:rPr>
        <w:t>号</w:t>
      </w:r>
      <w:r>
        <w:rPr>
          <w:rFonts w:hint="eastAsia" w:ascii="宋体" w:hAnsi="宋体"/>
          <w:sz w:val="21"/>
          <w:szCs w:val="21"/>
        </w:rPr>
        <w:t>锅炉化学清洗方案》，清洗前应将正式的清洗方案和招标方相关技术人员进行讨论确定，并及时交与招标方批准。</w:t>
      </w:r>
    </w:p>
    <w:p>
      <w:pPr>
        <w:spacing w:line="360" w:lineRule="auto"/>
        <w:rPr>
          <w:rFonts w:hint="eastAsia" w:ascii="宋体" w:hAnsi="宋体"/>
          <w:sz w:val="21"/>
          <w:szCs w:val="21"/>
        </w:rPr>
      </w:pPr>
      <w:r>
        <w:rPr>
          <w:rFonts w:hint="eastAsia" w:ascii="宋体" w:hAnsi="宋体"/>
          <w:sz w:val="21"/>
          <w:szCs w:val="21"/>
        </w:rPr>
        <w:t>3.1.2.2评估所采用的清洗工艺对清洗正式系统产生的不良影响，并提供给招标方，以便清洗后对正式系统的正确维护。</w:t>
      </w:r>
    </w:p>
    <w:p>
      <w:pPr>
        <w:tabs>
          <w:tab w:val="left" w:pos="0"/>
          <w:tab w:val="left" w:pos="525"/>
        </w:tabs>
        <w:spacing w:line="360" w:lineRule="auto"/>
        <w:rPr>
          <w:rFonts w:hint="eastAsia" w:ascii="宋体" w:hAnsi="宋体"/>
          <w:sz w:val="21"/>
          <w:szCs w:val="21"/>
        </w:rPr>
      </w:pPr>
      <w:r>
        <w:rPr>
          <w:rFonts w:hint="eastAsia" w:ascii="宋体" w:hAnsi="宋体"/>
          <w:sz w:val="21"/>
          <w:szCs w:val="21"/>
        </w:rPr>
        <w:t>3.1.2.3投标方负责有关化学清洗的各种药品、化学试验和仪器。向招标方提供清洗药品的验收试验方法，清洗药品到厂后应通知招标方化验室共同对药品进行验收化验。提供清洗药品的产品合格证和出厂检验报告，进口药品应提供相关的证明材料。</w:t>
      </w:r>
    </w:p>
    <w:p>
      <w:pPr>
        <w:spacing w:line="360" w:lineRule="auto"/>
        <w:rPr>
          <w:rFonts w:hint="eastAsia" w:ascii="宋体" w:hAnsi="宋体"/>
          <w:sz w:val="21"/>
          <w:szCs w:val="21"/>
        </w:rPr>
      </w:pPr>
      <w:r>
        <w:rPr>
          <w:rFonts w:hint="eastAsia" w:ascii="宋体" w:hAnsi="宋体"/>
          <w:sz w:val="21"/>
          <w:szCs w:val="21"/>
        </w:rPr>
        <w:t>3.1.2.4负责做好设备、材料、人员等的准备工作。施工材料必须在接到通知后两天内抵达现场。</w:t>
      </w:r>
    </w:p>
    <w:p>
      <w:pPr>
        <w:spacing w:line="360" w:lineRule="auto"/>
        <w:rPr>
          <w:rFonts w:hint="eastAsia" w:ascii="宋体" w:hAnsi="宋体"/>
          <w:sz w:val="21"/>
          <w:szCs w:val="21"/>
        </w:rPr>
      </w:pPr>
      <w:r>
        <w:rPr>
          <w:rFonts w:hint="eastAsia" w:ascii="宋体" w:hAnsi="宋体"/>
          <w:sz w:val="21"/>
          <w:szCs w:val="21"/>
        </w:rPr>
        <w:t>3.1.2.5工作负责人在设备到厂前与招标方有关人员共同协商确定临时系统的布置和系统连接情况，以准备充足的管道和材料，确保顺利快速地完成清洗系统的连接（全部的施工及材料包括保温材料等由投标方负责）。</w:t>
      </w:r>
    </w:p>
    <w:p>
      <w:pPr>
        <w:spacing w:line="360" w:lineRule="auto"/>
        <w:ind w:left="630" w:hanging="630"/>
        <w:rPr>
          <w:rFonts w:hint="eastAsia" w:ascii="宋体" w:hAnsi="宋体"/>
          <w:sz w:val="21"/>
          <w:szCs w:val="21"/>
        </w:rPr>
      </w:pPr>
      <w:r>
        <w:rPr>
          <w:rFonts w:hint="eastAsia" w:ascii="宋体" w:hAnsi="宋体"/>
          <w:sz w:val="21"/>
          <w:szCs w:val="21"/>
        </w:rPr>
        <w:t>3.1.2.6接受招标方的三级安全教育，并经招标方考试合格后方可进入现场施工。</w:t>
      </w:r>
    </w:p>
    <w:p>
      <w:pPr>
        <w:spacing w:line="360" w:lineRule="auto"/>
        <w:ind w:left="630" w:hanging="630"/>
        <w:rPr>
          <w:rFonts w:hint="eastAsia" w:ascii="宋体" w:hAnsi="宋体"/>
          <w:sz w:val="21"/>
          <w:szCs w:val="21"/>
        </w:rPr>
      </w:pPr>
      <w:r>
        <w:rPr>
          <w:rFonts w:hint="eastAsia" w:ascii="宋体" w:hAnsi="宋体"/>
          <w:sz w:val="21"/>
          <w:szCs w:val="21"/>
        </w:rPr>
        <w:t>3.1.2.7负责清洗过程中临时系统的操作和加药等工作。</w:t>
      </w:r>
    </w:p>
    <w:p>
      <w:pPr>
        <w:spacing w:line="360" w:lineRule="auto"/>
        <w:rPr>
          <w:rFonts w:hint="eastAsia" w:ascii="宋体" w:hAnsi="宋体"/>
          <w:color w:val="auto"/>
          <w:sz w:val="21"/>
          <w:szCs w:val="21"/>
        </w:rPr>
      </w:pPr>
      <w:r>
        <w:rPr>
          <w:rFonts w:hint="eastAsia" w:ascii="宋体" w:hAnsi="宋体"/>
          <w:color w:val="auto"/>
          <w:sz w:val="21"/>
          <w:szCs w:val="21"/>
        </w:rPr>
        <w:t>3.1.2.8负责化学清洗废液的处理，包括废液处理设备的拆装、加药及处理后废液的排放等操作，</w:t>
      </w:r>
      <w:r>
        <w:rPr>
          <w:rFonts w:hint="eastAsia" w:ascii="宋体" w:hAnsi="宋体"/>
          <w:color w:val="auto"/>
          <w:sz w:val="21"/>
          <w:szCs w:val="21"/>
          <w:lang w:val="en-US" w:eastAsia="zh-CN"/>
        </w:rPr>
        <w:t>废液安排外运处理，处理后</w:t>
      </w:r>
      <w:r>
        <w:rPr>
          <w:rFonts w:hint="eastAsia" w:ascii="宋体" w:hAnsi="宋体"/>
          <w:color w:val="auto"/>
          <w:sz w:val="21"/>
          <w:szCs w:val="21"/>
        </w:rPr>
        <w:t>废液排放应达到国家环保的有关要求</w:t>
      </w:r>
      <w:r>
        <w:rPr>
          <w:rFonts w:hint="eastAsia" w:ascii="宋体" w:hAnsi="宋体"/>
          <w:color w:val="auto"/>
          <w:sz w:val="21"/>
          <w:szCs w:val="21"/>
          <w:lang w:eastAsia="zh-CN"/>
        </w:rPr>
        <w:t>。</w:t>
      </w:r>
    </w:p>
    <w:p>
      <w:pPr>
        <w:spacing w:line="360" w:lineRule="auto"/>
        <w:ind w:left="630" w:hanging="630"/>
        <w:rPr>
          <w:rFonts w:hint="eastAsia" w:ascii="宋体" w:hAnsi="宋体"/>
          <w:sz w:val="21"/>
          <w:szCs w:val="21"/>
        </w:rPr>
      </w:pPr>
      <w:r>
        <w:rPr>
          <w:rFonts w:hint="eastAsia" w:ascii="宋体" w:hAnsi="宋体"/>
          <w:sz w:val="21"/>
          <w:szCs w:val="21"/>
        </w:rPr>
        <w:t>3.1.2.9化学清洗结束后，清扫施工现场，做到工完料净。</w:t>
      </w:r>
    </w:p>
    <w:p>
      <w:pPr>
        <w:spacing w:line="360" w:lineRule="auto"/>
        <w:rPr>
          <w:rFonts w:hint="eastAsia" w:ascii="宋体" w:hAnsi="宋体"/>
          <w:sz w:val="21"/>
          <w:szCs w:val="21"/>
        </w:rPr>
      </w:pPr>
      <w:r>
        <w:rPr>
          <w:rFonts w:hint="eastAsia" w:ascii="宋体" w:hAnsi="宋体"/>
          <w:sz w:val="21"/>
          <w:szCs w:val="21"/>
        </w:rPr>
        <w:t>3.1.2.10化学清洗结束后，负责清理系统内的杂物，并协助招标方做好质量检查工作。</w:t>
      </w:r>
    </w:p>
    <w:p>
      <w:pPr>
        <w:spacing w:line="360" w:lineRule="auto"/>
        <w:rPr>
          <w:rFonts w:hint="eastAsia" w:ascii="宋体" w:hAnsi="宋体"/>
          <w:sz w:val="21"/>
          <w:szCs w:val="21"/>
        </w:rPr>
      </w:pPr>
      <w:r>
        <w:rPr>
          <w:rFonts w:hint="eastAsia" w:ascii="宋体" w:hAnsi="宋体"/>
          <w:sz w:val="21"/>
          <w:szCs w:val="21"/>
        </w:rPr>
        <w:t>3.1.2.11负责清洗过程设备系统安全及投标方人员人身安全。</w:t>
      </w:r>
    </w:p>
    <w:p>
      <w:pPr>
        <w:spacing w:line="360" w:lineRule="auto"/>
        <w:ind w:left="630" w:hanging="630"/>
        <w:rPr>
          <w:rFonts w:hint="eastAsia" w:ascii="宋体" w:hAnsi="宋体"/>
          <w:sz w:val="21"/>
          <w:szCs w:val="21"/>
        </w:rPr>
      </w:pPr>
      <w:r>
        <w:rPr>
          <w:rFonts w:hint="eastAsia" w:ascii="宋体" w:hAnsi="宋体"/>
          <w:sz w:val="21"/>
          <w:szCs w:val="21"/>
        </w:rPr>
        <w:t>3.1.2.12因投标方原因造成工期延误及清洗质量问题，由投标方负责。</w:t>
      </w:r>
    </w:p>
    <w:p>
      <w:pPr>
        <w:spacing w:line="360" w:lineRule="auto"/>
        <w:rPr>
          <w:rFonts w:hint="eastAsia" w:ascii="宋体" w:hAnsi="宋体"/>
          <w:sz w:val="21"/>
          <w:szCs w:val="21"/>
        </w:rPr>
      </w:pPr>
      <w:r>
        <w:rPr>
          <w:rFonts w:hint="eastAsia" w:ascii="宋体" w:hAnsi="宋体"/>
          <w:sz w:val="21"/>
          <w:szCs w:val="21"/>
        </w:rPr>
        <w:t>3.1.2.13清洗工作不得损坏固定设备、管道、表计等，在清洗中要采取安全可靠的保护措施，保证其工作正常。</w:t>
      </w:r>
    </w:p>
    <w:p>
      <w:pPr>
        <w:spacing w:line="360" w:lineRule="auto"/>
        <w:rPr>
          <w:rFonts w:hint="eastAsia" w:ascii="宋体" w:hAnsi="宋体"/>
          <w:sz w:val="21"/>
          <w:szCs w:val="21"/>
        </w:rPr>
      </w:pPr>
      <w:r>
        <w:rPr>
          <w:rFonts w:hint="eastAsia" w:ascii="宋体" w:hAnsi="宋体"/>
          <w:sz w:val="21"/>
          <w:szCs w:val="21"/>
        </w:rPr>
        <w:t>3.1.2.14负责在清洗后15日内向招标方提供清洗报告。</w:t>
      </w:r>
    </w:p>
    <w:p>
      <w:pPr>
        <w:spacing w:line="360" w:lineRule="auto"/>
        <w:rPr>
          <w:rFonts w:hint="eastAsia" w:ascii="宋体" w:hAnsi="宋体"/>
          <w:sz w:val="21"/>
          <w:szCs w:val="21"/>
        </w:rPr>
      </w:pPr>
      <w:r>
        <w:rPr>
          <w:rFonts w:hint="eastAsia" w:ascii="宋体" w:hAnsi="宋体"/>
          <w:sz w:val="21"/>
          <w:szCs w:val="21"/>
        </w:rPr>
        <w:t>3.1.2.15负责对清洗工作进行安全、技术交底，并对招标方相关人员进行安全和技术培训。</w:t>
      </w:r>
    </w:p>
    <w:p>
      <w:pPr>
        <w:spacing w:line="360" w:lineRule="auto"/>
        <w:rPr>
          <w:rFonts w:hint="eastAsia" w:ascii="宋体" w:hAnsi="宋体"/>
          <w:sz w:val="21"/>
          <w:szCs w:val="21"/>
        </w:rPr>
      </w:pPr>
      <w:r>
        <w:rPr>
          <w:rFonts w:hint="eastAsia" w:ascii="宋体" w:hAnsi="宋体"/>
          <w:sz w:val="21"/>
          <w:szCs w:val="21"/>
        </w:rPr>
        <w:t>3.1.2.16负责对清洗后的锅炉水压试验和首次启动过程水汽品质控制进行现场调试和技术指导，提供快速改善水汽品质、金属钝化膜热态再造的建议，使锅炉水质满足水压试验和机组启动要求。</w:t>
      </w:r>
    </w:p>
    <w:p>
      <w:pPr>
        <w:spacing w:line="360" w:lineRule="auto"/>
        <w:ind w:left="0" w:firstLine="0"/>
        <w:rPr>
          <w:rFonts w:hint="eastAsia" w:ascii="宋体" w:hAnsi="宋体"/>
          <w:sz w:val="21"/>
          <w:szCs w:val="21"/>
        </w:rPr>
      </w:pPr>
      <w:r>
        <w:rPr>
          <w:rFonts w:hint="eastAsia" w:ascii="宋体" w:hAnsi="宋体"/>
          <w:sz w:val="21"/>
          <w:szCs w:val="21"/>
        </w:rPr>
        <w:t>3.1.2.17对机组启动后的水汽品质、锅炉运行压差、机组化学水处理工况等进行全面分析</w:t>
      </w:r>
    </w:p>
    <w:p>
      <w:pPr>
        <w:spacing w:line="360" w:lineRule="auto"/>
        <w:ind w:left="0" w:firstLine="0"/>
        <w:rPr>
          <w:rFonts w:hint="eastAsia" w:ascii="宋体" w:hAnsi="宋体"/>
          <w:sz w:val="21"/>
          <w:szCs w:val="21"/>
        </w:rPr>
      </w:pPr>
      <w:r>
        <w:rPr>
          <w:rFonts w:hint="eastAsia" w:ascii="宋体" w:hAnsi="宋体"/>
          <w:sz w:val="21"/>
          <w:szCs w:val="21"/>
        </w:rPr>
        <w:t>评估，提供机组水汽品质优化、降低锅炉结垢速率的技术方案，重点对对机组加氧处理可行性进行评估。</w:t>
      </w:r>
    </w:p>
    <w:p>
      <w:pPr>
        <w:spacing w:line="360" w:lineRule="auto"/>
        <w:ind w:left="630" w:hanging="630"/>
        <w:rPr>
          <w:rFonts w:hint="eastAsia" w:ascii="宋体" w:hAnsi="宋体"/>
          <w:sz w:val="21"/>
          <w:szCs w:val="21"/>
        </w:rPr>
      </w:pPr>
      <w:r>
        <w:rPr>
          <w:rFonts w:hint="eastAsia" w:ascii="宋体" w:hAnsi="宋体"/>
          <w:sz w:val="21"/>
          <w:szCs w:val="21"/>
        </w:rPr>
        <w:t>3.1.3招标方工作内容：</w:t>
      </w:r>
    </w:p>
    <w:p>
      <w:pPr>
        <w:spacing w:line="360" w:lineRule="auto"/>
        <w:ind w:left="630" w:hanging="630"/>
        <w:rPr>
          <w:rFonts w:hint="eastAsia" w:ascii="宋体" w:hAnsi="宋体"/>
          <w:sz w:val="21"/>
          <w:szCs w:val="21"/>
        </w:rPr>
      </w:pPr>
      <w:r>
        <w:rPr>
          <w:rFonts w:hint="eastAsia" w:ascii="宋体" w:hAnsi="宋体"/>
          <w:sz w:val="21"/>
          <w:szCs w:val="21"/>
        </w:rPr>
        <w:t>3.1.3.1负责对化学清洗方案、作业指导书、操作票的审核及确定。</w:t>
      </w:r>
    </w:p>
    <w:p>
      <w:pPr>
        <w:spacing w:line="360" w:lineRule="auto"/>
        <w:ind w:left="630" w:hanging="630"/>
        <w:rPr>
          <w:rFonts w:hint="eastAsia" w:ascii="宋体" w:hAnsi="宋体"/>
          <w:sz w:val="21"/>
          <w:szCs w:val="21"/>
        </w:rPr>
      </w:pPr>
      <w:r>
        <w:rPr>
          <w:rFonts w:hint="eastAsia" w:ascii="宋体" w:hAnsi="宋体"/>
          <w:sz w:val="21"/>
          <w:szCs w:val="21"/>
        </w:rPr>
        <w:t>3.1.3.2在清洗工作开始前两周以传真或电话的形式通知投标方施工人员按期进入施工现场。</w:t>
      </w:r>
    </w:p>
    <w:p>
      <w:pPr>
        <w:spacing w:line="360" w:lineRule="auto"/>
        <w:ind w:left="630" w:hanging="630"/>
        <w:rPr>
          <w:rFonts w:hint="eastAsia" w:ascii="宋体" w:hAnsi="宋体"/>
          <w:sz w:val="21"/>
          <w:szCs w:val="21"/>
        </w:rPr>
      </w:pPr>
      <w:r>
        <w:rPr>
          <w:rFonts w:hint="eastAsia" w:ascii="宋体" w:hAnsi="宋体"/>
          <w:sz w:val="21"/>
          <w:szCs w:val="21"/>
        </w:rPr>
        <w:t>3.1.3.3负责对投标方施工人员进行进入现场前的三级安全教育，经考试合格后方可进入现场。</w:t>
      </w:r>
    </w:p>
    <w:p>
      <w:pPr>
        <w:spacing w:line="360" w:lineRule="auto"/>
        <w:ind w:left="630" w:hanging="630"/>
        <w:rPr>
          <w:rFonts w:hint="eastAsia" w:ascii="宋体" w:hAnsi="宋体"/>
          <w:sz w:val="21"/>
          <w:szCs w:val="21"/>
        </w:rPr>
      </w:pPr>
      <w:r>
        <w:rPr>
          <w:rFonts w:hint="eastAsia" w:ascii="宋体" w:hAnsi="宋体"/>
          <w:sz w:val="21"/>
          <w:szCs w:val="21"/>
        </w:rPr>
        <w:t>3.1.3.4负责指定电源柜间隔及电源侧的接线工作，负责电源接引时的安全监护。</w:t>
      </w:r>
    </w:p>
    <w:p>
      <w:pPr>
        <w:spacing w:line="360" w:lineRule="auto"/>
        <w:ind w:left="630" w:hanging="630"/>
        <w:rPr>
          <w:rFonts w:hint="eastAsia" w:ascii="宋体" w:hAnsi="宋体"/>
          <w:sz w:val="21"/>
          <w:szCs w:val="21"/>
        </w:rPr>
      </w:pPr>
      <w:r>
        <w:rPr>
          <w:rFonts w:hint="eastAsia" w:ascii="宋体" w:hAnsi="宋体"/>
          <w:sz w:val="21"/>
          <w:szCs w:val="21"/>
        </w:rPr>
        <w:t>3.1.3.6负责提供化学清洗过程中的用水、用汽、用电，并协助联络。</w:t>
      </w:r>
    </w:p>
    <w:p>
      <w:pPr>
        <w:spacing w:line="360" w:lineRule="auto"/>
        <w:ind w:left="630" w:hanging="630"/>
        <w:rPr>
          <w:rFonts w:hint="eastAsia" w:ascii="宋体" w:hAnsi="宋体"/>
          <w:sz w:val="21"/>
          <w:szCs w:val="21"/>
        </w:rPr>
      </w:pPr>
      <w:r>
        <w:rPr>
          <w:rFonts w:hint="eastAsia" w:ascii="宋体" w:hAnsi="宋体"/>
          <w:sz w:val="21"/>
          <w:szCs w:val="21"/>
        </w:rPr>
        <w:t>3.1.3.7设立专责人员负责化学清洗的有关协调工作。</w:t>
      </w:r>
    </w:p>
    <w:p>
      <w:pPr>
        <w:spacing w:line="360" w:lineRule="auto"/>
        <w:rPr>
          <w:rFonts w:hint="eastAsia" w:ascii="宋体" w:hAnsi="宋体"/>
          <w:sz w:val="21"/>
          <w:szCs w:val="21"/>
        </w:rPr>
      </w:pPr>
      <w:r>
        <w:rPr>
          <w:rFonts w:hint="eastAsia" w:ascii="宋体" w:hAnsi="宋体"/>
          <w:sz w:val="21"/>
          <w:szCs w:val="21"/>
        </w:rPr>
        <w:t>3.1.3.8按照清洗方案要求进行正式系统阀门的操作。</w:t>
      </w:r>
    </w:p>
    <w:p>
      <w:pPr>
        <w:spacing w:line="360" w:lineRule="auto"/>
        <w:rPr>
          <w:rFonts w:hint="eastAsia" w:ascii="宋体" w:hAnsi="宋体"/>
          <w:sz w:val="21"/>
          <w:szCs w:val="21"/>
        </w:rPr>
      </w:pPr>
      <w:r>
        <w:rPr>
          <w:rFonts w:hint="eastAsia" w:ascii="宋体" w:hAnsi="宋体"/>
          <w:sz w:val="21"/>
          <w:szCs w:val="21"/>
        </w:rPr>
        <w:t>3.1.3.9负责化学清洗全过程的技术监督工作，包括监督投标方化验数据的准确性，复查投标方分析数据，复查指示片重量，检查监视管段清洗效果，检查与正式系统接口的焊接质量、隔离措施的实施情况等。</w:t>
      </w:r>
    </w:p>
    <w:p>
      <w:pPr>
        <w:spacing w:line="360" w:lineRule="auto"/>
        <w:rPr>
          <w:rFonts w:hint="eastAsia" w:ascii="宋体" w:hAnsi="宋体"/>
          <w:sz w:val="21"/>
          <w:szCs w:val="21"/>
        </w:rPr>
      </w:pPr>
      <w:r>
        <w:rPr>
          <w:rFonts w:hint="eastAsia" w:ascii="宋体" w:hAnsi="宋体"/>
          <w:sz w:val="21"/>
          <w:szCs w:val="21"/>
        </w:rPr>
        <w:t>3.1.3.10负责清洗临时系统的全部安装工作，包括机务、电气。</w:t>
      </w:r>
    </w:p>
    <w:p>
      <w:pPr>
        <w:spacing w:line="360" w:lineRule="auto"/>
        <w:ind w:left="630" w:hanging="630"/>
        <w:rPr>
          <w:rFonts w:hint="eastAsia" w:ascii="宋体" w:hAnsi="宋体"/>
          <w:sz w:val="21"/>
          <w:szCs w:val="21"/>
        </w:rPr>
      </w:pPr>
      <w:r>
        <w:rPr>
          <w:rFonts w:hint="eastAsia" w:ascii="宋体" w:hAnsi="宋体"/>
          <w:sz w:val="21"/>
          <w:szCs w:val="21"/>
        </w:rPr>
        <w:t>3.1.3.11负责清洗前的系统隔离检查工作。</w:t>
      </w:r>
    </w:p>
    <w:p>
      <w:pPr>
        <w:spacing w:line="360" w:lineRule="auto"/>
        <w:ind w:left="630" w:hanging="630"/>
        <w:rPr>
          <w:rFonts w:hint="eastAsia" w:ascii="宋体" w:hAnsi="宋体"/>
          <w:sz w:val="21"/>
          <w:szCs w:val="21"/>
        </w:rPr>
      </w:pPr>
      <w:r>
        <w:rPr>
          <w:rFonts w:hint="eastAsia" w:ascii="宋体" w:hAnsi="宋体"/>
          <w:sz w:val="21"/>
          <w:szCs w:val="21"/>
        </w:rPr>
        <w:t>3.1.3.12负责清洗现场的临时照明、消防和保卫值班。</w:t>
      </w:r>
    </w:p>
    <w:p>
      <w:pPr>
        <w:spacing w:line="360" w:lineRule="auto"/>
        <w:rPr>
          <w:rFonts w:hint="eastAsia" w:ascii="宋体" w:hAnsi="宋体"/>
          <w:sz w:val="21"/>
          <w:szCs w:val="21"/>
        </w:rPr>
      </w:pPr>
      <w:r>
        <w:rPr>
          <w:rFonts w:hint="eastAsia" w:ascii="宋体" w:hAnsi="宋体"/>
          <w:sz w:val="21"/>
          <w:szCs w:val="21"/>
        </w:rPr>
        <w:t>3.2质量验收</w:t>
      </w:r>
    </w:p>
    <w:p>
      <w:pPr>
        <w:spacing w:line="360" w:lineRule="auto"/>
        <w:rPr>
          <w:rFonts w:hint="eastAsia" w:ascii="宋体" w:hAnsi="宋体"/>
          <w:sz w:val="21"/>
          <w:szCs w:val="21"/>
        </w:rPr>
      </w:pPr>
      <w:r>
        <w:rPr>
          <w:rFonts w:hint="eastAsia" w:ascii="宋体" w:hAnsi="宋体"/>
          <w:sz w:val="21"/>
          <w:szCs w:val="21"/>
        </w:rPr>
        <w:t>3.2.1  化学清洗结束后2日内完成验收。</w:t>
      </w:r>
    </w:p>
    <w:p>
      <w:pPr>
        <w:spacing w:line="360" w:lineRule="auto"/>
        <w:rPr>
          <w:rFonts w:hint="eastAsia" w:ascii="宋体" w:hAnsi="宋体"/>
          <w:sz w:val="21"/>
          <w:szCs w:val="21"/>
        </w:rPr>
      </w:pPr>
      <w:r>
        <w:rPr>
          <w:rFonts w:hint="eastAsia" w:ascii="宋体" w:hAnsi="宋体"/>
          <w:sz w:val="21"/>
          <w:szCs w:val="21"/>
        </w:rPr>
        <w:t>3.2.2  验收过程中执行《火力发电厂锅炉化学清洗导则》（DL/T794）的规定。</w:t>
      </w:r>
    </w:p>
    <w:p>
      <w:pPr>
        <w:spacing w:line="360" w:lineRule="auto"/>
        <w:rPr>
          <w:rFonts w:hint="eastAsia" w:ascii="宋体" w:hAnsi="宋体"/>
          <w:sz w:val="21"/>
          <w:szCs w:val="21"/>
        </w:rPr>
      </w:pPr>
      <w:r>
        <w:rPr>
          <w:rFonts w:hint="eastAsia" w:ascii="宋体" w:hAnsi="宋体"/>
          <w:sz w:val="21"/>
          <w:szCs w:val="21"/>
        </w:rPr>
        <w:t>3.2.3  验收方式：对监视管、腐蚀指示片及清洗后割取的有代表性的管样进行分析和评估。</w:t>
      </w:r>
    </w:p>
    <w:p>
      <w:pPr>
        <w:spacing w:line="360" w:lineRule="auto"/>
        <w:rPr>
          <w:rFonts w:hint="eastAsia" w:ascii="宋体" w:hAnsi="宋体"/>
          <w:sz w:val="21"/>
          <w:szCs w:val="21"/>
        </w:rPr>
      </w:pPr>
      <w:r>
        <w:rPr>
          <w:rFonts w:hint="eastAsia" w:ascii="宋体" w:hAnsi="宋体"/>
          <w:sz w:val="21"/>
          <w:szCs w:val="21"/>
        </w:rPr>
        <w:t>3.2.4  清洗后，须达到如下质量指标：</w:t>
      </w:r>
    </w:p>
    <w:p>
      <w:pPr>
        <w:spacing w:line="360" w:lineRule="auto"/>
        <w:rPr>
          <w:rFonts w:hint="eastAsia" w:ascii="宋体" w:hAnsi="宋体"/>
          <w:sz w:val="21"/>
          <w:szCs w:val="21"/>
        </w:rPr>
      </w:pPr>
      <w:r>
        <w:rPr>
          <w:rFonts w:hint="eastAsia" w:ascii="宋体" w:hAnsi="宋体"/>
          <w:sz w:val="21"/>
          <w:szCs w:val="21"/>
        </w:rPr>
        <w:t>3.2.4.1  清洗后的金属表面应清洁，基本上无残留氧化物和焊渣，无明显金属粗晶析出的过洗现象，不应有镀铜现象；</w:t>
      </w:r>
    </w:p>
    <w:p>
      <w:pPr>
        <w:spacing w:line="360" w:lineRule="auto"/>
        <w:rPr>
          <w:rFonts w:hint="eastAsia" w:ascii="宋体" w:hAnsi="宋体"/>
          <w:sz w:val="21"/>
          <w:szCs w:val="21"/>
        </w:rPr>
      </w:pPr>
      <w:r>
        <w:rPr>
          <w:rFonts w:hint="eastAsia" w:ascii="宋体" w:hAnsi="宋体"/>
          <w:sz w:val="21"/>
          <w:szCs w:val="21"/>
        </w:rPr>
        <w:t>3.2.4.2  用腐蚀指示片测量的金属平均腐蚀速度应小于4克/平方米·时，腐蚀总量应小于60克/平方米，除垢率不小于90%为合格，除垢率不小于95%为优良；</w:t>
      </w:r>
    </w:p>
    <w:p>
      <w:pPr>
        <w:spacing w:line="360" w:lineRule="auto"/>
        <w:rPr>
          <w:rFonts w:hint="eastAsia" w:ascii="宋体" w:hAnsi="宋体"/>
          <w:sz w:val="21"/>
          <w:szCs w:val="21"/>
        </w:rPr>
      </w:pPr>
      <w:r>
        <w:rPr>
          <w:rFonts w:hint="eastAsia" w:ascii="宋体" w:hAnsi="宋体"/>
          <w:sz w:val="21"/>
          <w:szCs w:val="21"/>
        </w:rPr>
        <w:t>3.2.4.3  清洗后的表面应形成良好的钝化保护膜，不应出现二次锈蚀和点蚀；</w:t>
      </w:r>
    </w:p>
    <w:p>
      <w:pPr>
        <w:spacing w:line="360" w:lineRule="auto"/>
        <w:rPr>
          <w:rFonts w:hint="eastAsia" w:ascii="宋体" w:hAnsi="宋体"/>
          <w:sz w:val="21"/>
          <w:szCs w:val="21"/>
        </w:rPr>
      </w:pPr>
      <w:r>
        <w:rPr>
          <w:rFonts w:hint="eastAsia" w:ascii="宋体" w:hAnsi="宋体"/>
          <w:sz w:val="21"/>
          <w:szCs w:val="21"/>
        </w:rPr>
        <w:t>3.2.4.4  固定设备上的阀门、仪表等不应受到损伤。</w:t>
      </w:r>
    </w:p>
    <w:p>
      <w:pPr>
        <w:spacing w:line="360" w:lineRule="auto"/>
        <w:rPr>
          <w:rFonts w:hint="eastAsia" w:ascii="宋体" w:hAnsi="宋体"/>
          <w:sz w:val="21"/>
          <w:szCs w:val="21"/>
        </w:rPr>
      </w:pPr>
      <w:r>
        <w:rPr>
          <w:rFonts w:hint="eastAsia" w:ascii="宋体" w:hAnsi="宋体"/>
          <w:sz w:val="21"/>
          <w:szCs w:val="21"/>
        </w:rPr>
        <w:t>3.3安全措施及责任：</w:t>
      </w:r>
    </w:p>
    <w:p>
      <w:pPr>
        <w:tabs>
          <w:tab w:val="left" w:pos="0"/>
          <w:tab w:val="left" w:pos="525"/>
        </w:tabs>
        <w:spacing w:line="360" w:lineRule="auto"/>
        <w:rPr>
          <w:rFonts w:hint="eastAsia" w:ascii="宋体" w:hAnsi="宋体"/>
          <w:sz w:val="21"/>
          <w:szCs w:val="21"/>
        </w:rPr>
      </w:pPr>
      <w:r>
        <w:rPr>
          <w:rFonts w:hint="eastAsia" w:ascii="宋体" w:hAnsi="宋体"/>
          <w:sz w:val="21"/>
          <w:szCs w:val="21"/>
        </w:rPr>
        <w:t>3.3.1项目负责人、工程技术人员和工人安全施工的技术素质符合工程要求。</w:t>
      </w:r>
    </w:p>
    <w:p>
      <w:pPr>
        <w:spacing w:line="360" w:lineRule="auto"/>
        <w:rPr>
          <w:rFonts w:ascii="宋体" w:hAnsi="宋体"/>
          <w:sz w:val="21"/>
          <w:szCs w:val="21"/>
        </w:rPr>
      </w:pPr>
      <w:r>
        <w:rPr>
          <w:rFonts w:hint="eastAsia" w:ascii="宋体" w:hAnsi="宋体"/>
          <w:sz w:val="21"/>
          <w:szCs w:val="21"/>
        </w:rPr>
        <w:t>3.3.2现场施工中，投标方必须严格执行《电业安全工作规程》、《电力建设安全工作规程》和招标方颁发的安全、消防、治安、劳动纪律及文明生产等有关管理标准，严格执行电力生产的工作票、动火工作票等规定。投标方必须与招标方安监部签定“承包项目安全协议”。</w:t>
      </w:r>
    </w:p>
    <w:p>
      <w:pPr>
        <w:spacing w:line="360" w:lineRule="auto"/>
        <w:rPr>
          <w:rFonts w:hint="eastAsia" w:ascii="宋体" w:hAnsi="宋体"/>
          <w:sz w:val="21"/>
          <w:szCs w:val="21"/>
        </w:rPr>
      </w:pPr>
      <w:r>
        <w:rPr>
          <w:rFonts w:hint="eastAsia" w:ascii="宋体" w:hAnsi="宋体"/>
          <w:sz w:val="21"/>
          <w:szCs w:val="21"/>
        </w:rPr>
        <w:t>3.3.3安全施工的组织机构健全、配有专职安全员管理整个施工过程。</w:t>
      </w:r>
    </w:p>
    <w:p>
      <w:pPr>
        <w:spacing w:line="360" w:lineRule="auto"/>
        <w:rPr>
          <w:rFonts w:ascii="宋体" w:hAnsi="宋体"/>
          <w:sz w:val="21"/>
          <w:szCs w:val="21"/>
        </w:rPr>
      </w:pPr>
      <w:r>
        <w:rPr>
          <w:rFonts w:hint="eastAsia" w:ascii="宋体" w:hAnsi="宋体"/>
          <w:sz w:val="21"/>
          <w:szCs w:val="21"/>
        </w:rPr>
        <w:t>3.3.4开工前结合现场实际投标方制定施工安全技术措施，经招标方审查后贯彻落实。并要自上而下地进行安全、技术交底，全体施工人员要掌握工程技术要求、特点和施工安全措施。</w:t>
      </w:r>
    </w:p>
    <w:p>
      <w:pPr>
        <w:spacing w:line="360" w:lineRule="auto"/>
        <w:rPr>
          <w:rFonts w:hint="eastAsia" w:ascii="宋体" w:hAnsi="宋体"/>
          <w:sz w:val="21"/>
          <w:szCs w:val="21"/>
        </w:rPr>
      </w:pPr>
      <w:r>
        <w:rPr>
          <w:rFonts w:hint="eastAsia" w:ascii="宋体" w:hAnsi="宋体"/>
          <w:sz w:val="21"/>
          <w:szCs w:val="21"/>
        </w:rPr>
        <w:t>3.3.5锅炉清洗前，双方有关人员必须学习化学清洗的安全操作规程。</w:t>
      </w:r>
    </w:p>
    <w:p>
      <w:pPr>
        <w:spacing w:line="360" w:lineRule="auto"/>
        <w:rPr>
          <w:rFonts w:hint="eastAsia" w:ascii="宋体" w:hAnsi="宋体"/>
          <w:sz w:val="21"/>
          <w:szCs w:val="21"/>
        </w:rPr>
      </w:pPr>
      <w:r>
        <w:rPr>
          <w:rFonts w:hint="eastAsia" w:ascii="宋体" w:hAnsi="宋体"/>
          <w:sz w:val="21"/>
          <w:szCs w:val="21"/>
        </w:rPr>
        <w:t>3.3.6为避免误操作，在清洗过程中招标方按投标方提供的方案和技术交底进行操作。</w:t>
      </w:r>
    </w:p>
    <w:p>
      <w:pPr>
        <w:spacing w:line="360" w:lineRule="auto"/>
        <w:rPr>
          <w:rFonts w:hint="eastAsia" w:ascii="宋体" w:hAnsi="宋体"/>
          <w:sz w:val="21"/>
          <w:szCs w:val="21"/>
        </w:rPr>
      </w:pPr>
      <w:r>
        <w:rPr>
          <w:rFonts w:hint="eastAsia" w:ascii="宋体" w:hAnsi="宋体"/>
          <w:sz w:val="21"/>
          <w:szCs w:val="21"/>
        </w:rPr>
        <w:t>3.3.7清洗现场必须配备有消防设备、急救设备及安全防护设备。由投标方张贴和悬挂必要的安全标志牌。在药品储存和清洗液配制地点由投标方进行可靠地隔离。</w:t>
      </w:r>
    </w:p>
    <w:p>
      <w:pPr>
        <w:spacing w:line="360" w:lineRule="auto"/>
        <w:rPr>
          <w:rFonts w:hint="eastAsia" w:ascii="宋体" w:hAnsi="宋体"/>
          <w:sz w:val="21"/>
          <w:szCs w:val="21"/>
        </w:rPr>
      </w:pPr>
      <w:r>
        <w:rPr>
          <w:rFonts w:hint="eastAsia" w:ascii="宋体" w:hAnsi="宋体"/>
          <w:sz w:val="21"/>
          <w:szCs w:val="21"/>
        </w:rPr>
        <w:t>3.3.8搬运浓酸、碱或其它有毒或腐蚀性的溶液时，应有专用工具，禁止肩扛或手抱。直接接触苛性碱或酸的人员，应配备必要的个人防护用品。</w:t>
      </w:r>
    </w:p>
    <w:p>
      <w:pPr>
        <w:spacing w:line="360" w:lineRule="auto"/>
        <w:rPr>
          <w:rFonts w:hint="eastAsia" w:ascii="宋体" w:hAnsi="宋体"/>
          <w:sz w:val="21"/>
          <w:szCs w:val="21"/>
        </w:rPr>
      </w:pPr>
      <w:r>
        <w:rPr>
          <w:rFonts w:hint="eastAsia" w:ascii="宋体" w:hAnsi="宋体"/>
          <w:sz w:val="21"/>
          <w:szCs w:val="21"/>
        </w:rPr>
        <w:t>3.3.9投标方施工中出现由于投标方原因造成的安全及质量责任事故，由投标方负责。</w:t>
      </w:r>
    </w:p>
    <w:p>
      <w:pPr>
        <w:spacing w:line="360" w:lineRule="auto"/>
        <w:rPr>
          <w:rFonts w:hint="eastAsia" w:ascii="宋体" w:hAnsi="宋体"/>
          <w:sz w:val="21"/>
          <w:szCs w:val="21"/>
        </w:rPr>
      </w:pPr>
      <w:r>
        <w:rPr>
          <w:rFonts w:hint="eastAsia" w:ascii="宋体" w:hAnsi="宋体"/>
          <w:sz w:val="21"/>
          <w:szCs w:val="21"/>
        </w:rPr>
        <w:t>3.3.10在施工过程中不中途更换人员，特殊情况须征得招标方安全监察部门的同意，并重新履行安全教育、考试手续。</w:t>
      </w:r>
    </w:p>
    <w:p>
      <w:pPr>
        <w:spacing w:line="360" w:lineRule="auto"/>
        <w:rPr>
          <w:rFonts w:hint="eastAsia" w:ascii="宋体" w:hAnsi="宋体"/>
          <w:sz w:val="21"/>
          <w:szCs w:val="21"/>
        </w:rPr>
      </w:pPr>
      <w:r>
        <w:rPr>
          <w:rFonts w:hint="eastAsia" w:ascii="宋体" w:hAnsi="宋体"/>
          <w:sz w:val="21"/>
          <w:szCs w:val="21"/>
        </w:rPr>
        <w:t>3.4其它：</w:t>
      </w:r>
    </w:p>
    <w:p>
      <w:pPr>
        <w:spacing w:line="360" w:lineRule="auto"/>
        <w:rPr>
          <w:rFonts w:hint="eastAsia" w:ascii="宋体" w:hAnsi="宋体"/>
          <w:sz w:val="21"/>
          <w:szCs w:val="21"/>
        </w:rPr>
      </w:pPr>
      <w:r>
        <w:rPr>
          <w:rFonts w:hint="eastAsia" w:ascii="宋体" w:hAnsi="宋体"/>
          <w:sz w:val="21"/>
          <w:szCs w:val="21"/>
        </w:rPr>
        <w:t>3.4.1开工前双方组成化学清洗领导小组，各指定1名负责人，负责联系配合工作。</w:t>
      </w:r>
    </w:p>
    <w:p>
      <w:pPr>
        <w:spacing w:line="360" w:lineRule="auto"/>
        <w:rPr>
          <w:rFonts w:hint="eastAsia" w:ascii="宋体" w:hAnsi="宋体"/>
          <w:sz w:val="21"/>
          <w:szCs w:val="21"/>
        </w:rPr>
      </w:pPr>
      <w:r>
        <w:rPr>
          <w:rFonts w:hint="eastAsia" w:ascii="宋体" w:hAnsi="宋体"/>
          <w:sz w:val="21"/>
          <w:szCs w:val="21"/>
        </w:rPr>
        <w:t>3.4.2在清洗完成后十五日内，投标方提交正式的化学清洗总结报告给招标方。</w:t>
      </w:r>
    </w:p>
    <w:p>
      <w:pPr>
        <w:pStyle w:val="18"/>
        <w:spacing w:line="360" w:lineRule="auto"/>
        <w:rPr>
          <w:rFonts w:hint="eastAsia" w:hAnsi="宋体"/>
          <w:sz w:val="21"/>
          <w:szCs w:val="21"/>
        </w:rPr>
      </w:pPr>
      <w:r>
        <w:rPr>
          <w:rFonts w:hint="eastAsia" w:hAnsi="宋体"/>
          <w:sz w:val="21"/>
          <w:szCs w:val="21"/>
        </w:rPr>
        <w:t>3.4.3双方在清洗完毕后共同进行验收，并签署验收报告。</w:t>
      </w:r>
    </w:p>
    <w:p>
      <w:pPr>
        <w:spacing w:line="360" w:lineRule="auto"/>
        <w:jc w:val="both"/>
        <w:rPr>
          <w:rFonts w:hint="default" w:hAnsi="宋体" w:eastAsia="宋体"/>
          <w:color w:val="auto"/>
          <w:sz w:val="21"/>
          <w:szCs w:val="21"/>
          <w:lang w:val="en-US" w:eastAsia="zh-CN"/>
        </w:rPr>
      </w:pPr>
      <w:r>
        <w:rPr>
          <w:rFonts w:hint="eastAsia" w:ascii="宋体" w:hAnsi="宋体"/>
          <w:color w:val="auto"/>
          <w:sz w:val="21"/>
          <w:szCs w:val="21"/>
          <w:lang w:val="en-US" w:eastAsia="zh-CN"/>
        </w:rPr>
        <w:t>3.4.4提供分项报价</w:t>
      </w:r>
      <w:r>
        <w:rPr>
          <w:rFonts w:hint="eastAsia" w:hAnsi="宋体"/>
          <w:color w:val="auto"/>
          <w:sz w:val="21"/>
          <w:szCs w:val="21"/>
          <w:lang w:val="en-US" w:eastAsia="zh-CN"/>
        </w:rPr>
        <w:t>（</w:t>
      </w:r>
      <w:r>
        <w:rPr>
          <w:rFonts w:hint="eastAsia" w:cs="宋体"/>
          <w:color w:val="auto"/>
          <w:sz w:val="21"/>
          <w:szCs w:val="21"/>
        </w:rPr>
        <w:t>单位：元</w:t>
      </w:r>
      <w:r>
        <w:rPr>
          <w:rFonts w:hint="eastAsia" w:hAnsi="宋体"/>
          <w:color w:val="auto"/>
          <w:sz w:val="21"/>
          <w:szCs w:val="21"/>
          <w:lang w:val="en-US" w:eastAsia="zh-CN"/>
        </w:rPr>
        <w:t>）如该项未完成，则扣除该项费用。</w:t>
      </w:r>
    </w:p>
    <w:p>
      <w:pPr>
        <w:spacing w:line="360" w:lineRule="auto"/>
        <w:jc w:val="both"/>
        <w:rPr>
          <w:rFonts w:hint="eastAsia" w:eastAsia="宋体" w:cs="Times New Roman"/>
          <w:sz w:val="21"/>
          <w:szCs w:val="21"/>
          <w:lang w:val="en-US" w:eastAsia="zh-CN"/>
        </w:rPr>
      </w:pPr>
      <w:r>
        <w:rPr>
          <w:rFonts w:hint="eastAsia" w:cs="宋体"/>
          <w:sz w:val="21"/>
          <w:szCs w:val="21"/>
          <w:lang w:val="en-US" w:eastAsia="zh-CN"/>
        </w:rPr>
        <w:t>分项报价</w:t>
      </w:r>
      <w:r>
        <w:rPr>
          <w:rFonts w:hint="eastAsia" w:cs="宋体"/>
          <w:sz w:val="21"/>
          <w:szCs w:val="21"/>
        </w:rPr>
        <w:t>表</w:t>
      </w:r>
      <w:r>
        <w:rPr>
          <w:rFonts w:hint="eastAsia" w:cs="宋体"/>
          <w:sz w:val="21"/>
          <w:szCs w:val="21"/>
          <w:lang w:eastAsia="zh-CN"/>
        </w:rPr>
        <w:t>：</w:t>
      </w:r>
    </w:p>
    <w:p>
      <w:pPr>
        <w:jc w:val="right"/>
        <w:rPr>
          <w:rFonts w:cs="Times New Roman"/>
          <w:sz w:val="21"/>
          <w:szCs w:val="21"/>
        </w:rPr>
      </w:pPr>
      <w:r>
        <w:rPr>
          <w:rFonts w:hint="eastAsia" w:cs="宋体"/>
          <w:sz w:val="21"/>
          <w:szCs w:val="21"/>
        </w:rPr>
        <w:t>单位：元</w:t>
      </w:r>
    </w:p>
    <w:tbl>
      <w:tblPr>
        <w:tblStyle w:val="3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81"/>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rPr>
                <w:rFonts w:ascii="宋体" w:cs="Times New Roman"/>
                <w:sz w:val="21"/>
                <w:szCs w:val="21"/>
              </w:rPr>
            </w:pPr>
            <w:r>
              <w:rPr>
                <w:rFonts w:hint="eastAsia" w:ascii="宋体" w:hAnsi="宋体" w:cs="宋体"/>
                <w:sz w:val="21"/>
                <w:szCs w:val="21"/>
              </w:rPr>
              <w:t>序号</w:t>
            </w:r>
          </w:p>
        </w:tc>
        <w:tc>
          <w:tcPr>
            <w:tcW w:w="1881" w:type="dxa"/>
            <w:noWrap w:val="0"/>
            <w:vAlign w:val="center"/>
          </w:tcPr>
          <w:p>
            <w:pPr>
              <w:rPr>
                <w:rFonts w:ascii="宋体" w:cs="Times New Roman"/>
                <w:sz w:val="21"/>
                <w:szCs w:val="21"/>
              </w:rPr>
            </w:pPr>
            <w:r>
              <w:rPr>
                <w:rFonts w:hint="eastAsia" w:ascii="宋体" w:hAnsi="宋体" w:cs="宋体"/>
                <w:sz w:val="21"/>
                <w:szCs w:val="21"/>
              </w:rPr>
              <w:t>项目名称</w:t>
            </w:r>
          </w:p>
        </w:tc>
        <w:tc>
          <w:tcPr>
            <w:tcW w:w="1420" w:type="dxa"/>
            <w:noWrap w:val="0"/>
            <w:vAlign w:val="center"/>
          </w:tcPr>
          <w:p>
            <w:pPr>
              <w:rPr>
                <w:rFonts w:ascii="宋体" w:cs="Times New Roman"/>
                <w:sz w:val="21"/>
                <w:szCs w:val="21"/>
              </w:rPr>
            </w:pPr>
            <w:r>
              <w:rPr>
                <w:rFonts w:hint="eastAsia" w:ascii="宋体" w:hAnsi="宋体" w:cs="宋体"/>
                <w:sz w:val="21"/>
                <w:szCs w:val="21"/>
              </w:rPr>
              <w:t>单位</w:t>
            </w:r>
          </w:p>
        </w:tc>
        <w:tc>
          <w:tcPr>
            <w:tcW w:w="1420" w:type="dxa"/>
            <w:noWrap w:val="0"/>
            <w:vAlign w:val="center"/>
          </w:tcPr>
          <w:p>
            <w:pPr>
              <w:rPr>
                <w:rFonts w:ascii="宋体" w:cs="Times New Roman"/>
                <w:sz w:val="21"/>
                <w:szCs w:val="21"/>
              </w:rPr>
            </w:pPr>
            <w:r>
              <w:rPr>
                <w:rFonts w:hint="eastAsia" w:ascii="宋体" w:hAnsi="宋体" w:cs="宋体"/>
                <w:sz w:val="21"/>
                <w:szCs w:val="21"/>
              </w:rPr>
              <w:t>数量</w:t>
            </w:r>
          </w:p>
        </w:tc>
        <w:tc>
          <w:tcPr>
            <w:tcW w:w="1421" w:type="dxa"/>
            <w:noWrap w:val="0"/>
            <w:vAlign w:val="center"/>
          </w:tcPr>
          <w:p>
            <w:pPr>
              <w:rPr>
                <w:rFonts w:ascii="宋体" w:cs="Times New Roman"/>
                <w:sz w:val="21"/>
                <w:szCs w:val="21"/>
              </w:rPr>
            </w:pPr>
            <w:r>
              <w:rPr>
                <w:rFonts w:hint="eastAsia" w:ascii="宋体" w:hAnsi="宋体" w:cs="宋体"/>
                <w:sz w:val="21"/>
                <w:szCs w:val="21"/>
              </w:rPr>
              <w:t>单价</w:t>
            </w:r>
          </w:p>
        </w:tc>
        <w:tc>
          <w:tcPr>
            <w:tcW w:w="1421" w:type="dxa"/>
            <w:noWrap w:val="0"/>
            <w:vAlign w:val="center"/>
          </w:tcPr>
          <w:p>
            <w:pPr>
              <w:rPr>
                <w:rFonts w:ascii="宋体" w:cs="Times New Roman"/>
                <w:sz w:val="21"/>
                <w:szCs w:val="21"/>
              </w:rPr>
            </w:pPr>
            <w:r>
              <w:rPr>
                <w:rFonts w:hint="eastAsia" w:ascii="宋体" w:hAnsi="宋体" w:cs="宋体"/>
                <w:sz w:val="21"/>
                <w:szCs w:val="21"/>
                <w:lang w:val="en-US" w:eastAsia="zh-CN"/>
              </w:rPr>
              <w:t>总</w:t>
            </w:r>
            <w:r>
              <w:rPr>
                <w:rFonts w:hint="eastAsia" w:ascii="宋体" w:hAnsi="宋体" w:cs="宋体"/>
                <w:sz w:val="21"/>
                <w:szCs w:val="21"/>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rPr>
                <w:rFonts w:ascii="宋体" w:hAnsi="宋体" w:cs="宋体"/>
                <w:b w:val="0"/>
                <w:bCs w:val="0"/>
                <w:sz w:val="21"/>
                <w:szCs w:val="21"/>
              </w:rPr>
            </w:pPr>
            <w:r>
              <w:rPr>
                <w:rFonts w:ascii="宋体" w:hAnsi="宋体" w:cs="宋体"/>
                <w:b w:val="0"/>
                <w:bCs w:val="0"/>
                <w:sz w:val="21"/>
                <w:szCs w:val="21"/>
              </w:rPr>
              <w:t>1</w:t>
            </w:r>
          </w:p>
        </w:tc>
        <w:tc>
          <w:tcPr>
            <w:tcW w:w="1881" w:type="dxa"/>
            <w:noWrap w:val="0"/>
            <w:vAlign w:val="center"/>
          </w:tcPr>
          <w:p>
            <w:pPr>
              <w:rPr>
                <w:rFonts w:ascii="宋体" w:cs="Times New Roman"/>
                <w:b w:val="0"/>
                <w:bCs w:val="0"/>
                <w:sz w:val="21"/>
                <w:szCs w:val="21"/>
              </w:rPr>
            </w:pPr>
            <w:r>
              <w:rPr>
                <w:rFonts w:hint="eastAsia" w:ascii="宋体" w:hAnsi="宋体" w:cs="宋体"/>
                <w:b w:val="0"/>
                <w:bCs w:val="0"/>
                <w:sz w:val="21"/>
                <w:szCs w:val="21"/>
                <w:lang w:val="en-US" w:eastAsia="zh-CN"/>
              </w:rPr>
              <w:t>设备</w:t>
            </w:r>
            <w:r>
              <w:rPr>
                <w:rFonts w:hint="eastAsia" w:ascii="宋体" w:hAnsi="宋体" w:cs="宋体"/>
                <w:b w:val="0"/>
                <w:bCs w:val="0"/>
                <w:sz w:val="21"/>
                <w:szCs w:val="21"/>
              </w:rPr>
              <w:t>拆</w:t>
            </w:r>
            <w:r>
              <w:rPr>
                <w:rFonts w:hint="eastAsia" w:ascii="宋体" w:hAnsi="宋体" w:cs="宋体"/>
                <w:b w:val="0"/>
                <w:bCs w:val="0"/>
                <w:sz w:val="21"/>
                <w:szCs w:val="21"/>
                <w:lang w:eastAsia="zh-CN"/>
              </w:rPr>
              <w:t>、</w:t>
            </w:r>
            <w:r>
              <w:rPr>
                <w:rFonts w:hint="eastAsia" w:ascii="宋体" w:hAnsi="宋体" w:cs="宋体"/>
                <w:b w:val="0"/>
                <w:bCs w:val="0"/>
                <w:sz w:val="21"/>
                <w:szCs w:val="21"/>
              </w:rPr>
              <w:t>装费</w:t>
            </w:r>
          </w:p>
        </w:tc>
        <w:tc>
          <w:tcPr>
            <w:tcW w:w="1420" w:type="dxa"/>
            <w:noWrap w:val="0"/>
            <w:vAlign w:val="center"/>
          </w:tcPr>
          <w:p>
            <w:pPr>
              <w:rPr>
                <w:rFonts w:ascii="宋体" w:cs="Times New Roman"/>
                <w:sz w:val="21"/>
                <w:szCs w:val="21"/>
              </w:rPr>
            </w:pPr>
            <w:r>
              <w:rPr>
                <w:rFonts w:hint="eastAsia" w:ascii="宋体" w:hAnsi="宋体" w:cs="宋体"/>
                <w:sz w:val="21"/>
                <w:szCs w:val="21"/>
              </w:rPr>
              <w:t>单次清洗</w:t>
            </w:r>
          </w:p>
        </w:tc>
        <w:tc>
          <w:tcPr>
            <w:tcW w:w="1420" w:type="dxa"/>
            <w:noWrap w:val="0"/>
            <w:vAlign w:val="center"/>
          </w:tcPr>
          <w:p>
            <w:pP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1421" w:type="dxa"/>
            <w:noWrap w:val="0"/>
            <w:vAlign w:val="center"/>
          </w:tcPr>
          <w:p>
            <w:pPr>
              <w:rPr>
                <w:rFonts w:ascii="宋体" w:cs="宋体"/>
                <w:sz w:val="21"/>
                <w:szCs w:val="21"/>
              </w:rPr>
            </w:pPr>
          </w:p>
        </w:tc>
        <w:tc>
          <w:tcPr>
            <w:tcW w:w="1421" w:type="dxa"/>
            <w:noWrap w:val="0"/>
            <w:vAlign w:val="center"/>
          </w:tcPr>
          <w:p>
            <w:pPr>
              <w:rPr>
                <w:rFonts w:hint="default" w:asci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rPr>
                <w:rFonts w:ascii="宋体" w:hAnsi="宋体" w:cs="宋体"/>
                <w:b w:val="0"/>
                <w:bCs w:val="0"/>
                <w:sz w:val="21"/>
                <w:szCs w:val="21"/>
              </w:rPr>
            </w:pPr>
            <w:r>
              <w:rPr>
                <w:rFonts w:ascii="宋体" w:hAnsi="宋体" w:cs="宋体"/>
                <w:b w:val="0"/>
                <w:bCs w:val="0"/>
                <w:sz w:val="21"/>
                <w:szCs w:val="21"/>
              </w:rPr>
              <w:t>2</w:t>
            </w:r>
          </w:p>
        </w:tc>
        <w:tc>
          <w:tcPr>
            <w:tcW w:w="1881" w:type="dxa"/>
            <w:noWrap w:val="0"/>
            <w:vAlign w:val="center"/>
          </w:tcPr>
          <w:p>
            <w:pPr>
              <w:rPr>
                <w:rFonts w:ascii="宋体" w:cs="Times New Roman"/>
                <w:b w:val="0"/>
                <w:bCs w:val="0"/>
                <w:sz w:val="21"/>
                <w:szCs w:val="21"/>
              </w:rPr>
            </w:pPr>
            <w:r>
              <w:rPr>
                <w:rFonts w:hint="eastAsia" w:ascii="宋体" w:hAnsi="宋体" w:cs="宋体"/>
                <w:b w:val="0"/>
                <w:bCs w:val="0"/>
                <w:sz w:val="21"/>
                <w:szCs w:val="21"/>
              </w:rPr>
              <w:t>药品费、材料费等</w:t>
            </w:r>
          </w:p>
        </w:tc>
        <w:tc>
          <w:tcPr>
            <w:tcW w:w="1420" w:type="dxa"/>
            <w:noWrap w:val="0"/>
            <w:vAlign w:val="center"/>
          </w:tcPr>
          <w:p>
            <w:pPr>
              <w:rPr>
                <w:rFonts w:ascii="宋体" w:cs="Times New Roman"/>
                <w:sz w:val="21"/>
                <w:szCs w:val="21"/>
              </w:rPr>
            </w:pPr>
            <w:r>
              <w:rPr>
                <w:rFonts w:hint="eastAsia" w:ascii="宋体" w:hAnsi="宋体" w:cs="宋体"/>
                <w:sz w:val="21"/>
                <w:szCs w:val="21"/>
              </w:rPr>
              <w:t>单次清洗</w:t>
            </w:r>
          </w:p>
        </w:tc>
        <w:tc>
          <w:tcPr>
            <w:tcW w:w="1420" w:type="dxa"/>
            <w:noWrap w:val="0"/>
            <w:vAlign w:val="center"/>
          </w:tcPr>
          <w:p>
            <w:pPr>
              <w:rPr>
                <w:rFonts w:hint="eastAsia" w:ascii="宋体" w:eastAsia="宋体" w:cs="Times New Roman"/>
                <w:sz w:val="21"/>
                <w:szCs w:val="21"/>
                <w:lang w:val="en-US" w:eastAsia="zh-CN"/>
              </w:rPr>
            </w:pPr>
            <w:r>
              <w:rPr>
                <w:rFonts w:hint="eastAsia" w:ascii="宋体" w:cs="Times New Roman"/>
                <w:sz w:val="21"/>
                <w:szCs w:val="21"/>
                <w:lang w:val="en-US" w:eastAsia="zh-CN"/>
              </w:rPr>
              <w:t>2</w:t>
            </w:r>
          </w:p>
        </w:tc>
        <w:tc>
          <w:tcPr>
            <w:tcW w:w="1421" w:type="dxa"/>
            <w:noWrap w:val="0"/>
            <w:vAlign w:val="center"/>
          </w:tcPr>
          <w:p>
            <w:pPr>
              <w:rPr>
                <w:rFonts w:ascii="宋体" w:cs="Times New Roman"/>
                <w:sz w:val="21"/>
                <w:szCs w:val="21"/>
              </w:rPr>
            </w:pPr>
          </w:p>
        </w:tc>
        <w:tc>
          <w:tcPr>
            <w:tcW w:w="1421" w:type="dxa"/>
            <w:noWrap w:val="0"/>
            <w:vAlign w:val="center"/>
          </w:tcPr>
          <w:p>
            <w:pPr>
              <w:rPr>
                <w:rFonts w:ascii="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rPr>
                <w:rFonts w:ascii="宋体" w:hAnsi="宋体" w:cs="宋体"/>
                <w:b w:val="0"/>
                <w:bCs w:val="0"/>
                <w:sz w:val="21"/>
                <w:szCs w:val="21"/>
              </w:rPr>
            </w:pPr>
            <w:r>
              <w:rPr>
                <w:rFonts w:ascii="宋体" w:hAnsi="宋体" w:cs="宋体"/>
                <w:b w:val="0"/>
                <w:bCs w:val="0"/>
                <w:sz w:val="21"/>
                <w:szCs w:val="21"/>
              </w:rPr>
              <w:t>3</w:t>
            </w:r>
          </w:p>
        </w:tc>
        <w:tc>
          <w:tcPr>
            <w:tcW w:w="1881" w:type="dxa"/>
            <w:noWrap w:val="0"/>
            <w:vAlign w:val="center"/>
          </w:tcPr>
          <w:p>
            <w:pPr>
              <w:rPr>
                <w:rFonts w:ascii="宋体" w:cs="Times New Roman"/>
                <w:b w:val="0"/>
                <w:bCs w:val="0"/>
                <w:sz w:val="21"/>
                <w:szCs w:val="21"/>
              </w:rPr>
            </w:pPr>
            <w:r>
              <w:rPr>
                <w:rFonts w:hint="eastAsia" w:ascii="宋体" w:hAnsi="宋体" w:cs="宋体"/>
                <w:b w:val="0"/>
                <w:bCs w:val="0"/>
                <w:sz w:val="21"/>
                <w:szCs w:val="21"/>
              </w:rPr>
              <w:t>其他费</w:t>
            </w:r>
          </w:p>
        </w:tc>
        <w:tc>
          <w:tcPr>
            <w:tcW w:w="1420" w:type="dxa"/>
            <w:noWrap w:val="0"/>
            <w:vAlign w:val="center"/>
          </w:tcPr>
          <w:p>
            <w:pPr>
              <w:rPr>
                <w:rFonts w:ascii="宋体" w:cs="Times New Roman"/>
                <w:sz w:val="21"/>
                <w:szCs w:val="21"/>
              </w:rPr>
            </w:pPr>
          </w:p>
        </w:tc>
        <w:tc>
          <w:tcPr>
            <w:tcW w:w="1420" w:type="dxa"/>
            <w:noWrap w:val="0"/>
            <w:vAlign w:val="center"/>
          </w:tcPr>
          <w:p>
            <w:pPr>
              <w:rPr>
                <w:rFonts w:ascii="宋体" w:cs="Times New Roman"/>
                <w:sz w:val="21"/>
                <w:szCs w:val="21"/>
              </w:rPr>
            </w:pPr>
          </w:p>
        </w:tc>
        <w:tc>
          <w:tcPr>
            <w:tcW w:w="1421" w:type="dxa"/>
            <w:noWrap w:val="0"/>
            <w:vAlign w:val="center"/>
          </w:tcPr>
          <w:p>
            <w:pPr>
              <w:rPr>
                <w:rFonts w:ascii="宋体" w:cs="Times New Roman"/>
                <w:sz w:val="21"/>
                <w:szCs w:val="21"/>
              </w:rPr>
            </w:pPr>
          </w:p>
        </w:tc>
        <w:tc>
          <w:tcPr>
            <w:tcW w:w="1421" w:type="dxa"/>
            <w:noWrap w:val="0"/>
            <w:vAlign w:val="center"/>
          </w:tcPr>
          <w:p>
            <w:pPr>
              <w:rPr>
                <w:rFonts w:ascii="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rPr>
                <w:rFonts w:ascii="宋体" w:hAnsi="宋体" w:cs="宋体"/>
                <w:sz w:val="21"/>
                <w:szCs w:val="21"/>
              </w:rPr>
            </w:pPr>
            <w:r>
              <w:rPr>
                <w:rFonts w:ascii="宋体" w:hAnsi="宋体" w:cs="宋体"/>
                <w:sz w:val="21"/>
                <w:szCs w:val="21"/>
              </w:rPr>
              <w:t>3.1</w:t>
            </w:r>
          </w:p>
        </w:tc>
        <w:tc>
          <w:tcPr>
            <w:tcW w:w="1881" w:type="dxa"/>
            <w:noWrap w:val="0"/>
            <w:vAlign w:val="center"/>
          </w:tcPr>
          <w:p>
            <w:pPr>
              <w:rPr>
                <w:rFonts w:ascii="宋体" w:cs="Times New Roman"/>
                <w:sz w:val="21"/>
                <w:szCs w:val="21"/>
              </w:rPr>
            </w:pPr>
            <w:r>
              <w:rPr>
                <w:rFonts w:hint="eastAsia" w:ascii="宋体" w:hAnsi="宋体" w:cs="宋体"/>
                <w:sz w:val="21"/>
                <w:szCs w:val="21"/>
              </w:rPr>
              <w:t>化验费</w:t>
            </w:r>
          </w:p>
        </w:tc>
        <w:tc>
          <w:tcPr>
            <w:tcW w:w="1420" w:type="dxa"/>
            <w:noWrap w:val="0"/>
            <w:vAlign w:val="center"/>
          </w:tcPr>
          <w:p>
            <w:pPr>
              <w:rPr>
                <w:rFonts w:ascii="宋体" w:cs="Times New Roman"/>
                <w:sz w:val="21"/>
                <w:szCs w:val="21"/>
              </w:rPr>
            </w:pPr>
            <w:r>
              <w:rPr>
                <w:rFonts w:hint="eastAsia" w:ascii="宋体" w:hAnsi="宋体" w:cs="宋体"/>
                <w:sz w:val="21"/>
                <w:szCs w:val="21"/>
              </w:rPr>
              <w:t>单次清洗</w:t>
            </w:r>
          </w:p>
        </w:tc>
        <w:tc>
          <w:tcPr>
            <w:tcW w:w="1420" w:type="dxa"/>
            <w:noWrap w:val="0"/>
            <w:vAlign w:val="center"/>
          </w:tcPr>
          <w:p>
            <w:pP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1421" w:type="dxa"/>
            <w:noWrap w:val="0"/>
            <w:vAlign w:val="center"/>
          </w:tcPr>
          <w:p>
            <w:pPr>
              <w:rPr>
                <w:rFonts w:ascii="宋体" w:hAnsi="宋体" w:cs="宋体"/>
                <w:sz w:val="21"/>
                <w:szCs w:val="21"/>
              </w:rPr>
            </w:pPr>
          </w:p>
        </w:tc>
        <w:tc>
          <w:tcPr>
            <w:tcW w:w="1421" w:type="dxa"/>
            <w:noWrap w:val="0"/>
            <w:vAlign w:val="center"/>
          </w:tcPr>
          <w:p>
            <w:pPr>
              <w:rPr>
                <w:rFonts w:asci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rPr>
                <w:rFonts w:hint="eastAsia" w:ascii="宋体" w:hAnsi="宋体" w:eastAsia="宋体" w:cs="宋体"/>
                <w:sz w:val="21"/>
                <w:szCs w:val="21"/>
                <w:lang w:val="en-US" w:eastAsia="zh-CN"/>
              </w:rPr>
            </w:pPr>
            <w:r>
              <w:rPr>
                <w:rFonts w:ascii="宋体" w:hAnsi="宋体" w:cs="宋体"/>
                <w:sz w:val="21"/>
                <w:szCs w:val="21"/>
              </w:rPr>
              <w:t>3.</w:t>
            </w:r>
            <w:r>
              <w:rPr>
                <w:rFonts w:hint="eastAsia" w:ascii="宋体" w:hAnsi="宋体" w:cs="宋体"/>
                <w:sz w:val="21"/>
                <w:szCs w:val="21"/>
                <w:lang w:val="en-US" w:eastAsia="zh-CN"/>
              </w:rPr>
              <w:t>2</w:t>
            </w:r>
          </w:p>
        </w:tc>
        <w:tc>
          <w:tcPr>
            <w:tcW w:w="1881" w:type="dxa"/>
            <w:noWrap w:val="0"/>
            <w:vAlign w:val="center"/>
          </w:tcPr>
          <w:p>
            <w:pPr>
              <w:rPr>
                <w:rFonts w:ascii="宋体" w:cs="Times New Roman"/>
                <w:sz w:val="21"/>
                <w:szCs w:val="21"/>
              </w:rPr>
            </w:pPr>
            <w:r>
              <w:rPr>
                <w:rFonts w:hint="eastAsia" w:ascii="宋体" w:hAnsi="宋体" w:cs="宋体"/>
                <w:sz w:val="21"/>
                <w:szCs w:val="21"/>
                <w:lang w:val="en-US" w:eastAsia="zh-CN"/>
              </w:rPr>
              <w:t>废液处理及</w:t>
            </w:r>
            <w:r>
              <w:rPr>
                <w:rFonts w:hint="eastAsia" w:ascii="宋体" w:hAnsi="宋体" w:cs="宋体"/>
                <w:sz w:val="21"/>
                <w:szCs w:val="21"/>
              </w:rPr>
              <w:t>运输</w:t>
            </w:r>
          </w:p>
        </w:tc>
        <w:tc>
          <w:tcPr>
            <w:tcW w:w="1420" w:type="dxa"/>
            <w:noWrap w:val="0"/>
            <w:vAlign w:val="center"/>
          </w:tcPr>
          <w:p>
            <w:pPr>
              <w:rPr>
                <w:rFonts w:ascii="宋体" w:cs="Times New Roman"/>
                <w:sz w:val="21"/>
                <w:szCs w:val="21"/>
              </w:rPr>
            </w:pPr>
            <w:r>
              <w:rPr>
                <w:rFonts w:hint="eastAsia" w:ascii="宋体" w:hAnsi="宋体" w:cs="宋体"/>
                <w:sz w:val="21"/>
                <w:szCs w:val="21"/>
              </w:rPr>
              <w:t>单次清洗</w:t>
            </w:r>
          </w:p>
        </w:tc>
        <w:tc>
          <w:tcPr>
            <w:tcW w:w="1420" w:type="dxa"/>
            <w:noWrap w:val="0"/>
            <w:vAlign w:val="center"/>
          </w:tcPr>
          <w:p>
            <w:pP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1421" w:type="dxa"/>
            <w:noWrap w:val="0"/>
            <w:vAlign w:val="center"/>
          </w:tcPr>
          <w:p>
            <w:pPr>
              <w:rPr>
                <w:rFonts w:ascii="宋体" w:hAnsi="宋体" w:cs="宋体"/>
                <w:sz w:val="21"/>
                <w:szCs w:val="21"/>
              </w:rPr>
            </w:pPr>
          </w:p>
        </w:tc>
        <w:tc>
          <w:tcPr>
            <w:tcW w:w="1421" w:type="dxa"/>
            <w:noWrap w:val="0"/>
            <w:vAlign w:val="center"/>
          </w:tcPr>
          <w:p>
            <w:pP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pPr>
              <w:rPr>
                <w:rFonts w:ascii="宋体" w:cs="Times New Roman"/>
                <w:sz w:val="21"/>
                <w:szCs w:val="21"/>
              </w:rPr>
            </w:pPr>
            <w:r>
              <w:rPr>
                <w:rFonts w:hint="eastAsia" w:ascii="宋体" w:hAnsi="宋体" w:cs="宋体"/>
                <w:sz w:val="21"/>
                <w:szCs w:val="21"/>
              </w:rPr>
              <w:t>合计</w:t>
            </w:r>
          </w:p>
        </w:tc>
        <w:tc>
          <w:tcPr>
            <w:tcW w:w="7563" w:type="dxa"/>
            <w:gridSpan w:val="5"/>
            <w:noWrap w:val="0"/>
            <w:vAlign w:val="center"/>
          </w:tcPr>
          <w:p>
            <w:pPr>
              <w:rPr>
                <w:rFonts w:ascii="宋体" w:cs="宋体"/>
                <w:sz w:val="21"/>
                <w:szCs w:val="21"/>
              </w:rPr>
            </w:pPr>
          </w:p>
        </w:tc>
      </w:tr>
    </w:tbl>
    <w:p>
      <w:pPr>
        <w:pStyle w:val="4"/>
        <w:spacing w:before="120" w:after="120" w:line="415" w:lineRule="auto"/>
        <w:rPr>
          <w:rFonts w:hint="eastAsia" w:ascii="宋体" w:hAnsi="宋体" w:eastAsia="宋体"/>
          <w:sz w:val="28"/>
          <w:szCs w:val="28"/>
          <w:lang w:val="en-US" w:eastAsia="zh-CN"/>
        </w:rPr>
      </w:pPr>
      <w:bookmarkStart w:id="4" w:name="_Toc27556"/>
      <w:bookmarkStart w:id="5" w:name="_Toc356478191"/>
      <w:r>
        <w:rPr>
          <w:rFonts w:hint="eastAsia" w:ascii="宋体" w:hAnsi="宋体" w:eastAsia="宋体" w:cs="Times New Roman"/>
          <w:sz w:val="28"/>
          <w:szCs w:val="28"/>
          <w:lang w:val="en-US" w:eastAsia="zh-CN"/>
        </w:rPr>
        <w:t>4.</w:t>
      </w:r>
      <w:r>
        <w:rPr>
          <w:rFonts w:hint="eastAsia" w:ascii="宋体" w:hAnsi="宋体" w:eastAsia="宋体"/>
          <w:sz w:val="28"/>
          <w:szCs w:val="28"/>
          <w:lang w:val="en-US" w:eastAsia="zh-CN"/>
        </w:rPr>
        <w:t>人员资质要求</w:t>
      </w:r>
      <w:bookmarkEnd w:id="4"/>
    </w:p>
    <w:p>
      <w:pPr>
        <w:tabs>
          <w:tab w:val="left" w:pos="0"/>
          <w:tab w:val="left" w:pos="525"/>
        </w:tabs>
        <w:spacing w:line="360" w:lineRule="auto"/>
        <w:ind w:firstLine="420"/>
        <w:rPr>
          <w:rFonts w:hint="eastAsia" w:ascii="宋体" w:hAnsi="宋体" w:eastAsia="宋体" w:cs="Times New Roman"/>
          <w:sz w:val="21"/>
          <w:szCs w:val="21"/>
          <w:lang w:val="en-US" w:eastAsia="zh-CN"/>
        </w:rPr>
      </w:pPr>
      <w:r>
        <w:rPr>
          <w:rFonts w:hint="eastAsia" w:ascii="宋体" w:hAnsi="宋体" w:cs="Times New Roman"/>
          <w:sz w:val="21"/>
          <w:szCs w:val="21"/>
          <w:lang w:val="en-US" w:eastAsia="zh-CN"/>
        </w:rPr>
        <w:t>4</w:t>
      </w:r>
      <w:r>
        <w:rPr>
          <w:rFonts w:hint="eastAsia" w:ascii="宋体" w:hAnsi="宋体" w:eastAsia="宋体" w:cs="Times New Roman"/>
          <w:sz w:val="21"/>
          <w:szCs w:val="21"/>
          <w:lang w:val="en-US" w:eastAsia="zh-CN"/>
        </w:rPr>
        <w:t>.1投标方推荐的项目经理须为投标单位正式员工（以劳动合同、社保证明为准并提供复印件）应具有丰富的相关专业技术知识、管理经验和责任性</w:t>
      </w:r>
      <w:r>
        <w:rPr>
          <w:rFonts w:hint="eastAsia" w:ascii="宋体" w:hAnsi="宋体" w:cs="Times New Roman"/>
          <w:sz w:val="21"/>
          <w:szCs w:val="21"/>
          <w:lang w:val="en-US" w:eastAsia="zh-CN"/>
        </w:rPr>
        <w:t>，高中</w:t>
      </w:r>
      <w:r>
        <w:rPr>
          <w:rFonts w:hint="eastAsia" w:ascii="宋体" w:hAnsi="宋体" w:eastAsia="宋体" w:cs="Times New Roman"/>
          <w:sz w:val="21"/>
          <w:szCs w:val="21"/>
          <w:lang w:val="en-US" w:eastAsia="zh-CN"/>
        </w:rPr>
        <w:t>及以上学历；现场项目经理1名，项目副经理1名</w:t>
      </w:r>
      <w:r>
        <w:rPr>
          <w:rFonts w:hint="eastAsia" w:ascii="宋体" w:hAnsi="宋体" w:eastAsia="宋体" w:cs="Times New Roman"/>
          <w:sz w:val="21"/>
          <w:szCs w:val="21"/>
        </w:rPr>
        <w:t>（</w:t>
      </w:r>
      <w:r>
        <w:rPr>
          <w:rFonts w:hint="eastAsia" w:ascii="宋体" w:hAnsi="宋体" w:eastAsia="宋体" w:cs="Times New Roman"/>
          <w:sz w:val="21"/>
          <w:szCs w:val="21"/>
          <w:lang w:val="en-US" w:eastAsia="zh-CN"/>
        </w:rPr>
        <w:t>可由</w:t>
      </w:r>
      <w:r>
        <w:rPr>
          <w:rFonts w:hint="eastAsia" w:ascii="宋体" w:hAnsi="宋体" w:eastAsia="宋体" w:cs="Times New Roman"/>
          <w:sz w:val="21"/>
          <w:szCs w:val="21"/>
        </w:rPr>
        <w:t>技术负责人</w:t>
      </w:r>
      <w:r>
        <w:rPr>
          <w:rFonts w:hint="eastAsia" w:ascii="宋体" w:hAnsi="宋体" w:eastAsia="宋体" w:cs="Times New Roman"/>
          <w:sz w:val="21"/>
          <w:szCs w:val="21"/>
          <w:lang w:val="en-US" w:eastAsia="zh-CN"/>
        </w:rPr>
        <w:t>兼职</w:t>
      </w:r>
      <w:r>
        <w:rPr>
          <w:rFonts w:hint="eastAsia" w:ascii="宋体" w:hAnsi="宋体" w:eastAsia="宋体" w:cs="Times New Roman"/>
          <w:sz w:val="21"/>
          <w:szCs w:val="21"/>
        </w:rPr>
        <w:t>）</w:t>
      </w:r>
      <w:r>
        <w:rPr>
          <w:rFonts w:hint="eastAsia" w:ascii="宋体" w:hAnsi="宋体" w:eastAsia="宋体" w:cs="Times New Roman"/>
          <w:sz w:val="21"/>
          <w:szCs w:val="21"/>
          <w:lang w:val="en-US" w:eastAsia="zh-CN"/>
        </w:rPr>
        <w:t>，每月在现场的工作时间不得低于当月工作日天数。</w:t>
      </w:r>
    </w:p>
    <w:p>
      <w:pPr>
        <w:tabs>
          <w:tab w:val="left" w:pos="0"/>
          <w:tab w:val="left" w:pos="525"/>
        </w:tabs>
        <w:spacing w:line="360" w:lineRule="auto"/>
        <w:ind w:firstLine="420"/>
        <w:rPr>
          <w:rFonts w:hint="eastAsia" w:ascii="宋体" w:hAnsi="宋体" w:eastAsia="宋体" w:cs="Times New Roman"/>
          <w:sz w:val="21"/>
          <w:szCs w:val="21"/>
          <w:lang w:val="en-US" w:eastAsia="zh-CN"/>
        </w:rPr>
      </w:pPr>
      <w:r>
        <w:rPr>
          <w:rFonts w:hint="eastAsia" w:ascii="宋体" w:hAnsi="宋体" w:cs="Times New Roman"/>
          <w:sz w:val="21"/>
          <w:szCs w:val="21"/>
          <w:lang w:val="en-US" w:eastAsia="zh-CN"/>
        </w:rPr>
        <w:t>4</w:t>
      </w:r>
      <w:r>
        <w:rPr>
          <w:rFonts w:hint="eastAsia" w:ascii="宋体" w:hAnsi="宋体" w:eastAsia="宋体" w:cs="Times New Roman"/>
          <w:sz w:val="21"/>
          <w:szCs w:val="21"/>
          <w:lang w:val="en-US" w:eastAsia="zh-CN"/>
        </w:rPr>
        <w:t>.2投标方推荐的项目技术负责人须为投标单位正式员工（以劳动合同、社保证明为准并提供复印件）应具有丰富的相关专业技术知识、管理经验和责任性</w:t>
      </w:r>
      <w:r>
        <w:rPr>
          <w:rFonts w:hint="eastAsia" w:ascii="宋体" w:hAnsi="宋体" w:cs="Times New Roman"/>
          <w:sz w:val="21"/>
          <w:szCs w:val="21"/>
          <w:lang w:val="en-US" w:eastAsia="zh-CN"/>
        </w:rPr>
        <w:t>高中</w:t>
      </w:r>
      <w:r>
        <w:rPr>
          <w:rFonts w:hint="eastAsia" w:ascii="宋体" w:hAnsi="宋体" w:eastAsia="宋体" w:cs="Times New Roman"/>
          <w:sz w:val="21"/>
          <w:szCs w:val="21"/>
          <w:lang w:val="en-US" w:eastAsia="zh-CN"/>
        </w:rPr>
        <w:t>及以上学历；技术负责人1名，每月在现场的工作时间不得低于当月工作日天数。</w:t>
      </w:r>
    </w:p>
    <w:p>
      <w:pPr>
        <w:tabs>
          <w:tab w:val="left" w:pos="0"/>
          <w:tab w:val="left" w:pos="525"/>
        </w:tabs>
        <w:spacing w:line="360" w:lineRule="auto"/>
        <w:ind w:firstLine="420"/>
        <w:rPr>
          <w:rFonts w:hint="eastAsia" w:ascii="宋体" w:hAnsi="宋体" w:eastAsia="宋体" w:cs="Times New Roman"/>
          <w:sz w:val="21"/>
          <w:szCs w:val="21"/>
          <w:lang w:val="en-US" w:eastAsia="zh-CN"/>
        </w:rPr>
      </w:pPr>
      <w:r>
        <w:rPr>
          <w:rFonts w:hint="eastAsia" w:ascii="宋体" w:hAnsi="宋体" w:cs="Times New Roman"/>
          <w:sz w:val="21"/>
          <w:szCs w:val="21"/>
          <w:lang w:val="en-US" w:eastAsia="zh-CN"/>
        </w:rPr>
        <w:t>4</w:t>
      </w:r>
      <w:r>
        <w:rPr>
          <w:rFonts w:hint="eastAsia" w:ascii="宋体" w:hAnsi="宋体" w:eastAsia="宋体" w:cs="Times New Roman"/>
          <w:sz w:val="21"/>
          <w:szCs w:val="21"/>
          <w:lang w:val="en-US" w:eastAsia="zh-CN"/>
        </w:rPr>
        <w:t>.3投标方推荐的项目安全员须为投标单位正式员工（以劳动合同、社保证明为准并提供复印件）应具有丰富的相关专业技术知识、管理经验和责任性，</w:t>
      </w:r>
      <w:r>
        <w:rPr>
          <w:rFonts w:hint="eastAsia" w:ascii="宋体" w:hAnsi="宋体" w:cs="Times New Roman"/>
          <w:sz w:val="21"/>
          <w:szCs w:val="21"/>
          <w:lang w:val="en-US" w:eastAsia="zh-CN"/>
        </w:rPr>
        <w:t>高中</w:t>
      </w:r>
      <w:r>
        <w:rPr>
          <w:rFonts w:hint="eastAsia" w:ascii="宋体" w:hAnsi="宋体" w:eastAsia="宋体" w:cs="Times New Roman"/>
          <w:sz w:val="21"/>
          <w:szCs w:val="21"/>
          <w:lang w:val="en-US" w:eastAsia="zh-CN"/>
        </w:rPr>
        <w:t>及以上学历；人员不少于1名，每月在现场的工作时间不得低于当月工作日天数。</w:t>
      </w:r>
    </w:p>
    <w:p>
      <w:pPr>
        <w:tabs>
          <w:tab w:val="left" w:pos="0"/>
          <w:tab w:val="left" w:pos="525"/>
        </w:tabs>
        <w:spacing w:line="360" w:lineRule="auto"/>
        <w:ind w:firstLine="420"/>
        <w:rPr>
          <w:rFonts w:hint="eastAsia" w:ascii="宋体" w:hAnsi="宋体" w:eastAsia="宋体" w:cs="Times New Roman"/>
          <w:sz w:val="21"/>
          <w:szCs w:val="21"/>
        </w:rPr>
      </w:pPr>
      <w:r>
        <w:rPr>
          <w:rFonts w:hint="eastAsia" w:ascii="宋体" w:hAnsi="宋体" w:cs="Times New Roman"/>
          <w:sz w:val="21"/>
          <w:szCs w:val="21"/>
          <w:lang w:val="en-US" w:eastAsia="zh-CN"/>
        </w:rPr>
        <w:t>4</w:t>
      </w:r>
      <w:r>
        <w:rPr>
          <w:rFonts w:hint="eastAsia" w:ascii="宋体" w:hAnsi="宋体" w:eastAsia="宋体" w:cs="Times New Roman"/>
          <w:sz w:val="21"/>
          <w:szCs w:val="21"/>
          <w:lang w:val="en-US" w:eastAsia="zh-CN"/>
        </w:rPr>
        <w:t>.4投标方推荐的作业人员年龄需符合劳动法，禁止55周岁以上男性、45周岁以上女性进入施工现场从事繁重体力劳动或其他影响身体健康以及危险性、风险性高的特殊工作，特种作业人员需持证上岗。作业人员须有保险。</w:t>
      </w:r>
    </w:p>
    <w:p>
      <w:pPr>
        <w:pStyle w:val="4"/>
        <w:spacing w:before="120" w:after="120" w:line="415" w:lineRule="auto"/>
        <w:rPr>
          <w:rFonts w:hint="eastAsia" w:ascii="宋体" w:hAnsi="宋体" w:eastAsia="宋体"/>
          <w:sz w:val="28"/>
          <w:szCs w:val="28"/>
        </w:rPr>
      </w:pPr>
      <w:r>
        <w:rPr>
          <w:rFonts w:hint="eastAsia" w:ascii="宋体" w:hAnsi="宋体" w:eastAsia="宋体"/>
          <w:sz w:val="28"/>
          <w:szCs w:val="28"/>
          <w:lang w:val="en-US" w:eastAsia="zh-CN"/>
        </w:rPr>
        <w:t>5</w:t>
      </w:r>
      <w:r>
        <w:rPr>
          <w:rFonts w:hint="eastAsia" w:ascii="宋体" w:hAnsi="宋体" w:eastAsia="宋体"/>
          <w:sz w:val="28"/>
          <w:szCs w:val="28"/>
        </w:rPr>
        <w:t>.施工时间要求</w:t>
      </w:r>
      <w:bookmarkEnd w:id="5"/>
    </w:p>
    <w:p>
      <w:pPr>
        <w:tabs>
          <w:tab w:val="left" w:pos="0"/>
          <w:tab w:val="left" w:pos="525"/>
        </w:tabs>
        <w:spacing w:line="360" w:lineRule="auto"/>
        <w:ind w:firstLine="420"/>
        <w:rPr>
          <w:rFonts w:hint="eastAsia" w:ascii="宋体" w:hAnsi="宋体"/>
          <w:sz w:val="21"/>
          <w:szCs w:val="21"/>
        </w:rPr>
      </w:pPr>
      <w:r>
        <w:rPr>
          <w:rFonts w:hint="eastAsia" w:ascii="宋体" w:hAnsi="宋体"/>
          <w:sz w:val="21"/>
          <w:szCs w:val="21"/>
          <w:lang w:val="en-US" w:eastAsia="zh-CN"/>
        </w:rPr>
        <w:t>化学清洗工作计划在2026年3、4号机组检修期间，预计检修开工时间分别为2026年4月1日、2026年9月16日，检修工期分别为75天、70天，实际进度根据检修的具体情况进行。</w:t>
      </w:r>
      <w:r>
        <w:rPr>
          <w:rFonts w:hint="eastAsia" w:ascii="宋体" w:hAnsi="宋体"/>
          <w:sz w:val="21"/>
          <w:szCs w:val="21"/>
        </w:rPr>
        <w:t>投标方应根据招标方要求在规定的截止日期前完成</w:t>
      </w:r>
      <w:r>
        <w:rPr>
          <w:rFonts w:hint="eastAsia" w:ascii="宋体" w:hAnsi="宋体"/>
          <w:sz w:val="21"/>
          <w:szCs w:val="21"/>
          <w:lang w:eastAsia="zh-CN"/>
        </w:rPr>
        <w:t>3、4</w:t>
      </w:r>
      <w:r>
        <w:rPr>
          <w:rFonts w:hint="eastAsia" w:ascii="宋体" w:hAnsi="宋体"/>
          <w:sz w:val="21"/>
          <w:szCs w:val="21"/>
          <w:lang w:val="en-US" w:eastAsia="zh-CN"/>
        </w:rPr>
        <w:t>机组锅</w:t>
      </w:r>
      <w:r>
        <w:rPr>
          <w:rFonts w:hint="eastAsia" w:ascii="宋体" w:hAnsi="宋体"/>
          <w:sz w:val="21"/>
          <w:szCs w:val="21"/>
        </w:rPr>
        <w:t>炉的清洗工作，截止日期由招标方确定并提前20天通知投标方，如由于投标方化学清洗原因影响招标方检修工期，扣除投标方履约保证金，并按进度考核办法进行考核（具体开、竣工日期将根据检修进度由双方协商确定）。投标方应根据招标方要求按时提供清洗后的现场技术服务，保证机组按时启动。</w:t>
      </w:r>
    </w:p>
    <w:p>
      <w:pPr>
        <w:pStyle w:val="4"/>
        <w:spacing w:before="120" w:after="120" w:line="415" w:lineRule="auto"/>
        <w:rPr>
          <w:rFonts w:hint="eastAsia" w:ascii="宋体" w:hAnsi="宋体" w:eastAsia="宋体"/>
          <w:sz w:val="28"/>
          <w:szCs w:val="28"/>
        </w:rPr>
      </w:pPr>
      <w:bookmarkStart w:id="6" w:name="_Toc356478192"/>
      <w:r>
        <w:rPr>
          <w:rFonts w:hint="eastAsia" w:ascii="宋体" w:hAnsi="宋体" w:eastAsia="宋体"/>
          <w:sz w:val="28"/>
          <w:szCs w:val="28"/>
          <w:lang w:val="en-US" w:eastAsia="zh-CN"/>
        </w:rPr>
        <w:t>6</w:t>
      </w:r>
      <w:r>
        <w:rPr>
          <w:rFonts w:hint="eastAsia" w:ascii="宋体" w:hAnsi="宋体" w:eastAsia="宋体"/>
          <w:sz w:val="28"/>
          <w:szCs w:val="28"/>
        </w:rPr>
        <w:t>.资料要求：</w:t>
      </w:r>
      <w:bookmarkEnd w:id="6"/>
    </w:p>
    <w:p>
      <w:pPr>
        <w:spacing w:line="360" w:lineRule="auto"/>
        <w:ind w:firstLine="420"/>
        <w:rPr>
          <w:rFonts w:hint="eastAsia" w:ascii="宋体" w:hAnsi="宋体"/>
          <w:sz w:val="21"/>
          <w:szCs w:val="21"/>
        </w:rPr>
      </w:pPr>
      <w:r>
        <w:rPr>
          <w:rFonts w:hint="eastAsia" w:ascii="宋体" w:hAnsi="宋体"/>
          <w:sz w:val="21"/>
          <w:szCs w:val="21"/>
        </w:rPr>
        <w:t>提供《</w:t>
      </w:r>
      <w:r>
        <w:rPr>
          <w:rFonts w:hint="eastAsia" w:ascii="宋体" w:hAnsi="宋体"/>
          <w:sz w:val="21"/>
          <w:szCs w:val="21"/>
          <w:lang w:eastAsia="zh-CN"/>
        </w:rPr>
        <w:t>3、4</w:t>
      </w:r>
      <w:r>
        <w:rPr>
          <w:rFonts w:hint="eastAsia" w:ascii="宋体" w:hAnsi="宋体"/>
          <w:sz w:val="21"/>
          <w:szCs w:val="21"/>
          <w:lang w:val="en-US" w:eastAsia="zh-CN"/>
        </w:rPr>
        <w:t>号</w:t>
      </w:r>
      <w:r>
        <w:rPr>
          <w:rFonts w:hint="eastAsia" w:ascii="宋体" w:hAnsi="宋体"/>
          <w:sz w:val="21"/>
          <w:szCs w:val="21"/>
        </w:rPr>
        <w:t>锅炉化学清洗方案》、《</w:t>
      </w:r>
      <w:r>
        <w:rPr>
          <w:rFonts w:hint="eastAsia" w:ascii="宋体" w:hAnsi="宋体"/>
          <w:sz w:val="21"/>
          <w:szCs w:val="21"/>
          <w:lang w:eastAsia="zh-CN"/>
        </w:rPr>
        <w:t>3、4</w:t>
      </w:r>
      <w:r>
        <w:rPr>
          <w:rFonts w:hint="eastAsia" w:ascii="宋体" w:hAnsi="宋体"/>
          <w:sz w:val="21"/>
          <w:szCs w:val="21"/>
          <w:lang w:val="en-US" w:eastAsia="zh-CN"/>
        </w:rPr>
        <w:t>号</w:t>
      </w:r>
      <w:r>
        <w:rPr>
          <w:rFonts w:hint="eastAsia" w:ascii="宋体" w:hAnsi="宋体"/>
          <w:sz w:val="21"/>
          <w:szCs w:val="21"/>
        </w:rPr>
        <w:t>锅炉化学清洗后启动过程水汽品质优化控制方案》和《</w:t>
      </w:r>
      <w:r>
        <w:rPr>
          <w:rFonts w:hint="eastAsia" w:ascii="宋体" w:hAnsi="宋体"/>
          <w:sz w:val="21"/>
          <w:szCs w:val="21"/>
          <w:lang w:eastAsia="zh-CN"/>
        </w:rPr>
        <w:t>3、4</w:t>
      </w:r>
      <w:r>
        <w:rPr>
          <w:rFonts w:hint="eastAsia" w:ascii="宋体" w:hAnsi="宋体"/>
          <w:sz w:val="21"/>
          <w:szCs w:val="21"/>
          <w:lang w:val="en-US" w:eastAsia="zh-CN"/>
        </w:rPr>
        <w:t>号</w:t>
      </w:r>
      <w:r>
        <w:rPr>
          <w:rFonts w:hint="eastAsia" w:ascii="宋体" w:hAnsi="宋体"/>
          <w:sz w:val="21"/>
          <w:szCs w:val="21"/>
        </w:rPr>
        <w:t>锅炉化学清洗总结报告》各4份。开、竣工报告及其它过程控制文件执行招标方项目管理规定和档案管理标准。</w:t>
      </w:r>
    </w:p>
    <w:p>
      <w:pPr>
        <w:pStyle w:val="4"/>
        <w:spacing w:before="120" w:after="120" w:line="415" w:lineRule="auto"/>
        <w:rPr>
          <w:rFonts w:hint="eastAsia" w:ascii="宋体" w:hAnsi="宋体" w:eastAsia="宋体"/>
          <w:sz w:val="28"/>
          <w:szCs w:val="28"/>
        </w:rPr>
      </w:pPr>
      <w:bookmarkStart w:id="7" w:name="_Toc356478193"/>
      <w:r>
        <w:rPr>
          <w:rFonts w:hint="eastAsia" w:ascii="宋体" w:hAnsi="宋体" w:eastAsia="宋体"/>
          <w:sz w:val="28"/>
          <w:szCs w:val="28"/>
          <w:lang w:val="en-US" w:eastAsia="zh-CN"/>
        </w:rPr>
        <w:t>7</w:t>
      </w:r>
      <w:r>
        <w:rPr>
          <w:rFonts w:hint="eastAsia" w:ascii="宋体" w:hAnsi="宋体" w:eastAsia="宋体"/>
          <w:sz w:val="28"/>
          <w:szCs w:val="28"/>
        </w:rPr>
        <w:t>.其它要求：</w:t>
      </w:r>
      <w:bookmarkEnd w:id="7"/>
      <w:r>
        <w:rPr>
          <w:rFonts w:hint="eastAsia" w:ascii="宋体" w:hAnsi="宋体" w:eastAsia="宋体"/>
          <w:sz w:val="28"/>
          <w:szCs w:val="28"/>
        </w:rPr>
        <w:t xml:space="preserve"> </w:t>
      </w:r>
    </w:p>
    <w:p>
      <w:pPr>
        <w:pStyle w:val="18"/>
        <w:spacing w:line="360" w:lineRule="auto"/>
        <w:rPr>
          <w:rFonts w:hint="eastAsia" w:hAnsi="宋体"/>
          <w:sz w:val="21"/>
          <w:szCs w:val="21"/>
        </w:rPr>
      </w:pPr>
      <w:r>
        <w:rPr>
          <w:rFonts w:hint="eastAsia" w:hAnsi="宋体"/>
          <w:sz w:val="21"/>
          <w:szCs w:val="21"/>
          <w:lang w:val="en-US" w:eastAsia="zh-CN"/>
        </w:rPr>
        <w:t>7</w:t>
      </w:r>
      <w:r>
        <w:rPr>
          <w:rFonts w:hint="eastAsia" w:hAnsi="宋体"/>
          <w:sz w:val="21"/>
          <w:szCs w:val="21"/>
        </w:rPr>
        <w:t>.1 本文件所涉及的标准如有最新版本，则执行最新标准。</w:t>
      </w:r>
    </w:p>
    <w:p>
      <w:pPr>
        <w:pStyle w:val="18"/>
        <w:spacing w:line="360" w:lineRule="auto"/>
        <w:rPr>
          <w:rFonts w:hint="eastAsia" w:hAnsi="宋体"/>
          <w:sz w:val="21"/>
          <w:szCs w:val="21"/>
        </w:rPr>
      </w:pPr>
      <w:r>
        <w:rPr>
          <w:rFonts w:hint="eastAsia" w:hAnsi="宋体"/>
          <w:sz w:val="21"/>
          <w:szCs w:val="21"/>
          <w:lang w:val="en-US" w:eastAsia="zh-CN"/>
        </w:rPr>
        <w:t>7</w:t>
      </w:r>
      <w:r>
        <w:rPr>
          <w:rFonts w:hint="eastAsia" w:hAnsi="宋体"/>
          <w:sz w:val="21"/>
          <w:szCs w:val="21"/>
        </w:rPr>
        <w:t>.2 未尽事宜，双方协商解决。</w:t>
      </w:r>
    </w:p>
    <w:p>
      <w:pPr>
        <w:pStyle w:val="4"/>
        <w:spacing w:before="120" w:after="120" w:line="415" w:lineRule="auto"/>
      </w:pPr>
      <w:r>
        <w:rPr>
          <w:rFonts w:hint="eastAsia" w:ascii="宋体" w:hAnsi="宋体"/>
          <w:sz w:val="28"/>
          <w:szCs w:val="28"/>
          <w:lang w:val="en-US" w:eastAsia="zh-CN"/>
        </w:rPr>
        <w:t>8</w:t>
      </w:r>
      <w:r>
        <w:rPr>
          <w:rFonts w:hint="eastAsia" w:ascii="宋体" w:hAnsi="宋体" w:eastAsia="宋体"/>
          <w:sz w:val="28"/>
          <w:szCs w:val="28"/>
        </w:rPr>
        <w:t>.</w:t>
      </w:r>
      <w:r>
        <w:rPr>
          <w:rFonts w:hint="eastAsia" w:ascii="宋体" w:hAnsi="宋体" w:eastAsia="宋体"/>
          <w:sz w:val="28"/>
          <w:szCs w:val="28"/>
          <w:lang w:val="en-US" w:eastAsia="zh-CN"/>
        </w:rPr>
        <w:t>考核条款</w:t>
      </w:r>
      <w:r>
        <w:rPr>
          <w:rFonts w:hint="eastAsia" w:ascii="宋体" w:hAnsi="宋体" w:eastAsia="宋体"/>
          <w:sz w:val="28"/>
          <w:szCs w:val="28"/>
        </w:rPr>
        <w:t>：</w:t>
      </w:r>
    </w:p>
    <w:p>
      <w:pPr>
        <w:spacing w:line="360" w:lineRule="auto"/>
        <w:rPr>
          <w:rFonts w:hint="default" w:eastAsia="宋体"/>
          <w:lang w:val="en-US" w:eastAsia="zh-CN"/>
        </w:rPr>
      </w:pPr>
      <w:r>
        <w:rPr>
          <w:rFonts w:hint="eastAsia"/>
          <w:lang w:val="en-US" w:eastAsia="zh-CN"/>
        </w:rPr>
        <w:t>8.1</w:t>
      </w:r>
      <w:r>
        <w:rPr>
          <w:rFonts w:hint="eastAsia" w:eastAsia="宋体"/>
          <w:lang w:val="en-US" w:eastAsia="zh-CN"/>
        </w:rPr>
        <w:t>酸洗期间发生由于酸洗单位引起的质量问题(不仅包括欠洗及过洗等），扣合同款</w:t>
      </w:r>
      <w:r>
        <w:rPr>
          <w:rFonts w:hint="eastAsia"/>
          <w:lang w:val="en-US" w:eastAsia="zh-CN"/>
        </w:rPr>
        <w:t>1</w:t>
      </w:r>
      <w:r>
        <w:rPr>
          <w:rFonts w:hint="eastAsia" w:eastAsia="宋体"/>
          <w:lang w:val="en-US" w:eastAsia="zh-CN"/>
        </w:rPr>
        <w:t>0万元/台。</w:t>
      </w:r>
    </w:p>
    <w:p>
      <w:pPr>
        <w:spacing w:line="360" w:lineRule="auto"/>
        <w:rPr>
          <w:rFonts w:hint="default" w:eastAsia="宋体"/>
          <w:lang w:val="en-US" w:eastAsia="zh-CN"/>
        </w:rPr>
      </w:pPr>
      <w:r>
        <w:rPr>
          <w:rFonts w:hint="eastAsia" w:eastAsia="宋体"/>
          <w:lang w:val="en-US" w:eastAsia="zh-CN"/>
        </w:rPr>
        <w:t>8.</w:t>
      </w:r>
      <w:r>
        <w:rPr>
          <w:rFonts w:hint="eastAsia"/>
          <w:lang w:val="en-US" w:eastAsia="zh-CN"/>
        </w:rPr>
        <w:t>2</w:t>
      </w:r>
      <w:r>
        <w:rPr>
          <w:rFonts w:hint="eastAsia" w:eastAsia="宋体"/>
          <w:lang w:val="en-US" w:eastAsia="zh-CN"/>
        </w:rPr>
        <w:t>酸洗期间发生由于酸洗单位引起的环境污染事件，扣合同款</w:t>
      </w:r>
      <w:r>
        <w:rPr>
          <w:rFonts w:hint="eastAsia"/>
          <w:lang w:val="en-US" w:eastAsia="zh-CN"/>
        </w:rPr>
        <w:t>15</w:t>
      </w:r>
      <w:r>
        <w:rPr>
          <w:rFonts w:hint="eastAsia" w:eastAsia="宋体"/>
          <w:lang w:val="en-US" w:eastAsia="zh-CN"/>
        </w:rPr>
        <w:t>万元每次，由于酸洗单位引起的工期延误，每延期一天，扣合同款5万元。</w:t>
      </w:r>
    </w:p>
    <w:p>
      <w:pPr>
        <w:spacing w:line="360" w:lineRule="auto"/>
        <w:rPr>
          <w:rFonts w:hint="eastAsia" w:ascii="宋体" w:hAnsi="宋体" w:eastAsia="宋体" w:cs="Times New Roman"/>
          <w:sz w:val="21"/>
          <w:szCs w:val="21"/>
        </w:rPr>
      </w:pPr>
      <w:r>
        <w:rPr>
          <w:rFonts w:hint="eastAsia" w:ascii="宋体" w:hAnsi="宋体" w:eastAsia="宋体" w:cs="Times New Roman"/>
          <w:sz w:val="21"/>
          <w:szCs w:val="21"/>
          <w:lang w:val="en-US" w:eastAsia="zh-CN"/>
        </w:rPr>
        <w:t>8.</w:t>
      </w:r>
      <w:r>
        <w:rPr>
          <w:rFonts w:hint="eastAsia" w:ascii="宋体" w:hAnsi="宋体" w:cs="Times New Roman"/>
          <w:sz w:val="21"/>
          <w:szCs w:val="21"/>
          <w:lang w:val="en-US" w:eastAsia="zh-CN"/>
        </w:rPr>
        <w:t>3</w:t>
      </w:r>
      <w:r>
        <w:rPr>
          <w:rFonts w:hint="eastAsia" w:ascii="宋体" w:hAnsi="宋体" w:eastAsia="宋体" w:cs="Times New Roman"/>
          <w:sz w:val="21"/>
          <w:szCs w:val="21"/>
        </w:rPr>
        <w:t>本</w:t>
      </w:r>
      <w:r>
        <w:rPr>
          <w:rFonts w:hint="eastAsia" w:ascii="宋体" w:hAnsi="宋体" w:cs="Times New Roman"/>
          <w:sz w:val="21"/>
          <w:szCs w:val="21"/>
          <w:lang w:val="en-US" w:eastAsia="zh-CN"/>
        </w:rPr>
        <w:t>技术</w:t>
      </w:r>
      <w:r>
        <w:rPr>
          <w:rFonts w:hint="eastAsia" w:ascii="宋体" w:hAnsi="宋体" w:eastAsia="宋体" w:cs="Times New Roman"/>
          <w:sz w:val="21"/>
          <w:szCs w:val="21"/>
          <w:lang w:val="en-US" w:eastAsia="zh-CN"/>
        </w:rPr>
        <w:t>规范</w:t>
      </w:r>
      <w:r>
        <w:rPr>
          <w:rFonts w:hint="eastAsia" w:ascii="宋体" w:hAnsi="宋体" w:eastAsia="宋体" w:cs="Times New Roman"/>
          <w:sz w:val="21"/>
          <w:szCs w:val="21"/>
        </w:rPr>
        <w:t>书的安全管理和考核按照浙能集团新发布的《外包工程（项目）安全管理办法》相关要求和条款执行。</w:t>
      </w:r>
      <w:r>
        <w:rPr>
          <w:rFonts w:hint="eastAsia" w:ascii="宋体" w:hAnsi="宋体" w:eastAsia="宋体" w:cs="Times New Roman"/>
          <w:sz w:val="21"/>
          <w:szCs w:val="21"/>
          <w:lang w:val="en-US" w:eastAsia="zh-CN"/>
        </w:rPr>
        <w:t>乙方无法做好相关要求，且拒绝整改；甲方有权中止合同</w:t>
      </w:r>
      <w:r>
        <w:rPr>
          <w:rFonts w:hint="eastAsia" w:ascii="宋体" w:hAnsi="宋体" w:eastAsia="宋体" w:cs="Times New Roman"/>
          <w:sz w:val="21"/>
          <w:szCs w:val="21"/>
        </w:rPr>
        <w:t>。</w:t>
      </w:r>
    </w:p>
    <w:p>
      <w:pPr>
        <w:spacing w:line="360" w:lineRule="auto"/>
        <w:rPr>
          <w:rFonts w:hint="eastAsia" w:ascii="宋体" w:hAnsi="宋体" w:eastAsia="宋体" w:cs="Times New Roman"/>
          <w:sz w:val="21"/>
          <w:szCs w:val="21"/>
        </w:rPr>
      </w:pPr>
      <w:r>
        <w:rPr>
          <w:rFonts w:hint="eastAsia" w:ascii="宋体" w:hAnsi="宋体" w:eastAsia="宋体" w:cs="Times New Roman"/>
          <w:sz w:val="21"/>
          <w:szCs w:val="21"/>
          <w:lang w:val="en-US" w:eastAsia="zh-CN"/>
        </w:rPr>
        <w:t>8.</w:t>
      </w:r>
      <w:r>
        <w:rPr>
          <w:rFonts w:hint="eastAsia" w:ascii="宋体" w:hAnsi="宋体" w:cs="Times New Roman"/>
          <w:sz w:val="21"/>
          <w:szCs w:val="21"/>
          <w:lang w:val="en-US" w:eastAsia="zh-CN"/>
        </w:rPr>
        <w:t>4</w:t>
      </w:r>
      <w:r>
        <w:rPr>
          <w:rFonts w:hint="eastAsia" w:ascii="宋体" w:hAnsi="宋体" w:eastAsia="宋体" w:cs="Times New Roman"/>
          <w:sz w:val="21"/>
          <w:szCs w:val="21"/>
          <w:lang w:val="en-US" w:eastAsia="zh-CN"/>
        </w:rPr>
        <w:t>本</w:t>
      </w:r>
      <w:r>
        <w:rPr>
          <w:rFonts w:hint="eastAsia" w:ascii="宋体" w:hAnsi="宋体" w:cs="Times New Roman"/>
          <w:sz w:val="21"/>
          <w:szCs w:val="21"/>
          <w:lang w:val="en-US" w:eastAsia="zh-CN"/>
        </w:rPr>
        <w:t>技术规范书</w:t>
      </w:r>
      <w:r>
        <w:rPr>
          <w:rFonts w:hint="eastAsia" w:ascii="宋体" w:hAnsi="宋体" w:eastAsia="宋体" w:cs="Times New Roman"/>
          <w:sz w:val="21"/>
          <w:szCs w:val="21"/>
          <w:lang w:val="en-US" w:eastAsia="zh-CN"/>
        </w:rPr>
        <w:t>的各类考核内容按公司《外包工程安全管理》考核内容（见附录A）及</w:t>
      </w:r>
      <w:r>
        <w:rPr>
          <w:rFonts w:hint="eastAsia" w:ascii="宋体" w:hAnsi="宋体" w:cs="Times New Roman"/>
          <w:sz w:val="21"/>
          <w:szCs w:val="21"/>
          <w:lang w:val="en-US" w:eastAsia="zh-CN"/>
        </w:rPr>
        <w:t>浙能乐电</w:t>
      </w:r>
      <w:r>
        <w:rPr>
          <w:rFonts w:hint="eastAsia" w:ascii="宋体" w:hAnsi="宋体" w:eastAsia="宋体" w:cs="Times New Roman"/>
          <w:sz w:val="21"/>
          <w:szCs w:val="21"/>
          <w:lang w:val="en-US" w:eastAsia="zh-CN"/>
        </w:rPr>
        <w:t>设备管理部《检修质量及进度考核》（见附录B）考核规定执行，表内的“考核者”指的是招标方管理机构或人员。涉及生产现场考核内容按《生产现场考核标准》（见附录C）进行。</w:t>
      </w:r>
    </w:p>
    <w:p>
      <w:pPr>
        <w:spacing w:line="360" w:lineRule="auto"/>
        <w:rPr>
          <w:rFonts w:hint="eastAsia" w:ascii="宋体" w:hAnsi="宋体" w:eastAsia="宋体" w:cs="Times New Roman"/>
          <w:sz w:val="21"/>
          <w:szCs w:val="21"/>
        </w:rPr>
      </w:pPr>
      <w:r>
        <w:rPr>
          <w:rFonts w:hint="eastAsia" w:ascii="宋体" w:hAnsi="宋体" w:eastAsia="宋体" w:cs="Times New Roman"/>
          <w:sz w:val="21"/>
          <w:szCs w:val="21"/>
          <w:lang w:val="en-US" w:eastAsia="zh-CN"/>
        </w:rPr>
        <w:t>8.</w:t>
      </w:r>
      <w:r>
        <w:rPr>
          <w:rFonts w:hint="eastAsia" w:ascii="宋体" w:hAnsi="宋体" w:cs="Times New Roman"/>
          <w:sz w:val="21"/>
          <w:szCs w:val="21"/>
          <w:lang w:val="en-US" w:eastAsia="zh-CN"/>
        </w:rPr>
        <w:t>5</w:t>
      </w:r>
      <w:r>
        <w:rPr>
          <w:rFonts w:hint="eastAsia" w:ascii="宋体" w:hAnsi="宋体" w:eastAsia="宋体" w:cs="Times New Roman"/>
          <w:sz w:val="21"/>
          <w:szCs w:val="21"/>
        </w:rPr>
        <w:t>其他未尽事项，参照《承发包项目安全管理实施细则》、《个人安全绩效考核办法》等浙江浙能乐清发电有限责任公司相关制度</w:t>
      </w:r>
    </w:p>
    <w:p>
      <w:pPr>
        <w:pStyle w:val="188"/>
        <w:tabs>
          <w:tab w:val="clear" w:pos="6405"/>
        </w:tabs>
        <w:spacing w:before="0" w:after="0" w:line="300" w:lineRule="auto"/>
        <w:jc w:val="both"/>
        <w:rPr>
          <w:rFonts w:hint="eastAsia" w:ascii="宋体" w:hAnsi="宋体" w:eastAsia="宋体"/>
        </w:rPr>
      </w:pPr>
      <w:bookmarkStart w:id="8" w:name="_Toc356478194"/>
      <w:bookmarkStart w:id="9" w:name="_Toc301781352"/>
      <w:bookmarkStart w:id="10" w:name="_Toc304969755"/>
      <w:bookmarkStart w:id="11" w:name="_Toc304969547"/>
      <w:bookmarkStart w:id="12" w:name="_Toc304970297"/>
      <w:bookmarkStart w:id="13" w:name="_Toc304991128"/>
      <w:bookmarkStart w:id="14" w:name="_Toc304898541"/>
      <w:bookmarkStart w:id="15" w:name="_Toc307575564"/>
      <w:bookmarkStart w:id="20" w:name="_GoBack"/>
      <w:bookmarkEnd w:id="20"/>
    </w:p>
    <w:p>
      <w:pPr>
        <w:pStyle w:val="188"/>
        <w:numPr>
          <w:ilvl w:val="0"/>
          <w:numId w:val="2"/>
        </w:numPr>
        <w:spacing w:before="0" w:line="240" w:lineRule="exact"/>
        <w:ind w:left="0"/>
        <w:rPr>
          <w:rFonts w:hint="eastAsia" w:ascii="宋体" w:hAnsi="宋体" w:eastAsia="宋体"/>
          <w:sz w:val="21"/>
          <w:szCs w:val="21"/>
          <w:highlight w:val="none"/>
        </w:rPr>
      </w:pPr>
      <w:bookmarkStart w:id="16" w:name="_Toc517339300"/>
      <w:bookmarkEnd w:id="16"/>
      <w:bookmarkStart w:id="17" w:name="_Toc445977584"/>
      <w:bookmarkEnd w:id="17"/>
      <w:bookmarkStart w:id="18" w:name="_Toc454271757"/>
      <w:bookmarkEnd w:id="18"/>
      <w:bookmarkStart w:id="19" w:name="_Toc5239"/>
      <w:r>
        <w:rPr>
          <w:rFonts w:hint="eastAsia" w:asciiTheme="minorEastAsia" w:hAnsiTheme="minorEastAsia" w:eastAsiaTheme="minorEastAsia"/>
          <w:highlight w:val="none"/>
        </w:rPr>
        <w:t>《</w:t>
      </w:r>
      <w:r>
        <w:rPr>
          <w:rFonts w:cs="宋体" w:asciiTheme="minorEastAsia" w:hAnsiTheme="minorEastAsia" w:eastAsiaTheme="minorEastAsia"/>
          <w:color w:val="000000"/>
          <w:highlight w:val="none"/>
        </w:rPr>
        <w:t>外包单位安全考核明细表</w:t>
      </w:r>
      <w:r>
        <w:rPr>
          <w:rFonts w:hint="eastAsia" w:asciiTheme="minorEastAsia" w:hAnsiTheme="minorEastAsia" w:eastAsiaTheme="minorEastAsia"/>
          <w:highlight w:val="none"/>
        </w:rPr>
        <w:t>》</w:t>
      </w:r>
      <w:bookmarkEnd w:id="19"/>
    </w:p>
    <w:tbl>
      <w:tblPr>
        <w:tblStyle w:val="34"/>
        <w:tblW w:w="8336" w:type="dxa"/>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CellMar>
          <w:top w:w="0" w:type="dxa"/>
          <w:left w:w="108" w:type="dxa"/>
          <w:bottom w:w="0" w:type="dxa"/>
          <w:right w:w="108" w:type="dxa"/>
        </w:tblCellMar>
      </w:tblPr>
      <w:tblGrid>
        <w:gridCol w:w="784"/>
        <w:gridCol w:w="2300"/>
        <w:gridCol w:w="3294"/>
        <w:gridCol w:w="934"/>
        <w:gridCol w:w="1024"/>
      </w:tblGrid>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30" w:hRule="atLeast"/>
        </w:trPr>
        <w:tc>
          <w:tcPr>
            <w:tcW w:w="784" w:type="dxa"/>
            <w:tcBorders>
              <w:top w:val="single" w:color="000000" w:sz="12" w:space="0"/>
              <w:left w:val="single" w:color="000000" w:sz="12" w:space="0"/>
              <w:bottom w:val="single" w:color="000000" w:sz="8" w:space="0"/>
              <w:right w:val="single" w:color="000000" w:sz="8" w:space="0"/>
            </w:tcBorders>
            <w:noWrap w:val="0"/>
            <w:tcMar>
              <w:top w:w="15" w:type="dxa"/>
              <w:left w:w="15" w:type="dxa"/>
              <w:bottom w:w="0" w:type="dxa"/>
              <w:right w:w="15" w:type="dxa"/>
            </w:tcMa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b/>
                <w:color w:val="000000"/>
                <w:sz w:val="18"/>
                <w:szCs w:val="18"/>
                <w:highlight w:val="none"/>
              </w:rPr>
              <w:t>序号</w:t>
            </w:r>
          </w:p>
        </w:tc>
        <w:tc>
          <w:tcPr>
            <w:tcW w:w="2300" w:type="dxa"/>
            <w:tcBorders>
              <w:top w:val="single" w:color="000000" w:sz="12" w:space="0"/>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b/>
                <w:color w:val="000000"/>
                <w:sz w:val="18"/>
                <w:szCs w:val="18"/>
                <w:highlight w:val="none"/>
              </w:rPr>
              <w:t>违章考核条款内容</w:t>
            </w:r>
          </w:p>
        </w:tc>
        <w:tc>
          <w:tcPr>
            <w:tcW w:w="5252" w:type="dxa"/>
            <w:gridSpan w:val="3"/>
            <w:tcBorders>
              <w:top w:val="single" w:color="000000" w:sz="12" w:space="0"/>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b/>
                <w:color w:val="000000"/>
                <w:sz w:val="18"/>
                <w:szCs w:val="18"/>
                <w:highlight w:val="none"/>
              </w:rPr>
              <w:t>扣奖金额</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8336" w:type="dxa"/>
            <w:gridSpan w:val="5"/>
            <w:tcBorders>
              <w:top w:val="nil"/>
              <w:left w:val="single" w:color="000000" w:sz="12" w:space="0"/>
              <w:bottom w:val="single" w:color="000000" w:sz="8" w:space="0"/>
              <w:right w:val="single" w:color="000000" w:sz="12" w:space="0"/>
            </w:tcBorders>
            <w:noWrap w:val="0"/>
            <w:tcMar>
              <w:top w:w="15" w:type="dxa"/>
              <w:left w:w="15" w:type="dxa"/>
              <w:bottom w:w="0" w:type="dxa"/>
              <w:right w:w="15" w:type="dxa"/>
            </w:tcMa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b/>
                <w:color w:val="000000"/>
                <w:sz w:val="18"/>
                <w:szCs w:val="18"/>
                <w:highlight w:val="none"/>
              </w:rPr>
              <w:t>一、事故事件</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w:t>
            </w:r>
          </w:p>
        </w:tc>
        <w:tc>
          <w:tcPr>
            <w:tcW w:w="2300" w:type="dxa"/>
            <w:tcBorders>
              <w:top w:val="single" w:color="000000" w:sz="8" w:space="0"/>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发生设备考核障碍。</w:t>
            </w:r>
          </w:p>
        </w:tc>
        <w:tc>
          <w:tcPr>
            <w:tcW w:w="5252" w:type="dxa"/>
            <w:gridSpan w:val="3"/>
            <w:tcBorders>
              <w:top w:val="single" w:color="000000" w:sz="8" w:space="0"/>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w:t>
            </w:r>
            <w:r>
              <w:rPr>
                <w:rFonts w:hint="default" w:ascii="Times New Roman" w:hAnsi="Times New Roman" w:eastAsia="Calibri" w:cs="Times New Roman"/>
                <w:color w:val="000000"/>
                <w:sz w:val="18"/>
                <w:szCs w:val="18"/>
                <w:highlight w:val="none"/>
              </w:rPr>
              <w:t>50000</w:t>
            </w:r>
            <w:r>
              <w:rPr>
                <w:rFonts w:hint="default" w:ascii="Times New Roman" w:hAnsi="Times New Roman" w:eastAsia="宋体" w:cs="Times New Roman"/>
                <w:color w:val="000000"/>
                <w:sz w:val="18"/>
                <w:szCs w:val="18"/>
                <w:highlight w:val="none"/>
              </w:rPr>
              <w:t>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发生设备一类障碍。</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w:t>
            </w:r>
            <w:r>
              <w:rPr>
                <w:rFonts w:hint="default" w:ascii="Times New Roman" w:hAnsi="Times New Roman" w:eastAsia="Calibri" w:cs="Times New Roman"/>
                <w:color w:val="000000"/>
                <w:sz w:val="18"/>
                <w:szCs w:val="18"/>
                <w:highlight w:val="none"/>
              </w:rPr>
              <w:t>20000</w:t>
            </w:r>
            <w:r>
              <w:rPr>
                <w:rFonts w:hint="default" w:ascii="Times New Roman" w:hAnsi="Times New Roman" w:eastAsia="宋体" w:cs="Times New Roman"/>
                <w:color w:val="000000"/>
                <w:sz w:val="18"/>
                <w:szCs w:val="18"/>
                <w:highlight w:val="none"/>
              </w:rPr>
              <w:t>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发生设备二类障碍。</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扣款10000元。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发生设备异常事件。</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扣款5000元。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发生伤亡事故</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参照</w:t>
            </w:r>
            <w:r>
              <w:rPr>
                <w:rFonts w:hint="eastAsia" w:cs="Times New Roman"/>
                <w:color w:val="000000"/>
                <w:sz w:val="18"/>
                <w:szCs w:val="18"/>
                <w:highlight w:val="none"/>
                <w:lang w:eastAsia="zh-CN"/>
              </w:rPr>
              <w:t>《</w:t>
            </w:r>
            <w:r>
              <w:rPr>
                <w:rFonts w:hint="eastAsia" w:cs="Times New Roman"/>
                <w:color w:val="000000"/>
                <w:sz w:val="18"/>
                <w:szCs w:val="18"/>
                <w:highlight w:val="none"/>
                <w:lang w:val="en-US" w:eastAsia="zh-CN"/>
              </w:rPr>
              <w:t>承发包项目安全管理实施细则</w:t>
            </w:r>
            <w:r>
              <w:rPr>
                <w:rFonts w:hint="eastAsia" w:cs="Times New Roman"/>
                <w:color w:val="000000"/>
                <w:sz w:val="18"/>
                <w:szCs w:val="18"/>
                <w:highlight w:val="none"/>
                <w:lang w:eastAsia="zh-CN"/>
              </w:rPr>
              <w:t>》</w:t>
            </w:r>
            <w:r>
              <w:rPr>
                <w:rFonts w:hint="default" w:ascii="Times New Roman" w:hAnsi="Times New Roman" w:eastAsia="宋体" w:cs="Times New Roman"/>
                <w:color w:val="000000"/>
                <w:sz w:val="18"/>
                <w:szCs w:val="18"/>
                <w:highlight w:val="none"/>
              </w:rPr>
              <w:t>6.11条款考核。</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发生人身重伤。</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参照</w:t>
            </w:r>
            <w:r>
              <w:rPr>
                <w:rFonts w:hint="eastAsia" w:cs="Times New Roman"/>
                <w:color w:val="000000"/>
                <w:sz w:val="18"/>
                <w:szCs w:val="18"/>
                <w:highlight w:val="none"/>
                <w:lang w:eastAsia="zh-CN"/>
              </w:rPr>
              <w:t>《</w:t>
            </w:r>
            <w:r>
              <w:rPr>
                <w:rFonts w:hint="eastAsia" w:cs="Times New Roman"/>
                <w:color w:val="000000"/>
                <w:sz w:val="18"/>
                <w:szCs w:val="18"/>
                <w:highlight w:val="none"/>
                <w:lang w:val="en-US" w:eastAsia="zh-CN"/>
              </w:rPr>
              <w:t>承发包项目安全管理实施细则</w:t>
            </w:r>
            <w:r>
              <w:rPr>
                <w:rFonts w:hint="eastAsia" w:cs="Times New Roman"/>
                <w:color w:val="000000"/>
                <w:sz w:val="18"/>
                <w:szCs w:val="18"/>
                <w:highlight w:val="none"/>
                <w:lang w:eastAsia="zh-CN"/>
              </w:rPr>
              <w:t>》</w:t>
            </w:r>
            <w:r>
              <w:rPr>
                <w:rFonts w:hint="default" w:ascii="Times New Roman" w:hAnsi="Times New Roman" w:eastAsia="宋体" w:cs="Times New Roman"/>
                <w:color w:val="000000"/>
                <w:sz w:val="18"/>
                <w:szCs w:val="18"/>
                <w:highlight w:val="none"/>
              </w:rPr>
              <w:t>6.11条款考核。</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发生人身轻伤。</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参照</w:t>
            </w:r>
            <w:r>
              <w:rPr>
                <w:rFonts w:hint="eastAsia" w:cs="Times New Roman"/>
                <w:color w:val="000000"/>
                <w:sz w:val="18"/>
                <w:szCs w:val="18"/>
                <w:highlight w:val="none"/>
                <w:lang w:eastAsia="zh-CN"/>
              </w:rPr>
              <w:t>《</w:t>
            </w:r>
            <w:r>
              <w:rPr>
                <w:rFonts w:hint="eastAsia" w:cs="Times New Roman"/>
                <w:color w:val="000000"/>
                <w:sz w:val="18"/>
                <w:szCs w:val="18"/>
                <w:highlight w:val="none"/>
                <w:lang w:val="en-US" w:eastAsia="zh-CN"/>
              </w:rPr>
              <w:t>承发包项目安全管理实施细则</w:t>
            </w:r>
            <w:r>
              <w:rPr>
                <w:rFonts w:hint="eastAsia" w:cs="Times New Roman"/>
                <w:color w:val="000000"/>
                <w:sz w:val="18"/>
                <w:szCs w:val="18"/>
                <w:highlight w:val="none"/>
                <w:lang w:eastAsia="zh-CN"/>
              </w:rPr>
              <w:t>》</w:t>
            </w:r>
            <w:r>
              <w:rPr>
                <w:rFonts w:hint="default" w:ascii="Times New Roman" w:hAnsi="Times New Roman" w:eastAsia="宋体" w:cs="Times New Roman"/>
                <w:color w:val="000000"/>
                <w:sz w:val="18"/>
                <w:szCs w:val="18"/>
                <w:highlight w:val="none"/>
              </w:rPr>
              <w:t>6.11条款考核。</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发生人身轻微伤。</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扣款5000元。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发生未遂事件。</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扣款5000元。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9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发生直接经济损失</w:t>
            </w:r>
            <w:r>
              <w:rPr>
                <w:rFonts w:hint="default" w:ascii="Times New Roman" w:hAnsi="Times New Roman" w:eastAsia="Calibri" w:cs="Times New Roman"/>
                <w:color w:val="000000"/>
                <w:sz w:val="18"/>
                <w:szCs w:val="18"/>
                <w:highlight w:val="none"/>
              </w:rPr>
              <w:t>30</w:t>
            </w:r>
            <w:r>
              <w:rPr>
                <w:rFonts w:hint="default" w:ascii="Times New Roman" w:hAnsi="Times New Roman" w:eastAsia="宋体" w:cs="Times New Roman"/>
                <w:color w:val="000000"/>
                <w:sz w:val="18"/>
                <w:szCs w:val="18"/>
                <w:highlight w:val="none"/>
              </w:rPr>
              <w:t>万以上</w:t>
            </w:r>
            <w:r>
              <w:rPr>
                <w:rFonts w:hint="default" w:ascii="Times New Roman" w:hAnsi="Times New Roman" w:eastAsia="Calibri" w:cs="Times New Roman"/>
                <w:color w:val="000000"/>
                <w:sz w:val="18"/>
                <w:szCs w:val="18"/>
                <w:highlight w:val="none"/>
              </w:rPr>
              <w:t>100</w:t>
            </w:r>
            <w:r>
              <w:rPr>
                <w:rFonts w:hint="default" w:ascii="Times New Roman" w:hAnsi="Times New Roman" w:eastAsia="宋体" w:cs="Times New Roman"/>
                <w:color w:val="000000"/>
                <w:sz w:val="18"/>
                <w:szCs w:val="18"/>
                <w:highlight w:val="none"/>
              </w:rPr>
              <w:t>万以下火灾事故。</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w:t>
            </w:r>
            <w:r>
              <w:rPr>
                <w:rFonts w:hint="default" w:ascii="Times New Roman" w:hAnsi="Times New Roman" w:eastAsia="Calibri" w:cs="Times New Roman"/>
                <w:color w:val="000000"/>
                <w:sz w:val="18"/>
                <w:szCs w:val="18"/>
                <w:highlight w:val="none"/>
              </w:rPr>
              <w:t>50000</w:t>
            </w:r>
            <w:r>
              <w:rPr>
                <w:rFonts w:hint="default" w:ascii="Times New Roman" w:hAnsi="Times New Roman" w:eastAsia="宋体" w:cs="Times New Roman"/>
                <w:color w:val="000000"/>
                <w:sz w:val="18"/>
                <w:szCs w:val="18"/>
                <w:highlight w:val="none"/>
              </w:rPr>
              <w:t>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9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发生直接经济损失</w:t>
            </w:r>
            <w:r>
              <w:rPr>
                <w:rFonts w:hint="default" w:ascii="Times New Roman" w:hAnsi="Times New Roman" w:eastAsia="Calibri" w:cs="Times New Roman"/>
                <w:color w:val="000000"/>
                <w:sz w:val="18"/>
                <w:szCs w:val="18"/>
                <w:highlight w:val="none"/>
              </w:rPr>
              <w:t>30</w:t>
            </w:r>
            <w:r>
              <w:rPr>
                <w:rFonts w:hint="default" w:ascii="Times New Roman" w:hAnsi="Times New Roman" w:eastAsia="宋体" w:cs="Times New Roman"/>
                <w:color w:val="000000"/>
                <w:sz w:val="18"/>
                <w:szCs w:val="18"/>
                <w:highlight w:val="none"/>
              </w:rPr>
              <w:t>万以下火灾事故。</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w:t>
            </w:r>
            <w:r>
              <w:rPr>
                <w:rFonts w:hint="default" w:ascii="Times New Roman" w:hAnsi="Times New Roman" w:eastAsia="Calibri" w:cs="Times New Roman"/>
                <w:color w:val="000000"/>
                <w:sz w:val="18"/>
                <w:szCs w:val="18"/>
                <w:highlight w:val="none"/>
              </w:rPr>
              <w:t>20000</w:t>
            </w:r>
            <w:r>
              <w:rPr>
                <w:rFonts w:hint="default" w:ascii="Times New Roman" w:hAnsi="Times New Roman" w:eastAsia="宋体" w:cs="Times New Roman"/>
                <w:color w:val="000000"/>
                <w:sz w:val="18"/>
                <w:szCs w:val="18"/>
                <w:highlight w:val="none"/>
              </w:rPr>
              <w:t>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发生火险。</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扣款10000元。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发生一般以下环境污染事件。</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w:t>
            </w:r>
            <w:r>
              <w:rPr>
                <w:rFonts w:hint="default" w:ascii="Times New Roman" w:hAnsi="Times New Roman" w:eastAsia="Calibri" w:cs="Times New Roman"/>
                <w:color w:val="000000"/>
                <w:sz w:val="18"/>
                <w:szCs w:val="18"/>
                <w:highlight w:val="none"/>
              </w:rPr>
              <w:t>20000</w:t>
            </w:r>
            <w:r>
              <w:rPr>
                <w:rFonts w:hint="default" w:ascii="Times New Roman" w:hAnsi="Times New Roman" w:eastAsia="宋体" w:cs="Times New Roman"/>
                <w:color w:val="000000"/>
                <w:sz w:val="18"/>
                <w:szCs w:val="18"/>
                <w:highlight w:val="none"/>
              </w:rPr>
              <w:t>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8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w:t>
            </w:r>
          </w:p>
        </w:tc>
        <w:tc>
          <w:tcPr>
            <w:tcW w:w="2300"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发生人员滋事、斗殴造成的治安事件。</w:t>
            </w:r>
          </w:p>
        </w:tc>
        <w:tc>
          <w:tcPr>
            <w:tcW w:w="5252" w:type="dxa"/>
            <w:gridSpan w:val="3"/>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扣款</w:t>
            </w:r>
            <w:r>
              <w:rPr>
                <w:rFonts w:hint="default" w:ascii="Times New Roman" w:hAnsi="Times New Roman" w:eastAsia="Calibri" w:cs="Times New Roman"/>
                <w:color w:val="000000"/>
                <w:sz w:val="18"/>
                <w:szCs w:val="18"/>
                <w:highlight w:val="none"/>
              </w:rPr>
              <w:t>10000</w:t>
            </w:r>
            <w:r>
              <w:rPr>
                <w:rFonts w:hint="default" w:ascii="Times New Roman" w:hAnsi="Times New Roman" w:eastAsia="宋体" w:cs="Times New Roman"/>
                <w:color w:val="000000"/>
                <w:sz w:val="18"/>
                <w:szCs w:val="18"/>
                <w:highlight w:val="none"/>
              </w:rPr>
              <w:t>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b/>
                <w:color w:val="000000"/>
                <w:sz w:val="18"/>
                <w:szCs w:val="18"/>
                <w:highlight w:val="none"/>
              </w:rPr>
              <w:t>序号</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b/>
                <w:color w:val="000000"/>
                <w:sz w:val="18"/>
                <w:szCs w:val="18"/>
                <w:highlight w:val="none"/>
              </w:rPr>
              <w:t>违章考核条款内容</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b/>
                <w:color w:val="000000"/>
                <w:sz w:val="18"/>
                <w:szCs w:val="18"/>
                <w:highlight w:val="none"/>
              </w:rPr>
              <w:t>违章类型</w:t>
            </w:r>
          </w:p>
        </w:tc>
        <w:tc>
          <w:tcPr>
            <w:tcW w:w="1024" w:type="dxa"/>
            <w:tcBorders>
              <w:top w:val="single" w:color="000000" w:sz="8" w:space="0"/>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b/>
                <w:color w:val="000000"/>
                <w:sz w:val="18"/>
                <w:szCs w:val="18"/>
                <w:highlight w:val="none"/>
              </w:rPr>
              <w:t>扣奖金额</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进入生产现场不戴安全帽。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现场作业安全帽不系帽带。</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参观学习人员进入生产现场未规范佩戴安全帽，或穿着不符合要求，考核接待部门。</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作业人员未穿着工作服，或着装不符合安规要求。</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使用中的防护用品不符合国家有关标准和公司要求。</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在禁止使用无线通讯设备场所使用无线通讯设备。</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超出范围作业，或擅自出入重要生产场所。</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进入配电室、电子室、工程师站、供氢站、油库等区域时违反进入该区域的相关规定。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不按工种或作业要求佩带、使用安全用具。</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使用未经检验合格或检验过期的工器具。</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未经入厂教育并考试合格即参与施工作业。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实习、代培、临时用工以及外来人员的安全教育不符合规定。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无故不参加公司组织的安全会议、培训，或违反会议管理规定。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未按规定执行双确认。</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无证从事特种作业或特种设备作业，或证书已过期。</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在易燃、易爆危险区内吸烟。</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在生产区域其它场所内吸烟（指定的吸烟点、室除外）。</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酒后作业。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69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修工作结束未做到工完料尽、场地清洁，值班人员未把关而注销工作票或缺陷单（如确系一时无法完成的，可在检修交待本上注明完成清理时间，在规定期限内完成），视未清理面积。</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因检修等工作损坏有关固定设施（如沟板、门窗）未及时联系恢复，或未采取措施恢复的。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生产现场进行电、气焊作业，地面拌水泥及保温泥，未做好防护措施，损坏地面、墙面设施，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在室内外场地、路旁、门厅、走廊及楼梯等处乱堆设备、器材或杂物垃圾，或私搭违章建筑根据面积。</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乱倒垃圾。</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车辆在厂区道路行驶随地散落，造成道路不洁。</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自行车、电动自行车、摩托车进入生产区域。</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在生产、生活设备、设施、墙面等处乱涂、乱画、乱写、乱刻、有意印手印、脚印等。</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在宣传栏、广告栏以外的地方张贴、涂写。</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资料台帐有撕页、缺页、乱涂乱画现象。</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未按文明生产整改单所列要求及时整改（提出整改计划，并经同意除外）。</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未按要求定期组织进行安全、文明生产检查，或无检查记录的。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无操作票或工作票（检修作业联系单、检修作业通知单）作业。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擅自扩大工作票（检修作业联系单、检修作业通知单）作业范围，及擅自变更、破坏、撤销工作票（检修作业联系单、检修作业通知单）安全措施。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工作票（检修作业联系单）安措未执行完毕，工作票（检修作业联系单）已许可。</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未查明工作票（检修作业联系单、检修作业通知单）是否已押回或终结、现场设备是否具备送电、送气、送油、送危化品等条件即输送介质或能量。</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特殊作业前未开展危险源辨识，作业中未严格执行危险源管控措施。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工作票（检修作业联系单、检修作业通知单）负责人与风险预控措施交底单中工作负责人不一致。</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工作票（检修作业联系单）安全措施填写错误。</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工作票安措执行存在漏项。</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39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工作票（检修作业联系单、检修作业通知单）种类选择错误或工作内容填写错误。</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工作票（检修作业联系单、检修作业通知单）中安全措施设备名称描述与现场设备名称不一致。</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工作票（检修作业联系单、检修作业通知单）涉及的工作单位、班组与实际不符。</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动火工作票上未填写可燃可爆气体的检测值。</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设备检修前，工作许可人未和工作负责人同时到检修现场检查安全措施是否已正确执行。</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进场工作前，工作负责人未向工作班成员交代安全措施、危险点预控措施及注意事项，并经双方签字认可即开工。</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工作班成员工作前未了解安全措施、危险点预控措施、注意事项和工作任务即工作。</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作业人员与工作票（检修作业联系单、检修作业通知单）成员不符合。</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现场作业时，工作票未随身携带。</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检修工作中工作负责人离开现场，未指定临时工作负责人。</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49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工作中更换工作负责人，但未办理变更手续。</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现场动火作业，防火措施不到位，监护不到位。</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焊工工作完毕，不及时清理皮管导线，不关闭乙炔、氧气阀门，或作业结束未做到工完料尽场地清。</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擅自变更检修安全措施。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临时工作负责人已超过2小时，未进行工作负责人变更。</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检修工作期限超限，未及时办理延期手续。</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全部工作完毕后，工作负责人未与运行人员同时到检修现场检查。</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检修工作结束，未及时进行工作票（检修作业联系单、检修作业通知单）终结。</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工作票（检修作业联系单）终结后安措涉及的标识牌未收回。</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工作结束未及时封堵孔洞、盖好沟道盖板。</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检修后的设备试运时，未认真检查即在设备试运单上签字，设备试验数据未进行记录。</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检修完毕未按规定在检修记录交代本上交代检修结果的。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操作票操作步骤未执行，操作票票面已打“√”确认。</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同时持两份不同操作票，交叉操作。</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操作前未检查验电笔、摇表等安全工器具是否完好。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操作时操作人未确认设备名称、编号、位置就开始操作。</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操作监护人不到位，操作人擅自操作。</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操作监护人未监护，与操作人一起操作，或脱离岗位去从事其他活动。</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操作时未唱票、复诵，复诵不严肃，声音微弱，双方听不清。</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携带操作票未使用。</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69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操作中未按操作票顺序逐项操作，并打“√”。</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电气几个操作任务合写在一张操作票上，未分别填写。</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在填写操作票时涂改，电气设备不按规定使用双重名称。</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远方操作启动设备未到就地检查。</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操作过程中给学习人员讲解。</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操作完未进行复查。</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倒闸操作时，监护人协助操作。</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操作票未执行项目，未进行备注说明。</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监护人员未按操作票制度执行监护职责，监护不到位。</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操作票发令时间在操作开始时间之后。</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79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现场考问工作负责人、作业人员，未掌握主要风险和防范措施。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操作票开始操作时间未进行记录，操作结束后未及时填写结束时间。</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操作票票面填写的操作开始至操作结束时间段，与实际操作需要的时间偏差较大。</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操作票内须记录的数据、编号等内容，未按照要求进行填写。</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电气倒闸操作结束后未对使用的接地线进行记录。</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未按规定对“两票”执行情况进行检查评价并形成记录，或对存在问题没有采取措施整改的。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交接班不认真，交接内容不清楚。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岗位交接班制度不严，未开展交班会、接班会，未在岗位进行交接，或未按规定进行设备系统工况检查即交接班。</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未到正点以及接班人未签字即交接班。</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值班记录本记录内容不齐全，字迹不清楚。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巡回检查不准时，未按巡回路线检查设备，检查不到位。</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设备未按规定时间进行定期切换工作。</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交接班巡检制度执行不规范，现场部分重点设备检查不到位。</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班组设备巡回检查台账记录不全。</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巡检记录内容不真实。</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值班监盘不认真，表计变化发现不及时，抄表弄虚作假。</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未经审批擅自修改逻辑及保护定值或退出热控、电气保护。</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未按规定批准擅自解除“五防”闭锁装置。</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单人在高压室或室外高压设备区从事维修工作。</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约时停、送电或启动设备。</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99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未经申请使用临时检修电源或乱拉乱接。</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电源线放置在热体上烘烤或放置在尖硬物上，或经过道路未做好防护措施。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电缆破损或敷设不规范。</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配电箱不按规定接地，未做好封堵、无图纸或检查记录。</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配电箱无漏电保护器、无检验合格证，或不按一机一闸一保护使用。</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配电箱内部接线混乱，固定部件松脱，安装不符合要求，箱门敞开、变形损坏。</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使用不合格或无检验合格证的安全工器具、电动工具。</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使用电气工具后或遇临时停电没有及时切断电源。</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带电移动低压电气设备，或检修工作结束后电动工具或行灯电源未切断电源就收线。</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在停运中的皮带上行走或跨越皮带。</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使用砂轮时不戴防护眼镜。</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设备修复后未将设备标示牌、安全标志恢复。</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在转动的机械、输煤皮带上从事清除作业。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在码头系缆绳作业不穿救生衣，或在码头、轮船边沿作业不穿救生衣。</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高处作业未使用安全带。</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高处作业安全带使用不规范。</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5米及以上爬梯不使用防坠器。</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脚手架未验收、未签字或未挂验收牌即投入使用。</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脚手架搭设不符合要求。</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高处作业随意抛掷工具、材料杂物、垃圾或造成施工现场污染。</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119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脚手架搭设、拆除未做好防护措施。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使用带缺陷的梯子或底部无防滑装置的梯子进行高处作业。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两家及以上单位在同一区域交叉作业时，未签订交叉作业协议。</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交叉作业无防护隔离措施。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违反汽轮机上缸作业规定。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气瓶使用不符合安规及管理制度要求。</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违反规定进行电焊作业。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使用有缺陷的焊接工器具。</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电焊机外壳无接地或接地不规范。</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违规使用、储存易燃易爆物品或危险化学品。</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129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起重作业现场无人指挥和监护。</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起重作业现场无安全围栏和警示标志。</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用不合格的钢丝绳、麻绳起吊设备或重物，或超负荷起吊。</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利用管道、栏杆悬吊重物和起重滑车。</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使用有缺陷的起重工器具（如手拉葫芦吊钩损坏、千斤顶头盖缺失等）。</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在起重过程中，人员在起重物和起重臂下随意行走或逗留。</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有限空间作业未严格执行“先通风、再检测、后进入”原则。</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未办理有限空间准入证进行作业。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有限空间作业人员出入登记未签名或记录不规范。</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有限空间作业现场无人监护。</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139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有限空间作业不符合其他安全管理要求。</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挖掘的基坑、井坑未做好防滑坡措施，坡边堆积土方、材料等。</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在高粉尘区域作业，没有采取防尘措施，或措施不全。</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在有毒有害场所作业未按规定使用排风扇等设施。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8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违反《工作票管理》《操作票管理》《危险化学品管理》《安全作业管理》《特种作业人员管理》《有限（密闭）空间作业管理》等，无明确考核条款适用的。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不执行安全风险分级管控工作要求。</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未签订《承发包工程安健环及文明施工安全协议》，擅自开始检修作业。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外包单位未按规定签署开工报审表，擅自开工的。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不执行安全技术措施或施工作业方案，冒险作业。</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责任部门未按规定对责任区内的消防设施、器材进行自查、记录的。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149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发生火险使用消防器材未及时报告消防队的。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非火警擅自启用、使用消防器材及设施。</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任意折卸、涂改各类消防警告标牌的。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152</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易燃易爆危险化学品使用、储存、运输、管理部门，未按规定进行自查、整改、记录。</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153</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擅自堆放物资阻塞消防设施、消防通道或防火间距的。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154</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未经审批，擅自搭建临时建筑违反用火、用电安全规定，发现后仍不整改的。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155</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对出入禁火区域（油库区、储氢区、特殊材料库）的车辆未按规定佩戴防火罩的。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156</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指使或者强令他人违反安全规定，冒险作业，尚未造成后果的。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指挥性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2500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157</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无证驾驶机动车辆。</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8000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158</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货运车辆和其他专用车辆载人。</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159</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非作业车辆进入主厂房的。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00"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160</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随意在厂区道路上堆物，影响正常通行的。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作业性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1000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65" w:hRule="atLeast"/>
        </w:trPr>
        <w:tc>
          <w:tcPr>
            <w:tcW w:w="784" w:type="dxa"/>
            <w:tcBorders>
              <w:top w:val="nil"/>
              <w:left w:val="single" w:color="000000" w:sz="12" w:space="0"/>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161</w:t>
            </w:r>
          </w:p>
        </w:tc>
        <w:tc>
          <w:tcPr>
            <w:tcW w:w="5594" w:type="dxa"/>
            <w:gridSpan w:val="2"/>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未经审批随意在厂区道路上挖沟（坑）、开凿或已办审批未设置警示标志等防护措施的。</w:t>
            </w:r>
          </w:p>
        </w:tc>
        <w:tc>
          <w:tcPr>
            <w:tcW w:w="934" w:type="dxa"/>
            <w:tcBorders>
              <w:top w:val="nil"/>
              <w:left w:val="nil"/>
              <w:bottom w:val="single" w:color="000000" w:sz="8"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w:t>
            </w:r>
          </w:p>
        </w:tc>
        <w:tc>
          <w:tcPr>
            <w:tcW w:w="1024" w:type="dxa"/>
            <w:tcBorders>
              <w:top w:val="nil"/>
              <w:left w:val="nil"/>
              <w:bottom w:val="single" w:color="000000" w:sz="8"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1500</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480" w:hRule="atLeast"/>
        </w:trPr>
        <w:tc>
          <w:tcPr>
            <w:tcW w:w="784" w:type="dxa"/>
            <w:tcBorders>
              <w:top w:val="nil"/>
              <w:left w:val="single" w:color="000000" w:sz="12" w:space="0"/>
              <w:bottom w:val="single" w:color="000000" w:sz="12"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162</w:t>
            </w:r>
          </w:p>
        </w:tc>
        <w:tc>
          <w:tcPr>
            <w:tcW w:w="5594" w:type="dxa"/>
            <w:gridSpan w:val="2"/>
            <w:tcBorders>
              <w:top w:val="nil"/>
              <w:left w:val="nil"/>
              <w:bottom w:val="single" w:color="000000" w:sz="12"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其他违反安规及公司有关安全生产管理标准、规程、规定的行为、现象。</w:t>
            </w:r>
          </w:p>
        </w:tc>
        <w:tc>
          <w:tcPr>
            <w:tcW w:w="934" w:type="dxa"/>
            <w:tcBorders>
              <w:top w:val="nil"/>
              <w:left w:val="nil"/>
              <w:bottom w:val="single" w:color="000000" w:sz="12" w:space="0"/>
              <w:right w:val="single" w:color="000000" w:sz="8"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管理性/作业性</w:t>
            </w:r>
          </w:p>
        </w:tc>
        <w:tc>
          <w:tcPr>
            <w:tcW w:w="1024" w:type="dxa"/>
            <w:tcBorders>
              <w:top w:val="nil"/>
              <w:left w:val="nil"/>
              <w:bottom w:val="single" w:color="000000" w:sz="12" w:space="0"/>
              <w:right w:val="single" w:color="000000" w:sz="12" w:space="0"/>
            </w:tcBorders>
            <w:noWrap w:val="0"/>
            <w:tcMar>
              <w:top w:w="15" w:type="dxa"/>
              <w:left w:w="15" w:type="dxa"/>
              <w:bottom w:w="0" w:type="dxa"/>
              <w:right w:w="15" w:type="dxa"/>
            </w:tcMar>
            <w:vAlign w:val="center"/>
          </w:tcPr>
          <w:p>
            <w:pPr>
              <w:pStyle w:val="192"/>
              <w:pBdr>
                <w:top w:val="none" w:color="000000" w:sz="0" w:space="0"/>
                <w:left w:val="none" w:color="000000" w:sz="0" w:space="0"/>
                <w:bottom w:val="none" w:color="000000" w:sz="0" w:space="0"/>
                <w:right w:val="none" w:color="000000" w:sz="0" w:space="0"/>
              </w:pBdr>
              <w:spacing w:after="0" w:line="240" w:lineRule="auto"/>
              <w:jc w:val="center"/>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500～8000</w:t>
            </w:r>
          </w:p>
        </w:tc>
      </w:tr>
    </w:tbl>
    <w:p>
      <w:pPr>
        <w:pStyle w:val="192"/>
        <w:pBdr>
          <w:top w:val="none" w:color="000000" w:sz="0" w:space="0"/>
          <w:left w:val="none" w:color="000000" w:sz="0" w:space="0"/>
          <w:bottom w:val="none" w:color="000000" w:sz="0" w:space="0"/>
          <w:right w:val="none" w:color="000000" w:sz="0" w:space="0"/>
        </w:pBdr>
        <w:spacing w:before="240" w:after="240"/>
        <w:rPr>
          <w:rFonts w:hint="eastAsia" w:ascii="宋体" w:hAnsi="宋体" w:eastAsia="宋体" w:cs="宋体"/>
          <w:sz w:val="18"/>
          <w:szCs w:val="18"/>
          <w:highlight w:val="none"/>
        </w:rPr>
      </w:pPr>
      <w:r>
        <w:rPr>
          <w:rFonts w:hint="eastAsia" w:cs="宋体" w:asciiTheme="minorEastAsia" w:hAnsiTheme="minorEastAsia" w:eastAsiaTheme="minorEastAsia"/>
          <w:color w:val="000000"/>
          <w:sz w:val="18"/>
          <w:szCs w:val="18"/>
          <w:highlight w:val="none"/>
        </w:rPr>
        <w:t>注：治安、消防、交通等违章行为的考核，在公司Q/ZNYD 2020《奖金考核分配及奖惩管理》中另有明确规定的，则根据相关条款进行考核。</w:t>
      </w:r>
    </w:p>
    <w:p>
      <w:pPr>
        <w:pStyle w:val="192"/>
        <w:widowControl/>
        <w:jc w:val="left"/>
        <w:rPr>
          <w:rFonts w:asciiTheme="minorEastAsia" w:hAnsiTheme="minorEastAsia" w:eastAsiaTheme="minorEastAsia"/>
          <w:highlight w:val="none"/>
        </w:rPr>
        <w:sectPr>
          <w:footerReference r:id="rId3" w:type="default"/>
          <w:pgSz w:w="11906" w:h="16838"/>
          <w:pgMar w:top="1440" w:right="1800" w:bottom="1440" w:left="1800" w:header="851" w:footer="992" w:gutter="0"/>
          <w:pgNumType w:start="1"/>
          <w:cols w:space="720" w:num="1"/>
          <w:docGrid w:linePitch="360" w:charSpace="0"/>
        </w:sectPr>
      </w:pPr>
    </w:p>
    <w:p>
      <w:pPr>
        <w:pStyle w:val="188"/>
        <w:numPr>
          <w:ilvl w:val="0"/>
          <w:numId w:val="2"/>
        </w:numPr>
        <w:spacing w:before="0" w:line="240" w:lineRule="exact"/>
        <w:ind w:left="0"/>
        <w:rPr>
          <w:rFonts w:asciiTheme="minorEastAsia" w:hAnsiTheme="minorEastAsia" w:eastAsiaTheme="minorEastAsia"/>
          <w:sz w:val="21"/>
          <w:szCs w:val="21"/>
          <w:highlight w:val="none"/>
        </w:rPr>
      </w:pPr>
    </w:p>
    <w:p>
      <w:pPr>
        <w:pStyle w:val="188"/>
        <w:numPr>
          <w:ilvl w:val="0"/>
          <w:numId w:val="0"/>
        </w:numPr>
        <w:spacing w:before="0" w:line="24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highlight w:val="none"/>
        </w:rPr>
        <w:t>《</w:t>
      </w:r>
      <w:r>
        <w:rPr>
          <w:rFonts w:hint="eastAsia" w:asciiTheme="minorEastAsia" w:hAnsiTheme="minorEastAsia" w:eastAsiaTheme="minorEastAsia"/>
          <w:highlight w:val="none"/>
          <w:lang w:val="en-US" w:eastAsia="zh-CN"/>
        </w:rPr>
        <w:t>检修质量及进度考核</w:t>
      </w:r>
      <w:r>
        <w:rPr>
          <w:rFonts w:hint="eastAsia" w:asciiTheme="minorEastAsia" w:hAnsiTheme="minorEastAsia" w:eastAsiaTheme="minorEastAsia"/>
          <w:highlight w:val="none"/>
        </w:rPr>
        <w:t>》</w:t>
      </w:r>
    </w:p>
    <w:tbl>
      <w:tblPr>
        <w:tblStyle w:val="33"/>
        <w:tblW w:w="8931" w:type="dxa"/>
        <w:tblInd w:w="-3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5"/>
        <w:gridCol w:w="996"/>
        <w:gridCol w:w="2259"/>
        <w:gridCol w:w="1440"/>
        <w:gridCol w:w="1260"/>
        <w:gridCol w:w="1440"/>
        <w:gridCol w:w="1011"/>
        <w:tblGridChange w:id="0">
          <w:tblGrid>
            <w:gridCol w:w="525"/>
            <w:gridCol w:w="996"/>
            <w:gridCol w:w="2259"/>
            <w:gridCol w:w="1440"/>
            <w:gridCol w:w="1260"/>
            <w:gridCol w:w="1440"/>
            <w:gridCol w:w="1011"/>
          </w:tblGrid>
        </w:tblGridChange>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525" w:type="dxa"/>
            <w:noWrap w:val="0"/>
            <w:vAlign w:val="top"/>
          </w:tcPr>
          <w:p>
            <w:pPr>
              <w:ind w:left="-107" w:right="-63"/>
              <w:jc w:val="center"/>
              <w:rPr>
                <w:rFonts w:hint="default" w:ascii="Times New Roman" w:hAnsi="Times New Roman" w:cs="Times New Roman"/>
                <w:sz w:val="18"/>
                <w:szCs w:val="18"/>
              </w:rPr>
            </w:pPr>
            <w:r>
              <w:rPr>
                <w:rFonts w:hint="default" w:ascii="Times New Roman" w:hAnsi="Times New Roman" w:cs="Times New Roman"/>
                <w:sz w:val="18"/>
                <w:szCs w:val="18"/>
              </w:rPr>
              <w:t>序号</w:t>
            </w:r>
          </w:p>
        </w:tc>
        <w:tc>
          <w:tcPr>
            <w:tcW w:w="996" w:type="dxa"/>
            <w:noWrap w:val="0"/>
            <w:vAlign w:val="top"/>
          </w:tcPr>
          <w:p>
            <w:pPr>
              <w:jc w:val="center"/>
              <w:rPr>
                <w:rFonts w:hint="default" w:ascii="Times New Roman" w:hAnsi="Times New Roman" w:cs="Times New Roman"/>
                <w:sz w:val="18"/>
                <w:szCs w:val="18"/>
              </w:rPr>
            </w:pPr>
            <w:r>
              <w:rPr>
                <w:rFonts w:hint="default" w:ascii="Times New Roman" w:hAnsi="Times New Roman" w:cs="Times New Roman"/>
                <w:sz w:val="18"/>
                <w:szCs w:val="18"/>
              </w:rPr>
              <w:t>考核内容</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考核标准</w:t>
            </w:r>
          </w:p>
        </w:tc>
        <w:tc>
          <w:tcPr>
            <w:tcW w:w="1440" w:type="dxa"/>
            <w:noWrap w:val="0"/>
            <w:vAlign w:val="top"/>
          </w:tcPr>
          <w:p>
            <w:pPr>
              <w:jc w:val="center"/>
              <w:rPr>
                <w:rFonts w:hint="default" w:ascii="Times New Roman" w:hAnsi="Times New Roman" w:cs="Times New Roman"/>
                <w:sz w:val="18"/>
                <w:szCs w:val="18"/>
              </w:rPr>
            </w:pPr>
            <w:r>
              <w:rPr>
                <w:rFonts w:hint="default" w:ascii="Times New Roman" w:hAnsi="Times New Roman" w:cs="Times New Roman"/>
                <w:sz w:val="18"/>
                <w:szCs w:val="18"/>
              </w:rPr>
              <w:t>考核值</w:t>
            </w:r>
          </w:p>
        </w:tc>
        <w:tc>
          <w:tcPr>
            <w:tcW w:w="1260" w:type="dxa"/>
            <w:noWrap w:val="0"/>
            <w:vAlign w:val="top"/>
          </w:tcPr>
          <w:p>
            <w:pPr>
              <w:ind w:left="-107" w:right="-63"/>
              <w:jc w:val="center"/>
              <w:rPr>
                <w:rFonts w:hint="default" w:ascii="Times New Roman" w:hAnsi="Times New Roman" w:cs="Times New Roman"/>
                <w:sz w:val="18"/>
                <w:szCs w:val="18"/>
              </w:rPr>
            </w:pPr>
            <w:r>
              <w:rPr>
                <w:rFonts w:hint="default" w:ascii="Times New Roman" w:hAnsi="Times New Roman" w:cs="Times New Roman"/>
                <w:sz w:val="18"/>
                <w:szCs w:val="18"/>
              </w:rPr>
              <w:t>被考核对象</w:t>
            </w:r>
          </w:p>
        </w:tc>
        <w:tc>
          <w:tcPr>
            <w:tcW w:w="1440" w:type="dxa"/>
            <w:noWrap w:val="0"/>
            <w:vAlign w:val="top"/>
          </w:tcPr>
          <w:p>
            <w:pPr>
              <w:jc w:val="center"/>
              <w:rPr>
                <w:rFonts w:hint="default" w:ascii="Times New Roman" w:hAnsi="Times New Roman" w:cs="Times New Roman"/>
                <w:sz w:val="18"/>
                <w:szCs w:val="18"/>
              </w:rPr>
            </w:pPr>
            <w:r>
              <w:rPr>
                <w:rFonts w:hint="default" w:ascii="Times New Roman" w:hAnsi="Times New Roman" w:cs="Times New Roman"/>
                <w:sz w:val="18"/>
                <w:szCs w:val="18"/>
              </w:rPr>
              <w:t>考核者</w:t>
            </w:r>
          </w:p>
        </w:tc>
        <w:tc>
          <w:tcPr>
            <w:tcW w:w="1011"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参修队伍</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人员数量无法保证检修项目</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扣2000元/项</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超出限期未调整，加倍考核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无资质人员进行项目施工</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扣500-1000元/项</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超出限期未调整，加倍考核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施工文件</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未执行施工工艺文件，或对施工人员交底不清的</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扣500-1000元/项</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发生检修质量问题的加倍考核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施工方案</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施工方案报审时发现，可操作性差，关键步骤、质量要求以及安全事项未明确的</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扣200-800元/件</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报审超时</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扣200元/份</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施工方案必须在开工前一周完成报审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施工中的工器具、测量器具或装备</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超出定期安全校验期的而未检验而使用者；</w:t>
            </w:r>
          </w:p>
          <w:p>
            <w:pPr>
              <w:rPr>
                <w:rFonts w:hint="default" w:ascii="Times New Roman" w:hAnsi="Times New Roman" w:cs="Times New Roman"/>
                <w:sz w:val="18"/>
                <w:szCs w:val="18"/>
              </w:rPr>
            </w:pPr>
            <w:r>
              <w:rPr>
                <w:rFonts w:hint="default" w:ascii="Times New Roman" w:hAnsi="Times New Roman" w:cs="Times New Roman"/>
                <w:sz w:val="18"/>
                <w:szCs w:val="18"/>
              </w:rPr>
              <w:t>使用未检验的测量器具设备</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扣100－300元/件</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施工工艺文件（文件包、检修卡、施工方案等）内容</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发现作业书中有重大原则性错误的，可能导致影响施工质量，安全和进度的</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奖50-500元/项</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参修单位或个人</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已得到设备部认可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00" w:hRule="atLeast"/>
        </w:trPr>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施工中的备品配件材料</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发现项目中重要备品配件缺少，不齐，错误或存在质量问题的，可能导致影响施工质量进度和安全的</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奖50-500元/项</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参修单位或个人</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已得到设备部认可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00" w:hRule="atLeast"/>
        </w:trPr>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已领用的备品备件发生损坏，或遗失</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按遗失备件原价赔偿，若导致工期延误，按本表的第12点考核</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参修单位或个人</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问题发现</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检修过程中发现重大缺陷</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奖200-1000元/条</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发现者</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已得到设备部认可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H、W、S点验收</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未按规定进行H/W/S点验收申请</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扣200元/点</w:t>
            </w:r>
          </w:p>
        </w:tc>
        <w:tc>
          <w:tcPr>
            <w:tcW w:w="1260" w:type="dxa"/>
            <w:vMerge w:val="restart"/>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vMerge w:val="restart"/>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质量监督组或专业点检</w:t>
            </w:r>
          </w:p>
        </w:tc>
        <w:tc>
          <w:tcPr>
            <w:tcW w:w="1011" w:type="dxa"/>
            <w:vMerge w:val="restart"/>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验收一次不合格的</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扣50-200元/点</w:t>
            </w:r>
          </w:p>
        </w:tc>
        <w:tc>
          <w:tcPr>
            <w:tcW w:w="1260" w:type="dxa"/>
            <w:vMerge w:val="continue"/>
            <w:noWrap w:val="0"/>
            <w:vAlign w:val="center"/>
          </w:tcPr>
          <w:p>
            <w:pPr>
              <w:ind w:left="-90" w:right="-113"/>
              <w:jc w:val="center"/>
              <w:rPr>
                <w:rFonts w:hint="default" w:ascii="Times New Roman" w:hAnsi="Times New Roman" w:cs="Times New Roman"/>
                <w:sz w:val="18"/>
                <w:szCs w:val="18"/>
              </w:rPr>
            </w:pPr>
          </w:p>
        </w:tc>
        <w:tc>
          <w:tcPr>
            <w:tcW w:w="1440" w:type="dxa"/>
            <w:vMerge w:val="continue"/>
            <w:noWrap w:val="0"/>
            <w:vAlign w:val="center"/>
          </w:tcPr>
          <w:p>
            <w:pPr>
              <w:ind w:left="-59" w:right="-57"/>
              <w:jc w:val="center"/>
              <w:rPr>
                <w:rFonts w:hint="default" w:ascii="Times New Roman" w:hAnsi="Times New Roman" w:cs="Times New Roman"/>
                <w:sz w:val="18"/>
                <w:szCs w:val="18"/>
              </w:rPr>
            </w:pPr>
          </w:p>
        </w:tc>
        <w:tc>
          <w:tcPr>
            <w:tcW w:w="1011" w:type="dxa"/>
            <w:vMerge w:val="continue"/>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验收二次不合格的</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扣200-500元/点</w:t>
            </w:r>
          </w:p>
        </w:tc>
        <w:tc>
          <w:tcPr>
            <w:tcW w:w="1260" w:type="dxa"/>
            <w:vMerge w:val="continue"/>
            <w:noWrap w:val="0"/>
            <w:vAlign w:val="center"/>
          </w:tcPr>
          <w:p>
            <w:pPr>
              <w:ind w:left="-90" w:right="-113"/>
              <w:jc w:val="center"/>
              <w:rPr>
                <w:rFonts w:hint="default" w:ascii="Times New Roman" w:hAnsi="Times New Roman" w:cs="Times New Roman"/>
                <w:sz w:val="18"/>
                <w:szCs w:val="18"/>
              </w:rPr>
            </w:pPr>
          </w:p>
        </w:tc>
        <w:tc>
          <w:tcPr>
            <w:tcW w:w="1440" w:type="dxa"/>
            <w:vMerge w:val="continue"/>
            <w:noWrap w:val="0"/>
            <w:vAlign w:val="center"/>
          </w:tcPr>
          <w:p>
            <w:pPr>
              <w:ind w:left="-59" w:right="-57"/>
              <w:jc w:val="center"/>
              <w:rPr>
                <w:rFonts w:hint="default" w:ascii="Times New Roman" w:hAnsi="Times New Roman" w:cs="Times New Roman"/>
                <w:sz w:val="18"/>
                <w:szCs w:val="18"/>
              </w:rPr>
            </w:pPr>
          </w:p>
        </w:tc>
        <w:tc>
          <w:tcPr>
            <w:tcW w:w="1011" w:type="dxa"/>
            <w:vMerge w:val="continue"/>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项目验收</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验收一次不合格的</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扣500-1000元</w:t>
            </w:r>
          </w:p>
        </w:tc>
        <w:tc>
          <w:tcPr>
            <w:tcW w:w="1260" w:type="dxa"/>
            <w:vMerge w:val="restart"/>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vMerge w:val="restart"/>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质量监督组或专业点检</w:t>
            </w:r>
          </w:p>
        </w:tc>
        <w:tc>
          <w:tcPr>
            <w:tcW w:w="1011" w:type="dxa"/>
            <w:vMerge w:val="restart"/>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验收二次不合格的</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扣800-2000元</w:t>
            </w:r>
          </w:p>
        </w:tc>
        <w:tc>
          <w:tcPr>
            <w:tcW w:w="1260" w:type="dxa"/>
            <w:vMerge w:val="continue"/>
            <w:noWrap w:val="0"/>
            <w:vAlign w:val="center"/>
          </w:tcPr>
          <w:p>
            <w:pPr>
              <w:ind w:left="-90" w:right="-113"/>
              <w:jc w:val="center"/>
              <w:rPr>
                <w:rFonts w:hint="default" w:ascii="Times New Roman" w:hAnsi="Times New Roman" w:cs="Times New Roman"/>
                <w:sz w:val="18"/>
                <w:szCs w:val="18"/>
              </w:rPr>
            </w:pPr>
          </w:p>
        </w:tc>
        <w:tc>
          <w:tcPr>
            <w:tcW w:w="1440" w:type="dxa"/>
            <w:vMerge w:val="continue"/>
            <w:noWrap w:val="0"/>
            <w:vAlign w:val="center"/>
          </w:tcPr>
          <w:p>
            <w:pPr>
              <w:ind w:left="-59" w:right="-57"/>
              <w:jc w:val="center"/>
              <w:rPr>
                <w:rFonts w:hint="default" w:ascii="Times New Roman" w:hAnsi="Times New Roman" w:cs="Times New Roman"/>
                <w:sz w:val="18"/>
                <w:szCs w:val="18"/>
              </w:rPr>
            </w:pPr>
          </w:p>
        </w:tc>
        <w:tc>
          <w:tcPr>
            <w:tcW w:w="1011" w:type="dxa"/>
            <w:vMerge w:val="continue"/>
            <w:noWrap w:val="0"/>
            <w:vAlign w:val="center"/>
          </w:tcPr>
          <w:p>
            <w:pP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返工</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因施工方法不当或不按工艺文件施工导致返工的</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扣2000~5000元</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质量监督组或专业点检</w:t>
            </w:r>
          </w:p>
        </w:tc>
        <w:tc>
          <w:tcPr>
            <w:tcW w:w="1011" w:type="dxa"/>
            <w:noWrap w:val="0"/>
            <w:vAlign w:val="center"/>
          </w:tcPr>
          <w:p>
            <w:pP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质量记录</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未按程序记录</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扣100元/项</w:t>
            </w:r>
          </w:p>
        </w:tc>
        <w:tc>
          <w:tcPr>
            <w:tcW w:w="1260" w:type="dxa"/>
            <w:vMerge w:val="restart"/>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vMerge w:val="restart"/>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质量监督组或专业点检</w:t>
            </w:r>
          </w:p>
        </w:tc>
        <w:tc>
          <w:tcPr>
            <w:tcW w:w="1011" w:type="dxa"/>
            <w:vMerge w:val="restart"/>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不符合记录要求</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扣100元/项</w:t>
            </w:r>
          </w:p>
        </w:tc>
        <w:tc>
          <w:tcPr>
            <w:tcW w:w="1260" w:type="dxa"/>
            <w:vMerge w:val="continue"/>
            <w:noWrap w:val="0"/>
            <w:vAlign w:val="center"/>
          </w:tcPr>
          <w:p>
            <w:pPr>
              <w:ind w:left="-90" w:right="-113"/>
              <w:jc w:val="center"/>
              <w:rPr>
                <w:rFonts w:hint="default" w:ascii="Times New Roman" w:hAnsi="Times New Roman" w:cs="Times New Roman"/>
                <w:sz w:val="18"/>
                <w:szCs w:val="18"/>
              </w:rPr>
            </w:pPr>
          </w:p>
        </w:tc>
        <w:tc>
          <w:tcPr>
            <w:tcW w:w="1440" w:type="dxa"/>
            <w:vMerge w:val="continue"/>
            <w:noWrap w:val="0"/>
            <w:vAlign w:val="center"/>
          </w:tcPr>
          <w:p>
            <w:pPr>
              <w:ind w:left="-59" w:right="-57"/>
              <w:jc w:val="center"/>
              <w:rPr>
                <w:rFonts w:hint="default" w:ascii="Times New Roman" w:hAnsi="Times New Roman" w:cs="Times New Roman"/>
                <w:sz w:val="18"/>
                <w:szCs w:val="18"/>
              </w:rPr>
            </w:pPr>
          </w:p>
        </w:tc>
        <w:tc>
          <w:tcPr>
            <w:tcW w:w="1011" w:type="dxa"/>
            <w:vMerge w:val="continue"/>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编造、伪造、任意涂改记录数据</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扣800元/项</w:t>
            </w:r>
          </w:p>
        </w:tc>
        <w:tc>
          <w:tcPr>
            <w:tcW w:w="1260" w:type="dxa"/>
            <w:vMerge w:val="continue"/>
            <w:noWrap w:val="0"/>
            <w:vAlign w:val="center"/>
          </w:tcPr>
          <w:p>
            <w:pPr>
              <w:ind w:left="-90" w:right="-113"/>
              <w:jc w:val="center"/>
              <w:rPr>
                <w:rFonts w:hint="default" w:ascii="Times New Roman" w:hAnsi="Times New Roman" w:cs="Times New Roman"/>
                <w:sz w:val="18"/>
                <w:szCs w:val="18"/>
              </w:rPr>
            </w:pPr>
          </w:p>
        </w:tc>
        <w:tc>
          <w:tcPr>
            <w:tcW w:w="1440" w:type="dxa"/>
            <w:vMerge w:val="continue"/>
            <w:noWrap w:val="0"/>
            <w:vAlign w:val="center"/>
          </w:tcPr>
          <w:p>
            <w:pPr>
              <w:ind w:left="-59" w:right="-57"/>
              <w:jc w:val="center"/>
              <w:rPr>
                <w:rFonts w:hint="default" w:ascii="Times New Roman" w:hAnsi="Times New Roman" w:cs="Times New Roman"/>
                <w:sz w:val="18"/>
                <w:szCs w:val="18"/>
              </w:rPr>
            </w:pPr>
          </w:p>
        </w:tc>
        <w:tc>
          <w:tcPr>
            <w:tcW w:w="1011" w:type="dxa"/>
            <w:vMerge w:val="continue"/>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施工进度</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 xml:space="preserve">因参修单位自身原因未达到原定单个项目进度要求的 </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扣1000～2000元</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因参修单位自身原因导致整个检修进度延迟的</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扣合同款5%~30%</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c>
          <w:tcPr>
            <w:tcW w:w="1011" w:type="dxa"/>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设备试运行</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1.单项试运行项目漏项</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扣300元/项</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vMerge w:val="restart"/>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操作隔离与试运调试组或设备管理部主任</w:t>
            </w:r>
          </w:p>
        </w:tc>
        <w:tc>
          <w:tcPr>
            <w:tcW w:w="1011" w:type="dxa"/>
            <w:vMerge w:val="restart"/>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2.单项试运行一次未成功</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扣200元/项</w:t>
            </w:r>
          </w:p>
        </w:tc>
        <w:tc>
          <w:tcPr>
            <w:tcW w:w="1260" w:type="dxa"/>
            <w:vMerge w:val="restart"/>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vMerge w:val="continue"/>
            <w:noWrap w:val="0"/>
            <w:vAlign w:val="center"/>
          </w:tcPr>
          <w:p>
            <w:pPr>
              <w:ind w:left="-59" w:right="-57"/>
              <w:jc w:val="center"/>
              <w:rPr>
                <w:rFonts w:hint="default" w:ascii="Times New Roman" w:hAnsi="Times New Roman" w:cs="Times New Roman"/>
                <w:sz w:val="18"/>
                <w:szCs w:val="18"/>
              </w:rPr>
            </w:pPr>
          </w:p>
        </w:tc>
        <w:tc>
          <w:tcPr>
            <w:tcW w:w="1011" w:type="dxa"/>
            <w:vMerge w:val="continue"/>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3.单项试运行二次及以上未成功</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按13.2加倍考核</w:t>
            </w:r>
          </w:p>
        </w:tc>
        <w:tc>
          <w:tcPr>
            <w:tcW w:w="1260" w:type="dxa"/>
            <w:vMerge w:val="continue"/>
            <w:noWrap w:val="0"/>
            <w:vAlign w:val="center"/>
          </w:tcPr>
          <w:p>
            <w:pPr>
              <w:ind w:left="-90" w:right="-113"/>
              <w:jc w:val="center"/>
              <w:rPr>
                <w:rFonts w:hint="default" w:ascii="Times New Roman" w:hAnsi="Times New Roman" w:cs="Times New Roman"/>
                <w:sz w:val="18"/>
                <w:szCs w:val="18"/>
              </w:rPr>
            </w:pPr>
          </w:p>
        </w:tc>
        <w:tc>
          <w:tcPr>
            <w:tcW w:w="1440" w:type="dxa"/>
            <w:vMerge w:val="continue"/>
            <w:noWrap w:val="0"/>
            <w:vAlign w:val="center"/>
          </w:tcPr>
          <w:p>
            <w:pPr>
              <w:ind w:left="-59" w:right="-57"/>
              <w:jc w:val="center"/>
              <w:rPr>
                <w:rFonts w:hint="default" w:ascii="Times New Roman" w:hAnsi="Times New Roman" w:cs="Times New Roman"/>
                <w:sz w:val="18"/>
                <w:szCs w:val="18"/>
              </w:rPr>
            </w:pPr>
          </w:p>
        </w:tc>
        <w:tc>
          <w:tcPr>
            <w:tcW w:w="1011" w:type="dxa"/>
            <w:vMerge w:val="continue"/>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4.独立系统试运行一次未成功</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扣1000元/项</w:t>
            </w:r>
          </w:p>
        </w:tc>
        <w:tc>
          <w:tcPr>
            <w:tcW w:w="1260" w:type="dxa"/>
            <w:vMerge w:val="restart"/>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vMerge w:val="continue"/>
            <w:noWrap w:val="0"/>
            <w:vAlign w:val="center"/>
          </w:tcPr>
          <w:p>
            <w:pPr>
              <w:ind w:left="-59" w:right="-57"/>
              <w:jc w:val="center"/>
              <w:rPr>
                <w:rFonts w:hint="default" w:ascii="Times New Roman" w:hAnsi="Times New Roman" w:cs="Times New Roman"/>
                <w:sz w:val="18"/>
                <w:szCs w:val="18"/>
              </w:rPr>
            </w:pPr>
          </w:p>
        </w:tc>
        <w:tc>
          <w:tcPr>
            <w:tcW w:w="1011" w:type="dxa"/>
            <w:vMerge w:val="continue"/>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5.独立系统试运行二次及以上未成功</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13.4加倍考核</w:t>
            </w:r>
          </w:p>
        </w:tc>
        <w:tc>
          <w:tcPr>
            <w:tcW w:w="1260" w:type="dxa"/>
            <w:vMerge w:val="continue"/>
            <w:noWrap w:val="0"/>
            <w:vAlign w:val="center"/>
          </w:tcPr>
          <w:p>
            <w:pPr>
              <w:ind w:left="-90" w:right="-113"/>
              <w:jc w:val="center"/>
              <w:rPr>
                <w:rFonts w:hint="default" w:ascii="Times New Roman" w:hAnsi="Times New Roman" w:cs="Times New Roman"/>
                <w:sz w:val="18"/>
                <w:szCs w:val="18"/>
              </w:rPr>
            </w:pPr>
          </w:p>
        </w:tc>
        <w:tc>
          <w:tcPr>
            <w:tcW w:w="1440" w:type="dxa"/>
            <w:vMerge w:val="continue"/>
            <w:noWrap w:val="0"/>
            <w:vAlign w:val="center"/>
          </w:tcPr>
          <w:p>
            <w:pPr>
              <w:ind w:left="-59" w:right="-57"/>
              <w:jc w:val="center"/>
              <w:rPr>
                <w:rFonts w:hint="default" w:ascii="Times New Roman" w:hAnsi="Times New Roman" w:cs="Times New Roman"/>
                <w:sz w:val="18"/>
                <w:szCs w:val="18"/>
              </w:rPr>
            </w:pPr>
          </w:p>
        </w:tc>
        <w:tc>
          <w:tcPr>
            <w:tcW w:w="1011" w:type="dxa"/>
            <w:vMerge w:val="continue"/>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rPr>
                <w:rFonts w:hint="default" w:ascii="Times New Roman" w:hAnsi="Times New Roman" w:cs="Times New Roman"/>
                <w:sz w:val="18"/>
                <w:szCs w:val="18"/>
              </w:rPr>
            </w:pPr>
            <w:r>
              <w:rPr>
                <w:rFonts w:hint="default" w:ascii="Times New Roman" w:hAnsi="Times New Roman" w:cs="Times New Roman"/>
                <w:spacing w:val="-2"/>
                <w:sz w:val="18"/>
                <w:szCs w:val="18"/>
              </w:rPr>
              <w:t>检修质量事件延误机组并网复役</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超过计划复役时间</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扣合同款5%~20%</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检修领导小组组长</w:t>
            </w:r>
          </w:p>
        </w:tc>
        <w:tc>
          <w:tcPr>
            <w:tcW w:w="1011" w:type="dxa"/>
            <w:noWrap w:val="0"/>
            <w:vAlign w:val="center"/>
          </w:tcPr>
          <w:p>
            <w:pP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启动后至满负荷期间的缺陷</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一类缺陷</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扣10000元/条</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w:t>
            </w:r>
          </w:p>
        </w:tc>
        <w:tc>
          <w:tcPr>
            <w:tcW w:w="1011" w:type="dxa"/>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二类缺陷</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扣3000元/条</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top"/>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w:t>
            </w:r>
          </w:p>
        </w:tc>
        <w:tc>
          <w:tcPr>
            <w:tcW w:w="1011" w:type="dxa"/>
            <w:noWrap w:val="0"/>
            <w:vAlign w:val="center"/>
          </w:tcPr>
          <w:p>
            <w:pPr>
              <w:jc w:val="cente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消缺不及时</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扣100元/条</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现场指挥及协调组</w:t>
            </w:r>
          </w:p>
        </w:tc>
        <w:tc>
          <w:tcPr>
            <w:tcW w:w="1011"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每条每超24小时扣100元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由检修质量原因产生的延期缺陷</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扣200~3000元/条</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现场指挥及协调组</w:t>
            </w:r>
          </w:p>
        </w:tc>
        <w:tc>
          <w:tcPr>
            <w:tcW w:w="1011" w:type="dxa"/>
            <w:noWrap w:val="0"/>
            <w:vAlign w:val="center"/>
          </w:tcPr>
          <w:p>
            <w:pP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jc w:val="cente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由检修质量原因产生重复缺陷</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扣300元/条</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现场指挥及协调组</w:t>
            </w:r>
          </w:p>
        </w:tc>
        <w:tc>
          <w:tcPr>
            <w:tcW w:w="1011"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重复次数在3次及以上的，加倍考核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机组C、D级检修</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由参修单位承接的项目，由检修质量原因致使机组连续运行未达到60天</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扣除质保金</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检修领导小组组长</w:t>
            </w:r>
          </w:p>
        </w:tc>
        <w:tc>
          <w:tcPr>
            <w:tcW w:w="1011" w:type="dxa"/>
            <w:noWrap w:val="0"/>
            <w:vAlign w:val="center"/>
          </w:tcPr>
          <w:p>
            <w:pP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机组A级检修</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由参修单位承接的项目，由检修质量原因致使机组连续运行未达到150天</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扣除质保金</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检修领导小组组长</w:t>
            </w:r>
          </w:p>
        </w:tc>
        <w:tc>
          <w:tcPr>
            <w:tcW w:w="1011" w:type="dxa"/>
            <w:noWrap w:val="0"/>
            <w:vAlign w:val="center"/>
          </w:tcPr>
          <w:p>
            <w:pP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25" w:type="dxa"/>
            <w:vMerge w:val="restart"/>
            <w:noWrap w:val="0"/>
            <w:vAlign w:val="center"/>
          </w:tcPr>
          <w:p>
            <w:pPr>
              <w:numPr>
                <w:ilvl w:val="0"/>
                <w:numId w:val="3"/>
              </w:numPr>
              <w:jc w:val="right"/>
              <w:rPr>
                <w:rFonts w:hint="default" w:ascii="Times New Roman" w:hAnsi="Times New Roman" w:cs="Times New Roman"/>
                <w:sz w:val="18"/>
                <w:szCs w:val="18"/>
              </w:rPr>
            </w:pPr>
          </w:p>
        </w:tc>
        <w:tc>
          <w:tcPr>
            <w:tcW w:w="996" w:type="dxa"/>
            <w:vMerge w:val="restart"/>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资料移交</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按文件管理要求，超时一天移交</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扣100元/天</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设备部专业主管</w:t>
            </w:r>
          </w:p>
        </w:tc>
        <w:tc>
          <w:tcPr>
            <w:tcW w:w="1011" w:type="dxa"/>
            <w:noWrap w:val="0"/>
            <w:vAlign w:val="center"/>
          </w:tcPr>
          <w:p>
            <w:pP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25" w:type="dxa"/>
            <w:vMerge w:val="continue"/>
            <w:noWrap w:val="0"/>
            <w:vAlign w:val="center"/>
          </w:tcPr>
          <w:p>
            <w:pPr>
              <w:numPr>
                <w:ilvl w:val="0"/>
                <w:numId w:val="3"/>
              </w:numPr>
              <w:jc w:val="right"/>
              <w:rPr>
                <w:rFonts w:hint="default" w:ascii="Times New Roman" w:hAnsi="Times New Roman" w:cs="Times New Roman"/>
                <w:sz w:val="18"/>
                <w:szCs w:val="18"/>
              </w:rPr>
            </w:pPr>
          </w:p>
        </w:tc>
        <w:tc>
          <w:tcPr>
            <w:tcW w:w="996" w:type="dxa"/>
            <w:vMerge w:val="continue"/>
            <w:noWrap w:val="0"/>
            <w:vAlign w:val="center"/>
          </w:tcPr>
          <w:p>
            <w:pPr>
              <w:rPr>
                <w:rFonts w:hint="default" w:ascii="Times New Roman" w:hAnsi="Times New Roman" w:cs="Times New Roman"/>
                <w:sz w:val="18"/>
                <w:szCs w:val="18"/>
              </w:rPr>
            </w:pP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移交文件缺少</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扣300元/份</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ind w:left="-59" w:right="-57"/>
              <w:jc w:val="center"/>
              <w:rPr>
                <w:rFonts w:hint="default" w:ascii="Times New Roman" w:hAnsi="Times New Roman" w:cs="Times New Roman"/>
                <w:sz w:val="18"/>
                <w:szCs w:val="18"/>
              </w:rPr>
            </w:pPr>
            <w:r>
              <w:rPr>
                <w:rFonts w:hint="default" w:ascii="Times New Roman" w:hAnsi="Times New Roman" w:cs="Times New Roman"/>
                <w:sz w:val="18"/>
                <w:szCs w:val="18"/>
              </w:rPr>
              <w:t>设备部专业主管</w:t>
            </w:r>
          </w:p>
        </w:tc>
        <w:tc>
          <w:tcPr>
            <w:tcW w:w="1011" w:type="dxa"/>
            <w:noWrap w:val="0"/>
            <w:vAlign w:val="center"/>
          </w:tcPr>
          <w:p>
            <w:pPr>
              <w:rPr>
                <w:rFonts w:hint="default" w:ascii="Times New Roman" w:hAnsi="Times New Roman"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rPr>
                <w:rFonts w:hint="default" w:ascii="Times New Roman" w:hAnsi="Times New Roman" w:cs="Times New Roman"/>
                <w:spacing w:val="-2"/>
                <w:sz w:val="18"/>
                <w:szCs w:val="18"/>
              </w:rPr>
            </w:pPr>
            <w:r>
              <w:rPr>
                <w:rFonts w:hint="default" w:ascii="Times New Roman" w:hAnsi="Times New Roman" w:cs="Times New Roman"/>
                <w:spacing w:val="-2"/>
                <w:sz w:val="18"/>
                <w:szCs w:val="18"/>
              </w:rPr>
              <w:t>修后缺陷（C、D检修复役后60天内，A级检修复役后150天内）</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由检修质量原因产生的延期缺陷</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扣200元/条</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责任单位</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设备管理部</w:t>
            </w:r>
          </w:p>
        </w:tc>
        <w:tc>
          <w:tcPr>
            <w:tcW w:w="1011"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在质保金内扣除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25" w:type="dxa"/>
            <w:noWrap w:val="0"/>
            <w:vAlign w:val="center"/>
          </w:tcPr>
          <w:p>
            <w:pPr>
              <w:numPr>
                <w:ilvl w:val="0"/>
                <w:numId w:val="3"/>
              </w:numPr>
              <w:jc w:val="right"/>
              <w:rPr>
                <w:rFonts w:hint="default" w:ascii="Times New Roman" w:hAnsi="Times New Roman" w:cs="Times New Roman"/>
                <w:sz w:val="18"/>
                <w:szCs w:val="18"/>
              </w:rPr>
            </w:pPr>
          </w:p>
        </w:tc>
        <w:tc>
          <w:tcPr>
            <w:tcW w:w="996" w:type="dxa"/>
            <w:noWrap w:val="0"/>
            <w:vAlign w:val="center"/>
          </w:tcPr>
          <w:p>
            <w:pPr>
              <w:rPr>
                <w:rFonts w:hint="default" w:ascii="Times New Roman" w:hAnsi="Times New Roman" w:cs="Times New Roman"/>
                <w:spacing w:val="-2"/>
                <w:sz w:val="18"/>
                <w:szCs w:val="18"/>
              </w:rPr>
            </w:pPr>
            <w:r>
              <w:rPr>
                <w:rFonts w:hint="default" w:ascii="Times New Roman" w:hAnsi="Times New Roman" w:cs="Times New Roman"/>
                <w:spacing w:val="-2"/>
                <w:sz w:val="18"/>
                <w:szCs w:val="18"/>
              </w:rPr>
              <w:t>嘉奖</w:t>
            </w:r>
          </w:p>
        </w:tc>
        <w:tc>
          <w:tcPr>
            <w:tcW w:w="2259"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满足以下所有条款</w:t>
            </w:r>
          </w:p>
          <w:p>
            <w:pPr>
              <w:rPr>
                <w:rFonts w:hint="default" w:ascii="Times New Roman" w:hAnsi="Times New Roman" w:cs="Times New Roman"/>
                <w:sz w:val="18"/>
                <w:szCs w:val="18"/>
              </w:rPr>
            </w:pPr>
            <w:r>
              <w:rPr>
                <w:rFonts w:hint="default" w:ascii="Times New Roman" w:hAnsi="Times New Roman" w:cs="Times New Roman"/>
                <w:sz w:val="18"/>
                <w:szCs w:val="18"/>
              </w:rPr>
              <w:t>(一)</w:t>
            </w:r>
            <w:r>
              <w:rPr>
                <w:rFonts w:hint="default" w:ascii="Times New Roman" w:hAnsi="Times New Roman" w:cs="Times New Roman"/>
                <w:sz w:val="18"/>
                <w:szCs w:val="18"/>
              </w:rPr>
              <w:tab/>
            </w:r>
            <w:r>
              <w:rPr>
                <w:rFonts w:hint="default" w:ascii="Times New Roman" w:hAnsi="Times New Roman" w:cs="Times New Roman"/>
                <w:sz w:val="18"/>
                <w:szCs w:val="18"/>
              </w:rPr>
              <w:t xml:space="preserve">全部执行规定的检修项目，无漏项； </w:t>
            </w:r>
          </w:p>
          <w:p>
            <w:pPr>
              <w:rPr>
                <w:rFonts w:hint="default" w:ascii="Times New Roman" w:hAnsi="Times New Roman" w:cs="Times New Roman"/>
                <w:sz w:val="18"/>
                <w:szCs w:val="18"/>
              </w:rPr>
            </w:pPr>
            <w:r>
              <w:rPr>
                <w:rFonts w:hint="default" w:ascii="Times New Roman" w:hAnsi="Times New Roman" w:cs="Times New Roman"/>
                <w:sz w:val="18"/>
                <w:szCs w:val="18"/>
              </w:rPr>
              <w:t>(二)</w:t>
            </w:r>
            <w:r>
              <w:rPr>
                <w:rFonts w:hint="default" w:ascii="Times New Roman" w:hAnsi="Times New Roman" w:cs="Times New Roman"/>
                <w:sz w:val="18"/>
                <w:szCs w:val="18"/>
              </w:rPr>
              <w:tab/>
            </w:r>
            <w:r>
              <w:rPr>
                <w:rFonts w:hint="default" w:ascii="Times New Roman" w:hAnsi="Times New Roman" w:cs="Times New Roman"/>
                <w:sz w:val="18"/>
                <w:szCs w:val="18"/>
              </w:rPr>
              <w:t>符合检修质量标准的规定，检修质量良好；</w:t>
            </w:r>
          </w:p>
          <w:p>
            <w:pPr>
              <w:rPr>
                <w:rFonts w:hint="default" w:ascii="Times New Roman" w:hAnsi="Times New Roman" w:cs="Times New Roman"/>
                <w:sz w:val="18"/>
                <w:szCs w:val="18"/>
              </w:rPr>
            </w:pPr>
            <w:r>
              <w:rPr>
                <w:rFonts w:hint="default" w:ascii="Times New Roman" w:hAnsi="Times New Roman" w:cs="Times New Roman"/>
                <w:sz w:val="18"/>
                <w:szCs w:val="18"/>
              </w:rPr>
              <w:t>(三)</w:t>
            </w:r>
            <w:r>
              <w:rPr>
                <w:rFonts w:hint="default" w:ascii="Times New Roman" w:hAnsi="Times New Roman" w:cs="Times New Roman"/>
                <w:sz w:val="18"/>
                <w:szCs w:val="18"/>
              </w:rPr>
              <w:tab/>
            </w:r>
            <w:r>
              <w:rPr>
                <w:rFonts w:hint="default" w:ascii="Times New Roman" w:hAnsi="Times New Roman" w:cs="Times New Roman"/>
                <w:sz w:val="18"/>
                <w:szCs w:val="18"/>
              </w:rPr>
              <w:t xml:space="preserve">检修后设备外表完好，保温完整，油漆齐全，设备编号、标志清晰牢固，介质流向、色环齐全、清晰，屏柜内接线整齐美观，屏柜内无积灰、无杂物、柜门关闭严密、电缆封堵良好；符合公司文明生产的各项规定； </w:t>
            </w:r>
          </w:p>
          <w:p>
            <w:pPr>
              <w:rPr>
                <w:rFonts w:hint="default" w:ascii="Times New Roman" w:hAnsi="Times New Roman" w:cs="Times New Roman"/>
                <w:sz w:val="18"/>
                <w:szCs w:val="18"/>
              </w:rPr>
            </w:pPr>
            <w:r>
              <w:rPr>
                <w:rFonts w:hint="default" w:ascii="Times New Roman" w:hAnsi="Times New Roman" w:cs="Times New Roman"/>
                <w:sz w:val="18"/>
                <w:szCs w:val="18"/>
              </w:rPr>
              <w:t>(四)</w:t>
            </w:r>
            <w:r>
              <w:rPr>
                <w:rFonts w:hint="default" w:ascii="Times New Roman" w:hAnsi="Times New Roman" w:cs="Times New Roman"/>
                <w:sz w:val="18"/>
                <w:szCs w:val="18"/>
              </w:rPr>
              <w:tab/>
            </w:r>
            <w:r>
              <w:rPr>
                <w:rFonts w:hint="default" w:ascii="Times New Roman" w:hAnsi="Times New Roman" w:cs="Times New Roman"/>
                <w:sz w:val="18"/>
                <w:szCs w:val="18"/>
              </w:rPr>
              <w:t xml:space="preserve">检修单位的周考评表综合排名在第2名以上； </w:t>
            </w:r>
          </w:p>
          <w:p>
            <w:pPr>
              <w:rPr>
                <w:rFonts w:hint="default" w:ascii="Times New Roman" w:hAnsi="Times New Roman" w:cs="Times New Roman"/>
                <w:sz w:val="18"/>
                <w:szCs w:val="18"/>
              </w:rPr>
            </w:pPr>
            <w:r>
              <w:rPr>
                <w:rFonts w:hint="default" w:ascii="Times New Roman" w:hAnsi="Times New Roman" w:cs="Times New Roman"/>
                <w:sz w:val="18"/>
                <w:szCs w:val="18"/>
              </w:rPr>
              <w:t>(五)</w:t>
            </w:r>
            <w:r>
              <w:rPr>
                <w:rFonts w:hint="default" w:ascii="Times New Roman" w:hAnsi="Times New Roman" w:cs="Times New Roman"/>
                <w:sz w:val="18"/>
                <w:szCs w:val="18"/>
              </w:rPr>
              <w:tab/>
            </w:r>
            <w:r>
              <w:rPr>
                <w:rFonts w:hint="default" w:ascii="Times New Roman" w:hAnsi="Times New Roman" w:cs="Times New Roman"/>
                <w:sz w:val="18"/>
                <w:szCs w:val="18"/>
              </w:rPr>
              <w:t xml:space="preserve">检修中无不合格和返工的项目； </w:t>
            </w:r>
          </w:p>
          <w:p>
            <w:pPr>
              <w:rPr>
                <w:rFonts w:hint="default" w:ascii="Times New Roman" w:hAnsi="Times New Roman" w:cs="Times New Roman"/>
                <w:sz w:val="18"/>
                <w:szCs w:val="18"/>
              </w:rPr>
            </w:pPr>
            <w:r>
              <w:rPr>
                <w:rFonts w:hint="default" w:ascii="Times New Roman" w:hAnsi="Times New Roman" w:cs="Times New Roman"/>
                <w:sz w:val="18"/>
                <w:szCs w:val="18"/>
              </w:rPr>
              <w:t>(六)</w:t>
            </w:r>
            <w:r>
              <w:rPr>
                <w:rFonts w:hint="default" w:ascii="Times New Roman" w:hAnsi="Times New Roman" w:cs="Times New Roman"/>
                <w:sz w:val="18"/>
                <w:szCs w:val="18"/>
              </w:rPr>
              <w:tab/>
            </w:r>
            <w:r>
              <w:rPr>
                <w:rFonts w:hint="default" w:ascii="Times New Roman" w:hAnsi="Times New Roman" w:cs="Times New Roman"/>
                <w:sz w:val="18"/>
                <w:szCs w:val="18"/>
              </w:rPr>
              <w:t xml:space="preserve">检修和试验记录、图纸及验收记录详细齐全，字迹端正清晰； </w:t>
            </w:r>
          </w:p>
          <w:p>
            <w:pPr>
              <w:rPr>
                <w:rFonts w:hint="default" w:ascii="Times New Roman" w:hAnsi="Times New Roman" w:cs="Times New Roman"/>
                <w:sz w:val="18"/>
                <w:szCs w:val="18"/>
              </w:rPr>
            </w:pPr>
            <w:r>
              <w:rPr>
                <w:rFonts w:hint="default" w:ascii="Times New Roman" w:hAnsi="Times New Roman" w:cs="Times New Roman"/>
                <w:sz w:val="18"/>
                <w:szCs w:val="18"/>
              </w:rPr>
              <w:t>(七)</w:t>
            </w:r>
            <w:r>
              <w:rPr>
                <w:rFonts w:hint="default" w:ascii="Times New Roman" w:hAnsi="Times New Roman" w:cs="Times New Roman"/>
                <w:sz w:val="18"/>
                <w:szCs w:val="18"/>
              </w:rPr>
              <w:tab/>
            </w:r>
            <w:r>
              <w:rPr>
                <w:rFonts w:hint="default" w:ascii="Times New Roman" w:hAnsi="Times New Roman" w:cs="Times New Roman"/>
                <w:sz w:val="18"/>
                <w:szCs w:val="18"/>
              </w:rPr>
              <w:t>修后设备各项性能指标达到国内国际标准、行业标准、设计要求、制造厂要求或本企业标准的优良水平，如送风机、一次风机振动值，参照GB20275,振动合格值为＜4.6mm/s，参照ASME标准优秀值为＜1.8mm/s。又如汽轮机轴振小于76um（微米）为优良。</w:t>
            </w:r>
          </w:p>
          <w:p>
            <w:pPr>
              <w:rPr>
                <w:rFonts w:hint="default" w:ascii="Times New Roman" w:hAnsi="Times New Roman" w:cs="Times New Roman"/>
                <w:sz w:val="18"/>
                <w:szCs w:val="18"/>
              </w:rPr>
            </w:pPr>
            <w:r>
              <w:rPr>
                <w:rFonts w:hint="default" w:ascii="Times New Roman" w:hAnsi="Times New Roman" w:cs="Times New Roman"/>
                <w:sz w:val="18"/>
                <w:szCs w:val="18"/>
              </w:rPr>
              <w:t>(八)</w:t>
            </w:r>
            <w:r>
              <w:rPr>
                <w:rFonts w:hint="default" w:ascii="Times New Roman" w:hAnsi="Times New Roman" w:cs="Times New Roman"/>
                <w:sz w:val="18"/>
                <w:szCs w:val="18"/>
              </w:rPr>
              <w:tab/>
            </w:r>
            <w:r>
              <w:rPr>
                <w:rFonts w:hint="default" w:ascii="Times New Roman" w:hAnsi="Times New Roman" w:cs="Times New Roman"/>
                <w:sz w:val="18"/>
                <w:szCs w:val="18"/>
              </w:rPr>
              <w:t>修后设备缺陷的24h消缺率100%（具备消缺条件的情况下），设备移交时无延期缺陷。</w:t>
            </w:r>
          </w:p>
          <w:p>
            <w:pPr>
              <w:rPr>
                <w:rFonts w:hint="default" w:ascii="Times New Roman" w:hAnsi="Times New Roman" w:cs="Times New Roman"/>
                <w:sz w:val="18"/>
                <w:szCs w:val="18"/>
              </w:rPr>
            </w:pPr>
            <w:r>
              <w:rPr>
                <w:rFonts w:hint="default" w:ascii="Times New Roman" w:hAnsi="Times New Roman" w:cs="Times New Roman"/>
                <w:sz w:val="18"/>
                <w:szCs w:val="18"/>
              </w:rPr>
              <w:t>(九)</w:t>
            </w:r>
            <w:r>
              <w:rPr>
                <w:rFonts w:hint="default" w:ascii="Times New Roman" w:hAnsi="Times New Roman" w:cs="Times New Roman"/>
                <w:sz w:val="18"/>
                <w:szCs w:val="18"/>
              </w:rPr>
              <w:tab/>
            </w:r>
            <w:r>
              <w:rPr>
                <w:rFonts w:hint="default" w:ascii="Times New Roman" w:hAnsi="Times New Roman" w:cs="Times New Roman"/>
                <w:sz w:val="18"/>
                <w:szCs w:val="18"/>
              </w:rPr>
              <w:t>保护及自动装置动作准确可靠，投入率100%，主要监视仪表及信号指示正确。</w:t>
            </w:r>
          </w:p>
        </w:tc>
        <w:tc>
          <w:tcPr>
            <w:tcW w:w="1440" w:type="dxa"/>
            <w:noWrap w:val="0"/>
            <w:vAlign w:val="center"/>
          </w:tcPr>
          <w:p>
            <w:pPr>
              <w:rPr>
                <w:rFonts w:hint="default" w:ascii="Times New Roman" w:hAnsi="Times New Roman" w:cs="Times New Roman"/>
                <w:sz w:val="18"/>
                <w:szCs w:val="18"/>
              </w:rPr>
            </w:pPr>
            <w:r>
              <w:rPr>
                <w:rFonts w:hint="default" w:ascii="Times New Roman" w:hAnsi="Times New Roman" w:cs="Times New Roman"/>
                <w:sz w:val="18"/>
                <w:szCs w:val="18"/>
              </w:rPr>
              <w:t>合同金额的1%</w:t>
            </w:r>
          </w:p>
        </w:tc>
        <w:tc>
          <w:tcPr>
            <w:tcW w:w="1260" w:type="dxa"/>
            <w:noWrap w:val="0"/>
            <w:vAlign w:val="center"/>
          </w:tcPr>
          <w:p>
            <w:pPr>
              <w:ind w:left="-90" w:right="-113"/>
              <w:jc w:val="center"/>
              <w:rPr>
                <w:rFonts w:hint="default" w:ascii="Times New Roman" w:hAnsi="Times New Roman" w:cs="Times New Roman"/>
                <w:sz w:val="18"/>
                <w:szCs w:val="18"/>
              </w:rPr>
            </w:pPr>
            <w:r>
              <w:rPr>
                <w:rFonts w:hint="default" w:ascii="Times New Roman" w:hAnsi="Times New Roman" w:cs="Times New Roman"/>
                <w:sz w:val="18"/>
                <w:szCs w:val="18"/>
              </w:rPr>
              <w:t>参修单位</w:t>
            </w:r>
          </w:p>
        </w:tc>
        <w:tc>
          <w:tcPr>
            <w:tcW w:w="1440"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w:t>
            </w:r>
          </w:p>
        </w:tc>
        <w:tc>
          <w:tcPr>
            <w:tcW w:w="1011" w:type="dxa"/>
            <w:noWrap w:val="0"/>
            <w:vAlign w:val="center"/>
          </w:tcPr>
          <w:p>
            <w:pPr>
              <w:rPr>
                <w:rFonts w:hint="default" w:ascii="Times New Roman" w:hAnsi="Times New Roman" w:cs="Times New Roman"/>
                <w:sz w:val="18"/>
                <w:szCs w:val="18"/>
              </w:rPr>
            </w:pPr>
          </w:p>
        </w:tc>
      </w:tr>
    </w:tbl>
    <w:p>
      <w:pPr>
        <w:pStyle w:val="192"/>
        <w:widowControl/>
        <w:jc w:val="left"/>
        <w:rPr>
          <w:rFonts w:asciiTheme="minorEastAsia" w:hAnsiTheme="minorEastAsia" w:eastAsiaTheme="minorEastAsia"/>
          <w:highlight w:val="none"/>
        </w:rPr>
        <w:sectPr>
          <w:pgSz w:w="11906" w:h="16838"/>
          <w:pgMar w:top="1440" w:right="1800" w:bottom="1440" w:left="1800" w:header="851" w:footer="992" w:gutter="0"/>
          <w:cols w:space="720" w:num="1"/>
          <w:docGrid w:linePitch="360" w:charSpace="0"/>
        </w:sectPr>
      </w:pPr>
    </w:p>
    <w:p>
      <w:pPr>
        <w:pStyle w:val="188"/>
        <w:numPr>
          <w:ilvl w:val="0"/>
          <w:numId w:val="2"/>
        </w:numPr>
        <w:spacing w:before="0" w:line="240" w:lineRule="exact"/>
        <w:ind w:left="0"/>
        <w:rPr>
          <w:rFonts w:asciiTheme="minorEastAsia" w:hAnsiTheme="minorEastAsia" w:eastAsiaTheme="minorEastAsia"/>
          <w:sz w:val="21"/>
          <w:szCs w:val="21"/>
          <w:highlight w:val="none"/>
        </w:rPr>
      </w:pPr>
    </w:p>
    <w:p>
      <w:pPr>
        <w:pStyle w:val="188"/>
        <w:numPr>
          <w:ilvl w:val="0"/>
          <w:numId w:val="0"/>
        </w:numPr>
        <w:spacing w:before="0" w:line="24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highlight w:val="none"/>
        </w:rPr>
        <w:t>《生产现场考核标准》</w:t>
      </w:r>
    </w:p>
    <w:tbl>
      <w:tblPr>
        <w:tblStyle w:val="33"/>
        <w:tblW w:w="87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8"/>
        <w:gridCol w:w="708"/>
        <w:gridCol w:w="3521"/>
        <w:gridCol w:w="2522"/>
        <w:gridCol w:w="1305"/>
        <w:tblGridChange w:id="1">
          <w:tblGrid>
            <w:gridCol w:w="708"/>
            <w:gridCol w:w="708"/>
            <w:gridCol w:w="3521"/>
            <w:gridCol w:w="2522"/>
            <w:gridCol w:w="1305"/>
          </w:tblGrid>
        </w:tblGridChange>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708" w:type="dxa"/>
            <w:tcBorders>
              <w:top w:val="single" w:color="auto" w:sz="12" w:space="0"/>
            </w:tcBorders>
            <w:noWrap w:val="0"/>
            <w:vAlign w:val="center"/>
          </w:tcPr>
          <w:p>
            <w:pPr>
              <w:spacing w:line="0" w:lineRule="atLeast"/>
              <w:jc w:val="center"/>
              <w:rPr>
                <w:rFonts w:hint="default" w:ascii="Times New Roman" w:hAnsi="Times New Roman" w:cs="Times New Roman"/>
                <w:b/>
                <w:bCs/>
                <w:sz w:val="18"/>
                <w:szCs w:val="18"/>
              </w:rPr>
            </w:pPr>
            <w:r>
              <w:rPr>
                <w:rFonts w:hint="default" w:ascii="Times New Roman" w:hAnsi="Times New Roman" w:cs="Times New Roman"/>
                <w:b/>
                <w:bCs/>
                <w:sz w:val="18"/>
                <w:szCs w:val="18"/>
              </w:rPr>
              <w:t>序号</w:t>
            </w:r>
          </w:p>
        </w:tc>
        <w:tc>
          <w:tcPr>
            <w:tcW w:w="708" w:type="dxa"/>
            <w:tcBorders>
              <w:top w:val="single" w:color="auto" w:sz="12" w:space="0"/>
            </w:tcBorders>
            <w:noWrap w:val="0"/>
            <w:vAlign w:val="center"/>
          </w:tcPr>
          <w:p>
            <w:pPr>
              <w:spacing w:line="0" w:lineRule="atLeast"/>
              <w:jc w:val="center"/>
              <w:rPr>
                <w:rFonts w:hint="default" w:ascii="Times New Roman" w:hAnsi="Times New Roman" w:cs="Times New Roman"/>
                <w:b/>
                <w:bCs/>
                <w:sz w:val="18"/>
                <w:szCs w:val="18"/>
              </w:rPr>
            </w:pPr>
            <w:r>
              <w:rPr>
                <w:rFonts w:hint="default" w:ascii="Times New Roman" w:hAnsi="Times New Roman" w:cs="Times New Roman"/>
                <w:b/>
                <w:bCs/>
                <w:sz w:val="18"/>
                <w:szCs w:val="18"/>
              </w:rPr>
              <w:t>项目</w:t>
            </w:r>
          </w:p>
        </w:tc>
        <w:tc>
          <w:tcPr>
            <w:tcW w:w="3521" w:type="dxa"/>
            <w:tcBorders>
              <w:top w:val="single" w:color="auto" w:sz="12" w:space="0"/>
            </w:tcBorders>
            <w:noWrap w:val="0"/>
            <w:vAlign w:val="center"/>
          </w:tcPr>
          <w:p>
            <w:pPr>
              <w:spacing w:line="0" w:lineRule="atLeast"/>
              <w:jc w:val="center"/>
              <w:rPr>
                <w:rFonts w:hint="default" w:ascii="Times New Roman" w:hAnsi="Times New Roman" w:cs="Times New Roman"/>
                <w:b/>
                <w:bCs/>
                <w:sz w:val="18"/>
                <w:szCs w:val="18"/>
              </w:rPr>
            </w:pPr>
            <w:r>
              <w:rPr>
                <w:rFonts w:hint="default" w:ascii="Times New Roman" w:hAnsi="Times New Roman" w:cs="Times New Roman"/>
                <w:b/>
                <w:bCs/>
                <w:sz w:val="18"/>
                <w:szCs w:val="18"/>
              </w:rPr>
              <w:t>考核标准</w:t>
            </w:r>
          </w:p>
        </w:tc>
        <w:tc>
          <w:tcPr>
            <w:tcW w:w="2522" w:type="dxa"/>
            <w:tcBorders>
              <w:top w:val="single" w:color="auto" w:sz="12" w:space="0"/>
            </w:tcBorders>
            <w:noWrap w:val="0"/>
            <w:vAlign w:val="center"/>
          </w:tcPr>
          <w:p>
            <w:pPr>
              <w:spacing w:line="0" w:lineRule="atLeast"/>
              <w:jc w:val="center"/>
              <w:rPr>
                <w:rFonts w:hint="default" w:ascii="Times New Roman" w:hAnsi="Times New Roman" w:cs="Times New Roman"/>
                <w:b/>
                <w:bCs/>
                <w:sz w:val="18"/>
                <w:szCs w:val="18"/>
              </w:rPr>
            </w:pPr>
            <w:r>
              <w:rPr>
                <w:rFonts w:hint="default" w:ascii="Times New Roman" w:hAnsi="Times New Roman" w:cs="Times New Roman"/>
                <w:b/>
                <w:bCs/>
                <w:sz w:val="18"/>
                <w:szCs w:val="18"/>
              </w:rPr>
              <w:t>考核值</w:t>
            </w:r>
          </w:p>
        </w:tc>
        <w:tc>
          <w:tcPr>
            <w:tcW w:w="1305" w:type="dxa"/>
            <w:tcBorders>
              <w:top w:val="single" w:color="auto" w:sz="12" w:space="0"/>
            </w:tcBorders>
            <w:noWrap w:val="0"/>
            <w:vAlign w:val="center"/>
          </w:tcPr>
          <w:p>
            <w:pPr>
              <w:spacing w:line="0" w:lineRule="atLeast"/>
              <w:jc w:val="center"/>
              <w:rPr>
                <w:rFonts w:hint="default" w:ascii="Times New Roman" w:hAnsi="Times New Roman" w:cs="Times New Roman"/>
                <w:b/>
                <w:bCs/>
                <w:sz w:val="18"/>
                <w:szCs w:val="18"/>
              </w:rPr>
            </w:pPr>
            <w:r>
              <w:rPr>
                <w:rFonts w:hint="default" w:ascii="Times New Roman" w:hAnsi="Times New Roman" w:cs="Times New Roman"/>
                <w:b/>
                <w:bCs/>
                <w:sz w:val="18"/>
                <w:szCs w:val="18"/>
              </w:rPr>
              <w:t>考核者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restart"/>
            <w:noWrap w:val="0"/>
            <w:vAlign w:val="center"/>
          </w:tcPr>
          <w:p>
            <w:pPr>
              <w:spacing w:line="0" w:lineRule="atLeast"/>
              <w:jc w:val="center"/>
              <w:rPr>
                <w:rFonts w:hint="default" w:ascii="Times New Roman" w:hAnsi="Times New Roman" w:cs="Times New Roman"/>
                <w:b/>
                <w:sz w:val="18"/>
                <w:szCs w:val="18"/>
              </w:rPr>
            </w:pPr>
            <w:r>
              <w:rPr>
                <w:rFonts w:hint="default" w:ascii="Times New Roman" w:hAnsi="Times New Roman" w:cs="Times New Roman"/>
                <w:b/>
                <w:sz w:val="18"/>
                <w:szCs w:val="18"/>
              </w:rPr>
              <w:t>本体及附属设备</w:t>
            </w:r>
          </w:p>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设备本体无沉积的污染物、无积粉、积灰、积油，无杂物、油漆无起皮、脱落、壳体见本色。基础台板内部无积水、积油、积尘、杂物。</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 xml:space="preserve">每发现一处不符合扣100元 </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阀门牌、设备标牌、转向标识、警示标识齐全完整，表面无灰尘、锈蚀、油迹，字迹清晰、齐全、牢固。</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法兰接口无泄漏、螺栓无缺失、断裂。</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每发现一处不符合扣100~500元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转动机械运行平稳、无异音。滤网完整，无吸附杂物。</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有异音、振动超标不得分，其余每发现一处扣100元/处</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电缆槽盒、电缆线保护套无缺失、变形、腐蚀；电缆通道封堵规范、电缆标号标识牌完整。接地线紧固无松动，色漆完整。</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扣100元/处</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restart"/>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管道整齐、保温完好，无泄漏</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支吊架变形扣100-500元/处</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continue"/>
            <w:noWrap w:val="0"/>
            <w:vAlign w:val="center"/>
          </w:tcPr>
          <w:p>
            <w:pPr>
              <w:spacing w:line="0" w:lineRule="atLeast"/>
              <w:rPr>
                <w:rFonts w:hint="default" w:ascii="Times New Roman" w:hAnsi="Times New Roman" w:cs="Times New Roman"/>
                <w:sz w:val="18"/>
                <w:szCs w:val="18"/>
              </w:rPr>
            </w:pP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保温破损扣200元/处</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警示线完好，管道的箭头标注要与管道的直径相匹配，同类设备的箭头大小、形状统一，管道上要标示介质流向，色环、介质名称、流向。管道支架无积灰，无变形。</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restart"/>
            <w:noWrap w:val="0"/>
            <w:vAlign w:val="center"/>
          </w:tcPr>
          <w:p>
            <w:pPr>
              <w:spacing w:line="0" w:lineRule="atLeast"/>
              <w:jc w:val="center"/>
              <w:rPr>
                <w:rFonts w:hint="default" w:ascii="Times New Roman" w:hAnsi="Times New Roman" w:cs="Times New Roman"/>
                <w:b/>
                <w:sz w:val="18"/>
                <w:szCs w:val="18"/>
              </w:rPr>
            </w:pPr>
            <w:r>
              <w:rPr>
                <w:rFonts w:hint="default" w:ascii="Times New Roman" w:hAnsi="Times New Roman" w:cs="Times New Roman"/>
                <w:b/>
                <w:sz w:val="18"/>
                <w:szCs w:val="18"/>
              </w:rPr>
              <w:t>控制柜及仪表</w:t>
            </w:r>
          </w:p>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铭牌字迹清晰、齐全，牢固；柜体无变形，油漆无脱落、变色；表面无灰尘、锈蚀、油迹、柜门关闭严密、门锁完好，开关灵活，柜内清洁无杂物、图纸准确清晰。</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restart"/>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电缆槽盒、电缆线保护套无缺失、变形、腐蚀；电缆通道封堵规范、电缆标号标识牌完整；电缆套管整齐，不凌乱。</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电缆通道无封堵、接线无标识每发现一处不符合扣200元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continue"/>
            <w:noWrap w:val="0"/>
            <w:vAlign w:val="center"/>
          </w:tcPr>
          <w:p>
            <w:pPr>
              <w:spacing w:line="0" w:lineRule="atLeast"/>
              <w:rPr>
                <w:rFonts w:hint="default" w:ascii="Times New Roman" w:hAnsi="Times New Roman" w:cs="Times New Roman"/>
                <w:sz w:val="18"/>
                <w:szCs w:val="18"/>
              </w:rPr>
            </w:pP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标识不清晰每发现一处不符合扣100元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restart"/>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仪表、执行机构等设备见本色，表面无灰尘、锈蚀、油迹、杂物；仪表安装整齐、规范、便于观察，测量管张、汽源管线无渗漏；压力表、温度表表盘用色带划分区间。色带宽为3mm，绿色区间表示设备参数处于正常范围，黄色区间表示设备参数处于异常状态，红色区间表示设备参数处于故障状态。热工仪表的检定标志贴在表盘下部。</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渗漏每发现一处不符合扣100元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continue"/>
            <w:noWrap w:val="0"/>
            <w:vAlign w:val="center"/>
          </w:tcPr>
          <w:p>
            <w:pPr>
              <w:spacing w:line="0" w:lineRule="atLeast"/>
              <w:rPr>
                <w:rFonts w:hint="default" w:ascii="Times New Roman" w:hAnsi="Times New Roman" w:cs="Times New Roman"/>
                <w:sz w:val="18"/>
                <w:szCs w:val="18"/>
              </w:rPr>
            </w:pP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仪表校验过期或无检定标志每发现一处不符合扣100元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continue"/>
            <w:noWrap w:val="0"/>
            <w:vAlign w:val="center"/>
          </w:tcPr>
          <w:p>
            <w:pPr>
              <w:spacing w:line="0" w:lineRule="atLeast"/>
              <w:rPr>
                <w:rFonts w:hint="default" w:ascii="Times New Roman" w:hAnsi="Times New Roman" w:cs="Times New Roman"/>
                <w:sz w:val="18"/>
                <w:szCs w:val="18"/>
              </w:rPr>
            </w:pP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其他每发现一处不符合扣100元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restart"/>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标识正确，接线紧固无松动，号头完整准确</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接线松动每发现一处不符合扣500元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continue"/>
            <w:noWrap w:val="0"/>
            <w:vAlign w:val="center"/>
          </w:tcPr>
          <w:p>
            <w:pPr>
              <w:spacing w:line="0" w:lineRule="atLeast"/>
              <w:rPr>
                <w:rFonts w:hint="default" w:ascii="Times New Roman" w:hAnsi="Times New Roman" w:cs="Times New Roman"/>
                <w:sz w:val="18"/>
                <w:szCs w:val="18"/>
              </w:rPr>
            </w:pP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接线无标识每发现一处不符合扣200元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vMerge w:val="continue"/>
            <w:noWrap w:val="0"/>
            <w:vAlign w:val="center"/>
          </w:tcPr>
          <w:p>
            <w:pPr>
              <w:spacing w:line="0" w:lineRule="atLeast"/>
              <w:rPr>
                <w:rFonts w:hint="default" w:ascii="Times New Roman" w:hAnsi="Times New Roman" w:cs="Times New Roman"/>
                <w:sz w:val="18"/>
                <w:szCs w:val="18"/>
              </w:rPr>
            </w:pP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标识不清晰每发现一处不符合扣100元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restart"/>
            <w:noWrap w:val="0"/>
            <w:vAlign w:val="center"/>
          </w:tcPr>
          <w:p>
            <w:pPr>
              <w:spacing w:line="0" w:lineRule="atLeast"/>
              <w:jc w:val="center"/>
              <w:rPr>
                <w:rFonts w:hint="default" w:ascii="Times New Roman" w:hAnsi="Times New Roman" w:cs="Times New Roman"/>
                <w:b/>
                <w:sz w:val="18"/>
                <w:szCs w:val="18"/>
              </w:rPr>
            </w:pPr>
            <w:r>
              <w:rPr>
                <w:rFonts w:hint="default" w:ascii="Times New Roman" w:hAnsi="Times New Roman" w:cs="Times New Roman"/>
                <w:b/>
                <w:sz w:val="18"/>
                <w:szCs w:val="18"/>
              </w:rPr>
              <w:t>看板及现场目示化管理</w:t>
            </w:r>
          </w:p>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看板布置符合项目管理手册要求</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未布置扣300元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看板内容不符合现场实际、空洞、可操性缺乏</w:t>
            </w:r>
          </w:p>
        </w:tc>
        <w:tc>
          <w:tcPr>
            <w:tcW w:w="2522" w:type="dxa"/>
            <w:noWrap w:val="0"/>
            <w:vAlign w:val="center"/>
          </w:tcPr>
          <w:p>
            <w:pPr>
              <w:spacing w:line="0" w:lineRule="atLeast"/>
              <w:jc w:val="left"/>
              <w:rPr>
                <w:rFonts w:hint="default" w:ascii="Times New Roman" w:hAnsi="Times New Roman" w:cs="Times New Roman"/>
                <w:sz w:val="18"/>
                <w:szCs w:val="18"/>
              </w:rPr>
            </w:pPr>
            <w:r>
              <w:rPr>
                <w:rFonts w:hint="default" w:ascii="Times New Roman" w:hAnsi="Times New Roman" w:cs="Times New Roman"/>
                <w:sz w:val="18"/>
                <w:szCs w:val="18"/>
              </w:rPr>
              <w:t>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restart"/>
            <w:noWrap w:val="0"/>
            <w:vAlign w:val="center"/>
          </w:tcPr>
          <w:p>
            <w:pPr>
              <w:spacing w:line="0" w:lineRule="atLeast"/>
              <w:jc w:val="center"/>
              <w:rPr>
                <w:rFonts w:hint="default" w:ascii="Times New Roman" w:hAnsi="Times New Roman" w:cs="Times New Roman"/>
                <w:b/>
                <w:sz w:val="18"/>
                <w:szCs w:val="18"/>
              </w:rPr>
            </w:pPr>
            <w:r>
              <w:rPr>
                <w:rFonts w:hint="default" w:ascii="Times New Roman" w:hAnsi="Times New Roman" w:cs="Times New Roman"/>
                <w:b/>
                <w:sz w:val="18"/>
                <w:szCs w:val="18"/>
              </w:rPr>
              <w:t>安全设施配置</w:t>
            </w:r>
          </w:p>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无缺失、断裂、油漆无脱落，栏杆无积粉、积灰，设施见本色。区域内设备、设施地面警戒线齐全、符合要求；非承重区、盖板境界色齐全、符合要求。区域内安全围栏、爬梯护栏设置符合安规要求。</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noWrap w:val="0"/>
            <w:vAlign w:val="center"/>
          </w:tcPr>
          <w:p>
            <w:pPr>
              <w:pStyle w:val="48"/>
              <w:numPr>
                <w:ilvl w:val="0"/>
                <w:numId w:val="4"/>
              </w:numPr>
              <w:spacing w:line="0" w:lineRule="atLeast"/>
              <w:jc w:val="center"/>
              <w:rPr>
                <w:rFonts w:hint="default" w:ascii="Times New Roman" w:hAnsi="Times New Roman" w:cs="Times New Roman"/>
                <w:sz w:val="18"/>
                <w:szCs w:val="18"/>
              </w:rPr>
            </w:pPr>
          </w:p>
        </w:tc>
        <w:tc>
          <w:tcPr>
            <w:tcW w:w="708" w:type="dxa"/>
            <w:vMerge w:val="continue"/>
            <w:noWrap w:val="0"/>
            <w:vAlign w:val="center"/>
          </w:tcPr>
          <w:p>
            <w:pPr>
              <w:spacing w:line="0" w:lineRule="atLeast"/>
              <w:jc w:val="center"/>
              <w:rPr>
                <w:rFonts w:hint="default" w:ascii="Times New Roman" w:hAnsi="Times New Roman" w:cs="Times New Roman"/>
                <w:sz w:val="18"/>
                <w:szCs w:val="18"/>
              </w:rPr>
            </w:pPr>
          </w:p>
        </w:tc>
        <w:tc>
          <w:tcPr>
            <w:tcW w:w="3521"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临时照明满足需要、光线明亮、灯具无损坏、积灰，线管整齐无弯曲、脱落、锈蚀。</w:t>
            </w:r>
          </w:p>
        </w:tc>
        <w:tc>
          <w:tcPr>
            <w:tcW w:w="2522" w:type="dxa"/>
            <w:noWrap w:val="0"/>
            <w:vAlign w:val="center"/>
          </w:tcPr>
          <w:p>
            <w:pPr>
              <w:spacing w:line="0" w:lineRule="atLeast"/>
              <w:rPr>
                <w:rFonts w:hint="default" w:ascii="Times New Roman" w:hAnsi="Times New Roman" w:cs="Times New Roman"/>
                <w:sz w:val="18"/>
                <w:szCs w:val="18"/>
              </w:rPr>
            </w:pPr>
            <w:r>
              <w:rPr>
                <w:rFonts w:hint="default" w:ascii="Times New Roman" w:hAnsi="Times New Roman" w:cs="Times New Roman"/>
                <w:sz w:val="18"/>
                <w:szCs w:val="18"/>
              </w:rPr>
              <w:t>每发现一处不符合扣100元</w:t>
            </w:r>
          </w:p>
        </w:tc>
        <w:tc>
          <w:tcPr>
            <w:tcW w:w="1305" w:type="dxa"/>
            <w:noWrap w:val="0"/>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检修项目经理或专业主管</w:t>
            </w:r>
          </w:p>
        </w:tc>
      </w:tr>
      <w:bookmarkEnd w:id="8"/>
      <w:bookmarkEnd w:id="9"/>
      <w:bookmarkEnd w:id="10"/>
      <w:bookmarkEnd w:id="11"/>
      <w:bookmarkEnd w:id="12"/>
      <w:bookmarkEnd w:id="13"/>
      <w:bookmarkEnd w:id="14"/>
      <w:bookmarkEnd w:id="15"/>
    </w:tbl>
    <w:p>
      <w:pPr>
        <w:pStyle w:val="188"/>
        <w:tabs>
          <w:tab w:val="clear" w:pos="6405"/>
        </w:tabs>
        <w:spacing w:before="0" w:after="0" w:line="300" w:lineRule="auto"/>
        <w:rPr>
          <w:rFonts w:hint="eastAsia" w:ascii="宋体" w:hAnsi="宋体" w:eastAsia="宋体"/>
        </w:rPr>
      </w:pPr>
    </w:p>
    <w:p>
      <w:pPr>
        <w:pStyle w:val="188"/>
        <w:tabs>
          <w:tab w:val="clear" w:pos="6405"/>
        </w:tabs>
        <w:spacing w:before="0" w:after="0" w:line="300" w:lineRule="auto"/>
        <w:rPr>
          <w:rFonts w:hint="eastAsia" w:ascii="宋体" w:hAnsi="宋体" w:eastAsia="宋体"/>
        </w:rPr>
      </w:pPr>
    </w:p>
    <w:p/>
    <w:sectPr>
      <w:pgSz w:w="11906" w:h="16838"/>
      <w:pgMar w:top="1440" w:right="1800" w:bottom="1440" w:left="180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ourier New">
    <w:panose1 w:val="02070309020205020404"/>
    <w:charset w:val="00"/>
    <w:family w:val="auto"/>
    <w:pitch w:val="default"/>
    <w:sig w:usb0="E0002EFF" w:usb1="C0007843" w:usb2="00000009" w:usb3="00000000" w:csb0="400001FF" w:csb1="FFFF0000"/>
  </w:font>
  <w:font w:name="隶书">
    <w:panose1 w:val="02010509060101010101"/>
    <w:charset w:val="86"/>
    <w:family w:val="auto"/>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center" w:pos="4153"/>
        <w:tab w:val="right" w:pos="8306"/>
        <w:tab w:val="clear" w:pos="7143"/>
        <w:tab w:val="clear" w:pos="14287"/>
      </w:tabs>
      <w:rPr>
        <w:rFonts w:hint="default"/>
        <w:lang w:val="en-US"/>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53208E"/>
    <w:multiLevelType w:val="multilevel"/>
    <w:tmpl w:val="0053208E"/>
    <w:lvl w:ilvl="0" w:tentative="0">
      <w:start w:val="1"/>
      <w:numFmt w:val="decimal"/>
      <w:lvlText w:val="%1"/>
      <w:lvlJc w:val="center"/>
      <w:pPr>
        <w:tabs>
          <w:tab w:val="left" w:pos="1134"/>
        </w:tabs>
        <w:ind w:left="1134" w:hanging="845"/>
      </w:pPr>
      <w:rPr>
        <w:rFonts w:hint="eastAsia" w:ascii="宋体" w:hAnsi="宋体" w:eastAsia="宋体"/>
        <w:b/>
        <w:i w:val="0"/>
        <w:sz w:val="24"/>
        <w:szCs w:val="24"/>
      </w:rPr>
    </w:lvl>
    <w:lvl w:ilvl="1" w:tentative="0">
      <w:start w:val="1"/>
      <w:numFmt w:val="decimal"/>
      <w:lvlText w:val="%1.%2"/>
      <w:lvlJc w:val="left"/>
      <w:pPr>
        <w:tabs>
          <w:tab w:val="left" w:pos="1134"/>
        </w:tabs>
        <w:ind w:left="1134" w:hanging="1134"/>
      </w:pPr>
      <w:rPr>
        <w:rFonts w:hint="eastAsia" w:ascii="宋体" w:hAnsi="宋体" w:eastAsia="宋体"/>
        <w:b w:val="0"/>
        <w:i w:val="0"/>
        <w:sz w:val="24"/>
        <w:szCs w:val="24"/>
      </w:rPr>
    </w:lvl>
    <w:lvl w:ilvl="2" w:tentative="0">
      <w:start w:val="1"/>
      <w:numFmt w:val="decimal"/>
      <w:lvlText w:val="%1.%2.%3"/>
      <w:lvlJc w:val="left"/>
      <w:pPr>
        <w:tabs>
          <w:tab w:val="left" w:pos="1134"/>
        </w:tabs>
        <w:ind w:left="1134" w:hanging="1134"/>
      </w:pPr>
      <w:rPr>
        <w:rFonts w:hint="eastAsia" w:eastAsia="宋体"/>
        <w:b w:val="0"/>
        <w:i w:val="0"/>
        <w:sz w:val="24"/>
        <w:szCs w:val="24"/>
      </w:rPr>
    </w:lvl>
    <w:lvl w:ilvl="3" w:tentative="0">
      <w:start w:val="1"/>
      <w:numFmt w:val="decimal"/>
      <w:pStyle w:val="193"/>
      <w:lvlText w:val="%1.%2.%3.%4"/>
      <w:lvlJc w:val="left"/>
      <w:pPr>
        <w:tabs>
          <w:tab w:val="left" w:pos="1134"/>
        </w:tabs>
        <w:ind w:left="1134" w:hanging="1134"/>
      </w:pPr>
      <w:rPr>
        <w:rFonts w:hint="eastAsia" w:eastAsia="宋体"/>
        <w:b w:val="0"/>
        <w:i w:val="0"/>
        <w:sz w:val="24"/>
        <w:szCs w:val="24"/>
      </w:rPr>
    </w:lvl>
    <w:lvl w:ilvl="4" w:tentative="0">
      <w:start w:val="1"/>
      <w:numFmt w:val="lowerLetter"/>
      <w:lvlText w:val="%5、"/>
      <w:lvlJc w:val="left"/>
      <w:pPr>
        <w:tabs>
          <w:tab w:val="left" w:pos="1134"/>
        </w:tabs>
        <w:ind w:left="1134" w:hanging="850"/>
      </w:pPr>
      <w:rPr>
        <w:rFonts w:hint="eastAsia" w:eastAsia="宋体"/>
        <w:b w:val="0"/>
        <w:i w:val="0"/>
        <w:sz w:val="24"/>
        <w:szCs w:val="24"/>
      </w:rPr>
    </w:lvl>
    <w:lvl w:ilvl="5" w:tentative="0">
      <w:start w:val="1"/>
      <w:numFmt w:val="decimal"/>
      <w:lvlText w:val="%6）"/>
      <w:lvlJc w:val="left"/>
      <w:pPr>
        <w:tabs>
          <w:tab w:val="left" w:pos="1107"/>
        </w:tabs>
        <w:ind w:left="1107" w:hanging="567"/>
      </w:pPr>
      <w:rPr>
        <w:rFonts w:hint="eastAsia" w:eastAsia="宋体"/>
        <w:b w:val="0"/>
        <w:i w:val="0"/>
        <w:sz w:val="24"/>
        <w:szCs w:val="24"/>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202"/>
        </w:tabs>
        <w:ind w:left="5102" w:hanging="1700"/>
      </w:pPr>
      <w:rPr>
        <w:rFonts w:hint="eastAsia"/>
      </w:rPr>
    </w:lvl>
  </w:abstractNum>
  <w:abstractNum w:abstractNumId="2">
    <w:nsid w:val="0248C179"/>
    <w:multiLevelType w:val="multilevel"/>
    <w:tmpl w:val="0248C1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2183CF9"/>
    <w:multiLevelType w:val="multilevel"/>
    <w:tmpl w:val="72183CF9"/>
    <w:lvl w:ilvl="0" w:tentative="0">
      <w:start w:val="1"/>
      <w:numFmt w:val="upperLetter"/>
      <w:suff w:val="nothing"/>
      <w:lvlText w:val="附　录　%1"/>
      <w:lvlJc w:val="left"/>
      <w:pPr>
        <w:ind w:left="4536" w:firstLine="0"/>
      </w:pPr>
      <w:rPr>
        <w:rFonts w:hint="eastAsia" w:ascii="黑体" w:hAnsi="Times New Roman" w:eastAsia="黑体"/>
        <w:b w:val="0"/>
        <w:i w:val="0"/>
        <w:spacing w:val="0"/>
        <w:sz w:val="21"/>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DD3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宋体" w:cs="Times New Roman"/>
      <w:sz w:val="21"/>
      <w:szCs w:val="24"/>
      <w:lang w:val="en-US" w:eastAsia="zh-CN" w:bidi="ar-SA"/>
    </w:rPr>
  </w:style>
  <w:style w:type="paragraph" w:styleId="3">
    <w:name w:val="heading 1"/>
    <w:basedOn w:val="1"/>
    <w:next w:val="1"/>
    <w:qFormat/>
    <w:uiPriority w:val="0"/>
    <w:pPr>
      <w:keepNext/>
      <w:keepLines/>
      <w:spacing w:before="340" w:beforeAutospacing="0" w:after="330" w:afterAutospacing="0" w:line="576" w:lineRule="auto"/>
      <w:outlineLvl w:val="0"/>
    </w:pPr>
    <w:rPr>
      <w:b/>
      <w:sz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1"/>
    <w:unhideWhenUsed/>
    <w:qFormat/>
    <w:uiPriority w:val="9"/>
    <w:pPr>
      <w:keepNext/>
      <w:keepLines/>
      <w:spacing w:before="320" w:after="200"/>
      <w:outlineLvl w:val="2"/>
    </w:pPr>
    <w:rPr>
      <w:rFonts w:ascii="Arial" w:hAnsi="Arial" w:eastAsia="Arial" w:cs="Arial"/>
      <w:sz w:val="30"/>
      <w:szCs w:val="30"/>
    </w:rPr>
  </w:style>
  <w:style w:type="paragraph" w:styleId="6">
    <w:name w:val="heading 4"/>
    <w:basedOn w:val="1"/>
    <w:next w:val="1"/>
    <w:link w:val="42"/>
    <w:unhideWhenUsed/>
    <w:qFormat/>
    <w:uiPriority w:val="9"/>
    <w:pPr>
      <w:keepNext/>
      <w:keepLines/>
      <w:spacing w:before="320" w:after="200"/>
      <w:outlineLvl w:val="3"/>
    </w:pPr>
    <w:rPr>
      <w:rFonts w:ascii="Arial" w:hAnsi="Arial" w:eastAsia="Arial" w:cs="Arial"/>
      <w:b/>
      <w:bCs/>
      <w:sz w:val="26"/>
      <w:szCs w:val="26"/>
    </w:rPr>
  </w:style>
  <w:style w:type="paragraph" w:styleId="7">
    <w:name w:val="heading 5"/>
    <w:basedOn w:val="1"/>
    <w:next w:val="1"/>
    <w:link w:val="43"/>
    <w:unhideWhenUsed/>
    <w:qFormat/>
    <w:uiPriority w:val="9"/>
    <w:pPr>
      <w:keepNext/>
      <w:keepLines/>
      <w:spacing w:before="320" w:after="200"/>
      <w:outlineLvl w:val="4"/>
    </w:pPr>
    <w:rPr>
      <w:rFonts w:ascii="Arial" w:hAnsi="Arial" w:eastAsia="Arial" w:cs="Arial"/>
      <w:b/>
      <w:bCs/>
      <w:sz w:val="24"/>
      <w:szCs w:val="24"/>
    </w:rPr>
  </w:style>
  <w:style w:type="paragraph" w:styleId="8">
    <w:name w:val="heading 6"/>
    <w:basedOn w:val="1"/>
    <w:next w:val="1"/>
    <w:link w:val="44"/>
    <w:unhideWhenUsed/>
    <w:qFormat/>
    <w:uiPriority w:val="9"/>
    <w:pPr>
      <w:keepNext/>
      <w:keepLines/>
      <w:spacing w:before="320" w:after="200"/>
      <w:outlineLvl w:val="5"/>
    </w:pPr>
    <w:rPr>
      <w:rFonts w:ascii="Arial" w:hAnsi="Arial" w:eastAsia="Arial" w:cs="Arial"/>
      <w:b/>
      <w:bCs/>
      <w:sz w:val="22"/>
      <w:szCs w:val="22"/>
    </w:rPr>
  </w:style>
  <w:style w:type="paragraph" w:styleId="9">
    <w:name w:val="heading 7"/>
    <w:basedOn w:val="1"/>
    <w:next w:val="1"/>
    <w:link w:val="45"/>
    <w:unhideWhenUsed/>
    <w:qFormat/>
    <w:uiPriority w:val="9"/>
    <w:pPr>
      <w:keepNext/>
      <w:keepLines/>
      <w:spacing w:before="320" w:after="200"/>
      <w:outlineLvl w:val="6"/>
    </w:pPr>
    <w:rPr>
      <w:rFonts w:ascii="Arial" w:hAnsi="Arial" w:eastAsia="Arial" w:cs="Arial"/>
      <w:b/>
      <w:bCs/>
      <w:i/>
      <w:iCs/>
      <w:sz w:val="22"/>
      <w:szCs w:val="22"/>
    </w:rPr>
  </w:style>
  <w:style w:type="paragraph" w:styleId="10">
    <w:name w:val="heading 8"/>
    <w:basedOn w:val="1"/>
    <w:next w:val="1"/>
    <w:link w:val="46"/>
    <w:unhideWhenUsed/>
    <w:qFormat/>
    <w:uiPriority w:val="9"/>
    <w:pPr>
      <w:keepNext/>
      <w:keepLines/>
      <w:spacing w:before="320" w:after="200"/>
      <w:outlineLvl w:val="7"/>
    </w:pPr>
    <w:rPr>
      <w:rFonts w:ascii="Arial" w:hAnsi="Arial" w:eastAsia="Arial" w:cs="Arial"/>
      <w:i/>
      <w:iCs/>
      <w:sz w:val="22"/>
      <w:szCs w:val="22"/>
    </w:rPr>
  </w:style>
  <w:style w:type="paragraph" w:styleId="11">
    <w:name w:val="heading 9"/>
    <w:basedOn w:val="1"/>
    <w:next w:val="1"/>
    <w:link w:val="47"/>
    <w:unhideWhenUsed/>
    <w:qFormat/>
    <w:uiPriority w:val="9"/>
    <w:pPr>
      <w:keepNext/>
      <w:keepLines/>
      <w:spacing w:before="320" w:after="200"/>
      <w:outlineLvl w:val="8"/>
    </w:pPr>
    <w:rPr>
      <w:rFonts w:ascii="Arial" w:hAnsi="Arial" w:eastAsia="Arial" w:cs="Arial"/>
      <w:i/>
      <w:iCs/>
      <w:sz w:val="21"/>
      <w:szCs w:val="21"/>
    </w:rPr>
  </w:style>
  <w:style w:type="character" w:default="1" w:styleId="35">
    <w:name w:val="Default Paragraph Font"/>
    <w:semiHidden/>
    <w:uiPriority w:val="0"/>
  </w:style>
  <w:style w:type="table" w:default="1" w:styleId="3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60" w:lineRule="atLeast"/>
      <w:ind w:firstLine="420"/>
      <w:jc w:val="left"/>
    </w:pPr>
    <w:rPr>
      <w:sz w:val="24"/>
    </w:rPr>
  </w:style>
  <w:style w:type="paragraph" w:styleId="12">
    <w:name w:val="toc 7"/>
    <w:basedOn w:val="1"/>
    <w:next w:val="1"/>
    <w:unhideWhenUsed/>
    <w:qFormat/>
    <w:uiPriority w:val="39"/>
    <w:pPr>
      <w:spacing w:after="57"/>
      <w:ind w:left="1701" w:right="0" w:firstLine="0"/>
    </w:pPr>
  </w:style>
  <w:style w:type="paragraph" w:styleId="13">
    <w:name w:val="caption"/>
    <w:basedOn w:val="1"/>
    <w:next w:val="1"/>
    <w:semiHidden/>
    <w:unhideWhenUsed/>
    <w:qFormat/>
    <w:uiPriority w:val="35"/>
    <w:pPr>
      <w:spacing w:line="276" w:lineRule="auto"/>
    </w:pPr>
    <w:rPr>
      <w:b/>
      <w:bCs/>
      <w:color w:val="5B9BD5" w:themeColor="accent1"/>
      <w:sz w:val="18"/>
      <w:szCs w:val="18"/>
      <w14:textFill>
        <w14:solidFill>
          <w14:schemeClr w14:val="accent1"/>
        </w14:solidFill>
      </w14:textFill>
    </w:rPr>
  </w:style>
  <w:style w:type="paragraph" w:styleId="14">
    <w:name w:val="annotation text"/>
    <w:basedOn w:val="1"/>
    <w:semiHidden/>
    <w:unhideWhenUsed/>
    <w:qFormat/>
    <w:uiPriority w:val="99"/>
    <w:pPr>
      <w:jc w:val="left"/>
    </w:pPr>
  </w:style>
  <w:style w:type="paragraph" w:styleId="15">
    <w:name w:val="Body Text"/>
    <w:basedOn w:val="1"/>
    <w:qFormat/>
    <w:uiPriority w:val="1"/>
    <w:pPr>
      <w:spacing w:after="120"/>
    </w:pPr>
  </w:style>
  <w:style w:type="paragraph" w:styleId="16">
    <w:name w:val="toc 5"/>
    <w:basedOn w:val="1"/>
    <w:next w:val="1"/>
    <w:unhideWhenUsed/>
    <w:qFormat/>
    <w:uiPriority w:val="39"/>
    <w:pPr>
      <w:spacing w:after="57"/>
      <w:ind w:left="1134" w:right="0" w:firstLine="0"/>
    </w:pPr>
  </w:style>
  <w:style w:type="paragraph" w:styleId="17">
    <w:name w:val="toc 3"/>
    <w:basedOn w:val="1"/>
    <w:next w:val="1"/>
    <w:unhideWhenUsed/>
    <w:qFormat/>
    <w:uiPriority w:val="39"/>
    <w:pPr>
      <w:spacing w:after="57"/>
      <w:ind w:left="567" w:right="0" w:firstLine="0"/>
    </w:pPr>
  </w:style>
  <w:style w:type="paragraph" w:styleId="18">
    <w:name w:val="Plain Text"/>
    <w:basedOn w:val="1"/>
    <w:uiPriority w:val="0"/>
    <w:rPr>
      <w:rFonts w:ascii="宋体" w:hAnsi="Courier New"/>
      <w:sz w:val="20"/>
      <w:szCs w:val="20"/>
    </w:rPr>
  </w:style>
  <w:style w:type="paragraph" w:styleId="19">
    <w:name w:val="toc 8"/>
    <w:basedOn w:val="1"/>
    <w:next w:val="1"/>
    <w:unhideWhenUsed/>
    <w:qFormat/>
    <w:uiPriority w:val="39"/>
    <w:pPr>
      <w:spacing w:after="57"/>
      <w:ind w:left="1984" w:right="0" w:firstLine="0"/>
    </w:pPr>
  </w:style>
  <w:style w:type="paragraph" w:styleId="20">
    <w:name w:val="endnote text"/>
    <w:basedOn w:val="1"/>
    <w:link w:val="185"/>
    <w:semiHidden/>
    <w:unhideWhenUsed/>
    <w:qFormat/>
    <w:uiPriority w:val="99"/>
    <w:pPr>
      <w:spacing w:after="0" w:line="240" w:lineRule="auto"/>
    </w:pPr>
    <w:rPr>
      <w:sz w:val="20"/>
    </w:rPr>
  </w:style>
  <w:style w:type="paragraph" w:styleId="21">
    <w:name w:val="footer"/>
    <w:basedOn w:val="1"/>
    <w:link w:val="58"/>
    <w:unhideWhenUsed/>
    <w:qFormat/>
    <w:uiPriority w:val="99"/>
    <w:pPr>
      <w:tabs>
        <w:tab w:val="center" w:pos="7143"/>
        <w:tab w:val="right" w:pos="14287"/>
      </w:tabs>
      <w:spacing w:after="0" w:line="240" w:lineRule="auto"/>
    </w:pPr>
  </w:style>
  <w:style w:type="paragraph" w:styleId="22">
    <w:name w:val="header"/>
    <w:basedOn w:val="1"/>
    <w:qFormat/>
    <w:uiPriority w:val="0"/>
    <w:pPr>
      <w:pBdr>
        <w:bottom w:val="single" w:color="auto" w:sz="6" w:space="1"/>
      </w:pBdr>
      <w:tabs>
        <w:tab w:val="center" w:pos="4153"/>
        <w:tab w:val="right" w:pos="8306"/>
      </w:tabs>
      <w:jc w:val="center"/>
    </w:pPr>
    <w:rPr>
      <w:sz w:val="18"/>
      <w:szCs w:val="20"/>
    </w:rPr>
  </w:style>
  <w:style w:type="paragraph" w:styleId="23">
    <w:name w:val="toc 1"/>
    <w:basedOn w:val="1"/>
    <w:next w:val="1"/>
    <w:unhideWhenUsed/>
    <w:qFormat/>
    <w:uiPriority w:val="39"/>
    <w:pPr>
      <w:spacing w:after="57"/>
      <w:ind w:left="0" w:right="0" w:firstLine="0"/>
    </w:pPr>
  </w:style>
  <w:style w:type="paragraph" w:styleId="24">
    <w:name w:val="toc 4"/>
    <w:basedOn w:val="1"/>
    <w:next w:val="1"/>
    <w:unhideWhenUsed/>
    <w:qFormat/>
    <w:uiPriority w:val="39"/>
    <w:pPr>
      <w:spacing w:after="57"/>
      <w:ind w:left="850" w:right="0" w:firstLine="0"/>
    </w:pPr>
  </w:style>
  <w:style w:type="paragraph" w:styleId="25">
    <w:name w:val="Subtitle"/>
    <w:basedOn w:val="1"/>
    <w:next w:val="1"/>
    <w:link w:val="51"/>
    <w:qFormat/>
    <w:uiPriority w:val="11"/>
    <w:pPr>
      <w:spacing w:before="200" w:after="200"/>
    </w:pPr>
    <w:rPr>
      <w:sz w:val="24"/>
      <w:szCs w:val="24"/>
    </w:rPr>
  </w:style>
  <w:style w:type="paragraph" w:styleId="26">
    <w:name w:val="footnote text"/>
    <w:basedOn w:val="1"/>
    <w:link w:val="184"/>
    <w:semiHidden/>
    <w:unhideWhenUsed/>
    <w:qFormat/>
    <w:uiPriority w:val="99"/>
    <w:pPr>
      <w:spacing w:after="40" w:line="240" w:lineRule="auto"/>
    </w:pPr>
    <w:rPr>
      <w:sz w:val="18"/>
    </w:rPr>
  </w:style>
  <w:style w:type="paragraph" w:styleId="27">
    <w:name w:val="toc 6"/>
    <w:basedOn w:val="1"/>
    <w:next w:val="1"/>
    <w:unhideWhenUsed/>
    <w:qFormat/>
    <w:uiPriority w:val="39"/>
    <w:pPr>
      <w:spacing w:after="57"/>
      <w:ind w:left="1417" w:right="0" w:firstLine="0"/>
    </w:pPr>
  </w:style>
  <w:style w:type="paragraph" w:styleId="28">
    <w:name w:val="table of figures"/>
    <w:basedOn w:val="1"/>
    <w:next w:val="1"/>
    <w:unhideWhenUsed/>
    <w:qFormat/>
    <w:uiPriority w:val="99"/>
    <w:pPr>
      <w:spacing w:after="0" w:afterAutospacing="0"/>
    </w:pPr>
  </w:style>
  <w:style w:type="paragraph" w:styleId="29">
    <w:name w:val="toc 2"/>
    <w:basedOn w:val="1"/>
    <w:next w:val="1"/>
    <w:qFormat/>
    <w:uiPriority w:val="39"/>
    <w:pPr>
      <w:ind w:left="420"/>
    </w:pPr>
  </w:style>
  <w:style w:type="paragraph" w:styleId="30">
    <w:name w:val="toc 9"/>
    <w:basedOn w:val="1"/>
    <w:next w:val="1"/>
    <w:unhideWhenUsed/>
    <w:qFormat/>
    <w:uiPriority w:val="39"/>
    <w:pPr>
      <w:spacing w:after="57"/>
      <w:ind w:left="2268" w:right="0" w:firstLine="0"/>
    </w:pPr>
  </w:style>
  <w:style w:type="paragraph" w:styleId="31">
    <w:name w:val="Title"/>
    <w:basedOn w:val="1"/>
    <w:next w:val="1"/>
    <w:link w:val="50"/>
    <w:qFormat/>
    <w:uiPriority w:val="10"/>
    <w:pPr>
      <w:spacing w:before="300" w:after="200"/>
      <w:contextualSpacing/>
    </w:pPr>
    <w:rPr>
      <w:sz w:val="48"/>
      <w:szCs w:val="48"/>
    </w:rPr>
  </w:style>
  <w:style w:type="paragraph" w:styleId="32">
    <w:name w:val="Body Text First Indent"/>
    <w:basedOn w:val="15"/>
    <w:qFormat/>
    <w:uiPriority w:val="0"/>
    <w:pPr>
      <w:spacing w:line="312" w:lineRule="atLeast"/>
      <w:ind w:firstLine="420"/>
    </w:pPr>
    <w:rPr>
      <w:sz w:val="20"/>
      <w:szCs w:val="20"/>
    </w:rPr>
  </w:style>
  <w:style w:type="table" w:styleId="34">
    <w:name w:val="Table Grid"/>
    <w:basedOn w:val="33"/>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endnote reference"/>
    <w:basedOn w:val="35"/>
    <w:semiHidden/>
    <w:unhideWhenUsed/>
    <w:qFormat/>
    <w:uiPriority w:val="99"/>
    <w:rPr>
      <w:vertAlign w:val="superscript"/>
    </w:rPr>
  </w:style>
  <w:style w:type="character" w:styleId="37">
    <w:name w:val="Hyperlink"/>
    <w:basedOn w:val="35"/>
    <w:qFormat/>
    <w:uiPriority w:val="99"/>
    <w:rPr>
      <w:color w:val="0000FF"/>
      <w:u w:val="single"/>
    </w:rPr>
  </w:style>
  <w:style w:type="character" w:styleId="38">
    <w:name w:val="footnote reference"/>
    <w:basedOn w:val="35"/>
    <w:unhideWhenUsed/>
    <w:qFormat/>
    <w:uiPriority w:val="99"/>
    <w:rPr>
      <w:vertAlign w:val="superscript"/>
    </w:rPr>
  </w:style>
  <w:style w:type="character" w:customStyle="1" w:styleId="39">
    <w:name w:val="Heading 1 Char"/>
    <w:basedOn w:val="35"/>
    <w:qFormat/>
    <w:uiPriority w:val="9"/>
    <w:rPr>
      <w:rFonts w:ascii="Arial" w:hAnsi="Arial" w:eastAsia="Arial" w:cs="Arial"/>
      <w:sz w:val="40"/>
      <w:szCs w:val="40"/>
    </w:rPr>
  </w:style>
  <w:style w:type="character" w:customStyle="1" w:styleId="40">
    <w:name w:val="Heading 2 Char"/>
    <w:basedOn w:val="35"/>
    <w:qFormat/>
    <w:uiPriority w:val="9"/>
    <w:rPr>
      <w:rFonts w:ascii="Arial" w:hAnsi="Arial" w:eastAsia="Arial" w:cs="Arial"/>
      <w:sz w:val="34"/>
    </w:rPr>
  </w:style>
  <w:style w:type="character" w:customStyle="1" w:styleId="41">
    <w:name w:val="Heading 3 Char"/>
    <w:basedOn w:val="35"/>
    <w:link w:val="5"/>
    <w:qFormat/>
    <w:uiPriority w:val="9"/>
    <w:rPr>
      <w:rFonts w:ascii="Arial" w:hAnsi="Arial" w:eastAsia="Arial" w:cs="Arial"/>
      <w:sz w:val="30"/>
      <w:szCs w:val="30"/>
    </w:rPr>
  </w:style>
  <w:style w:type="character" w:customStyle="1" w:styleId="42">
    <w:name w:val="Heading 4 Char"/>
    <w:basedOn w:val="35"/>
    <w:link w:val="6"/>
    <w:qFormat/>
    <w:uiPriority w:val="9"/>
    <w:rPr>
      <w:rFonts w:ascii="Arial" w:hAnsi="Arial" w:eastAsia="Arial" w:cs="Arial"/>
      <w:b/>
      <w:bCs/>
      <w:sz w:val="26"/>
      <w:szCs w:val="26"/>
    </w:rPr>
  </w:style>
  <w:style w:type="character" w:customStyle="1" w:styleId="43">
    <w:name w:val="Heading 5 Char"/>
    <w:basedOn w:val="35"/>
    <w:link w:val="7"/>
    <w:qFormat/>
    <w:uiPriority w:val="9"/>
    <w:rPr>
      <w:rFonts w:ascii="Arial" w:hAnsi="Arial" w:eastAsia="Arial" w:cs="Arial"/>
      <w:b/>
      <w:bCs/>
      <w:sz w:val="24"/>
      <w:szCs w:val="24"/>
    </w:rPr>
  </w:style>
  <w:style w:type="character" w:customStyle="1" w:styleId="44">
    <w:name w:val="Heading 6 Char"/>
    <w:basedOn w:val="35"/>
    <w:link w:val="8"/>
    <w:qFormat/>
    <w:uiPriority w:val="9"/>
    <w:rPr>
      <w:rFonts w:ascii="Arial" w:hAnsi="Arial" w:eastAsia="Arial" w:cs="Arial"/>
      <w:b/>
      <w:bCs/>
      <w:sz w:val="22"/>
      <w:szCs w:val="22"/>
    </w:rPr>
  </w:style>
  <w:style w:type="character" w:customStyle="1" w:styleId="45">
    <w:name w:val="Heading 7 Char"/>
    <w:basedOn w:val="35"/>
    <w:link w:val="9"/>
    <w:qFormat/>
    <w:uiPriority w:val="9"/>
    <w:rPr>
      <w:rFonts w:ascii="Arial" w:hAnsi="Arial" w:eastAsia="Arial" w:cs="Arial"/>
      <w:b/>
      <w:bCs/>
      <w:i/>
      <w:iCs/>
      <w:sz w:val="22"/>
      <w:szCs w:val="22"/>
    </w:rPr>
  </w:style>
  <w:style w:type="character" w:customStyle="1" w:styleId="46">
    <w:name w:val="Heading 8 Char"/>
    <w:basedOn w:val="35"/>
    <w:link w:val="10"/>
    <w:qFormat/>
    <w:uiPriority w:val="9"/>
    <w:rPr>
      <w:rFonts w:ascii="Arial" w:hAnsi="Arial" w:eastAsia="Arial" w:cs="Arial"/>
      <w:i/>
      <w:iCs/>
      <w:sz w:val="22"/>
      <w:szCs w:val="22"/>
    </w:rPr>
  </w:style>
  <w:style w:type="character" w:customStyle="1" w:styleId="47">
    <w:name w:val="Heading 9 Char"/>
    <w:basedOn w:val="35"/>
    <w:link w:val="11"/>
    <w:qFormat/>
    <w:uiPriority w:val="9"/>
    <w:rPr>
      <w:rFonts w:ascii="Arial" w:hAnsi="Arial" w:eastAsia="Arial" w:cs="Arial"/>
      <w:i/>
      <w:iCs/>
      <w:sz w:val="21"/>
      <w:szCs w:val="21"/>
    </w:rPr>
  </w:style>
  <w:style w:type="paragraph" w:styleId="48">
    <w:name w:val="List Paragraph"/>
    <w:basedOn w:val="1"/>
    <w:qFormat/>
    <w:uiPriority w:val="34"/>
    <w:pPr>
      <w:ind w:left="720"/>
      <w:contextualSpacing/>
    </w:pPr>
  </w:style>
  <w:style w:type="paragraph" w:styleId="49">
    <w:name w:val="No Spacing"/>
    <w:qFormat/>
    <w:uiPriority w:val="1"/>
    <w:pPr>
      <w:spacing w:before="0" w:after="0" w:line="240" w:lineRule="auto"/>
    </w:pPr>
    <w:rPr>
      <w:rFonts w:hint="default" w:ascii="Calibri" w:hAnsi="Calibri" w:eastAsia="宋体" w:cs="Times New Roman"/>
    </w:rPr>
  </w:style>
  <w:style w:type="character" w:customStyle="1" w:styleId="50">
    <w:name w:val="Title Char"/>
    <w:basedOn w:val="35"/>
    <w:link w:val="31"/>
    <w:qFormat/>
    <w:uiPriority w:val="10"/>
    <w:rPr>
      <w:sz w:val="48"/>
      <w:szCs w:val="48"/>
    </w:rPr>
  </w:style>
  <w:style w:type="character" w:customStyle="1" w:styleId="51">
    <w:name w:val="Subtitle Char"/>
    <w:basedOn w:val="35"/>
    <w:link w:val="25"/>
    <w:qFormat/>
    <w:uiPriority w:val="11"/>
    <w:rPr>
      <w:sz w:val="24"/>
      <w:szCs w:val="24"/>
    </w:rPr>
  </w:style>
  <w:style w:type="paragraph" w:styleId="52">
    <w:name w:val="Quote"/>
    <w:basedOn w:val="1"/>
    <w:next w:val="1"/>
    <w:link w:val="53"/>
    <w:qFormat/>
    <w:uiPriority w:val="29"/>
    <w:pPr>
      <w:ind w:left="720" w:right="720"/>
    </w:pPr>
    <w:rPr>
      <w:i/>
    </w:rPr>
  </w:style>
  <w:style w:type="character" w:customStyle="1" w:styleId="53">
    <w:name w:val="Quote Char"/>
    <w:link w:val="52"/>
    <w:qFormat/>
    <w:uiPriority w:val="29"/>
    <w:rPr>
      <w:i/>
    </w:rPr>
  </w:style>
  <w:style w:type="paragraph" w:styleId="54">
    <w:name w:val="Intense Quote"/>
    <w:basedOn w:val="1"/>
    <w:next w:val="1"/>
    <w:link w:val="55"/>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5">
    <w:name w:val="Intense Quote Char"/>
    <w:link w:val="54"/>
    <w:qFormat/>
    <w:uiPriority w:val="30"/>
    <w:rPr>
      <w:i/>
    </w:rPr>
  </w:style>
  <w:style w:type="character" w:customStyle="1" w:styleId="56">
    <w:name w:val="Header Char"/>
    <w:basedOn w:val="35"/>
    <w:qFormat/>
    <w:uiPriority w:val="99"/>
  </w:style>
  <w:style w:type="character" w:customStyle="1" w:styleId="57">
    <w:name w:val="Footer Char"/>
    <w:basedOn w:val="35"/>
    <w:link w:val="21"/>
    <w:qFormat/>
    <w:uiPriority w:val="99"/>
  </w:style>
  <w:style w:type="character" w:customStyle="1" w:styleId="58">
    <w:name w:val="Caption Char"/>
    <w:link w:val="21"/>
    <w:qFormat/>
    <w:uiPriority w:val="99"/>
  </w:style>
  <w:style w:type="table" w:customStyle="1" w:styleId="59">
    <w:name w:val="Table Grid Light"/>
    <w:basedOn w:val="3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60">
    <w:name w:val="Plain Table 1"/>
    <w:basedOn w:val="3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61">
    <w:name w:val="Plain Table 2"/>
    <w:basedOn w:val="3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2">
    <w:name w:val="Plain Table 3"/>
    <w:basedOn w:val="33"/>
    <w:qFormat/>
    <w:uiPriority w:val="99"/>
    <w:pPr>
      <w:spacing w:after="0" w:line="240" w:lineRule="auto"/>
    </w:pP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3">
    <w:name w:val="Plain Table 4"/>
    <w:basedOn w:val="33"/>
    <w:qFormat/>
    <w:uiPriority w:val="99"/>
    <w:pPr>
      <w:spacing w:after="0" w:line="240" w:lineRule="auto"/>
    </w:pP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4">
    <w:name w:val="Plain Table 5"/>
    <w:basedOn w:val="33"/>
    <w:qFormat/>
    <w:uiPriority w:val="99"/>
    <w:pPr>
      <w:spacing w:after="0" w:line="240" w:lineRule="auto"/>
    </w:pP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5">
    <w:name w:val="Grid Table 1 Light"/>
    <w:basedOn w:val="3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6">
    <w:name w:val="Grid Table 1 Light - Accent 1"/>
    <w:basedOn w:val="3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customStyle="1" w:styleId="67">
    <w:name w:val="Grid Table 1 Light - Accent 2"/>
    <w:basedOn w:val="3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68">
    <w:name w:val="Grid Table 1 Light - Accent 3"/>
    <w:basedOn w:val="3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69">
    <w:name w:val="Grid Table 1 Light - Accent 4"/>
    <w:basedOn w:val="3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70">
    <w:name w:val="Grid Table 1 Light - Accent 5"/>
    <w:basedOn w:val="3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style>
  <w:style w:type="table" w:customStyle="1" w:styleId="71">
    <w:name w:val="Grid Table 1 Light - Accent 6"/>
    <w:basedOn w:val="3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72">
    <w:name w:val="Grid Table 2"/>
    <w:basedOn w:val="3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3">
    <w:name w:val="Grid Table 2 - Accent 1"/>
    <w:basedOn w:val="3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customStyle="1" w:styleId="74">
    <w:name w:val="Grid Table 2 - Accent 2"/>
    <w:basedOn w:val="3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75">
    <w:name w:val="Grid Table 2 - Accent 3"/>
    <w:basedOn w:val="3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76">
    <w:name w:val="Grid Table 2 - Accent 4"/>
    <w:basedOn w:val="3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77">
    <w:name w:val="Grid Table 2 - Accent 5"/>
    <w:basedOn w:val="3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78">
    <w:name w:val="Grid Table 2 - Accent 6"/>
    <w:basedOn w:val="3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79">
    <w:name w:val="Grid Table 3"/>
    <w:basedOn w:val="3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0">
    <w:name w:val="Grid Table 3 - Accent 1"/>
    <w:basedOn w:val="3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customStyle="1" w:styleId="81">
    <w:name w:val="Grid Table 3 - Accent 2"/>
    <w:basedOn w:val="3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82">
    <w:name w:val="Grid Table 3 - Accent 3"/>
    <w:basedOn w:val="3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83">
    <w:name w:val="Grid Table 3 - Accent 4"/>
    <w:basedOn w:val="3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84">
    <w:name w:val="Grid Table 3 - Accent 5"/>
    <w:basedOn w:val="3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85">
    <w:name w:val="Grid Table 3 - Accent 6"/>
    <w:basedOn w:val="3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86">
    <w:name w:val="Grid Table 4"/>
    <w:basedOn w:val="3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7">
    <w:name w:val="Grid Table 4 - Accent 1"/>
    <w:basedOn w:val="3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1Horz">
      <w:rPr>
        <w:rFonts w:ascii="Arial" w:hAnsi="Arial"/>
        <w:color w:val="404040"/>
        <w:sz w:val="22"/>
      </w:rPr>
      <w:tcPr>
        <w:shd w:val="clear" w:color="DEEBF6" w:themeColor="accent1" w:themeTint="32" w:fill="DEEBF6" w:themeFill="accent1" w:themeFillTint="32"/>
      </w:tcPr>
    </w:tblStylePr>
  </w:style>
  <w:style w:type="table" w:customStyle="1" w:styleId="88">
    <w:name w:val="Grid Table 4 - Accent 2"/>
    <w:basedOn w:val="3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89">
    <w:name w:val="Grid Table 4 - Accent 3"/>
    <w:basedOn w:val="3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90">
    <w:name w:val="Grid Table 4 - Accent 4"/>
    <w:basedOn w:val="3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91">
    <w:name w:val="Grid Table 4 - Accent 5"/>
    <w:basedOn w:val="3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cPr>
        <w:shd w:val="clear" w:color="D8E2F2" w:themeColor="accent5" w:themeTint="34" w:fill="D8E2F2" w:themeFill="accent5" w:themeFillTint="34"/>
      </w:tcPr>
    </w:tblStylePr>
  </w:style>
  <w:style w:type="table" w:customStyle="1" w:styleId="92">
    <w:name w:val="Grid Table 4 - Accent 6"/>
    <w:basedOn w:val="3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93">
    <w:name w:val="Grid Table 5 Dark"/>
    <w:basedOn w:val="3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4">
    <w:name w:val="Grid Table 5 Dark- Accent 1"/>
    <w:basedOn w:val="3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1Horz">
      <w:tcPr>
        <w:shd w:val="clear" w:color="B3D1EB" w:themeColor="accent1" w:themeTint="75" w:fill="B3D1EB" w:themeFill="accent1" w:themeFillTint="75"/>
      </w:tcPr>
    </w:tblStylePr>
  </w:style>
  <w:style w:type="table" w:customStyle="1" w:styleId="95">
    <w:name w:val="Grid Table 5 Dark - Accent 2"/>
    <w:basedOn w:val="3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1Horz">
      <w:tcPr>
        <w:shd w:val="clear" w:color="F6C3A0" w:themeColor="accent2" w:themeTint="75" w:fill="F6C3A0" w:themeFill="accent2" w:themeFillTint="75"/>
      </w:tcPr>
    </w:tblStylePr>
  </w:style>
  <w:style w:type="table" w:customStyle="1" w:styleId="96">
    <w:name w:val="Grid Table 5 Dark - Accent 3"/>
    <w:basedOn w:val="3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1Horz">
      <w:tcPr>
        <w:shd w:val="clear" w:color="D5D5D5" w:themeColor="accent3" w:themeTint="75" w:fill="D5D5D5" w:themeFill="accent3" w:themeFillTint="75"/>
      </w:tcPr>
    </w:tblStylePr>
  </w:style>
  <w:style w:type="table" w:customStyle="1" w:styleId="97">
    <w:name w:val="Grid Table 5 Dark- Accent 4"/>
    <w:basedOn w:val="3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1Horz">
      <w:tcPr>
        <w:shd w:val="clear" w:color="FEE289" w:themeColor="accent4" w:themeTint="75" w:fill="FEE289" w:themeFill="accent4" w:themeFillTint="75"/>
      </w:tcPr>
    </w:tblStylePr>
  </w:style>
  <w:style w:type="table" w:customStyle="1" w:styleId="98">
    <w:name w:val="Grid Table 5 Dark - Accent 5"/>
    <w:basedOn w:val="3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1Horz">
      <w:tcPr>
        <w:shd w:val="clear" w:color="A9BEE3" w:themeColor="accent5" w:themeTint="75" w:fill="A9BEE3" w:themeFill="accent5" w:themeFillTint="75"/>
      </w:tcPr>
    </w:tblStylePr>
  </w:style>
  <w:style w:type="table" w:customStyle="1" w:styleId="99">
    <w:name w:val="Grid Table 5 Dark - Accent 6"/>
    <w:basedOn w:val="3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1Horz">
      <w:tcPr>
        <w:shd w:val="clear" w:color="BCDBA8" w:themeColor="accent6" w:themeTint="75" w:fill="BCDBA8" w:themeFill="accent6" w:themeFillTint="75"/>
      </w:tcPr>
    </w:tblStylePr>
  </w:style>
  <w:style w:type="table" w:customStyle="1" w:styleId="100">
    <w:name w:val="Grid Table 6 Colorful"/>
    <w:basedOn w:val="3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1">
    <w:name w:val="Grid Table 6 Colorful - Accent 1"/>
    <w:basedOn w:val="3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style>
  <w:style w:type="table" w:customStyle="1" w:styleId="102">
    <w:name w:val="Grid Table 6 Colorful - Accent 2"/>
    <w:basedOn w:val="3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03">
    <w:name w:val="Grid Table 6 Colorful - Accent 3"/>
    <w:basedOn w:val="3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style>
  <w:style w:type="table" w:customStyle="1" w:styleId="104">
    <w:name w:val="Grid Table 6 Colorful - Accent 4"/>
    <w:basedOn w:val="3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05">
    <w:name w:val="Grid Table 6 Colorful - Accent 5"/>
    <w:basedOn w:val="3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style>
  <w:style w:type="table" w:customStyle="1" w:styleId="106">
    <w:name w:val="Grid Table 6 Colorful - Accent 6"/>
    <w:basedOn w:val="3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style>
  <w:style w:type="table" w:customStyle="1" w:styleId="107">
    <w:name w:val="Grid Table 7 Colorful"/>
    <w:basedOn w:val="3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8">
    <w:name w:val="Grid Table 7 Colorful - Accent 1"/>
    <w:basedOn w:val="3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style>
  <w:style w:type="table" w:customStyle="1" w:styleId="109">
    <w:name w:val="Grid Table 7 Colorful - Accent 2"/>
    <w:basedOn w:val="3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10">
    <w:name w:val="Grid Table 7 Colorful - Accent 3"/>
    <w:basedOn w:val="3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style>
  <w:style w:type="table" w:customStyle="1" w:styleId="111">
    <w:name w:val="Grid Table 7 Colorful - Accent 4"/>
    <w:basedOn w:val="3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12">
    <w:name w:val="Grid Table 7 Colorful - Accent 5"/>
    <w:basedOn w:val="3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style>
  <w:style w:type="table" w:customStyle="1" w:styleId="113">
    <w:name w:val="Grid Table 7 Colorful - Accent 6"/>
    <w:basedOn w:val="3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style>
  <w:style w:type="table" w:customStyle="1" w:styleId="114">
    <w:name w:val="List Table 1 Light"/>
    <w:basedOn w:val="33"/>
    <w:qFormat/>
    <w:uiPriority w:val="99"/>
    <w:pPr>
      <w:spacing w:after="0" w:line="240" w:lineRule="auto"/>
    </w:pP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5">
    <w:name w:val="List Table 1 Light - Accent 1"/>
    <w:basedOn w:val="33"/>
    <w:qFormat/>
    <w:uiPriority w:val="99"/>
    <w:pPr>
      <w:spacing w:after="0" w:line="240" w:lineRule="auto"/>
    </w:pPr>
    <w:tbl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1Horz">
      <w:tcPr>
        <w:shd w:val="clear" w:color="D5E5F4" w:themeColor="accent1" w:themeTint="40" w:fill="D5E5F4" w:themeFill="accent1" w:themeFillTint="40"/>
      </w:tcPr>
    </w:tblStylePr>
  </w:style>
  <w:style w:type="table" w:customStyle="1" w:styleId="116">
    <w:name w:val="List Table 1 Light - Accent 2"/>
    <w:basedOn w:val="33"/>
    <w:qFormat/>
    <w:uiPriority w:val="99"/>
    <w:pPr>
      <w:spacing w:after="0" w:line="240" w:lineRule="auto"/>
    </w:pPr>
    <w:tbl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1Horz">
      <w:tcPr>
        <w:shd w:val="clear" w:color="FADECB" w:themeColor="accent2" w:themeTint="40" w:fill="FADECB" w:themeFill="accent2" w:themeFillTint="40"/>
      </w:tcPr>
    </w:tblStylePr>
  </w:style>
  <w:style w:type="table" w:customStyle="1" w:styleId="117">
    <w:name w:val="List Table 1 Light - Accent 3"/>
    <w:basedOn w:val="33"/>
    <w:qFormat/>
    <w:uiPriority w:val="99"/>
    <w:pPr>
      <w:spacing w:after="0" w:line="240" w:lineRule="auto"/>
    </w:pPr>
    <w:tbl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1Horz">
      <w:tcPr>
        <w:shd w:val="clear" w:color="E8E8E8" w:themeColor="accent3" w:themeTint="40" w:fill="E8E8E8" w:themeFill="accent3" w:themeFillTint="40"/>
      </w:tcPr>
    </w:tblStylePr>
  </w:style>
  <w:style w:type="table" w:customStyle="1" w:styleId="118">
    <w:name w:val="List Table 1 Light - Accent 4"/>
    <w:basedOn w:val="33"/>
    <w:qFormat/>
    <w:uiPriority w:val="99"/>
    <w:pPr>
      <w:spacing w:after="0" w:line="240" w:lineRule="auto"/>
    </w:pPr>
    <w:tbl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1Horz">
      <w:tcPr>
        <w:shd w:val="clear" w:color="FFEFBE" w:themeColor="accent4" w:themeTint="40" w:fill="FFEFBE" w:themeFill="accent4" w:themeFillTint="40"/>
      </w:tcPr>
    </w:tblStylePr>
  </w:style>
  <w:style w:type="table" w:customStyle="1" w:styleId="119">
    <w:name w:val="List Table 1 Light - Accent 5"/>
    <w:basedOn w:val="33"/>
    <w:qFormat/>
    <w:uiPriority w:val="99"/>
    <w:pPr>
      <w:spacing w:after="0" w:line="240" w:lineRule="auto"/>
    </w:pPr>
    <w:tbl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1Horz">
      <w:tcPr>
        <w:shd w:val="clear" w:color="D0DBF0" w:themeColor="accent5" w:themeTint="40" w:fill="D0DBF0" w:themeFill="accent5" w:themeFillTint="40"/>
      </w:tcPr>
    </w:tblStylePr>
  </w:style>
  <w:style w:type="table" w:customStyle="1" w:styleId="120">
    <w:name w:val="List Table 1 Light - Accent 6"/>
    <w:basedOn w:val="33"/>
    <w:qFormat/>
    <w:uiPriority w:val="99"/>
    <w:pPr>
      <w:spacing w:after="0" w:line="240" w:lineRule="auto"/>
    </w:pPr>
    <w:tbl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1Horz">
      <w:tcPr>
        <w:shd w:val="clear" w:color="DAEBCF" w:themeColor="accent6" w:themeTint="40" w:fill="DAEBCF" w:themeFill="accent6" w:themeFillTint="40"/>
      </w:tcPr>
    </w:tblStylePr>
  </w:style>
  <w:style w:type="table" w:customStyle="1" w:styleId="121">
    <w:name w:val="List Table 2"/>
    <w:basedOn w:val="3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2">
    <w:name w:val="List Table 2 - Accent 1"/>
    <w:basedOn w:val="3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customStyle="1" w:styleId="123">
    <w:name w:val="List Table 2 - Accent 2"/>
    <w:basedOn w:val="3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24">
    <w:name w:val="List Table 2 - Accent 3"/>
    <w:basedOn w:val="3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25">
    <w:name w:val="List Table 2 - Accent 4"/>
    <w:basedOn w:val="3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26">
    <w:name w:val="List Table 2 - Accent 5"/>
    <w:basedOn w:val="3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1Horz">
      <w:rPr>
        <w:rFonts w:ascii="Arial" w:hAnsi="Arial"/>
        <w:color w:val="404040"/>
        <w:sz w:val="22"/>
      </w:rPr>
      <w:tcPr>
        <w:shd w:val="clear" w:color="D0DBF0" w:themeColor="accent5" w:themeTint="40" w:fill="D0DBF0" w:themeFill="accent5" w:themeFillTint="40"/>
      </w:tcPr>
    </w:tblStylePr>
  </w:style>
  <w:style w:type="table" w:customStyle="1" w:styleId="127">
    <w:name w:val="List Table 2 - Accent 6"/>
    <w:basedOn w:val="3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28">
    <w:name w:val="List Table 3"/>
    <w:basedOn w:val="3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9">
    <w:name w:val="List Table 3 - Accent 1"/>
    <w:basedOn w:val="3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1Horz">
      <w:rPr>
        <w:rFonts w:ascii="Arial" w:hAnsi="Arial"/>
        <w:color w:val="404040"/>
        <w:sz w:val="22"/>
      </w:rPr>
      <w:tcPr>
        <w:tcBorders>
          <w:top w:val="single" w:color="5B9BD5" w:themeColor="accent1" w:sz="4" w:space="0"/>
          <w:bottom w:val="single" w:color="5B9BD5" w:themeColor="accent1" w:sz="4" w:space="0"/>
        </w:tcBorders>
      </w:tcPr>
    </w:tblStylePr>
  </w:style>
  <w:style w:type="table" w:customStyle="1" w:styleId="130">
    <w:name w:val="List Table 3 - Accent 2"/>
    <w:basedOn w:val="3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31">
    <w:name w:val="List Table 3 - Accent 3"/>
    <w:basedOn w:val="3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32">
    <w:name w:val="List Table 3 - Accent 4"/>
    <w:basedOn w:val="3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33">
    <w:name w:val="List Table 3 - Accent 5"/>
    <w:basedOn w:val="3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style>
  <w:style w:type="table" w:customStyle="1" w:styleId="134">
    <w:name w:val="List Table 3 - Accent 6"/>
    <w:basedOn w:val="3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35">
    <w:name w:val="List Table 4"/>
    <w:basedOn w:val="3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6">
    <w:name w:val="List Table 4 - Accent 1"/>
    <w:basedOn w:val="3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customStyle="1" w:styleId="137">
    <w:name w:val="List Table 4 - Accent 2"/>
    <w:basedOn w:val="3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38">
    <w:name w:val="List Table 4 - Accent 3"/>
    <w:basedOn w:val="3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39">
    <w:name w:val="List Table 4 - Accent 4"/>
    <w:basedOn w:val="3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40">
    <w:name w:val="List Table 4 - Accent 5"/>
    <w:basedOn w:val="3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1Horz">
      <w:rPr>
        <w:rFonts w:ascii="Arial" w:hAnsi="Arial"/>
        <w:color w:val="404040"/>
        <w:sz w:val="22"/>
      </w:rPr>
      <w:tcPr>
        <w:shd w:val="clear" w:color="D0DBF0" w:themeColor="accent5" w:themeTint="40" w:fill="D0DBF0" w:themeFill="accent5" w:themeFillTint="40"/>
      </w:tcPr>
    </w:tblStylePr>
  </w:style>
  <w:style w:type="table" w:customStyle="1" w:styleId="141">
    <w:name w:val="List Table 4 - Accent 6"/>
    <w:basedOn w:val="3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42">
    <w:name w:val="List Table 5 Dark"/>
    <w:basedOn w:val="3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3">
    <w:name w:val="List Table 5 Dark - Accent 1"/>
    <w:basedOn w:val="3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style>
  <w:style w:type="table" w:customStyle="1" w:styleId="144">
    <w:name w:val="List Table 5 Dark - Accent 2"/>
    <w:basedOn w:val="3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style>
  <w:style w:type="table" w:customStyle="1" w:styleId="145">
    <w:name w:val="List Table 5 Dark - Accent 3"/>
    <w:basedOn w:val="3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customStyle="1" w:styleId="146">
    <w:name w:val="List Table 5 Dark - Accent 4"/>
    <w:basedOn w:val="3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style>
  <w:style w:type="table" w:customStyle="1" w:styleId="147">
    <w:name w:val="List Table 5 Dark - Accent 5"/>
    <w:basedOn w:val="3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style>
  <w:style w:type="table" w:customStyle="1" w:styleId="148">
    <w:name w:val="List Table 5 Dark - Accent 6"/>
    <w:basedOn w:val="3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customStyle="1" w:styleId="149">
    <w:name w:val="List Table 6 Colorful"/>
    <w:basedOn w:val="3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50">
    <w:name w:val="List Table 6 Colorful - Accent 1"/>
    <w:basedOn w:val="3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style>
  <w:style w:type="table" w:customStyle="1" w:styleId="151">
    <w:name w:val="List Table 6 Colorful - Accent 2"/>
    <w:basedOn w:val="3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52">
    <w:name w:val="List Table 6 Colorful - Accent 3"/>
    <w:basedOn w:val="3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53">
    <w:name w:val="List Table 6 Colorful - Accent 4"/>
    <w:basedOn w:val="3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54">
    <w:name w:val="List Table 6 Colorful - Accent 5"/>
    <w:basedOn w:val="3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style>
  <w:style w:type="table" w:customStyle="1" w:styleId="155">
    <w:name w:val="List Table 6 Colorful - Accent 6"/>
    <w:basedOn w:val="3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56">
    <w:name w:val="List Table 7 Colorful"/>
    <w:basedOn w:val="3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7">
    <w:name w:val="List Table 7 Colorful - Accent 1"/>
    <w:basedOn w:val="3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style>
  <w:style w:type="table" w:customStyle="1" w:styleId="158">
    <w:name w:val="List Table 7 Colorful - Accent 2"/>
    <w:basedOn w:val="3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59">
    <w:name w:val="List Table 7 Colorful - Accent 3"/>
    <w:basedOn w:val="3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60">
    <w:name w:val="List Table 7 Colorful - Accent 4"/>
    <w:basedOn w:val="3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61">
    <w:name w:val="List Table 7 Colorful - Accent 5"/>
    <w:basedOn w:val="3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style>
  <w:style w:type="table" w:customStyle="1" w:styleId="162">
    <w:name w:val="List Table 7 Colorful - Accent 6"/>
    <w:basedOn w:val="3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63">
    <w:name w:val="Lined - Accent"/>
    <w:basedOn w:val="33"/>
    <w:qFormat/>
    <w:uiPriority w:val="99"/>
    <w:pPr>
      <w:spacing w:after="0" w:line="240" w:lineRule="auto"/>
    </w:pPr>
    <w:rPr>
      <w:color w:val="404040"/>
    </w:rP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4">
    <w:name w:val="Lined - Accent 1"/>
    <w:basedOn w:val="33"/>
    <w:qFormat/>
    <w:uiPriority w:val="99"/>
    <w:pPr>
      <w:spacing w:after="0" w:line="240" w:lineRule="auto"/>
    </w:pPr>
    <w:rPr>
      <w:color w:val="404040"/>
    </w:rPr>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customStyle="1" w:styleId="165">
    <w:name w:val="Lined - Accent 2"/>
    <w:basedOn w:val="33"/>
    <w:qFormat/>
    <w:uiPriority w:val="99"/>
    <w:pPr>
      <w:spacing w:after="0" w:line="240" w:lineRule="auto"/>
    </w:pPr>
    <w:rPr>
      <w:color w:val="404040"/>
    </w:rPr>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66">
    <w:name w:val="Lined - Accent 3"/>
    <w:basedOn w:val="33"/>
    <w:qFormat/>
    <w:uiPriority w:val="99"/>
    <w:pPr>
      <w:spacing w:after="0" w:line="240" w:lineRule="auto"/>
    </w:pPr>
    <w:rPr>
      <w:color w:val="404040"/>
    </w:rPr>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67">
    <w:name w:val="Lined - Accent 4"/>
    <w:basedOn w:val="33"/>
    <w:qFormat/>
    <w:uiPriority w:val="99"/>
    <w:pPr>
      <w:spacing w:after="0" w:line="240" w:lineRule="auto"/>
    </w:pPr>
    <w:rPr>
      <w:color w:val="404040"/>
    </w:rPr>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68">
    <w:name w:val="Lined - Accent 5"/>
    <w:basedOn w:val="33"/>
    <w:qFormat/>
    <w:uiPriority w:val="99"/>
    <w:pPr>
      <w:spacing w:after="0" w:line="240" w:lineRule="auto"/>
    </w:pPr>
    <w:rPr>
      <w:color w:val="404040"/>
    </w:rPr>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style>
  <w:style w:type="table" w:customStyle="1" w:styleId="169">
    <w:name w:val="Lined - Accent 6"/>
    <w:basedOn w:val="33"/>
    <w:qFormat/>
    <w:uiPriority w:val="99"/>
    <w:pPr>
      <w:spacing w:after="0" w:line="240" w:lineRule="auto"/>
    </w:pPr>
    <w:rPr>
      <w:color w:val="404040"/>
    </w:rPr>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70">
    <w:name w:val="Bordered &amp; Lined - Accent"/>
    <w:basedOn w:val="3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71">
    <w:name w:val="Bordered &amp; Lined - Accent 1"/>
    <w:basedOn w:val="3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customStyle="1" w:styleId="172">
    <w:name w:val="Bordered &amp; Lined - Accent 2"/>
    <w:basedOn w:val="3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73">
    <w:name w:val="Bordered &amp; Lined - Accent 3"/>
    <w:basedOn w:val="3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74">
    <w:name w:val="Bordered &amp; Lined - Accent 4"/>
    <w:basedOn w:val="3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75">
    <w:name w:val="Bordered &amp; Lined - Accent 5"/>
    <w:basedOn w:val="3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style>
  <w:style w:type="table" w:customStyle="1" w:styleId="176">
    <w:name w:val="Bordered &amp; Lined - Accent 6"/>
    <w:basedOn w:val="3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77">
    <w:name w:val="Bordered"/>
    <w:basedOn w:val="3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8">
    <w:name w:val="Bordered - Accent 1"/>
    <w:basedOn w:val="3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customStyle="1" w:styleId="179">
    <w:name w:val="Bordered - Accent 2"/>
    <w:basedOn w:val="3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80">
    <w:name w:val="Bordered - Accent 3"/>
    <w:basedOn w:val="3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181">
    <w:name w:val="Bordered - Accent 4"/>
    <w:basedOn w:val="3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182">
    <w:name w:val="Bordered - Accent 5"/>
    <w:basedOn w:val="3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style>
  <w:style w:type="table" w:customStyle="1" w:styleId="183">
    <w:name w:val="Bordered - Accent 6"/>
    <w:basedOn w:val="3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184">
    <w:name w:val="Footnote Text Char"/>
    <w:link w:val="26"/>
    <w:qFormat/>
    <w:uiPriority w:val="99"/>
    <w:rPr>
      <w:sz w:val="18"/>
    </w:rPr>
  </w:style>
  <w:style w:type="character" w:customStyle="1" w:styleId="185">
    <w:name w:val="Endnote Text Char"/>
    <w:link w:val="20"/>
    <w:qFormat/>
    <w:uiPriority w:val="99"/>
    <w:rPr>
      <w:sz w:val="20"/>
    </w:rPr>
  </w:style>
  <w:style w:type="paragraph" w:customStyle="1" w:styleId="186">
    <w:name w:val="TOC Heading"/>
    <w:unhideWhenUsed/>
    <w:qFormat/>
    <w:uiPriority w:val="39"/>
    <w:rPr>
      <w:rFonts w:hint="default" w:ascii="Calibri" w:hAnsi="Calibri" w:eastAsia="宋体" w:cs="Times New Roman"/>
    </w:rPr>
  </w:style>
  <w:style w:type="paragraph" w:customStyle="1" w:styleId="187">
    <w:name w:val="样式标题1"/>
    <w:basedOn w:val="1"/>
    <w:qFormat/>
    <w:uiPriority w:val="0"/>
    <w:pPr>
      <w:spacing w:line="360" w:lineRule="auto"/>
      <w:jc w:val="left"/>
    </w:pPr>
    <w:rPr>
      <w:rFonts w:ascii="宋体" w:hAnsi="宋体"/>
      <w:b/>
      <w:spacing w:val="10"/>
      <w:sz w:val="28"/>
      <w:szCs w:val="20"/>
    </w:rPr>
  </w:style>
  <w:style w:type="paragraph" w:customStyle="1" w:styleId="188">
    <w:name w:val="附录标识"/>
    <w:basedOn w:val="1"/>
    <w:next w:val="189"/>
    <w:qFormat/>
    <w:uiPriority w:val="0"/>
    <w:pPr>
      <w:widowControl/>
      <w:shd w:val="clear" w:color="FFFFFF" w:fill="FFFFFF"/>
      <w:tabs>
        <w:tab w:val="left" w:pos="6405"/>
      </w:tabs>
      <w:spacing w:before="640" w:after="200"/>
      <w:jc w:val="center"/>
      <w:outlineLvl w:val="0"/>
    </w:pPr>
    <w:rPr>
      <w:rFonts w:ascii="黑体" w:eastAsia="黑体"/>
      <w:sz w:val="20"/>
      <w:szCs w:val="20"/>
    </w:rPr>
  </w:style>
  <w:style w:type="paragraph" w:customStyle="1" w:styleId="189">
    <w:name w:val="段"/>
    <w:qFormat/>
    <w:uiPriority w:val="0"/>
    <w:pPr>
      <w:ind w:firstLine="200"/>
      <w:jc w:val="both"/>
    </w:pPr>
    <w:rPr>
      <w:rFonts w:hint="default" w:ascii="宋体" w:hAnsi="Times New Roman" w:eastAsia="宋体" w:cs="Times New Roman"/>
      <w:sz w:val="21"/>
      <w:lang w:val="en-US" w:eastAsia="zh-CN" w:bidi="ar-SA"/>
    </w:rPr>
  </w:style>
  <w:style w:type="paragraph" w:customStyle="1" w:styleId="190">
    <w:name w:val="附录表标题"/>
    <w:next w:val="1"/>
    <w:qFormat/>
    <w:uiPriority w:val="0"/>
    <w:pPr>
      <w:jc w:val="center"/>
    </w:pPr>
    <w:rPr>
      <w:rFonts w:hint="default" w:ascii="黑体" w:hAnsi="Times New Roman" w:eastAsia="黑体" w:cs="Times New Roman"/>
      <w:sz w:val="21"/>
      <w:lang w:val="en-US" w:eastAsia="zh-CN" w:bidi="ar-SA"/>
    </w:rPr>
  </w:style>
  <w:style w:type="paragraph" w:customStyle="1" w:styleId="191">
    <w:name w:val="正文_3"/>
    <w:qFormat/>
    <w:uiPriority w:val="0"/>
    <w:pPr>
      <w:widowControl w:val="0"/>
      <w:jc w:val="both"/>
    </w:pPr>
    <w:rPr>
      <w:rFonts w:hint="default" w:ascii="Times New Roman" w:hAnsi="Times New Roman" w:eastAsia="宋体" w:cs="Times New Roman"/>
      <w:sz w:val="21"/>
      <w:lang w:val="en-US" w:eastAsia="zh-CN" w:bidi="ar-SA"/>
    </w:rPr>
  </w:style>
  <w:style w:type="paragraph" w:customStyle="1" w:styleId="192">
    <w:name w:val="Normal0"/>
    <w:qFormat/>
    <w:uiPriority w:val="0"/>
    <w:pPr>
      <w:widowControl w:val="0"/>
      <w:jc w:val="both"/>
    </w:pPr>
    <w:rPr>
      <w:rFonts w:hint="default" w:ascii="Times New Roman" w:hAnsi="Times New Roman" w:eastAsia="宋体" w:cs="Times New Roman"/>
      <w:sz w:val="21"/>
      <w:lang w:val="en-US" w:eastAsia="zh-CN" w:bidi="ar-SA"/>
    </w:rPr>
  </w:style>
  <w:style w:type="paragraph" w:customStyle="1" w:styleId="193">
    <w:name w:val="4"/>
    <w:basedOn w:val="1"/>
    <w:qFormat/>
    <w:uiPriority w:val="0"/>
    <w:pPr>
      <w:numPr>
        <w:ilvl w:val="3"/>
        <w:numId w:val="1"/>
      </w:numPr>
      <w:tabs>
        <w:tab w:val="left" w:pos="4680"/>
        <w:tab w:val="left" w:pos="6300"/>
        <w:tab w:val="left" w:pos="6660"/>
      </w:tabs>
      <w:spacing w:line="480" w:lineRule="exact"/>
    </w:pPr>
    <w:rPr>
      <w:rFonts w:ascii="宋体" w:hAnsi="宋体"/>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w:settings xmlns:w="http://schemas.openxmlformats.org/wordprocessingml/2006/main">
  <w:SpecialFormsHighlight w:val="c9c8ff"/>
</w:settings>
</file>

<file path=customXml/item3.xml><?xml version="1.0" encoding="utf-8"?>
<w:settings xmlns:w="http://schemas.openxmlformats.org/wordprocessingml/2006/main">
  <w:SpecialFormsHighlight w:val="c9c8ff"/>
</w:settings>
</file>

<file path=customXml/item4.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AEA6B-E499-4EEF-98A3-AFBB261C493E}">
  <ds:schemaRefs/>
</ds:datastoreItem>
</file>

<file path=customXml/itemProps3.xml><?xml version="1.0" encoding="utf-8"?>
<ds:datastoreItem xmlns:ds="http://schemas.openxmlformats.org/officeDocument/2006/customXml" ds:itemID="{5D0AEA6B-E499-4EEF-98A3-AFBB261C493E}">
  <ds:schemaRefs/>
</ds:datastoreItem>
</file>

<file path=customXml/itemProps4.xml><?xml version="1.0" encoding="utf-8"?>
<ds:datastoreItem xmlns:ds="http://schemas.openxmlformats.org/officeDocument/2006/customXml" ds:itemID="{5D0AEA6B-E499-4EEF-98A3-AFBB261C493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ScaleCrop>false</ScaleCrop>
  <LinksUpToDate>false</LinksUpToDate>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dcterms:created xsi:type="dcterms:W3CDTF">2014-10-29T12:08:00Z</dcterms:created>
  <dcterms:modified xsi:type="dcterms:W3CDTF">2026-01-27T02:20:23Z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106D59E7AA7C44CDA58B7F96E884F2B6</vt:lpwstr>
  </property>
</Properties>
</file>