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7F8C1">
      <w:pPr>
        <w:adjustRightInd w:val="0"/>
        <w:snapToGrid w:val="0"/>
        <w:spacing w:line="440" w:lineRule="exact"/>
        <w:ind w:firstLine="413" w:firstLineChars="196"/>
        <w:rPr>
          <w:rFonts w:ascii="宋体" w:hAnsi="宋体"/>
          <w:b/>
          <w:szCs w:val="21"/>
        </w:rPr>
      </w:pPr>
      <w:r>
        <w:rPr>
          <w:rFonts w:ascii="宋体" w:hAnsi="宋体"/>
          <w:b/>
          <w:szCs w:val="21"/>
        </w:rPr>
        <w:t>一、工程概况：</w:t>
      </w:r>
    </w:p>
    <w:p w14:paraId="4742774E">
      <w:pPr>
        <w:adjustRightInd w:val="0"/>
        <w:snapToGrid w:val="0"/>
        <w:spacing w:line="440" w:lineRule="exact"/>
        <w:ind w:firstLine="420" w:firstLineChars="200"/>
        <w:rPr>
          <w:rFonts w:hint="eastAsia" w:ascii="宋体" w:hAnsi="宋体" w:eastAsia="宋体"/>
          <w:szCs w:val="21"/>
          <w:lang w:eastAsia="zh-CN"/>
        </w:rPr>
      </w:pPr>
      <w:r>
        <w:rPr>
          <w:rFonts w:ascii="宋体" w:hAnsi="宋体"/>
          <w:szCs w:val="21"/>
        </w:rPr>
        <w:t>1、工程名称：</w:t>
      </w:r>
      <w:r>
        <w:rPr>
          <w:rFonts w:hint="eastAsia" w:ascii="宋体" w:hAnsi="宋体"/>
          <w:szCs w:val="21"/>
          <w:lang w:eastAsia="zh-CN"/>
        </w:rPr>
        <w:t>浙江（华东）深远海风电宁波母港一期工程陆域厂区</w:t>
      </w:r>
      <w:bookmarkStart w:id="1" w:name="_GoBack"/>
      <w:bookmarkEnd w:id="1"/>
      <w:r>
        <w:rPr>
          <w:rFonts w:hint="eastAsia" w:ascii="宋体" w:hAnsi="宋体"/>
          <w:szCs w:val="21"/>
          <w:lang w:eastAsia="zh-CN"/>
        </w:rPr>
        <w:t>零星工程</w:t>
      </w:r>
    </w:p>
    <w:p w14:paraId="0EE41098">
      <w:pPr>
        <w:adjustRightInd w:val="0"/>
        <w:snapToGrid w:val="0"/>
        <w:spacing w:line="440" w:lineRule="exact"/>
        <w:ind w:firstLine="420" w:firstLineChars="200"/>
        <w:rPr>
          <w:rFonts w:ascii="宋体" w:hAnsi="宋体"/>
          <w:szCs w:val="21"/>
        </w:rPr>
      </w:pPr>
      <w:r>
        <w:rPr>
          <w:rFonts w:ascii="宋体" w:hAnsi="宋体"/>
          <w:szCs w:val="21"/>
        </w:rPr>
        <w:t>2、工程地点：</w:t>
      </w:r>
      <w:r>
        <w:rPr>
          <w:rFonts w:hint="eastAsia" w:ascii="宋体" w:hAnsi="宋体" w:eastAsia="宋体" w:cs="Times New Roman"/>
          <w:szCs w:val="21"/>
          <w:lang w:eastAsia="zh-CN"/>
        </w:rPr>
        <w:t>浙江省宁波市象山县大石门村，地处象山港出海口南侧、炮台山东北侧</w:t>
      </w:r>
      <w:r>
        <w:rPr>
          <w:rFonts w:hint="eastAsia" w:ascii="宋体" w:hAnsi="宋体"/>
          <w:kern w:val="0"/>
          <w:szCs w:val="21"/>
        </w:rPr>
        <w:t>。</w:t>
      </w:r>
    </w:p>
    <w:p w14:paraId="5EEB9057">
      <w:pPr>
        <w:adjustRightInd w:val="0"/>
        <w:snapToGrid w:val="0"/>
        <w:spacing w:line="440" w:lineRule="exact"/>
        <w:ind w:firstLine="420" w:firstLineChars="200"/>
        <w:rPr>
          <w:rFonts w:hint="eastAsia" w:ascii="宋体" w:hAnsi="宋体" w:eastAsia="宋体"/>
          <w:szCs w:val="21"/>
          <w:lang w:eastAsia="zh-CN"/>
        </w:rPr>
      </w:pPr>
      <w:r>
        <w:rPr>
          <w:rFonts w:ascii="宋体" w:hAnsi="宋体"/>
          <w:szCs w:val="21"/>
        </w:rPr>
        <w:t>3、工程</w:t>
      </w:r>
      <w:r>
        <w:rPr>
          <w:rFonts w:hint="eastAsia" w:ascii="宋体" w:hAnsi="宋体" w:eastAsia="宋体"/>
          <w:szCs w:val="21"/>
        </w:rPr>
        <w:t>规模：</w:t>
      </w:r>
      <w:r>
        <w:rPr>
          <w:rFonts w:hint="eastAsia" w:ascii="宋体" w:hAnsi="宋体" w:eastAsia="宋体" w:cs="Times New Roman"/>
          <w:szCs w:val="21"/>
          <w:lang w:eastAsia="zh-CN"/>
        </w:rPr>
        <w:t>新建2个5万吨级海工驳泊位（3#、4#泊位），陆域生产占地约</w:t>
      </w:r>
      <w:r>
        <w:rPr>
          <w:rFonts w:hint="eastAsia" w:ascii="宋体" w:hAnsi="宋体" w:eastAsia="宋体" w:cs="Times New Roman"/>
          <w:szCs w:val="21"/>
          <w:lang w:val="en-US" w:eastAsia="zh-CN"/>
        </w:rPr>
        <w:t>898</w:t>
      </w:r>
      <w:r>
        <w:rPr>
          <w:rFonts w:hint="eastAsia" w:ascii="宋体" w:hAnsi="宋体" w:eastAsia="宋体" w:cs="Times New Roman"/>
          <w:szCs w:val="21"/>
          <w:lang w:eastAsia="zh-CN"/>
        </w:rPr>
        <w:t>亩，根据功能区划划分为生产区、生活区及生活辅助区。</w:t>
      </w:r>
    </w:p>
    <w:p w14:paraId="05DA347A">
      <w:pPr>
        <w:autoSpaceDE w:val="0"/>
        <w:autoSpaceDN w:val="0"/>
        <w:adjustRightInd w:val="0"/>
        <w:snapToGrid w:val="0"/>
        <w:spacing w:line="440" w:lineRule="exact"/>
        <w:ind w:right="101" w:rightChars="48" w:firstLine="413" w:firstLineChars="196"/>
        <w:rPr>
          <w:rFonts w:ascii="宋体" w:hAnsi="宋体"/>
          <w:szCs w:val="21"/>
        </w:rPr>
      </w:pPr>
      <w:r>
        <w:rPr>
          <w:rFonts w:ascii="宋体" w:hAnsi="宋体"/>
          <w:b/>
          <w:szCs w:val="21"/>
        </w:rPr>
        <w:t>二</w:t>
      </w:r>
      <w:r>
        <w:rPr>
          <w:rFonts w:hint="eastAsia" w:ascii="宋体" w:hAnsi="宋体"/>
          <w:b/>
          <w:szCs w:val="21"/>
        </w:rPr>
        <w:t>、</w:t>
      </w:r>
      <w:r>
        <w:rPr>
          <w:rFonts w:ascii="宋体" w:hAnsi="宋体"/>
          <w:b/>
          <w:szCs w:val="21"/>
        </w:rPr>
        <w:t>编制范围</w:t>
      </w:r>
    </w:p>
    <w:p w14:paraId="244AFA65">
      <w:pPr>
        <w:adjustRightInd w:val="0"/>
        <w:snapToGrid w:val="0"/>
        <w:spacing w:line="440" w:lineRule="exact"/>
        <w:ind w:firstLine="420" w:firstLineChars="200"/>
        <w:rPr>
          <w:szCs w:val="21"/>
          <w:lang w:val="zh-CN"/>
        </w:rPr>
      </w:pPr>
      <w:r>
        <w:rPr>
          <w:rFonts w:hint="eastAsia"/>
          <w:szCs w:val="21"/>
          <w:lang w:val="zh-CN"/>
        </w:rPr>
        <w:t>本次编制范围</w:t>
      </w:r>
      <w:r>
        <w:rPr>
          <w:rFonts w:hint="eastAsia"/>
          <w:szCs w:val="21"/>
        </w:rPr>
        <w:t>具</w:t>
      </w:r>
      <w:r>
        <w:rPr>
          <w:rFonts w:hint="eastAsia"/>
          <w:szCs w:val="21"/>
          <w:lang w:val="zh-CN"/>
        </w:rPr>
        <w:t>体详见招标文件、招标图纸及工程量清单。</w:t>
      </w:r>
    </w:p>
    <w:p w14:paraId="2E1CDE96">
      <w:pPr>
        <w:autoSpaceDE w:val="0"/>
        <w:autoSpaceDN w:val="0"/>
        <w:adjustRightInd w:val="0"/>
        <w:snapToGrid w:val="0"/>
        <w:spacing w:line="440" w:lineRule="exact"/>
        <w:ind w:right="101" w:rightChars="48" w:firstLine="413" w:firstLineChars="196"/>
        <w:rPr>
          <w:rFonts w:ascii="宋体" w:hAnsi="宋体"/>
          <w:b/>
          <w:szCs w:val="21"/>
        </w:rPr>
      </w:pPr>
      <w:r>
        <w:rPr>
          <w:rFonts w:ascii="宋体" w:hAnsi="宋体"/>
          <w:b/>
          <w:szCs w:val="21"/>
        </w:rPr>
        <w:t>三、编制依据</w:t>
      </w:r>
    </w:p>
    <w:p w14:paraId="152FBBF5">
      <w:pPr>
        <w:keepNext w:val="0"/>
        <w:keepLines w:val="0"/>
        <w:pageBreakBefore w:val="0"/>
        <w:widowControl w:val="0"/>
        <w:numPr>
          <w:ilvl w:val="0"/>
          <w:numId w:val="2"/>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ascii="宋体" w:hAnsi="宋体" w:eastAsia="宋体" w:cs="Times New Roman"/>
          <w:szCs w:val="21"/>
          <w:highlight w:val="none"/>
          <w:lang w:val="en-US" w:eastAsia="zh-CN"/>
        </w:rPr>
        <w:t>浙江省电力建设有限公司</w:t>
      </w:r>
      <w:r>
        <w:rPr>
          <w:rFonts w:hint="eastAsia" w:ascii="宋体" w:hAnsi="宋体" w:eastAsia="宋体" w:cs="宋体"/>
          <w:kern w:val="2"/>
          <w:sz w:val="21"/>
          <w:szCs w:val="21"/>
          <w:highlight w:val="none"/>
          <w:lang w:val="en-US" w:eastAsia="zh-CN" w:bidi="ar-SA"/>
        </w:rPr>
        <w:t>提供的招标技术要求及规范、</w:t>
      </w:r>
      <w:r>
        <w:rPr>
          <w:rFonts w:hint="eastAsia" w:ascii="宋体" w:hAnsi="宋体" w:cs="宋体"/>
          <w:kern w:val="2"/>
          <w:sz w:val="21"/>
          <w:szCs w:val="21"/>
          <w:highlight w:val="none"/>
          <w:lang w:val="en-US" w:eastAsia="zh-CN" w:bidi="ar-SA"/>
        </w:rPr>
        <w:t>施工图</w:t>
      </w:r>
      <w:r>
        <w:rPr>
          <w:rFonts w:hint="eastAsia" w:ascii="宋体" w:hAnsi="宋体" w:eastAsia="宋体" w:cs="宋体"/>
          <w:kern w:val="2"/>
          <w:sz w:val="21"/>
          <w:szCs w:val="21"/>
          <w:highlight w:val="none"/>
          <w:lang w:val="en-US" w:eastAsia="zh-CN" w:bidi="ar-SA"/>
        </w:rPr>
        <w:t>及工程勘测报告</w:t>
      </w:r>
      <w:r>
        <w:rPr>
          <w:rFonts w:hint="eastAsia" w:cs="Times New Roman" w:asciiTheme="minorEastAsia" w:hAnsiTheme="minorEastAsia" w:eastAsiaTheme="minorEastAsia"/>
          <w:szCs w:val="21"/>
          <w:highlight w:val="none"/>
          <w:lang w:val="en-US" w:eastAsia="zh-CN"/>
        </w:rPr>
        <w:t>。</w:t>
      </w:r>
    </w:p>
    <w:p w14:paraId="75B2D602">
      <w:pPr>
        <w:keepNext w:val="0"/>
        <w:keepLines w:val="0"/>
        <w:pageBreakBefore w:val="0"/>
        <w:widowControl w:val="0"/>
        <w:numPr>
          <w:ilvl w:val="0"/>
          <w:numId w:val="2"/>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《建设工程工程量清单计价规范》（GB50500-2013）。</w:t>
      </w:r>
    </w:p>
    <w:p w14:paraId="521DB17E">
      <w:pPr>
        <w:keepNext w:val="0"/>
        <w:keepLines w:val="0"/>
        <w:pageBreakBefore w:val="0"/>
        <w:widowControl w:val="0"/>
        <w:numPr>
          <w:ilvl w:val="0"/>
          <w:numId w:val="2"/>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《房屋建筑与装饰工程工程量计算规范》(GB50854-2013)、《市政工程工程量计算规范》(GB50857-2013)、《通用安装工程工程量计算规范》(GB50856-2013)、《浙江省建设工程计价规则》(2018版)及相关补充规定。</w:t>
      </w:r>
    </w:p>
    <w:p w14:paraId="223AC532">
      <w:pPr>
        <w:keepNext w:val="0"/>
        <w:keepLines w:val="0"/>
        <w:pageBreakBefore w:val="0"/>
        <w:widowControl w:val="0"/>
        <w:numPr>
          <w:ilvl w:val="0"/>
          <w:numId w:val="2"/>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与建设项目相关的标准、图集、规范、技术资料、文件、法律法规和解释。</w:t>
      </w:r>
    </w:p>
    <w:p w14:paraId="787C57E3">
      <w:pPr>
        <w:adjustRightInd w:val="0"/>
        <w:snapToGrid w:val="0"/>
        <w:spacing w:line="440" w:lineRule="exact"/>
        <w:ind w:firstLine="413" w:firstLineChars="196"/>
        <w:rPr>
          <w:rFonts w:ascii="宋体" w:hAnsi="宋体"/>
          <w:b/>
          <w:szCs w:val="21"/>
        </w:rPr>
      </w:pPr>
      <w:r>
        <w:rPr>
          <w:rFonts w:ascii="宋体" w:hAnsi="宋体"/>
          <w:b/>
          <w:szCs w:val="21"/>
        </w:rPr>
        <w:t>四、工程质量、工期、材料、施工等要求</w:t>
      </w:r>
      <w:r>
        <w:rPr>
          <w:rFonts w:hint="eastAsia" w:ascii="宋体" w:hAnsi="宋体"/>
          <w:b/>
          <w:szCs w:val="21"/>
        </w:rPr>
        <w:t>：</w:t>
      </w:r>
    </w:p>
    <w:p w14:paraId="0C08A487">
      <w:pPr>
        <w:keepNext w:val="0"/>
        <w:keepLines w:val="0"/>
        <w:pageBreakBefore w:val="0"/>
        <w:widowControl w:val="0"/>
        <w:numPr>
          <w:ilvl w:val="0"/>
          <w:numId w:val="3"/>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工程质量：根据招标文件要求。</w:t>
      </w:r>
    </w:p>
    <w:p w14:paraId="44F3DF44">
      <w:pPr>
        <w:keepNext w:val="0"/>
        <w:keepLines w:val="0"/>
        <w:pageBreakBefore w:val="0"/>
        <w:widowControl w:val="0"/>
        <w:numPr>
          <w:ilvl w:val="0"/>
          <w:numId w:val="3"/>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工期：详见招标文件要求。</w:t>
      </w:r>
    </w:p>
    <w:p w14:paraId="71B9F27D">
      <w:pPr>
        <w:keepNext w:val="0"/>
        <w:keepLines w:val="0"/>
        <w:pageBreakBefore w:val="0"/>
        <w:widowControl w:val="0"/>
        <w:numPr>
          <w:ilvl w:val="0"/>
          <w:numId w:val="3"/>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具体材料、施工要求详见图纸及招标文件技术规范中具体要求。</w:t>
      </w:r>
    </w:p>
    <w:p w14:paraId="47AEA7C5">
      <w:pPr>
        <w:adjustRightInd w:val="0"/>
        <w:snapToGrid w:val="0"/>
        <w:spacing w:line="440" w:lineRule="exact"/>
        <w:ind w:firstLine="422" w:firstLineChars="200"/>
        <w:rPr>
          <w:rFonts w:hint="eastAsia"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zh-CN"/>
        </w:rPr>
        <w:t>五、</w:t>
      </w:r>
      <w:r>
        <w:rPr>
          <w:rFonts w:hint="eastAsia" w:asciiTheme="minorEastAsia" w:hAnsiTheme="minorEastAsia" w:eastAsiaTheme="minorEastAsia"/>
          <w:b/>
          <w:bCs/>
          <w:szCs w:val="21"/>
          <w:highlight w:val="none"/>
        </w:rPr>
        <w:t>费率要求</w:t>
      </w:r>
    </w:p>
    <w:p w14:paraId="73A1105D">
      <w:pPr>
        <w:tabs>
          <w:tab w:val="left" w:pos="540"/>
        </w:tabs>
        <w:autoSpaceDE w:val="0"/>
        <w:autoSpaceDN w:val="0"/>
        <w:adjustRightInd w:val="0"/>
        <w:spacing w:before="60" w:after="60" w:line="360" w:lineRule="auto"/>
        <w:ind w:firstLine="420" w:firstLineChars="200"/>
        <w:jc w:val="left"/>
        <w:rPr>
          <w:rFonts w:hint="eastAsia" w:ascii="宋体" w:hAnsi="宋体"/>
          <w:szCs w:val="21"/>
          <w:highlight w:val="none"/>
        </w:rPr>
      </w:pPr>
      <w:r>
        <w:rPr>
          <w:rFonts w:hint="eastAsia" w:asciiTheme="minorEastAsia" w:hAnsiTheme="minorEastAsia" w:eastAsiaTheme="minorEastAsia"/>
          <w:szCs w:val="21"/>
          <w:highlight w:val="none"/>
        </w:rPr>
        <w:t>安全文明施工费、企业管理费、规费、税金等的要求 ：</w:t>
      </w:r>
    </w:p>
    <w:p w14:paraId="5FB31BB7">
      <w:pPr>
        <w:tabs>
          <w:tab w:val="left" w:pos="540"/>
        </w:tabs>
        <w:autoSpaceDE w:val="0"/>
        <w:autoSpaceDN w:val="0"/>
        <w:adjustRightInd w:val="0"/>
        <w:spacing w:before="60" w:after="60" w:line="360" w:lineRule="auto"/>
        <w:ind w:firstLine="420" w:firstLineChars="200"/>
        <w:jc w:val="left"/>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rPr>
        <w:t>1、根据《浙江省建设工程计价规则》（2018版）</w:t>
      </w:r>
      <w:r>
        <w:rPr>
          <w:rFonts w:hint="eastAsia" w:asciiTheme="minorEastAsia" w:hAnsiTheme="minorEastAsia" w:eastAsiaTheme="minorEastAsia"/>
          <w:szCs w:val="21"/>
          <w:highlight w:val="none"/>
          <w:lang w:eastAsia="zh-CN"/>
        </w:rPr>
        <w:t>。</w:t>
      </w:r>
    </w:p>
    <w:p w14:paraId="30D87000">
      <w:pPr>
        <w:tabs>
          <w:tab w:val="left" w:pos="540"/>
        </w:tabs>
        <w:autoSpaceDE w:val="0"/>
        <w:autoSpaceDN w:val="0"/>
        <w:adjustRightInd w:val="0"/>
        <w:spacing w:before="60" w:after="60" w:line="360" w:lineRule="auto"/>
        <w:ind w:firstLine="420" w:firstLineChars="2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2、税金取费基数为税前工程造价</w:t>
      </w:r>
      <w:r>
        <w:rPr>
          <w:rFonts w:hint="eastAsia" w:asciiTheme="minorEastAsia" w:hAnsiTheme="minorEastAsia" w:eastAsiaTheme="minorEastAsia"/>
          <w:szCs w:val="21"/>
          <w:highlight w:val="none"/>
          <w:lang w:eastAsia="zh-CN"/>
        </w:rPr>
        <w:t>，</w:t>
      </w:r>
      <w:r>
        <w:rPr>
          <w:rFonts w:hint="eastAsia" w:asciiTheme="minorEastAsia" w:hAnsiTheme="minorEastAsia" w:eastAsiaTheme="minorEastAsia"/>
          <w:szCs w:val="21"/>
          <w:highlight w:val="none"/>
          <w:lang w:val="en-US" w:eastAsia="zh-CN"/>
        </w:rPr>
        <w:t>费率</w:t>
      </w:r>
      <w:r>
        <w:rPr>
          <w:rFonts w:hint="eastAsia" w:asciiTheme="minorEastAsia" w:hAnsiTheme="minorEastAsia" w:eastAsiaTheme="minorEastAsia"/>
          <w:szCs w:val="21"/>
          <w:highlight w:val="none"/>
        </w:rPr>
        <w:t xml:space="preserve">按9%计取。 </w:t>
      </w:r>
    </w:p>
    <w:p w14:paraId="0BA334E7">
      <w:pPr>
        <w:tabs>
          <w:tab w:val="left" w:pos="540"/>
        </w:tabs>
        <w:autoSpaceDE w:val="0"/>
        <w:autoSpaceDN w:val="0"/>
        <w:adjustRightInd w:val="0"/>
        <w:spacing w:before="60" w:after="60" w:line="360" w:lineRule="auto"/>
        <w:ind w:firstLine="420" w:firstLineChars="2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3、施工企业的现场监控、现场临时宿舍取暖降温费用，应根据市政府、市建设行政主管部门颁发的有关文件对于现场监控和现场民工宿舍空调的设置要求或标准规定落实相应费用的报价。 </w:t>
      </w:r>
    </w:p>
    <w:p w14:paraId="7956F223">
      <w:pPr>
        <w:adjustRightInd w:val="0"/>
        <w:snapToGrid w:val="0"/>
        <w:spacing w:line="440" w:lineRule="exact"/>
        <w:ind w:firstLine="310" w:firstLineChars="147"/>
        <w:rPr>
          <w:rFonts w:ascii="宋体" w:hAnsi="宋体" w:cs="宋体"/>
          <w:b/>
          <w:szCs w:val="21"/>
        </w:rPr>
      </w:pPr>
      <w:r>
        <w:rPr>
          <w:rFonts w:hint="eastAsia" w:asciiTheme="minorEastAsia" w:hAnsiTheme="minorEastAsia" w:eastAsiaTheme="minorEastAsia"/>
          <w:b/>
          <w:szCs w:val="21"/>
          <w:lang w:val="en-US" w:eastAsia="zh-CN"/>
        </w:rPr>
        <w:t>六</w:t>
      </w:r>
      <w:r>
        <w:rPr>
          <w:rFonts w:hint="eastAsia" w:asciiTheme="minorEastAsia" w:hAnsiTheme="minorEastAsia" w:eastAsiaTheme="minorEastAsia"/>
          <w:b/>
          <w:szCs w:val="21"/>
        </w:rPr>
        <w:t>、</w:t>
      </w:r>
      <w:r>
        <w:rPr>
          <w:rFonts w:hint="eastAsia" w:ascii="宋体" w:hAnsi="宋体" w:cs="宋体"/>
          <w:b/>
          <w:szCs w:val="21"/>
        </w:rPr>
        <w:t>编制</w:t>
      </w:r>
      <w:r>
        <w:rPr>
          <w:rFonts w:ascii="宋体" w:hAnsi="宋体" w:cs="宋体"/>
          <w:b/>
          <w:szCs w:val="21"/>
        </w:rPr>
        <w:t>情况说明</w:t>
      </w:r>
    </w:p>
    <w:p w14:paraId="37B3F475">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bookmarkStart w:id="0" w:name="_Hlk40295854"/>
      <w:r>
        <w:rPr>
          <w:rFonts w:hint="eastAsia" w:cs="Times New Roman" w:asciiTheme="minorEastAsia" w:hAnsiTheme="minorEastAsia" w:eastAsiaTheme="minorEastAsia"/>
          <w:szCs w:val="21"/>
          <w:highlight w:val="none"/>
          <w:lang w:val="en-US" w:eastAsia="zh-CN"/>
        </w:rPr>
        <w:t>生活临设设施由投标人厂外自行解决，由投标人在报价中综合考虑。</w:t>
      </w:r>
    </w:p>
    <w:p w14:paraId="3D19FF1A">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cs="Times New Roman" w:asciiTheme="minorEastAsia" w:hAnsiTheme="minorEastAsia" w:eastAsiaTheme="minorEastAsia"/>
          <w:szCs w:val="21"/>
          <w:highlight w:val="none"/>
          <w:lang w:val="en-US" w:eastAsia="zh-CN"/>
        </w:rPr>
        <w:t>本标段地下开挖遇到的障碍物清除属于本标段，相关费用由投标人在报价中综合考虑。</w:t>
      </w:r>
    </w:p>
    <w:p w14:paraId="44CB1EBD">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场内永久性道路做法不明，清单暂按此做法（300mm厚C40细石混凝土；300mm厚5%水泥稳定碎石层；150mm厚碎石；素土夯实）计入，最终按实调整；</w:t>
      </w:r>
    </w:p>
    <w:p w14:paraId="200119F6">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临时交通指示牌、临时道路交通标识标线划线、限高装置、减速带图纸未明确，清单按暂估量计入，最终按实调整；</w:t>
      </w:r>
    </w:p>
    <w:p w14:paraId="75C0EA07">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人行道具体位置图纸未体现，清单按暂估量计入，最终按实调整；</w:t>
      </w:r>
    </w:p>
    <w:p w14:paraId="5BBF68B3">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施工用水由给水总表开始计算至入户水表（含水表组、配套阀门及阀门井）；</w:t>
      </w:r>
    </w:p>
    <w:p w14:paraId="41D5D5F7">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图纸未明确入户水表组型号及组成，给水管DN50连接的水表按DN50水表计入，其余按DN80计入，水表组组成按水表*1+闸阀*1考虑计入，最终按实调整；</w:t>
      </w:r>
    </w:p>
    <w:p w14:paraId="3DD61D65">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室外消火栓配套阀门平面图未体现，暂按一个室外消火栓配一个同规格闸阀计入；</w:t>
      </w:r>
    </w:p>
    <w:p w14:paraId="313F5DA9">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临时道路照明</w:t>
      </w:r>
      <w:r>
        <w:rPr>
          <w:rFonts w:hint="eastAsia" w:ascii="宋体" w:hAnsi="宋体" w:cs="宋体"/>
          <w:szCs w:val="21"/>
          <w:highlight w:val="none"/>
          <w:lang w:val="en-US" w:eastAsia="zh-CN"/>
        </w:rPr>
        <w:t>系统中</w:t>
      </w:r>
      <w:r>
        <w:rPr>
          <w:rFonts w:hint="eastAsia" w:ascii="宋体" w:hAnsi="宋体" w:eastAsia="宋体" w:cs="宋体"/>
          <w:szCs w:val="21"/>
          <w:highlight w:val="none"/>
          <w:lang w:val="en-US" w:eastAsia="zh-CN"/>
        </w:rPr>
        <w:t>每个路灯考虑单独接地；</w:t>
      </w:r>
    </w:p>
    <w:p w14:paraId="3D0BAFE8">
      <w:pPr>
        <w:keepNext w:val="0"/>
        <w:keepLines w:val="0"/>
        <w:pageBreakBefore w:val="0"/>
        <w:widowControl w:val="0"/>
        <w:numPr>
          <w:ilvl w:val="0"/>
          <w:numId w:val="4"/>
        </w:numPr>
        <w:tabs>
          <w:tab w:val="left" w:pos="540"/>
        </w:tabs>
        <w:kinsoku/>
        <w:wordWrap/>
        <w:overflowPunct/>
        <w:topLinePunct w:val="0"/>
        <w:autoSpaceDE w:val="0"/>
        <w:autoSpaceDN w:val="0"/>
        <w:bidi w:val="0"/>
        <w:adjustRightInd w:val="0"/>
        <w:snapToGrid/>
        <w:spacing w:before="60" w:after="60" w:line="360" w:lineRule="auto"/>
        <w:ind w:left="0" w:leftChars="0" w:firstLine="420" w:firstLineChars="200"/>
        <w:jc w:val="left"/>
        <w:textAlignment w:val="auto"/>
        <w:rPr>
          <w:rFonts w:hint="eastAsia" w:cs="Times New Roman" w:asciiTheme="minorEastAsia" w:hAnsiTheme="minorEastAsia" w:eastAsiaTheme="minorEastAsia"/>
          <w:szCs w:val="21"/>
          <w:highlight w:val="none"/>
          <w:lang w:val="en-US" w:eastAsia="zh-CN"/>
        </w:rPr>
      </w:pPr>
      <w:r>
        <w:rPr>
          <w:rFonts w:hint="eastAsia" w:ascii="宋体" w:hAnsi="宋体" w:eastAsia="宋体" w:cs="宋体"/>
          <w:szCs w:val="21"/>
          <w:highlight w:val="none"/>
          <w:lang w:val="en-US" w:eastAsia="zh-CN"/>
        </w:rPr>
        <w:t>门禁系统后续为整套系统采购，本次</w:t>
      </w:r>
      <w:r>
        <w:rPr>
          <w:rFonts w:hint="eastAsia" w:ascii="宋体" w:hAnsi="宋体" w:cs="宋体"/>
          <w:szCs w:val="21"/>
          <w:highlight w:val="none"/>
          <w:lang w:val="en-US" w:eastAsia="zh-CN"/>
        </w:rPr>
        <w:t>招标</w:t>
      </w:r>
      <w:r>
        <w:rPr>
          <w:rFonts w:hint="eastAsia" w:ascii="宋体" w:hAnsi="宋体" w:eastAsia="宋体" w:cs="宋体"/>
          <w:szCs w:val="21"/>
          <w:highlight w:val="none"/>
          <w:lang w:val="en-US" w:eastAsia="zh-CN"/>
        </w:rPr>
        <w:t>按10万元暂估</w:t>
      </w:r>
      <w:r>
        <w:rPr>
          <w:rFonts w:hint="eastAsia" w:ascii="宋体" w:hAnsi="宋体" w:cs="宋体"/>
          <w:szCs w:val="21"/>
          <w:highlight w:val="none"/>
          <w:lang w:val="en-US" w:eastAsia="zh-CN"/>
        </w:rPr>
        <w:t>价</w:t>
      </w:r>
      <w:r>
        <w:rPr>
          <w:rFonts w:hint="eastAsia" w:ascii="宋体" w:hAnsi="宋体" w:eastAsia="宋体" w:cs="宋体"/>
          <w:szCs w:val="21"/>
          <w:highlight w:val="none"/>
          <w:lang w:val="en-US" w:eastAsia="zh-CN"/>
        </w:rPr>
        <w:t>计入</w:t>
      </w:r>
      <w:r>
        <w:rPr>
          <w:rFonts w:hint="eastAsia" w:ascii="宋体" w:hAnsi="宋体" w:cs="宋体"/>
          <w:szCs w:val="21"/>
          <w:highlight w:val="none"/>
          <w:lang w:val="en-US" w:eastAsia="zh-CN"/>
        </w:rPr>
        <w:t>，待方案明确后按实调整</w:t>
      </w:r>
      <w:r>
        <w:rPr>
          <w:rFonts w:hint="eastAsia" w:ascii="宋体" w:hAnsi="宋体" w:eastAsia="宋体" w:cs="宋体"/>
          <w:szCs w:val="21"/>
          <w:highlight w:val="none"/>
          <w:lang w:val="en-US" w:eastAsia="zh-CN"/>
        </w:rPr>
        <w:t>。</w:t>
      </w:r>
    </w:p>
    <w:bookmarkEnd w:id="0"/>
    <w:p w14:paraId="695D861B">
      <w:pPr>
        <w:keepNext w:val="0"/>
        <w:keepLines w:val="0"/>
        <w:pageBreakBefore w:val="0"/>
        <w:widowControl w:val="0"/>
        <w:numPr>
          <w:ilvl w:val="0"/>
          <w:numId w:val="0"/>
        </w:numPr>
        <w:tabs>
          <w:tab w:val="left" w:pos="540"/>
        </w:tabs>
        <w:kinsoku/>
        <w:wordWrap/>
        <w:overflowPunct/>
        <w:topLinePunct w:val="0"/>
        <w:autoSpaceDE w:val="0"/>
        <w:autoSpaceDN w:val="0"/>
        <w:bidi w:val="0"/>
        <w:adjustRightInd w:val="0"/>
        <w:snapToGrid/>
        <w:spacing w:before="60" w:after="60" w:line="360" w:lineRule="auto"/>
        <w:ind w:leftChars="200"/>
        <w:jc w:val="left"/>
        <w:textAlignment w:val="auto"/>
        <w:rPr>
          <w:rFonts w:hint="default" w:cs="Times New Roman" w:asciiTheme="minorEastAsia" w:hAnsiTheme="minorEastAsia" w:eastAsiaTheme="minorEastAsia"/>
          <w:szCs w:val="21"/>
          <w:highlight w:val="none"/>
          <w:lang w:val="en-US" w:eastAsia="zh-CN"/>
        </w:rPr>
      </w:pPr>
    </w:p>
    <w:sectPr>
      <w:headerReference r:id="rId3" w:type="default"/>
      <w:footerReference r:id="rId4" w:type="default"/>
      <w:footerReference r:id="rId5" w:type="even"/>
      <w:pgSz w:w="11906" w:h="16838"/>
      <w:pgMar w:top="2098" w:right="1440" w:bottom="1440" w:left="1440" w:header="93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Rounded MT Bold">
    <w:panose1 w:val="020F0704030504030204"/>
    <w:charset w:val="00"/>
    <w:family w:val="swiss"/>
    <w:pitch w:val="default"/>
    <w:sig w:usb0="00000003" w:usb1="00000000" w:usb2="00000000" w:usb3="00000000" w:csb0="2000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17ED5">
    <w:pPr>
      <w:pStyle w:val="7"/>
      <w:framePr w:wrap="around" w:vAnchor="text" w:hAnchor="margin" w:xAlign="center" w:y="1"/>
      <w:rPr>
        <w:rStyle w:val="15"/>
        <w:rFonts w:ascii="宋体" w:hAnsi="宋体"/>
        <w:b w:val="0"/>
        <w:sz w:val="21"/>
        <w:szCs w:val="21"/>
      </w:rPr>
    </w:pPr>
    <w:r>
      <w:rPr>
        <w:rFonts w:ascii="宋体" w:hAnsi="宋体"/>
        <w:b/>
        <w:sz w:val="21"/>
        <w:szCs w:val="21"/>
      </w:rPr>
      <w:fldChar w:fldCharType="begin"/>
    </w:r>
    <w:r>
      <w:rPr>
        <w:rStyle w:val="15"/>
        <w:rFonts w:ascii="宋体" w:hAnsi="宋体"/>
        <w:b w:val="0"/>
        <w:sz w:val="21"/>
        <w:szCs w:val="21"/>
      </w:rPr>
      <w:instrText xml:space="preserve">PAGE  </w:instrText>
    </w:r>
    <w:r>
      <w:rPr>
        <w:rFonts w:ascii="宋体" w:hAnsi="宋体"/>
        <w:b/>
        <w:sz w:val="21"/>
        <w:szCs w:val="21"/>
      </w:rPr>
      <w:fldChar w:fldCharType="separate"/>
    </w:r>
    <w:r>
      <w:rPr>
        <w:rStyle w:val="15"/>
        <w:rFonts w:ascii="宋体" w:hAnsi="宋体"/>
        <w:b w:val="0"/>
        <w:sz w:val="21"/>
        <w:szCs w:val="21"/>
      </w:rPr>
      <w:t>3</w:t>
    </w:r>
    <w:r>
      <w:rPr>
        <w:rFonts w:ascii="宋体" w:hAnsi="宋体"/>
        <w:b/>
        <w:sz w:val="21"/>
        <w:szCs w:val="21"/>
      </w:rPr>
      <w:fldChar w:fldCharType="end"/>
    </w:r>
  </w:p>
  <w:p w14:paraId="3510AFC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FEB77">
    <w:pPr>
      <w:pStyle w:val="7"/>
      <w:framePr w:wrap="around" w:vAnchor="text" w:hAnchor="margin" w:xAlign="center" w:y="1"/>
      <w:rPr>
        <w:rStyle w:val="15"/>
      </w:rPr>
    </w:pPr>
    <w:r>
      <w:fldChar w:fldCharType="begin"/>
    </w:r>
    <w:r>
      <w:rPr>
        <w:rStyle w:val="15"/>
      </w:rPr>
      <w:instrText xml:space="preserve">PAGE  </w:instrText>
    </w:r>
    <w:r>
      <w:fldChar w:fldCharType="end"/>
    </w:r>
  </w:p>
  <w:p w14:paraId="4FAE71B8">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692AA">
    <w:pPr>
      <w:tabs>
        <w:tab w:val="left" w:pos="0"/>
      </w:tabs>
      <w:autoSpaceDE w:val="0"/>
      <w:autoSpaceDN w:val="0"/>
      <w:adjustRightInd w:val="0"/>
      <w:ind w:left="-178" w:leftChars="-85"/>
      <w:jc w:val="center"/>
      <w:rPr>
        <w:rFonts w:eastAsia="黑体"/>
        <w:color w:val="000000"/>
        <w:sz w:val="32"/>
        <w:szCs w:val="32"/>
        <w:lang w:val="zh-CN"/>
      </w:rPr>
    </w:pPr>
    <w:r>
      <w:rPr>
        <w:rFonts w:hint="eastAsia" w:eastAsia="黑体"/>
        <w:color w:val="000000"/>
        <w:sz w:val="32"/>
        <w:szCs w:val="32"/>
        <w:lang w:val="zh-CN"/>
      </w:rPr>
      <w:t>工程量清单</w:t>
    </w:r>
    <w:r>
      <w:rPr>
        <w:rFonts w:eastAsia="黑体"/>
        <w:color w:val="000000"/>
        <w:sz w:val="32"/>
        <w:szCs w:val="32"/>
        <w:lang w:val="zh-CN"/>
      </w:rPr>
      <w:t>编制说明</w:t>
    </w:r>
  </w:p>
  <w:p w14:paraId="6BF33D4E">
    <w:pPr>
      <w:tabs>
        <w:tab w:val="left" w:pos="0"/>
      </w:tabs>
      <w:autoSpaceDE w:val="0"/>
      <w:autoSpaceDN w:val="0"/>
      <w:adjustRightInd w:val="0"/>
      <w:spacing w:line="400" w:lineRule="exact"/>
      <w:jc w:val="center"/>
      <w:rPr>
        <w:rFonts w:eastAsia="黑体"/>
        <w:color w:val="000000"/>
        <w:sz w:val="18"/>
        <w:szCs w:val="18"/>
        <w:lang w:val="zh-CN"/>
      </w:rPr>
    </w:pPr>
  </w:p>
  <w:p w14:paraId="46FA06FC">
    <w:pPr>
      <w:spacing w:line="400" w:lineRule="exact"/>
      <w:ind w:left="1062" w:leftChars="20" w:hanging="1020" w:hangingChars="486"/>
      <w:rPr>
        <w:rFonts w:hint="eastAsia"/>
        <w:color w:val="000000"/>
        <w:szCs w:val="21"/>
        <w:lang w:val="zh-CN" w:eastAsia="zh-CN"/>
      </w:rPr>
    </w:pPr>
    <w:r>
      <w:rPr>
        <w:color w:val="000000"/>
        <w:szCs w:val="21"/>
      </w:rPr>
      <w:pict>
        <v:line id="Line 3" o:spid="_x0000_s1025" o:spt="20" style="position:absolute;left:0pt;flip:y;margin-left:0pt;margin-top:17.25pt;height:0.7pt;width:454pt;z-index:251659264;mso-width-relative:page;mso-height-relative:page;" coordsize="21600,21600">
          <v:path arrowok="t"/>
          <v:fill focussize="0,0"/>
          <v:stroke/>
          <v:imagedata o:title=""/>
          <o:lock v:ext="edit"/>
        </v:line>
      </w:pict>
    </w:r>
    <w:r>
      <w:rPr>
        <w:color w:val="000000"/>
        <w:szCs w:val="21"/>
        <w:lang w:val="zh-CN"/>
      </w:rPr>
      <w:t>工程名称：</w:t>
    </w:r>
    <w:r>
      <w:rPr>
        <w:rFonts w:hint="eastAsia"/>
        <w:color w:val="000000"/>
        <w:szCs w:val="21"/>
        <w:lang w:val="zh-CN"/>
      </w:rPr>
      <w:t>浙江（华东）深远海风电宁波母港一期工程</w:t>
    </w:r>
    <w:r>
      <w:rPr>
        <w:rFonts w:hint="eastAsia"/>
        <w:color w:val="000000"/>
        <w:szCs w:val="21"/>
        <w:lang w:val="en-US" w:eastAsia="zh-CN"/>
      </w:rPr>
      <w:t>陆域厂区零星工程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6E080F"/>
    <w:multiLevelType w:val="multilevel"/>
    <w:tmpl w:val="386E080F"/>
    <w:lvl w:ilvl="0" w:tentative="0">
      <w:start w:val="1"/>
      <w:numFmt w:val="decimal"/>
      <w:pStyle w:val="2"/>
      <w:lvlText w:val="%1"/>
      <w:lvlJc w:val="left"/>
      <w:pPr>
        <w:tabs>
          <w:tab w:val="left" w:pos="360"/>
        </w:tabs>
        <w:ind w:left="284" w:hanging="284"/>
      </w:pPr>
      <w:rPr>
        <w:rFonts w:hint="eastAsia"/>
      </w:rPr>
    </w:lvl>
    <w:lvl w:ilvl="1" w:tentative="0">
      <w:start w:val="4"/>
      <w:numFmt w:val="decimal"/>
      <w:lvlText w:val="%1.%2"/>
      <w:lvlJc w:val="left"/>
      <w:pPr>
        <w:tabs>
          <w:tab w:val="left" w:pos="480"/>
        </w:tabs>
        <w:ind w:left="480" w:hanging="480"/>
      </w:pPr>
      <w:rPr>
        <w:rFonts w:hint="default"/>
      </w:rPr>
    </w:lvl>
    <w:lvl w:ilvl="2" w:tentative="0">
      <w:start w:val="1"/>
      <w:numFmt w:val="decimal"/>
      <w:lvlText w:val="%1.%2.%3"/>
      <w:lvlJc w:val="left"/>
      <w:pPr>
        <w:tabs>
          <w:tab w:val="left" w:pos="720"/>
        </w:tabs>
        <w:ind w:left="0" w:firstLine="0"/>
      </w:pPr>
      <w:rPr>
        <w:rFonts w:hint="default"/>
      </w:rPr>
    </w:lvl>
    <w:lvl w:ilvl="3" w:tentative="0">
      <w:start w:val="1"/>
      <w:numFmt w:val="decimal"/>
      <w:lvlText w:val="%1.%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1">
    <w:nsid w:val="51DA67B7"/>
    <w:multiLevelType w:val="singleLevel"/>
    <w:tmpl w:val="51DA67B7"/>
    <w:lvl w:ilvl="0" w:tentative="0">
      <w:start w:val="1"/>
      <w:numFmt w:val="decimal"/>
      <w:suff w:val="nothing"/>
      <w:lvlText w:val="%1、"/>
      <w:lvlJc w:val="left"/>
    </w:lvl>
  </w:abstractNum>
  <w:abstractNum w:abstractNumId="2">
    <w:nsid w:val="615431A4"/>
    <w:multiLevelType w:val="singleLevel"/>
    <w:tmpl w:val="615431A4"/>
    <w:lvl w:ilvl="0" w:tentative="0">
      <w:start w:val="1"/>
      <w:numFmt w:val="decimal"/>
      <w:suff w:val="nothing"/>
      <w:lvlText w:val="%1、"/>
      <w:lvlJc w:val="left"/>
    </w:lvl>
  </w:abstractNum>
  <w:abstractNum w:abstractNumId="3">
    <w:nsid w:val="6DF138EE"/>
    <w:multiLevelType w:val="singleLevel"/>
    <w:tmpl w:val="6DF138EE"/>
    <w:lvl w:ilvl="0" w:tentative="0">
      <w:start w:val="1"/>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M0OTBjMmVkN2FlYzE3ZmJhZTA5OWU1Zjk0OTlhNWQifQ=="/>
  </w:docVars>
  <w:rsids>
    <w:rsidRoot w:val="0073309B"/>
    <w:rsid w:val="00011BA6"/>
    <w:rsid w:val="00060422"/>
    <w:rsid w:val="000753E8"/>
    <w:rsid w:val="000A2138"/>
    <w:rsid w:val="000B516E"/>
    <w:rsid w:val="000E359A"/>
    <w:rsid w:val="000E610A"/>
    <w:rsid w:val="00132218"/>
    <w:rsid w:val="001349FC"/>
    <w:rsid w:val="0015070B"/>
    <w:rsid w:val="00177BBC"/>
    <w:rsid w:val="00183370"/>
    <w:rsid w:val="00194845"/>
    <w:rsid w:val="001A5A46"/>
    <w:rsid w:val="001B3C90"/>
    <w:rsid w:val="001B60E5"/>
    <w:rsid w:val="001C730A"/>
    <w:rsid w:val="001D26FF"/>
    <w:rsid w:val="00223642"/>
    <w:rsid w:val="00224ADF"/>
    <w:rsid w:val="00254DE8"/>
    <w:rsid w:val="002560AA"/>
    <w:rsid w:val="00262AA2"/>
    <w:rsid w:val="00267491"/>
    <w:rsid w:val="00285AC7"/>
    <w:rsid w:val="002B423C"/>
    <w:rsid w:val="002E1F09"/>
    <w:rsid w:val="00303423"/>
    <w:rsid w:val="00317D4C"/>
    <w:rsid w:val="00324A94"/>
    <w:rsid w:val="0034152F"/>
    <w:rsid w:val="00367097"/>
    <w:rsid w:val="00394777"/>
    <w:rsid w:val="00395F98"/>
    <w:rsid w:val="003B3FA8"/>
    <w:rsid w:val="0040561F"/>
    <w:rsid w:val="0041670E"/>
    <w:rsid w:val="004205EC"/>
    <w:rsid w:val="004216AF"/>
    <w:rsid w:val="004265A1"/>
    <w:rsid w:val="00434F17"/>
    <w:rsid w:val="004B7D0D"/>
    <w:rsid w:val="00533353"/>
    <w:rsid w:val="0056006E"/>
    <w:rsid w:val="0058048F"/>
    <w:rsid w:val="005923C8"/>
    <w:rsid w:val="00592EF0"/>
    <w:rsid w:val="005B24C1"/>
    <w:rsid w:val="005D3899"/>
    <w:rsid w:val="005D5C96"/>
    <w:rsid w:val="00600B2D"/>
    <w:rsid w:val="00605D88"/>
    <w:rsid w:val="00613AAA"/>
    <w:rsid w:val="00613FD8"/>
    <w:rsid w:val="00614FBB"/>
    <w:rsid w:val="00630CCD"/>
    <w:rsid w:val="006357F7"/>
    <w:rsid w:val="00642637"/>
    <w:rsid w:val="00653EB2"/>
    <w:rsid w:val="00656459"/>
    <w:rsid w:val="00663AD8"/>
    <w:rsid w:val="00701C76"/>
    <w:rsid w:val="00715003"/>
    <w:rsid w:val="0073309B"/>
    <w:rsid w:val="0075129C"/>
    <w:rsid w:val="0075185A"/>
    <w:rsid w:val="0079202F"/>
    <w:rsid w:val="007953B4"/>
    <w:rsid w:val="007C638F"/>
    <w:rsid w:val="007E6592"/>
    <w:rsid w:val="007F4A22"/>
    <w:rsid w:val="00811BDE"/>
    <w:rsid w:val="00826EE5"/>
    <w:rsid w:val="00836868"/>
    <w:rsid w:val="008441AD"/>
    <w:rsid w:val="00874605"/>
    <w:rsid w:val="00887547"/>
    <w:rsid w:val="008A7E6D"/>
    <w:rsid w:val="008C54AB"/>
    <w:rsid w:val="008D193B"/>
    <w:rsid w:val="009133D8"/>
    <w:rsid w:val="0092317A"/>
    <w:rsid w:val="00932382"/>
    <w:rsid w:val="009439A1"/>
    <w:rsid w:val="0097743D"/>
    <w:rsid w:val="009B263B"/>
    <w:rsid w:val="009B3DFB"/>
    <w:rsid w:val="009D2B3F"/>
    <w:rsid w:val="009E0E1B"/>
    <w:rsid w:val="00A05B6C"/>
    <w:rsid w:val="00A13FE6"/>
    <w:rsid w:val="00A31114"/>
    <w:rsid w:val="00A347DB"/>
    <w:rsid w:val="00A41FE8"/>
    <w:rsid w:val="00A436AD"/>
    <w:rsid w:val="00A65E84"/>
    <w:rsid w:val="00A72D9F"/>
    <w:rsid w:val="00AC4981"/>
    <w:rsid w:val="00AE7071"/>
    <w:rsid w:val="00B11D2A"/>
    <w:rsid w:val="00B31AD9"/>
    <w:rsid w:val="00B71283"/>
    <w:rsid w:val="00B941EC"/>
    <w:rsid w:val="00BB20F9"/>
    <w:rsid w:val="00BC513D"/>
    <w:rsid w:val="00BC7B61"/>
    <w:rsid w:val="00BD4225"/>
    <w:rsid w:val="00BD576E"/>
    <w:rsid w:val="00BD7230"/>
    <w:rsid w:val="00BF4E74"/>
    <w:rsid w:val="00BF6291"/>
    <w:rsid w:val="00C01477"/>
    <w:rsid w:val="00C06A43"/>
    <w:rsid w:val="00C30504"/>
    <w:rsid w:val="00C31E4F"/>
    <w:rsid w:val="00C40005"/>
    <w:rsid w:val="00C54F95"/>
    <w:rsid w:val="00C7405B"/>
    <w:rsid w:val="00C74F34"/>
    <w:rsid w:val="00C761D8"/>
    <w:rsid w:val="00C81D31"/>
    <w:rsid w:val="00CA680D"/>
    <w:rsid w:val="00CB017A"/>
    <w:rsid w:val="00CD3B07"/>
    <w:rsid w:val="00CD7C4B"/>
    <w:rsid w:val="00CE14AA"/>
    <w:rsid w:val="00CE61AC"/>
    <w:rsid w:val="00CF753C"/>
    <w:rsid w:val="00D0274C"/>
    <w:rsid w:val="00D15A2D"/>
    <w:rsid w:val="00D30200"/>
    <w:rsid w:val="00D3797F"/>
    <w:rsid w:val="00D4117F"/>
    <w:rsid w:val="00D41614"/>
    <w:rsid w:val="00D66516"/>
    <w:rsid w:val="00D821DB"/>
    <w:rsid w:val="00DC2E27"/>
    <w:rsid w:val="00DF0724"/>
    <w:rsid w:val="00DF081B"/>
    <w:rsid w:val="00DF1C08"/>
    <w:rsid w:val="00E462FB"/>
    <w:rsid w:val="00E61D9F"/>
    <w:rsid w:val="00E64224"/>
    <w:rsid w:val="00E673DC"/>
    <w:rsid w:val="00E9176A"/>
    <w:rsid w:val="00EC4940"/>
    <w:rsid w:val="00EF6FB9"/>
    <w:rsid w:val="00F06949"/>
    <w:rsid w:val="00F07D82"/>
    <w:rsid w:val="00F32A33"/>
    <w:rsid w:val="00F54340"/>
    <w:rsid w:val="00F96DCC"/>
    <w:rsid w:val="00FA2F9C"/>
    <w:rsid w:val="00FA63AC"/>
    <w:rsid w:val="00FC2B31"/>
    <w:rsid w:val="00FF0DF3"/>
    <w:rsid w:val="00FF744D"/>
    <w:rsid w:val="00FF75B4"/>
    <w:rsid w:val="01C7730C"/>
    <w:rsid w:val="032E370E"/>
    <w:rsid w:val="06214045"/>
    <w:rsid w:val="07081CD1"/>
    <w:rsid w:val="079A2838"/>
    <w:rsid w:val="082E58E1"/>
    <w:rsid w:val="089E57A3"/>
    <w:rsid w:val="096C14C7"/>
    <w:rsid w:val="0AD57CC1"/>
    <w:rsid w:val="0CEA4D9C"/>
    <w:rsid w:val="0D2B61B4"/>
    <w:rsid w:val="0D2F7ADD"/>
    <w:rsid w:val="0F377167"/>
    <w:rsid w:val="0F3D0FC1"/>
    <w:rsid w:val="0FDC5544"/>
    <w:rsid w:val="0FDD2C15"/>
    <w:rsid w:val="0FF24D67"/>
    <w:rsid w:val="11525034"/>
    <w:rsid w:val="14661880"/>
    <w:rsid w:val="16501FB0"/>
    <w:rsid w:val="16B75D61"/>
    <w:rsid w:val="174F756B"/>
    <w:rsid w:val="18541BB5"/>
    <w:rsid w:val="1B8F1FF0"/>
    <w:rsid w:val="1D646959"/>
    <w:rsid w:val="1DA444B9"/>
    <w:rsid w:val="1F740A34"/>
    <w:rsid w:val="20111976"/>
    <w:rsid w:val="22F160DD"/>
    <w:rsid w:val="230B6414"/>
    <w:rsid w:val="24474A0D"/>
    <w:rsid w:val="25B85254"/>
    <w:rsid w:val="2A6863AF"/>
    <w:rsid w:val="2B812B79"/>
    <w:rsid w:val="2B8E01D9"/>
    <w:rsid w:val="2C2B295E"/>
    <w:rsid w:val="2D406CBA"/>
    <w:rsid w:val="2DD505CE"/>
    <w:rsid w:val="2EDD678B"/>
    <w:rsid w:val="2EED38F1"/>
    <w:rsid w:val="2FD6163A"/>
    <w:rsid w:val="304F0AD7"/>
    <w:rsid w:val="31A9214B"/>
    <w:rsid w:val="33F425AD"/>
    <w:rsid w:val="353163E8"/>
    <w:rsid w:val="37052206"/>
    <w:rsid w:val="373B14A6"/>
    <w:rsid w:val="375B170F"/>
    <w:rsid w:val="397D3B20"/>
    <w:rsid w:val="3994758D"/>
    <w:rsid w:val="39D33510"/>
    <w:rsid w:val="3ACC0956"/>
    <w:rsid w:val="3D7172E2"/>
    <w:rsid w:val="3E6E2134"/>
    <w:rsid w:val="3F4938CD"/>
    <w:rsid w:val="3F8C518C"/>
    <w:rsid w:val="40FB6A82"/>
    <w:rsid w:val="421C2893"/>
    <w:rsid w:val="475573AE"/>
    <w:rsid w:val="47FE49AC"/>
    <w:rsid w:val="483D40CA"/>
    <w:rsid w:val="48E70C25"/>
    <w:rsid w:val="49E1445F"/>
    <w:rsid w:val="4C1A7364"/>
    <w:rsid w:val="4D3F2786"/>
    <w:rsid w:val="4D6C0FAE"/>
    <w:rsid w:val="4F2C3EED"/>
    <w:rsid w:val="51BC4AC1"/>
    <w:rsid w:val="538D6F50"/>
    <w:rsid w:val="54FD3CD5"/>
    <w:rsid w:val="574C3E66"/>
    <w:rsid w:val="58233E02"/>
    <w:rsid w:val="59BD721D"/>
    <w:rsid w:val="59D93689"/>
    <w:rsid w:val="5A625727"/>
    <w:rsid w:val="5C724AB7"/>
    <w:rsid w:val="5D67356A"/>
    <w:rsid w:val="5D7D740A"/>
    <w:rsid w:val="621974FF"/>
    <w:rsid w:val="6389424C"/>
    <w:rsid w:val="647B72D3"/>
    <w:rsid w:val="64BA5F27"/>
    <w:rsid w:val="6543190E"/>
    <w:rsid w:val="65D14C18"/>
    <w:rsid w:val="664C3243"/>
    <w:rsid w:val="687A6076"/>
    <w:rsid w:val="68A5093A"/>
    <w:rsid w:val="68D05434"/>
    <w:rsid w:val="6AAF7EB9"/>
    <w:rsid w:val="6AB869D9"/>
    <w:rsid w:val="6AEB6B50"/>
    <w:rsid w:val="6B232523"/>
    <w:rsid w:val="6BBF5D47"/>
    <w:rsid w:val="6C330A1F"/>
    <w:rsid w:val="6CC80B96"/>
    <w:rsid w:val="6CF43042"/>
    <w:rsid w:val="6E4E32F2"/>
    <w:rsid w:val="6E5869C3"/>
    <w:rsid w:val="6E97592D"/>
    <w:rsid w:val="6EC2610F"/>
    <w:rsid w:val="6ED837A2"/>
    <w:rsid w:val="6F380EE9"/>
    <w:rsid w:val="6FEA2770"/>
    <w:rsid w:val="72545C55"/>
    <w:rsid w:val="737A3B75"/>
    <w:rsid w:val="74A86134"/>
    <w:rsid w:val="74EC1FC3"/>
    <w:rsid w:val="76B50F66"/>
    <w:rsid w:val="76D24BA6"/>
    <w:rsid w:val="772B235E"/>
    <w:rsid w:val="77C875A5"/>
    <w:rsid w:val="799B65F3"/>
    <w:rsid w:val="7BED67CA"/>
    <w:rsid w:val="7FEA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Lines="50" w:afterLines="50"/>
      <w:outlineLvl w:val="0"/>
    </w:pPr>
    <w:rPr>
      <w:rFonts w:ascii="黑体" w:eastAsia="黑体"/>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unhideWhenUsed/>
    <w:qFormat/>
    <w:uiPriority w:val="99"/>
    <w:pPr>
      <w:jc w:val="left"/>
    </w:pPr>
  </w:style>
  <w:style w:type="paragraph" w:styleId="4">
    <w:name w:val="index 6"/>
    <w:basedOn w:val="1"/>
    <w:next w:val="1"/>
    <w:qFormat/>
    <w:uiPriority w:val="0"/>
    <w:pPr>
      <w:adjustRightInd w:val="0"/>
      <w:snapToGrid w:val="0"/>
      <w:spacing w:line="360" w:lineRule="exact"/>
      <w:ind w:left="1440" w:hanging="240"/>
      <w:jc w:val="left"/>
      <w:textAlignment w:val="baseline"/>
    </w:pPr>
    <w:rPr>
      <w:kern w:val="0"/>
      <w:sz w:val="20"/>
      <w:szCs w:val="20"/>
    </w:rPr>
  </w:style>
  <w:style w:type="paragraph" w:styleId="5">
    <w:name w:val="Body Text"/>
    <w:basedOn w:val="1"/>
    <w:qFormat/>
    <w:uiPriority w:val="0"/>
    <w:pPr>
      <w:spacing w:line="480" w:lineRule="atLeast"/>
    </w:pPr>
    <w:rPr>
      <w:rFonts w:ascii="宋体" w:hAnsi="Arial Rounded MT Bold"/>
      <w:sz w:val="28"/>
      <w:szCs w:val="28"/>
    </w:rPr>
  </w:style>
  <w:style w:type="paragraph" w:styleId="6">
    <w:name w:val="Body Text Indent"/>
    <w:basedOn w:val="1"/>
    <w:qFormat/>
    <w:uiPriority w:val="0"/>
    <w:pPr>
      <w:spacing w:line="360" w:lineRule="auto"/>
      <w:ind w:left="-2" w:firstLine="413" w:firstLineChars="172"/>
    </w:pPr>
    <w:rPr>
      <w:rFonts w:ascii="Times New Roman" w:hAnsi="Times New Roman"/>
      <w:kern w:val="2"/>
      <w:sz w:val="24"/>
      <w:szCs w:val="20"/>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annotation subject"/>
    <w:basedOn w:val="3"/>
    <w:next w:val="3"/>
    <w:link w:val="21"/>
    <w:semiHidden/>
    <w:unhideWhenUsed/>
    <w:qFormat/>
    <w:uiPriority w:val="99"/>
    <w:rPr>
      <w:b/>
      <w:bCs/>
    </w:rPr>
  </w:style>
  <w:style w:type="paragraph" w:styleId="11">
    <w:name w:val="Body Text First Indent"/>
    <w:basedOn w:val="5"/>
    <w:next w:val="4"/>
    <w:qFormat/>
    <w:uiPriority w:val="0"/>
    <w:pPr>
      <w:adjustRightInd/>
      <w:spacing w:after="120" w:line="240" w:lineRule="auto"/>
      <w:ind w:firstLine="420" w:firstLineChars="100"/>
      <w:textAlignment w:val="auto"/>
    </w:pPr>
    <w:rPr>
      <w:kern w:val="2"/>
      <w:sz w:val="21"/>
      <w:szCs w:val="24"/>
    </w:rPr>
  </w:style>
  <w:style w:type="paragraph" w:styleId="12">
    <w:name w:val="Body Text First Indent 2"/>
    <w:basedOn w:val="6"/>
    <w:unhideWhenUsed/>
    <w:qFormat/>
    <w:uiPriority w:val="99"/>
    <w:pPr>
      <w:spacing w:after="120" w:line="240" w:lineRule="auto"/>
      <w:ind w:left="420" w:leftChars="200" w:firstLine="420" w:firstLineChars="200"/>
    </w:pPr>
    <w:rPr>
      <w:rFonts w:ascii="宋体" w:hAnsi="宋体"/>
      <w:b/>
      <w:bCs/>
      <w:kern w:val="0"/>
      <w:sz w:val="30"/>
      <w:szCs w:val="30"/>
    </w:rPr>
  </w:style>
  <w:style w:type="character" w:styleId="15">
    <w:name w:val="page number"/>
    <w:basedOn w:val="14"/>
    <w:qFormat/>
    <w:uiPriority w:val="0"/>
    <w:rPr>
      <w:rFonts w:ascii="仿宋_GB2312" w:eastAsia="仿宋_GB2312"/>
      <w:b/>
      <w:sz w:val="32"/>
      <w:szCs w:val="32"/>
    </w:rPr>
  </w:style>
  <w:style w:type="character" w:styleId="16">
    <w:name w:val="annotation reference"/>
    <w:basedOn w:val="14"/>
    <w:semiHidden/>
    <w:unhideWhenUsed/>
    <w:qFormat/>
    <w:uiPriority w:val="99"/>
    <w:rPr>
      <w:sz w:val="21"/>
      <w:szCs w:val="21"/>
    </w:rPr>
  </w:style>
  <w:style w:type="paragraph" w:styleId="17">
    <w:name w:val="List Paragraph"/>
    <w:basedOn w:val="1"/>
    <w:unhideWhenUsed/>
    <w:qFormat/>
    <w:uiPriority w:val="99"/>
    <w:pPr>
      <w:ind w:firstLine="420" w:firstLineChars="200"/>
    </w:pPr>
  </w:style>
  <w:style w:type="character" w:customStyle="1" w:styleId="18">
    <w:name w:val="页脚 字符"/>
    <w:basedOn w:val="14"/>
    <w:link w:val="7"/>
    <w:qFormat/>
    <w:uiPriority w:val="0"/>
    <w:rPr>
      <w:rFonts w:ascii="Times New Roman" w:hAnsi="Times New Roman" w:eastAsia="宋体" w:cs="Times New Roman"/>
      <w:sz w:val="18"/>
      <w:szCs w:val="18"/>
    </w:rPr>
  </w:style>
  <w:style w:type="character" w:customStyle="1" w:styleId="19">
    <w:name w:val="页眉 字符"/>
    <w:basedOn w:val="14"/>
    <w:link w:val="8"/>
    <w:qFormat/>
    <w:uiPriority w:val="99"/>
    <w:rPr>
      <w:rFonts w:ascii="Times New Roman" w:hAnsi="Times New Roman" w:eastAsia="宋体" w:cs="Times New Roman"/>
      <w:sz w:val="18"/>
      <w:szCs w:val="18"/>
    </w:rPr>
  </w:style>
  <w:style w:type="character" w:customStyle="1" w:styleId="20">
    <w:name w:val="批注文字 字符"/>
    <w:basedOn w:val="14"/>
    <w:link w:val="3"/>
    <w:qFormat/>
    <w:uiPriority w:val="99"/>
    <w:rPr>
      <w:kern w:val="2"/>
      <w:sz w:val="21"/>
      <w:szCs w:val="24"/>
    </w:rPr>
  </w:style>
  <w:style w:type="character" w:customStyle="1" w:styleId="21">
    <w:name w:val="批注主题 字符"/>
    <w:basedOn w:val="20"/>
    <w:link w:val="10"/>
    <w:semiHidden/>
    <w:qFormat/>
    <w:uiPriority w:val="99"/>
    <w:rPr>
      <w:b/>
      <w:bCs/>
      <w:kern w:val="2"/>
      <w:sz w:val="21"/>
      <w:szCs w:val="24"/>
    </w:rPr>
  </w:style>
  <w:style w:type="character" w:customStyle="1" w:styleId="22">
    <w:name w:val="font31"/>
    <w:qFormat/>
    <w:uiPriority w:val="0"/>
    <w:rPr>
      <w:rFonts w:hint="default" w:ascii="Times New Roman" w:hAnsi="Times New Roman" w:cs="Times New Roman"/>
      <w:color w:val="000000"/>
      <w:sz w:val="20"/>
      <w:szCs w:val="20"/>
      <w:u w:val="none"/>
    </w:rPr>
  </w:style>
  <w:style w:type="paragraph" w:customStyle="1" w:styleId="23">
    <w:name w:val="正文_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981</Words>
  <Characters>1071</Characters>
  <Lines>30</Lines>
  <Paragraphs>8</Paragraphs>
  <TotalTime>0</TotalTime>
  <ScaleCrop>false</ScaleCrop>
  <LinksUpToDate>false</LinksUpToDate>
  <CharactersWithSpaces>1074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2022-08-14T03:37:00Z</dcterms:created>
  <dc:creator>yy</dc:creator>
  <cp:lastModifiedBy>jack</cp:lastModifiedBy>
  <dcterms:modified xsi:type="dcterms:W3CDTF">2026-01-27T03:28:55Z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F9A685CAFB6946009ACADF5545B6B79E</vt:lpwstr>
  </property>
  <property fmtid="{D5CDD505-2E9C-101B-9397-08002B2CF9AE}" pid="4" name="KSOTemplateDocerSaveRecord">
    <vt:lpwstr>eyJoZGlkIjoiMjZkODFlNzg1MTRkZWJiMzFkOTVkYzIyY2RjYTZhYmYiLCJ1c2VySWQiOiI2NzAyODMwNTIifQ==</vt:lpwstr>
  </property>
</Properties>
</file>