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customXml/itemProps27.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ind w:left="210"/>
        <w:rPr>
          <w:rFonts w:hint="eastAsia" w:ascii="宋体" w:hAnsi="宋体" w:cs="宋体"/>
          <w:color w:val="000000"/>
          <w:sz w:val="36"/>
          <w:szCs w:val="36"/>
          <w:highlight w:val="none"/>
        </w:rPr>
      </w:pPr>
      <w:bookmarkStart w:id="20" w:name="_GoBack"/>
    </w:p>
    <w:p>
      <w:pPr>
        <w:jc w:val="center"/>
        <w:rPr>
          <w:rFonts w:ascii="黑体" w:eastAsia="黑体"/>
          <w:b/>
          <w:sz w:val="52"/>
          <w:highlight w:val="none"/>
        </w:rPr>
      </w:pPr>
      <w:r>
        <w:rPr>
          <w:rFonts w:ascii="黑体" w:eastAsia="黑体"/>
          <w:b/>
          <w:sz w:val="52"/>
          <w:highlight w:val="none"/>
        </w:rPr>
        <mc:AlternateContent>
          <mc:Choice Requires="wpg">
            <w:drawing>
              <wp:anchor distT="0" distB="0" distL="114300" distR="114300" simplePos="0" relativeHeight="251689984" behindDoc="0" locked="0" layoutInCell="1" allowOverlap="1">
                <wp:simplePos x="0" y="0"/>
                <wp:positionH relativeFrom="column">
                  <wp:posOffset>-265430</wp:posOffset>
                </wp:positionH>
                <wp:positionV relativeFrom="paragraph">
                  <wp:posOffset>-27940</wp:posOffset>
                </wp:positionV>
                <wp:extent cx="1122680" cy="544830"/>
                <wp:effectExtent l="0" t="0" r="0" b="6350"/>
                <wp:wrapNone/>
                <wp:docPr id="3" name="组合 38"/>
                <wp:cNvGraphicFramePr/>
                <a:graphic xmlns:a="http://schemas.openxmlformats.org/drawingml/2006/main">
                  <a:graphicData uri="http://schemas.microsoft.com/office/word/2010/wordprocessingGroup">
                    <wpg:wgp>
                      <wpg:cNvGrpSpPr/>
                      <wpg:grpSpPr>
                        <a:xfrm>
                          <a:off x="0" y="0"/>
                          <a:ext cx="1122680" cy="544830"/>
                          <a:chOff x="1304" y="597"/>
                          <a:chExt cx="1768" cy="633"/>
                        </a:xfrm>
                      </wpg:grpSpPr>
                      <pic:pic xmlns:pic="http://schemas.openxmlformats.org/drawingml/2006/picture">
                        <pic:nvPicPr>
                          <pic:cNvPr id="39" name="图片 3" descr="能源公司图标2"/>
                          <pic:cNvPicPr>
                            <a:picLocks noChangeAspect="1"/>
                          </pic:cNvPicPr>
                        </pic:nvPicPr>
                        <pic:blipFill>
                          <a:blip r:embed="rId19"/>
                          <a:stretch>
                            <a:fillRect/>
                          </a:stretch>
                        </pic:blipFill>
                        <pic:spPr>
                          <a:xfrm>
                            <a:off x="1304" y="696"/>
                            <a:ext cx="540" cy="534"/>
                          </a:xfrm>
                          <a:prstGeom prst="rect">
                            <a:avLst/>
                          </a:prstGeom>
                          <a:noFill/>
                          <a:ln w="9525">
                            <a:noFill/>
                          </a:ln>
                        </pic:spPr>
                      </pic:pic>
                      <wps:wsp>
                        <wps:cNvPr id="1" name="文本框 1"/>
                        <wps:cNvSpPr txBox="1"/>
                        <wps:spPr bwMode="auto">
                          <a:xfrm>
                            <a:off x="1992" y="597"/>
                            <a:ext cx="1080" cy="447"/>
                          </a:xfrm>
                          <a:prstGeom prst="rect">
                            <a:avLst/>
                          </a:prstGeom>
                          <a:noFill/>
                          <a:ln w="9525">
                            <a:noFill/>
                            <a:round/>
                          </a:ln>
                        </wps:spPr>
                        <wps:txbx>
                          <w:txbxContent>
                            <w:p>
                              <w:pPr>
                                <w:rPr>
                                  <w:sz w:val="24"/>
                                </w:rPr>
                              </w:pPr>
                            </w:p>
                          </w:txbxContent>
                        </wps:txbx>
                        <wps:bodyPr upright="1"/>
                      </wps:wsp>
                    </wpg:wgp>
                  </a:graphicData>
                </a:graphic>
              </wp:anchor>
            </w:drawing>
          </mc:Choice>
          <mc:Fallback>
            <w:pict>
              <v:group id="组合 38" o:spid="_x0000_s1026" o:spt="203" style="position:absolute;left:0pt;margin-left:-20.9pt;margin-top:-2.2pt;height:42.9pt;width:88.4pt;z-index:251689984;mso-width-relative:page;mso-height-relative:page;" coordorigin="1304,597" coordsize="1768,633" o:gfxdata="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">
                <o:lock v:ext="edit" aspectratio="f"/>
                <v:shape id="图片 3" o:spid="_x0000_s1026" o:spt="75" alt="能源公司图标2" type="#_x0000_t75" style="position:absolute;left:1304;top:696;height:534;width:540;" filled="f" o:preferrelative="t" stroked="f" coordsize="21600,21600" o:gfxdata="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71xLsAAADb&#10;AAAADwAAAAAAAAABACAAAAAiAAAAZHJzL2Rvd25yZXYueG1sUEsBAhQAFAAAAAgAh07iQDMvBZ47&#10;AAAAOQAAABAAAAAAAAAAAQAgAAAACgEAAGRycy9zaGFwZXhtbC54bWxQSwUGAAAAAAYABgBbAQAA&#10;tAMAAAAA&#10;">
                  <v:fill on="f" focussize="0,0"/>
                  <v:stroke on="f"/>
                  <v:imagedata r:id="rId19" o:title=""/>
                  <o:lock v:ext="edit" aspectratio="t"/>
                </v:shape>
                <v:shape id="_x0000_s1026" o:spid="_x0000_s1026" o:spt="202" type="#_x0000_t202" style="position:absolute;left:1992;top:597;height:447;width:1080;" filled="f" stroked="f" coordsize="21600,21600" o:gfxdata="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avkMugAAANoA&#10;AAAPAAAAAAAAAAEAIAAAACIAAABkcnMvZG93bnJldi54bWxQSwECFAAUAAAACACHTuJAMy8FnjsA&#10;AAA5AAAAEAAAAAAAAAABACAAAAAJAQAAZHJzL3NoYXBleG1sLnhtbFBLBQYAAAAABgAGAFsBAACz&#10;AwAAAAA=&#10;">
                  <v:fill on="f" focussize="0,0"/>
                  <v:stroke on="f" joinstyle="round"/>
                  <v:imagedata o:title=""/>
                  <o:lock v:ext="edit" aspectratio="f"/>
                  <v:textbox>
                    <w:txbxContent>
                      <w:p>
                        <w:pPr>
                          <w:rPr>
                            <w:sz w:val="24"/>
                          </w:rPr>
                        </w:pPr>
                      </w:p>
                    </w:txbxContent>
                  </v:textbox>
                </v:shape>
              </v:group>
            </w:pict>
          </mc:Fallback>
        </mc:AlternateContent>
      </w:r>
      <w:r>
        <w:rPr>
          <w:rFonts w:hint="eastAsia" w:ascii="黑体" w:eastAsia="黑体"/>
          <w:b/>
          <w:sz w:val="52"/>
          <w:highlight w:val="none"/>
        </w:rPr>
        <w:t xml:space="preserve">660 </w:t>
      </w:r>
      <w:r>
        <w:rPr>
          <w:rFonts w:asciiTheme="minorEastAsia" w:hAnsiTheme="minorEastAsia" w:eastAsiaTheme="minorEastAsia"/>
          <w:b/>
          <w:spacing w:val="227"/>
          <w:sz w:val="52"/>
          <w:highlight w:val="none"/>
        </w:rPr>
        <w:t>MW</w:t>
      </w:r>
      <w:r>
        <w:rPr>
          <w:rFonts w:hint="eastAsia" w:asciiTheme="minorEastAsia" w:hAnsiTheme="minorEastAsia" w:eastAsiaTheme="minorEastAsia"/>
          <w:b/>
          <w:spacing w:val="227"/>
          <w:sz w:val="52"/>
          <w:highlight w:val="none"/>
        </w:rPr>
        <w:t>机组技术文</w:t>
      </w:r>
      <w:r>
        <w:rPr>
          <w:rFonts w:hint="eastAsia" w:asciiTheme="minorEastAsia" w:hAnsiTheme="minorEastAsia" w:eastAsiaTheme="minorEastAsia"/>
          <w:b/>
          <w:spacing w:val="5"/>
          <w:sz w:val="52"/>
          <w:highlight w:val="none"/>
        </w:rPr>
        <w:t>件</w:t>
      </w:r>
    </w:p>
    <w:p>
      <w:pPr>
        <w:jc w:val="center"/>
        <w:rPr>
          <w:rFonts w:ascii="黑体" w:eastAsia="黑体"/>
          <w:b/>
          <w:sz w:val="52"/>
          <w:highlight w:val="none"/>
        </w:rPr>
      </w:pPr>
      <w:r>
        <w:rPr>
          <w:rFonts w:asciiTheme="minorEastAsia" w:hAnsiTheme="minorEastAsia" w:eastAsiaTheme="minorEastAsia"/>
          <w:highlight w:val="none"/>
        </w:rPr>
        <mc:AlternateContent>
          <mc:Choice Requires="wps">
            <w:drawing>
              <wp:anchor distT="0" distB="0" distL="114300" distR="114300" simplePos="0" relativeHeight="251688960" behindDoc="0" locked="0" layoutInCell="0" allowOverlap="1">
                <wp:simplePos x="0" y="0"/>
                <wp:positionH relativeFrom="column">
                  <wp:posOffset>-265430</wp:posOffset>
                </wp:positionH>
                <wp:positionV relativeFrom="paragraph">
                  <wp:posOffset>72390</wp:posOffset>
                </wp:positionV>
                <wp:extent cx="6045200" cy="0"/>
                <wp:effectExtent l="0" t="19050" r="12700" b="19050"/>
                <wp:wrapNone/>
                <wp:docPr id="4" name="直接连接符 5"/>
                <wp:cNvGraphicFramePr/>
                <a:graphic xmlns:a="http://schemas.openxmlformats.org/drawingml/2006/main">
                  <a:graphicData uri="http://schemas.microsoft.com/office/word/2010/wordprocessingShape">
                    <wps:wsp>
                      <wps:cNvCnPr/>
                      <wps:spPr bwMode="auto">
                        <a:xfrm>
                          <a:off x="0" y="0"/>
                          <a:ext cx="6045200" cy="0"/>
                        </a:xfrm>
                        <a:prstGeom prst="line">
                          <a:avLst/>
                        </a:prstGeom>
                        <a:ln w="38100" cap="flat" cmpd="sng">
                          <a:solidFill>
                            <a:srgbClr val="000000"/>
                          </a:solidFill>
                          <a:prstDash val="solid"/>
                          <a:headEnd type="none" w="med" len="med"/>
                          <a:tailEnd type="none" w="med" len="med"/>
                        </a:ln>
                      </wps:spPr>
                      <wps:bodyPr rot="0">
                        <a:noAutofit/>
                      </wps:bodyPr>
                    </wps:wsp>
                  </a:graphicData>
                </a:graphic>
              </wp:anchor>
            </w:drawing>
          </mc:Choice>
          <mc:Fallback>
            <w:pict>
              <v:line id="直接连接符 5" o:spid="_x0000_s1026" o:spt="20" style="position:absolute;left:0pt;margin-left:-20.9pt;margin-top:5.7pt;height:0pt;width:476pt;z-index:251688960;mso-width-relative:page;mso-height-relative:page;" filled="f" stroked="t" coordsize="21600,21600" o:allowincell="f" o:gfxdata="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Z3/Ab0wAAAAkBAAAPAAAAAAAAAAEAIAAAACIAAABkcnMvZG93&#10;bnJldi54bWxQSwECFAAUAAAACACHTuJA0Xxu4AUCAAAJBAAADgAAAAAAAAABACAAAAAiAQAAZHJz&#10;L2Uyb0RvYy54bWxQSwUGAAAAAAYABgBZAQAAmQUAAAAA&#10;">
                <v:fill on="f" focussize="0,0"/>
                <v:stroke weight="3pt" color="#000000" joinstyle="round"/>
                <v:imagedata o:title=""/>
                <o:lock v:ext="edit" aspectratio="f"/>
              </v:line>
            </w:pict>
          </mc:Fallback>
        </mc:AlternateContent>
      </w:r>
      <w:r>
        <w:rPr>
          <w:rFonts w:asciiTheme="minorEastAsia" w:hAnsiTheme="minorEastAsia" w:eastAsiaTheme="minorEastAsia"/>
          <w:sz w:val="28"/>
          <w:highlight w:val="none"/>
        </w:rPr>
        <w:t xml:space="preserve">                                                                                     </w:t>
      </w:r>
    </w:p>
    <w:p>
      <w:pPr>
        <w:jc w:val="center"/>
        <w:rPr>
          <w:rFonts w:hint="eastAsia" w:asciiTheme="minorEastAsia" w:hAnsiTheme="minorEastAsia" w:eastAsiaTheme="minorEastAsia"/>
          <w:b/>
          <w:bCs/>
          <w:sz w:val="52"/>
          <w:szCs w:val="52"/>
          <w:highlight w:val="none"/>
        </w:rPr>
      </w:pPr>
    </w:p>
    <w:p>
      <w:pPr>
        <w:jc w:val="center"/>
        <w:rPr>
          <w:rFonts w:hint="eastAsia" w:hAnsi="宋体" w:eastAsiaTheme="minorEastAsia"/>
          <w:b/>
          <w:bCs/>
          <w:sz w:val="48"/>
          <w:szCs w:val="48"/>
          <w:highlight w:val="none"/>
        </w:rPr>
      </w:pPr>
      <w:r>
        <w:rPr>
          <w:rFonts w:hint="eastAsia" w:asciiTheme="minorEastAsia" w:hAnsiTheme="minorEastAsia" w:eastAsiaTheme="minorEastAsia"/>
          <w:b/>
          <w:bCs/>
          <w:sz w:val="48"/>
          <w:szCs w:val="48"/>
          <w:highlight w:val="none"/>
        </w:rPr>
        <w:t>2026年#3机A修J2标段</w:t>
      </w:r>
    </w:p>
    <w:p>
      <w:pPr>
        <w:jc w:val="center"/>
        <w:rPr>
          <w:rFonts w:hint="eastAsia" w:asciiTheme="minorEastAsia" w:hAnsiTheme="minorEastAsia" w:eastAsiaTheme="minorEastAsia"/>
          <w:b/>
          <w:bCs/>
          <w:sz w:val="48"/>
          <w:szCs w:val="48"/>
          <w:highlight w:val="none"/>
        </w:rPr>
      </w:pPr>
    </w:p>
    <w:p>
      <w:pPr>
        <w:jc w:val="center"/>
        <w:rPr>
          <w:rFonts w:ascii="黑体" w:eastAsia="黑体"/>
          <w:b/>
          <w:sz w:val="48"/>
          <w:szCs w:val="48"/>
          <w:highlight w:val="none"/>
        </w:rPr>
      </w:pPr>
      <w:r>
        <w:rPr>
          <w:rFonts w:hint="eastAsia" w:asciiTheme="minorEastAsia" w:hAnsiTheme="minorEastAsia" w:eastAsiaTheme="minorEastAsia"/>
          <w:b/>
          <w:bCs/>
          <w:sz w:val="48"/>
          <w:szCs w:val="48"/>
          <w:highlight w:val="none"/>
        </w:rPr>
        <w:t>技术规范书</w:t>
      </w:r>
    </w:p>
    <w:p>
      <w:pPr>
        <w:jc w:val="center"/>
        <w:rPr>
          <w:b/>
          <w:sz w:val="36"/>
          <w:highlight w:val="none"/>
        </w:rPr>
      </w:pPr>
      <w:r>
        <w:rPr>
          <w:rFonts w:asciiTheme="minorEastAsia" w:hAnsiTheme="minorEastAsia" w:eastAsiaTheme="minorEastAsia"/>
          <w:b/>
          <w:sz w:val="36"/>
          <w:highlight w:val="none"/>
        </w:rPr>
        <w:t xml:space="preserve">   </w:t>
      </w:r>
    </w:p>
    <w:p>
      <w:pPr>
        <w:ind w:firstLine="2096"/>
        <w:rPr>
          <w:b/>
          <w:sz w:val="36"/>
          <w:highlight w:val="none"/>
        </w:rPr>
      </w:pPr>
      <w:r>
        <w:rPr>
          <w:rFonts w:hint="eastAsia" w:asciiTheme="minorEastAsia" w:hAnsiTheme="minorEastAsia" w:eastAsiaTheme="minorEastAsia"/>
          <w:b/>
          <w:sz w:val="30"/>
          <w:highlight w:val="none"/>
        </w:rPr>
        <w:t>编制：</w:t>
      </w:r>
      <w:r>
        <w:rPr>
          <w:rFonts w:asciiTheme="minorEastAsia" w:hAnsiTheme="minorEastAsia" w:eastAsiaTheme="minorEastAsia"/>
          <w:b/>
          <w:sz w:val="30"/>
          <w:highlight w:val="none"/>
          <w:u w:val="single"/>
        </w:rPr>
        <w:t xml:space="preserve">                    </w:t>
      </w:r>
    </w:p>
    <w:p>
      <w:pPr>
        <w:rPr>
          <w:rFonts w:eastAsia="黑体"/>
          <w:b/>
          <w:sz w:val="30"/>
          <w:highlight w:val="none"/>
        </w:rPr>
      </w:pPr>
    </w:p>
    <w:p>
      <w:pPr>
        <w:ind w:firstLine="2096"/>
        <w:rPr>
          <w:rFonts w:eastAsia="黑体"/>
          <w:b/>
          <w:sz w:val="30"/>
          <w:highlight w:val="none"/>
          <w:u w:val="single"/>
        </w:rPr>
      </w:pPr>
      <w:r>
        <w:rPr>
          <w:rFonts w:hint="eastAsia" w:asciiTheme="minorEastAsia" w:hAnsiTheme="minorEastAsia" w:eastAsiaTheme="minorEastAsia"/>
          <w:b/>
          <w:sz w:val="30"/>
          <w:highlight w:val="none"/>
        </w:rPr>
        <w:t>会签：</w:t>
      </w:r>
      <w:r>
        <w:rPr>
          <w:rFonts w:asciiTheme="minorEastAsia" w:hAnsiTheme="minorEastAsia" w:eastAsiaTheme="minorEastAsia"/>
          <w:b/>
          <w:sz w:val="30"/>
          <w:highlight w:val="none"/>
          <w:u w:val="single"/>
        </w:rPr>
        <w:t xml:space="preserve">                    </w:t>
      </w:r>
    </w:p>
    <w:p>
      <w:pPr>
        <w:rPr>
          <w:rFonts w:eastAsia="黑体"/>
          <w:b/>
          <w:sz w:val="30"/>
          <w:highlight w:val="none"/>
        </w:rPr>
      </w:pPr>
    </w:p>
    <w:p>
      <w:pPr>
        <w:ind w:firstLine="2096"/>
        <w:rPr>
          <w:rFonts w:eastAsia="黑体"/>
          <w:b/>
          <w:sz w:val="30"/>
          <w:highlight w:val="none"/>
          <w:u w:val="single"/>
        </w:rPr>
      </w:pPr>
      <w:r>
        <w:rPr>
          <w:rFonts w:hint="eastAsia" w:asciiTheme="minorEastAsia" w:hAnsiTheme="minorEastAsia" w:eastAsiaTheme="minorEastAsia"/>
          <w:b/>
          <w:sz w:val="30"/>
          <w:highlight w:val="none"/>
        </w:rPr>
        <w:t>审核：</w:t>
      </w:r>
      <w:r>
        <w:rPr>
          <w:rFonts w:asciiTheme="minorEastAsia" w:hAnsiTheme="minorEastAsia" w:eastAsiaTheme="minorEastAsia"/>
          <w:b/>
          <w:sz w:val="30"/>
          <w:highlight w:val="none"/>
          <w:u w:val="single"/>
        </w:rPr>
        <w:t xml:space="preserve">                    </w:t>
      </w:r>
    </w:p>
    <w:p>
      <w:pPr>
        <w:rPr>
          <w:rFonts w:eastAsia="黑体"/>
          <w:b/>
          <w:sz w:val="30"/>
          <w:highlight w:val="none"/>
        </w:rPr>
      </w:pPr>
    </w:p>
    <w:p>
      <w:pPr>
        <w:ind w:firstLine="2096"/>
        <w:rPr>
          <w:sz w:val="30"/>
          <w:highlight w:val="none"/>
          <w:u w:val="single"/>
        </w:rPr>
      </w:pPr>
      <w:r>
        <w:rPr>
          <w:rFonts w:hint="eastAsia" w:asciiTheme="minorEastAsia" w:hAnsiTheme="minorEastAsia" w:eastAsiaTheme="minorEastAsia"/>
          <w:b/>
          <w:sz w:val="30"/>
          <w:highlight w:val="none"/>
        </w:rPr>
        <w:t>批准：</w:t>
      </w:r>
      <w:r>
        <w:rPr>
          <w:rFonts w:asciiTheme="minorEastAsia" w:hAnsiTheme="minorEastAsia" w:eastAsiaTheme="minorEastAsia"/>
          <w:b/>
          <w:sz w:val="30"/>
          <w:highlight w:val="none"/>
          <w:u w:val="single"/>
        </w:rPr>
        <w:t xml:space="preserve">                    </w:t>
      </w:r>
    </w:p>
    <w:p>
      <w:pPr>
        <w:jc w:val="center"/>
        <w:rPr>
          <w:sz w:val="28"/>
          <w:highlight w:val="none"/>
        </w:rPr>
      </w:pPr>
      <w:r>
        <w:rPr>
          <w:rFonts w:asciiTheme="minorEastAsia" w:hAnsiTheme="minorEastAsia" w:eastAsiaTheme="minorEastAsia"/>
          <w:sz w:val="30"/>
          <w:highlight w:val="none"/>
        </w:rPr>
        <w:t xml:space="preserve">             </w:t>
      </w:r>
    </w:p>
    <w:p>
      <w:pPr>
        <w:jc w:val="center"/>
        <w:rPr>
          <w:rFonts w:ascii="黑体" w:eastAsia="黑体"/>
          <w:b/>
          <w:sz w:val="30"/>
          <w:highlight w:val="none"/>
        </w:rPr>
      </w:pPr>
      <w:r>
        <w:rPr>
          <w:rFonts w:asciiTheme="minorEastAsia" w:hAnsiTheme="minorEastAsia" w:eastAsiaTheme="minorEastAsia"/>
          <w:highlight w:val="none"/>
        </w:rPr>
        <mc:AlternateContent>
          <mc:Choice Requires="wps">
            <w:drawing>
              <wp:anchor distT="0" distB="0" distL="114300" distR="114300" simplePos="0" relativeHeight="251691008" behindDoc="0" locked="0" layoutInCell="0" allowOverlap="1">
                <wp:simplePos x="0" y="0"/>
                <wp:positionH relativeFrom="column">
                  <wp:posOffset>12700</wp:posOffset>
                </wp:positionH>
                <wp:positionV relativeFrom="paragraph">
                  <wp:posOffset>315595</wp:posOffset>
                </wp:positionV>
                <wp:extent cx="5625465" cy="15240"/>
                <wp:effectExtent l="0" t="0" r="0" b="0"/>
                <wp:wrapNone/>
                <wp:docPr id="5" name="直接连接符 4"/>
                <wp:cNvGraphicFramePr/>
                <a:graphic xmlns:a="http://schemas.openxmlformats.org/drawingml/2006/main">
                  <a:graphicData uri="http://schemas.microsoft.com/office/word/2010/wordprocessingShape">
                    <wps:wsp>
                      <wps:cNvCnPr/>
                      <wps:spPr bwMode="auto">
                        <a:xfrm flipV="1">
                          <a:off x="0" y="0"/>
                          <a:ext cx="5625465" cy="15240"/>
                        </a:xfrm>
                        <a:prstGeom prst="line">
                          <a:avLst/>
                        </a:prstGeom>
                        <a:ln w="28575" cap="flat" cmpd="sng">
                          <a:solidFill>
                            <a:srgbClr val="000000"/>
                          </a:solidFill>
                          <a:prstDash val="solid"/>
                          <a:headEnd type="none" w="med" len="med"/>
                          <a:tailEnd type="none" w="med" len="med"/>
                        </a:ln>
                      </wps:spPr>
                      <wps:bodyPr rot="0">
                        <a:noAutofit/>
                      </wps:bodyPr>
                    </wps:wsp>
                  </a:graphicData>
                </a:graphic>
              </wp:anchor>
            </w:drawing>
          </mc:Choice>
          <mc:Fallback>
            <w:pict>
              <v:line id="直接连接符 4" o:spid="_x0000_s1026" o:spt="20" style="position:absolute;left:0pt;flip:y;margin-left:1pt;margin-top:24.85pt;height:1.2pt;width:442.95pt;z-index:251691008;mso-width-relative:page;mso-height-relative:page;" filled="f" stroked="t" coordsize="21600,21600" o:allowincell="f" o:gfxdata="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os+Ys1wAAAAcBAAAPAAAAAAAA&#10;AAEAIAAAACIAAABkcnMvZG93bnJldi54bWxQSwECFAAUAAAACACHTuJAYT6pnBMCAAAXBAAADgAA&#10;AAAAAAABACAAAAAmAQAAZHJzL2Uyb0RvYy54bWxQSwUGAAAAAAYABgBZAQAAqwUAAAAA&#10;">
                <v:fill on="f" focussize="0,0"/>
                <v:stroke weight="2.25pt" color="#000000" joinstyle="round"/>
                <v:imagedata o:title=""/>
                <o:lock v:ext="edit" aspectratio="f"/>
              </v:line>
            </w:pict>
          </mc:Fallback>
        </mc:AlternateContent>
      </w:r>
      <w:r>
        <w:rPr>
          <w:rFonts w:asciiTheme="minorEastAsia" w:hAnsiTheme="minorEastAsia" w:eastAsiaTheme="minorEastAsia"/>
          <w:b/>
          <w:sz w:val="30"/>
          <w:highlight w:val="none"/>
        </w:rPr>
        <w:t>20</w:t>
      </w:r>
      <w:r>
        <w:rPr>
          <w:rFonts w:hint="eastAsia" w:asciiTheme="minorEastAsia" w:hAnsiTheme="minorEastAsia" w:eastAsiaTheme="minorEastAsia"/>
          <w:b/>
          <w:sz w:val="30"/>
          <w:highlight w:val="none"/>
        </w:rPr>
        <w:t>26年01月</w:t>
      </w:r>
    </w:p>
    <w:p>
      <w:pPr>
        <w:rPr>
          <w:rFonts w:eastAsia="黑体"/>
          <w:b/>
          <w:sz w:val="44"/>
          <w:highlight w:val="none"/>
        </w:rPr>
      </w:pPr>
      <w:r>
        <w:rPr>
          <w:rFonts w:asciiTheme="minorEastAsia" w:hAnsiTheme="minorEastAsia" w:eastAsiaTheme="minorEastAsia"/>
          <w:b/>
          <w:sz w:val="36"/>
          <w:highlight w:val="none"/>
        </w:rPr>
        <w:t xml:space="preserve">       </w:t>
      </w:r>
    </w:p>
    <w:p>
      <w:pPr>
        <w:jc w:val="center"/>
        <w:rPr>
          <w:b/>
          <w:sz w:val="36"/>
          <w:highlight w:val="none"/>
        </w:rPr>
        <w:sectPr>
          <w:headerReference r:id="rId7" w:type="first"/>
          <w:footerReference r:id="rId10" w:type="first"/>
          <w:headerReference r:id="rId5" w:type="default"/>
          <w:footerReference r:id="rId8" w:type="default"/>
          <w:headerReference r:id="rId6" w:type="even"/>
          <w:footerReference r:id="rId9" w:type="even"/>
          <w:pgSz w:w="11906" w:h="16838"/>
          <w:pgMar w:top="1440" w:right="1797" w:bottom="1440" w:left="1797" w:header="851" w:footer="992" w:gutter="0"/>
          <w:cols w:space="425" w:num="1"/>
          <w:titlePg/>
          <w:docGrid w:linePitch="360" w:charSpace="0"/>
        </w:sectPr>
      </w:pPr>
      <w:r>
        <w:rPr>
          <w:rFonts w:hint="eastAsia" w:asciiTheme="minorEastAsia" w:hAnsiTheme="minorEastAsia" w:eastAsiaTheme="minorEastAsia"/>
          <w:b/>
          <w:sz w:val="44"/>
          <w:highlight w:val="none"/>
        </w:rPr>
        <w:t>浙江浙能乐清发电有限责任公司</w:t>
      </w:r>
      <w:r>
        <w:rPr>
          <w:rFonts w:asciiTheme="minorEastAsia" w:hAnsiTheme="minorEastAsia" w:eastAsiaTheme="minorEastAsia"/>
          <w:b/>
          <w:sz w:val="36"/>
          <w:highlight w:val="none"/>
        </w:rPr>
        <w:t xml:space="preserve">   </w:t>
      </w:r>
    </w:p>
    <w:sdt>
      <w:sdtPr>
        <w:rPr>
          <w:rFonts w:ascii="宋体" w:hAnsi="宋体"/>
          <w:sz w:val="32"/>
          <w:szCs w:val="40"/>
          <w:highlight w:val="none"/>
        </w:rPr>
        <w:id w:val="147463398"/>
        <w:docPartObj>
          <w:docPartGallery w:val="Table of Contents"/>
          <w:docPartUnique/>
        </w:docPartObj>
      </w:sdtPr>
      <w:sdtEndPr>
        <w:rPr>
          <w:rFonts w:ascii="宋体" w:hAnsi="宋体"/>
          <w:sz w:val="32"/>
          <w:szCs w:val="40"/>
          <w:highlight w:val="none"/>
        </w:rPr>
      </w:sdtEndPr>
      <w:sdtContent>
        <w:p>
          <w:pPr>
            <w:spacing w:line="360" w:lineRule="auto"/>
            <w:jc w:val="center"/>
            <w:rPr>
              <w:rFonts w:hint="eastAsia" w:asciiTheme="minorEastAsia" w:hAnsiTheme="minorEastAsia" w:eastAsiaTheme="minorEastAsia" w:cstheme="minorEastAsia"/>
              <w:sz w:val="40"/>
              <w:szCs w:val="40"/>
              <w:highlight w:val="none"/>
            </w:rPr>
          </w:pPr>
          <w:r>
            <w:rPr>
              <w:rFonts w:hint="eastAsia" w:asciiTheme="minorEastAsia" w:hAnsiTheme="minorEastAsia" w:eastAsiaTheme="minorEastAsia" w:cstheme="minorEastAsia"/>
              <w:sz w:val="40"/>
              <w:szCs w:val="40"/>
              <w:highlight w:val="none"/>
            </w:rPr>
            <w:t>目录</w:t>
          </w:r>
        </w:p>
        <w:p>
          <w:pPr>
            <w:pStyle w:val="235"/>
            <w:tabs>
              <w:tab w:val="right" w:leader="dot" w:pos="8312"/>
            </w:tabs>
            <w:spacing w:line="360" w:lineRule="auto"/>
            <w:rPr>
              <w:rFonts w:hint="eastAsia" w:ascii="宋体" w:hAnsi="宋体" w:cs="宋体"/>
              <w:sz w:val="24"/>
              <w:highlight w:val="none"/>
            </w:rPr>
          </w:pPr>
          <w:r>
            <w:rPr>
              <w:rFonts w:hint="eastAsia" w:asciiTheme="minorEastAsia" w:hAnsiTheme="minorEastAsia" w:eastAsiaTheme="minorEastAsia" w:cstheme="minorEastAsia"/>
              <w:highlight w:val="none"/>
            </w:rPr>
            <w:fldChar w:fldCharType="begin"/>
          </w:r>
          <w:r>
            <w:rPr>
              <w:rFonts w:asciiTheme="minorEastAsia" w:hAnsiTheme="minorEastAsia" w:eastAsiaTheme="minorEastAsia" w:cstheme="minorEastAsia"/>
              <w:highlight w:val="none"/>
            </w:rPr>
            <w:instrText xml:space="preserve">TOC \o "1-1" \h \u</w:instrText>
          </w:r>
          <w:r>
            <w:rPr>
              <w:rFonts w:hint="eastAsia" w:asciiTheme="minorEastAsia" w:hAnsiTheme="minorEastAsia" w:eastAsiaTheme="minorEastAsia" w:cstheme="minorEastAsia"/>
              <w:b/>
              <w:sz w:val="24"/>
              <w:highlight w:val="none"/>
            </w:rPr>
            <w:fldChar w:fldCharType="separate"/>
          </w:r>
          <w:r>
            <w:rPr>
              <w:rFonts w:asciiTheme="minorEastAsia" w:hAnsiTheme="minorEastAsia" w:eastAsiaTheme="minorEastAsia" w:cstheme="minorEastAsia"/>
              <w:highlight w:val="none"/>
            </w:rPr>
            <w:fldChar w:fldCharType="begin"/>
          </w:r>
          <w:r>
            <w:rPr>
              <w:rFonts w:asciiTheme="minorEastAsia" w:hAnsiTheme="minorEastAsia" w:eastAsiaTheme="minorEastAsia" w:cstheme="minorEastAsia"/>
              <w:highlight w:val="none"/>
            </w:rPr>
            <w:instrText xml:space="preserve"> HYPERLINK \l "_Toc10708" \o "#_Toc10708" </w:instrText>
          </w:r>
          <w:r>
            <w:rPr>
              <w:rFonts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sz w:val="24"/>
              <w:highlight w:val="none"/>
            </w:rPr>
            <w:t>1. 总则</w:t>
          </w:r>
          <w:r>
            <w:rPr>
              <w:rFonts w:hint="eastAsia" w:asciiTheme="minorEastAsia" w:hAnsiTheme="minorEastAsia" w:eastAsiaTheme="minorEastAsia" w:cstheme="minorEastAsia"/>
              <w:sz w:val="24"/>
              <w:highlight w:val="none"/>
            </w:rPr>
            <w:tab/>
          </w:r>
          <w:r>
            <w:rPr>
              <w:rFonts w:hint="eastAsia" w:asciiTheme="minorEastAsia" w:hAnsiTheme="minorEastAsia" w:eastAsiaTheme="minorEastAsia" w:cstheme="minorEastAsia"/>
              <w:sz w:val="24"/>
              <w:highlight w:val="none"/>
            </w:rPr>
            <w:fldChar w:fldCharType="begin"/>
          </w:r>
          <w:r>
            <w:rPr>
              <w:rFonts w:hint="eastAsia" w:asciiTheme="minorEastAsia" w:hAnsiTheme="minorEastAsia" w:eastAsiaTheme="minorEastAsia" w:cstheme="minorEastAsia"/>
              <w:sz w:val="24"/>
              <w:highlight w:val="none"/>
            </w:rPr>
            <w:instrText xml:space="preserve"> PAGEREF _Toc10708 \h </w:instrText>
          </w:r>
          <w:r>
            <w:rPr>
              <w:rFonts w:hint="eastAsia" w:asciiTheme="minorEastAsia" w:hAnsiTheme="minorEastAsia" w:eastAsiaTheme="minorEastAsia" w:cstheme="minorEastAsia"/>
              <w:sz w:val="24"/>
              <w:highlight w:val="none"/>
            </w:rPr>
            <w:fldChar w:fldCharType="separate"/>
          </w:r>
          <w:r>
            <w:rPr>
              <w:rFonts w:hint="eastAsia" w:asciiTheme="minorEastAsia" w:hAnsiTheme="minorEastAsia" w:eastAsiaTheme="minorEastAsia" w:cstheme="minorEastAsia"/>
              <w:sz w:val="24"/>
              <w:highlight w:val="none"/>
            </w:rPr>
            <w:t>1</w:t>
          </w:r>
          <w:r>
            <w:rPr>
              <w:rFonts w:hint="eastAsia" w:asciiTheme="minorEastAsia" w:hAnsiTheme="minorEastAsia" w:eastAsiaTheme="minorEastAsia" w:cstheme="minorEastAsia"/>
              <w:sz w:val="24"/>
              <w:highlight w:val="none"/>
            </w:rPr>
            <w:fldChar w:fldCharType="end"/>
          </w:r>
          <w:r>
            <w:rPr>
              <w:rFonts w:hint="eastAsia" w:asciiTheme="minorEastAsia" w:hAnsiTheme="minorEastAsia" w:eastAsiaTheme="minorEastAsia" w:cstheme="minorEastAsia"/>
              <w:sz w:val="24"/>
              <w:highlight w:val="none"/>
            </w:rPr>
            <w:fldChar w:fldCharType="end"/>
          </w:r>
        </w:p>
        <w:p>
          <w:pPr>
            <w:pStyle w:val="235"/>
            <w:tabs>
              <w:tab w:val="right" w:leader="dot" w:pos="8312"/>
            </w:tabs>
            <w:spacing w:line="360" w:lineRule="auto"/>
            <w:rPr>
              <w:rFonts w:hint="eastAsia" w:ascii="宋体" w:hAnsi="宋体" w:cs="宋体"/>
              <w:sz w:val="24"/>
              <w:highlight w:val="none"/>
            </w:rPr>
          </w:pPr>
          <w:r>
            <w:rPr>
              <w:rFonts w:asciiTheme="minorEastAsia" w:hAnsiTheme="minorEastAsia" w:eastAsiaTheme="minorEastAsia" w:cstheme="minorEastAsia"/>
              <w:highlight w:val="none"/>
            </w:rPr>
            <w:fldChar w:fldCharType="begin"/>
          </w:r>
          <w:r>
            <w:rPr>
              <w:rFonts w:asciiTheme="minorEastAsia" w:hAnsiTheme="minorEastAsia" w:eastAsiaTheme="minorEastAsia" w:cstheme="minorEastAsia"/>
              <w:highlight w:val="none"/>
            </w:rPr>
            <w:instrText xml:space="preserve"> HYPERLINK \l "_Toc3612" \o "#_Toc3612" </w:instrText>
          </w:r>
          <w:r>
            <w:rPr>
              <w:rFonts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sz w:val="24"/>
              <w:highlight w:val="none"/>
            </w:rPr>
            <w:t>2. 工程条件</w:t>
          </w:r>
          <w:r>
            <w:rPr>
              <w:rFonts w:hint="eastAsia" w:asciiTheme="minorEastAsia" w:hAnsiTheme="minorEastAsia" w:eastAsiaTheme="minorEastAsia" w:cstheme="minorEastAsia"/>
              <w:sz w:val="24"/>
              <w:highlight w:val="none"/>
            </w:rPr>
            <w:tab/>
          </w:r>
          <w:r>
            <w:rPr>
              <w:rFonts w:hint="eastAsia" w:asciiTheme="minorEastAsia" w:hAnsiTheme="minorEastAsia" w:eastAsiaTheme="minorEastAsia" w:cstheme="minorEastAsia"/>
              <w:sz w:val="24"/>
              <w:highlight w:val="none"/>
            </w:rPr>
            <w:fldChar w:fldCharType="begin"/>
          </w:r>
          <w:r>
            <w:rPr>
              <w:rFonts w:hint="eastAsia" w:asciiTheme="minorEastAsia" w:hAnsiTheme="minorEastAsia" w:eastAsiaTheme="minorEastAsia" w:cstheme="minorEastAsia"/>
              <w:sz w:val="24"/>
              <w:highlight w:val="none"/>
            </w:rPr>
            <w:instrText xml:space="preserve"> PAGEREF _Toc3612 \h </w:instrText>
          </w:r>
          <w:r>
            <w:rPr>
              <w:rFonts w:hint="eastAsia" w:asciiTheme="minorEastAsia" w:hAnsiTheme="minorEastAsia" w:eastAsiaTheme="minorEastAsia" w:cstheme="minorEastAsia"/>
              <w:sz w:val="24"/>
              <w:highlight w:val="none"/>
            </w:rPr>
            <w:fldChar w:fldCharType="separate"/>
          </w:r>
          <w:r>
            <w:rPr>
              <w:rFonts w:hint="eastAsia" w:asciiTheme="minorEastAsia" w:hAnsiTheme="minorEastAsia" w:eastAsiaTheme="minorEastAsia" w:cstheme="minorEastAsia"/>
              <w:sz w:val="24"/>
              <w:highlight w:val="none"/>
            </w:rPr>
            <w:t>1</w:t>
          </w:r>
          <w:r>
            <w:rPr>
              <w:rFonts w:hint="eastAsia" w:asciiTheme="minorEastAsia" w:hAnsiTheme="minorEastAsia" w:eastAsiaTheme="minorEastAsia" w:cstheme="minorEastAsia"/>
              <w:sz w:val="24"/>
              <w:highlight w:val="none"/>
            </w:rPr>
            <w:fldChar w:fldCharType="end"/>
          </w:r>
          <w:r>
            <w:rPr>
              <w:rFonts w:hint="eastAsia" w:asciiTheme="minorEastAsia" w:hAnsiTheme="minorEastAsia" w:eastAsiaTheme="minorEastAsia" w:cstheme="minorEastAsia"/>
              <w:sz w:val="24"/>
              <w:highlight w:val="none"/>
            </w:rPr>
            <w:fldChar w:fldCharType="end"/>
          </w:r>
        </w:p>
        <w:p>
          <w:pPr>
            <w:pStyle w:val="235"/>
            <w:tabs>
              <w:tab w:val="right" w:leader="dot" w:pos="8312"/>
            </w:tabs>
            <w:spacing w:line="360" w:lineRule="auto"/>
            <w:rPr>
              <w:rFonts w:hint="eastAsia" w:ascii="宋体" w:hAnsi="宋体" w:cs="宋体"/>
              <w:sz w:val="24"/>
              <w:highlight w:val="none"/>
            </w:rPr>
          </w:pPr>
          <w:r>
            <w:rPr>
              <w:rFonts w:asciiTheme="minorEastAsia" w:hAnsiTheme="minorEastAsia" w:eastAsiaTheme="minorEastAsia" w:cstheme="minorEastAsia"/>
              <w:highlight w:val="none"/>
            </w:rPr>
            <w:fldChar w:fldCharType="begin"/>
          </w:r>
          <w:r>
            <w:rPr>
              <w:rFonts w:asciiTheme="minorEastAsia" w:hAnsiTheme="minorEastAsia" w:eastAsiaTheme="minorEastAsia" w:cstheme="minorEastAsia"/>
              <w:highlight w:val="none"/>
            </w:rPr>
            <w:instrText xml:space="preserve"> HYPERLINK \l "_Toc5350" \o "#_Toc5350" </w:instrText>
          </w:r>
          <w:r>
            <w:rPr>
              <w:rFonts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sz w:val="24"/>
              <w:highlight w:val="none"/>
            </w:rPr>
            <w:t>3. 工程范围及接口</w:t>
          </w:r>
          <w:r>
            <w:rPr>
              <w:rFonts w:hint="eastAsia" w:asciiTheme="minorEastAsia" w:hAnsiTheme="minorEastAsia" w:eastAsiaTheme="minorEastAsia" w:cstheme="minorEastAsia"/>
              <w:sz w:val="24"/>
              <w:highlight w:val="none"/>
            </w:rPr>
            <w:tab/>
          </w:r>
          <w:r>
            <w:rPr>
              <w:rFonts w:hint="eastAsia" w:asciiTheme="minorEastAsia" w:hAnsiTheme="minorEastAsia" w:eastAsiaTheme="minorEastAsia" w:cstheme="minorEastAsia"/>
              <w:sz w:val="24"/>
              <w:highlight w:val="none"/>
            </w:rPr>
            <w:fldChar w:fldCharType="begin"/>
          </w:r>
          <w:r>
            <w:rPr>
              <w:rFonts w:hint="eastAsia" w:asciiTheme="minorEastAsia" w:hAnsiTheme="minorEastAsia" w:eastAsiaTheme="minorEastAsia" w:cstheme="minorEastAsia"/>
              <w:sz w:val="24"/>
              <w:highlight w:val="none"/>
            </w:rPr>
            <w:instrText xml:space="preserve"> PAGEREF _Toc5350 \h </w:instrText>
          </w:r>
          <w:r>
            <w:rPr>
              <w:rFonts w:hint="eastAsia" w:asciiTheme="minorEastAsia" w:hAnsiTheme="minorEastAsia" w:eastAsiaTheme="minorEastAsia" w:cstheme="minorEastAsia"/>
              <w:sz w:val="24"/>
              <w:highlight w:val="none"/>
            </w:rPr>
            <w:fldChar w:fldCharType="separate"/>
          </w:r>
          <w:r>
            <w:rPr>
              <w:rFonts w:hint="eastAsia" w:asciiTheme="minorEastAsia" w:hAnsiTheme="minorEastAsia" w:eastAsiaTheme="minorEastAsia" w:cstheme="minorEastAsia"/>
              <w:sz w:val="24"/>
              <w:highlight w:val="none"/>
            </w:rPr>
            <w:t>3</w:t>
          </w:r>
          <w:r>
            <w:rPr>
              <w:rFonts w:hint="eastAsia" w:asciiTheme="minorEastAsia" w:hAnsiTheme="minorEastAsia" w:eastAsiaTheme="minorEastAsia" w:cstheme="minorEastAsia"/>
              <w:sz w:val="24"/>
              <w:highlight w:val="none"/>
            </w:rPr>
            <w:fldChar w:fldCharType="end"/>
          </w:r>
          <w:r>
            <w:rPr>
              <w:rFonts w:hint="eastAsia" w:asciiTheme="minorEastAsia" w:hAnsiTheme="minorEastAsia" w:eastAsiaTheme="minorEastAsia" w:cstheme="minorEastAsia"/>
              <w:sz w:val="24"/>
              <w:highlight w:val="none"/>
            </w:rPr>
            <w:fldChar w:fldCharType="end"/>
          </w:r>
        </w:p>
        <w:p>
          <w:pPr>
            <w:pStyle w:val="235"/>
            <w:tabs>
              <w:tab w:val="right" w:leader="dot" w:pos="8312"/>
            </w:tabs>
            <w:spacing w:line="360" w:lineRule="auto"/>
            <w:rPr>
              <w:rFonts w:hint="eastAsia" w:ascii="宋体" w:hAnsi="宋体" w:cs="宋体"/>
              <w:sz w:val="24"/>
              <w:highlight w:val="none"/>
            </w:rPr>
          </w:pPr>
          <w:r>
            <w:rPr>
              <w:rFonts w:asciiTheme="minorEastAsia" w:hAnsiTheme="minorEastAsia" w:eastAsiaTheme="minorEastAsia" w:cstheme="minorEastAsia"/>
              <w:highlight w:val="none"/>
            </w:rPr>
            <w:fldChar w:fldCharType="begin"/>
          </w:r>
          <w:r>
            <w:rPr>
              <w:rFonts w:asciiTheme="minorEastAsia" w:hAnsiTheme="minorEastAsia" w:eastAsiaTheme="minorEastAsia" w:cstheme="minorEastAsia"/>
              <w:highlight w:val="none"/>
            </w:rPr>
            <w:instrText xml:space="preserve"> HYPERLINK \l "_Toc17364" \o "#_Toc17364" </w:instrText>
          </w:r>
          <w:r>
            <w:rPr>
              <w:rFonts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sz w:val="24"/>
              <w:highlight w:val="none"/>
            </w:rPr>
            <w:t>4. 技术要求</w:t>
          </w:r>
          <w:r>
            <w:rPr>
              <w:rFonts w:hint="eastAsia" w:asciiTheme="minorEastAsia" w:hAnsiTheme="minorEastAsia" w:eastAsiaTheme="minorEastAsia" w:cstheme="minorEastAsia"/>
              <w:sz w:val="24"/>
              <w:highlight w:val="none"/>
            </w:rPr>
            <w:tab/>
          </w:r>
          <w:r>
            <w:rPr>
              <w:rFonts w:hint="eastAsia" w:asciiTheme="minorEastAsia" w:hAnsiTheme="minorEastAsia" w:eastAsiaTheme="minorEastAsia" w:cstheme="minorEastAsia"/>
              <w:sz w:val="24"/>
              <w:highlight w:val="none"/>
            </w:rPr>
            <w:fldChar w:fldCharType="begin"/>
          </w:r>
          <w:r>
            <w:rPr>
              <w:rFonts w:hint="eastAsia" w:asciiTheme="minorEastAsia" w:hAnsiTheme="minorEastAsia" w:eastAsiaTheme="minorEastAsia" w:cstheme="minorEastAsia"/>
              <w:sz w:val="24"/>
              <w:highlight w:val="none"/>
            </w:rPr>
            <w:instrText xml:space="preserve"> PAGEREF _Toc17364 \h </w:instrText>
          </w:r>
          <w:r>
            <w:rPr>
              <w:rFonts w:hint="eastAsia" w:asciiTheme="minorEastAsia" w:hAnsiTheme="minorEastAsia" w:eastAsiaTheme="minorEastAsia" w:cstheme="minorEastAsia"/>
              <w:sz w:val="24"/>
              <w:highlight w:val="none"/>
            </w:rPr>
            <w:fldChar w:fldCharType="separate"/>
          </w:r>
          <w:r>
            <w:rPr>
              <w:rFonts w:hint="eastAsia" w:asciiTheme="minorEastAsia" w:hAnsiTheme="minorEastAsia" w:eastAsiaTheme="minorEastAsia" w:cstheme="minorEastAsia"/>
              <w:sz w:val="24"/>
              <w:highlight w:val="none"/>
            </w:rPr>
            <w:t>5</w:t>
          </w:r>
          <w:r>
            <w:rPr>
              <w:rFonts w:hint="eastAsia" w:asciiTheme="minorEastAsia" w:hAnsiTheme="minorEastAsia" w:eastAsiaTheme="minorEastAsia" w:cstheme="minorEastAsia"/>
              <w:sz w:val="24"/>
              <w:highlight w:val="none"/>
            </w:rPr>
            <w:fldChar w:fldCharType="end"/>
          </w:r>
          <w:r>
            <w:rPr>
              <w:rFonts w:hint="eastAsia" w:asciiTheme="minorEastAsia" w:hAnsiTheme="minorEastAsia" w:eastAsiaTheme="minorEastAsia" w:cstheme="minorEastAsia"/>
              <w:sz w:val="24"/>
              <w:highlight w:val="none"/>
            </w:rPr>
            <w:fldChar w:fldCharType="end"/>
          </w:r>
        </w:p>
        <w:p>
          <w:pPr>
            <w:pStyle w:val="235"/>
            <w:tabs>
              <w:tab w:val="right" w:leader="dot" w:pos="8312"/>
            </w:tabs>
            <w:spacing w:line="360" w:lineRule="auto"/>
            <w:rPr>
              <w:rFonts w:hint="eastAsia" w:ascii="宋体" w:hAnsi="宋体" w:cs="宋体"/>
              <w:sz w:val="24"/>
              <w:highlight w:val="none"/>
            </w:rPr>
          </w:pPr>
          <w:r>
            <w:rPr>
              <w:rFonts w:asciiTheme="minorEastAsia" w:hAnsiTheme="minorEastAsia" w:eastAsiaTheme="minorEastAsia" w:cstheme="minorEastAsia"/>
              <w:highlight w:val="none"/>
            </w:rPr>
            <w:fldChar w:fldCharType="begin"/>
          </w:r>
          <w:r>
            <w:rPr>
              <w:rFonts w:asciiTheme="minorEastAsia" w:hAnsiTheme="minorEastAsia" w:eastAsiaTheme="minorEastAsia" w:cstheme="minorEastAsia"/>
              <w:highlight w:val="none"/>
            </w:rPr>
            <w:instrText xml:space="preserve"> HYPERLINK \l "_Toc4763" \o "#_Toc4763" </w:instrText>
          </w:r>
          <w:r>
            <w:rPr>
              <w:rFonts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sz w:val="24"/>
              <w:highlight w:val="none"/>
            </w:rPr>
            <w:t>5. 双方的权利和义务</w:t>
          </w:r>
          <w:r>
            <w:rPr>
              <w:rFonts w:hint="eastAsia" w:asciiTheme="minorEastAsia" w:hAnsiTheme="minorEastAsia" w:eastAsiaTheme="minorEastAsia" w:cstheme="minorEastAsia"/>
              <w:sz w:val="24"/>
              <w:highlight w:val="none"/>
            </w:rPr>
            <w:tab/>
          </w:r>
          <w:r>
            <w:rPr>
              <w:rFonts w:hint="eastAsia" w:asciiTheme="minorEastAsia" w:hAnsiTheme="minorEastAsia" w:eastAsiaTheme="minorEastAsia" w:cstheme="minorEastAsia"/>
              <w:sz w:val="24"/>
              <w:highlight w:val="none"/>
            </w:rPr>
            <w:fldChar w:fldCharType="begin"/>
          </w:r>
          <w:r>
            <w:rPr>
              <w:rFonts w:hint="eastAsia" w:asciiTheme="minorEastAsia" w:hAnsiTheme="minorEastAsia" w:eastAsiaTheme="minorEastAsia" w:cstheme="minorEastAsia"/>
              <w:sz w:val="24"/>
              <w:highlight w:val="none"/>
            </w:rPr>
            <w:instrText xml:space="preserve"> PAGEREF _Toc4763 \h </w:instrText>
          </w:r>
          <w:r>
            <w:rPr>
              <w:rFonts w:hint="eastAsia" w:asciiTheme="minorEastAsia" w:hAnsiTheme="minorEastAsia" w:eastAsiaTheme="minorEastAsia" w:cstheme="minorEastAsia"/>
              <w:sz w:val="24"/>
              <w:highlight w:val="none"/>
            </w:rPr>
            <w:fldChar w:fldCharType="separate"/>
          </w:r>
          <w:r>
            <w:rPr>
              <w:rFonts w:hint="eastAsia" w:asciiTheme="minorEastAsia" w:hAnsiTheme="minorEastAsia" w:eastAsiaTheme="minorEastAsia" w:cstheme="minorEastAsia"/>
              <w:sz w:val="24"/>
              <w:highlight w:val="none"/>
            </w:rPr>
            <w:t>15</w:t>
          </w:r>
          <w:r>
            <w:rPr>
              <w:rFonts w:hint="eastAsia" w:asciiTheme="minorEastAsia" w:hAnsiTheme="minorEastAsia" w:eastAsiaTheme="minorEastAsia" w:cstheme="minorEastAsia"/>
              <w:sz w:val="24"/>
              <w:highlight w:val="none"/>
            </w:rPr>
            <w:fldChar w:fldCharType="end"/>
          </w:r>
          <w:r>
            <w:rPr>
              <w:rFonts w:hint="eastAsia" w:asciiTheme="minorEastAsia" w:hAnsiTheme="minorEastAsia" w:eastAsiaTheme="minorEastAsia" w:cstheme="minorEastAsia"/>
              <w:sz w:val="24"/>
              <w:highlight w:val="none"/>
            </w:rPr>
            <w:fldChar w:fldCharType="end"/>
          </w:r>
        </w:p>
        <w:p>
          <w:pPr>
            <w:pStyle w:val="235"/>
            <w:tabs>
              <w:tab w:val="right" w:leader="dot" w:pos="8312"/>
            </w:tabs>
            <w:spacing w:line="360" w:lineRule="auto"/>
            <w:rPr>
              <w:rFonts w:hint="eastAsia" w:ascii="宋体" w:hAnsi="宋体" w:cs="宋体"/>
              <w:sz w:val="24"/>
              <w:highlight w:val="none"/>
            </w:rPr>
          </w:pPr>
          <w:r>
            <w:rPr>
              <w:rFonts w:asciiTheme="minorEastAsia" w:hAnsiTheme="minorEastAsia" w:eastAsiaTheme="minorEastAsia" w:cstheme="minorEastAsia"/>
              <w:highlight w:val="none"/>
            </w:rPr>
            <w:fldChar w:fldCharType="begin"/>
          </w:r>
          <w:r>
            <w:rPr>
              <w:rFonts w:asciiTheme="minorEastAsia" w:hAnsiTheme="minorEastAsia" w:eastAsiaTheme="minorEastAsia" w:cstheme="minorEastAsia"/>
              <w:highlight w:val="none"/>
            </w:rPr>
            <w:instrText xml:space="preserve"> HYPERLINK \l "_Toc25411" \o "#_Toc25411" </w:instrText>
          </w:r>
          <w:r>
            <w:rPr>
              <w:rFonts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sz w:val="24"/>
              <w:highlight w:val="none"/>
            </w:rPr>
            <w:t>6. 质量保证和试验</w:t>
          </w:r>
          <w:r>
            <w:rPr>
              <w:rFonts w:hint="eastAsia" w:asciiTheme="minorEastAsia" w:hAnsiTheme="minorEastAsia" w:eastAsiaTheme="minorEastAsia" w:cstheme="minorEastAsia"/>
              <w:sz w:val="24"/>
              <w:highlight w:val="none"/>
            </w:rPr>
            <w:tab/>
          </w:r>
          <w:r>
            <w:rPr>
              <w:rFonts w:hint="eastAsia" w:asciiTheme="minorEastAsia" w:hAnsiTheme="minorEastAsia" w:eastAsiaTheme="minorEastAsia" w:cstheme="minorEastAsia"/>
              <w:sz w:val="24"/>
              <w:highlight w:val="none"/>
            </w:rPr>
            <w:fldChar w:fldCharType="begin"/>
          </w:r>
          <w:r>
            <w:rPr>
              <w:rFonts w:hint="eastAsia" w:asciiTheme="minorEastAsia" w:hAnsiTheme="minorEastAsia" w:eastAsiaTheme="minorEastAsia" w:cstheme="minorEastAsia"/>
              <w:sz w:val="24"/>
              <w:highlight w:val="none"/>
            </w:rPr>
            <w:instrText xml:space="preserve"> PAGEREF _Toc25411 \h </w:instrText>
          </w:r>
          <w:r>
            <w:rPr>
              <w:rFonts w:hint="eastAsia" w:asciiTheme="minorEastAsia" w:hAnsiTheme="minorEastAsia" w:eastAsiaTheme="minorEastAsia" w:cstheme="minorEastAsia"/>
              <w:sz w:val="24"/>
              <w:highlight w:val="none"/>
            </w:rPr>
            <w:fldChar w:fldCharType="separate"/>
          </w:r>
          <w:r>
            <w:rPr>
              <w:rFonts w:hint="eastAsia" w:asciiTheme="minorEastAsia" w:hAnsiTheme="minorEastAsia" w:eastAsiaTheme="minorEastAsia" w:cstheme="minorEastAsia"/>
              <w:sz w:val="24"/>
              <w:highlight w:val="none"/>
            </w:rPr>
            <w:t>16</w:t>
          </w:r>
          <w:r>
            <w:rPr>
              <w:rFonts w:hint="eastAsia" w:asciiTheme="minorEastAsia" w:hAnsiTheme="minorEastAsia" w:eastAsiaTheme="minorEastAsia" w:cstheme="minorEastAsia"/>
              <w:sz w:val="24"/>
              <w:highlight w:val="none"/>
            </w:rPr>
            <w:fldChar w:fldCharType="end"/>
          </w:r>
          <w:r>
            <w:rPr>
              <w:rFonts w:hint="eastAsia" w:asciiTheme="minorEastAsia" w:hAnsiTheme="minorEastAsia" w:eastAsiaTheme="minorEastAsia" w:cstheme="minorEastAsia"/>
              <w:sz w:val="24"/>
              <w:highlight w:val="none"/>
            </w:rPr>
            <w:fldChar w:fldCharType="end"/>
          </w:r>
        </w:p>
        <w:p>
          <w:pPr>
            <w:pStyle w:val="235"/>
            <w:tabs>
              <w:tab w:val="right" w:leader="dot" w:pos="8312"/>
            </w:tabs>
            <w:spacing w:line="360" w:lineRule="auto"/>
            <w:rPr>
              <w:rFonts w:hint="eastAsia" w:ascii="宋体" w:hAnsi="宋体" w:cs="宋体"/>
              <w:sz w:val="24"/>
              <w:highlight w:val="none"/>
            </w:rPr>
          </w:pPr>
          <w:r>
            <w:rPr>
              <w:rFonts w:asciiTheme="minorEastAsia" w:hAnsiTheme="minorEastAsia" w:eastAsiaTheme="minorEastAsia" w:cstheme="minorEastAsia"/>
              <w:highlight w:val="none"/>
            </w:rPr>
            <w:fldChar w:fldCharType="begin"/>
          </w:r>
          <w:r>
            <w:rPr>
              <w:rFonts w:asciiTheme="minorEastAsia" w:hAnsiTheme="minorEastAsia" w:eastAsiaTheme="minorEastAsia" w:cstheme="minorEastAsia"/>
              <w:highlight w:val="none"/>
            </w:rPr>
            <w:instrText xml:space="preserve"> HYPERLINK \l "_Toc2877" \o "#_Toc2877" </w:instrText>
          </w:r>
          <w:r>
            <w:rPr>
              <w:rFonts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bCs/>
              <w:sz w:val="24"/>
              <w:highlight w:val="none"/>
            </w:rPr>
            <w:t>7. 技术资料及交付进度</w:t>
          </w:r>
          <w:r>
            <w:rPr>
              <w:rFonts w:hint="eastAsia" w:asciiTheme="minorEastAsia" w:hAnsiTheme="minorEastAsia" w:eastAsiaTheme="minorEastAsia" w:cstheme="minorEastAsia"/>
              <w:sz w:val="24"/>
              <w:highlight w:val="none"/>
            </w:rPr>
            <w:tab/>
          </w:r>
          <w:r>
            <w:rPr>
              <w:rFonts w:hint="eastAsia" w:asciiTheme="minorEastAsia" w:hAnsiTheme="minorEastAsia" w:eastAsiaTheme="minorEastAsia" w:cstheme="minorEastAsia"/>
              <w:sz w:val="24"/>
              <w:highlight w:val="none"/>
            </w:rPr>
            <w:fldChar w:fldCharType="begin"/>
          </w:r>
          <w:r>
            <w:rPr>
              <w:rFonts w:hint="eastAsia" w:asciiTheme="minorEastAsia" w:hAnsiTheme="minorEastAsia" w:eastAsiaTheme="minorEastAsia" w:cstheme="minorEastAsia"/>
              <w:sz w:val="24"/>
              <w:highlight w:val="none"/>
            </w:rPr>
            <w:instrText xml:space="preserve"> PAGEREF _Toc2877 \h </w:instrText>
          </w:r>
          <w:r>
            <w:rPr>
              <w:rFonts w:hint="eastAsia" w:asciiTheme="minorEastAsia" w:hAnsiTheme="minorEastAsia" w:eastAsiaTheme="minorEastAsia" w:cstheme="minorEastAsia"/>
              <w:sz w:val="24"/>
              <w:highlight w:val="none"/>
            </w:rPr>
            <w:fldChar w:fldCharType="separate"/>
          </w:r>
          <w:r>
            <w:rPr>
              <w:rFonts w:hint="eastAsia" w:asciiTheme="minorEastAsia" w:hAnsiTheme="minorEastAsia" w:eastAsiaTheme="minorEastAsia" w:cstheme="minorEastAsia"/>
              <w:sz w:val="24"/>
              <w:highlight w:val="none"/>
            </w:rPr>
            <w:t>18</w:t>
          </w:r>
          <w:r>
            <w:rPr>
              <w:rFonts w:hint="eastAsia" w:asciiTheme="minorEastAsia" w:hAnsiTheme="minorEastAsia" w:eastAsiaTheme="minorEastAsia" w:cstheme="minorEastAsia"/>
              <w:sz w:val="24"/>
              <w:highlight w:val="none"/>
            </w:rPr>
            <w:fldChar w:fldCharType="end"/>
          </w:r>
          <w:r>
            <w:rPr>
              <w:rFonts w:hint="eastAsia" w:asciiTheme="minorEastAsia" w:hAnsiTheme="minorEastAsia" w:eastAsiaTheme="minorEastAsia" w:cstheme="minorEastAsia"/>
              <w:sz w:val="24"/>
              <w:highlight w:val="none"/>
            </w:rPr>
            <w:fldChar w:fldCharType="end"/>
          </w:r>
        </w:p>
        <w:p>
          <w:pPr>
            <w:pStyle w:val="235"/>
            <w:tabs>
              <w:tab w:val="right" w:leader="dot" w:pos="8312"/>
            </w:tabs>
            <w:spacing w:line="360" w:lineRule="auto"/>
            <w:rPr>
              <w:rFonts w:hint="eastAsia" w:ascii="宋体" w:hAnsi="宋体" w:cs="宋体"/>
              <w:sz w:val="24"/>
              <w:highlight w:val="none"/>
            </w:rPr>
          </w:pPr>
          <w:r>
            <w:rPr>
              <w:rFonts w:asciiTheme="minorEastAsia" w:hAnsiTheme="minorEastAsia" w:eastAsiaTheme="minorEastAsia" w:cstheme="minorEastAsia"/>
              <w:highlight w:val="none"/>
            </w:rPr>
            <w:fldChar w:fldCharType="begin"/>
          </w:r>
          <w:r>
            <w:rPr>
              <w:rFonts w:asciiTheme="minorEastAsia" w:hAnsiTheme="minorEastAsia" w:eastAsiaTheme="minorEastAsia" w:cstheme="minorEastAsia"/>
              <w:highlight w:val="none"/>
            </w:rPr>
            <w:instrText xml:space="preserve"> HYPERLINK \l "_Toc4779" \o "#_Toc4779" </w:instrText>
          </w:r>
          <w:r>
            <w:rPr>
              <w:rFonts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bCs/>
              <w:sz w:val="24"/>
              <w:highlight w:val="none"/>
            </w:rPr>
            <w:t>8. 进度安排</w:t>
          </w:r>
          <w:r>
            <w:rPr>
              <w:rFonts w:hint="eastAsia" w:asciiTheme="minorEastAsia" w:hAnsiTheme="minorEastAsia" w:eastAsiaTheme="minorEastAsia" w:cstheme="minorEastAsia"/>
              <w:sz w:val="24"/>
              <w:highlight w:val="none"/>
            </w:rPr>
            <w:tab/>
          </w:r>
          <w:r>
            <w:rPr>
              <w:rFonts w:hint="eastAsia" w:asciiTheme="minorEastAsia" w:hAnsiTheme="minorEastAsia" w:eastAsiaTheme="minorEastAsia" w:cstheme="minorEastAsia"/>
              <w:sz w:val="24"/>
              <w:highlight w:val="none"/>
            </w:rPr>
            <w:fldChar w:fldCharType="begin"/>
          </w:r>
          <w:r>
            <w:rPr>
              <w:rFonts w:hint="eastAsia" w:asciiTheme="minorEastAsia" w:hAnsiTheme="minorEastAsia" w:eastAsiaTheme="minorEastAsia" w:cstheme="minorEastAsia"/>
              <w:sz w:val="24"/>
              <w:highlight w:val="none"/>
            </w:rPr>
            <w:instrText xml:space="preserve"> PAGEREF _Toc4779 \h </w:instrText>
          </w:r>
          <w:r>
            <w:rPr>
              <w:rFonts w:hint="eastAsia" w:asciiTheme="minorEastAsia" w:hAnsiTheme="minorEastAsia" w:eastAsiaTheme="minorEastAsia" w:cstheme="minorEastAsia"/>
              <w:sz w:val="24"/>
              <w:highlight w:val="none"/>
            </w:rPr>
            <w:fldChar w:fldCharType="separate"/>
          </w:r>
          <w:r>
            <w:rPr>
              <w:rFonts w:hint="eastAsia" w:asciiTheme="minorEastAsia" w:hAnsiTheme="minorEastAsia" w:eastAsiaTheme="minorEastAsia" w:cstheme="minorEastAsia"/>
              <w:sz w:val="24"/>
              <w:highlight w:val="none"/>
            </w:rPr>
            <w:t>18</w:t>
          </w:r>
          <w:r>
            <w:rPr>
              <w:rFonts w:hint="eastAsia" w:asciiTheme="minorEastAsia" w:hAnsiTheme="minorEastAsia" w:eastAsiaTheme="minorEastAsia" w:cstheme="minorEastAsia"/>
              <w:sz w:val="24"/>
              <w:highlight w:val="none"/>
            </w:rPr>
            <w:fldChar w:fldCharType="end"/>
          </w:r>
          <w:r>
            <w:rPr>
              <w:rFonts w:hint="eastAsia" w:asciiTheme="minorEastAsia" w:hAnsiTheme="minorEastAsia" w:eastAsiaTheme="minorEastAsia" w:cstheme="minorEastAsia"/>
              <w:sz w:val="24"/>
              <w:highlight w:val="none"/>
            </w:rPr>
            <w:fldChar w:fldCharType="end"/>
          </w:r>
        </w:p>
        <w:p>
          <w:pPr>
            <w:pStyle w:val="235"/>
            <w:tabs>
              <w:tab w:val="right" w:leader="dot" w:pos="8312"/>
            </w:tabs>
            <w:spacing w:line="360" w:lineRule="auto"/>
            <w:rPr>
              <w:rFonts w:hint="eastAsia" w:ascii="宋体" w:hAnsi="宋体" w:cs="宋体"/>
              <w:sz w:val="24"/>
              <w:highlight w:val="none"/>
            </w:rPr>
          </w:pPr>
          <w:r>
            <w:rPr>
              <w:rFonts w:asciiTheme="minorEastAsia" w:hAnsiTheme="minorEastAsia" w:eastAsiaTheme="minorEastAsia" w:cstheme="minorEastAsia"/>
              <w:highlight w:val="none"/>
            </w:rPr>
            <w:fldChar w:fldCharType="begin"/>
          </w:r>
          <w:r>
            <w:rPr>
              <w:rFonts w:asciiTheme="minorEastAsia" w:hAnsiTheme="minorEastAsia" w:eastAsiaTheme="minorEastAsia" w:cstheme="minorEastAsia"/>
              <w:highlight w:val="none"/>
            </w:rPr>
            <w:instrText xml:space="preserve"> HYPERLINK \l "_Toc22209" \o "#_Toc22209" </w:instrText>
          </w:r>
          <w:r>
            <w:rPr>
              <w:rFonts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bCs/>
              <w:sz w:val="24"/>
              <w:highlight w:val="none"/>
            </w:rPr>
            <w:t>9. 考核条款</w:t>
          </w:r>
          <w:r>
            <w:rPr>
              <w:rFonts w:hint="eastAsia" w:asciiTheme="minorEastAsia" w:hAnsiTheme="minorEastAsia" w:eastAsiaTheme="minorEastAsia" w:cstheme="minorEastAsia"/>
              <w:sz w:val="24"/>
              <w:highlight w:val="none"/>
            </w:rPr>
            <w:tab/>
          </w:r>
          <w:r>
            <w:rPr>
              <w:rFonts w:hint="eastAsia" w:asciiTheme="minorEastAsia" w:hAnsiTheme="minorEastAsia" w:eastAsiaTheme="minorEastAsia" w:cstheme="minorEastAsia"/>
              <w:sz w:val="24"/>
              <w:highlight w:val="none"/>
            </w:rPr>
            <w:fldChar w:fldCharType="begin"/>
          </w:r>
          <w:r>
            <w:rPr>
              <w:rFonts w:hint="eastAsia" w:asciiTheme="minorEastAsia" w:hAnsiTheme="minorEastAsia" w:eastAsiaTheme="minorEastAsia" w:cstheme="minorEastAsia"/>
              <w:sz w:val="24"/>
              <w:highlight w:val="none"/>
            </w:rPr>
            <w:instrText xml:space="preserve"> PAGEREF _Toc22209 \h </w:instrText>
          </w:r>
          <w:r>
            <w:rPr>
              <w:rFonts w:hint="eastAsia" w:asciiTheme="minorEastAsia" w:hAnsiTheme="minorEastAsia" w:eastAsiaTheme="minorEastAsia" w:cstheme="minorEastAsia"/>
              <w:sz w:val="24"/>
              <w:highlight w:val="none"/>
            </w:rPr>
            <w:fldChar w:fldCharType="separate"/>
          </w:r>
          <w:r>
            <w:rPr>
              <w:rFonts w:hint="eastAsia" w:asciiTheme="minorEastAsia" w:hAnsiTheme="minorEastAsia" w:eastAsiaTheme="minorEastAsia" w:cstheme="minorEastAsia"/>
              <w:sz w:val="24"/>
              <w:highlight w:val="none"/>
            </w:rPr>
            <w:t>18</w:t>
          </w:r>
          <w:r>
            <w:rPr>
              <w:rFonts w:hint="eastAsia" w:asciiTheme="minorEastAsia" w:hAnsiTheme="minorEastAsia" w:eastAsiaTheme="minorEastAsia" w:cstheme="minorEastAsia"/>
              <w:sz w:val="24"/>
              <w:highlight w:val="none"/>
            </w:rPr>
            <w:fldChar w:fldCharType="end"/>
          </w:r>
          <w:r>
            <w:rPr>
              <w:rFonts w:hint="eastAsia" w:asciiTheme="minorEastAsia" w:hAnsiTheme="minorEastAsia" w:eastAsiaTheme="minorEastAsia" w:cstheme="minorEastAsia"/>
              <w:sz w:val="24"/>
              <w:highlight w:val="none"/>
            </w:rPr>
            <w:fldChar w:fldCharType="end"/>
          </w:r>
        </w:p>
        <w:p>
          <w:pPr>
            <w:pStyle w:val="235"/>
            <w:tabs>
              <w:tab w:val="right" w:leader="dot" w:pos="8312"/>
            </w:tabs>
            <w:spacing w:line="360" w:lineRule="auto"/>
            <w:rPr>
              <w:rFonts w:hint="eastAsia" w:ascii="宋体" w:hAnsi="宋体" w:cs="宋体"/>
              <w:sz w:val="24"/>
              <w:highlight w:val="none"/>
            </w:rPr>
          </w:pPr>
          <w:r>
            <w:rPr>
              <w:rFonts w:asciiTheme="minorEastAsia" w:hAnsiTheme="minorEastAsia" w:eastAsiaTheme="minorEastAsia" w:cstheme="minorEastAsia"/>
              <w:highlight w:val="none"/>
            </w:rPr>
            <w:fldChar w:fldCharType="begin"/>
          </w:r>
          <w:r>
            <w:rPr>
              <w:rFonts w:asciiTheme="minorEastAsia" w:hAnsiTheme="minorEastAsia" w:eastAsiaTheme="minorEastAsia" w:cstheme="minorEastAsia"/>
              <w:highlight w:val="none"/>
            </w:rPr>
            <w:instrText xml:space="preserve"> HYPERLINK \l "_Toc12821" \o "#_Toc12821" </w:instrText>
          </w:r>
          <w:r>
            <w:rPr>
              <w:rFonts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sz w:val="24"/>
              <w:highlight w:val="none"/>
            </w:rPr>
            <w:t>附　录　A 《外包单位安全考核明细表》</w:t>
          </w:r>
          <w:r>
            <w:rPr>
              <w:rFonts w:hint="eastAsia" w:asciiTheme="minorEastAsia" w:hAnsiTheme="minorEastAsia" w:eastAsiaTheme="minorEastAsia" w:cstheme="minorEastAsia"/>
              <w:sz w:val="24"/>
              <w:highlight w:val="none"/>
            </w:rPr>
            <w:tab/>
          </w:r>
          <w:r>
            <w:rPr>
              <w:rFonts w:hint="eastAsia" w:asciiTheme="minorEastAsia" w:hAnsiTheme="minorEastAsia" w:eastAsiaTheme="minorEastAsia" w:cstheme="minorEastAsia"/>
              <w:sz w:val="24"/>
              <w:highlight w:val="none"/>
            </w:rPr>
            <w:fldChar w:fldCharType="begin"/>
          </w:r>
          <w:r>
            <w:rPr>
              <w:rFonts w:hint="eastAsia" w:asciiTheme="minorEastAsia" w:hAnsiTheme="minorEastAsia" w:eastAsiaTheme="minorEastAsia" w:cstheme="minorEastAsia"/>
              <w:sz w:val="24"/>
              <w:highlight w:val="none"/>
            </w:rPr>
            <w:instrText xml:space="preserve"> PAGEREF _Toc12821 \h </w:instrText>
          </w:r>
          <w:r>
            <w:rPr>
              <w:rFonts w:hint="eastAsia" w:asciiTheme="minorEastAsia" w:hAnsiTheme="minorEastAsia" w:eastAsiaTheme="minorEastAsia" w:cstheme="minorEastAsia"/>
              <w:sz w:val="24"/>
              <w:highlight w:val="none"/>
            </w:rPr>
            <w:fldChar w:fldCharType="separate"/>
          </w:r>
          <w:r>
            <w:rPr>
              <w:rFonts w:hint="eastAsia" w:asciiTheme="minorEastAsia" w:hAnsiTheme="minorEastAsia" w:eastAsiaTheme="minorEastAsia" w:cstheme="minorEastAsia"/>
              <w:sz w:val="24"/>
              <w:highlight w:val="none"/>
            </w:rPr>
            <w:t>20</w:t>
          </w:r>
          <w:r>
            <w:rPr>
              <w:rFonts w:hint="eastAsia" w:asciiTheme="minorEastAsia" w:hAnsiTheme="minorEastAsia" w:eastAsiaTheme="minorEastAsia" w:cstheme="minorEastAsia"/>
              <w:sz w:val="24"/>
              <w:highlight w:val="none"/>
            </w:rPr>
            <w:fldChar w:fldCharType="end"/>
          </w:r>
          <w:r>
            <w:rPr>
              <w:rFonts w:hint="eastAsia" w:asciiTheme="minorEastAsia" w:hAnsiTheme="minorEastAsia" w:eastAsiaTheme="minorEastAsia" w:cstheme="minorEastAsia"/>
              <w:sz w:val="24"/>
              <w:highlight w:val="none"/>
            </w:rPr>
            <w:fldChar w:fldCharType="end"/>
          </w:r>
        </w:p>
        <w:p>
          <w:pPr>
            <w:pStyle w:val="235"/>
            <w:tabs>
              <w:tab w:val="right" w:leader="dot" w:pos="8312"/>
            </w:tabs>
            <w:spacing w:line="360" w:lineRule="auto"/>
            <w:rPr>
              <w:rFonts w:hint="eastAsia" w:asciiTheme="minorEastAsia" w:hAnsiTheme="minorEastAsia" w:eastAsiaTheme="minorEastAsia" w:cstheme="minorEastAsia"/>
              <w:sz w:val="24"/>
              <w:highlight w:val="none"/>
            </w:rPr>
          </w:pPr>
          <w:r>
            <w:rPr>
              <w:rFonts w:asciiTheme="minorEastAsia" w:hAnsiTheme="minorEastAsia" w:eastAsiaTheme="minorEastAsia" w:cstheme="minorEastAsia"/>
              <w:highlight w:val="none"/>
            </w:rPr>
            <w:fldChar w:fldCharType="begin"/>
          </w:r>
          <w:r>
            <w:rPr>
              <w:rFonts w:asciiTheme="minorEastAsia" w:hAnsiTheme="minorEastAsia" w:eastAsiaTheme="minorEastAsia" w:cstheme="minorEastAsia"/>
              <w:highlight w:val="none"/>
            </w:rPr>
            <w:instrText xml:space="preserve"> HYPERLINK \l "_Toc17734" \o "#_Toc17734" </w:instrText>
          </w:r>
          <w:r>
            <w:rPr>
              <w:rFonts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sz w:val="24"/>
              <w:highlight w:val="none"/>
            </w:rPr>
            <w:t>附　录　B 《考核标准和违章记分》内容</w:t>
          </w:r>
          <w:r>
            <w:rPr>
              <w:rFonts w:hint="eastAsia" w:asciiTheme="minorEastAsia" w:hAnsiTheme="minorEastAsia" w:eastAsiaTheme="minorEastAsia" w:cstheme="minorEastAsia"/>
              <w:sz w:val="24"/>
              <w:highlight w:val="none"/>
            </w:rPr>
            <w:tab/>
          </w:r>
          <w:r>
            <w:rPr>
              <w:rFonts w:hint="eastAsia" w:asciiTheme="minorEastAsia" w:hAnsiTheme="minorEastAsia" w:eastAsiaTheme="minorEastAsia" w:cstheme="minorEastAsia"/>
              <w:sz w:val="24"/>
              <w:highlight w:val="none"/>
            </w:rPr>
            <w:fldChar w:fldCharType="begin"/>
          </w:r>
          <w:r>
            <w:rPr>
              <w:rFonts w:hint="eastAsia" w:asciiTheme="minorEastAsia" w:hAnsiTheme="minorEastAsia" w:eastAsiaTheme="minorEastAsia" w:cstheme="minorEastAsia"/>
              <w:sz w:val="24"/>
              <w:highlight w:val="none"/>
            </w:rPr>
            <w:instrText xml:space="preserve"> PAGEREF _Toc17734 \h </w:instrText>
          </w:r>
          <w:r>
            <w:rPr>
              <w:rFonts w:hint="eastAsia" w:asciiTheme="minorEastAsia" w:hAnsiTheme="minorEastAsia" w:eastAsiaTheme="minorEastAsia" w:cstheme="minorEastAsia"/>
              <w:sz w:val="24"/>
              <w:highlight w:val="none"/>
            </w:rPr>
            <w:fldChar w:fldCharType="separate"/>
          </w:r>
          <w:r>
            <w:rPr>
              <w:rFonts w:hint="eastAsia" w:asciiTheme="minorEastAsia" w:hAnsiTheme="minorEastAsia" w:eastAsiaTheme="minorEastAsia" w:cstheme="minorEastAsia"/>
              <w:sz w:val="24"/>
              <w:highlight w:val="none"/>
            </w:rPr>
            <w:t>25</w:t>
          </w:r>
          <w:r>
            <w:rPr>
              <w:rFonts w:hint="eastAsia" w:asciiTheme="minorEastAsia" w:hAnsiTheme="minorEastAsia" w:eastAsiaTheme="minorEastAsia" w:cstheme="minorEastAsia"/>
              <w:sz w:val="24"/>
              <w:highlight w:val="none"/>
            </w:rPr>
            <w:fldChar w:fldCharType="end"/>
          </w:r>
          <w:r>
            <w:rPr>
              <w:rFonts w:hint="eastAsia" w:asciiTheme="minorEastAsia" w:hAnsiTheme="minorEastAsia" w:eastAsiaTheme="minorEastAsia" w:cstheme="minorEastAsia"/>
              <w:sz w:val="24"/>
              <w:highlight w:val="none"/>
            </w:rPr>
            <w:fldChar w:fldCharType="end"/>
          </w:r>
        </w:p>
        <w:p>
          <w:pPr>
            <w:pStyle w:val="235"/>
            <w:tabs>
              <w:tab w:val="right" w:leader="dot" w:pos="8312"/>
            </w:tabs>
            <w:spacing w:line="360" w:lineRule="auto"/>
            <w:rPr>
              <w:highlight w:val="none"/>
            </w:rPr>
          </w:pPr>
          <w:r>
            <w:rPr>
              <w:rFonts w:asciiTheme="minorEastAsia" w:hAnsiTheme="minorEastAsia" w:eastAsiaTheme="minorEastAsia" w:cstheme="minorEastAsia"/>
              <w:highlight w:val="none"/>
            </w:rPr>
            <w:fldChar w:fldCharType="begin"/>
          </w:r>
          <w:r>
            <w:rPr>
              <w:rFonts w:asciiTheme="minorEastAsia" w:hAnsiTheme="minorEastAsia" w:eastAsiaTheme="minorEastAsia" w:cstheme="minorEastAsia"/>
              <w:highlight w:val="none"/>
            </w:rPr>
            <w:instrText xml:space="preserve"> HYPERLINK \l "_Toc17734" \o "#_Toc17734" </w:instrText>
          </w:r>
          <w:r>
            <w:rPr>
              <w:rFonts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sz w:val="24"/>
              <w:highlight w:val="none"/>
            </w:rPr>
            <w:t>附　录　C 《检修质量及进度考核》内容</w:t>
          </w:r>
          <w:r>
            <w:rPr>
              <w:rFonts w:hint="eastAsia" w:asciiTheme="minorEastAsia" w:hAnsiTheme="minorEastAsia" w:eastAsiaTheme="minorEastAsia" w:cstheme="minorEastAsia"/>
              <w:sz w:val="24"/>
              <w:highlight w:val="none"/>
            </w:rPr>
            <w:tab/>
          </w:r>
          <w:r>
            <w:rPr>
              <w:rFonts w:hint="eastAsia" w:asciiTheme="minorEastAsia" w:hAnsiTheme="minorEastAsia" w:eastAsiaTheme="minorEastAsia" w:cstheme="minorEastAsia"/>
              <w:sz w:val="24"/>
              <w:highlight w:val="none"/>
            </w:rPr>
            <w:fldChar w:fldCharType="begin"/>
          </w:r>
          <w:r>
            <w:rPr>
              <w:rFonts w:hint="eastAsia" w:asciiTheme="minorEastAsia" w:hAnsiTheme="minorEastAsia" w:eastAsiaTheme="minorEastAsia" w:cstheme="minorEastAsia"/>
              <w:sz w:val="24"/>
              <w:highlight w:val="none"/>
            </w:rPr>
            <w:instrText xml:space="preserve"> PAGEREF _Toc17734 \h </w:instrText>
          </w:r>
          <w:r>
            <w:rPr>
              <w:rFonts w:hint="eastAsia" w:asciiTheme="minorEastAsia" w:hAnsiTheme="minorEastAsia" w:eastAsiaTheme="minorEastAsia" w:cstheme="minorEastAsia"/>
              <w:sz w:val="24"/>
              <w:highlight w:val="none"/>
            </w:rPr>
            <w:fldChar w:fldCharType="separate"/>
          </w:r>
          <w:r>
            <w:rPr>
              <w:rFonts w:hint="eastAsia" w:asciiTheme="minorEastAsia" w:hAnsiTheme="minorEastAsia" w:eastAsiaTheme="minorEastAsia" w:cstheme="minorEastAsia"/>
              <w:sz w:val="24"/>
              <w:highlight w:val="none"/>
            </w:rPr>
            <w:t>25</w:t>
          </w:r>
          <w:r>
            <w:rPr>
              <w:rFonts w:hint="eastAsia" w:asciiTheme="minorEastAsia" w:hAnsiTheme="minorEastAsia" w:eastAsiaTheme="minorEastAsia" w:cstheme="minorEastAsia"/>
              <w:sz w:val="24"/>
              <w:highlight w:val="none"/>
            </w:rPr>
            <w:fldChar w:fldCharType="end"/>
          </w:r>
          <w:r>
            <w:rPr>
              <w:rFonts w:hint="eastAsia" w:asciiTheme="minorEastAsia" w:hAnsiTheme="minorEastAsia" w:eastAsiaTheme="minorEastAsia" w:cstheme="minorEastAsia"/>
              <w:sz w:val="24"/>
              <w:highlight w:val="none"/>
            </w:rPr>
            <w:fldChar w:fldCharType="end"/>
          </w:r>
        </w:p>
        <w:p>
          <w:pPr>
            <w:pStyle w:val="235"/>
            <w:tabs>
              <w:tab w:val="right" w:leader="dot" w:pos="8312"/>
            </w:tabs>
            <w:spacing w:line="360" w:lineRule="auto"/>
            <w:rPr>
              <w:rFonts w:hint="eastAsia" w:ascii="宋体" w:hAnsi="宋体" w:cs="宋体"/>
              <w:sz w:val="24"/>
              <w:highlight w:val="none"/>
            </w:rPr>
          </w:pPr>
          <w:r>
            <w:rPr>
              <w:rFonts w:asciiTheme="minorEastAsia" w:hAnsiTheme="minorEastAsia" w:eastAsiaTheme="minorEastAsia" w:cstheme="minorEastAsia"/>
              <w:highlight w:val="none"/>
            </w:rPr>
            <w:fldChar w:fldCharType="begin"/>
          </w:r>
          <w:r>
            <w:rPr>
              <w:rFonts w:asciiTheme="minorEastAsia" w:hAnsiTheme="minorEastAsia" w:eastAsiaTheme="minorEastAsia" w:cstheme="minorEastAsia"/>
              <w:highlight w:val="none"/>
            </w:rPr>
            <w:instrText xml:space="preserve"> HYPERLINK \l "_Toc2138" \o "#_Toc2138" </w:instrText>
          </w:r>
          <w:r>
            <w:rPr>
              <w:rFonts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sz w:val="24"/>
              <w:highlight w:val="none"/>
            </w:rPr>
            <w:t xml:space="preserve">附  录  D  </w:t>
          </w:r>
          <w:r>
            <w:rPr>
              <w:rFonts w:hint="eastAsia" w:asciiTheme="minorEastAsia" w:hAnsiTheme="minorEastAsia" w:eastAsiaTheme="minorEastAsia" w:cstheme="minorEastAsia"/>
              <w:sz w:val="24"/>
              <w:highlight w:val="none"/>
            </w:rPr>
            <w:fldChar w:fldCharType="end"/>
          </w:r>
          <w:r>
            <w:rPr>
              <w:rFonts w:asciiTheme="minorEastAsia" w:hAnsiTheme="minorEastAsia" w:eastAsiaTheme="minorEastAsia" w:cstheme="minorEastAsia"/>
              <w:highlight w:val="none"/>
            </w:rPr>
            <w:fldChar w:fldCharType="begin"/>
          </w:r>
          <w:r>
            <w:rPr>
              <w:rFonts w:asciiTheme="minorEastAsia" w:hAnsiTheme="minorEastAsia" w:eastAsiaTheme="minorEastAsia" w:cstheme="minorEastAsia"/>
              <w:highlight w:val="none"/>
            </w:rPr>
            <w:instrText xml:space="preserve"> HYPERLINK \l "_Toc17558" \o "#_Toc17558" </w:instrText>
          </w:r>
          <w:r>
            <w:rPr>
              <w:rFonts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sz w:val="24"/>
              <w:highlight w:val="none"/>
            </w:rPr>
            <w:t>2026年#3机A修J2标段项目预估清单</w:t>
          </w:r>
          <w:r>
            <w:rPr>
              <w:rFonts w:hint="eastAsia" w:asciiTheme="minorEastAsia" w:hAnsiTheme="minorEastAsia" w:eastAsiaTheme="minorEastAsia" w:cstheme="minorEastAsia"/>
              <w:sz w:val="24"/>
              <w:highlight w:val="none"/>
            </w:rPr>
            <w:tab/>
          </w:r>
          <w:r>
            <w:rPr>
              <w:rFonts w:hint="eastAsia" w:asciiTheme="minorEastAsia" w:hAnsiTheme="minorEastAsia" w:eastAsiaTheme="minorEastAsia" w:cstheme="minorEastAsia"/>
              <w:sz w:val="24"/>
              <w:highlight w:val="none"/>
            </w:rPr>
            <w:fldChar w:fldCharType="begin"/>
          </w:r>
          <w:r>
            <w:rPr>
              <w:rFonts w:hint="eastAsia" w:asciiTheme="minorEastAsia" w:hAnsiTheme="minorEastAsia" w:eastAsiaTheme="minorEastAsia" w:cstheme="minorEastAsia"/>
              <w:sz w:val="24"/>
              <w:highlight w:val="none"/>
            </w:rPr>
            <w:instrText xml:space="preserve"> PAGEREF _Toc17558 \h </w:instrText>
          </w:r>
          <w:r>
            <w:rPr>
              <w:rFonts w:hint="eastAsia" w:asciiTheme="minorEastAsia" w:hAnsiTheme="minorEastAsia" w:eastAsiaTheme="minorEastAsia" w:cstheme="minorEastAsia"/>
              <w:sz w:val="24"/>
              <w:highlight w:val="none"/>
            </w:rPr>
            <w:fldChar w:fldCharType="separate"/>
          </w:r>
          <w:r>
            <w:rPr>
              <w:rFonts w:hint="eastAsia" w:asciiTheme="minorEastAsia" w:hAnsiTheme="minorEastAsia" w:eastAsiaTheme="minorEastAsia" w:cstheme="minorEastAsia"/>
              <w:sz w:val="24"/>
              <w:highlight w:val="none"/>
            </w:rPr>
            <w:t>31</w:t>
          </w:r>
          <w:r>
            <w:rPr>
              <w:rFonts w:hint="eastAsia" w:asciiTheme="minorEastAsia" w:hAnsiTheme="minorEastAsia" w:eastAsiaTheme="minorEastAsia" w:cstheme="minorEastAsia"/>
              <w:sz w:val="24"/>
              <w:highlight w:val="none"/>
            </w:rPr>
            <w:fldChar w:fldCharType="end"/>
          </w:r>
          <w:r>
            <w:rPr>
              <w:rFonts w:hint="eastAsia" w:asciiTheme="minorEastAsia" w:hAnsiTheme="minorEastAsia" w:eastAsiaTheme="minorEastAsia" w:cstheme="minorEastAsia"/>
              <w:sz w:val="24"/>
              <w:highlight w:val="none"/>
            </w:rPr>
            <w:fldChar w:fldCharType="end"/>
          </w:r>
        </w:p>
        <w:p>
          <w:pPr>
            <w:spacing w:line="360" w:lineRule="auto"/>
            <w:rPr>
              <w:b/>
              <w:sz w:val="36"/>
              <w:highlight w:val="none"/>
            </w:rPr>
          </w:pPr>
          <w:r>
            <w:rPr>
              <w:rFonts w:hint="eastAsia" w:asciiTheme="minorEastAsia" w:hAnsiTheme="minorEastAsia" w:eastAsiaTheme="minorEastAsia" w:cstheme="minorEastAsia"/>
              <w:sz w:val="24"/>
              <w:highlight w:val="none"/>
            </w:rPr>
            <w:fldChar w:fldCharType="end"/>
          </w:r>
        </w:p>
      </w:sdtContent>
    </w:sdt>
    <w:p>
      <w:pPr>
        <w:spacing w:line="360" w:lineRule="auto"/>
        <w:jc w:val="left"/>
        <w:outlineLvl w:val="0"/>
        <w:rPr>
          <w:rFonts w:hint="eastAsia" w:ascii="宋体" w:hAnsi="宋体"/>
          <w:b/>
          <w:sz w:val="24"/>
          <w:highlight w:val="none"/>
        </w:rPr>
        <w:sectPr>
          <w:headerReference r:id="rId11" w:type="default"/>
          <w:footerReference r:id="rId12" w:type="default"/>
          <w:pgSz w:w="11906" w:h="16838"/>
          <w:pgMar w:top="1440" w:right="1797" w:bottom="1440" w:left="1797" w:header="851" w:footer="992" w:gutter="0"/>
          <w:cols w:space="425" w:num="1"/>
          <w:titlePg/>
          <w:docGrid w:linePitch="360" w:charSpace="0"/>
        </w:sectPr>
      </w:pPr>
      <w:bookmarkStart w:id="0" w:name="_Toc22847"/>
    </w:p>
    <w:p>
      <w:pPr>
        <w:numPr>
          <w:ilvl w:val="0"/>
          <w:numId w:val="0"/>
        </w:numPr>
        <w:spacing w:line="360" w:lineRule="auto"/>
        <w:jc w:val="left"/>
        <w:outlineLvl w:val="0"/>
        <w:rPr>
          <w:rFonts w:ascii="Book Antiqua" w:hAnsi="Book Antiqua"/>
          <w:sz w:val="24"/>
          <w:highlight w:val="none"/>
        </w:rPr>
      </w:pPr>
      <w:bookmarkStart w:id="1" w:name="_Toc10708"/>
      <w:r>
        <w:rPr>
          <w:rFonts w:hint="eastAsia" w:asciiTheme="minorEastAsia" w:hAnsiTheme="minorEastAsia" w:eastAsiaTheme="minorEastAsia" w:cstheme="minorEastAsia"/>
          <w:b/>
          <w:sz w:val="24"/>
          <w:highlight w:val="none"/>
          <w:lang w:val="en-US" w:eastAsia="zh-CN"/>
        </w:rPr>
        <w:t xml:space="preserve">1. </w:t>
      </w:r>
      <w:r>
        <w:rPr>
          <w:rFonts w:hint="eastAsia" w:asciiTheme="minorEastAsia" w:hAnsiTheme="minorEastAsia" w:eastAsiaTheme="minorEastAsia" w:cstheme="minorEastAsia"/>
          <w:b/>
          <w:sz w:val="24"/>
          <w:highlight w:val="none"/>
        </w:rPr>
        <w:t>总则</w:t>
      </w:r>
      <w:bookmarkEnd w:id="0"/>
      <w:bookmarkEnd w:id="1"/>
    </w:p>
    <w:p>
      <w:pPr>
        <w:spacing w:line="360" w:lineRule="auto"/>
        <w:rPr>
          <w:rFonts w:hint="eastAsia" w:hAnsi="宋体"/>
          <w:b/>
          <w:bCs/>
          <w:sz w:val="52"/>
          <w:szCs w:val="52"/>
          <w:highlight w:val="none"/>
        </w:rPr>
      </w:pPr>
      <w:r>
        <w:rPr>
          <w:rFonts w:asciiTheme="minorEastAsia" w:hAnsiTheme="minorEastAsia" w:eastAsiaTheme="minorEastAsia" w:cstheme="minorEastAsia"/>
          <w:sz w:val="24"/>
          <w:highlight w:val="none"/>
        </w:rPr>
        <w:t>1.1 本</w:t>
      </w:r>
      <w:r>
        <w:rPr>
          <w:rFonts w:hint="eastAsia" w:asciiTheme="minorEastAsia" w:hAnsiTheme="minorEastAsia" w:eastAsiaTheme="minorEastAsia" w:cstheme="minorEastAsia"/>
          <w:sz w:val="24"/>
          <w:highlight w:val="none"/>
        </w:rPr>
        <w:t>技术规范书</w:t>
      </w:r>
      <w:r>
        <w:rPr>
          <w:rFonts w:asciiTheme="minorEastAsia" w:hAnsiTheme="minorEastAsia" w:eastAsiaTheme="minorEastAsia" w:cstheme="minorEastAsia"/>
          <w:sz w:val="24"/>
          <w:highlight w:val="none"/>
        </w:rPr>
        <w:t>用于</w:t>
      </w:r>
      <w:r>
        <w:rPr>
          <w:rFonts w:hint="eastAsia" w:asciiTheme="minorEastAsia" w:hAnsiTheme="minorEastAsia" w:eastAsiaTheme="minorEastAsia" w:cstheme="minorEastAsia"/>
          <w:sz w:val="24"/>
          <w:highlight w:val="none"/>
        </w:rPr>
        <w:t>浙江浙能乐清发电有限责任公司2026年#3机A修J2标段项目</w:t>
      </w:r>
      <w:r>
        <w:rPr>
          <w:rFonts w:asciiTheme="minorEastAsia" w:hAnsiTheme="minorEastAsia" w:eastAsiaTheme="minorEastAsia" w:cstheme="minorEastAsia"/>
          <w:sz w:val="24"/>
          <w:highlight w:val="none"/>
        </w:rPr>
        <w:t>。</w:t>
      </w:r>
      <w:r>
        <w:rPr>
          <w:rFonts w:hint="eastAsia" w:asciiTheme="minorEastAsia" w:hAnsiTheme="minorEastAsia" w:eastAsiaTheme="minorEastAsia" w:cstheme="minorEastAsia"/>
          <w:sz w:val="24"/>
          <w:highlight w:val="none"/>
        </w:rPr>
        <w:t>包括该项目范围内</w:t>
      </w:r>
      <w:r>
        <w:rPr>
          <w:rFonts w:asciiTheme="minorEastAsia" w:hAnsiTheme="minorEastAsia" w:eastAsiaTheme="minorEastAsia" w:cstheme="minorEastAsia"/>
          <w:sz w:val="24"/>
          <w:highlight w:val="none"/>
        </w:rPr>
        <w:t>的</w:t>
      </w:r>
      <w:r>
        <w:rPr>
          <w:rFonts w:hint="eastAsia" w:asciiTheme="minorEastAsia" w:hAnsiTheme="minorEastAsia" w:eastAsiaTheme="minorEastAsia" w:cstheme="minorEastAsia"/>
          <w:sz w:val="24"/>
          <w:highlight w:val="none"/>
        </w:rPr>
        <w:t>方案、准备工作、</w:t>
      </w:r>
      <w:r>
        <w:rPr>
          <w:rFonts w:asciiTheme="minorEastAsia" w:hAnsiTheme="minorEastAsia" w:eastAsiaTheme="minorEastAsia" w:cstheme="minorEastAsia"/>
          <w:sz w:val="24"/>
          <w:highlight w:val="none"/>
        </w:rPr>
        <w:t>施工</w:t>
      </w:r>
      <w:r>
        <w:rPr>
          <w:rFonts w:hint="eastAsia" w:asciiTheme="minorEastAsia" w:hAnsiTheme="minorEastAsia" w:eastAsiaTheme="minorEastAsia" w:cstheme="minorEastAsia"/>
          <w:sz w:val="24"/>
          <w:highlight w:val="none"/>
        </w:rPr>
        <w:t>，直至完成竣工验收以及</w:t>
      </w:r>
      <w:r>
        <w:rPr>
          <w:rFonts w:asciiTheme="minorEastAsia" w:hAnsiTheme="minorEastAsia" w:eastAsiaTheme="minorEastAsia" w:cstheme="minorEastAsia"/>
          <w:sz w:val="24"/>
          <w:highlight w:val="none"/>
        </w:rPr>
        <w:t>质保期</w:t>
      </w:r>
      <w:r>
        <w:rPr>
          <w:rFonts w:hint="eastAsia" w:asciiTheme="minorEastAsia" w:hAnsiTheme="minorEastAsia" w:eastAsiaTheme="minorEastAsia" w:cstheme="minorEastAsia"/>
          <w:sz w:val="24"/>
          <w:highlight w:val="none"/>
        </w:rPr>
        <w:t>服务</w:t>
      </w:r>
      <w:r>
        <w:rPr>
          <w:rFonts w:asciiTheme="minorEastAsia" w:hAnsiTheme="minorEastAsia" w:eastAsiaTheme="minorEastAsia" w:cstheme="minorEastAsia"/>
          <w:sz w:val="24"/>
          <w:highlight w:val="none"/>
        </w:rPr>
        <w:t>等。</w:t>
      </w:r>
    </w:p>
    <w:p>
      <w:pPr>
        <w:widowControl/>
        <w:spacing w:line="360" w:lineRule="auto"/>
        <w:rPr>
          <w:rFonts w:ascii="Book Antiqua" w:hAnsi="Book Antiqua"/>
          <w:sz w:val="24"/>
          <w:highlight w:val="none"/>
        </w:rPr>
      </w:pPr>
      <w:r>
        <w:rPr>
          <w:rFonts w:asciiTheme="minorEastAsia" w:hAnsiTheme="minorEastAsia" w:eastAsiaTheme="minorEastAsia" w:cstheme="minorEastAsia"/>
          <w:sz w:val="24"/>
          <w:highlight w:val="none"/>
        </w:rPr>
        <w:t>1.2 本</w:t>
      </w:r>
      <w:r>
        <w:rPr>
          <w:rFonts w:hint="eastAsia" w:asciiTheme="minorEastAsia" w:hAnsiTheme="minorEastAsia" w:eastAsiaTheme="minorEastAsia" w:cstheme="minorEastAsia"/>
          <w:sz w:val="24"/>
          <w:highlight w:val="none"/>
        </w:rPr>
        <w:t>技术规范</w:t>
      </w:r>
      <w:r>
        <w:rPr>
          <w:rFonts w:asciiTheme="minorEastAsia" w:hAnsiTheme="minorEastAsia" w:eastAsiaTheme="minorEastAsia" w:cstheme="minorEastAsia"/>
          <w:sz w:val="24"/>
          <w:highlight w:val="none"/>
        </w:rPr>
        <w:t>书提出的是最低限度的技术要求，并未对一切技术要求作出详细规定，也未充分引述有关标准和规范的条文，</w:t>
      </w:r>
      <w:r>
        <w:rPr>
          <w:rFonts w:hint="eastAsia" w:asciiTheme="minorEastAsia" w:hAnsiTheme="minorEastAsia" w:eastAsiaTheme="minorEastAsia" w:cstheme="minorEastAsia"/>
          <w:sz w:val="24"/>
          <w:highlight w:val="none"/>
        </w:rPr>
        <w:t>投标方应保证提供符合本技术规范和相关的国际、国内工业标准的高质量产品及其相应服务</w:t>
      </w:r>
      <w:r>
        <w:rPr>
          <w:rFonts w:asciiTheme="minorEastAsia" w:hAnsiTheme="minorEastAsia" w:eastAsiaTheme="minorEastAsia" w:cstheme="minorEastAsia"/>
          <w:sz w:val="24"/>
          <w:highlight w:val="none"/>
        </w:rPr>
        <w:t>。</w:t>
      </w:r>
    </w:p>
    <w:p>
      <w:pPr>
        <w:widowControl/>
        <w:spacing w:line="360" w:lineRule="auto"/>
        <w:rPr>
          <w:rFonts w:ascii="Book Antiqua" w:hAnsi="Book Antiqua"/>
          <w:sz w:val="24"/>
          <w:highlight w:val="none"/>
        </w:rPr>
      </w:pPr>
      <w:r>
        <w:rPr>
          <w:rFonts w:asciiTheme="minorEastAsia" w:hAnsiTheme="minorEastAsia" w:eastAsiaTheme="minorEastAsia" w:cstheme="minorEastAsia"/>
          <w:sz w:val="24"/>
          <w:highlight w:val="none"/>
        </w:rPr>
        <w:t>1.3 如</w:t>
      </w:r>
      <w:r>
        <w:rPr>
          <w:rFonts w:hint="eastAsia" w:asciiTheme="minorEastAsia" w:hAnsiTheme="minorEastAsia" w:eastAsiaTheme="minorEastAsia" w:cstheme="minorEastAsia"/>
          <w:sz w:val="24"/>
          <w:highlight w:val="none"/>
        </w:rPr>
        <w:t>招标方</w:t>
      </w:r>
      <w:r>
        <w:rPr>
          <w:rFonts w:asciiTheme="minorEastAsia" w:hAnsiTheme="minorEastAsia" w:eastAsiaTheme="minorEastAsia" w:cstheme="minorEastAsia"/>
          <w:sz w:val="24"/>
          <w:highlight w:val="none"/>
        </w:rPr>
        <w:t>有除本</w:t>
      </w:r>
      <w:r>
        <w:rPr>
          <w:rFonts w:hint="eastAsia" w:asciiTheme="minorEastAsia" w:hAnsiTheme="minorEastAsia" w:eastAsiaTheme="minorEastAsia" w:cstheme="minorEastAsia"/>
          <w:sz w:val="24"/>
          <w:highlight w:val="none"/>
        </w:rPr>
        <w:t>技术规范</w:t>
      </w:r>
      <w:r>
        <w:rPr>
          <w:rFonts w:asciiTheme="minorEastAsia" w:hAnsiTheme="minorEastAsia" w:eastAsiaTheme="minorEastAsia" w:cstheme="minorEastAsia"/>
          <w:sz w:val="24"/>
          <w:highlight w:val="none"/>
        </w:rPr>
        <w:t>书以外的其他要求，应以书面形式提出，经双方讨论后载于本</w:t>
      </w:r>
      <w:r>
        <w:rPr>
          <w:rFonts w:hint="eastAsia" w:asciiTheme="minorEastAsia" w:hAnsiTheme="minorEastAsia" w:eastAsiaTheme="minorEastAsia" w:cstheme="minorEastAsia"/>
          <w:sz w:val="24"/>
          <w:highlight w:val="none"/>
        </w:rPr>
        <w:t>技术规范</w:t>
      </w:r>
      <w:r>
        <w:rPr>
          <w:rFonts w:asciiTheme="minorEastAsia" w:hAnsiTheme="minorEastAsia" w:eastAsiaTheme="minorEastAsia" w:cstheme="minorEastAsia"/>
          <w:sz w:val="24"/>
          <w:highlight w:val="none"/>
        </w:rPr>
        <w:t>书。</w:t>
      </w:r>
    </w:p>
    <w:p>
      <w:pPr>
        <w:pStyle w:val="408"/>
        <w:tabs>
          <w:tab w:val="left" w:pos="0"/>
        </w:tabs>
        <w:spacing w:line="360" w:lineRule="auto"/>
        <w:ind w:firstLine="0"/>
        <w:rPr>
          <w:rFonts w:ascii="Book Antiqua" w:hAnsi="Book Antiqua"/>
          <w:sz w:val="24"/>
          <w:highlight w:val="none"/>
        </w:rPr>
      </w:pPr>
      <w:r>
        <w:rPr>
          <w:rFonts w:asciiTheme="minorEastAsia" w:hAnsiTheme="minorEastAsia" w:eastAsiaTheme="minorEastAsia" w:cstheme="minorEastAsia"/>
          <w:sz w:val="24"/>
          <w:highlight w:val="none"/>
        </w:rPr>
        <w:t>1.</w:t>
      </w:r>
      <w:r>
        <w:rPr>
          <w:rFonts w:hint="eastAsia" w:asciiTheme="minorEastAsia" w:hAnsiTheme="minorEastAsia" w:eastAsiaTheme="minorEastAsia" w:cstheme="minorEastAsia"/>
          <w:sz w:val="24"/>
          <w:highlight w:val="none"/>
        </w:rPr>
        <w:t>4投标方应根据招标方提供的要求完成2026年#3机A修J2标段项目，本项目涉及所需的非装置性材料由投标方负责提供。</w:t>
      </w:r>
    </w:p>
    <w:p>
      <w:pPr>
        <w:pStyle w:val="408"/>
        <w:tabs>
          <w:tab w:val="left" w:pos="0"/>
        </w:tabs>
        <w:spacing w:line="360" w:lineRule="auto"/>
        <w:ind w:firstLine="0"/>
        <w:rPr>
          <w:rFonts w:hint="eastAsia" w:asciiTheme="minorEastAsia" w:hAnsiTheme="minorEastAsia" w:eastAsiaTheme="minorEastAsia" w:cstheme="minorEastAsia"/>
          <w:sz w:val="24"/>
          <w:highlight w:val="none"/>
        </w:rPr>
      </w:pPr>
      <w:r>
        <w:rPr>
          <w:rFonts w:hint="eastAsia" w:asciiTheme="minorEastAsia" w:hAnsiTheme="minorEastAsia" w:eastAsiaTheme="minorEastAsia" w:cstheme="minorEastAsia"/>
          <w:sz w:val="24"/>
          <w:highlight w:val="none"/>
        </w:rPr>
        <w:t>1.5在工程施工过程中因投标方人为原因造成招标方设备的损坏，投标方承诺照价赔偿。</w:t>
      </w:r>
    </w:p>
    <w:p>
      <w:pPr>
        <w:pStyle w:val="408"/>
        <w:tabs>
          <w:tab w:val="left" w:pos="0"/>
        </w:tabs>
        <w:spacing w:line="360" w:lineRule="auto"/>
        <w:ind w:firstLine="0"/>
        <w:rPr>
          <w:rFonts w:hint="eastAsia" w:asciiTheme="minorEastAsia" w:hAnsiTheme="minorEastAsia" w:eastAsiaTheme="minorEastAsia" w:cstheme="minorEastAsia"/>
          <w:sz w:val="24"/>
          <w:highlight w:val="none"/>
        </w:rPr>
      </w:pPr>
      <w:r>
        <w:rPr>
          <w:rFonts w:hint="eastAsia" w:asciiTheme="minorEastAsia" w:hAnsiTheme="minorEastAsia" w:eastAsiaTheme="minorEastAsia" w:cstheme="minorEastAsia"/>
          <w:sz w:val="24"/>
          <w:highlight w:val="none"/>
        </w:rPr>
        <w:t>1.6投标方需编制完善的施工方案，在开工前交招标方进行审核，批准后方可进行施工。</w:t>
      </w:r>
    </w:p>
    <w:p>
      <w:pPr>
        <w:pStyle w:val="408"/>
        <w:tabs>
          <w:tab w:val="left" w:pos="0"/>
        </w:tabs>
        <w:spacing w:line="360" w:lineRule="auto"/>
        <w:ind w:firstLine="0"/>
        <w:rPr>
          <w:rFonts w:hint="eastAsia" w:asciiTheme="minorEastAsia" w:hAnsiTheme="minorEastAsia" w:eastAsiaTheme="minorEastAsia" w:cstheme="minorEastAsia"/>
          <w:sz w:val="24"/>
          <w:highlight w:val="none"/>
        </w:rPr>
      </w:pPr>
      <w:r>
        <w:rPr>
          <w:rFonts w:hint="eastAsia" w:asciiTheme="minorEastAsia" w:hAnsiTheme="minorEastAsia" w:eastAsiaTheme="minorEastAsia" w:cstheme="minorEastAsia"/>
          <w:sz w:val="24"/>
          <w:highlight w:val="none"/>
        </w:rPr>
        <w:t>1.7本技术规范书提供的工程量为预估工作量，具体实际工程量按照现场工作需要实施。</w:t>
      </w:r>
    </w:p>
    <w:p>
      <w:pPr>
        <w:spacing w:before="50" w:line="360" w:lineRule="auto"/>
        <w:rPr>
          <w:rFonts w:hint="eastAsia" w:ascii="宋体" w:hAnsi="宋体"/>
          <w:sz w:val="24"/>
          <w:highlight w:val="none"/>
        </w:rPr>
      </w:pPr>
      <w:r>
        <w:rPr>
          <w:rFonts w:hint="eastAsia" w:asciiTheme="minorEastAsia" w:hAnsiTheme="minorEastAsia" w:eastAsiaTheme="minorEastAsia" w:cstheme="minorEastAsia"/>
          <w:sz w:val="24"/>
          <w:highlight w:val="none"/>
        </w:rPr>
        <w:t>1.8本技术规范所使用的标准若与投标方所执行的标准发生矛盾时，应按较严格的标准执行。本技术规范书作为招标文件的附件，与招标文件正文具有同等的法律效力。</w:t>
      </w:r>
    </w:p>
    <w:p>
      <w:pPr>
        <w:numPr>
          <w:ilvl w:val="0"/>
          <w:numId w:val="0"/>
        </w:numPr>
        <w:tabs>
          <w:tab w:val="left" w:pos="3405"/>
        </w:tabs>
        <w:spacing w:before="50" w:line="360" w:lineRule="auto"/>
        <w:outlineLvl w:val="0"/>
        <w:rPr>
          <w:rFonts w:hint="eastAsia" w:ascii="宋体" w:hAnsi="宋体"/>
          <w:b/>
          <w:sz w:val="24"/>
          <w:highlight w:val="none"/>
        </w:rPr>
      </w:pPr>
      <w:bookmarkStart w:id="2" w:name="_Toc4266"/>
      <w:bookmarkStart w:id="3" w:name="_Toc3612"/>
      <w:r>
        <w:rPr>
          <w:rFonts w:hint="eastAsia" w:asciiTheme="minorEastAsia" w:hAnsiTheme="minorEastAsia" w:eastAsiaTheme="minorEastAsia" w:cstheme="minorEastAsia"/>
          <w:b/>
          <w:sz w:val="24"/>
          <w:highlight w:val="none"/>
          <w:lang w:val="en-US" w:eastAsia="zh-CN"/>
        </w:rPr>
        <w:t xml:space="preserve">2. </w:t>
      </w:r>
      <w:r>
        <w:rPr>
          <w:rFonts w:hint="eastAsia" w:asciiTheme="minorEastAsia" w:hAnsiTheme="minorEastAsia" w:eastAsiaTheme="minorEastAsia" w:cstheme="minorEastAsia"/>
          <w:b/>
          <w:sz w:val="24"/>
          <w:highlight w:val="none"/>
        </w:rPr>
        <w:t>工程</w:t>
      </w:r>
      <w:bookmarkEnd w:id="2"/>
      <w:r>
        <w:rPr>
          <w:rFonts w:hint="eastAsia" w:asciiTheme="minorEastAsia" w:hAnsiTheme="minorEastAsia" w:eastAsiaTheme="minorEastAsia" w:cstheme="minorEastAsia"/>
          <w:b/>
          <w:sz w:val="24"/>
          <w:highlight w:val="none"/>
        </w:rPr>
        <w:t>条件</w:t>
      </w:r>
      <w:bookmarkEnd w:id="3"/>
      <w:r>
        <w:rPr>
          <w:rFonts w:asciiTheme="minorEastAsia" w:hAnsiTheme="minorEastAsia" w:eastAsiaTheme="minorEastAsia" w:cstheme="minorEastAsia"/>
          <w:b/>
          <w:sz w:val="24"/>
          <w:highlight w:val="none"/>
        </w:rPr>
        <w:tab/>
      </w:r>
    </w:p>
    <w:p>
      <w:pPr>
        <w:tabs>
          <w:tab w:val="left" w:pos="1140"/>
        </w:tabs>
        <w:spacing w:line="360" w:lineRule="auto"/>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2.1气象资料</w:t>
      </w:r>
    </w:p>
    <w:p>
      <w:pPr>
        <w:spacing w:line="360" w:lineRule="auto"/>
        <w:ind w:firstLine="520"/>
        <w:rPr>
          <w:rFonts w:hint="eastAsia" w:ascii="宋体" w:hAnsi="宋体"/>
          <w:spacing w:val="10"/>
          <w:sz w:val="24"/>
          <w:highlight w:val="none"/>
        </w:rPr>
      </w:pPr>
      <w:r>
        <w:rPr>
          <w:rFonts w:asciiTheme="minorEastAsia" w:hAnsiTheme="minorEastAsia" w:eastAsiaTheme="minorEastAsia" w:cstheme="minorEastAsia"/>
          <w:spacing w:val="10"/>
          <w:sz w:val="24"/>
          <w:highlight w:val="none"/>
        </w:rPr>
        <w:t>厂址气象要素特征值参考</w:t>
      </w:r>
      <w:r>
        <w:rPr>
          <w:rFonts w:hint="eastAsia" w:asciiTheme="minorEastAsia" w:hAnsiTheme="minorEastAsia" w:eastAsiaTheme="minorEastAsia" w:cstheme="minorEastAsia"/>
          <w:spacing w:val="10"/>
          <w:sz w:val="24"/>
          <w:highlight w:val="none"/>
        </w:rPr>
        <w:t>当地</w:t>
      </w:r>
      <w:r>
        <w:rPr>
          <w:rFonts w:asciiTheme="minorEastAsia" w:hAnsiTheme="minorEastAsia" w:eastAsiaTheme="minorEastAsia" w:cstheme="minorEastAsia"/>
          <w:spacing w:val="10"/>
          <w:sz w:val="24"/>
          <w:highlight w:val="none"/>
        </w:rPr>
        <w:t>气象站资料，各气象要素累年特征值如下：</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累年平均气压</w:t>
      </w:r>
      <w:r>
        <w:rPr>
          <w:rFonts w:asciiTheme="minorEastAsia" w:hAnsiTheme="minorEastAsia" w:eastAsiaTheme="minorEastAsia" w:cstheme="minorEastAsia"/>
          <w:spacing w:val="10"/>
          <w:sz w:val="24"/>
          <w:highlight w:val="none"/>
        </w:rPr>
        <w:t>(hPa)</w:t>
      </w:r>
      <w:r>
        <w:rPr>
          <w:rFonts w:hint="eastAsia" w:asciiTheme="minorEastAsia" w:hAnsiTheme="minorEastAsia" w:eastAsiaTheme="minorEastAsia" w:cstheme="minorEastAsia"/>
          <w:spacing w:val="10"/>
          <w:sz w:val="24"/>
          <w:highlight w:val="none"/>
        </w:rPr>
        <w:t>:</w:t>
      </w:r>
      <w:r>
        <w:rPr>
          <w:rFonts w:asciiTheme="minorEastAsia" w:hAnsiTheme="minorEastAsia" w:eastAsiaTheme="minorEastAsia" w:cstheme="minorEastAsia"/>
          <w:spacing w:val="10"/>
          <w:sz w:val="24"/>
          <w:highlight w:val="none"/>
        </w:rPr>
        <w:t>101</w:t>
      </w:r>
      <w:r>
        <w:rPr>
          <w:rFonts w:hint="eastAsia" w:asciiTheme="minorEastAsia" w:hAnsiTheme="minorEastAsia" w:eastAsiaTheme="minorEastAsia" w:cstheme="minorEastAsia"/>
          <w:spacing w:val="10"/>
          <w:sz w:val="24"/>
          <w:highlight w:val="none"/>
        </w:rPr>
        <w:t>5</w:t>
      </w:r>
      <w:r>
        <w:rPr>
          <w:rFonts w:asciiTheme="minorEastAsia" w:hAnsiTheme="minorEastAsia" w:eastAsiaTheme="minorEastAsia" w:cstheme="minorEastAsia"/>
          <w:spacing w:val="10"/>
          <w:sz w:val="24"/>
          <w:highlight w:val="none"/>
        </w:rPr>
        <w:t>.</w:t>
      </w:r>
      <w:r>
        <w:rPr>
          <w:rFonts w:hint="eastAsia" w:asciiTheme="minorEastAsia" w:hAnsiTheme="minorEastAsia" w:eastAsiaTheme="minorEastAsia" w:cstheme="minorEastAsia"/>
          <w:spacing w:val="10"/>
          <w:sz w:val="24"/>
          <w:highlight w:val="none"/>
        </w:rPr>
        <w:t>6</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累年平均气温</w:t>
      </w:r>
      <w:r>
        <w:rPr>
          <w:rFonts w:asciiTheme="minorEastAsia" w:hAnsiTheme="minorEastAsia" w:eastAsiaTheme="minorEastAsia" w:cstheme="minorEastAsia"/>
          <w:spacing w:val="10"/>
          <w:sz w:val="24"/>
          <w:highlight w:val="none"/>
        </w:rPr>
        <w:t>(</w:t>
      </w:r>
      <w:r>
        <w:rPr>
          <w:rFonts w:hint="eastAsia" w:asciiTheme="minorEastAsia" w:hAnsiTheme="minorEastAsia" w:eastAsiaTheme="minorEastAsia" w:cstheme="minorEastAsia"/>
          <w:spacing w:val="10"/>
          <w:sz w:val="24"/>
          <w:highlight w:val="none"/>
        </w:rPr>
        <w:t>℃</w:t>
      </w:r>
      <w:r>
        <w:rPr>
          <w:rFonts w:asciiTheme="minorEastAsia" w:hAnsiTheme="minorEastAsia" w:eastAsiaTheme="minorEastAsia" w:cstheme="minorEastAsia"/>
          <w:spacing w:val="10"/>
          <w:sz w:val="24"/>
          <w:highlight w:val="none"/>
        </w:rPr>
        <w:t>)</w:t>
      </w:r>
      <w:r>
        <w:rPr>
          <w:rFonts w:hint="eastAsia" w:asciiTheme="minorEastAsia" w:hAnsiTheme="minorEastAsia" w:eastAsiaTheme="minorEastAsia" w:cstheme="minorEastAsia"/>
          <w:spacing w:val="10"/>
          <w:sz w:val="24"/>
          <w:highlight w:val="none"/>
        </w:rPr>
        <w:tab/>
      </w:r>
      <w:r>
        <w:rPr>
          <w:rFonts w:hint="eastAsia" w:asciiTheme="minorEastAsia" w:hAnsiTheme="minorEastAsia" w:eastAsiaTheme="minorEastAsia" w:cstheme="minorEastAsia"/>
          <w:spacing w:val="10"/>
          <w:sz w:val="24"/>
          <w:highlight w:val="none"/>
        </w:rPr>
        <w:t>:</w:t>
      </w:r>
      <w:r>
        <w:rPr>
          <w:rFonts w:asciiTheme="minorEastAsia" w:hAnsiTheme="minorEastAsia" w:eastAsiaTheme="minorEastAsia" w:cstheme="minorEastAsia"/>
          <w:spacing w:val="10"/>
          <w:sz w:val="24"/>
          <w:highlight w:val="none"/>
        </w:rPr>
        <w:t>17.</w:t>
      </w:r>
      <w:r>
        <w:rPr>
          <w:rFonts w:hint="eastAsia" w:asciiTheme="minorEastAsia" w:hAnsiTheme="minorEastAsia" w:eastAsiaTheme="minorEastAsia" w:cstheme="minorEastAsia"/>
          <w:spacing w:val="10"/>
          <w:sz w:val="24"/>
          <w:highlight w:val="none"/>
        </w:rPr>
        <w:t>9</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累年最热月平均气温</w:t>
      </w:r>
      <w:r>
        <w:rPr>
          <w:rFonts w:asciiTheme="minorEastAsia" w:hAnsiTheme="minorEastAsia" w:eastAsiaTheme="minorEastAsia" w:cstheme="minorEastAsia"/>
          <w:spacing w:val="10"/>
          <w:sz w:val="24"/>
          <w:highlight w:val="none"/>
        </w:rPr>
        <w:t>(</w:t>
      </w:r>
      <w:r>
        <w:rPr>
          <w:rFonts w:hint="eastAsia" w:asciiTheme="minorEastAsia" w:hAnsiTheme="minorEastAsia" w:eastAsiaTheme="minorEastAsia" w:cstheme="minorEastAsia"/>
          <w:spacing w:val="10"/>
          <w:sz w:val="24"/>
          <w:highlight w:val="none"/>
        </w:rPr>
        <w:t>℃</w:t>
      </w:r>
      <w:r>
        <w:rPr>
          <w:rFonts w:asciiTheme="minorEastAsia" w:hAnsiTheme="minorEastAsia" w:eastAsiaTheme="minorEastAsia" w:cstheme="minorEastAsia"/>
          <w:spacing w:val="10"/>
          <w:sz w:val="24"/>
          <w:highlight w:val="none"/>
        </w:rPr>
        <w:t>)</w:t>
      </w:r>
      <w:r>
        <w:rPr>
          <w:rFonts w:hint="eastAsia" w:asciiTheme="minorEastAsia" w:hAnsiTheme="minorEastAsia" w:eastAsiaTheme="minorEastAsia" w:cstheme="minorEastAsia"/>
          <w:spacing w:val="10"/>
          <w:sz w:val="24"/>
          <w:highlight w:val="none"/>
        </w:rPr>
        <w:t>:</w:t>
      </w:r>
      <w:r>
        <w:rPr>
          <w:rFonts w:asciiTheme="minorEastAsia" w:hAnsiTheme="minorEastAsia" w:eastAsiaTheme="minorEastAsia" w:cstheme="minorEastAsia"/>
          <w:spacing w:val="10"/>
          <w:sz w:val="24"/>
          <w:highlight w:val="none"/>
        </w:rPr>
        <w:t>29.</w:t>
      </w:r>
      <w:r>
        <w:rPr>
          <w:rFonts w:hint="eastAsia" w:asciiTheme="minorEastAsia" w:hAnsiTheme="minorEastAsia" w:eastAsiaTheme="minorEastAsia" w:cstheme="minorEastAsia"/>
          <w:spacing w:val="10"/>
          <w:sz w:val="24"/>
          <w:highlight w:val="none"/>
        </w:rPr>
        <w:t>1</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累年最冷月平均气温</w:t>
      </w:r>
      <w:r>
        <w:rPr>
          <w:rFonts w:asciiTheme="minorEastAsia" w:hAnsiTheme="minorEastAsia" w:eastAsiaTheme="minorEastAsia" w:cstheme="minorEastAsia"/>
          <w:spacing w:val="10"/>
          <w:sz w:val="24"/>
          <w:highlight w:val="none"/>
        </w:rPr>
        <w:t>(</w:t>
      </w:r>
      <w:r>
        <w:rPr>
          <w:rFonts w:hint="eastAsia" w:asciiTheme="minorEastAsia" w:hAnsiTheme="minorEastAsia" w:eastAsiaTheme="minorEastAsia" w:cstheme="minorEastAsia"/>
          <w:spacing w:val="10"/>
          <w:sz w:val="24"/>
          <w:highlight w:val="none"/>
        </w:rPr>
        <w:t>℃</w:t>
      </w:r>
      <w:r>
        <w:rPr>
          <w:rFonts w:asciiTheme="minorEastAsia" w:hAnsiTheme="minorEastAsia" w:eastAsiaTheme="minorEastAsia" w:cstheme="minorEastAsia"/>
          <w:spacing w:val="10"/>
          <w:sz w:val="24"/>
          <w:highlight w:val="none"/>
        </w:rPr>
        <w:t>)</w:t>
      </w:r>
      <w:r>
        <w:rPr>
          <w:rFonts w:hint="eastAsia" w:asciiTheme="minorEastAsia" w:hAnsiTheme="minorEastAsia" w:eastAsiaTheme="minorEastAsia" w:cstheme="minorEastAsia"/>
          <w:spacing w:val="10"/>
          <w:sz w:val="24"/>
          <w:highlight w:val="none"/>
        </w:rPr>
        <w:t>:4</w:t>
      </w:r>
      <w:r>
        <w:rPr>
          <w:rFonts w:asciiTheme="minorEastAsia" w:hAnsiTheme="minorEastAsia" w:eastAsiaTheme="minorEastAsia" w:cstheme="minorEastAsia"/>
          <w:spacing w:val="10"/>
          <w:sz w:val="24"/>
          <w:highlight w:val="none"/>
        </w:rPr>
        <w:t>.</w:t>
      </w:r>
      <w:r>
        <w:rPr>
          <w:rFonts w:hint="eastAsia" w:asciiTheme="minorEastAsia" w:hAnsiTheme="minorEastAsia" w:eastAsiaTheme="minorEastAsia" w:cstheme="minorEastAsia"/>
          <w:spacing w:val="10"/>
          <w:sz w:val="24"/>
          <w:highlight w:val="none"/>
        </w:rPr>
        <w:t>0</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极端最高气温</w:t>
      </w:r>
      <w:r>
        <w:rPr>
          <w:rFonts w:asciiTheme="minorEastAsia" w:hAnsiTheme="minorEastAsia" w:eastAsiaTheme="minorEastAsia" w:cstheme="minorEastAsia"/>
          <w:spacing w:val="10"/>
          <w:sz w:val="24"/>
          <w:highlight w:val="none"/>
        </w:rPr>
        <w:t>(</w:t>
      </w:r>
      <w:r>
        <w:rPr>
          <w:rFonts w:hint="eastAsia" w:asciiTheme="minorEastAsia" w:hAnsiTheme="minorEastAsia" w:eastAsiaTheme="minorEastAsia" w:cstheme="minorEastAsia"/>
          <w:spacing w:val="10"/>
          <w:sz w:val="24"/>
          <w:highlight w:val="none"/>
        </w:rPr>
        <w:t>℃</w:t>
      </w:r>
      <w:r>
        <w:rPr>
          <w:rFonts w:asciiTheme="minorEastAsia" w:hAnsiTheme="minorEastAsia" w:eastAsiaTheme="minorEastAsia" w:cstheme="minorEastAsia"/>
          <w:spacing w:val="10"/>
          <w:sz w:val="24"/>
          <w:highlight w:val="none"/>
        </w:rPr>
        <w:t>)</w:t>
      </w:r>
      <w:r>
        <w:rPr>
          <w:rFonts w:hint="eastAsia" w:asciiTheme="minorEastAsia" w:hAnsiTheme="minorEastAsia" w:eastAsiaTheme="minorEastAsia" w:cstheme="minorEastAsia"/>
          <w:spacing w:val="10"/>
          <w:sz w:val="24"/>
          <w:highlight w:val="none"/>
        </w:rPr>
        <w:tab/>
      </w:r>
      <w:r>
        <w:rPr>
          <w:rFonts w:hint="eastAsia" w:asciiTheme="minorEastAsia" w:hAnsiTheme="minorEastAsia" w:eastAsiaTheme="minorEastAsia" w:cstheme="minorEastAsia"/>
          <w:spacing w:val="10"/>
          <w:sz w:val="24"/>
          <w:highlight w:val="none"/>
        </w:rPr>
        <w:t>:36.6</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极端最低气温</w:t>
      </w:r>
      <w:r>
        <w:rPr>
          <w:rFonts w:asciiTheme="minorEastAsia" w:hAnsiTheme="minorEastAsia" w:eastAsiaTheme="minorEastAsia" w:cstheme="minorEastAsia"/>
          <w:spacing w:val="10"/>
          <w:sz w:val="24"/>
          <w:highlight w:val="none"/>
        </w:rPr>
        <w:t>(</w:t>
      </w:r>
      <w:r>
        <w:rPr>
          <w:rFonts w:hint="eastAsia" w:asciiTheme="minorEastAsia" w:hAnsiTheme="minorEastAsia" w:eastAsiaTheme="minorEastAsia" w:cstheme="minorEastAsia"/>
          <w:spacing w:val="10"/>
          <w:sz w:val="24"/>
          <w:highlight w:val="none"/>
        </w:rPr>
        <w:t>℃</w:t>
      </w:r>
      <w:r>
        <w:rPr>
          <w:rFonts w:asciiTheme="minorEastAsia" w:hAnsiTheme="minorEastAsia" w:eastAsiaTheme="minorEastAsia" w:cstheme="minorEastAsia"/>
          <w:spacing w:val="10"/>
          <w:sz w:val="24"/>
          <w:highlight w:val="none"/>
        </w:rPr>
        <w:t>)</w:t>
      </w:r>
      <w:r>
        <w:rPr>
          <w:rFonts w:hint="eastAsia" w:asciiTheme="minorEastAsia" w:hAnsiTheme="minorEastAsia" w:eastAsiaTheme="minorEastAsia" w:cstheme="minorEastAsia"/>
          <w:spacing w:val="10"/>
          <w:sz w:val="24"/>
          <w:highlight w:val="none"/>
        </w:rPr>
        <w:tab/>
      </w:r>
      <w:r>
        <w:rPr>
          <w:rFonts w:hint="eastAsia" w:asciiTheme="minorEastAsia" w:hAnsiTheme="minorEastAsia" w:eastAsiaTheme="minorEastAsia" w:cstheme="minorEastAsia"/>
          <w:spacing w:val="10"/>
          <w:sz w:val="24"/>
          <w:highlight w:val="none"/>
        </w:rPr>
        <w:t>:</w:t>
      </w:r>
      <w:r>
        <w:rPr>
          <w:rFonts w:asciiTheme="minorEastAsia" w:hAnsiTheme="minorEastAsia" w:eastAsiaTheme="minorEastAsia" w:cstheme="minorEastAsia"/>
          <w:spacing w:val="10"/>
          <w:sz w:val="24"/>
          <w:highlight w:val="none"/>
        </w:rPr>
        <w:t>-5.8</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累年平均相对湿度</w:t>
      </w:r>
      <w:r>
        <w:rPr>
          <w:rFonts w:asciiTheme="minorEastAsia" w:hAnsiTheme="minorEastAsia" w:eastAsiaTheme="minorEastAsia" w:cstheme="minorEastAsia"/>
          <w:spacing w:val="10"/>
          <w:sz w:val="24"/>
          <w:highlight w:val="none"/>
        </w:rPr>
        <w:t>(%)</w:t>
      </w:r>
      <w:r>
        <w:rPr>
          <w:rFonts w:hint="eastAsia" w:asciiTheme="minorEastAsia" w:hAnsiTheme="minorEastAsia" w:eastAsiaTheme="minorEastAsia" w:cstheme="minorEastAsia"/>
          <w:spacing w:val="10"/>
          <w:sz w:val="24"/>
          <w:highlight w:val="none"/>
        </w:rPr>
        <w:t>:</w:t>
      </w:r>
      <w:r>
        <w:rPr>
          <w:rFonts w:asciiTheme="minorEastAsia" w:hAnsiTheme="minorEastAsia" w:eastAsiaTheme="minorEastAsia" w:cstheme="minorEastAsia"/>
          <w:spacing w:val="10"/>
          <w:sz w:val="24"/>
          <w:highlight w:val="none"/>
        </w:rPr>
        <w:t>81</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累年最小相对湿度</w:t>
      </w:r>
      <w:r>
        <w:rPr>
          <w:rFonts w:asciiTheme="minorEastAsia" w:hAnsiTheme="minorEastAsia" w:eastAsiaTheme="minorEastAsia" w:cstheme="minorEastAsia"/>
          <w:spacing w:val="10"/>
          <w:sz w:val="24"/>
          <w:highlight w:val="none"/>
        </w:rPr>
        <w:t>(%)</w:t>
      </w:r>
      <w:r>
        <w:rPr>
          <w:rFonts w:hint="eastAsia" w:asciiTheme="minorEastAsia" w:hAnsiTheme="minorEastAsia" w:eastAsiaTheme="minorEastAsia" w:cstheme="minorEastAsia"/>
          <w:spacing w:val="10"/>
          <w:sz w:val="24"/>
          <w:highlight w:val="none"/>
        </w:rPr>
        <w:t xml:space="preserve">:8 </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累年平均水汽压</w:t>
      </w:r>
      <w:r>
        <w:rPr>
          <w:rFonts w:asciiTheme="minorEastAsia" w:hAnsiTheme="minorEastAsia" w:eastAsiaTheme="minorEastAsia" w:cstheme="minorEastAsia"/>
          <w:spacing w:val="10"/>
          <w:sz w:val="24"/>
          <w:highlight w:val="none"/>
        </w:rPr>
        <w:t>(hPa)</w:t>
      </w:r>
      <w:r>
        <w:rPr>
          <w:rFonts w:hint="eastAsia" w:asciiTheme="minorEastAsia" w:hAnsiTheme="minorEastAsia" w:eastAsiaTheme="minorEastAsia" w:cstheme="minorEastAsia"/>
          <w:spacing w:val="10"/>
          <w:sz w:val="24"/>
          <w:highlight w:val="none"/>
        </w:rPr>
        <w:t>:</w:t>
      </w:r>
      <w:r>
        <w:rPr>
          <w:rFonts w:asciiTheme="minorEastAsia" w:hAnsiTheme="minorEastAsia" w:eastAsiaTheme="minorEastAsia" w:cstheme="minorEastAsia"/>
          <w:spacing w:val="10"/>
          <w:sz w:val="24"/>
          <w:highlight w:val="none"/>
        </w:rPr>
        <w:t>18.</w:t>
      </w:r>
      <w:r>
        <w:rPr>
          <w:rFonts w:hint="eastAsia" w:asciiTheme="minorEastAsia" w:hAnsiTheme="minorEastAsia" w:eastAsiaTheme="minorEastAsia" w:cstheme="minorEastAsia"/>
          <w:spacing w:val="10"/>
          <w:sz w:val="24"/>
          <w:highlight w:val="none"/>
        </w:rPr>
        <w:t>4</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累年平均降水量</w:t>
      </w:r>
      <w:r>
        <w:rPr>
          <w:rFonts w:asciiTheme="minorEastAsia" w:hAnsiTheme="minorEastAsia" w:eastAsiaTheme="minorEastAsia" w:cstheme="minorEastAsia"/>
          <w:spacing w:val="10"/>
          <w:sz w:val="24"/>
          <w:highlight w:val="none"/>
        </w:rPr>
        <w:t>(mm)</w:t>
      </w:r>
      <w:r>
        <w:rPr>
          <w:rFonts w:hint="eastAsia" w:asciiTheme="minorEastAsia" w:hAnsiTheme="minorEastAsia" w:eastAsiaTheme="minorEastAsia" w:cstheme="minorEastAsia"/>
          <w:spacing w:val="10"/>
          <w:sz w:val="24"/>
          <w:highlight w:val="none"/>
        </w:rPr>
        <w:t>:1515.9</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累年最大年降水量</w:t>
      </w:r>
      <w:r>
        <w:rPr>
          <w:rFonts w:asciiTheme="minorEastAsia" w:hAnsiTheme="minorEastAsia" w:eastAsiaTheme="minorEastAsia" w:cstheme="minorEastAsia"/>
          <w:spacing w:val="10"/>
          <w:sz w:val="24"/>
          <w:highlight w:val="none"/>
        </w:rPr>
        <w:t>(mm)</w:t>
      </w:r>
      <w:r>
        <w:rPr>
          <w:rFonts w:hint="eastAsia" w:asciiTheme="minorEastAsia" w:hAnsiTheme="minorEastAsia" w:eastAsiaTheme="minorEastAsia" w:cstheme="minorEastAsia"/>
          <w:spacing w:val="10"/>
          <w:sz w:val="24"/>
          <w:highlight w:val="none"/>
        </w:rPr>
        <w:tab/>
      </w:r>
      <w:r>
        <w:rPr>
          <w:rFonts w:hint="eastAsia" w:asciiTheme="minorEastAsia" w:hAnsiTheme="minorEastAsia" w:eastAsiaTheme="minorEastAsia" w:cstheme="minorEastAsia"/>
          <w:spacing w:val="10"/>
          <w:sz w:val="24"/>
          <w:highlight w:val="none"/>
        </w:rPr>
        <w:t>:</w:t>
      </w:r>
      <w:r>
        <w:rPr>
          <w:rFonts w:asciiTheme="minorEastAsia" w:hAnsiTheme="minorEastAsia" w:eastAsiaTheme="minorEastAsia" w:cstheme="minorEastAsia"/>
          <w:spacing w:val="10"/>
          <w:sz w:val="24"/>
          <w:highlight w:val="none"/>
        </w:rPr>
        <w:t>2271.</w:t>
      </w:r>
      <w:r>
        <w:rPr>
          <w:rFonts w:hint="eastAsia" w:asciiTheme="minorEastAsia" w:hAnsiTheme="minorEastAsia" w:eastAsiaTheme="minorEastAsia" w:cstheme="minorEastAsia"/>
          <w:spacing w:val="10"/>
          <w:sz w:val="24"/>
          <w:highlight w:val="none"/>
        </w:rPr>
        <w:t xml:space="preserve">7 </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累年最小年降水量</w:t>
      </w:r>
      <w:r>
        <w:rPr>
          <w:rFonts w:asciiTheme="minorEastAsia" w:hAnsiTheme="minorEastAsia" w:eastAsiaTheme="minorEastAsia" w:cstheme="minorEastAsia"/>
          <w:spacing w:val="10"/>
          <w:sz w:val="24"/>
          <w:highlight w:val="none"/>
        </w:rPr>
        <w:t>(mm)</w:t>
      </w:r>
      <w:r>
        <w:rPr>
          <w:rFonts w:hint="eastAsia" w:asciiTheme="minorEastAsia" w:hAnsiTheme="minorEastAsia" w:eastAsiaTheme="minorEastAsia" w:cstheme="minorEastAsia"/>
          <w:spacing w:val="10"/>
          <w:sz w:val="24"/>
          <w:highlight w:val="none"/>
        </w:rPr>
        <w:tab/>
      </w:r>
      <w:r>
        <w:rPr>
          <w:rFonts w:hint="eastAsia" w:asciiTheme="minorEastAsia" w:hAnsiTheme="minorEastAsia" w:eastAsiaTheme="minorEastAsia" w:cstheme="minorEastAsia"/>
          <w:spacing w:val="10"/>
          <w:sz w:val="24"/>
          <w:highlight w:val="none"/>
        </w:rPr>
        <w:t>:914</w:t>
      </w:r>
      <w:r>
        <w:rPr>
          <w:rFonts w:asciiTheme="minorEastAsia" w:hAnsiTheme="minorEastAsia" w:eastAsiaTheme="minorEastAsia" w:cstheme="minorEastAsia"/>
          <w:spacing w:val="10"/>
          <w:sz w:val="24"/>
          <w:highlight w:val="none"/>
        </w:rPr>
        <w:t>.</w:t>
      </w:r>
      <w:r>
        <w:rPr>
          <w:rFonts w:hint="eastAsia" w:asciiTheme="minorEastAsia" w:hAnsiTheme="minorEastAsia" w:eastAsiaTheme="minorEastAsia" w:cstheme="minorEastAsia"/>
          <w:spacing w:val="10"/>
          <w:sz w:val="24"/>
          <w:highlight w:val="none"/>
        </w:rPr>
        <w:t>5</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累年最大24小时降水量</w:t>
      </w:r>
      <w:r>
        <w:rPr>
          <w:rFonts w:asciiTheme="minorEastAsia" w:hAnsiTheme="minorEastAsia" w:eastAsiaTheme="minorEastAsia" w:cstheme="minorEastAsia"/>
          <w:spacing w:val="10"/>
          <w:sz w:val="24"/>
          <w:highlight w:val="none"/>
        </w:rPr>
        <w:t>(mm)</w:t>
      </w:r>
      <w:r>
        <w:rPr>
          <w:rFonts w:hint="eastAsia" w:asciiTheme="minorEastAsia" w:hAnsiTheme="minorEastAsia" w:eastAsiaTheme="minorEastAsia" w:cstheme="minorEastAsia"/>
          <w:spacing w:val="10"/>
          <w:sz w:val="24"/>
          <w:highlight w:val="none"/>
        </w:rPr>
        <w:t>:446.7</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累年最长连续降水日数</w:t>
      </w:r>
      <w:r>
        <w:rPr>
          <w:rFonts w:asciiTheme="minorEastAsia" w:hAnsiTheme="minorEastAsia" w:eastAsiaTheme="minorEastAsia" w:cstheme="minorEastAsia"/>
          <w:spacing w:val="10"/>
          <w:sz w:val="24"/>
          <w:highlight w:val="none"/>
        </w:rPr>
        <w:t>(d)</w:t>
      </w:r>
      <w:r>
        <w:rPr>
          <w:rFonts w:hint="eastAsia" w:asciiTheme="minorEastAsia" w:hAnsiTheme="minorEastAsia" w:eastAsiaTheme="minorEastAsia" w:cstheme="minorEastAsia"/>
          <w:spacing w:val="10"/>
          <w:sz w:val="24"/>
          <w:highlight w:val="none"/>
        </w:rPr>
        <w:t>: 18</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过程降水量</w:t>
      </w:r>
      <w:r>
        <w:rPr>
          <w:rFonts w:asciiTheme="minorEastAsia" w:hAnsiTheme="minorEastAsia" w:eastAsiaTheme="minorEastAsia" w:cstheme="minorEastAsia"/>
          <w:spacing w:val="10"/>
          <w:sz w:val="24"/>
          <w:highlight w:val="none"/>
        </w:rPr>
        <w:t>(mm)</w:t>
      </w:r>
      <w:r>
        <w:rPr>
          <w:rFonts w:hint="eastAsia" w:asciiTheme="minorEastAsia" w:hAnsiTheme="minorEastAsia" w:eastAsiaTheme="minorEastAsia" w:cstheme="minorEastAsia"/>
          <w:spacing w:val="10"/>
          <w:sz w:val="24"/>
          <w:highlight w:val="none"/>
        </w:rPr>
        <w:t>:254.6</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累年平均蒸发量</w:t>
      </w:r>
      <w:r>
        <w:rPr>
          <w:rFonts w:asciiTheme="minorEastAsia" w:hAnsiTheme="minorEastAsia" w:eastAsiaTheme="minorEastAsia" w:cstheme="minorEastAsia"/>
          <w:spacing w:val="10"/>
          <w:sz w:val="24"/>
          <w:highlight w:val="none"/>
        </w:rPr>
        <w:t>(mm)</w:t>
      </w:r>
      <w:r>
        <w:rPr>
          <w:rFonts w:hint="eastAsia" w:asciiTheme="minorEastAsia" w:hAnsiTheme="minorEastAsia" w:eastAsiaTheme="minorEastAsia" w:cstheme="minorEastAsia"/>
          <w:spacing w:val="10"/>
          <w:sz w:val="24"/>
          <w:highlight w:val="none"/>
        </w:rPr>
        <w:t>:</w:t>
      </w:r>
      <w:r>
        <w:rPr>
          <w:rFonts w:asciiTheme="minorEastAsia" w:hAnsiTheme="minorEastAsia" w:eastAsiaTheme="minorEastAsia" w:cstheme="minorEastAsia"/>
          <w:spacing w:val="10"/>
          <w:sz w:val="24"/>
          <w:highlight w:val="none"/>
        </w:rPr>
        <w:t>1264.9</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累年平均雷暴日数</w:t>
      </w:r>
      <w:r>
        <w:rPr>
          <w:rFonts w:asciiTheme="minorEastAsia" w:hAnsiTheme="minorEastAsia" w:eastAsiaTheme="minorEastAsia" w:cstheme="minorEastAsia"/>
          <w:spacing w:val="10"/>
          <w:sz w:val="24"/>
          <w:highlight w:val="none"/>
        </w:rPr>
        <w:t>(d)</w:t>
      </w:r>
      <w:r>
        <w:rPr>
          <w:rFonts w:hint="eastAsia" w:asciiTheme="minorEastAsia" w:hAnsiTheme="minorEastAsia" w:eastAsiaTheme="minorEastAsia" w:cstheme="minorEastAsia"/>
          <w:spacing w:val="10"/>
          <w:sz w:val="24"/>
          <w:highlight w:val="none"/>
        </w:rPr>
        <w:t>:40</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累年最多雷暴日数</w:t>
      </w:r>
      <w:r>
        <w:rPr>
          <w:rFonts w:asciiTheme="minorEastAsia" w:hAnsiTheme="minorEastAsia" w:eastAsiaTheme="minorEastAsia" w:cstheme="minorEastAsia"/>
          <w:spacing w:val="10"/>
          <w:sz w:val="24"/>
          <w:highlight w:val="none"/>
        </w:rPr>
        <w:t>(d)</w:t>
      </w:r>
      <w:r>
        <w:rPr>
          <w:rFonts w:hint="eastAsia" w:asciiTheme="minorEastAsia" w:hAnsiTheme="minorEastAsia" w:eastAsiaTheme="minorEastAsia" w:cstheme="minorEastAsia"/>
          <w:spacing w:val="10"/>
          <w:sz w:val="24"/>
          <w:highlight w:val="none"/>
        </w:rPr>
        <w:t>:58</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累年最大积雪深度</w:t>
      </w:r>
      <w:r>
        <w:rPr>
          <w:rFonts w:asciiTheme="minorEastAsia" w:hAnsiTheme="minorEastAsia" w:eastAsiaTheme="minorEastAsia" w:cstheme="minorEastAsia"/>
          <w:spacing w:val="10"/>
          <w:sz w:val="24"/>
          <w:highlight w:val="none"/>
        </w:rPr>
        <w:t>(cm)</w:t>
      </w:r>
      <w:r>
        <w:rPr>
          <w:rFonts w:hint="eastAsia" w:asciiTheme="minorEastAsia" w:hAnsiTheme="minorEastAsia" w:eastAsiaTheme="minorEastAsia" w:cstheme="minorEastAsia"/>
          <w:spacing w:val="10"/>
          <w:sz w:val="24"/>
          <w:highlight w:val="none"/>
        </w:rPr>
        <w:tab/>
      </w:r>
      <w:r>
        <w:rPr>
          <w:rFonts w:hint="eastAsia" w:asciiTheme="minorEastAsia" w:hAnsiTheme="minorEastAsia" w:eastAsiaTheme="minorEastAsia" w:cstheme="minorEastAsia"/>
          <w:spacing w:val="10"/>
          <w:sz w:val="24"/>
          <w:highlight w:val="none"/>
        </w:rPr>
        <w:t>:</w:t>
      </w:r>
      <w:r>
        <w:rPr>
          <w:rFonts w:asciiTheme="minorEastAsia" w:hAnsiTheme="minorEastAsia" w:eastAsiaTheme="minorEastAsia" w:cstheme="minorEastAsia"/>
          <w:spacing w:val="10"/>
          <w:sz w:val="24"/>
          <w:highlight w:val="none"/>
        </w:rPr>
        <w:t>12</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累年平均风速</w:t>
      </w:r>
      <w:r>
        <w:rPr>
          <w:rFonts w:asciiTheme="minorEastAsia" w:hAnsiTheme="minorEastAsia" w:eastAsiaTheme="minorEastAsia" w:cstheme="minorEastAsia"/>
          <w:spacing w:val="10"/>
          <w:sz w:val="24"/>
          <w:highlight w:val="none"/>
        </w:rPr>
        <w:t>(m/s)</w:t>
      </w:r>
      <w:r>
        <w:rPr>
          <w:rFonts w:hint="eastAsia" w:asciiTheme="minorEastAsia" w:hAnsiTheme="minorEastAsia" w:eastAsiaTheme="minorEastAsia" w:cstheme="minorEastAsia"/>
          <w:spacing w:val="10"/>
          <w:sz w:val="24"/>
          <w:highlight w:val="none"/>
        </w:rPr>
        <w:t>:2.5</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累年最大风速</w:t>
      </w:r>
      <w:r>
        <w:rPr>
          <w:rFonts w:asciiTheme="minorEastAsia" w:hAnsiTheme="minorEastAsia" w:eastAsiaTheme="minorEastAsia" w:cstheme="minorEastAsia"/>
          <w:spacing w:val="10"/>
          <w:sz w:val="24"/>
          <w:highlight w:val="none"/>
        </w:rPr>
        <w:t>(m/s)</w:t>
      </w:r>
      <w:r>
        <w:rPr>
          <w:rFonts w:hint="eastAsia" w:asciiTheme="minorEastAsia" w:hAnsiTheme="minorEastAsia" w:eastAsiaTheme="minorEastAsia" w:cstheme="minorEastAsia"/>
          <w:spacing w:val="10"/>
          <w:sz w:val="24"/>
          <w:highlight w:val="none"/>
        </w:rPr>
        <w:t>:26</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累年瞬时最大风速</w:t>
      </w:r>
      <w:r>
        <w:rPr>
          <w:rFonts w:asciiTheme="minorEastAsia" w:hAnsiTheme="minorEastAsia" w:eastAsiaTheme="minorEastAsia" w:cstheme="minorEastAsia"/>
          <w:spacing w:val="10"/>
          <w:sz w:val="24"/>
          <w:highlight w:val="none"/>
        </w:rPr>
        <w:t>(m/s)</w:t>
      </w:r>
      <w:r>
        <w:rPr>
          <w:rFonts w:hint="eastAsia" w:asciiTheme="minorEastAsia" w:hAnsiTheme="minorEastAsia" w:eastAsiaTheme="minorEastAsia" w:cstheme="minorEastAsia"/>
          <w:spacing w:val="10"/>
          <w:sz w:val="24"/>
          <w:highlight w:val="none"/>
        </w:rPr>
        <w:t>:45</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全年主导风向:</w:t>
      </w:r>
      <w:r>
        <w:rPr>
          <w:rFonts w:asciiTheme="minorEastAsia" w:hAnsiTheme="minorEastAsia" w:eastAsiaTheme="minorEastAsia" w:cstheme="minorEastAsia"/>
          <w:spacing w:val="10"/>
          <w:sz w:val="24"/>
          <w:highlight w:val="none"/>
        </w:rPr>
        <w:t>NE</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五十年一遇基本风压值:0.8kN/m</w:t>
      </w:r>
      <w:r>
        <w:rPr>
          <w:rFonts w:hint="eastAsia" w:asciiTheme="minorEastAsia" w:hAnsiTheme="minorEastAsia" w:eastAsiaTheme="minorEastAsia" w:cstheme="minorEastAsia"/>
          <w:spacing w:val="11"/>
          <w:sz w:val="24"/>
          <w:highlight w:val="none"/>
          <w:vertAlign w:val="superscript"/>
        </w:rPr>
        <w:t>2</w:t>
      </w:r>
    </w:p>
    <w:p>
      <w:pPr>
        <w:tabs>
          <w:tab w:val="left" w:pos="1140"/>
        </w:tabs>
        <w:spacing w:line="360" w:lineRule="auto"/>
        <w:ind w:left="634"/>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雪压值:0.4kN/m</w:t>
      </w:r>
      <w:r>
        <w:rPr>
          <w:rFonts w:hint="eastAsia" w:asciiTheme="minorEastAsia" w:hAnsiTheme="minorEastAsia" w:eastAsiaTheme="minorEastAsia" w:cstheme="minorEastAsia"/>
          <w:spacing w:val="11"/>
          <w:sz w:val="24"/>
          <w:highlight w:val="none"/>
          <w:vertAlign w:val="superscript"/>
        </w:rPr>
        <w:t>2</w:t>
      </w:r>
    </w:p>
    <w:p>
      <w:pPr>
        <w:tabs>
          <w:tab w:val="left" w:pos="1140"/>
        </w:tabs>
        <w:spacing w:line="360" w:lineRule="auto"/>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2.2 地震烈度</w:t>
      </w:r>
    </w:p>
    <w:p>
      <w:pPr>
        <w:tabs>
          <w:tab w:val="left" w:pos="1140"/>
        </w:tabs>
        <w:spacing w:line="360" w:lineRule="auto"/>
        <w:ind w:firstLine="520"/>
        <w:rPr>
          <w:rFonts w:hint="eastAsia" w:ascii="宋体" w:hAnsi="宋体"/>
          <w:spacing w:val="10"/>
          <w:sz w:val="24"/>
          <w:highlight w:val="none"/>
        </w:rPr>
      </w:pPr>
      <w:r>
        <w:rPr>
          <w:rFonts w:hint="eastAsia" w:asciiTheme="minorEastAsia" w:hAnsiTheme="minorEastAsia" w:eastAsiaTheme="minorEastAsia" w:cstheme="minorEastAsia"/>
          <w:spacing w:val="10"/>
          <w:sz w:val="24"/>
          <w:highlight w:val="none"/>
        </w:rPr>
        <w:t>根据《中国地震动参数区划图》（GB18306-2001），厂址场地地震动峰值加速度为0.05g（g为重力加速度，下同）；根据《建筑抗震设计规范》（GB50011-2010）设计基本地震加速度为0.05g，相应的抗震设防烈度为6度。设计地震分组为第一组。</w:t>
      </w:r>
    </w:p>
    <w:p>
      <w:pPr>
        <w:spacing w:before="50" w:line="360" w:lineRule="auto"/>
        <w:rPr>
          <w:rFonts w:hint="eastAsia" w:ascii="宋体" w:hAnsi="宋体"/>
          <w:sz w:val="24"/>
          <w:highlight w:val="none"/>
        </w:rPr>
      </w:pPr>
      <w:r>
        <w:rPr>
          <w:rFonts w:hint="eastAsia" w:asciiTheme="minorEastAsia" w:hAnsiTheme="minorEastAsia" w:eastAsiaTheme="minorEastAsia" w:cstheme="minorEastAsia"/>
          <w:sz w:val="24"/>
          <w:highlight w:val="none"/>
        </w:rPr>
        <w:t>2.3 系统概况</w:t>
      </w:r>
    </w:p>
    <w:p>
      <w:pPr>
        <w:pStyle w:val="404"/>
        <w:tabs>
          <w:tab w:val="left" w:pos="420"/>
          <w:tab w:val="left" w:pos="525"/>
        </w:tabs>
        <w:spacing w:line="360" w:lineRule="auto"/>
        <w:ind w:firstLine="480"/>
        <w:rPr>
          <w:rFonts w:hint="eastAsia" w:ascii="宋体" w:hAnsi="宋体" w:eastAsia="宋体"/>
          <w:b w:val="0"/>
          <w:sz w:val="24"/>
          <w:szCs w:val="24"/>
          <w:highlight w:val="none"/>
        </w:rPr>
      </w:pPr>
      <w:r>
        <w:rPr>
          <w:rFonts w:hint="eastAsia" w:asciiTheme="minorEastAsia" w:hAnsiTheme="minorEastAsia" w:eastAsiaTheme="minorEastAsia" w:cstheme="minorEastAsia"/>
          <w:b w:val="0"/>
          <w:sz w:val="24"/>
          <w:szCs w:val="24"/>
          <w:highlight w:val="none"/>
        </w:rPr>
        <w:t>浙能乐清发电厂#3机组锅炉为上海锅炉厂生产的超超临界参数变压运行，螺旋管圈直流炉，单炉膛、一次中间再热、采用四角切圆燃烧方式、平衡通风、固态排渣、全钢悬吊结构Π型锅炉、露天布置燃煤锅炉。尾部烟道下方布置两台转子直径为φ</w:t>
      </w:r>
      <w:r>
        <w:rPr>
          <w:rFonts w:asciiTheme="minorEastAsia" w:hAnsiTheme="minorEastAsia" w:eastAsiaTheme="minorEastAsia" w:cstheme="minorEastAsia"/>
          <w:b w:val="0"/>
          <w:sz w:val="24"/>
          <w:szCs w:val="24"/>
          <w:highlight w:val="none"/>
        </w:rPr>
        <w:t>1</w:t>
      </w:r>
      <w:r>
        <w:rPr>
          <w:rFonts w:hint="eastAsia" w:asciiTheme="minorEastAsia" w:hAnsiTheme="minorEastAsia" w:eastAsiaTheme="minorEastAsia" w:cstheme="minorEastAsia"/>
          <w:b w:val="0"/>
          <w:sz w:val="24"/>
          <w:szCs w:val="24"/>
          <w:highlight w:val="none"/>
        </w:rPr>
        <w:t>4250</w:t>
      </w:r>
      <w:r>
        <w:rPr>
          <w:rFonts w:asciiTheme="minorEastAsia" w:hAnsiTheme="minorEastAsia" w:eastAsiaTheme="minorEastAsia" w:cstheme="minorEastAsia"/>
          <w:b w:val="0"/>
          <w:sz w:val="24"/>
          <w:szCs w:val="24"/>
          <w:highlight w:val="none"/>
        </w:rPr>
        <w:t>mm</w:t>
      </w:r>
      <w:r>
        <w:rPr>
          <w:rFonts w:hint="eastAsia" w:asciiTheme="minorEastAsia" w:hAnsiTheme="minorEastAsia" w:eastAsiaTheme="minorEastAsia" w:cstheme="minorEastAsia"/>
          <w:b w:val="0"/>
          <w:sz w:val="24"/>
          <w:szCs w:val="24"/>
          <w:highlight w:val="none"/>
        </w:rPr>
        <w:t>的三分仓受热面旋转容克式空气预热器。燃烧设备配中速磨煤机、冷一次风机、正压直吹式制粉系统设计，配2台引风机、2台送风机和2台一次风机。</w:t>
      </w:r>
    </w:p>
    <w:p>
      <w:pPr>
        <w:spacing w:line="360" w:lineRule="auto"/>
        <w:ind w:right="-6" w:firstLine="480"/>
        <w:rPr>
          <w:rFonts w:hint="eastAsia" w:asciiTheme="minorEastAsia" w:hAnsiTheme="minorEastAsia" w:eastAsiaTheme="minorEastAsia" w:cstheme="minorEastAsia"/>
          <w:sz w:val="24"/>
          <w:highlight w:val="none"/>
        </w:rPr>
      </w:pPr>
      <w:r>
        <w:rPr>
          <w:rFonts w:hint="eastAsia" w:asciiTheme="minorEastAsia" w:hAnsiTheme="minorEastAsia" w:eastAsiaTheme="minorEastAsia" w:cstheme="minorEastAsia"/>
          <w:sz w:val="24"/>
          <w:highlight w:val="none"/>
        </w:rPr>
        <w:t>锅炉设有膨胀中心及零位保证系统，三维膨胀中心设置在大罩壳顶部、炉膛中心线和后墙水冷壁前后各900mm的地方。锅炉为全悬吊结构，受热面整体自由向下膨胀，在宽度方向从锅炉对称中心线向两侧膨胀，在前后方向，炉膛部分从炉膛后墙中心线往前900mm处向前膨胀，后烟井部分从炉膛后墙中心线往后900mm处向后膨胀。炉顶采用大罩壳热密封，炉顶管采用全金属密封，炉墙为轻型结构带梯型金属外护板，屋顶为轻型金属屋盖。</w:t>
      </w:r>
    </w:p>
    <w:p>
      <w:pPr>
        <w:spacing w:line="360" w:lineRule="auto"/>
        <w:ind w:right="-6" w:firstLine="480"/>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分隔屏过热器布置于炉膛上部，共六屏，沿炉膛宽度均布，每屏由八个小屏组成，每小屏80根管子组成。管子规格为Φ44.5×6.5~7.5mm，材质为12Cr1MoV、SA-213T91、SUPER304H。</w:t>
      </w:r>
    </w:p>
    <w:p>
      <w:pPr>
        <w:spacing w:line="360" w:lineRule="auto"/>
        <w:ind w:right="-6" w:firstLine="480"/>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末级再热器为W型管排，布置于水平烟道，与烟气成顺流布置，共82屏，沿炉膛宽度均布，横向节距为224mm，纵向节距为114.3mm。每屏受热面由10根管子组成，总计820根管子。管子规格为φ57.2~63.5×4~7.7mm，其中进口段管屏规格为φ57.2×4~5mm，材质最外圈后半段为TP310HCbN，第2-3圈后半段为SUPER304H-SB，其它为T91。顶棚穿墙管规格均为φ57.2×4~5mm，材质有T91、SUPER304H-SB、TP310HCbN。密封板材质为12Cr1MoV，厚度为4mm。穿墙管与梳形密封板套管均通过环状密封焊焊接</w:t>
      </w:r>
      <w:r>
        <w:rPr>
          <w:rFonts w:hint="eastAsia" w:asciiTheme="minorEastAsia" w:hAnsiTheme="minorEastAsia" w:eastAsiaTheme="minorEastAsia" w:cstheme="minorEastAsia"/>
          <w:sz w:val="24"/>
          <w:highlight w:val="none"/>
        </w:rPr>
        <w:t>，异种钢接头位于大罩内部</w:t>
      </w:r>
      <w:r>
        <w:rPr>
          <w:rFonts w:hint="eastAsia" w:asciiTheme="minorEastAsia" w:hAnsiTheme="minorEastAsia" w:eastAsiaTheme="minorEastAsia" w:cstheme="minorEastAsia"/>
          <w:bCs/>
          <w:sz w:val="24"/>
          <w:highlight w:val="none"/>
        </w:rPr>
        <w:t>。</w:t>
      </w:r>
    </w:p>
    <w:p>
      <w:pPr>
        <w:spacing w:line="360" w:lineRule="auto"/>
        <w:rPr>
          <w:highlight w:val="none"/>
        </w:rPr>
      </w:pPr>
      <w:r>
        <w:rPr>
          <w:rFonts w:hint="eastAsia" w:asciiTheme="minorEastAsia" w:hAnsiTheme="minorEastAsia" w:eastAsiaTheme="minorEastAsia" w:cstheme="minorEastAsia"/>
          <w:sz w:val="24"/>
          <w:highlight w:val="none"/>
        </w:rPr>
        <w:tab/>
      </w:r>
      <w:r>
        <w:rPr>
          <w:rFonts w:hint="eastAsia" w:asciiTheme="minorEastAsia" w:hAnsiTheme="minorEastAsia" w:eastAsiaTheme="minorEastAsia" w:cstheme="minorEastAsia"/>
          <w:sz w:val="24"/>
          <w:highlight w:val="none"/>
        </w:rPr>
        <w:t>省煤器出口配有SCR脱硝装置，锅炉脱硝采用选择性催化还原反应SCR，每台锅炉布置两台SCR反应器，SCR反应器本体内装有蜂窝状催化剂，混合好的氨气进入反应器本体后，在催化剂的催化作用下与烟气中的NOx进行氧化还原反应，生成N2和水，达到脱硝的目的。</w:t>
      </w:r>
    </w:p>
    <w:p>
      <w:pPr>
        <w:numPr>
          <w:ilvl w:val="0"/>
          <w:numId w:val="0"/>
        </w:numPr>
        <w:spacing w:before="50" w:line="360" w:lineRule="auto"/>
        <w:outlineLvl w:val="0"/>
        <w:rPr>
          <w:rFonts w:hint="eastAsia" w:ascii="宋体" w:hAnsi="宋体"/>
          <w:sz w:val="24"/>
          <w:highlight w:val="none"/>
        </w:rPr>
      </w:pPr>
      <w:bookmarkStart w:id="4" w:name="_Toc5350"/>
      <w:bookmarkStart w:id="5" w:name="_Toc6806"/>
      <w:r>
        <w:rPr>
          <w:rFonts w:hint="eastAsia" w:asciiTheme="minorEastAsia" w:hAnsiTheme="minorEastAsia" w:eastAsiaTheme="minorEastAsia" w:cstheme="minorEastAsia"/>
          <w:b/>
          <w:sz w:val="24"/>
          <w:highlight w:val="none"/>
          <w:lang w:val="en-US" w:eastAsia="zh-CN"/>
        </w:rPr>
        <w:t xml:space="preserve">3. </w:t>
      </w:r>
      <w:r>
        <w:rPr>
          <w:rFonts w:hint="eastAsia" w:asciiTheme="minorEastAsia" w:hAnsiTheme="minorEastAsia" w:eastAsiaTheme="minorEastAsia" w:cstheme="minorEastAsia"/>
          <w:b/>
          <w:sz w:val="24"/>
          <w:highlight w:val="none"/>
        </w:rPr>
        <w:t>工程范围及接口</w:t>
      </w:r>
      <w:bookmarkEnd w:id="4"/>
      <w:bookmarkEnd w:id="5"/>
    </w:p>
    <w:p>
      <w:pPr>
        <w:spacing w:before="50" w:line="360" w:lineRule="auto"/>
        <w:rPr>
          <w:rFonts w:hint="eastAsia" w:ascii="宋体" w:hAnsi="宋体"/>
          <w:sz w:val="24"/>
          <w:highlight w:val="none"/>
        </w:rPr>
      </w:pPr>
      <w:bookmarkStart w:id="6" w:name="_Toc28499"/>
      <w:r>
        <w:rPr>
          <w:rFonts w:hint="eastAsia" w:asciiTheme="minorEastAsia" w:hAnsiTheme="minorEastAsia" w:eastAsiaTheme="minorEastAsia" w:cstheme="minorEastAsia"/>
          <w:sz w:val="24"/>
          <w:highlight w:val="none"/>
        </w:rPr>
        <w:t>3.1概述</w:t>
      </w:r>
    </w:p>
    <w:p>
      <w:pPr>
        <w:spacing w:line="360" w:lineRule="auto"/>
        <w:ind w:firstLine="480"/>
        <w:rPr>
          <w:rFonts w:hint="eastAsia" w:ascii="宋体" w:hAnsi="宋体"/>
          <w:sz w:val="24"/>
          <w:highlight w:val="none"/>
        </w:rPr>
      </w:pPr>
      <w:r>
        <w:rPr>
          <w:rFonts w:asciiTheme="minorEastAsia" w:hAnsiTheme="minorEastAsia" w:eastAsiaTheme="minorEastAsia" w:cstheme="minorEastAsia"/>
          <w:sz w:val="24"/>
          <w:highlight w:val="none"/>
        </w:rPr>
        <w:t>本工程范围包括本工程的设备</w:t>
      </w:r>
      <w:r>
        <w:rPr>
          <w:rFonts w:hint="eastAsia" w:asciiTheme="minorEastAsia" w:hAnsiTheme="minorEastAsia" w:eastAsiaTheme="minorEastAsia" w:cstheme="minorEastAsia"/>
          <w:sz w:val="24"/>
          <w:highlight w:val="none"/>
        </w:rPr>
        <w:t>的检修、改造、安装、</w:t>
      </w:r>
      <w:r>
        <w:rPr>
          <w:rFonts w:asciiTheme="minorEastAsia" w:hAnsiTheme="minorEastAsia" w:eastAsiaTheme="minorEastAsia" w:cstheme="minorEastAsia"/>
          <w:sz w:val="24"/>
          <w:highlight w:val="none"/>
        </w:rPr>
        <w:t>主要工序验收、调整试运、技术服务、试验、售后服务等。</w:t>
      </w:r>
      <w:r>
        <w:rPr>
          <w:rFonts w:hint="eastAsia" w:asciiTheme="minorEastAsia" w:hAnsiTheme="minorEastAsia" w:eastAsiaTheme="minorEastAsia" w:cstheme="minorEastAsia"/>
          <w:sz w:val="24"/>
          <w:highlight w:val="none"/>
        </w:rPr>
        <w:t>投标方须在招标方规定的工期内保质保量地完成检修及改造工作。</w:t>
      </w:r>
    </w:p>
    <w:p>
      <w:pPr>
        <w:spacing w:line="360" w:lineRule="auto"/>
        <w:ind w:firstLine="480"/>
        <w:rPr>
          <w:rFonts w:hint="eastAsia" w:ascii="宋体" w:hAnsi="宋体"/>
          <w:sz w:val="24"/>
          <w:highlight w:val="none"/>
        </w:rPr>
      </w:pPr>
      <w:r>
        <w:rPr>
          <w:rFonts w:hint="eastAsia" w:asciiTheme="minorEastAsia" w:hAnsiTheme="minorEastAsia" w:eastAsiaTheme="minorEastAsia" w:cstheme="minorEastAsia"/>
          <w:sz w:val="24"/>
          <w:highlight w:val="none"/>
        </w:rPr>
        <w:t>本工程锅炉、环保设备主体结构的材料由招标方提供，安装过程中的焊条焊丝等检修耗材由投标方负责。锅炉受热面改造用焊材由投标方负责。</w:t>
      </w:r>
    </w:p>
    <w:p>
      <w:pPr>
        <w:spacing w:line="360" w:lineRule="auto"/>
        <w:ind w:firstLine="480"/>
        <w:rPr>
          <w:rFonts w:hint="eastAsia" w:ascii="宋体" w:hAnsi="宋体"/>
          <w:sz w:val="24"/>
          <w:highlight w:val="none"/>
        </w:rPr>
      </w:pPr>
      <w:r>
        <w:rPr>
          <w:rFonts w:hint="eastAsia" w:asciiTheme="minorEastAsia" w:hAnsiTheme="minorEastAsia" w:eastAsiaTheme="minorEastAsia" w:cstheme="minorEastAsia"/>
          <w:sz w:val="24"/>
          <w:highlight w:val="none"/>
        </w:rPr>
        <w:t>本工程的架子保温工作包括乐清电厂2026年#3机组A修各专业所需的架子搭设和保温拆、装及其它配合工作。</w:t>
      </w:r>
    </w:p>
    <w:p>
      <w:pPr>
        <w:spacing w:before="50" w:line="360" w:lineRule="auto"/>
        <w:rPr>
          <w:rFonts w:hint="eastAsia" w:ascii="宋体" w:hAnsi="宋体"/>
          <w:sz w:val="24"/>
          <w:highlight w:val="none"/>
        </w:rPr>
      </w:pPr>
      <w:r>
        <w:rPr>
          <w:rFonts w:hint="eastAsia" w:asciiTheme="minorEastAsia" w:hAnsiTheme="minorEastAsia" w:eastAsiaTheme="minorEastAsia" w:cstheme="minorEastAsia"/>
          <w:bCs/>
          <w:sz w:val="24"/>
          <w:highlight w:val="none"/>
        </w:rPr>
        <w:t>3.2工作范围</w:t>
      </w:r>
    </w:p>
    <w:p>
      <w:pPr>
        <w:spacing w:before="50" w:line="360" w:lineRule="auto"/>
        <w:ind w:firstLine="480"/>
        <w:rPr>
          <w:rFonts w:hint="eastAsia" w:asciiTheme="minorEastAsia" w:hAnsiTheme="minorEastAsia" w:eastAsiaTheme="minorEastAsia" w:cstheme="minorEastAsia"/>
          <w:sz w:val="24"/>
          <w:highlight w:val="none"/>
        </w:rPr>
      </w:pPr>
      <w:r>
        <w:rPr>
          <w:rFonts w:hint="eastAsia" w:asciiTheme="minorEastAsia" w:hAnsiTheme="minorEastAsia" w:eastAsiaTheme="minorEastAsia" w:cstheme="minorEastAsia"/>
          <w:sz w:val="24"/>
          <w:highlight w:val="none"/>
        </w:rPr>
        <w:t>锅炉检修：包括锅炉本体受热面进行规范性检查，并进行相应的消缺处理；低再蒸汽吹损、水冷壁管更换；炉外管检查整改；炉外管道一次门前管道焊缝全面排查配合；炉侧金属监督项目的配合工作，割喷嘴检查喷水减温器；炉内升降平台搭拆；油枪清洗及雾化片检查或更换；等离子点火器阴阳极头压弧环解体检修或更换；燃烧器检查、更换或修补；炉本及脱硝声波吹灰器检查消缺及单体调试；SCR催化剂吊装等。</w:t>
      </w:r>
    </w:p>
    <w:p>
      <w:pPr>
        <w:pStyle w:val="2"/>
        <w:spacing w:before="50" w:after="0" w:line="360" w:lineRule="auto"/>
        <w:ind w:firstLine="510"/>
        <w:rPr>
          <w:rFonts w:hint="eastAsia" w:asciiTheme="minorEastAsia" w:hAnsiTheme="minorEastAsia" w:eastAsiaTheme="minorEastAsia" w:cstheme="minorEastAsia"/>
          <w:sz w:val="24"/>
          <w:highlight w:val="none"/>
        </w:rPr>
      </w:pPr>
      <w:r>
        <w:rPr>
          <w:rFonts w:hint="eastAsia" w:asciiTheme="minorEastAsia" w:hAnsiTheme="minorEastAsia" w:eastAsiaTheme="minorEastAsia" w:cstheme="minorEastAsia"/>
          <w:sz w:val="24"/>
          <w:highlight w:val="none"/>
        </w:rPr>
        <w:t>锅炉受热面改造：1）分隔屏过热器改造范围：</w:t>
      </w:r>
      <w:r>
        <w:rPr>
          <w:rFonts w:hint="eastAsia" w:asciiTheme="minorEastAsia" w:hAnsiTheme="minorEastAsia" w:eastAsiaTheme="minorEastAsia" w:cstheme="minorEastAsia"/>
          <w:color w:val="000000"/>
          <w:sz w:val="24"/>
          <w:szCs w:val="24"/>
          <w:highlight w:val="none"/>
        </w:rPr>
        <w:t>将分隔屏穿顶棚管密封盒处增加</w:t>
      </w:r>
      <w:r>
        <w:rPr>
          <w:rFonts w:hint="eastAsia" w:asciiTheme="minorEastAsia" w:hAnsiTheme="minorEastAsia" w:eastAsiaTheme="minorEastAsia" w:cstheme="minorEastAsia"/>
          <w:bCs/>
          <w:sz w:val="24"/>
          <w:highlight w:val="none"/>
        </w:rPr>
        <w:t>12Cr1MoV</w:t>
      </w:r>
      <w:r>
        <w:rPr>
          <w:rFonts w:hint="eastAsia" w:asciiTheme="minorEastAsia" w:hAnsiTheme="minorEastAsia" w:eastAsiaTheme="minorEastAsia" w:cstheme="minorEastAsia"/>
          <w:color w:val="000000"/>
          <w:sz w:val="24"/>
          <w:szCs w:val="24"/>
          <w:highlight w:val="none"/>
        </w:rPr>
        <w:t>材质套管，套管为半圆弧板，现场对接焊，分隔屏密封盒整体更换，现场无受热面管新增焊口。分隔屏过热器见附图1；2）末级再热器改造范围：</w:t>
      </w:r>
      <w:r>
        <w:rPr>
          <w:rFonts w:hint="eastAsia" w:asciiTheme="minorEastAsia" w:hAnsiTheme="minorEastAsia" w:eastAsiaTheme="minorEastAsia" w:cstheme="minorEastAsia"/>
          <w:color w:val="000000"/>
          <w:sz w:val="24"/>
          <w:highlight w:val="none"/>
        </w:rPr>
        <w:t>将末级再热器进口段、中间过渡段T91管材全部更换为Super304H-SB</w:t>
      </w:r>
      <w:r>
        <w:rPr>
          <w:rFonts w:hint="eastAsia" w:asciiTheme="minorEastAsia" w:hAnsiTheme="minorEastAsia" w:eastAsiaTheme="minorEastAsia" w:cstheme="minorEastAsia"/>
          <w:bCs/>
          <w:sz w:val="24"/>
          <w:highlight w:val="none"/>
        </w:rPr>
        <w:t>管材，每台机组共82屏。</w:t>
      </w:r>
      <w:r>
        <w:rPr>
          <w:rFonts w:hint="eastAsia" w:asciiTheme="minorEastAsia" w:hAnsiTheme="minorEastAsia" w:eastAsiaTheme="minorEastAsia" w:cstheme="minorEastAsia"/>
          <w:color w:val="000000"/>
          <w:sz w:val="24"/>
          <w:highlight w:val="none"/>
        </w:rPr>
        <w:t>综合考虑施工空间、过渡段管变径位置、异种钢接头位置，管屏更换至进口过渡段异种钢对接焊缝上方100mm、中间过渡段异种钢对接焊缝下方400mm，对两焊缝间的T91管材进行更换，其中12Cr1MoV与Super304H-SB管子的异种钢焊口在锅炉厂完成，现场只有同种钢焊口。具体位置见附图2。</w:t>
      </w:r>
    </w:p>
    <w:p>
      <w:pPr>
        <w:tabs>
          <w:tab w:val="left" w:pos="0"/>
        </w:tabs>
        <w:spacing w:before="50" w:line="360" w:lineRule="auto"/>
        <w:ind w:left="17" w:firstLine="480"/>
        <w:rPr>
          <w:rFonts w:hint="eastAsia" w:asciiTheme="minorEastAsia" w:hAnsiTheme="minorEastAsia" w:eastAsiaTheme="minorEastAsia" w:cstheme="minorEastAsia"/>
          <w:sz w:val="24"/>
          <w:highlight w:val="none"/>
        </w:rPr>
      </w:pPr>
      <w:r>
        <w:rPr>
          <w:rFonts w:hint="eastAsia" w:asciiTheme="minorEastAsia" w:hAnsiTheme="minorEastAsia" w:eastAsiaTheme="minorEastAsia" w:cstheme="minorEastAsia"/>
          <w:sz w:val="24"/>
          <w:highlight w:val="none"/>
        </w:rPr>
        <w:t>环保检修：包括</w:t>
      </w:r>
      <w:r>
        <w:rPr>
          <w:rFonts w:asciiTheme="minorEastAsia" w:hAnsiTheme="minorEastAsia" w:eastAsiaTheme="minorEastAsia" w:cstheme="minorEastAsia"/>
          <w:sz w:val="24"/>
          <w:highlight w:val="none"/>
        </w:rPr>
        <w:t>脱硫系统吸收塔再循环泵解体检修；吸收塔区域浆池及搅拌器检修；FGD烟道</w:t>
      </w:r>
      <w:r>
        <w:rPr>
          <w:rFonts w:hint="eastAsia" w:asciiTheme="minorEastAsia" w:hAnsiTheme="minorEastAsia" w:eastAsiaTheme="minorEastAsia" w:cstheme="minorEastAsia"/>
          <w:sz w:val="24"/>
          <w:highlight w:val="none"/>
        </w:rPr>
        <w:t>检修</w:t>
      </w:r>
      <w:r>
        <w:rPr>
          <w:rFonts w:asciiTheme="minorEastAsia" w:hAnsiTheme="minorEastAsia" w:eastAsiaTheme="minorEastAsia" w:cstheme="minorEastAsia"/>
          <w:sz w:val="24"/>
          <w:highlight w:val="none"/>
        </w:rPr>
        <w:t>；吸收塔</w:t>
      </w:r>
      <w:r>
        <w:rPr>
          <w:rFonts w:hint="eastAsia" w:asciiTheme="minorEastAsia" w:hAnsiTheme="minorEastAsia" w:eastAsiaTheme="minorEastAsia" w:cstheme="minorEastAsia"/>
          <w:sz w:val="24"/>
          <w:highlight w:val="none"/>
        </w:rPr>
        <w:t>检修</w:t>
      </w:r>
      <w:r>
        <w:rPr>
          <w:rFonts w:asciiTheme="minorEastAsia" w:hAnsiTheme="minorEastAsia" w:eastAsiaTheme="minorEastAsia" w:cstheme="minorEastAsia"/>
          <w:sz w:val="24"/>
          <w:highlight w:val="none"/>
        </w:rPr>
        <w:t>；吸收塔除雾器冲洗水泵检修；石膏排出泵检修；烟道除雾器冲洗水泵检修；管式GGH加热器</w:t>
      </w:r>
      <w:r>
        <w:rPr>
          <w:rFonts w:hint="eastAsia" w:asciiTheme="minorEastAsia" w:hAnsiTheme="minorEastAsia" w:eastAsiaTheme="minorEastAsia" w:cstheme="minorEastAsia"/>
          <w:sz w:val="24"/>
          <w:highlight w:val="none"/>
        </w:rPr>
        <w:t>检修</w:t>
      </w:r>
      <w:r>
        <w:rPr>
          <w:rFonts w:asciiTheme="minorEastAsia" w:hAnsiTheme="minorEastAsia" w:eastAsiaTheme="minorEastAsia" w:cstheme="minorEastAsia"/>
          <w:sz w:val="24"/>
          <w:highlight w:val="none"/>
        </w:rPr>
        <w:t>；塔外浆液箱检修</w:t>
      </w:r>
      <w:r>
        <w:rPr>
          <w:rFonts w:hint="eastAsia" w:asciiTheme="minorEastAsia" w:hAnsiTheme="minorEastAsia" w:eastAsiaTheme="minorEastAsia" w:cstheme="minorEastAsia"/>
          <w:sz w:val="24"/>
          <w:highlight w:val="none"/>
        </w:rPr>
        <w:t>等。</w:t>
      </w:r>
    </w:p>
    <w:p>
      <w:pPr>
        <w:spacing w:before="50" w:line="360" w:lineRule="auto"/>
        <w:ind w:firstLine="482"/>
        <w:rPr>
          <w:rFonts w:hint="eastAsia" w:ascii="宋体" w:hAnsi="宋体" w:cs="宋体"/>
          <w:highlight w:val="none"/>
        </w:rPr>
      </w:pPr>
      <w:r>
        <w:rPr>
          <w:rFonts w:hint="eastAsia" w:asciiTheme="minorEastAsia" w:hAnsiTheme="minorEastAsia" w:eastAsiaTheme="minorEastAsia" w:cstheme="minorEastAsia"/>
          <w:sz w:val="24"/>
          <w:highlight w:val="none"/>
        </w:rPr>
        <w:t>检修期间各专业所需的架子搭设和保温拆、装及其它配合工作；检修期间锅炉电梯管理；机、炉金属监督（包括机炉侧压力管道检查配合打磨）及标段内返厂检修、服务项目的配合。</w:t>
      </w:r>
    </w:p>
    <w:p>
      <w:pPr>
        <w:spacing w:before="50" w:line="360" w:lineRule="auto"/>
        <w:ind w:firstLine="480"/>
        <w:rPr>
          <w:rFonts w:hint="eastAsia" w:asciiTheme="minorEastAsia" w:hAnsiTheme="minorEastAsia" w:eastAsiaTheme="minorEastAsia" w:cstheme="minorEastAsia"/>
          <w:sz w:val="24"/>
          <w:highlight w:val="none"/>
        </w:rPr>
      </w:pPr>
      <w:r>
        <w:rPr>
          <w:rFonts w:hint="eastAsia" w:asciiTheme="minorEastAsia" w:hAnsiTheme="minorEastAsia" w:eastAsiaTheme="minorEastAsia" w:cstheme="minorEastAsia"/>
          <w:sz w:val="24"/>
          <w:highlight w:val="none"/>
        </w:rPr>
        <w:t>标段内的地面保护、宣传、安全和文明设施属于本标段工作范围，同时延期缺陷、机组调试和启动期间的配合、消缺以及复役前的消缺工作都属于本标段工作范围。本标段包含且不限于热控配合、调试、启动维护及巡查等的全部相关机务工作（含配合工作）。</w:t>
      </w:r>
    </w:p>
    <w:p>
      <w:pPr>
        <w:pStyle w:val="2"/>
        <w:rPr>
          <w:rFonts w:eastAsiaTheme="minorEastAsia"/>
          <w:highlight w:val="none"/>
        </w:rPr>
      </w:pPr>
      <w:r>
        <w:rPr>
          <w:rFonts w:hint="eastAsia" w:asciiTheme="minorEastAsia" w:hAnsiTheme="minorEastAsia" w:eastAsiaTheme="minorEastAsia" w:cstheme="minorEastAsia"/>
          <w:sz w:val="24"/>
          <w:highlight w:val="none"/>
        </w:rPr>
        <w:t xml:space="preserve">  本标段详细工作见附件。</w:t>
      </w:r>
    </w:p>
    <w:p>
      <w:pPr>
        <w:spacing w:before="50" w:line="360" w:lineRule="auto"/>
        <w:rPr>
          <w:rFonts w:hint="eastAsia" w:ascii="宋体" w:hAnsi="宋体"/>
          <w:bCs/>
          <w:sz w:val="24"/>
          <w:highlight w:val="none"/>
        </w:rPr>
      </w:pPr>
      <w:r>
        <w:rPr>
          <w:rFonts w:hint="eastAsia" w:asciiTheme="minorEastAsia" w:hAnsiTheme="minorEastAsia" w:eastAsiaTheme="minorEastAsia" w:cstheme="minorEastAsia"/>
          <w:bCs/>
          <w:sz w:val="24"/>
          <w:highlight w:val="none"/>
        </w:rPr>
        <w:t>3.3  架子保温承包形式</w:t>
      </w:r>
    </w:p>
    <w:p>
      <w:pPr>
        <w:spacing w:before="50" w:line="360" w:lineRule="auto"/>
        <w:ind w:firstLine="480"/>
        <w:rPr>
          <w:rFonts w:hint="eastAsia" w:ascii="宋体" w:hAnsi="宋体" w:cs="宋体"/>
          <w:sz w:val="24"/>
          <w:highlight w:val="none"/>
        </w:rPr>
      </w:pPr>
      <w:r>
        <w:rPr>
          <w:rFonts w:hint="eastAsia" w:asciiTheme="minorEastAsia" w:hAnsiTheme="minorEastAsia" w:eastAsiaTheme="minorEastAsia" w:cstheme="minorEastAsia"/>
          <w:sz w:val="24"/>
          <w:highlight w:val="none"/>
        </w:rPr>
        <w:t>本项目脚手架工程所含全部工程造价、物资、施工承包费及保证施工质量、工期、安全、文明等而产生的一切费用，脚手架工程实行包工包料固定总价形式承包，所需的工器具以及消耗性材料，包括但不限于镀锌钢丝、车辆等，均由投标方负责。</w:t>
      </w:r>
    </w:p>
    <w:p>
      <w:pPr>
        <w:spacing w:before="50" w:line="360" w:lineRule="auto"/>
        <w:ind w:firstLine="480"/>
        <w:rPr>
          <w:highlight w:val="none"/>
        </w:rPr>
      </w:pPr>
      <w:r>
        <w:rPr>
          <w:rFonts w:hint="eastAsia" w:asciiTheme="minorEastAsia" w:hAnsiTheme="minorEastAsia" w:eastAsiaTheme="minorEastAsia" w:cstheme="minorEastAsia"/>
          <w:sz w:val="24"/>
          <w:highlight w:val="none"/>
        </w:rPr>
        <w:t>本项目保温工程所含全部工程造价、物资、施工承包费及保证施工质量、工期、安全、文明等而产生的一切费用，实行包工不包料固定总价形式承包。</w:t>
      </w:r>
      <w:bookmarkStart w:id="7" w:name="_Toc260386419"/>
      <w:r>
        <w:rPr>
          <w:rFonts w:hint="eastAsia" w:asciiTheme="minorEastAsia" w:hAnsiTheme="minorEastAsia" w:eastAsiaTheme="minorEastAsia" w:cstheme="minorEastAsia"/>
          <w:sz w:val="24"/>
          <w:highlight w:val="none"/>
        </w:rPr>
        <w:t>项目所需主材</w:t>
      </w:r>
      <w:bookmarkEnd w:id="7"/>
      <w:r>
        <w:rPr>
          <w:rFonts w:hint="eastAsia" w:asciiTheme="minorEastAsia" w:hAnsiTheme="minorEastAsia" w:eastAsiaTheme="minorEastAsia" w:cstheme="minorEastAsia"/>
          <w:sz w:val="24"/>
          <w:highlight w:val="none"/>
        </w:rPr>
        <w:t>彩钢板、硅酸铝保温棉、耐高温耐磨浇筑料由招标方提供，其余所需的工器具以及消耗性材料，包括但不限于镀锌钢丝、不锈钢自攻螺钉或尼龙头自攻螺钉、角钢、铁丝网、硅酸盐水泥、耐高温抹面、吨包、车辆等均由投标方负责。</w:t>
      </w:r>
    </w:p>
    <w:p>
      <w:pPr>
        <w:numPr>
          <w:ilvl w:val="0"/>
          <w:numId w:val="2"/>
        </w:numPr>
        <w:spacing w:before="50" w:line="360" w:lineRule="auto"/>
        <w:outlineLvl w:val="0"/>
        <w:rPr>
          <w:rFonts w:hint="eastAsia" w:ascii="宋体" w:hAnsi="宋体"/>
          <w:b/>
          <w:sz w:val="24"/>
          <w:highlight w:val="none"/>
        </w:rPr>
      </w:pPr>
      <w:bookmarkStart w:id="8" w:name="_Toc17364"/>
      <w:r>
        <w:rPr>
          <w:rFonts w:hint="eastAsia" w:asciiTheme="minorEastAsia" w:hAnsiTheme="minorEastAsia" w:eastAsiaTheme="minorEastAsia" w:cstheme="minorEastAsia"/>
          <w:b/>
          <w:sz w:val="24"/>
          <w:highlight w:val="none"/>
        </w:rPr>
        <w:t>技术要求</w:t>
      </w:r>
      <w:bookmarkEnd w:id="6"/>
      <w:bookmarkEnd w:id="8"/>
    </w:p>
    <w:p>
      <w:p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4.1相关技术要求</w:t>
      </w:r>
    </w:p>
    <w:p>
      <w:p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4.1.1投标方应配置足够的质检人员，按三级验收要求完成检修工作的全部质量管理工作。</w:t>
      </w:r>
    </w:p>
    <w:p>
      <w:p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4.1.2每项检修工作严格按照检修文件包、检修卡、检修方案等技术文件执行。</w:t>
      </w:r>
    </w:p>
    <w:p>
      <w:p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4.1.3投标方应根据招标方的技术要求和检修文件包进行施工，并对检修作业数据如实记录填写，各质检点需经招标方检查认可或签字后，方可进行下一道工序检修作业，否则招标方有权要求投标方返工，重新由招标方履行质检手续。</w:t>
      </w:r>
    </w:p>
    <w:p>
      <w:p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4.2规范和标准</w:t>
      </w:r>
    </w:p>
    <w:p>
      <w:pPr>
        <w:spacing w:before="50" w:line="360" w:lineRule="auto"/>
        <w:ind w:firstLine="480"/>
        <w:rPr>
          <w:rFonts w:hint="eastAsia" w:ascii="宋体" w:hAnsi="宋体" w:cs="宋体"/>
          <w:sz w:val="24"/>
          <w:highlight w:val="none"/>
        </w:rPr>
      </w:pPr>
      <w:r>
        <w:rPr>
          <w:rFonts w:hint="eastAsia" w:asciiTheme="minorEastAsia" w:hAnsiTheme="minorEastAsia" w:eastAsiaTheme="minorEastAsia" w:cstheme="minorEastAsia"/>
          <w:sz w:val="24"/>
          <w:highlight w:val="none"/>
        </w:rPr>
        <w:t>本技术规范书中涉及的所有规范、标准 (包括一切有效的补充或附录)均应为最新版本，即以招标方和投标方签订技术规范之日作为采用最新版本的截止日期。若发现本技术规范与参照的规范和标准之间有不一致之处，投标方应向招标方提出。投标方若采用与下列标准相当的其它国际标准，须招标方认可。</w:t>
      </w:r>
    </w:p>
    <w:p>
      <w:pPr>
        <w:spacing w:before="50" w:line="360" w:lineRule="auto"/>
        <w:ind w:firstLine="480"/>
        <w:rPr>
          <w:rFonts w:hint="eastAsia" w:ascii="宋体" w:hAnsi="宋体" w:cs="宋体"/>
          <w:sz w:val="24"/>
          <w:highlight w:val="none"/>
        </w:rPr>
      </w:pPr>
      <w:r>
        <w:rPr>
          <w:rFonts w:hint="eastAsia" w:asciiTheme="minorEastAsia" w:hAnsiTheme="minorEastAsia" w:eastAsiaTheme="minorEastAsia" w:cstheme="minorEastAsia"/>
          <w:sz w:val="24"/>
          <w:highlight w:val="none"/>
        </w:rPr>
        <w:t xml:space="preserve">引用的规范和标准如下，但不限于此： </w:t>
      </w:r>
    </w:p>
    <w:p>
      <w:pPr>
        <w:numPr>
          <w:ilvl w:val="0"/>
          <w:numId w:val="3"/>
        </w:numPr>
        <w:spacing w:line="360" w:lineRule="auto"/>
        <w:rPr>
          <w:rFonts w:hint="eastAsia" w:ascii="宋体" w:hAnsi="宋体" w:cs="宋体"/>
          <w:color w:val="000000"/>
          <w:sz w:val="24"/>
          <w:highlight w:val="none"/>
        </w:rPr>
      </w:pPr>
      <w:r>
        <w:rPr>
          <w:rFonts w:hint="eastAsia" w:asciiTheme="minorEastAsia" w:hAnsiTheme="minorEastAsia" w:eastAsiaTheme="minorEastAsia" w:cstheme="minorEastAsia"/>
          <w:color w:val="000000"/>
          <w:sz w:val="24"/>
          <w:highlight w:val="none"/>
        </w:rPr>
        <w:t>《特种设备安全监察条例》[2009]；</w:t>
      </w:r>
    </w:p>
    <w:p>
      <w:pPr>
        <w:numPr>
          <w:ilvl w:val="0"/>
          <w:numId w:val="3"/>
        </w:numPr>
        <w:spacing w:line="360" w:lineRule="auto"/>
        <w:rPr>
          <w:rFonts w:hint="eastAsia" w:ascii="宋体" w:hAnsi="宋体" w:cs="宋体"/>
          <w:color w:val="000000"/>
          <w:sz w:val="24"/>
          <w:highlight w:val="none"/>
        </w:rPr>
      </w:pPr>
      <w:r>
        <w:rPr>
          <w:rFonts w:hint="eastAsia" w:asciiTheme="minorEastAsia" w:hAnsiTheme="minorEastAsia" w:eastAsiaTheme="minorEastAsia" w:cstheme="minorEastAsia"/>
          <w:color w:val="000000"/>
          <w:sz w:val="24"/>
          <w:highlight w:val="none"/>
        </w:rPr>
        <w:t>TSG 11《锅炉安全技术规程》；</w:t>
      </w:r>
    </w:p>
    <w:p>
      <w:pPr>
        <w:numPr>
          <w:ilvl w:val="0"/>
          <w:numId w:val="3"/>
        </w:numPr>
        <w:spacing w:line="360" w:lineRule="auto"/>
        <w:rPr>
          <w:rFonts w:hint="eastAsia" w:ascii="宋体" w:hAnsi="宋体" w:cs="宋体"/>
          <w:color w:val="000000"/>
          <w:sz w:val="24"/>
          <w:highlight w:val="none"/>
        </w:rPr>
      </w:pPr>
      <w:r>
        <w:rPr>
          <w:rFonts w:hint="eastAsia" w:asciiTheme="minorEastAsia" w:hAnsiTheme="minorEastAsia" w:eastAsiaTheme="minorEastAsia" w:cstheme="minorEastAsia"/>
          <w:color w:val="000000"/>
          <w:sz w:val="24"/>
          <w:highlight w:val="none"/>
        </w:rPr>
        <w:t>DL 5190.2《电力建设施工技术规范》第2部分：锅炉机组；</w:t>
      </w:r>
    </w:p>
    <w:p>
      <w:pPr>
        <w:numPr>
          <w:ilvl w:val="0"/>
          <w:numId w:val="3"/>
        </w:numPr>
        <w:spacing w:line="360" w:lineRule="auto"/>
        <w:rPr>
          <w:rFonts w:hint="eastAsia" w:ascii="宋体" w:hAnsi="宋体" w:cs="宋体"/>
          <w:color w:val="000000"/>
          <w:sz w:val="24"/>
          <w:highlight w:val="none"/>
        </w:rPr>
      </w:pPr>
      <w:r>
        <w:rPr>
          <w:rFonts w:hint="eastAsia" w:asciiTheme="minorEastAsia" w:hAnsiTheme="minorEastAsia" w:eastAsiaTheme="minorEastAsia" w:cstheme="minorEastAsia"/>
          <w:color w:val="000000"/>
          <w:sz w:val="24"/>
          <w:highlight w:val="none"/>
        </w:rPr>
        <w:t>DL/T 748《火力发电厂锅炉机组检修导则》；</w:t>
      </w:r>
    </w:p>
    <w:p>
      <w:pPr>
        <w:numPr>
          <w:ilvl w:val="0"/>
          <w:numId w:val="3"/>
        </w:numPr>
        <w:spacing w:line="360" w:lineRule="auto"/>
        <w:rPr>
          <w:rFonts w:hint="eastAsia" w:ascii="宋体" w:hAnsi="宋体" w:cs="宋体"/>
          <w:color w:val="000000"/>
          <w:sz w:val="24"/>
          <w:highlight w:val="none"/>
        </w:rPr>
      </w:pPr>
      <w:r>
        <w:rPr>
          <w:rFonts w:hint="eastAsia" w:asciiTheme="minorEastAsia" w:hAnsiTheme="minorEastAsia" w:eastAsiaTheme="minorEastAsia" w:cstheme="minorEastAsia"/>
          <w:color w:val="000000"/>
          <w:sz w:val="24"/>
          <w:highlight w:val="none"/>
        </w:rPr>
        <w:t>DL/T 438《火力发电厂金属技术监督规程》；</w:t>
      </w:r>
    </w:p>
    <w:p>
      <w:pPr>
        <w:numPr>
          <w:ilvl w:val="0"/>
          <w:numId w:val="3"/>
        </w:numPr>
        <w:spacing w:line="360" w:lineRule="auto"/>
        <w:rPr>
          <w:rFonts w:hint="eastAsia" w:ascii="宋体" w:hAnsi="宋体" w:cs="宋体"/>
          <w:color w:val="000000"/>
          <w:sz w:val="24"/>
          <w:highlight w:val="none"/>
        </w:rPr>
      </w:pPr>
      <w:r>
        <w:rPr>
          <w:rFonts w:hint="eastAsia" w:asciiTheme="minorEastAsia" w:hAnsiTheme="minorEastAsia" w:eastAsiaTheme="minorEastAsia" w:cstheme="minorEastAsia"/>
          <w:sz w:val="24"/>
          <w:highlight w:val="none"/>
        </w:rPr>
        <w:t>GB26164.1</w:t>
      </w:r>
      <w:r>
        <w:rPr>
          <w:rFonts w:hint="eastAsia" w:asciiTheme="minorEastAsia" w:hAnsiTheme="minorEastAsia" w:eastAsiaTheme="minorEastAsia" w:cstheme="minorEastAsia"/>
          <w:color w:val="000000"/>
          <w:sz w:val="24"/>
          <w:highlight w:val="none"/>
        </w:rPr>
        <w:t>《电业安全工作规程》（热力和机械部分）；</w:t>
      </w:r>
    </w:p>
    <w:p>
      <w:pPr>
        <w:numPr>
          <w:ilvl w:val="0"/>
          <w:numId w:val="3"/>
        </w:numPr>
        <w:spacing w:line="360" w:lineRule="auto"/>
        <w:rPr>
          <w:rFonts w:hint="eastAsia" w:ascii="宋体" w:hAnsi="宋体" w:cs="宋体"/>
          <w:color w:val="000000"/>
          <w:sz w:val="24"/>
          <w:highlight w:val="none"/>
        </w:rPr>
      </w:pPr>
      <w:r>
        <w:rPr>
          <w:rFonts w:hint="eastAsia" w:asciiTheme="minorEastAsia" w:hAnsiTheme="minorEastAsia" w:eastAsiaTheme="minorEastAsia" w:cstheme="minorEastAsia"/>
          <w:color w:val="000000"/>
          <w:sz w:val="24"/>
          <w:highlight w:val="none"/>
        </w:rPr>
        <w:t xml:space="preserve">Q112-1 112 02《660MW锅炉检修规程》； </w:t>
      </w:r>
    </w:p>
    <w:p>
      <w:pPr>
        <w:numPr>
          <w:ilvl w:val="0"/>
          <w:numId w:val="3"/>
        </w:num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DL/T 5054《火力发电厂汽水管道设计技术规定》；</w:t>
      </w:r>
    </w:p>
    <w:p>
      <w:pPr>
        <w:numPr>
          <w:ilvl w:val="0"/>
          <w:numId w:val="3"/>
        </w:num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DL/T 838《发电企业设备检修导则》；</w:t>
      </w:r>
    </w:p>
    <w:p>
      <w:pPr>
        <w:numPr>
          <w:ilvl w:val="0"/>
          <w:numId w:val="3"/>
        </w:num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Q/ZD 205044《承发包项目安全管理规定》。</w:t>
      </w:r>
    </w:p>
    <w:p>
      <w:p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注：以上引用的规范和标准以目前颁布的最新标准为准。</w:t>
      </w:r>
    </w:p>
    <w:p>
      <w:p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4.3 基本约定</w:t>
      </w:r>
    </w:p>
    <w:p>
      <w:pPr>
        <w:numPr>
          <w:ilvl w:val="0"/>
          <w:numId w:val="4"/>
        </w:numPr>
        <w:spacing w:before="50" w:line="360" w:lineRule="auto"/>
        <w:ind w:left="425" w:hanging="425"/>
        <w:rPr>
          <w:rFonts w:hint="eastAsia" w:ascii="宋体" w:hAnsi="宋体" w:cs="宋体"/>
          <w:sz w:val="24"/>
          <w:highlight w:val="none"/>
        </w:rPr>
      </w:pPr>
      <w:r>
        <w:rPr>
          <w:rFonts w:hint="eastAsia" w:asciiTheme="minorEastAsia" w:hAnsiTheme="minorEastAsia" w:eastAsiaTheme="minorEastAsia" w:cstheme="minorEastAsia"/>
          <w:sz w:val="24"/>
          <w:highlight w:val="none"/>
        </w:rPr>
        <w:t>投标方在施工过程中必须严格执行招标方相关质量控制的技术规定。如因投标方原因造成工程质量未能达标的，招标方有权要求投标方返工直至工程质量达标为止，并承担由此产生的费用和延误的工期。</w:t>
      </w:r>
    </w:p>
    <w:p>
      <w:pPr>
        <w:numPr>
          <w:ilvl w:val="0"/>
          <w:numId w:val="4"/>
        </w:numPr>
        <w:spacing w:before="50" w:line="360" w:lineRule="auto"/>
        <w:ind w:left="425" w:hanging="425"/>
        <w:jc w:val="left"/>
        <w:rPr>
          <w:rFonts w:hint="eastAsia" w:ascii="宋体" w:hAnsi="宋体" w:cs="宋体"/>
          <w:sz w:val="24"/>
          <w:highlight w:val="none"/>
        </w:rPr>
      </w:pPr>
      <w:r>
        <w:rPr>
          <w:rFonts w:hint="eastAsia" w:asciiTheme="minorEastAsia" w:hAnsiTheme="minorEastAsia" w:eastAsiaTheme="minorEastAsia" w:cstheme="minorEastAsia"/>
          <w:sz w:val="24"/>
          <w:highlight w:val="none"/>
        </w:rPr>
        <w:t>投标方在施工过程中必须遵守招标方制定的管理方案的施工调度和指挥。</w:t>
      </w:r>
    </w:p>
    <w:p>
      <w:pPr>
        <w:numPr>
          <w:ilvl w:val="0"/>
          <w:numId w:val="4"/>
        </w:numPr>
        <w:spacing w:before="50" w:line="360" w:lineRule="auto"/>
        <w:ind w:left="425" w:hanging="425"/>
        <w:jc w:val="left"/>
        <w:rPr>
          <w:rFonts w:hint="eastAsia" w:ascii="宋体" w:hAnsi="宋体" w:cs="宋体"/>
          <w:sz w:val="24"/>
          <w:highlight w:val="none"/>
        </w:rPr>
      </w:pPr>
      <w:r>
        <w:rPr>
          <w:rFonts w:hint="eastAsia" w:asciiTheme="minorEastAsia" w:hAnsiTheme="minorEastAsia" w:eastAsiaTheme="minorEastAsia" w:cstheme="minorEastAsia"/>
          <w:sz w:val="24"/>
          <w:highlight w:val="none"/>
        </w:rPr>
        <w:t>检修或改造后的设备，各技术性能参数，应达到或优于修前数据。</w:t>
      </w:r>
    </w:p>
    <w:p>
      <w:pPr>
        <w:numPr>
          <w:ilvl w:val="0"/>
          <w:numId w:val="4"/>
        </w:numPr>
        <w:spacing w:before="50" w:line="360" w:lineRule="auto"/>
        <w:ind w:left="425" w:hanging="425"/>
        <w:rPr>
          <w:rFonts w:hint="eastAsia" w:ascii="宋体" w:hAnsi="宋体" w:cs="宋体"/>
          <w:sz w:val="24"/>
          <w:highlight w:val="none"/>
        </w:rPr>
      </w:pPr>
      <w:r>
        <w:rPr>
          <w:rFonts w:hint="eastAsia" w:asciiTheme="minorEastAsia" w:hAnsiTheme="minorEastAsia" w:eastAsiaTheme="minorEastAsia" w:cstheme="minorEastAsia"/>
          <w:sz w:val="24"/>
          <w:highlight w:val="none"/>
        </w:rPr>
        <w:t>投标方需提前制定相关施工技术及工程进度方案。</w:t>
      </w:r>
    </w:p>
    <w:p>
      <w:pPr>
        <w:numPr>
          <w:ilvl w:val="0"/>
          <w:numId w:val="4"/>
        </w:numPr>
        <w:spacing w:before="50" w:line="360" w:lineRule="auto"/>
        <w:ind w:left="425" w:hanging="425"/>
        <w:rPr>
          <w:rFonts w:hint="eastAsia" w:ascii="宋体" w:hAnsi="宋体" w:cs="宋体"/>
          <w:sz w:val="24"/>
          <w:highlight w:val="none"/>
        </w:rPr>
      </w:pPr>
      <w:r>
        <w:rPr>
          <w:rFonts w:hint="eastAsia" w:asciiTheme="minorEastAsia" w:hAnsiTheme="minorEastAsia" w:eastAsiaTheme="minorEastAsia" w:cstheme="minorEastAsia"/>
          <w:sz w:val="24"/>
          <w:highlight w:val="none"/>
        </w:rPr>
        <w:t>本工程涉及隐蔽部分需经投标方自检后通知招标方，共同确认质量符合隐蔽要求，并在验收记录上签字后，招标方才能进行覆盖。投标方私自将隐蔽工程覆盖的，投标方有权要求权要求投标方返工直至工程质量达标为止，并承担由此产生的费用和延误的工期。</w:t>
      </w:r>
    </w:p>
    <w:p>
      <w:pPr>
        <w:spacing w:line="360" w:lineRule="auto"/>
        <w:rPr>
          <w:rFonts w:hint="eastAsia" w:ascii="宋体" w:hAnsi="宋体"/>
          <w:sz w:val="24"/>
          <w:highlight w:val="none"/>
        </w:rPr>
      </w:pPr>
      <w:r>
        <w:rPr>
          <w:rFonts w:hint="eastAsia" w:asciiTheme="minorEastAsia" w:hAnsiTheme="minorEastAsia" w:eastAsiaTheme="minorEastAsia" w:cstheme="minorEastAsia"/>
          <w:sz w:val="24"/>
          <w:highlight w:val="none"/>
        </w:rPr>
        <w:t>4.4 安全文明生产要求</w:t>
      </w:r>
    </w:p>
    <w:p>
      <w:pPr>
        <w:numPr>
          <w:ilvl w:val="0"/>
          <w:numId w:val="5"/>
        </w:numPr>
        <w:spacing w:line="360" w:lineRule="auto"/>
        <w:rPr>
          <w:sz w:val="24"/>
          <w:highlight w:val="none"/>
        </w:rPr>
      </w:pPr>
      <w:r>
        <w:rPr>
          <w:rFonts w:hint="eastAsia" w:asciiTheme="minorEastAsia" w:hAnsiTheme="minorEastAsia" w:eastAsiaTheme="minorEastAsia" w:cstheme="minorEastAsia"/>
          <w:sz w:val="24"/>
          <w:highlight w:val="none"/>
        </w:rPr>
        <w:t>开工前，施工人员应接受安全教育培训，掌握本工程安全施工知识，并经考试合格。项目实施期间，投标方须按招标方外包项目同质化管理要求，开展班组建设，对员工开展安全教育、召开班（工）前会，每周开展一次安全活动，并配备同等质量的安全防护用品、用具，统一着工装。</w:t>
      </w:r>
    </w:p>
    <w:p>
      <w:pPr>
        <w:numPr>
          <w:ilvl w:val="0"/>
          <w:numId w:val="5"/>
        </w:numPr>
        <w:spacing w:line="360" w:lineRule="auto"/>
        <w:rPr>
          <w:rFonts w:hint="eastAsia" w:ascii="宋体" w:hAnsi="宋体"/>
          <w:sz w:val="24"/>
          <w:highlight w:val="none"/>
        </w:rPr>
      </w:pPr>
      <w:r>
        <w:rPr>
          <w:rFonts w:hint="eastAsia" w:asciiTheme="minorEastAsia" w:hAnsiTheme="minorEastAsia" w:eastAsiaTheme="minorEastAsia" w:cstheme="minorEastAsia"/>
          <w:sz w:val="24"/>
          <w:highlight w:val="none"/>
        </w:rPr>
        <w:t>项目施工前将相关设备、地面、平台积煤清理后冲洗干净，现场无明显积尘、积油，施工过程中防止尘土飞扬，文明施工。</w:t>
      </w:r>
    </w:p>
    <w:p>
      <w:pPr>
        <w:numPr>
          <w:ilvl w:val="0"/>
          <w:numId w:val="5"/>
        </w:numPr>
        <w:spacing w:line="360" w:lineRule="auto"/>
        <w:rPr>
          <w:rFonts w:hint="eastAsia" w:ascii="宋体" w:hAnsi="宋体"/>
          <w:sz w:val="24"/>
          <w:highlight w:val="none"/>
        </w:rPr>
      </w:pPr>
      <w:r>
        <w:rPr>
          <w:rFonts w:hint="eastAsia" w:asciiTheme="minorEastAsia" w:hAnsiTheme="minorEastAsia" w:eastAsiaTheme="minorEastAsia" w:cstheme="minorEastAsia"/>
          <w:sz w:val="24"/>
          <w:highlight w:val="none"/>
        </w:rPr>
        <w:t>从事低压电工作业，电焊与气割，焊条电弧焊，高处安装拆除、维护作业，起重作业等特种作业人员须持证上岗；严禁使用未成年人和不适应现场安全施工要求的老、弱、病、残人员进行施工。</w:t>
      </w:r>
    </w:p>
    <w:p>
      <w:pPr>
        <w:numPr>
          <w:ilvl w:val="0"/>
          <w:numId w:val="5"/>
        </w:numPr>
        <w:spacing w:line="360" w:lineRule="auto"/>
        <w:rPr>
          <w:rFonts w:hint="eastAsia" w:ascii="宋体" w:hAnsi="宋体"/>
          <w:sz w:val="24"/>
          <w:highlight w:val="none"/>
        </w:rPr>
      </w:pPr>
      <w:r>
        <w:rPr>
          <w:rFonts w:hint="eastAsia" w:asciiTheme="minorEastAsia" w:hAnsiTheme="minorEastAsia" w:eastAsiaTheme="minorEastAsia" w:cstheme="minorEastAsia"/>
          <w:sz w:val="24"/>
          <w:highlight w:val="none"/>
        </w:rPr>
        <w:t>投标方必须配置专职安全员，负责本工程的安全管理。</w:t>
      </w:r>
    </w:p>
    <w:p>
      <w:pPr>
        <w:numPr>
          <w:ilvl w:val="0"/>
          <w:numId w:val="5"/>
        </w:numPr>
        <w:spacing w:line="360" w:lineRule="auto"/>
        <w:rPr>
          <w:rFonts w:hint="eastAsia" w:ascii="宋体" w:hAnsi="宋体"/>
          <w:sz w:val="24"/>
          <w:highlight w:val="none"/>
        </w:rPr>
      </w:pPr>
      <w:r>
        <w:rPr>
          <w:rFonts w:hint="eastAsia" w:asciiTheme="minorEastAsia" w:hAnsiTheme="minorEastAsia" w:eastAsiaTheme="minorEastAsia" w:cstheme="minorEastAsia"/>
          <w:sz w:val="24"/>
          <w:highlight w:val="none"/>
        </w:rPr>
        <w:t>投标方必须制定各类应急预案，落实相关措施，备足应急器材和药品；施工人员应熟悉应急预案，掌握急救知识，牢记火警、医护抢救电话号码。</w:t>
      </w:r>
    </w:p>
    <w:p>
      <w:pPr>
        <w:numPr>
          <w:ilvl w:val="0"/>
          <w:numId w:val="5"/>
        </w:numPr>
        <w:spacing w:line="360" w:lineRule="auto"/>
        <w:rPr>
          <w:rFonts w:hint="eastAsia" w:ascii="宋体" w:hAnsi="宋体"/>
          <w:sz w:val="24"/>
          <w:highlight w:val="none"/>
        </w:rPr>
      </w:pPr>
      <w:r>
        <w:rPr>
          <w:rFonts w:hint="eastAsia" w:asciiTheme="minorEastAsia" w:hAnsiTheme="minorEastAsia" w:eastAsiaTheme="minorEastAsia" w:cstheme="minorEastAsia"/>
          <w:sz w:val="24"/>
          <w:highlight w:val="none"/>
        </w:rPr>
        <w:t>严格执行用电管理制度，所有的电气设备必须由专职电工接线、安装，严禁施工人员擅自乱拉、乱接电源。</w:t>
      </w:r>
    </w:p>
    <w:p>
      <w:pPr>
        <w:numPr>
          <w:ilvl w:val="0"/>
          <w:numId w:val="5"/>
        </w:numPr>
        <w:spacing w:line="360" w:lineRule="auto"/>
        <w:rPr>
          <w:rFonts w:hint="eastAsia" w:ascii="宋体" w:hAnsi="宋体"/>
          <w:sz w:val="24"/>
          <w:highlight w:val="none"/>
        </w:rPr>
      </w:pPr>
      <w:r>
        <w:rPr>
          <w:rFonts w:hint="eastAsia" w:asciiTheme="minorEastAsia" w:hAnsiTheme="minorEastAsia" w:eastAsiaTheme="minorEastAsia" w:cstheme="minorEastAsia"/>
          <w:sz w:val="24"/>
          <w:highlight w:val="none"/>
        </w:rPr>
        <w:t>在动火操作结束离开现场前，投标方要对作业面进行一次安全检查，消除火源、熔渣，消除火灾隐患。</w:t>
      </w:r>
    </w:p>
    <w:p>
      <w:pPr>
        <w:numPr>
          <w:ilvl w:val="0"/>
          <w:numId w:val="5"/>
        </w:numPr>
        <w:spacing w:line="360" w:lineRule="auto"/>
        <w:rPr>
          <w:rFonts w:hint="eastAsia" w:ascii="宋体" w:hAnsi="宋体"/>
          <w:sz w:val="24"/>
          <w:highlight w:val="none"/>
        </w:rPr>
      </w:pPr>
      <w:r>
        <w:rPr>
          <w:rFonts w:hint="eastAsia" w:asciiTheme="minorEastAsia" w:hAnsiTheme="minorEastAsia" w:eastAsiaTheme="minorEastAsia" w:cstheme="minorEastAsia"/>
          <w:sz w:val="24"/>
          <w:highlight w:val="none"/>
        </w:rPr>
        <w:t>投标方在检修期间需将栏杆、楼板拆除或在设备拆除后形成的孔洞周围，必须装设牢固的临时遮栏，并设有明显的警告标志。</w:t>
      </w:r>
    </w:p>
    <w:p>
      <w:pPr>
        <w:numPr>
          <w:ilvl w:val="0"/>
          <w:numId w:val="5"/>
        </w:numPr>
        <w:spacing w:line="360" w:lineRule="auto"/>
        <w:rPr>
          <w:rFonts w:hint="eastAsia" w:ascii="宋体" w:hAnsi="宋体"/>
          <w:sz w:val="24"/>
          <w:highlight w:val="none"/>
        </w:rPr>
      </w:pPr>
      <w:r>
        <w:rPr>
          <w:rFonts w:hint="eastAsia" w:asciiTheme="minorEastAsia" w:hAnsiTheme="minorEastAsia" w:eastAsiaTheme="minorEastAsia" w:cstheme="minorEastAsia"/>
          <w:sz w:val="24"/>
          <w:highlight w:val="none"/>
        </w:rPr>
        <w:t>电动工器具的使用，投标方必须采用两级漏电保护，除检修电源箱的漏电保护器外，电动工器具前必须装设漏电保护器，并在每次使用前，试验漏电保护器动作是否正常，否则禁止使用。</w:t>
      </w:r>
    </w:p>
    <w:p>
      <w:pPr>
        <w:numPr>
          <w:ilvl w:val="0"/>
          <w:numId w:val="5"/>
        </w:numPr>
        <w:spacing w:line="360" w:lineRule="auto"/>
        <w:rPr>
          <w:rFonts w:hint="eastAsia" w:ascii="宋体" w:hAnsi="宋体"/>
          <w:sz w:val="24"/>
          <w:highlight w:val="none"/>
        </w:rPr>
      </w:pPr>
      <w:r>
        <w:rPr>
          <w:rFonts w:hint="eastAsia" w:asciiTheme="minorEastAsia" w:hAnsiTheme="minorEastAsia" w:eastAsiaTheme="minorEastAsia" w:cstheme="minorEastAsia"/>
          <w:sz w:val="24"/>
          <w:highlight w:val="none"/>
        </w:rPr>
        <w:t>投标方在施工期间，必须安装警戒围栏隔离大修区域。</w:t>
      </w:r>
    </w:p>
    <w:p>
      <w:pPr>
        <w:numPr>
          <w:ilvl w:val="0"/>
          <w:numId w:val="5"/>
        </w:numPr>
        <w:spacing w:line="360" w:lineRule="auto"/>
        <w:rPr>
          <w:rFonts w:hint="eastAsia" w:ascii="宋体" w:hAnsi="宋体"/>
          <w:sz w:val="24"/>
          <w:highlight w:val="none"/>
        </w:rPr>
      </w:pPr>
      <w:r>
        <w:rPr>
          <w:rFonts w:hint="eastAsia" w:asciiTheme="minorEastAsia" w:hAnsiTheme="minorEastAsia" w:eastAsiaTheme="minorEastAsia" w:cstheme="minorEastAsia"/>
          <w:sz w:val="24"/>
          <w:highlight w:val="none"/>
        </w:rPr>
        <w:t>施工人员要统一着装，并符合劳动保护要求。</w:t>
      </w:r>
    </w:p>
    <w:p>
      <w:pPr>
        <w:numPr>
          <w:ilvl w:val="0"/>
          <w:numId w:val="5"/>
        </w:numPr>
        <w:spacing w:line="360" w:lineRule="auto"/>
        <w:rPr>
          <w:rFonts w:hint="eastAsia" w:ascii="宋体" w:hAnsi="宋体"/>
          <w:sz w:val="24"/>
          <w:highlight w:val="none"/>
        </w:rPr>
      </w:pPr>
      <w:r>
        <w:rPr>
          <w:rFonts w:hint="eastAsia" w:asciiTheme="minorEastAsia" w:hAnsiTheme="minorEastAsia" w:eastAsiaTheme="minorEastAsia" w:cstheme="minorEastAsia"/>
          <w:sz w:val="24"/>
          <w:highlight w:val="none"/>
        </w:rPr>
        <w:t>工器具、材料、检修设备摆放合理归整，有完备的预防污染、防盗、防火、防锈、防水、防尘措施。</w:t>
      </w:r>
    </w:p>
    <w:p>
      <w:pPr>
        <w:numPr>
          <w:ilvl w:val="0"/>
          <w:numId w:val="5"/>
        </w:numPr>
        <w:spacing w:line="360" w:lineRule="auto"/>
        <w:rPr>
          <w:rFonts w:hint="eastAsia" w:ascii="宋体" w:hAnsi="宋体"/>
          <w:sz w:val="24"/>
          <w:highlight w:val="none"/>
        </w:rPr>
      </w:pPr>
      <w:r>
        <w:rPr>
          <w:rFonts w:hint="eastAsia" w:asciiTheme="minorEastAsia" w:hAnsiTheme="minorEastAsia" w:eastAsiaTheme="minorEastAsia" w:cstheme="minorEastAsia"/>
          <w:sz w:val="24"/>
          <w:highlight w:val="none"/>
        </w:rPr>
        <w:t>施工现场禁止吸烟，严禁酒后进入施工现场。</w:t>
      </w:r>
    </w:p>
    <w:p>
      <w:pPr>
        <w:numPr>
          <w:ilvl w:val="0"/>
          <w:numId w:val="5"/>
        </w:numPr>
        <w:spacing w:line="360" w:lineRule="auto"/>
        <w:rPr>
          <w:rFonts w:hint="eastAsia" w:ascii="宋体" w:hAnsi="宋体"/>
          <w:sz w:val="24"/>
          <w:highlight w:val="none"/>
        </w:rPr>
      </w:pPr>
      <w:r>
        <w:rPr>
          <w:rFonts w:hint="eastAsia" w:asciiTheme="minorEastAsia" w:hAnsiTheme="minorEastAsia" w:eastAsiaTheme="minorEastAsia" w:cstheme="minorEastAsia"/>
          <w:sz w:val="24"/>
          <w:highlight w:val="none"/>
        </w:rPr>
        <w:t>投标方所有车辆应按照招标方要求，在指定地点停放。</w:t>
      </w:r>
    </w:p>
    <w:p>
      <w:pPr>
        <w:numPr>
          <w:ilvl w:val="0"/>
          <w:numId w:val="5"/>
        </w:numPr>
        <w:spacing w:line="360" w:lineRule="auto"/>
        <w:rPr>
          <w:rFonts w:hint="eastAsia" w:ascii="宋体" w:hAnsi="宋体"/>
          <w:sz w:val="24"/>
          <w:highlight w:val="none"/>
        </w:rPr>
      </w:pPr>
      <w:r>
        <w:rPr>
          <w:rFonts w:hint="eastAsia" w:asciiTheme="minorEastAsia" w:hAnsiTheme="minorEastAsia" w:eastAsiaTheme="minorEastAsia" w:cstheme="minorEastAsia"/>
          <w:sz w:val="24"/>
          <w:highlight w:val="none"/>
        </w:rPr>
        <w:t>施工现场内道路必须畅通，应有良好的排水措施，无积水。</w:t>
      </w:r>
    </w:p>
    <w:p>
      <w:pPr>
        <w:numPr>
          <w:ilvl w:val="0"/>
          <w:numId w:val="5"/>
        </w:numPr>
        <w:spacing w:line="360" w:lineRule="auto"/>
        <w:rPr>
          <w:highlight w:val="none"/>
        </w:rPr>
      </w:pPr>
      <w:r>
        <w:rPr>
          <w:rFonts w:hint="eastAsia" w:asciiTheme="minorEastAsia" w:hAnsiTheme="minorEastAsia" w:eastAsiaTheme="minorEastAsia" w:cstheme="minorEastAsia"/>
          <w:sz w:val="24"/>
          <w:highlight w:val="none"/>
        </w:rPr>
        <w:t>进入施工现场要戴安全帽，高空作业时要正确使用安全带。</w:t>
      </w:r>
    </w:p>
    <w:p>
      <w:p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4.5人员资质要求</w:t>
      </w:r>
    </w:p>
    <w:p>
      <w:pPr>
        <w:numPr>
          <w:ilvl w:val="0"/>
          <w:numId w:val="6"/>
        </w:numPr>
        <w:pBdr>
          <w:top w:val="none" w:color="000000" w:sz="0" w:space="0"/>
          <w:left w:val="none" w:color="000000" w:sz="0" w:space="0"/>
          <w:bottom w:val="none" w:color="000000" w:sz="0" w:space="0"/>
          <w:right w:val="none" w:color="000000" w:sz="0" w:space="0"/>
        </w:pBdr>
        <w:spacing w:line="360" w:lineRule="auto"/>
        <w:rPr>
          <w:sz w:val="24"/>
          <w:highlight w:val="none"/>
        </w:rPr>
      </w:pPr>
      <w:r>
        <w:rPr>
          <w:rFonts w:hint="eastAsia" w:asciiTheme="minorEastAsia" w:hAnsiTheme="minorEastAsia" w:eastAsiaTheme="minorEastAsia" w:cstheme="minorEastAsia"/>
          <w:sz w:val="24"/>
          <w:highlight w:val="none"/>
        </w:rPr>
        <w:t>投标方推荐的项目经理须为投标单位正式员工（以劳动合同、社保证明为准并提供复印件），要求担任过600MW及以上火电机组检修项目经理经历，年龄55周岁以下，取得初级及以上专业技术职称。现场项目经理至少1名。</w:t>
      </w:r>
    </w:p>
    <w:p>
      <w:pPr>
        <w:numPr>
          <w:ilvl w:val="0"/>
          <w:numId w:val="6"/>
        </w:numPr>
        <w:pBdr>
          <w:top w:val="none" w:color="000000" w:sz="0" w:space="0"/>
          <w:left w:val="none" w:color="000000" w:sz="0" w:space="0"/>
          <w:bottom w:val="none" w:color="000000" w:sz="0" w:space="0"/>
          <w:right w:val="none" w:color="000000" w:sz="0" w:space="0"/>
        </w:pBdr>
        <w:spacing w:line="360" w:lineRule="auto"/>
        <w:rPr>
          <w:sz w:val="24"/>
          <w:highlight w:val="none"/>
        </w:rPr>
      </w:pPr>
      <w:r>
        <w:rPr>
          <w:rFonts w:hint="eastAsia" w:asciiTheme="minorEastAsia" w:hAnsiTheme="minorEastAsia" w:eastAsiaTheme="minorEastAsia" w:cstheme="minorEastAsia"/>
          <w:sz w:val="24"/>
          <w:highlight w:val="none"/>
        </w:rPr>
        <w:t>投标方推荐的项目技术负责人须为投标单位正式员工（以劳动合同、社保证明为准并提供复印件），要求担任过600MW及以上火电机组检修项目经历，年龄55周岁以下，大专及以上学历。技术负责人至少配置1名。</w:t>
      </w:r>
    </w:p>
    <w:p>
      <w:pPr>
        <w:numPr>
          <w:ilvl w:val="0"/>
          <w:numId w:val="6"/>
        </w:numPr>
        <w:pBdr>
          <w:top w:val="none" w:color="000000" w:sz="0" w:space="0"/>
          <w:left w:val="none" w:color="000000" w:sz="0" w:space="0"/>
          <w:bottom w:val="none" w:color="000000" w:sz="0" w:space="0"/>
          <w:right w:val="none" w:color="000000" w:sz="0" w:space="0"/>
        </w:pBdr>
        <w:spacing w:line="360" w:lineRule="auto"/>
        <w:rPr>
          <w:sz w:val="24"/>
          <w:highlight w:val="none"/>
        </w:rPr>
      </w:pPr>
      <w:r>
        <w:rPr>
          <w:rFonts w:hint="eastAsia" w:asciiTheme="minorEastAsia" w:hAnsiTheme="minorEastAsia" w:eastAsiaTheme="minorEastAsia" w:cstheme="minorEastAsia"/>
          <w:sz w:val="24"/>
          <w:highlight w:val="none"/>
        </w:rPr>
        <w:t>投标方推荐的项目专职安全员须为投标单位正式员工（以劳动合同、社保证明为准并提供复印件），要求担任过600MW及以上火电机组检修项目安全员经历，年龄55周岁以下，初中及以上以上学历并持有安全管理C证。专职安全员至少配置1名。</w:t>
      </w:r>
    </w:p>
    <w:p>
      <w:pPr>
        <w:numPr>
          <w:ilvl w:val="0"/>
          <w:numId w:val="6"/>
        </w:numPr>
        <w:pBdr>
          <w:top w:val="none" w:color="000000" w:sz="0" w:space="0"/>
          <w:left w:val="none" w:color="000000" w:sz="0" w:space="0"/>
          <w:bottom w:val="none" w:color="000000" w:sz="0" w:space="0"/>
          <w:right w:val="none" w:color="000000" w:sz="0" w:space="0"/>
        </w:pBdr>
        <w:spacing w:line="360" w:lineRule="auto"/>
        <w:rPr>
          <w:sz w:val="24"/>
          <w:highlight w:val="none"/>
        </w:rPr>
      </w:pPr>
      <w:r>
        <w:rPr>
          <w:rFonts w:hint="eastAsia" w:asciiTheme="minorEastAsia" w:hAnsiTheme="minorEastAsia" w:eastAsiaTheme="minorEastAsia" w:cstheme="minorEastAsia"/>
          <w:sz w:val="24"/>
          <w:highlight w:val="none"/>
        </w:rPr>
        <w:t>投标方推荐的作业人员年龄需符合劳动法，三级体力劳动者不得超过55岁，无作业禁忌症，特种作业人员需持证上岗。作业人员须有保险。</w:t>
      </w:r>
    </w:p>
    <w:p>
      <w:p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4.6保温架子相关技术要求</w:t>
      </w:r>
    </w:p>
    <w:p>
      <w:p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4.6.1架子材料质量要求：</w:t>
      </w:r>
    </w:p>
    <w:p>
      <w:pPr>
        <w:pStyle w:val="408"/>
        <w:numPr>
          <w:ilvl w:val="0"/>
          <w:numId w:val="7"/>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脚手架应采用Q235钢管，外径48mm-51mm，壁厚3mm-3.5mm，长度1m-6.5m，每根钢管的重量不得大于25kg,涂刷颜色一致的底漆和面漆防锈。有弯曲、压扁、有裂纹或严重锈蚀的钢管应禁止使用。</w:t>
      </w:r>
    </w:p>
    <w:p>
      <w:pPr>
        <w:pStyle w:val="408"/>
        <w:numPr>
          <w:ilvl w:val="0"/>
          <w:numId w:val="7"/>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竹脚手架采用的毛竹需采用3年以上、坚固无伤的毛竹，其立杆、大横杆、剪刀撑、支杆等部件小头直径不得小于75mm，小横杆的小头直径不得小于90mm。凡青嫩、枯脆、白麻、虫蛀的，禁止使用。</w:t>
      </w:r>
    </w:p>
    <w:p>
      <w:pPr>
        <w:pStyle w:val="408"/>
        <w:numPr>
          <w:ilvl w:val="0"/>
          <w:numId w:val="7"/>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扣件采用可锻铸铁制造，活动部位应能灵活转动，存放仓库时涂一层机油防锈，旋转扣件的两旋转面间隙应小于1mm。旧扣件使用前进行检查，有脆裂、变形、滑扣应报废和禁止使用。</w:t>
      </w:r>
    </w:p>
    <w:p>
      <w:pPr>
        <w:pStyle w:val="408"/>
        <w:numPr>
          <w:ilvl w:val="0"/>
          <w:numId w:val="7"/>
        </w:numPr>
        <w:spacing w:line="360" w:lineRule="auto"/>
        <w:ind w:left="420"/>
        <w:rPr>
          <w:rFonts w:hint="eastAsia" w:asciiTheme="minorEastAsia" w:hAnsiTheme="minorEastAsia"/>
          <w:sz w:val="24"/>
          <w:highlight w:val="none"/>
        </w:rPr>
      </w:pPr>
      <w:r>
        <w:rPr>
          <w:rFonts w:asciiTheme="minorEastAsia" w:hAnsiTheme="minorEastAsia" w:eastAsiaTheme="minorEastAsia" w:cstheme="minorEastAsia"/>
          <w:sz w:val="24"/>
          <w:highlight w:val="none"/>
        </w:rPr>
        <w:t>钢脚手板</w:t>
      </w:r>
      <w:r>
        <w:rPr>
          <w:rFonts w:hint="eastAsia" w:asciiTheme="minorEastAsia" w:hAnsiTheme="minorEastAsia" w:eastAsiaTheme="minorEastAsia" w:cstheme="minorEastAsia"/>
          <w:sz w:val="24"/>
          <w:highlight w:val="none"/>
        </w:rPr>
        <w:t>厚度为2mm-3mm，长度1.5m-4m，宽度23cm-25cm，肋高5cm,两端应设有连接装置，板面应设有防滑孔。有弯曲、有裂纹或开焊的，禁止使用。</w:t>
      </w:r>
    </w:p>
    <w:p>
      <w:pPr>
        <w:pStyle w:val="408"/>
        <w:numPr>
          <w:ilvl w:val="0"/>
          <w:numId w:val="7"/>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竹</w:t>
      </w:r>
      <w:r>
        <w:rPr>
          <w:rFonts w:asciiTheme="minorEastAsia" w:hAnsiTheme="minorEastAsia" w:eastAsiaTheme="minorEastAsia" w:cstheme="minorEastAsia"/>
          <w:sz w:val="24"/>
          <w:highlight w:val="none"/>
        </w:rPr>
        <w:t>脚手板采用</w:t>
      </w:r>
      <w:r>
        <w:rPr>
          <w:rFonts w:hint="eastAsia" w:asciiTheme="minorEastAsia" w:hAnsiTheme="minorEastAsia" w:eastAsiaTheme="minorEastAsia" w:cstheme="minorEastAsia"/>
          <w:sz w:val="24"/>
          <w:highlight w:val="none"/>
        </w:rPr>
        <w:t>毛竹或楠竹，用直径8mm-10mm螺栓将竹片并列连接而成，竹片厚度不小于50mm，螺栓必须拧紧。长度为2.4m-3m，宽度30cm为宜。</w:t>
      </w:r>
    </w:p>
    <w:p>
      <w:pPr>
        <w:pStyle w:val="408"/>
        <w:numPr>
          <w:ilvl w:val="0"/>
          <w:numId w:val="7"/>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扎紧使用的镀锌钢丝直径不得小于4mm。</w:t>
      </w:r>
    </w:p>
    <w:p>
      <w:pPr>
        <w:pStyle w:val="408"/>
        <w:numPr>
          <w:ilvl w:val="0"/>
          <w:numId w:val="7"/>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踢脚板应采用厚度不小于1.5mm的钢板，板高不低于180mm，涂刷安全标识。</w:t>
      </w:r>
    </w:p>
    <w:p>
      <w:p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4.6.2架子施工技术要求：</w:t>
      </w:r>
    </w:p>
    <w:p>
      <w:pPr>
        <w:pStyle w:val="408"/>
        <w:numPr>
          <w:ilvl w:val="0"/>
          <w:numId w:val="8"/>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脚手架一般搭设流程：</w:t>
      </w:r>
      <w:r>
        <w:rPr>
          <w:rFonts w:asciiTheme="minorEastAsia" w:hAnsiTheme="minorEastAsia" w:eastAsiaTheme="minorEastAsia" w:cstheme="minorEastAsia"/>
          <w:sz w:val="24"/>
          <w:highlight w:val="none"/>
        </w:rPr>
        <w:t>备料—摆放好扫地杆—逐根竖立好立杆并与扫地杆扣紧—装扫地杆的小横杆与立杆和小横杆扣紧—装第一步大横杆并与各立杆扣紧—安装第一步小横杆—安装第二步大横杆—安装第三步小横杆—加设临时斜撑，上端与大横杆扣紧（在安装连接杆后，拆除临时</w:t>
      </w:r>
      <w:r>
        <w:rPr>
          <w:rFonts w:hint="eastAsia" w:asciiTheme="minorEastAsia" w:hAnsiTheme="minorEastAsia" w:eastAsiaTheme="minorEastAsia" w:cstheme="minorEastAsia"/>
          <w:sz w:val="24"/>
          <w:highlight w:val="none"/>
        </w:rPr>
        <w:t>斜</w:t>
      </w:r>
      <w:r>
        <w:rPr>
          <w:rFonts w:asciiTheme="minorEastAsia" w:hAnsiTheme="minorEastAsia" w:eastAsiaTheme="minorEastAsia" w:cstheme="minorEastAsia"/>
          <w:sz w:val="24"/>
          <w:highlight w:val="none"/>
        </w:rPr>
        <w:t>撑）—安装第三、四步大横杆和小横杆—安装连接（墙）杆—提高立杆—加装剪刀撑—脚手板铺设—设置护身栏杆并挂立网—荷载、安全性试验（抽样）—管理牌挂置—专业人员检查、验收—交付使用—不定期检查。</w:t>
      </w:r>
      <w:r>
        <w:rPr>
          <w:rFonts w:hint="eastAsia" w:asciiTheme="minorEastAsia" w:hAnsiTheme="minorEastAsia" w:eastAsiaTheme="minorEastAsia" w:cstheme="minorEastAsia"/>
          <w:sz w:val="24"/>
          <w:highlight w:val="none"/>
        </w:rPr>
        <w:t>（可根据现场情况做适当改变）</w:t>
      </w:r>
    </w:p>
    <w:p>
      <w:pPr>
        <w:pStyle w:val="408"/>
        <w:numPr>
          <w:ilvl w:val="0"/>
          <w:numId w:val="8"/>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脚手架载荷不得超过270kg/㎡。小横杆、大横杆和立杆是传递垂直荷载的主要构件；剪力撑、斜撑和连墙件主要保证脚手架整体刚度和稳定性的，并且加强抵抗垂直和水平作用的能力；连墙件则承受全部的风荷载；扣件则是架子组成整体的联结件和传力件。禁止在脚手架和脚手板上进行起重工作、聚集人员或放置超荷重的物件。</w:t>
      </w:r>
    </w:p>
    <w:p>
      <w:pPr>
        <w:pStyle w:val="408"/>
        <w:numPr>
          <w:ilvl w:val="0"/>
          <w:numId w:val="8"/>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脚手架不得钢、木混搭。</w:t>
      </w:r>
    </w:p>
    <w:p>
      <w:pPr>
        <w:pStyle w:val="408"/>
        <w:numPr>
          <w:ilvl w:val="0"/>
          <w:numId w:val="8"/>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脚手架</w:t>
      </w:r>
      <w:r>
        <w:rPr>
          <w:rFonts w:asciiTheme="minorEastAsia" w:hAnsiTheme="minorEastAsia" w:eastAsiaTheme="minorEastAsia" w:cstheme="minorEastAsia"/>
          <w:sz w:val="24"/>
          <w:highlight w:val="none"/>
        </w:rPr>
        <w:t>立杆水平间距必须小于2m，大横杆间距不大于1.2m，小横杆间距不大于1.5m，立杆垂直度的偏差不得大于架高的1/200。</w:t>
      </w:r>
    </w:p>
    <w:p>
      <w:pPr>
        <w:pStyle w:val="408"/>
        <w:numPr>
          <w:ilvl w:val="0"/>
          <w:numId w:val="8"/>
        </w:numPr>
        <w:spacing w:line="360" w:lineRule="auto"/>
        <w:ind w:left="420"/>
        <w:rPr>
          <w:rFonts w:hint="eastAsia" w:asciiTheme="minorEastAsia" w:hAnsiTheme="minorEastAsia"/>
          <w:sz w:val="24"/>
          <w:highlight w:val="none"/>
        </w:rPr>
      </w:pPr>
      <w:r>
        <w:rPr>
          <w:rFonts w:asciiTheme="minorEastAsia" w:hAnsiTheme="minorEastAsia" w:eastAsiaTheme="minorEastAsia" w:cstheme="minorEastAsia"/>
          <w:sz w:val="24"/>
          <w:highlight w:val="none"/>
        </w:rPr>
        <w:t>脚手架基础有排水措施，以防积水造成地基松软使脚手架下沉。</w:t>
      </w:r>
      <w:r>
        <w:rPr>
          <w:rFonts w:hint="eastAsia" w:asciiTheme="minorEastAsia" w:hAnsiTheme="minorEastAsia" w:eastAsiaTheme="minorEastAsia" w:cstheme="minorEastAsia"/>
          <w:sz w:val="24"/>
          <w:highlight w:val="none"/>
        </w:rPr>
        <w:t>立杆必须垂直安放在垫脚上，在安置垫脚前应将地面夯实、平整。</w:t>
      </w:r>
      <w:r>
        <w:rPr>
          <w:rFonts w:asciiTheme="minorEastAsia" w:hAnsiTheme="minorEastAsia" w:eastAsiaTheme="minorEastAsia" w:cstheme="minorEastAsia"/>
          <w:sz w:val="24"/>
          <w:highlight w:val="none"/>
        </w:rPr>
        <w:t>土质较好时，在原地夯实后垫好5cm以上厚度的长木板，木板上设置好钢管底座，脚手架的立杆垂直放在金属底座上，立杆底部应加扫地杆用扣件紧固。脚手架高度超过30m，地基回填土应分层夯实到80</w:t>
      </w:r>
      <w:r>
        <w:rPr>
          <w:rFonts w:hint="eastAsia" w:asciiTheme="minorEastAsia" w:hAnsiTheme="minorEastAsia" w:eastAsiaTheme="minorEastAsia" w:cstheme="minorEastAsia"/>
          <w:sz w:val="24"/>
          <w:highlight w:val="none"/>
        </w:rPr>
        <w:t>k</w:t>
      </w:r>
      <w:r>
        <w:rPr>
          <w:rFonts w:asciiTheme="minorEastAsia" w:hAnsiTheme="minorEastAsia" w:eastAsiaTheme="minorEastAsia" w:cstheme="minorEastAsia"/>
          <w:sz w:val="24"/>
          <w:highlight w:val="none"/>
        </w:rPr>
        <w:t>N/m</w:t>
      </w:r>
      <w:r>
        <w:rPr>
          <w:rFonts w:asciiTheme="minorEastAsia" w:hAnsiTheme="minorEastAsia" w:eastAsiaTheme="minorEastAsia" w:cstheme="minorEastAsia"/>
          <w:sz w:val="24"/>
          <w:highlight w:val="none"/>
          <w:vertAlign w:val="superscript"/>
        </w:rPr>
        <w:t>2</w:t>
      </w:r>
      <w:r>
        <w:rPr>
          <w:rFonts w:hint="eastAsia" w:asciiTheme="minorEastAsia" w:hAnsiTheme="minorEastAsia" w:eastAsiaTheme="minorEastAsia" w:cstheme="minorEastAsia"/>
          <w:sz w:val="24"/>
          <w:highlight w:val="none"/>
        </w:rPr>
        <w:t>，再采取枕木支垫或槽钢垫底等措施。</w:t>
      </w:r>
    </w:p>
    <w:p>
      <w:pPr>
        <w:pStyle w:val="408"/>
        <w:numPr>
          <w:ilvl w:val="0"/>
          <w:numId w:val="8"/>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脚手架底部必须设置纵、横向扫地杆。纵向扫地杆应用直角扣件固定在距垫脚表面不大于200mm处的立杆上，横向扫地杆应用直角扣件固定在紧靠纵向扫地杆下方的立杆上。</w:t>
      </w:r>
    </w:p>
    <w:p>
      <w:pPr>
        <w:pStyle w:val="408"/>
        <w:numPr>
          <w:ilvl w:val="0"/>
          <w:numId w:val="8"/>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立杆</w:t>
      </w:r>
      <w:r>
        <w:rPr>
          <w:rFonts w:asciiTheme="minorEastAsia" w:hAnsiTheme="minorEastAsia" w:eastAsiaTheme="minorEastAsia" w:cstheme="minorEastAsia"/>
          <w:sz w:val="24"/>
          <w:highlight w:val="none"/>
        </w:rPr>
        <w:t>的垂直偏差：架高在30m以下时，偏差不大于架高的1/200，架高在30m以上时，偏差不大于架高的1/400-1/600，同时保证全高偏差不大于100mm。相邻立杆的接头要互相错开，不能在同一步距以内，接头距大横杆的距离不要大于步距的1/3。</w:t>
      </w:r>
    </w:p>
    <w:p>
      <w:pPr>
        <w:pStyle w:val="408"/>
        <w:numPr>
          <w:ilvl w:val="0"/>
          <w:numId w:val="8"/>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大横杆的水平偏差：大横杆的</w:t>
      </w:r>
      <w:r>
        <w:rPr>
          <w:rFonts w:asciiTheme="minorEastAsia" w:hAnsiTheme="minorEastAsia" w:eastAsiaTheme="minorEastAsia" w:cstheme="minorEastAsia"/>
          <w:sz w:val="24"/>
          <w:highlight w:val="none"/>
        </w:rPr>
        <w:t>每一面脚手架纵向水平高低差不超过60mm，</w:t>
      </w:r>
      <w:r>
        <w:rPr>
          <w:rFonts w:hint="eastAsia" w:asciiTheme="minorEastAsia" w:hAnsiTheme="minorEastAsia" w:eastAsiaTheme="minorEastAsia" w:cstheme="minorEastAsia"/>
          <w:sz w:val="24"/>
          <w:highlight w:val="none"/>
        </w:rPr>
        <w:t>水平</w:t>
      </w:r>
      <w:r>
        <w:rPr>
          <w:rFonts w:asciiTheme="minorEastAsia" w:hAnsiTheme="minorEastAsia" w:eastAsiaTheme="minorEastAsia" w:cstheme="minorEastAsia"/>
          <w:sz w:val="24"/>
          <w:highlight w:val="none"/>
        </w:rPr>
        <w:t>方向相邻的内外两根大横杆的接头应相互错开，不宜在同一</w:t>
      </w:r>
      <w:r>
        <w:rPr>
          <w:rFonts w:hint="eastAsia" w:asciiTheme="minorEastAsia" w:hAnsiTheme="minorEastAsia" w:eastAsiaTheme="minorEastAsia" w:cstheme="minorEastAsia"/>
          <w:sz w:val="24"/>
          <w:highlight w:val="none"/>
        </w:rPr>
        <w:t>步距内</w:t>
      </w:r>
      <w:r>
        <w:rPr>
          <w:rFonts w:asciiTheme="minorEastAsia" w:hAnsiTheme="minorEastAsia" w:eastAsiaTheme="minorEastAsia" w:cstheme="minorEastAsia"/>
          <w:sz w:val="24"/>
          <w:highlight w:val="none"/>
        </w:rPr>
        <w:t>，垂直方向相邻的</w:t>
      </w:r>
      <w:r>
        <w:rPr>
          <w:rFonts w:hint="eastAsia" w:asciiTheme="minorEastAsia" w:hAnsiTheme="minorEastAsia" w:eastAsiaTheme="minorEastAsia" w:cstheme="minorEastAsia"/>
          <w:sz w:val="24"/>
          <w:highlight w:val="none"/>
        </w:rPr>
        <w:t>上下</w:t>
      </w:r>
      <w:r>
        <w:rPr>
          <w:rFonts w:asciiTheme="minorEastAsia" w:hAnsiTheme="minorEastAsia" w:eastAsiaTheme="minorEastAsia" w:cstheme="minorEastAsia"/>
          <w:sz w:val="24"/>
          <w:highlight w:val="none"/>
        </w:rPr>
        <w:t>两根大横杆接头也应错开，水平间距不小于1m。大横杆放置在立杆</w:t>
      </w:r>
      <w:r>
        <w:rPr>
          <w:rFonts w:hint="eastAsia" w:asciiTheme="minorEastAsia" w:hAnsiTheme="minorEastAsia" w:eastAsiaTheme="minorEastAsia" w:cstheme="minorEastAsia"/>
          <w:sz w:val="24"/>
          <w:highlight w:val="none"/>
        </w:rPr>
        <w:t>内</w:t>
      </w:r>
      <w:r>
        <w:rPr>
          <w:rFonts w:asciiTheme="minorEastAsia" w:hAnsiTheme="minorEastAsia" w:eastAsiaTheme="minorEastAsia" w:cstheme="minorEastAsia"/>
          <w:sz w:val="24"/>
          <w:highlight w:val="none"/>
        </w:rPr>
        <w:t>侧，立杆与大横杆用直角扣件扣紧，每个节点不能卸扣，同一大横杆的水平偏差不能大于架子全长的1/300，不能大于50mm。</w:t>
      </w:r>
    </w:p>
    <w:p>
      <w:pPr>
        <w:pStyle w:val="408"/>
        <w:numPr>
          <w:ilvl w:val="0"/>
          <w:numId w:val="8"/>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每一主节点(即立杆、大横杆交汇处)处必须设置一小横杆，并采用直角扣件扣紧在大横杆上，该杆轴线偏离主节点的距离不应大于150mm。小横杆搭设与大横杆之上，</w:t>
      </w:r>
      <w:r>
        <w:rPr>
          <w:rFonts w:asciiTheme="minorEastAsia" w:hAnsiTheme="minorEastAsia" w:eastAsiaTheme="minorEastAsia" w:cstheme="minorEastAsia"/>
          <w:sz w:val="24"/>
          <w:highlight w:val="none"/>
        </w:rPr>
        <w:t>上下各层的小横杆沿立杆左右两侧</w:t>
      </w:r>
      <w:r>
        <w:rPr>
          <w:rFonts w:hint="eastAsia" w:asciiTheme="minorEastAsia" w:hAnsiTheme="minorEastAsia" w:eastAsiaTheme="minorEastAsia" w:cstheme="minorEastAsia"/>
          <w:sz w:val="24"/>
          <w:highlight w:val="none"/>
        </w:rPr>
        <w:t>等间距</w:t>
      </w:r>
      <w:r>
        <w:rPr>
          <w:rFonts w:asciiTheme="minorEastAsia" w:hAnsiTheme="minorEastAsia" w:eastAsiaTheme="minorEastAsia" w:cstheme="minorEastAsia"/>
          <w:sz w:val="24"/>
          <w:highlight w:val="none"/>
        </w:rPr>
        <w:t>分别设置，以减少偏向受力</w:t>
      </w:r>
      <w:r>
        <w:rPr>
          <w:rFonts w:hint="eastAsia" w:asciiTheme="minorEastAsia" w:hAnsiTheme="minorEastAsia" w:eastAsiaTheme="minorEastAsia" w:cstheme="minorEastAsia"/>
          <w:sz w:val="24"/>
          <w:highlight w:val="none"/>
        </w:rPr>
        <w:t>，施工层小横杆间距为1m</w:t>
      </w:r>
      <w:r>
        <w:rPr>
          <w:rFonts w:asciiTheme="minorEastAsia" w:hAnsiTheme="minorEastAsia" w:eastAsiaTheme="minorEastAsia" w:cstheme="minorEastAsia"/>
          <w:sz w:val="24"/>
          <w:highlight w:val="none"/>
        </w:rPr>
        <w:t>。</w:t>
      </w:r>
    </w:p>
    <w:p>
      <w:pPr>
        <w:pStyle w:val="408"/>
        <w:numPr>
          <w:ilvl w:val="0"/>
          <w:numId w:val="8"/>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剪刀撑可在脚手架的外立面的两端设置，由底至顶连续搭设交叉成十字形的双杆互相交叉，与地面成45°～60°夹角，作用是把脚手架连成整体，增加脚手架的整体稳定。中间每道剪刀撑的净距不应大于15m。剪刀撑的接头除顶层可以采用搭接外，其余各接头均必须采用对接扣件连接，</w:t>
      </w:r>
      <w:r>
        <w:rPr>
          <w:rFonts w:asciiTheme="minorEastAsia" w:hAnsiTheme="minorEastAsia" w:eastAsiaTheme="minorEastAsia" w:cstheme="minorEastAsia"/>
          <w:sz w:val="24"/>
          <w:highlight w:val="none"/>
        </w:rPr>
        <w:t>剪刀撑</w:t>
      </w:r>
      <w:r>
        <w:rPr>
          <w:rFonts w:hint="eastAsia" w:asciiTheme="minorEastAsia" w:hAnsiTheme="minorEastAsia" w:eastAsiaTheme="minorEastAsia" w:cstheme="minorEastAsia"/>
          <w:sz w:val="24"/>
          <w:highlight w:val="none"/>
        </w:rPr>
        <w:t>一端</w:t>
      </w:r>
      <w:r>
        <w:rPr>
          <w:rFonts w:asciiTheme="minorEastAsia" w:hAnsiTheme="minorEastAsia" w:eastAsiaTheme="minorEastAsia" w:cstheme="minorEastAsia"/>
          <w:sz w:val="24"/>
          <w:highlight w:val="none"/>
        </w:rPr>
        <w:t>扣在立杆上，另</w:t>
      </w:r>
      <w:r>
        <w:rPr>
          <w:rFonts w:hint="eastAsia" w:asciiTheme="minorEastAsia" w:hAnsiTheme="minorEastAsia" w:eastAsiaTheme="minorEastAsia" w:cstheme="minorEastAsia"/>
          <w:sz w:val="24"/>
          <w:highlight w:val="none"/>
        </w:rPr>
        <w:t>一端</w:t>
      </w:r>
      <w:r>
        <w:rPr>
          <w:rFonts w:asciiTheme="minorEastAsia" w:hAnsiTheme="minorEastAsia" w:eastAsiaTheme="minorEastAsia" w:cstheme="minorEastAsia"/>
          <w:sz w:val="24"/>
          <w:highlight w:val="none"/>
        </w:rPr>
        <w:t>扣在小横杆的伸出部位，最下面的斜杆与立杆的连接点离地面不宜大于500mm</w:t>
      </w:r>
      <w:r>
        <w:rPr>
          <w:rFonts w:hint="eastAsia" w:asciiTheme="minorEastAsia" w:hAnsiTheme="minorEastAsia" w:eastAsiaTheme="minorEastAsia" w:cstheme="minorEastAsia"/>
          <w:sz w:val="24"/>
          <w:highlight w:val="none"/>
        </w:rPr>
        <w:t>，旋转扣件中心线距主节点的距离不应大于150mm。</w:t>
      </w:r>
    </w:p>
    <w:p>
      <w:pPr>
        <w:pStyle w:val="408"/>
        <w:numPr>
          <w:ilvl w:val="0"/>
          <w:numId w:val="8"/>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脚手板应设置在三根以上小横杆上，应铺满、铺稳，相互之间连接牢固，不得在跨度间有接头。</w:t>
      </w:r>
    </w:p>
    <w:p>
      <w:pPr>
        <w:pStyle w:val="408"/>
        <w:numPr>
          <w:ilvl w:val="0"/>
          <w:numId w:val="8"/>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脚手架</w:t>
      </w:r>
      <w:r>
        <w:rPr>
          <w:rFonts w:asciiTheme="minorEastAsia" w:hAnsiTheme="minorEastAsia" w:eastAsiaTheme="minorEastAsia" w:cstheme="minorEastAsia"/>
          <w:sz w:val="24"/>
          <w:highlight w:val="none"/>
        </w:rPr>
        <w:t>各杆件相交，伸出端头应大于100mm，</w:t>
      </w:r>
      <w:r>
        <w:rPr>
          <w:rFonts w:hint="eastAsia" w:asciiTheme="minorEastAsia" w:hAnsiTheme="minorEastAsia" w:eastAsiaTheme="minorEastAsia" w:cstheme="minorEastAsia"/>
          <w:sz w:val="24"/>
          <w:highlight w:val="none"/>
        </w:rPr>
        <w:t>立杆</w:t>
      </w:r>
      <w:r>
        <w:rPr>
          <w:rFonts w:asciiTheme="minorEastAsia" w:hAnsiTheme="minorEastAsia" w:eastAsiaTheme="minorEastAsia" w:cstheme="minorEastAsia"/>
          <w:sz w:val="24"/>
          <w:highlight w:val="none"/>
        </w:rPr>
        <w:t>、大横杆的接头不得小于500mm</w:t>
      </w:r>
      <w:r>
        <w:rPr>
          <w:rFonts w:hint="eastAsia" w:asciiTheme="minorEastAsia" w:hAnsiTheme="minorEastAsia" w:eastAsiaTheme="minorEastAsia" w:cstheme="minorEastAsia"/>
          <w:sz w:val="24"/>
          <w:highlight w:val="none"/>
        </w:rPr>
        <w:t>，</w:t>
      </w:r>
      <w:r>
        <w:rPr>
          <w:rFonts w:asciiTheme="minorEastAsia" w:hAnsiTheme="minorEastAsia" w:eastAsiaTheme="minorEastAsia" w:cstheme="minorEastAsia"/>
          <w:sz w:val="24"/>
          <w:highlight w:val="none"/>
        </w:rPr>
        <w:t>用扣件连接，不得用铁丝或绳子绑扎。</w:t>
      </w:r>
    </w:p>
    <w:p>
      <w:pPr>
        <w:pStyle w:val="408"/>
        <w:numPr>
          <w:ilvl w:val="0"/>
          <w:numId w:val="8"/>
        </w:numPr>
        <w:spacing w:line="360" w:lineRule="auto"/>
        <w:ind w:left="420"/>
        <w:rPr>
          <w:rFonts w:hint="eastAsia" w:asciiTheme="minorEastAsia" w:hAnsiTheme="minorEastAsia"/>
          <w:sz w:val="24"/>
          <w:highlight w:val="none"/>
        </w:rPr>
      </w:pPr>
      <w:r>
        <w:rPr>
          <w:rFonts w:asciiTheme="minorEastAsia" w:hAnsiTheme="minorEastAsia" w:eastAsiaTheme="minorEastAsia" w:cstheme="minorEastAsia"/>
          <w:sz w:val="24"/>
          <w:highlight w:val="none"/>
        </w:rPr>
        <w:t>直角扣件用于连接两根互垂直交叉的钢管；回转扣件用于连接两根呈任意角度交叉的钢管；对接扣件用于将两根钢管对接接长</w:t>
      </w:r>
      <w:r>
        <w:rPr>
          <w:rFonts w:hint="eastAsia" w:asciiTheme="minorEastAsia" w:hAnsiTheme="minorEastAsia" w:eastAsiaTheme="minorEastAsia" w:cstheme="minorEastAsia"/>
          <w:bCs/>
          <w:sz w:val="24"/>
          <w:highlight w:val="none"/>
        </w:rPr>
        <w:t>。</w:t>
      </w:r>
      <w:r>
        <w:rPr>
          <w:rFonts w:asciiTheme="minorEastAsia" w:hAnsiTheme="minorEastAsia" w:eastAsiaTheme="minorEastAsia" w:cstheme="minorEastAsia"/>
          <w:sz w:val="24"/>
          <w:highlight w:val="none"/>
        </w:rPr>
        <w:t>开口的朝向：用于连接大横杆的对接件，开口朝脚手架的里侧，螺栓朝上（防止雨水进入钢管内），使用直角扣件时开口不得朝下。</w:t>
      </w:r>
    </w:p>
    <w:p>
      <w:pPr>
        <w:pStyle w:val="408"/>
        <w:numPr>
          <w:ilvl w:val="0"/>
          <w:numId w:val="8"/>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当脚手架作业平台高度超过2m时（含拼接式移动脚手架），须加装高度不低于1.2m的护栏和不低于180mm踢脚护板,护栏长度超过2m时应在中间加设立杆，并能经受</w:t>
      </w:r>
      <w:r>
        <w:rPr>
          <w:rFonts w:asciiTheme="minorEastAsia" w:hAnsiTheme="minorEastAsia" w:eastAsiaTheme="minorEastAsia" w:cstheme="minorEastAsia"/>
          <w:sz w:val="24"/>
          <w:highlight w:val="none"/>
        </w:rPr>
        <w:t>任何方向的1000N外力。</w:t>
      </w:r>
      <w:r>
        <w:rPr>
          <w:rFonts w:hint="eastAsia" w:asciiTheme="minorEastAsia" w:hAnsiTheme="minorEastAsia" w:eastAsiaTheme="minorEastAsia" w:cstheme="minorEastAsia"/>
          <w:sz w:val="24"/>
          <w:highlight w:val="none"/>
        </w:rPr>
        <w:t>放置在作业平台的物件须做好防滑、防坠落的措施。</w:t>
      </w:r>
    </w:p>
    <w:p>
      <w:pPr>
        <w:pStyle w:val="408"/>
        <w:numPr>
          <w:ilvl w:val="0"/>
          <w:numId w:val="8"/>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爬梯是方便工作人员上下和运送材料，</w:t>
      </w:r>
      <w:r>
        <w:rPr>
          <w:rFonts w:asciiTheme="minorEastAsia" w:hAnsiTheme="minorEastAsia" w:eastAsiaTheme="minorEastAsia" w:cstheme="minorEastAsia"/>
          <w:sz w:val="24"/>
          <w:highlight w:val="none"/>
        </w:rPr>
        <w:t>梯脚底部应坚实并有防滑措施，不能垫高使用</w:t>
      </w:r>
      <w:r>
        <w:rPr>
          <w:rFonts w:hint="eastAsia" w:asciiTheme="minorEastAsia" w:hAnsiTheme="minorEastAsia" w:eastAsiaTheme="minorEastAsia" w:cstheme="minorEastAsia"/>
          <w:sz w:val="24"/>
          <w:highlight w:val="none"/>
        </w:rPr>
        <w:t>，</w:t>
      </w:r>
      <w:r>
        <w:rPr>
          <w:rFonts w:asciiTheme="minorEastAsia" w:hAnsiTheme="minorEastAsia" w:eastAsiaTheme="minorEastAsia" w:cstheme="minorEastAsia"/>
          <w:sz w:val="24"/>
          <w:highlight w:val="none"/>
        </w:rPr>
        <w:t>梯子上端应有固定措施，梯子与地面夹角以60°-75°为宜，</w:t>
      </w:r>
      <w:r>
        <w:rPr>
          <w:rFonts w:hint="eastAsia" w:asciiTheme="minorEastAsia" w:hAnsiTheme="minorEastAsia" w:eastAsiaTheme="minorEastAsia" w:cstheme="minorEastAsia"/>
          <w:sz w:val="24"/>
          <w:highlight w:val="none"/>
        </w:rPr>
        <w:t>爬梯间距不得大于300mm，不能缺档。</w:t>
      </w:r>
    </w:p>
    <w:p>
      <w:pPr>
        <w:pStyle w:val="408"/>
        <w:numPr>
          <w:ilvl w:val="0"/>
          <w:numId w:val="8"/>
        </w:numPr>
        <w:spacing w:line="360" w:lineRule="auto"/>
        <w:ind w:left="420"/>
        <w:rPr>
          <w:rFonts w:hint="eastAsia" w:asciiTheme="minorEastAsia" w:hAnsiTheme="minorEastAsia"/>
          <w:sz w:val="24"/>
          <w:highlight w:val="none"/>
        </w:rPr>
      </w:pPr>
      <w:r>
        <w:rPr>
          <w:rFonts w:asciiTheme="minorEastAsia" w:hAnsiTheme="minorEastAsia" w:eastAsiaTheme="minorEastAsia" w:cstheme="minorEastAsia"/>
          <w:sz w:val="24"/>
          <w:highlight w:val="none"/>
        </w:rPr>
        <w:t>脚手架高度超过7m或在7m以下无法设置抛撑时，每增高4m</w:t>
      </w:r>
      <w:r>
        <w:rPr>
          <w:rFonts w:hint="eastAsia" w:asciiTheme="minorEastAsia" w:hAnsiTheme="minorEastAsia" w:eastAsiaTheme="minorEastAsia" w:cstheme="minorEastAsia"/>
          <w:sz w:val="24"/>
          <w:highlight w:val="none"/>
        </w:rPr>
        <w:t>，</w:t>
      </w:r>
      <w:r>
        <w:rPr>
          <w:rFonts w:asciiTheme="minorEastAsia" w:hAnsiTheme="minorEastAsia" w:eastAsiaTheme="minorEastAsia" w:cstheme="minorEastAsia"/>
          <w:sz w:val="24"/>
          <w:highlight w:val="none"/>
        </w:rPr>
        <w:t>水平相隔7m设置一道</w:t>
      </w:r>
      <w:r>
        <w:rPr>
          <w:rFonts w:hint="eastAsia" w:asciiTheme="minorEastAsia" w:hAnsiTheme="minorEastAsia" w:eastAsiaTheme="minorEastAsia" w:cstheme="minorEastAsia"/>
          <w:sz w:val="24"/>
          <w:highlight w:val="none"/>
        </w:rPr>
        <w:t>支撑</w:t>
      </w:r>
      <w:r>
        <w:rPr>
          <w:rFonts w:asciiTheme="minorEastAsia" w:hAnsiTheme="minorEastAsia" w:eastAsiaTheme="minorEastAsia" w:cstheme="minorEastAsia"/>
          <w:sz w:val="24"/>
          <w:highlight w:val="none"/>
        </w:rPr>
        <w:t>。</w:t>
      </w:r>
    </w:p>
    <w:p>
      <w:pPr>
        <w:pStyle w:val="408"/>
        <w:numPr>
          <w:ilvl w:val="0"/>
          <w:numId w:val="8"/>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搭设悬吊架时，悬吊架的挑梁必须固定在建筑物的稳定部位上，用吊杆或支撑杆固定，并在两端加设一道保险扣，伸出的接头不得小于200mm。</w:t>
      </w:r>
      <w:r>
        <w:rPr>
          <w:rFonts w:asciiTheme="minorEastAsia" w:hAnsiTheme="minorEastAsia" w:eastAsiaTheme="minorEastAsia" w:cstheme="minorEastAsia"/>
          <w:sz w:val="24"/>
          <w:highlight w:val="none"/>
        </w:rPr>
        <w:t>平台上要严格控制荷载，在平台上标明限定操作人员和货物的总重量，不允许超载。</w:t>
      </w:r>
    </w:p>
    <w:p>
      <w:pPr>
        <w:pStyle w:val="408"/>
        <w:numPr>
          <w:ilvl w:val="0"/>
          <w:numId w:val="8"/>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拆除脚手架应连续进行，施工人员应站在稳定部位操作，自上而下，数（</w:t>
      </w:r>
      <w:r>
        <w:rPr>
          <w:rFonts w:asciiTheme="minorEastAsia" w:hAnsiTheme="minorEastAsia" w:eastAsiaTheme="minorEastAsia" w:cstheme="minorEastAsia"/>
          <w:sz w:val="24"/>
          <w:highlight w:val="none"/>
        </w:rPr>
        <w:t>各</w:t>
      </w:r>
      <w:r>
        <w:rPr>
          <w:rFonts w:hint="eastAsia" w:asciiTheme="minorEastAsia" w:hAnsiTheme="minorEastAsia" w:eastAsiaTheme="minorEastAsia" w:cstheme="minorEastAsia"/>
          <w:sz w:val="24"/>
          <w:highlight w:val="none"/>
        </w:rPr>
        <w:t>）</w:t>
      </w:r>
      <w:r>
        <w:rPr>
          <w:rFonts w:asciiTheme="minorEastAsia" w:hAnsiTheme="minorEastAsia" w:eastAsiaTheme="minorEastAsia" w:cstheme="minorEastAsia"/>
          <w:sz w:val="24"/>
          <w:highlight w:val="none"/>
        </w:rPr>
        <w:t>层一次性拆除。</w:t>
      </w:r>
      <w:r>
        <w:rPr>
          <w:rFonts w:hint="eastAsia" w:asciiTheme="minorEastAsia" w:hAnsiTheme="minorEastAsia" w:eastAsiaTheme="minorEastAsia" w:cstheme="minorEastAsia"/>
          <w:sz w:val="24"/>
          <w:highlight w:val="none"/>
        </w:rPr>
        <w:t>拆除工艺流程：拆护栏→拆脚手板→拆小横杆→拆大横杆→拆剪刀撑→拆立杆→拉杆传递至地面→清除扣件→按规格堆码。剪刀撑、拉杆不准一次性全部拆除，要求杆拆到哪一层，剪刀撑、拉杆拆到哪一层。</w:t>
      </w:r>
      <w:r>
        <w:rPr>
          <w:rFonts w:asciiTheme="minorEastAsia" w:hAnsiTheme="minorEastAsia" w:eastAsiaTheme="minorEastAsia" w:cstheme="minorEastAsia"/>
          <w:sz w:val="24"/>
          <w:highlight w:val="none"/>
        </w:rPr>
        <w:t>如有连接（墙）体必须随脚手架逐层拆除，严禁先将连墙体的整层或者散层拆除以后，再来拆脚手架，分段拆除</w:t>
      </w:r>
      <w:r>
        <w:rPr>
          <w:rFonts w:hint="eastAsia" w:asciiTheme="minorEastAsia" w:hAnsiTheme="minorEastAsia" w:eastAsiaTheme="minorEastAsia" w:cstheme="minorEastAsia"/>
          <w:sz w:val="24"/>
          <w:highlight w:val="none"/>
        </w:rPr>
        <w:t>，</w:t>
      </w:r>
      <w:r>
        <w:rPr>
          <w:rFonts w:asciiTheme="minorEastAsia" w:hAnsiTheme="minorEastAsia" w:eastAsiaTheme="minorEastAsia" w:cstheme="minorEastAsia"/>
          <w:sz w:val="24"/>
          <w:highlight w:val="none"/>
        </w:rPr>
        <w:t>高差不应大于2步，如大于2步应增设连墙杆加固。</w:t>
      </w:r>
    </w:p>
    <w:p>
      <w:pPr>
        <w:pStyle w:val="408"/>
        <w:spacing w:line="360" w:lineRule="auto"/>
        <w:ind w:firstLine="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4.6.3架子施工管理要求：</w:t>
      </w:r>
    </w:p>
    <w:p>
      <w:pPr>
        <w:pStyle w:val="408"/>
        <w:numPr>
          <w:ilvl w:val="0"/>
          <w:numId w:val="9"/>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投标方需将本工程所需材料的质检合格报告向招标方出示，发标方有权对投标方的物资采购和保管进行检查和监督。</w:t>
      </w:r>
    </w:p>
    <w:p>
      <w:pPr>
        <w:pStyle w:val="408"/>
        <w:numPr>
          <w:ilvl w:val="0"/>
          <w:numId w:val="9"/>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投标方应做好成品保护和地面保护工作，保护好招标方的财产免受损失。</w:t>
      </w:r>
    </w:p>
    <w:p>
      <w:pPr>
        <w:pStyle w:val="408"/>
        <w:numPr>
          <w:ilvl w:val="0"/>
          <w:numId w:val="9"/>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脚手架的验收</w:t>
      </w:r>
      <w:r>
        <w:rPr>
          <w:rFonts w:asciiTheme="minorEastAsia" w:hAnsiTheme="minorEastAsia" w:eastAsiaTheme="minorEastAsia" w:cstheme="minorEastAsia"/>
          <w:sz w:val="24"/>
          <w:highlight w:val="none"/>
        </w:rPr>
        <w:t>由脚手架搭设负责人</w:t>
      </w:r>
      <w:r>
        <w:rPr>
          <w:rFonts w:hint="eastAsia" w:asciiTheme="minorEastAsia" w:hAnsiTheme="minorEastAsia" w:eastAsiaTheme="minorEastAsia" w:cstheme="minorEastAsia"/>
          <w:sz w:val="24"/>
          <w:highlight w:val="none"/>
        </w:rPr>
        <w:t>和委托人</w:t>
      </w:r>
      <w:r>
        <w:rPr>
          <w:rFonts w:asciiTheme="minorEastAsia" w:hAnsiTheme="minorEastAsia" w:eastAsiaTheme="minorEastAsia" w:cstheme="minorEastAsia"/>
          <w:sz w:val="24"/>
          <w:highlight w:val="none"/>
        </w:rPr>
        <w:t>一起进行，验收合格后分别在</w:t>
      </w:r>
      <w:r>
        <w:rPr>
          <w:rFonts w:hint="eastAsia" w:asciiTheme="minorEastAsia" w:hAnsiTheme="minorEastAsia" w:eastAsiaTheme="minorEastAsia" w:cstheme="minorEastAsia"/>
          <w:sz w:val="24"/>
          <w:highlight w:val="none"/>
        </w:rPr>
        <w:t>脚手架验收牌</w:t>
      </w:r>
      <w:r>
        <w:rPr>
          <w:rFonts w:asciiTheme="minorEastAsia" w:hAnsiTheme="minorEastAsia" w:eastAsiaTheme="minorEastAsia" w:cstheme="minorEastAsia"/>
          <w:sz w:val="24"/>
          <w:highlight w:val="none"/>
        </w:rPr>
        <w:t>上签名</w:t>
      </w:r>
      <w:r>
        <w:rPr>
          <w:rFonts w:hint="eastAsia" w:asciiTheme="minorEastAsia" w:hAnsiTheme="minorEastAsia" w:eastAsiaTheme="minorEastAsia" w:cstheme="minorEastAsia"/>
          <w:sz w:val="24"/>
          <w:highlight w:val="none"/>
        </w:rPr>
        <w:t>，并挂至明显处</w:t>
      </w:r>
      <w:r>
        <w:rPr>
          <w:rFonts w:asciiTheme="minorEastAsia" w:hAnsiTheme="minorEastAsia" w:eastAsiaTheme="minorEastAsia" w:cstheme="minorEastAsia"/>
          <w:sz w:val="24"/>
          <w:highlight w:val="none"/>
        </w:rPr>
        <w:t>。验收不合格和其它不符合要求的脚手架，重新搭设，直至验收完全合格，否则不准使用</w:t>
      </w:r>
      <w:r>
        <w:rPr>
          <w:rFonts w:hint="eastAsia" w:asciiTheme="minorEastAsia" w:hAnsiTheme="minorEastAsia" w:eastAsiaTheme="minorEastAsia" w:cstheme="minorEastAsia"/>
          <w:sz w:val="24"/>
          <w:highlight w:val="none"/>
        </w:rPr>
        <w:t>。</w:t>
      </w:r>
    </w:p>
    <w:p>
      <w:pPr>
        <w:pStyle w:val="408"/>
        <w:numPr>
          <w:ilvl w:val="0"/>
          <w:numId w:val="9"/>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任何人不得擅自改变脚手架的结构，不得随意移动或重建。</w:t>
      </w:r>
    </w:p>
    <w:p>
      <w:pPr>
        <w:pStyle w:val="408"/>
        <w:numPr>
          <w:ilvl w:val="0"/>
          <w:numId w:val="9"/>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脚手架材料在运输和搬运过程中应使用合适尺寸的设备，防止丢失、变形和损伤，</w:t>
      </w:r>
      <w:r>
        <w:rPr>
          <w:rFonts w:asciiTheme="minorEastAsia" w:hAnsiTheme="minorEastAsia" w:eastAsiaTheme="minorEastAsia" w:cstheme="minorEastAsia"/>
          <w:sz w:val="24"/>
          <w:highlight w:val="none"/>
        </w:rPr>
        <w:t>应堆放整齐</w:t>
      </w:r>
      <w:r>
        <w:rPr>
          <w:rFonts w:hint="eastAsia" w:asciiTheme="minorEastAsia" w:hAnsiTheme="minorEastAsia" w:eastAsiaTheme="minorEastAsia" w:cstheme="minorEastAsia"/>
          <w:sz w:val="24"/>
          <w:highlight w:val="none"/>
        </w:rPr>
        <w:t>在公司规定地点</w:t>
      </w:r>
      <w:r>
        <w:rPr>
          <w:rFonts w:asciiTheme="minorEastAsia" w:hAnsiTheme="minorEastAsia" w:eastAsiaTheme="minorEastAsia" w:cstheme="minorEastAsia"/>
          <w:sz w:val="24"/>
          <w:highlight w:val="none"/>
        </w:rPr>
        <w:t>，</w:t>
      </w:r>
      <w:r>
        <w:rPr>
          <w:rFonts w:hint="eastAsia" w:asciiTheme="minorEastAsia" w:hAnsiTheme="minorEastAsia" w:eastAsiaTheme="minorEastAsia" w:cstheme="minorEastAsia"/>
          <w:sz w:val="24"/>
          <w:highlight w:val="none"/>
        </w:rPr>
        <w:t>并</w:t>
      </w:r>
      <w:r>
        <w:rPr>
          <w:rFonts w:asciiTheme="minorEastAsia" w:hAnsiTheme="minorEastAsia" w:eastAsiaTheme="minorEastAsia" w:cstheme="minorEastAsia"/>
          <w:sz w:val="24"/>
          <w:highlight w:val="none"/>
        </w:rPr>
        <w:t>设有防止滚动措施</w:t>
      </w:r>
      <w:r>
        <w:rPr>
          <w:rFonts w:hint="eastAsia" w:asciiTheme="minorEastAsia" w:hAnsiTheme="minorEastAsia" w:eastAsiaTheme="minorEastAsia" w:cstheme="minorEastAsia"/>
          <w:sz w:val="24"/>
          <w:highlight w:val="none"/>
        </w:rPr>
        <w:t>。</w:t>
      </w:r>
      <w:r>
        <w:rPr>
          <w:rFonts w:asciiTheme="minorEastAsia" w:hAnsiTheme="minorEastAsia" w:eastAsiaTheme="minorEastAsia" w:cstheme="minorEastAsia"/>
          <w:sz w:val="24"/>
          <w:highlight w:val="none"/>
        </w:rPr>
        <w:t>脚手架材料应分类堆放，钢管及其金属构件不得立放，堆放高度不得超过1.5</w:t>
      </w:r>
      <w:r>
        <w:rPr>
          <w:rFonts w:hint="eastAsia" w:asciiTheme="minorEastAsia" w:hAnsiTheme="minorEastAsia" w:eastAsiaTheme="minorEastAsia" w:cstheme="minorEastAsia"/>
          <w:sz w:val="24"/>
          <w:highlight w:val="none"/>
        </w:rPr>
        <w:t>m，</w:t>
      </w:r>
      <w:r>
        <w:rPr>
          <w:rFonts w:asciiTheme="minorEastAsia" w:hAnsiTheme="minorEastAsia" w:eastAsiaTheme="minorEastAsia" w:cstheme="minorEastAsia"/>
          <w:sz w:val="24"/>
          <w:highlight w:val="none"/>
        </w:rPr>
        <w:t>钢管不得受压变形</w:t>
      </w:r>
      <w:r>
        <w:rPr>
          <w:rFonts w:hint="eastAsia" w:asciiTheme="minorEastAsia" w:hAnsiTheme="minorEastAsia" w:eastAsiaTheme="minorEastAsia" w:cstheme="minorEastAsia"/>
          <w:sz w:val="24"/>
          <w:highlight w:val="none"/>
        </w:rPr>
        <w:t>，</w:t>
      </w:r>
      <w:r>
        <w:rPr>
          <w:rFonts w:asciiTheme="minorEastAsia" w:hAnsiTheme="minorEastAsia" w:eastAsiaTheme="minorEastAsia" w:cstheme="minorEastAsia"/>
          <w:sz w:val="24"/>
          <w:highlight w:val="none"/>
        </w:rPr>
        <w:t>堆放钢管的两侧设有防塌落措施</w:t>
      </w:r>
      <w:r>
        <w:rPr>
          <w:rFonts w:hint="eastAsia" w:asciiTheme="minorEastAsia" w:hAnsiTheme="minorEastAsia" w:eastAsiaTheme="minorEastAsia" w:cstheme="minorEastAsia"/>
          <w:sz w:val="24"/>
          <w:highlight w:val="none"/>
        </w:rPr>
        <w:t>。</w:t>
      </w:r>
    </w:p>
    <w:p>
      <w:pPr>
        <w:pStyle w:val="408"/>
        <w:numPr>
          <w:ilvl w:val="0"/>
          <w:numId w:val="9"/>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架子工素质合格，持证上岗，做好劳动防护，带好安全帽，系好安全带，安全带必须与已绑好的立、横杆挂牢，不得挂在铅丝扣或其他不牢固的地方，不得“走过档”(即在一根顺水杆上不扶任何支点行走)，也不得跳跃架子，工具入袋，拆装架子时不得坐在架子上或其他不安全的地方，不得嬉戏打闹，严禁酒后作业。</w:t>
      </w:r>
    </w:p>
    <w:p>
      <w:pPr>
        <w:pStyle w:val="408"/>
        <w:numPr>
          <w:ilvl w:val="0"/>
          <w:numId w:val="9"/>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在电气设备附近搭设脚手架时，须派监护人，做好防静电措施。重要生产场所，如电子室、开关室、控制室、油站、危险品仓库，储氢站、GIS区域、CEMS小室等区域工作，投标方必须有专人监护（所谓专人指投标方进入招标方单位后，经安健环部考试合格，取得相关工作负责人资格的人员）。高压设备及周边有裸露导电回路的特殊场所须使用竹制脚手架。脚手架上严禁乱拉电线，必须使用电气设备时，采取架设绝缘子、木横档等安全措施。</w:t>
      </w:r>
    </w:p>
    <w:p>
      <w:pPr>
        <w:pStyle w:val="408"/>
        <w:numPr>
          <w:ilvl w:val="0"/>
          <w:numId w:val="9"/>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严禁利用各种管道、阀门、电缆架、仪表箱、仪表管、电缆桥架等处绑扎铁丝，作为搭设脚手架的支点、杆柱。</w:t>
      </w:r>
    </w:p>
    <w:p>
      <w:pPr>
        <w:pStyle w:val="408"/>
        <w:numPr>
          <w:ilvl w:val="0"/>
          <w:numId w:val="9"/>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在脚手架上进行电、气焊等动火作业时，做好防火措施，防止火星和切割物溅落引起火灾。</w:t>
      </w:r>
    </w:p>
    <w:p>
      <w:pPr>
        <w:pStyle w:val="408"/>
        <w:numPr>
          <w:ilvl w:val="0"/>
          <w:numId w:val="9"/>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移动式脚手架在移动时，所有工作人员必须离开脚手架，到位固定牢靠后方可重新作业。</w:t>
      </w:r>
    </w:p>
    <w:p>
      <w:pPr>
        <w:pStyle w:val="408"/>
        <w:numPr>
          <w:ilvl w:val="0"/>
          <w:numId w:val="9"/>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脚手架使用完毕后应尽快拆除，在递杆、拉杆、拆杆、放杆时，上下左右操作人员应密切配合，协调一致，由站在中间的人将杆传递，一人接到杆拿稳拿牢后，另一人才准松手，并躲离其垂直操作距离3m以外，</w:t>
      </w:r>
      <w:r>
        <w:rPr>
          <w:rFonts w:asciiTheme="minorEastAsia" w:hAnsiTheme="minorEastAsia" w:eastAsiaTheme="minorEastAsia" w:cstheme="minorEastAsia"/>
          <w:sz w:val="24"/>
          <w:highlight w:val="none"/>
        </w:rPr>
        <w:t>拆下来的脚手板、铁丝、竹片等应向下传递或用绳索往下吊放，</w:t>
      </w:r>
      <w:r>
        <w:rPr>
          <w:rFonts w:hint="eastAsia" w:asciiTheme="minorEastAsia" w:hAnsiTheme="minorEastAsia" w:eastAsiaTheme="minorEastAsia" w:cstheme="minorEastAsia"/>
          <w:sz w:val="24"/>
          <w:highlight w:val="none"/>
        </w:rPr>
        <w:t>严禁往下乱扔脚手架料具。</w:t>
      </w:r>
    </w:p>
    <w:p>
      <w:pPr>
        <w:pStyle w:val="408"/>
        <w:numPr>
          <w:ilvl w:val="0"/>
          <w:numId w:val="9"/>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在</w:t>
      </w:r>
      <w:r>
        <w:rPr>
          <w:rFonts w:asciiTheme="minorEastAsia" w:hAnsiTheme="minorEastAsia" w:eastAsiaTheme="minorEastAsia" w:cstheme="minorEastAsia"/>
          <w:sz w:val="24"/>
          <w:highlight w:val="none"/>
        </w:rPr>
        <w:t>基础完工后</w:t>
      </w:r>
      <w:r>
        <w:rPr>
          <w:rFonts w:hint="eastAsia" w:asciiTheme="minorEastAsia" w:hAnsiTheme="minorEastAsia" w:eastAsiaTheme="minorEastAsia" w:cstheme="minorEastAsia"/>
          <w:sz w:val="24"/>
          <w:highlight w:val="none"/>
        </w:rPr>
        <w:t>、</w:t>
      </w:r>
      <w:r>
        <w:rPr>
          <w:rFonts w:asciiTheme="minorEastAsia" w:hAnsiTheme="minorEastAsia" w:eastAsiaTheme="minorEastAsia" w:cstheme="minorEastAsia"/>
          <w:sz w:val="24"/>
          <w:highlight w:val="none"/>
        </w:rPr>
        <w:t>脚手架的搭设前、作业层上施加载荷、每搭完</w:t>
      </w:r>
      <w:r>
        <w:rPr>
          <w:rFonts w:hint="eastAsia" w:asciiTheme="minorEastAsia" w:hAnsiTheme="minorEastAsia" w:eastAsiaTheme="minorEastAsia" w:cstheme="minorEastAsia"/>
          <w:sz w:val="24"/>
          <w:highlight w:val="none"/>
        </w:rPr>
        <w:t>6</w:t>
      </w:r>
      <w:r>
        <w:rPr>
          <w:rFonts w:asciiTheme="minorEastAsia" w:hAnsiTheme="minorEastAsia" w:eastAsiaTheme="minorEastAsia" w:cstheme="minorEastAsia"/>
          <w:sz w:val="24"/>
          <w:highlight w:val="none"/>
        </w:rPr>
        <w:t>-</w:t>
      </w:r>
      <w:r>
        <w:rPr>
          <w:rFonts w:hint="eastAsia" w:asciiTheme="minorEastAsia" w:hAnsiTheme="minorEastAsia" w:eastAsiaTheme="minorEastAsia" w:cstheme="minorEastAsia"/>
          <w:sz w:val="24"/>
          <w:highlight w:val="none"/>
        </w:rPr>
        <w:t>8</w:t>
      </w:r>
      <w:r>
        <w:rPr>
          <w:rFonts w:asciiTheme="minorEastAsia" w:hAnsiTheme="minorEastAsia" w:eastAsiaTheme="minorEastAsia" w:cstheme="minorEastAsia"/>
          <w:sz w:val="24"/>
          <w:highlight w:val="none"/>
        </w:rPr>
        <w:t>m高度后、遇到大风大雨后、停用已超过一个月</w:t>
      </w:r>
      <w:r>
        <w:rPr>
          <w:rFonts w:hint="eastAsia" w:asciiTheme="minorEastAsia" w:hAnsiTheme="minorEastAsia" w:eastAsiaTheme="minorEastAsia" w:cstheme="minorEastAsia"/>
          <w:sz w:val="24"/>
          <w:highlight w:val="none"/>
        </w:rPr>
        <w:t>、达到设计高度后都需对脚手架检查一次</w:t>
      </w:r>
      <w:r>
        <w:rPr>
          <w:rFonts w:asciiTheme="minorEastAsia" w:hAnsiTheme="minorEastAsia" w:eastAsiaTheme="minorEastAsia" w:cstheme="minorEastAsia"/>
          <w:sz w:val="24"/>
          <w:highlight w:val="none"/>
        </w:rPr>
        <w:t>。</w:t>
      </w:r>
      <w:r>
        <w:rPr>
          <w:rFonts w:hint="eastAsia" w:asciiTheme="minorEastAsia" w:hAnsiTheme="minorEastAsia" w:eastAsiaTheme="minorEastAsia" w:cstheme="minorEastAsia"/>
          <w:sz w:val="24"/>
          <w:highlight w:val="none"/>
        </w:rPr>
        <w:t>检查</w:t>
      </w:r>
      <w:r>
        <w:rPr>
          <w:rFonts w:asciiTheme="minorEastAsia" w:hAnsiTheme="minorEastAsia" w:eastAsiaTheme="minorEastAsia" w:cstheme="minorEastAsia"/>
          <w:sz w:val="24"/>
          <w:highlight w:val="none"/>
        </w:rPr>
        <w:t>杆件的设置和连接、支撑等构造是否符合要求、地基是否积水、底座是否抖动、立杆是否悬空、扣件螺栓是否松动、高度在24m以上的脚手架其立杆的垂直度偏差是否附合规定、是否超载、安全防护措施是否符合要求。</w:t>
      </w:r>
    </w:p>
    <w:p>
      <w:pPr>
        <w:pStyle w:val="408"/>
        <w:numPr>
          <w:ilvl w:val="0"/>
          <w:numId w:val="9"/>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夜间搭拆脚手架时必须有良好的照明。</w:t>
      </w:r>
    </w:p>
    <w:p>
      <w:pPr>
        <w:pStyle w:val="408"/>
        <w:numPr>
          <w:ilvl w:val="0"/>
          <w:numId w:val="9"/>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露天遇5级以上大风或暴雨、打雷、大雾天应停止搭拆脚手架，冬季及时清理脚手板上的冰、霜、雪，做好防滑措施。气温超过35℃时，室外作业应做好避暑降温措施，超过40℃时，应停止户外作业。</w:t>
      </w:r>
    </w:p>
    <w:p>
      <w:pPr>
        <w:pStyle w:val="408"/>
        <w:numPr>
          <w:ilvl w:val="0"/>
          <w:numId w:val="9"/>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督促施工人员使用防坠器上下脚手架。</w:t>
      </w:r>
    </w:p>
    <w:p>
      <w:pPr>
        <w:pStyle w:val="408"/>
        <w:spacing w:line="360" w:lineRule="auto"/>
        <w:ind w:firstLine="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4.6.4保温施工技术要求：</w:t>
      </w:r>
    </w:p>
    <w:p>
      <w:pPr>
        <w:pStyle w:val="408"/>
        <w:numPr>
          <w:ilvl w:val="0"/>
          <w:numId w:val="10"/>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保温施工对象：凡介质温度高于</w:t>
      </w:r>
      <w:r>
        <w:rPr>
          <w:rFonts w:asciiTheme="minorEastAsia" w:hAnsiTheme="minorEastAsia" w:eastAsiaTheme="minorEastAsia" w:cstheme="minorEastAsia"/>
          <w:sz w:val="24"/>
          <w:highlight w:val="none"/>
        </w:rPr>
        <w:t>50</w:t>
      </w:r>
      <w:r>
        <w:rPr>
          <w:rFonts w:hint="eastAsia" w:asciiTheme="minorEastAsia" w:hAnsiTheme="minorEastAsia" w:eastAsiaTheme="minorEastAsia" w:cstheme="minorEastAsia"/>
          <w:sz w:val="24"/>
          <w:highlight w:val="none"/>
        </w:rPr>
        <w:t>℃且需要减少散热损失的管道、设备及附件均保温；工艺生产中不需要保温的，但其外表面温度超过</w:t>
      </w:r>
      <w:r>
        <w:rPr>
          <w:rFonts w:asciiTheme="minorEastAsia" w:hAnsiTheme="minorEastAsia" w:eastAsiaTheme="minorEastAsia" w:cstheme="minorEastAsia"/>
          <w:sz w:val="24"/>
          <w:highlight w:val="none"/>
        </w:rPr>
        <w:t>60</w:t>
      </w:r>
      <w:r>
        <w:rPr>
          <w:rFonts w:hint="eastAsia" w:asciiTheme="minorEastAsia" w:hAnsiTheme="minorEastAsia" w:eastAsiaTheme="minorEastAsia" w:cstheme="minorEastAsia"/>
          <w:sz w:val="24"/>
          <w:highlight w:val="none"/>
        </w:rPr>
        <w:t>℃，而又无法采取其它措施防止烫伤人员的部位；要求防冻、防结露、防冷凝的设备及管道；</w:t>
      </w:r>
    </w:p>
    <w:p>
      <w:pPr>
        <w:pStyle w:val="408"/>
        <w:numPr>
          <w:ilvl w:val="0"/>
          <w:numId w:val="10"/>
        </w:numPr>
        <w:spacing w:line="360" w:lineRule="auto"/>
        <w:ind w:left="420"/>
        <w:rPr>
          <w:rFonts w:hint="eastAsia" w:ascii="宋体" w:hAnsi="宋体"/>
          <w:sz w:val="24"/>
          <w:highlight w:val="none"/>
        </w:rPr>
      </w:pPr>
      <w:r>
        <w:rPr>
          <w:rFonts w:asciiTheme="minorEastAsia" w:hAnsiTheme="minorEastAsia" w:eastAsiaTheme="minorEastAsia" w:cstheme="minorEastAsia"/>
          <w:sz w:val="24"/>
          <w:highlight w:val="none"/>
        </w:rPr>
        <mc:AlternateContent>
          <mc:Choice Requires="wps">
            <w:drawing>
              <wp:anchor distT="0" distB="0" distL="114300" distR="114300" simplePos="0" relativeHeight="251659264" behindDoc="0" locked="0" layoutInCell="1" allowOverlap="1">
                <wp:simplePos x="0" y="0"/>
                <wp:positionH relativeFrom="column">
                  <wp:posOffset>1371600</wp:posOffset>
                </wp:positionH>
                <wp:positionV relativeFrom="paragraph">
                  <wp:posOffset>241935</wp:posOffset>
                </wp:positionV>
                <wp:extent cx="1828800" cy="297180"/>
                <wp:effectExtent l="4445" t="4445" r="10795" b="18415"/>
                <wp:wrapNone/>
                <wp:docPr id="6" name="_x0000_s197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0" cy="297180"/>
                        </a:xfrm>
                        <a:prstGeom prst="rect">
                          <a:avLst/>
                        </a:prstGeom>
                        <a:solidFill>
                          <a:srgbClr val="FFFFFF"/>
                        </a:solidFill>
                        <a:ln w="9525" cap="flat" cmpd="sng">
                          <a:solidFill>
                            <a:srgbClr val="000000"/>
                          </a:solidFill>
                          <a:prstDash val="solid"/>
                          <a:miter lim="0"/>
                          <a:headEnd type="none" w="med" len="med"/>
                          <a:tailEnd type="none" w="med" len="med"/>
                        </a:ln>
                      </wps:spPr>
                      <wps:txbx>
                        <w:txbxContent>
                          <w:p>
                            <w:pPr>
                              <w:ind w:firstLine="180"/>
                              <w:rPr>
                                <w:sz w:val="18"/>
                                <w:szCs w:val="18"/>
                              </w:rPr>
                            </w:pPr>
                            <w:r>
                              <w:rPr>
                                <w:rFonts w:hint="eastAsia"/>
                                <w:sz w:val="18"/>
                                <w:szCs w:val="18"/>
                              </w:rPr>
                              <w:t>原外护层及保温层拆除</w:t>
                            </w:r>
                          </w:p>
                        </w:txbxContent>
                      </wps:txbx>
                      <wps:bodyPr rot="0" spcFirstLastPara="0" vertOverflow="overflow" horzOverflow="overflow" vert="horz" wrap="square" lIns="91440" tIns="45720" rIns="91440" bIns="45720" numCol="1" anchor="t" upright="1">
                        <a:noAutofit/>
                      </wps:bodyPr>
                    </wps:wsp>
                  </a:graphicData>
                </a:graphic>
              </wp:anchor>
            </w:drawing>
          </mc:Choice>
          <mc:Fallback>
            <w:pict>
              <v:rect id="_x0000_s1979" o:spid="_x0000_s1026" o:spt="1" style="position:absolute;left:0pt;margin-left:108pt;margin-top:19.05pt;height:23.4pt;width:144pt;z-index:251659264;mso-width-relative:page;mso-height-relative:page;" fillcolor="#FFFFFF" filled="t" stroked="t" coordsize="21600,21600" o:gfxdata="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YU7sgNkAAAAJAQAADwAA&#10;AAAAAAABACAAAAAiAAAAZHJzL2Rvd25yZXYueG1sUEsBAhQAFAAAAAgAh07iQABDtoOHAgAAOgUA&#10;AA4AAAAAAAAAAQAgAAAAKAEAAGRycy9lMm9Eb2MueG1sUEsFBgAAAAAGAAYAWQEAACEGAAAAAA==&#10;">
                <v:fill on="t" focussize="0,0"/>
                <v:stroke color="#000000" miterlimit="0" joinstyle="miter"/>
                <v:imagedata o:title=""/>
                <o:lock v:ext="edit" aspectratio="t"/>
                <v:textbox>
                  <w:txbxContent>
                    <w:p>
                      <w:pPr>
                        <w:ind w:firstLine="180"/>
                        <w:rPr>
                          <w:sz w:val="18"/>
                          <w:szCs w:val="18"/>
                        </w:rPr>
                      </w:pPr>
                      <w:r>
                        <w:rPr>
                          <w:rFonts w:hint="eastAsia"/>
                          <w:sz w:val="18"/>
                          <w:szCs w:val="18"/>
                        </w:rPr>
                        <w:t>原外护层及保温层拆除</w:t>
                      </w:r>
                    </w:p>
                  </w:txbxContent>
                </v:textbox>
              </v:rect>
            </w:pict>
          </mc:Fallback>
        </mc:AlternateContent>
      </w:r>
      <w:r>
        <w:rPr>
          <w:rFonts w:hint="eastAsia" w:asciiTheme="minorEastAsia" w:hAnsiTheme="minorEastAsia" w:eastAsiaTheme="minorEastAsia" w:cstheme="minorEastAsia"/>
          <w:sz w:val="24"/>
          <w:highlight w:val="none"/>
        </w:rPr>
        <w:t>工艺流程：</w:t>
      </w:r>
    </w:p>
    <w:p>
      <w:pPr>
        <w:pStyle w:val="408"/>
        <w:spacing w:line="360" w:lineRule="auto"/>
        <w:ind w:firstLine="0"/>
        <w:rPr>
          <w:rFonts w:hint="eastAsia" w:ascii="宋体" w:hAnsi="宋体"/>
          <w:sz w:val="24"/>
          <w:highlight w:val="none"/>
        </w:rPr>
      </w:pPr>
    </w:p>
    <w:p>
      <w:pPr>
        <w:pStyle w:val="408"/>
        <w:spacing w:line="360" w:lineRule="auto"/>
        <w:ind w:left="420" w:hanging="420"/>
        <w:rPr>
          <w:rFonts w:hint="eastAsia" w:ascii="黑体" w:hAnsi="黑体" w:eastAsia="黑体"/>
          <w:b/>
          <w:bCs/>
          <w:color w:val="000000"/>
          <w:sz w:val="24"/>
          <w:highlight w:val="none"/>
        </w:rPr>
      </w:pPr>
      <w:r>
        <w:rPr>
          <w:rFonts w:asciiTheme="minorEastAsia" w:hAnsiTheme="minorEastAsia" w:eastAsiaTheme="minorEastAsia" w:cstheme="minorEastAsia"/>
          <w:sz w:val="24"/>
          <w:highlight w:val="none"/>
        </w:rPr>
        <mc:AlternateContent>
          <mc:Choice Requires="wps">
            <w:drawing>
              <wp:anchor distT="0" distB="0" distL="114300" distR="114300" simplePos="0" relativeHeight="251660288" behindDoc="0" locked="0" layoutInCell="1" allowOverlap="1">
                <wp:simplePos x="0" y="0"/>
                <wp:positionH relativeFrom="column">
                  <wp:posOffset>2286000</wp:posOffset>
                </wp:positionH>
                <wp:positionV relativeFrom="paragraph">
                  <wp:posOffset>279400</wp:posOffset>
                </wp:positionV>
                <wp:extent cx="0" cy="224790"/>
                <wp:effectExtent l="38100" t="0" r="38100" b="3810"/>
                <wp:wrapNone/>
                <wp:docPr id="7" name="_x0000_s1980"/>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bwMode="auto">
                        <a:xfrm>
                          <a:off x="0" y="0"/>
                          <a:ext cx="0" cy="224790"/>
                        </a:xfrm>
                        <a:prstGeom prst="line">
                          <a:avLst/>
                        </a:prstGeom>
                        <a:noFill/>
                        <a:ln w="9525" cap="flat" cmpd="sng">
                          <a:solidFill>
                            <a:srgbClr val="000000"/>
                          </a:solidFill>
                          <a:prstDash val="solid"/>
                          <a:headEnd type="none" w="med" len="med"/>
                          <a:tailEnd type="triangle" w="med" len="med"/>
                        </a:ln>
                      </wps:spPr>
                      <wps:bodyPr rot="0">
                        <a:noAutofit/>
                      </wps:bodyPr>
                    </wps:wsp>
                  </a:graphicData>
                </a:graphic>
              </wp:anchor>
            </w:drawing>
          </mc:Choice>
          <mc:Fallback>
            <w:pict>
              <v:line id="_x0000_s1980" o:spid="_x0000_s1026" o:spt="20" style="position:absolute;left:0pt;margin-left:180pt;margin-top:22pt;height:17.7pt;width:0pt;z-index:251660288;mso-width-relative:page;mso-height-relative:page;" filled="f" stroked="t" coordsize="21600,21600" o:gfxdata="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99Y7L2QAAAAkBAAAP&#10;AAAAAAAAAAEAIAAAACIAAABkcnMvZG93bnJldi54bWxQSwECFAAUAAAACACHTuJARagkUBcCAABA&#10;BAAADgAAAAAAAAABACAAAAAoAQAAZHJzL2Uyb0RvYy54bWxQSwUGAAAAAAYABgBZAQAAsQUAAAAA&#10;">
                <v:fill on="f" focussize="0,0"/>
                <v:stroke color="#000000" joinstyle="round" endarrow="block"/>
                <v:imagedata o:title=""/>
                <o:lock v:ext="edit" aspectratio="t"/>
              </v:line>
            </w:pict>
          </mc:Fallback>
        </mc:AlternateContent>
      </w:r>
    </w:p>
    <w:p>
      <w:pPr>
        <w:pStyle w:val="408"/>
        <w:spacing w:line="400" w:lineRule="atLeast"/>
        <w:ind w:left="420" w:hanging="420"/>
        <w:rPr>
          <w:rFonts w:ascii="宋体"/>
          <w:b/>
          <w:bCs/>
          <w:sz w:val="24"/>
          <w:highlight w:val="none"/>
        </w:rPr>
      </w:pPr>
      <w:r>
        <w:rPr>
          <w:rFonts w:asciiTheme="minorEastAsia" w:hAnsiTheme="minorEastAsia" w:eastAsiaTheme="minorEastAsia" w:cstheme="minorEastAsia"/>
          <w:sz w:val="24"/>
          <w:highlight w:val="none"/>
        </w:rPr>
        <mc:AlternateContent>
          <mc:Choice Requires="wps">
            <w:drawing>
              <wp:anchor distT="0" distB="0" distL="114300" distR="114300" simplePos="0" relativeHeight="251661312" behindDoc="0" locked="0" layoutInCell="1" allowOverlap="1">
                <wp:simplePos x="0" y="0"/>
                <wp:positionH relativeFrom="column">
                  <wp:posOffset>1371600</wp:posOffset>
                </wp:positionH>
                <wp:positionV relativeFrom="paragraph">
                  <wp:posOffset>207010</wp:posOffset>
                </wp:positionV>
                <wp:extent cx="1828800" cy="297180"/>
                <wp:effectExtent l="4445" t="4445" r="10795" b="18415"/>
                <wp:wrapNone/>
                <wp:docPr id="8" name="_x0000_s198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0" cy="297180"/>
                        </a:xfrm>
                        <a:prstGeom prst="rect">
                          <a:avLst/>
                        </a:prstGeom>
                        <a:solidFill>
                          <a:srgbClr val="FFFFFF"/>
                        </a:solidFill>
                        <a:ln w="9525" cap="flat" cmpd="sng">
                          <a:solidFill>
                            <a:srgbClr val="000000"/>
                          </a:solidFill>
                          <a:prstDash val="solid"/>
                          <a:miter lim="0"/>
                          <a:headEnd type="none" w="med" len="med"/>
                          <a:tailEnd type="none" w="med" len="med"/>
                        </a:ln>
                      </wps:spPr>
                      <wps:txbx>
                        <w:txbxContent>
                          <w:p>
                            <w:pPr>
                              <w:ind w:firstLine="90"/>
                              <w:rPr>
                                <w:sz w:val="18"/>
                                <w:szCs w:val="18"/>
                              </w:rPr>
                            </w:pPr>
                            <w:r>
                              <w:rPr>
                                <w:rFonts w:hint="eastAsia"/>
                                <w:sz w:val="18"/>
                                <w:szCs w:val="18"/>
                              </w:rPr>
                              <w:t>保温层安装及铁丝网绑扎</w:t>
                            </w:r>
                          </w:p>
                        </w:txbxContent>
                      </wps:txbx>
                      <wps:bodyPr rot="0" spcFirstLastPara="0" vertOverflow="overflow" horzOverflow="overflow" vert="horz" wrap="square" lIns="91440" tIns="45720" rIns="91440" bIns="45720" numCol="1" anchor="t" upright="1">
                        <a:noAutofit/>
                      </wps:bodyPr>
                    </wps:wsp>
                  </a:graphicData>
                </a:graphic>
              </wp:anchor>
            </w:drawing>
          </mc:Choice>
          <mc:Fallback>
            <w:pict>
              <v:rect id="_x0000_s1981" o:spid="_x0000_s1026" o:spt="1" style="position:absolute;left:0pt;margin-left:108pt;margin-top:16.3pt;height:23.4pt;width:144pt;z-index:251661312;mso-width-relative:page;mso-height-relative:page;" fillcolor="#FFFFFF" filled="t" stroked="t" coordsize="21600,21600" o:gfxdata="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LXxBBfaAAAACQEAAA8A&#10;AAAAAAAAAQAgAAAAIgAAAGRycy9kb3ducmV2LnhtbFBLAQIUABQAAAAIAIdO4kC7jCj8hwIAADoF&#10;AAAOAAAAAAAAAAEAIAAAACkBAABkcnMvZTJvRG9jLnhtbFBLBQYAAAAABgAGAFkBAAAiBgAAAAA=&#10;">
                <v:fill on="t" focussize="0,0"/>
                <v:stroke color="#000000" miterlimit="0" joinstyle="miter"/>
                <v:imagedata o:title=""/>
                <o:lock v:ext="edit" aspectratio="t"/>
                <v:textbox>
                  <w:txbxContent>
                    <w:p>
                      <w:pPr>
                        <w:ind w:firstLine="90"/>
                        <w:rPr>
                          <w:sz w:val="18"/>
                          <w:szCs w:val="18"/>
                        </w:rPr>
                      </w:pPr>
                      <w:r>
                        <w:rPr>
                          <w:rFonts w:hint="eastAsia"/>
                          <w:sz w:val="18"/>
                          <w:szCs w:val="18"/>
                        </w:rPr>
                        <w:t>保温层安装及铁丝网绑扎</w:t>
                      </w:r>
                    </w:p>
                  </w:txbxContent>
                </v:textbox>
              </v:rect>
            </w:pict>
          </mc:Fallback>
        </mc:AlternateContent>
      </w:r>
    </w:p>
    <w:p>
      <w:pPr>
        <w:pStyle w:val="408"/>
        <w:spacing w:line="400" w:lineRule="atLeast"/>
        <w:ind w:left="420" w:hanging="420"/>
        <w:rPr>
          <w:rFonts w:ascii="宋体"/>
          <w:b/>
          <w:bCs/>
          <w:sz w:val="24"/>
          <w:highlight w:val="none"/>
        </w:rPr>
      </w:pPr>
      <w:r>
        <w:rPr>
          <w:rFonts w:asciiTheme="minorEastAsia" w:hAnsiTheme="minorEastAsia" w:eastAsiaTheme="minorEastAsia" w:cstheme="minorEastAsia"/>
          <w:sz w:val="24"/>
          <w:highlight w:val="none"/>
        </w:rPr>
        <mc:AlternateContent>
          <mc:Choice Requires="wps">
            <w:drawing>
              <wp:anchor distT="0" distB="0" distL="114300" distR="114300" simplePos="0" relativeHeight="251662336" behindDoc="0" locked="0" layoutInCell="1" allowOverlap="1">
                <wp:simplePos x="0" y="0"/>
                <wp:positionH relativeFrom="column">
                  <wp:posOffset>4343400</wp:posOffset>
                </wp:positionH>
                <wp:positionV relativeFrom="paragraph">
                  <wp:posOffset>80645</wp:posOffset>
                </wp:positionV>
                <wp:extent cx="0" cy="748665"/>
                <wp:effectExtent l="4445" t="0" r="10795" b="13335"/>
                <wp:wrapNone/>
                <wp:docPr id="9" name="_x0000_s198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bwMode="auto">
                        <a:xfrm flipV="1">
                          <a:off x="0" y="0"/>
                          <a:ext cx="0" cy="748665"/>
                        </a:xfrm>
                        <a:prstGeom prst="line">
                          <a:avLst/>
                        </a:prstGeom>
                        <a:noFill/>
                        <a:ln w="9525" cap="flat" cmpd="sng">
                          <a:solidFill>
                            <a:srgbClr val="000000"/>
                          </a:solidFill>
                          <a:prstDash val="solid"/>
                          <a:headEnd type="none" w="med" len="med"/>
                          <a:tailEnd type="none" w="med" len="med"/>
                        </a:ln>
                      </wps:spPr>
                      <wps:bodyPr rot="0">
                        <a:noAutofit/>
                      </wps:bodyPr>
                    </wps:wsp>
                  </a:graphicData>
                </a:graphic>
              </wp:anchor>
            </w:drawing>
          </mc:Choice>
          <mc:Fallback>
            <w:pict>
              <v:line id="_x0000_s1982" o:spid="_x0000_s1026" o:spt="20" style="position:absolute;left:0pt;flip:y;margin-left:342pt;margin-top:6.35pt;height:58.95pt;width:0pt;z-index:251662336;mso-width-relative:page;mso-height-relative:page;" filled="f" stroked="t" coordsize="21600,21600" o:gfxdata="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C5I0azWAAAACgEAAA8AAAAA&#10;AAAAAQAgAAAAIgAAAGRycy9kb3ducmV2LnhtbFBLAQIUABQAAAAIAIdO4kA4MWRYFgIAAEYEAAAO&#10;AAAAAAAAAAEAIAAAACUBAABkcnMvZTJvRG9jLnhtbFBLBQYAAAAABgAGAFkBAACtBQAAAAA=&#10;">
                <v:fill on="f" focussize="0,0"/>
                <v:stroke color="#000000" joinstyle="round"/>
                <v:imagedata o:title=""/>
                <o:lock v:ext="edit" aspectratio="t"/>
              </v:line>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63360" behindDoc="0" locked="0" layoutInCell="1" allowOverlap="1">
                <wp:simplePos x="0" y="0"/>
                <wp:positionH relativeFrom="column">
                  <wp:posOffset>3200400</wp:posOffset>
                </wp:positionH>
                <wp:positionV relativeFrom="paragraph">
                  <wp:posOffset>83820</wp:posOffset>
                </wp:positionV>
                <wp:extent cx="1143000" cy="0"/>
                <wp:effectExtent l="0" t="38100" r="0" b="38100"/>
                <wp:wrapNone/>
                <wp:docPr id="10" name="_x0000_s1983"/>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bwMode="auto">
                        <a:xfrm flipH="1">
                          <a:off x="0" y="0"/>
                          <a:ext cx="1143000" cy="0"/>
                        </a:xfrm>
                        <a:prstGeom prst="line">
                          <a:avLst/>
                        </a:prstGeom>
                        <a:noFill/>
                        <a:ln w="9525" cap="flat" cmpd="sng">
                          <a:solidFill>
                            <a:srgbClr val="000000"/>
                          </a:solidFill>
                          <a:prstDash val="solid"/>
                          <a:headEnd type="none" w="med" len="med"/>
                          <a:tailEnd type="triangle" w="med" len="med"/>
                        </a:ln>
                      </wps:spPr>
                      <wps:bodyPr rot="0">
                        <a:noAutofit/>
                      </wps:bodyPr>
                    </wps:wsp>
                  </a:graphicData>
                </a:graphic>
              </wp:anchor>
            </w:drawing>
          </mc:Choice>
          <mc:Fallback>
            <w:pict>
              <v:line id="_x0000_s1983" o:spid="_x0000_s1026" o:spt="20" style="position:absolute;left:0pt;flip:x;margin-left:252pt;margin-top:6.6pt;height:0pt;width:90pt;z-index:251663360;mso-width-relative:page;mso-height-relative:page;" filled="f" stroked="t" coordsize="21600,21600" o:gfxdata="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v4aI/XAAAA&#10;CQEAAA8AAAAAAAAAAQAgAAAAIgAAAGRycy9kb3ducmV2LnhtbFBLAQIUABQAAAAIAIdO4kAiIil5&#10;HgIAAEwEAAAOAAAAAAAAAAEAIAAAACYBAABkcnMvZTJvRG9jLnhtbFBLBQYAAAAABgAGAFkBAAC2&#10;BQAAAAA=&#10;">
                <v:fill on="f" focussize="0,0"/>
                <v:stroke color="#000000" joinstyle="round" endarrow="block"/>
                <v:imagedata o:title=""/>
                <o:lock v:ext="edit" aspectratio="t"/>
              </v:line>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64384" behindDoc="0" locked="0" layoutInCell="1" allowOverlap="1">
                <wp:simplePos x="0" y="0"/>
                <wp:positionH relativeFrom="column">
                  <wp:posOffset>1028700</wp:posOffset>
                </wp:positionH>
                <wp:positionV relativeFrom="paragraph">
                  <wp:posOffset>83820</wp:posOffset>
                </wp:positionV>
                <wp:extent cx="0" cy="581660"/>
                <wp:effectExtent l="4445" t="0" r="10795" b="12700"/>
                <wp:wrapNone/>
                <wp:docPr id="11" name="_x0000_s1984"/>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bwMode="auto">
                        <a:xfrm>
                          <a:off x="0" y="0"/>
                          <a:ext cx="0" cy="581660"/>
                        </a:xfrm>
                        <a:prstGeom prst="line">
                          <a:avLst/>
                        </a:prstGeom>
                        <a:noFill/>
                        <a:ln w="9525" cap="flat" cmpd="sng">
                          <a:solidFill>
                            <a:srgbClr val="000000"/>
                          </a:solidFill>
                          <a:prstDash val="solid"/>
                          <a:headEnd type="none" w="med" len="med"/>
                          <a:tailEnd type="none" w="med" len="med"/>
                        </a:ln>
                      </wps:spPr>
                      <wps:bodyPr rot="0">
                        <a:noAutofit/>
                      </wps:bodyPr>
                    </wps:wsp>
                  </a:graphicData>
                </a:graphic>
              </wp:anchor>
            </w:drawing>
          </mc:Choice>
          <mc:Fallback>
            <w:pict>
              <v:line id="_x0000_s1984" o:spid="_x0000_s1026" o:spt="20" style="position:absolute;left:0pt;margin-left:81pt;margin-top:6.6pt;height:45.8pt;width:0pt;z-index:251664384;mso-width-relative:page;mso-height-relative:page;" filled="f" stroked="t" coordsize="21600,21600" o:gfxdata="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zumJ31QAAAAoBAAAPAAAAAAAAAAEA&#10;IAAAACIAAABkcnMvZG93bnJldi54bWxQSwECFAAUAAAACACHTuJAIrfxdBICAAA9BAAADgAAAAAA&#10;AAABACAAAAAkAQAAZHJzL2Uyb0RvYy54bWxQSwUGAAAAAAYABgBZAQAAqAUAAAAA&#10;">
                <v:fill on="f" focussize="0,0"/>
                <v:stroke color="#000000" joinstyle="round"/>
                <v:imagedata o:title=""/>
                <o:lock v:ext="edit" aspectratio="t"/>
              </v:line>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65408" behindDoc="0" locked="0" layoutInCell="1" allowOverlap="1">
                <wp:simplePos x="0" y="0"/>
                <wp:positionH relativeFrom="column">
                  <wp:posOffset>1028700</wp:posOffset>
                </wp:positionH>
                <wp:positionV relativeFrom="paragraph">
                  <wp:posOffset>80645</wp:posOffset>
                </wp:positionV>
                <wp:extent cx="342900" cy="0"/>
                <wp:effectExtent l="0" t="38100" r="7620" b="38100"/>
                <wp:wrapNone/>
                <wp:docPr id="12" name="_x0000_s1985"/>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bwMode="auto">
                        <a:xfrm>
                          <a:off x="0" y="0"/>
                          <a:ext cx="342900" cy="0"/>
                        </a:xfrm>
                        <a:prstGeom prst="line">
                          <a:avLst/>
                        </a:prstGeom>
                        <a:noFill/>
                        <a:ln w="9525" cap="flat" cmpd="sng">
                          <a:solidFill>
                            <a:srgbClr val="000000"/>
                          </a:solidFill>
                          <a:prstDash val="solid"/>
                          <a:headEnd type="none" w="med" len="med"/>
                          <a:tailEnd type="triangle" w="med" len="med"/>
                        </a:ln>
                      </wps:spPr>
                      <wps:bodyPr rot="0">
                        <a:noAutofit/>
                      </wps:bodyPr>
                    </wps:wsp>
                  </a:graphicData>
                </a:graphic>
              </wp:anchor>
            </w:drawing>
          </mc:Choice>
          <mc:Fallback>
            <w:pict>
              <v:line id="_x0000_s1985" o:spid="_x0000_s1026" o:spt="20" style="position:absolute;left:0pt;margin-left:81pt;margin-top:6.35pt;height:0pt;width:27pt;z-index:251665408;mso-width-relative:page;mso-height-relative:page;" filled="f" stroked="t" coordsize="21600,21600" o:gfxdata="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CFMgX1gAAAAkBAAAPAAAA&#10;AAAAAAEAIAAAACIAAABkcnMvZG93bnJldi54bWxQSwECFAAUAAAACACHTuJA6RX/NhcCAABBBAAA&#10;DgAAAAAAAAABACAAAAAlAQAAZHJzL2Uyb0RvYy54bWxQSwUGAAAAAAYABgBZAQAArgUAAAAA&#10;">
                <v:fill on="f" focussize="0,0"/>
                <v:stroke color="#000000" joinstyle="round" endarrow="block"/>
                <v:imagedata o:title=""/>
                <o:lock v:ext="edit" aspectratio="t"/>
              </v:line>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66432" behindDoc="0" locked="0" layoutInCell="1" allowOverlap="1">
                <wp:simplePos x="0" y="0"/>
                <wp:positionH relativeFrom="column">
                  <wp:posOffset>2400300</wp:posOffset>
                </wp:positionH>
                <wp:positionV relativeFrom="paragraph">
                  <wp:posOffset>208280</wp:posOffset>
                </wp:positionV>
                <wp:extent cx="266065" cy="396240"/>
                <wp:effectExtent l="0" t="0" r="8255" b="0"/>
                <wp:wrapSquare wrapText="bothSides"/>
                <wp:docPr id="13" name="_x0000_s198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66065" cy="396240"/>
                        </a:xfrm>
                        <a:prstGeom prst="rect">
                          <a:avLst/>
                        </a:prstGeom>
                        <a:solidFill>
                          <a:srgbClr val="FFFFFF"/>
                        </a:solidFill>
                        <a:ln>
                          <a:noFill/>
                        </a:ln>
                      </wps:spPr>
                      <wps:txbx>
                        <w:txbxContent>
                          <w:p>
                            <w:pPr>
                              <w:spacing w:line="400" w:lineRule="atLeast"/>
                              <w:rPr>
                                <w:rFonts w:ascii="宋体"/>
                                <w:bCs/>
                                <w:sz w:val="21"/>
                                <w:szCs w:val="21"/>
                              </w:rPr>
                            </w:pPr>
                            <w:r>
                              <w:rPr>
                                <w:rFonts w:hint="eastAsia" w:ascii="宋体"/>
                                <w:bCs/>
                                <w:sz w:val="21"/>
                                <w:szCs w:val="21"/>
                              </w:rPr>
                              <w:t>是</w:t>
                            </w:r>
                          </w:p>
                        </w:txbxContent>
                      </wps:txbx>
                      <wps:bodyPr rot="0" spcFirstLastPara="0" vertOverflow="overflow" horzOverflow="overflow" vert="horz" wrap="square" lIns="91440" tIns="45720" rIns="91440" bIns="45720" numCol="1" anchor="t" upright="1">
                        <a:noAutofit/>
                      </wps:bodyPr>
                    </wps:wsp>
                  </a:graphicData>
                </a:graphic>
              </wp:anchor>
            </w:drawing>
          </mc:Choice>
          <mc:Fallback>
            <w:pict>
              <v:rect id="_x0000_s1986" o:spid="_x0000_s1026" o:spt="1" style="position:absolute;left:0pt;margin-left:189pt;margin-top:16.4pt;height:31.2pt;width:20.95pt;mso-wrap-distance-bottom:0pt;mso-wrap-distance-left:9pt;mso-wrap-distance-right:9pt;mso-wrap-distance-top:0pt;z-index:251666432;mso-width-relative:page;mso-height-relative:page;" fillcolor="#FFFFFF" filled="t" stroked="f" coordsize="21600,21600" o:gfxdata="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saYCWNgAAAAJAQAADwAAAAAAAAABACAAAAAiAAAAZHJzL2Rvd25y&#10;ZXYueG1sUEsBAhQAFAAAAAgAh07iQIKpAjA3AgAAcwQAAA4AAAAAAAAAAQAgAAAAJwEAAGRycy9l&#10;Mm9Eb2MueG1sUEsFBgAAAAAGAAYAWQEAANAFAAAAAA==&#10;">
                <v:fill on="t" focussize="0,0"/>
                <v:stroke on="f"/>
                <v:imagedata o:title=""/>
                <o:lock v:ext="edit" aspectratio="t"/>
                <v:textbox>
                  <w:txbxContent>
                    <w:p>
                      <w:pPr>
                        <w:spacing w:line="400" w:lineRule="atLeast"/>
                        <w:rPr>
                          <w:rFonts w:ascii="宋体"/>
                          <w:bCs/>
                          <w:sz w:val="21"/>
                          <w:szCs w:val="21"/>
                        </w:rPr>
                      </w:pPr>
                      <w:r>
                        <w:rPr>
                          <w:rFonts w:hint="eastAsia" w:ascii="宋体"/>
                          <w:bCs/>
                          <w:sz w:val="21"/>
                          <w:szCs w:val="21"/>
                        </w:rPr>
                        <w:t>是</w:t>
                      </w:r>
                    </w:p>
                  </w:txbxContent>
                </v:textbox>
                <w10:wrap type="square"/>
              </v:rect>
            </w:pict>
          </mc:Fallback>
        </mc:AlternateContent>
      </w:r>
    </w:p>
    <w:p>
      <w:pPr>
        <w:spacing w:line="400" w:lineRule="atLeast"/>
        <w:ind w:left="420" w:hanging="420"/>
        <w:rPr>
          <w:rFonts w:ascii="宋体"/>
          <w:b/>
          <w:bCs/>
          <w:sz w:val="24"/>
          <w:highlight w:val="none"/>
        </w:rPr>
      </w:pPr>
      <w:r>
        <w:rPr>
          <w:rFonts w:asciiTheme="minorEastAsia" w:hAnsiTheme="minorEastAsia" w:eastAsiaTheme="minorEastAsia" w:cstheme="minorEastAsia"/>
          <w:sz w:val="24"/>
          <w:highlight w:val="none"/>
        </w:rPr>
        <mc:AlternateContent>
          <mc:Choice Requires="wps">
            <w:drawing>
              <wp:anchor distT="0" distB="0" distL="114300" distR="114300" simplePos="0" relativeHeight="251668480" behindDoc="0" locked="0" layoutInCell="1" allowOverlap="1">
                <wp:simplePos x="0" y="0"/>
                <wp:positionH relativeFrom="column">
                  <wp:posOffset>1743075</wp:posOffset>
                </wp:positionH>
                <wp:positionV relativeFrom="paragraph">
                  <wp:posOffset>208280</wp:posOffset>
                </wp:positionV>
                <wp:extent cx="1171575" cy="424180"/>
                <wp:effectExtent l="13970" t="5080" r="14604" b="8890"/>
                <wp:wrapNone/>
                <wp:docPr id="14" name="_x0000_s19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171575" cy="424180"/>
                        </a:xfrm>
                        <a:prstGeom prst="diamond">
                          <a:avLst/>
                        </a:prstGeom>
                        <a:solidFill>
                          <a:srgbClr val="FFFFFF"/>
                        </a:solidFill>
                        <a:ln w="9525" cap="flat" cmpd="sng">
                          <a:solidFill>
                            <a:srgbClr val="000000"/>
                          </a:solidFill>
                          <a:prstDash val="solid"/>
                          <a:miter lim="0"/>
                          <a:headEnd type="none" w="med" len="med"/>
                          <a:tailEnd type="none" w="med" len="med"/>
                        </a:ln>
                      </wps:spPr>
                      <wps:txbx>
                        <w:txbxContent>
                          <w:p>
                            <w:pPr>
                              <w:ind w:firstLine="75"/>
                              <w:rPr>
                                <w:sz w:val="15"/>
                                <w:szCs w:val="15"/>
                              </w:rPr>
                            </w:pPr>
                            <w:r>
                              <w:rPr>
                                <w:rFonts w:hint="eastAsia"/>
                                <w:sz w:val="15"/>
                                <w:szCs w:val="15"/>
                              </w:rPr>
                              <w:t>验收</w:t>
                            </w:r>
                          </w:p>
                        </w:txbxContent>
                      </wps:txbx>
                      <wps:bodyPr rot="0" spcFirstLastPara="0" vertOverflow="overflow" horzOverflow="overflow" vert="horz" wrap="square" lIns="91440" tIns="45720" rIns="91440" bIns="45720" numCol="1" anchor="t" upright="1">
                        <a:noAutofit/>
                      </wps:bodyPr>
                    </wps:wsp>
                  </a:graphicData>
                </a:graphic>
              </wp:anchor>
            </w:drawing>
          </mc:Choice>
          <mc:Fallback>
            <w:pict>
              <v:shape id="_x0000_s1987" o:spid="_x0000_s1026" o:spt="4" type="#_x0000_t4" style="position:absolute;left:0pt;margin-left:137.25pt;margin-top:16.4pt;height:33.4pt;width:92.25pt;z-index:251668480;mso-width-relative:page;mso-height-relative:page;" fillcolor="#FFFFFF" filled="t" stroked="t" coordsize="21600,21600" o:gfxdata="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AjlEQp1QAAAAkBAAAPAAAA&#10;AAAAAAEAIAAAACIAAABkcnMvZG93bnJldi54bWxQSwECFAAUAAAACACHTuJAxPXI9ooCAAA+BQAA&#10;DgAAAAAAAAABACAAAAAkAQAAZHJzL2Uyb0RvYy54bWxQSwUGAAAAAAYABgBZAQAAIAYAAAAA&#10;">
                <v:fill on="t" focussize="0,0"/>
                <v:stroke color="#000000" miterlimit="0" joinstyle="miter"/>
                <v:imagedata o:title=""/>
                <o:lock v:ext="edit" aspectratio="t"/>
                <v:textbox>
                  <w:txbxContent>
                    <w:p>
                      <w:pPr>
                        <w:ind w:firstLine="75"/>
                        <w:rPr>
                          <w:sz w:val="15"/>
                          <w:szCs w:val="15"/>
                        </w:rPr>
                      </w:pPr>
                      <w:r>
                        <w:rPr>
                          <w:rFonts w:hint="eastAsia"/>
                          <w:sz w:val="15"/>
                          <w:szCs w:val="15"/>
                        </w:rPr>
                        <w:t>验收</w:t>
                      </w:r>
                    </w:p>
                  </w:txbxContent>
                </v:textbox>
              </v:shape>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67456" behindDoc="0" locked="0" layoutInCell="1" allowOverlap="1">
                <wp:simplePos x="0" y="0"/>
                <wp:positionH relativeFrom="column">
                  <wp:posOffset>2286000</wp:posOffset>
                </wp:positionH>
                <wp:positionV relativeFrom="paragraph">
                  <wp:posOffset>-3810</wp:posOffset>
                </wp:positionV>
                <wp:extent cx="0" cy="212090"/>
                <wp:effectExtent l="38100" t="0" r="38100" b="1270"/>
                <wp:wrapNone/>
                <wp:docPr id="15" name="_x0000_s1988"/>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bwMode="auto">
                        <a:xfrm>
                          <a:off x="0" y="0"/>
                          <a:ext cx="0" cy="212090"/>
                        </a:xfrm>
                        <a:prstGeom prst="line">
                          <a:avLst/>
                        </a:prstGeom>
                        <a:noFill/>
                        <a:ln w="9525" cap="flat" cmpd="sng">
                          <a:solidFill>
                            <a:srgbClr val="000000"/>
                          </a:solidFill>
                          <a:prstDash val="solid"/>
                          <a:round/>
                          <a:headEnd type="none" w="med" len="med"/>
                          <a:tailEnd type="triangle" w="med" len="med"/>
                        </a:ln>
                      </wps:spPr>
                      <wps:bodyPr rot="0">
                        <a:noAutofit/>
                      </wps:bodyPr>
                    </wps:wsp>
                  </a:graphicData>
                </a:graphic>
              </wp:anchor>
            </w:drawing>
          </mc:Choice>
          <mc:Fallback>
            <w:pict>
              <v:line id="_x0000_s1988" o:spid="_x0000_s1026" o:spt="20" style="position:absolute;left:0pt;margin-left:180pt;margin-top:-0.3pt;height:16.7pt;width:0pt;z-index:251667456;mso-width-relative:page;mso-height-relative:page;" filled="f" stroked="t" coordsize="21600,21600" o:gfxdata="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1BKP51wAAAAgB&#10;AAAPAAAAAAAAAAEAIAAAACIAAABkcnMvZG93bnJldi54bWxQSwECFAAUAAAACACHTuJAIwV2zxwC&#10;AABLBAAADgAAAAAAAAABACAAAAAmAQAAZHJzL2Uyb0RvYy54bWxQSwUGAAAAAAYABgBZAQAAtAUA&#10;AAAA&#10;">
                <v:fill on="f" focussize="0,0"/>
                <v:stroke color="#000000" joinstyle="round" endarrow="block"/>
                <v:imagedata o:title=""/>
                <o:lock v:ext="edit" aspectratio="t"/>
              </v:line>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69504" behindDoc="0" locked="0" layoutInCell="1" allowOverlap="1">
                <wp:simplePos x="0" y="0"/>
                <wp:positionH relativeFrom="column">
                  <wp:posOffset>685800</wp:posOffset>
                </wp:positionH>
                <wp:positionV relativeFrom="paragraph">
                  <wp:posOffset>53340</wp:posOffset>
                </wp:positionV>
                <wp:extent cx="342900" cy="297180"/>
                <wp:effectExtent l="0" t="0" r="7620" b="7620"/>
                <wp:wrapNone/>
                <wp:docPr id="16" name="_x0000_s198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42900" cy="297180"/>
                        </a:xfrm>
                        <a:prstGeom prst="rect">
                          <a:avLst/>
                        </a:prstGeom>
                        <a:solidFill>
                          <a:srgbClr val="FFFFFF"/>
                        </a:solidFill>
                        <a:ln>
                          <a:noFill/>
                        </a:ln>
                      </wps:spPr>
                      <wps:txbx>
                        <w:txbxContent>
                          <w:p>
                            <w:r>
                              <w:rPr>
                                <w:rFonts w:hint="eastAsia"/>
                              </w:rPr>
                              <w:t>否</w:t>
                            </w:r>
                          </w:p>
                        </w:txbxContent>
                      </wps:txbx>
                      <wps:bodyPr rot="0" spcFirstLastPara="0" vertOverflow="overflow" horzOverflow="overflow" vert="horz" wrap="square" lIns="91440" tIns="45720" rIns="91440" bIns="45720" numCol="1" anchor="t" upright="1">
                        <a:noAutofit/>
                      </wps:bodyPr>
                    </wps:wsp>
                  </a:graphicData>
                </a:graphic>
              </wp:anchor>
            </w:drawing>
          </mc:Choice>
          <mc:Fallback>
            <w:pict>
              <v:rect id="_x0000_s1989" o:spid="_x0000_s1026" o:spt="1" style="position:absolute;left:0pt;margin-left:54pt;margin-top:4.2pt;height:23.4pt;width:27pt;z-index:251669504;mso-width-relative:page;mso-height-relative:page;" fillcolor="#FFFFFF" filled="t" stroked="f" coordsize="21600,21600" o:gfxdata="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aOX6G9UAAAAIAQAADwAAAAAAAAABACAAAAAiAAAAZHJzL2Rvd25yZXYu&#10;eG1sUEsBAhQAFAAAAAgAh07iQGiO34I3AgAAcwQAAA4AAAAAAAAAAQAgAAAAJAEAAGRycy9lMm9E&#10;b2MueG1sUEsFBgAAAAAGAAYAWQEAAM0FAAAAAA==&#10;">
                <v:fill on="t" focussize="0,0"/>
                <v:stroke on="f"/>
                <v:imagedata o:title=""/>
                <o:lock v:ext="edit" aspectratio="t"/>
                <v:textbox>
                  <w:txbxContent>
                    <w:p>
                      <w:r>
                        <w:rPr>
                          <w:rFonts w:hint="eastAsia"/>
                        </w:rPr>
                        <w:t>否</w:t>
                      </w:r>
                    </w:p>
                  </w:txbxContent>
                </v:textbox>
              </v:rect>
            </w:pict>
          </mc:Fallback>
        </mc:AlternateContent>
      </w:r>
    </w:p>
    <w:p>
      <w:pPr>
        <w:pStyle w:val="408"/>
        <w:spacing w:line="400" w:lineRule="atLeast"/>
        <w:ind w:left="420" w:hanging="420"/>
        <w:rPr>
          <w:rFonts w:ascii="宋体"/>
          <w:b/>
          <w:bCs/>
          <w:sz w:val="24"/>
          <w:highlight w:val="none"/>
        </w:rPr>
      </w:pPr>
      <w:r>
        <w:rPr>
          <w:rFonts w:asciiTheme="minorEastAsia" w:hAnsiTheme="minorEastAsia" w:eastAsiaTheme="minorEastAsia" w:cstheme="minorEastAsia"/>
          <w:sz w:val="24"/>
          <w:highlight w:val="none"/>
        </w:rPr>
        <mc:AlternateContent>
          <mc:Choice Requires="wps">
            <w:drawing>
              <wp:anchor distT="0" distB="0" distL="114300" distR="114300" simplePos="0" relativeHeight="251670528" behindDoc="0" locked="0" layoutInCell="1" allowOverlap="1">
                <wp:simplePos x="0" y="0"/>
                <wp:positionH relativeFrom="column">
                  <wp:posOffset>1028700</wp:posOffset>
                </wp:positionH>
                <wp:positionV relativeFrom="paragraph">
                  <wp:posOffset>157480</wp:posOffset>
                </wp:positionV>
                <wp:extent cx="800100" cy="0"/>
                <wp:effectExtent l="0" t="0" r="0" b="0"/>
                <wp:wrapNone/>
                <wp:docPr id="17" name="_x0000_s1990"/>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bwMode="auto">
                        <a:xfrm>
                          <a:off x="0" y="0"/>
                          <a:ext cx="800100" cy="0"/>
                        </a:xfrm>
                        <a:prstGeom prst="line">
                          <a:avLst/>
                        </a:prstGeom>
                        <a:noFill/>
                        <a:ln w="9525" cap="flat" cmpd="sng">
                          <a:solidFill>
                            <a:srgbClr val="000000"/>
                          </a:solidFill>
                          <a:prstDash val="solid"/>
                          <a:headEnd type="none" w="med" len="med"/>
                          <a:tailEnd type="none" w="med" len="med"/>
                        </a:ln>
                      </wps:spPr>
                      <wps:bodyPr rot="0">
                        <a:noAutofit/>
                      </wps:bodyPr>
                    </wps:wsp>
                  </a:graphicData>
                </a:graphic>
              </wp:anchor>
            </w:drawing>
          </mc:Choice>
          <mc:Fallback>
            <w:pict>
              <v:line id="_x0000_s1990" o:spid="_x0000_s1026" o:spt="20" style="position:absolute;left:0pt;margin-left:81pt;margin-top:12.4pt;height:0pt;width:63pt;z-index:251670528;mso-width-relative:page;mso-height-relative:page;" filled="f" stroked="t" coordsize="21600,21600" o:gfxdata="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uSZsLVAAAACQEAAA8AAAAAAAAAAQAgAAAA&#10;IgAAAGRycy9kb3ducmV2LnhtbFBLAQIUABQAAAAIAIdO4kCYFlUkDgIAAD0EAAAOAAAAAAAAAAEA&#10;IAAAACQBAABkcnMvZTJvRG9jLnhtbFBLBQYAAAAABgAGAFkBAACkBQAAAAA=&#10;">
                <v:fill on="f" focussize="0,0"/>
                <v:stroke color="#000000" joinstyle="round"/>
                <v:imagedata o:title=""/>
                <o:lock v:ext="edit" aspectratio="t"/>
              </v:line>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71552" behindDoc="0" locked="0" layoutInCell="1" allowOverlap="1">
                <wp:simplePos x="0" y="0"/>
                <wp:positionH relativeFrom="column">
                  <wp:posOffset>4396740</wp:posOffset>
                </wp:positionH>
                <wp:positionV relativeFrom="paragraph">
                  <wp:posOffset>96520</wp:posOffset>
                </wp:positionV>
                <wp:extent cx="276225" cy="244475"/>
                <wp:effectExtent l="0" t="0" r="13335" b="14604"/>
                <wp:wrapNone/>
                <wp:docPr id="18" name="_x0000_s199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76225" cy="244475"/>
                        </a:xfrm>
                        <a:prstGeom prst="rect">
                          <a:avLst/>
                        </a:prstGeom>
                        <a:solidFill>
                          <a:srgbClr val="FFFFFF"/>
                        </a:solidFill>
                        <a:ln>
                          <a:noFill/>
                        </a:ln>
                      </wps:spPr>
                      <wps:txbx>
                        <w:txbxContent>
                          <w:p>
                            <w:r>
                              <w:rPr>
                                <w:rFonts w:hint="eastAsia"/>
                              </w:rPr>
                              <w:t>否</w:t>
                            </w:r>
                          </w:p>
                        </w:txbxContent>
                      </wps:txbx>
                      <wps:bodyPr rot="0" spcFirstLastPara="0" vertOverflow="overflow" horzOverflow="overflow" vert="horz" wrap="square" lIns="91440" tIns="45720" rIns="91440" bIns="45720" numCol="1" anchor="t" upright="1">
                        <a:noAutofit/>
                      </wps:bodyPr>
                    </wps:wsp>
                  </a:graphicData>
                </a:graphic>
              </wp:anchor>
            </w:drawing>
          </mc:Choice>
          <mc:Fallback>
            <w:pict>
              <v:rect id="_x0000_s1991" o:spid="_x0000_s1026" o:spt="1" style="position:absolute;left:0pt;margin-left:346.2pt;margin-top:7.6pt;height:19.25pt;width:21.75pt;z-index:251671552;mso-width-relative:page;mso-height-relative:page;" fillcolor="#FFFFFF" filled="t" stroked="f" coordsize="21600,21600" o:gfxdata="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t/OJhdcAAAAJAQAADwAAAAAAAAABACAAAAAiAAAAZHJzL2Rvd25yZXYu&#10;eG1sUEsBAhQAFAAAAAgAh07iQHB/JqU1AgAAcwQAAA4AAAAAAAAAAQAgAAAAJgEAAGRycy9lMm9E&#10;b2MueG1sUEsFBgAAAAAGAAYAWQEAAM0FAAAAAA==&#10;">
                <v:fill on="t" focussize="0,0"/>
                <v:stroke on="f"/>
                <v:imagedata o:title=""/>
                <o:lock v:ext="edit" aspectratio="t"/>
                <v:textbox>
                  <w:txbxContent>
                    <w:p>
                      <w:r>
                        <w:rPr>
                          <w:rFonts w:hint="eastAsia"/>
                        </w:rPr>
                        <w:t>否</w:t>
                      </w:r>
                    </w:p>
                  </w:txbxContent>
                </v:textbox>
              </v:rect>
            </w:pict>
          </mc:Fallback>
        </mc:AlternateContent>
      </w:r>
    </w:p>
    <w:p>
      <w:pPr>
        <w:pStyle w:val="408"/>
        <w:spacing w:line="400" w:lineRule="atLeast"/>
        <w:ind w:left="420" w:hanging="420"/>
        <w:rPr>
          <w:rFonts w:ascii="宋体"/>
          <w:b/>
          <w:bCs/>
          <w:sz w:val="24"/>
          <w:highlight w:val="none"/>
        </w:rPr>
      </w:pPr>
      <w:r>
        <w:rPr>
          <w:rFonts w:asciiTheme="minorEastAsia" w:hAnsiTheme="minorEastAsia" w:eastAsiaTheme="minorEastAsia" w:cstheme="minorEastAsia"/>
          <w:sz w:val="24"/>
          <w:highlight w:val="none"/>
        </w:rPr>
        <mc:AlternateContent>
          <mc:Choice Requires="wps">
            <w:drawing>
              <wp:anchor distT="0" distB="0" distL="114300" distR="114300" simplePos="0" relativeHeight="251672576" behindDoc="0" locked="0" layoutInCell="1" allowOverlap="1">
                <wp:simplePos x="0" y="0"/>
                <wp:positionH relativeFrom="column">
                  <wp:posOffset>2400300</wp:posOffset>
                </wp:positionH>
                <wp:positionV relativeFrom="paragraph">
                  <wp:posOffset>67310</wp:posOffset>
                </wp:positionV>
                <wp:extent cx="342900" cy="259080"/>
                <wp:effectExtent l="0" t="0" r="7620" b="0"/>
                <wp:wrapNone/>
                <wp:docPr id="19" name="_x0000_s199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42900" cy="259080"/>
                        </a:xfrm>
                        <a:prstGeom prst="rect">
                          <a:avLst/>
                        </a:prstGeom>
                        <a:solidFill>
                          <a:srgbClr val="FFFFFF"/>
                        </a:solidFill>
                        <a:ln>
                          <a:noFill/>
                        </a:ln>
                      </wps:spPr>
                      <wps:txbx>
                        <w:txbxContent>
                          <w:p>
                            <w:r>
                              <w:rPr>
                                <w:rFonts w:hint="eastAsia"/>
                              </w:rPr>
                              <w:t>是</w:t>
                            </w:r>
                          </w:p>
                        </w:txbxContent>
                      </wps:txbx>
                      <wps:bodyPr rot="0" spcFirstLastPara="0" vertOverflow="overflow" horzOverflow="overflow" vert="horz" wrap="square" lIns="91440" tIns="45720" rIns="91440" bIns="45720" numCol="1" anchor="t" upright="1">
                        <a:noAutofit/>
                      </wps:bodyPr>
                    </wps:wsp>
                  </a:graphicData>
                </a:graphic>
              </wp:anchor>
            </w:drawing>
          </mc:Choice>
          <mc:Fallback>
            <w:pict>
              <v:rect id="_x0000_s1992" o:spid="_x0000_s1026" o:spt="1" style="position:absolute;left:0pt;margin-left:189pt;margin-top:5.3pt;height:20.4pt;width:27pt;z-index:251672576;mso-width-relative:page;mso-height-relative:page;" fillcolor="#FFFFFF" filled="t" stroked="f" coordsize="21600,21600" o:gfxdata="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FJI2XrXAAAACQEAAA8AAAAAAAAAAQAgAAAAIgAAAGRycy9kb3ducmV2&#10;LnhtbFBLAQIUABQAAAAIAIdO4kAvVgYHNgIAAHMEAAAOAAAAAAAAAAEAIAAAACYBAABkcnMvZTJv&#10;RG9jLnhtbFBLBQYAAAAABgAGAFkBAADOBQAAAAA=&#10;">
                <v:fill on="t" focussize="0,0"/>
                <v:stroke on="f"/>
                <v:imagedata o:title=""/>
                <o:lock v:ext="edit" aspectratio="t"/>
                <v:textbox>
                  <w:txbxContent>
                    <w:p>
                      <w:r>
                        <w:rPr>
                          <w:rFonts w:hint="eastAsia"/>
                        </w:rPr>
                        <w:t>是</w:t>
                      </w:r>
                    </w:p>
                  </w:txbxContent>
                </v:textbox>
              </v:rect>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73600" behindDoc="0" locked="0" layoutInCell="1" allowOverlap="1">
                <wp:simplePos x="0" y="0"/>
                <wp:positionH relativeFrom="column">
                  <wp:posOffset>2286000</wp:posOffset>
                </wp:positionH>
                <wp:positionV relativeFrom="paragraph">
                  <wp:posOffset>85090</wp:posOffset>
                </wp:positionV>
                <wp:extent cx="0" cy="241300"/>
                <wp:effectExtent l="38100" t="0" r="38100" b="2540"/>
                <wp:wrapNone/>
                <wp:docPr id="20" name="_x0000_s1993"/>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bwMode="auto">
                        <a:xfrm>
                          <a:off x="0" y="0"/>
                          <a:ext cx="0" cy="241300"/>
                        </a:xfrm>
                        <a:prstGeom prst="line">
                          <a:avLst/>
                        </a:prstGeom>
                        <a:noFill/>
                        <a:ln w="9525" cap="flat" cmpd="sng">
                          <a:solidFill>
                            <a:srgbClr val="000000"/>
                          </a:solidFill>
                          <a:prstDash val="solid"/>
                          <a:headEnd type="none" w="med" len="med"/>
                          <a:tailEnd type="triangle" w="med" len="med"/>
                        </a:ln>
                      </wps:spPr>
                      <wps:bodyPr rot="0">
                        <a:noAutofit/>
                      </wps:bodyPr>
                    </wps:wsp>
                  </a:graphicData>
                </a:graphic>
              </wp:anchor>
            </w:drawing>
          </mc:Choice>
          <mc:Fallback>
            <w:pict>
              <v:line id="_x0000_s1993" o:spid="_x0000_s1026" o:spt="20" style="position:absolute;left:0pt;margin-left:180pt;margin-top:6.7pt;height:19pt;width:0pt;z-index:251673600;mso-width-relative:page;mso-height-relative:page;" filled="f" stroked="t" coordsize="21600,21600" o:gfxdata="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MTy2jZAAAACQEA&#10;AA8AAAAAAAAAAQAgAAAAIgAAAGRycy9kb3ducmV2LnhtbFBLAQIUABQAAAAIAIdO4kCvk2vAGQIA&#10;AEEEAAAOAAAAAAAAAAEAIAAAACgBAABkcnMvZTJvRG9jLnhtbFBLBQYAAAAABgAGAFkBAACzBQAA&#10;AAA=&#10;">
                <v:fill on="f" focussize="0,0"/>
                <v:stroke color="#000000" joinstyle="round" endarrow="block"/>
                <v:imagedata o:title=""/>
                <o:lock v:ext="edit" aspectratio="t"/>
              </v:line>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74624" behindDoc="0" locked="0" layoutInCell="1" allowOverlap="1">
                <wp:simplePos x="0" y="0"/>
                <wp:positionH relativeFrom="column">
                  <wp:posOffset>3648075</wp:posOffset>
                </wp:positionH>
                <wp:positionV relativeFrom="paragraph">
                  <wp:posOffset>86995</wp:posOffset>
                </wp:positionV>
                <wp:extent cx="1371600" cy="445770"/>
                <wp:effectExtent l="15240" t="5080" r="30480" b="6350"/>
                <wp:wrapNone/>
                <wp:docPr id="21" name="_x0000_s199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371600" cy="445770"/>
                        </a:xfrm>
                        <a:prstGeom prst="diamond">
                          <a:avLst/>
                        </a:prstGeom>
                        <a:solidFill>
                          <a:srgbClr val="FFFFFF"/>
                        </a:solidFill>
                        <a:ln w="9525" cap="flat" cmpd="sng">
                          <a:solidFill>
                            <a:srgbClr val="000000"/>
                          </a:solidFill>
                          <a:prstDash val="solid"/>
                          <a:miter lim="0"/>
                          <a:headEnd type="none" w="med" len="med"/>
                          <a:tailEnd type="none" w="med" len="med"/>
                        </a:ln>
                      </wps:spPr>
                      <wps:txbx>
                        <w:txbxContent>
                          <w:p>
                            <w:r>
                              <w:rPr>
                                <w:rFonts w:hint="eastAsia"/>
                                <w:sz w:val="18"/>
                                <w:szCs w:val="18"/>
                              </w:rPr>
                              <w:t>热态检验</w:t>
                            </w:r>
                          </w:p>
                        </w:txbxContent>
                      </wps:txbx>
                      <wps:bodyPr rot="0" spcFirstLastPara="0" vertOverflow="overflow" horzOverflow="overflow" vert="horz" wrap="square" lIns="91440" tIns="45720" rIns="91440" bIns="45720" numCol="1" anchor="t" upright="1">
                        <a:noAutofit/>
                      </wps:bodyPr>
                    </wps:wsp>
                  </a:graphicData>
                </a:graphic>
              </wp:anchor>
            </w:drawing>
          </mc:Choice>
          <mc:Fallback>
            <w:pict>
              <v:shape id="_x0000_s1994" o:spid="_x0000_s1026" o:spt="4" type="#_x0000_t4" style="position:absolute;left:0pt;margin-left:287.25pt;margin-top:6.85pt;height:35.1pt;width:108pt;z-index:251674624;mso-width-relative:page;mso-height-relative:page;" fillcolor="#FFFFFF" filled="t" stroked="t" coordsize="21600,21600" o:gfxdata="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BwiE611QAAAAkBAAAPAAAA&#10;AAAAAAEAIAAAACIAAABkcnMvZG93bnJldi54bWxQSwECFAAUAAAACACHTuJAn6H2k4oCAAA+BQAA&#10;DgAAAAAAAAABACAAAAAkAQAAZHJzL2Uyb0RvYy54bWxQSwUGAAAAAAYABgBZAQAAIAYAAAAA&#10;">
                <v:fill on="t" focussize="0,0"/>
                <v:stroke color="#000000" miterlimit="0" joinstyle="miter"/>
                <v:imagedata o:title=""/>
                <o:lock v:ext="edit" aspectratio="t"/>
                <v:textbox>
                  <w:txbxContent>
                    <w:p>
                      <w:r>
                        <w:rPr>
                          <w:rFonts w:hint="eastAsia"/>
                          <w:sz w:val="18"/>
                          <w:szCs w:val="18"/>
                        </w:rPr>
                        <w:t>热态检验</w:t>
                      </w:r>
                    </w:p>
                  </w:txbxContent>
                </v:textbox>
              </v:shape>
            </w:pict>
          </mc:Fallback>
        </mc:AlternateContent>
      </w:r>
    </w:p>
    <w:p>
      <w:pPr>
        <w:pStyle w:val="408"/>
        <w:spacing w:line="400" w:lineRule="atLeast"/>
        <w:ind w:left="420" w:hanging="420"/>
        <w:rPr>
          <w:rFonts w:ascii="宋体"/>
          <w:b/>
          <w:bCs/>
          <w:sz w:val="24"/>
          <w:highlight w:val="none"/>
        </w:rPr>
      </w:pPr>
      <w:r>
        <w:rPr>
          <w:rFonts w:asciiTheme="minorEastAsia" w:hAnsiTheme="minorEastAsia" w:eastAsiaTheme="minorEastAsia" w:cstheme="minorEastAsia"/>
          <w:sz w:val="24"/>
          <w:highlight w:val="none"/>
        </w:rPr>
        <mc:AlternateContent>
          <mc:Choice Requires="wps">
            <w:drawing>
              <wp:anchor distT="0" distB="0" distL="114300" distR="114300" simplePos="0" relativeHeight="251675648" behindDoc="0" locked="0" layoutInCell="1" allowOverlap="1">
                <wp:simplePos x="0" y="0"/>
                <wp:positionH relativeFrom="column">
                  <wp:posOffset>3418205</wp:posOffset>
                </wp:positionH>
                <wp:positionV relativeFrom="paragraph">
                  <wp:posOffset>72390</wp:posOffset>
                </wp:positionV>
                <wp:extent cx="0" cy="779780"/>
                <wp:effectExtent l="4445" t="0" r="10795" b="12700"/>
                <wp:wrapNone/>
                <wp:docPr id="22" name="_x0000_s1995"/>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bwMode="auto">
                        <a:xfrm flipV="1">
                          <a:off x="0" y="0"/>
                          <a:ext cx="0" cy="779780"/>
                        </a:xfrm>
                        <a:prstGeom prst="line">
                          <a:avLst/>
                        </a:prstGeom>
                        <a:noFill/>
                        <a:ln w="9525" cap="flat" cmpd="sng">
                          <a:solidFill>
                            <a:srgbClr val="000000"/>
                          </a:solidFill>
                          <a:prstDash val="solid"/>
                          <a:headEnd type="none" w="med" len="med"/>
                          <a:tailEnd type="none" w="med" len="med"/>
                        </a:ln>
                      </wps:spPr>
                      <wps:bodyPr rot="0">
                        <a:noAutofit/>
                      </wps:bodyPr>
                    </wps:wsp>
                  </a:graphicData>
                </a:graphic>
              </wp:anchor>
            </w:drawing>
          </mc:Choice>
          <mc:Fallback>
            <w:pict>
              <v:line id="_x0000_s1995" o:spid="_x0000_s1026" o:spt="20" style="position:absolute;left:0pt;flip:y;margin-left:269.15pt;margin-top:5.7pt;height:61.4pt;width:0pt;z-index:251675648;mso-width-relative:page;mso-height-relative:page;" filled="f" stroked="t" coordsize="21600,21600" o:gfxdata="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E+KD9vVAAAACgEAAA8AAAAA&#10;AAAAAQAgAAAAIgAAAGRycy9kb3ducmV2LnhtbFBLAQIUABQAAAAIAIdO4kAamDa0FwIAAEcEAAAO&#10;AAAAAAAAAAEAIAAAACQBAABkcnMvZTJvRG9jLnhtbFBLBQYAAAAABgAGAFkBAACtBQAAAAA=&#10;">
                <v:fill on="f" focussize="0,0"/>
                <v:stroke color="#000000" joinstyle="round"/>
                <v:imagedata o:title=""/>
                <o:lock v:ext="edit" aspectratio="t"/>
              </v:line>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75648" behindDoc="0" locked="0" layoutInCell="1" allowOverlap="1">
                <wp:simplePos x="0" y="0"/>
                <wp:positionH relativeFrom="column">
                  <wp:posOffset>1028700</wp:posOffset>
                </wp:positionH>
                <wp:positionV relativeFrom="paragraph">
                  <wp:posOffset>182880</wp:posOffset>
                </wp:positionV>
                <wp:extent cx="0" cy="669290"/>
                <wp:effectExtent l="4445" t="0" r="10795" b="1270"/>
                <wp:wrapNone/>
                <wp:docPr id="23" name="_x0000_s1996"/>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bwMode="auto">
                        <a:xfrm>
                          <a:off x="0" y="0"/>
                          <a:ext cx="0" cy="669290"/>
                        </a:xfrm>
                        <a:prstGeom prst="line">
                          <a:avLst/>
                        </a:prstGeom>
                        <a:noFill/>
                        <a:ln w="9525" cap="flat" cmpd="sng">
                          <a:solidFill>
                            <a:srgbClr val="000000"/>
                          </a:solidFill>
                          <a:prstDash val="solid"/>
                          <a:headEnd type="none" w="med" len="med"/>
                          <a:tailEnd type="none" w="med" len="med"/>
                        </a:ln>
                      </wps:spPr>
                      <wps:bodyPr rot="0">
                        <a:noAutofit/>
                      </wps:bodyPr>
                    </wps:wsp>
                  </a:graphicData>
                </a:graphic>
              </wp:anchor>
            </w:drawing>
          </mc:Choice>
          <mc:Fallback>
            <w:pict>
              <v:line id="_x0000_s1996" o:spid="_x0000_s1026" o:spt="20" style="position:absolute;left:0pt;margin-left:81pt;margin-top:14.4pt;height:52.7pt;width:0pt;z-index:251675648;mso-width-relative:page;mso-height-relative:page;" filled="f" stroked="t" coordsize="21600,21600" o:gfxdata="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70BMXtYAAAAKAQAADwAAAAAAAAAB&#10;ACAAAAAiAAAAZHJzL2Rvd25yZXYueG1sUEsBAhQAFAAAAAgAh07iQC075NcSAgAAPQQAAA4AAAAA&#10;AAAAAQAgAAAAJQEAAGRycy9lMm9Eb2MueG1sUEsFBgAAAAAGAAYAWQEAAKkFAAAAAA==&#10;">
                <v:fill on="f" focussize="0,0"/>
                <v:stroke color="#000000" joinstyle="round"/>
                <v:imagedata o:title=""/>
                <o:lock v:ext="edit" aspectratio="t"/>
              </v:line>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76672" behindDoc="0" locked="0" layoutInCell="1" allowOverlap="1">
                <wp:simplePos x="0" y="0"/>
                <wp:positionH relativeFrom="column">
                  <wp:posOffset>1714500</wp:posOffset>
                </wp:positionH>
                <wp:positionV relativeFrom="paragraph">
                  <wp:posOffset>72390</wp:posOffset>
                </wp:positionV>
                <wp:extent cx="1257300" cy="297180"/>
                <wp:effectExtent l="5080" t="4445" r="17780" b="18415"/>
                <wp:wrapNone/>
                <wp:docPr id="24" name="_x0000_s199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257300" cy="297180"/>
                        </a:xfrm>
                        <a:prstGeom prst="rect">
                          <a:avLst/>
                        </a:prstGeom>
                        <a:solidFill>
                          <a:srgbClr val="FFFFFF"/>
                        </a:solidFill>
                        <a:ln w="9525" cap="flat" cmpd="sng">
                          <a:solidFill>
                            <a:srgbClr val="000000"/>
                          </a:solidFill>
                          <a:prstDash val="solid"/>
                          <a:miter lim="0"/>
                          <a:headEnd type="none" w="med" len="med"/>
                          <a:tailEnd type="none" w="med" len="med"/>
                        </a:ln>
                      </wps:spPr>
                      <wps:txbx>
                        <w:txbxContent>
                          <w:p>
                            <w:pPr>
                              <w:ind w:firstLine="270"/>
                              <w:rPr>
                                <w:sz w:val="18"/>
                                <w:szCs w:val="18"/>
                              </w:rPr>
                            </w:pPr>
                            <w:r>
                              <w:rPr>
                                <w:rFonts w:hint="eastAsia"/>
                                <w:sz w:val="18"/>
                                <w:szCs w:val="18"/>
                              </w:rPr>
                              <w:t>外护层安装</w:t>
                            </w:r>
                          </w:p>
                        </w:txbxContent>
                      </wps:txbx>
                      <wps:bodyPr rot="0" spcFirstLastPara="0" vertOverflow="overflow" horzOverflow="overflow" vert="horz" wrap="square" lIns="91440" tIns="45720" rIns="91440" bIns="45720" numCol="1" anchor="t" upright="1">
                        <a:noAutofit/>
                      </wps:bodyPr>
                    </wps:wsp>
                  </a:graphicData>
                </a:graphic>
              </wp:anchor>
            </w:drawing>
          </mc:Choice>
          <mc:Fallback>
            <w:pict>
              <v:rect id="_x0000_s1997" o:spid="_x0000_s1026" o:spt="1" style="position:absolute;left:0pt;margin-left:135pt;margin-top:5.7pt;height:23.4pt;width:99pt;z-index:251676672;mso-width-relative:page;mso-height-relative:page;" fillcolor="#FFFFFF" filled="t" stroked="t" coordsize="21600,21600" o:gfxdata="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B8gwWLZAAAACQEAAA8A&#10;AAAAAAAAAQAgAAAAIgAAAGRycy9kb3ducmV2LnhtbFBLAQIUABQAAAAIAIdO4kB4NY7OiAIAADsF&#10;AAAOAAAAAAAAAAEAIAAAACgBAABkcnMvZTJvRG9jLnhtbFBLBQYAAAAABgAGAFkBAAAiBgAAAAA=&#10;">
                <v:fill on="t" focussize="0,0"/>
                <v:stroke color="#000000" miterlimit="0" joinstyle="miter"/>
                <v:imagedata o:title=""/>
                <o:lock v:ext="edit" aspectratio="t"/>
                <v:textbox>
                  <w:txbxContent>
                    <w:p>
                      <w:pPr>
                        <w:ind w:firstLine="270"/>
                        <w:rPr>
                          <w:sz w:val="18"/>
                          <w:szCs w:val="18"/>
                        </w:rPr>
                      </w:pPr>
                      <w:r>
                        <w:rPr>
                          <w:rFonts w:hint="eastAsia"/>
                          <w:sz w:val="18"/>
                          <w:szCs w:val="18"/>
                        </w:rPr>
                        <w:t>外护层安装</w:t>
                      </w:r>
                    </w:p>
                  </w:txbxContent>
                </v:textbox>
              </v:rect>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77696" behindDoc="0" locked="0" layoutInCell="1" allowOverlap="1">
                <wp:simplePos x="0" y="0"/>
                <wp:positionH relativeFrom="column">
                  <wp:posOffset>1028700</wp:posOffset>
                </wp:positionH>
                <wp:positionV relativeFrom="paragraph">
                  <wp:posOffset>182880</wp:posOffset>
                </wp:positionV>
                <wp:extent cx="685800" cy="0"/>
                <wp:effectExtent l="0" t="38100" r="0" b="38100"/>
                <wp:wrapNone/>
                <wp:docPr id="25" name="_x0000_s1998"/>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bwMode="auto">
                        <a:xfrm>
                          <a:off x="0" y="0"/>
                          <a:ext cx="685800" cy="0"/>
                        </a:xfrm>
                        <a:prstGeom prst="line">
                          <a:avLst/>
                        </a:prstGeom>
                        <a:noFill/>
                        <a:ln w="9525" cap="flat" cmpd="sng">
                          <a:solidFill>
                            <a:srgbClr val="000000"/>
                          </a:solidFill>
                          <a:prstDash val="solid"/>
                          <a:headEnd type="none" w="med" len="med"/>
                          <a:tailEnd type="triangle" w="med" len="med"/>
                        </a:ln>
                      </wps:spPr>
                      <wps:bodyPr rot="0">
                        <a:noAutofit/>
                      </wps:bodyPr>
                    </wps:wsp>
                  </a:graphicData>
                </a:graphic>
              </wp:anchor>
            </w:drawing>
          </mc:Choice>
          <mc:Fallback>
            <w:pict>
              <v:line id="_x0000_s1998" o:spid="_x0000_s1026" o:spt="20" style="position:absolute;left:0pt;margin-left:81pt;margin-top:14.4pt;height:0pt;width:54pt;z-index:251677696;mso-width-relative:page;mso-height-relative:page;" filled="f" stroked="t" coordsize="21600,21600" o:gfxdata="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naU6L1gAAAAkBAAAPAAAA&#10;AAAAAAEAIAAAACIAAABkcnMvZG93bnJldi54bWxQSwECFAAUAAAACACHTuJAXWadwhcCAABBBAAA&#10;DgAAAAAAAAABACAAAAAlAQAAZHJzL2Uyb0RvYy54bWxQSwUGAAAAAAYABgBZAQAArgUAAAAA&#10;">
                <v:fill on="f" focussize="0,0"/>
                <v:stroke color="#000000" joinstyle="round" endarrow="block"/>
                <v:imagedata o:title=""/>
                <o:lock v:ext="edit" aspectratio="t"/>
              </v:line>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78720" behindDoc="0" locked="0" layoutInCell="1" allowOverlap="1">
                <wp:simplePos x="0" y="0"/>
                <wp:positionH relativeFrom="column">
                  <wp:posOffset>3418205</wp:posOffset>
                </wp:positionH>
                <wp:positionV relativeFrom="paragraph">
                  <wp:posOffset>72390</wp:posOffset>
                </wp:positionV>
                <wp:extent cx="229870" cy="0"/>
                <wp:effectExtent l="0" t="38100" r="13970" b="38100"/>
                <wp:wrapNone/>
                <wp:docPr id="26" name="_x0000_s1999"/>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bwMode="auto">
                        <a:xfrm>
                          <a:off x="0" y="0"/>
                          <a:ext cx="229870" cy="0"/>
                        </a:xfrm>
                        <a:prstGeom prst="line">
                          <a:avLst/>
                        </a:prstGeom>
                        <a:noFill/>
                        <a:ln w="9525" cap="flat" cmpd="sng">
                          <a:solidFill>
                            <a:srgbClr val="000000"/>
                          </a:solidFill>
                          <a:prstDash val="solid"/>
                          <a:headEnd type="none" w="med" len="med"/>
                          <a:tailEnd type="triangle" w="med" len="med"/>
                        </a:ln>
                      </wps:spPr>
                      <wps:bodyPr rot="0">
                        <a:noAutofit/>
                      </wps:bodyPr>
                    </wps:wsp>
                  </a:graphicData>
                </a:graphic>
              </wp:anchor>
            </w:drawing>
          </mc:Choice>
          <mc:Fallback>
            <w:pict>
              <v:line id="_x0000_s1999" o:spid="_x0000_s1026" o:spt="20" style="position:absolute;left:0pt;margin-left:269.15pt;margin-top:5.7pt;height:0pt;width:18.1pt;z-index:251678720;mso-width-relative:page;mso-height-relative:page;" filled="f" stroked="t" coordsize="21600,21600" o:gfxdata="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z/5vW2AAAAAkBAAAP&#10;AAAAAAAAAAEAIAAAACIAAABkcnMvZG93bnJldi54bWxQSwECFAAUAAAACACHTuJAeLiSPhgCAABB&#10;BAAADgAAAAAAAAABACAAAAAnAQAAZHJzL2Uyb0RvYy54bWxQSwUGAAAAAAYABgBZAQAAsQUAAAAA&#10;">
                <v:fill on="f" focussize="0,0"/>
                <v:stroke color="#000000" joinstyle="round" endarrow="block"/>
                <v:imagedata o:title=""/>
                <o:lock v:ext="edit" aspectratio="t"/>
              </v:line>
            </w:pict>
          </mc:Fallback>
        </mc:AlternateContent>
      </w:r>
    </w:p>
    <w:p>
      <w:pPr>
        <w:pStyle w:val="408"/>
        <w:spacing w:line="400" w:lineRule="atLeast"/>
        <w:ind w:left="420" w:hanging="420"/>
        <w:rPr>
          <w:rFonts w:ascii="宋体"/>
          <w:b/>
          <w:bCs/>
          <w:sz w:val="24"/>
          <w:highlight w:val="none"/>
        </w:rPr>
      </w:pPr>
      <w:r>
        <w:rPr>
          <w:rFonts w:asciiTheme="minorEastAsia" w:hAnsiTheme="minorEastAsia" w:eastAsiaTheme="minorEastAsia" w:cstheme="minorEastAsia"/>
          <w:sz w:val="24"/>
          <w:highlight w:val="none"/>
        </w:rPr>
        <mc:AlternateContent>
          <mc:Choice Requires="wps">
            <w:drawing>
              <wp:anchor distT="0" distB="0" distL="114300" distR="114300" simplePos="0" relativeHeight="251679744" behindDoc="0" locked="0" layoutInCell="1" allowOverlap="1">
                <wp:simplePos x="0" y="0"/>
                <wp:positionH relativeFrom="column">
                  <wp:posOffset>2437765</wp:posOffset>
                </wp:positionH>
                <wp:positionV relativeFrom="paragraph">
                  <wp:posOffset>115570</wp:posOffset>
                </wp:positionV>
                <wp:extent cx="305435" cy="300990"/>
                <wp:effectExtent l="0" t="0" r="14604" b="3810"/>
                <wp:wrapNone/>
                <wp:docPr id="27" name="_x0000_s20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05435" cy="300990"/>
                        </a:xfrm>
                        <a:prstGeom prst="rect">
                          <a:avLst/>
                        </a:prstGeom>
                        <a:solidFill>
                          <a:srgbClr val="FFFFFF"/>
                        </a:solidFill>
                        <a:ln>
                          <a:noFill/>
                        </a:ln>
                      </wps:spPr>
                      <wps:txbx>
                        <w:txbxContent>
                          <w:p>
                            <w:r>
                              <w:rPr>
                                <w:rFonts w:hint="eastAsia"/>
                              </w:rPr>
                              <w:t>是</w:t>
                            </w:r>
                          </w:p>
                        </w:txbxContent>
                      </wps:txbx>
                      <wps:bodyPr rot="0" spcFirstLastPara="0" vertOverflow="overflow" horzOverflow="overflow" vert="horz" wrap="square" lIns="91440" tIns="45720" rIns="91440" bIns="45720" numCol="1" anchor="t" upright="1">
                        <a:noAutofit/>
                      </wps:bodyPr>
                    </wps:wsp>
                  </a:graphicData>
                </a:graphic>
              </wp:anchor>
            </w:drawing>
          </mc:Choice>
          <mc:Fallback>
            <w:pict>
              <v:rect id="_x0000_s2000" o:spid="_x0000_s1026" o:spt="1" style="position:absolute;left:0pt;margin-left:191.95pt;margin-top:9.1pt;height:23.7pt;width:24.05pt;z-index:251679744;mso-width-relative:page;mso-height-relative:page;" fillcolor="#FFFFFF" filled="t" stroked="f" coordsize="21600,21600" o:gfxdata="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TFP6w1wAAAAkBAAAPAAAAAAAAAAEAIAAAACIAAABkcnMvZG93bnJl&#10;di54bWxQSwECFAAUAAAACACHTuJAXiZNejcCAABzBAAADgAAAAAAAAABACAAAAAmAQAAZHJzL2Uy&#10;b0RvYy54bWxQSwUGAAAAAAYABgBZAQAAzwUAAAAA&#10;">
                <v:fill on="t" focussize="0,0"/>
                <v:stroke on="f"/>
                <v:imagedata o:title=""/>
                <o:lock v:ext="edit" aspectratio="t"/>
                <v:textbox>
                  <w:txbxContent>
                    <w:p>
                      <w:r>
                        <w:rPr>
                          <w:rFonts w:hint="eastAsia"/>
                        </w:rPr>
                        <w:t>是</w:t>
                      </w:r>
                    </w:p>
                  </w:txbxContent>
                </v:textbox>
              </v:rect>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80768" behindDoc="0" locked="0" layoutInCell="1" allowOverlap="1">
                <wp:simplePos x="0" y="0"/>
                <wp:positionH relativeFrom="column">
                  <wp:posOffset>573405</wp:posOffset>
                </wp:positionH>
                <wp:positionV relativeFrom="paragraph">
                  <wp:posOffset>60960</wp:posOffset>
                </wp:positionV>
                <wp:extent cx="403225" cy="264160"/>
                <wp:effectExtent l="0" t="0" r="8255" b="10160"/>
                <wp:wrapNone/>
                <wp:docPr id="28" name="_x0000_s20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03225" cy="264160"/>
                        </a:xfrm>
                        <a:prstGeom prst="rect">
                          <a:avLst/>
                        </a:prstGeom>
                        <a:solidFill>
                          <a:srgbClr val="FFFFFF"/>
                        </a:solidFill>
                        <a:ln>
                          <a:noFill/>
                        </a:ln>
                      </wps:spPr>
                      <wps:txbx>
                        <w:txbxContent>
                          <w:p>
                            <w:r>
                              <w:rPr>
                                <w:rFonts w:hint="eastAsia"/>
                              </w:rPr>
                              <w:t>否</w:t>
                            </w:r>
                          </w:p>
                        </w:txbxContent>
                      </wps:txbx>
                      <wps:bodyPr rot="0" spcFirstLastPara="0" vertOverflow="overflow" horzOverflow="overflow" vert="eaVert" wrap="square" lIns="91440" tIns="45720" rIns="91440" bIns="45720" numCol="1" anchor="t" upright="1">
                        <a:noAutofit/>
                      </wps:bodyPr>
                    </wps:wsp>
                  </a:graphicData>
                </a:graphic>
              </wp:anchor>
            </w:drawing>
          </mc:Choice>
          <mc:Fallback>
            <w:pict>
              <v:rect id="_x0000_s2001" o:spid="_x0000_s1026" o:spt="1" style="position:absolute;left:0pt;margin-left:45.15pt;margin-top:4.8pt;height:20.8pt;width:31.75pt;z-index:251680768;mso-width-relative:page;mso-height-relative:page;" fillcolor="#FFFFFF" filled="t" stroked="f" coordsize="21600,21600" o:gfxdata="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vM2Co2AAAAAcBAAAPAAAAAAAAAAEAIAAAACIAAABkcnMvZG93&#10;bnJldi54bWxQSwECFAAUAAAACACHTuJAEEkBpTkCAAB1BAAADgAAAAAAAAABACAAAAAnAQAAZHJz&#10;L2Uyb0RvYy54bWxQSwUGAAAAAAYABgBZAQAA0gUAAAAA&#10;">
                <v:fill on="t" focussize="0,0"/>
                <v:stroke on="f"/>
                <v:imagedata o:title=""/>
                <o:lock v:ext="edit" aspectratio="t"/>
                <v:textbox style="layout-flow:vertical-ideographic;">
                  <w:txbxContent>
                    <w:p>
                      <w:r>
                        <w:rPr>
                          <w:rFonts w:hint="eastAsia"/>
                        </w:rPr>
                        <w:t>否</w:t>
                      </w:r>
                    </w:p>
                  </w:txbxContent>
                </v:textbox>
              </v:rect>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81792" behindDoc="0" locked="0" layoutInCell="1" allowOverlap="1">
                <wp:simplePos x="0" y="0"/>
                <wp:positionH relativeFrom="column">
                  <wp:posOffset>2286000</wp:posOffset>
                </wp:positionH>
                <wp:positionV relativeFrom="paragraph">
                  <wp:posOffset>115570</wp:posOffset>
                </wp:positionV>
                <wp:extent cx="0" cy="259080"/>
                <wp:effectExtent l="38100" t="0" r="38100" b="0"/>
                <wp:wrapNone/>
                <wp:docPr id="29" name="_x0000_s2002"/>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bwMode="auto">
                        <a:xfrm>
                          <a:off x="0" y="0"/>
                          <a:ext cx="0" cy="259080"/>
                        </a:xfrm>
                        <a:prstGeom prst="line">
                          <a:avLst/>
                        </a:prstGeom>
                        <a:noFill/>
                        <a:ln w="9525" cap="flat" cmpd="sng">
                          <a:solidFill>
                            <a:srgbClr val="000000"/>
                          </a:solidFill>
                          <a:prstDash val="solid"/>
                          <a:headEnd type="none" w="med" len="med"/>
                          <a:tailEnd type="triangle" w="med" len="med"/>
                        </a:ln>
                      </wps:spPr>
                      <wps:bodyPr rot="0">
                        <a:noAutofit/>
                      </wps:bodyPr>
                    </wps:wsp>
                  </a:graphicData>
                </a:graphic>
              </wp:anchor>
            </w:drawing>
          </mc:Choice>
          <mc:Fallback>
            <w:pict>
              <v:line id="_x0000_s2002" o:spid="_x0000_s1026" o:spt="20" style="position:absolute;left:0pt;margin-left:180pt;margin-top:9.1pt;height:20.4pt;width:0pt;z-index:251681792;mso-width-relative:page;mso-height-relative:page;" filled="f" stroked="t" coordsize="21600,21600" o:gfxdata="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Gtf1PYAAAACQEAAA8A&#10;AAAAAAAAAQAgAAAAIgAAAGRycy9kb3ducmV2LnhtbFBLAQIUABQAAAAIAIdO4kB+Cg4/FwIAAEEE&#10;AAAOAAAAAAAAAAEAIAAAACcBAABkcnMvZTJvRG9jLnhtbFBLBQYAAAAABgAGAFkBAACwBQAAAAA=&#10;">
                <v:fill on="f" focussize="0,0"/>
                <v:stroke color="#000000" joinstyle="round" endarrow="block"/>
                <v:imagedata o:title=""/>
                <o:lock v:ext="edit" aspectratio="t"/>
              </v:line>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82816" behindDoc="0" locked="0" layoutInCell="1" allowOverlap="1">
                <wp:simplePos x="0" y="0"/>
                <wp:positionH relativeFrom="column">
                  <wp:posOffset>4343400</wp:posOffset>
                </wp:positionH>
                <wp:positionV relativeFrom="paragraph">
                  <wp:posOffset>24765</wp:posOffset>
                </wp:positionV>
                <wp:extent cx="0" cy="391795"/>
                <wp:effectExtent l="38100" t="0" r="38100" b="4445"/>
                <wp:wrapNone/>
                <wp:docPr id="30" name="_x0000_s2003"/>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bwMode="auto">
                        <a:xfrm>
                          <a:off x="0" y="0"/>
                          <a:ext cx="0" cy="391795"/>
                        </a:xfrm>
                        <a:prstGeom prst="line">
                          <a:avLst/>
                        </a:prstGeom>
                        <a:noFill/>
                        <a:ln w="9525" cap="flat" cmpd="sng">
                          <a:solidFill>
                            <a:srgbClr val="000000"/>
                          </a:solidFill>
                          <a:prstDash val="solid"/>
                          <a:headEnd type="none" w="med" len="med"/>
                          <a:tailEnd type="triangle" w="med" len="med"/>
                        </a:ln>
                      </wps:spPr>
                      <wps:bodyPr rot="0">
                        <a:noAutofit/>
                      </wps:bodyPr>
                    </wps:wsp>
                  </a:graphicData>
                </a:graphic>
              </wp:anchor>
            </w:drawing>
          </mc:Choice>
          <mc:Fallback>
            <w:pict>
              <v:line id="_x0000_s2003" o:spid="_x0000_s1026" o:spt="20" style="position:absolute;left:0pt;margin-left:342pt;margin-top:1.95pt;height:30.85pt;width:0pt;z-index:251682816;mso-width-relative:page;mso-height-relative:page;" filled="f" stroked="t" coordsize="21600,21600" o:gfxdata="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7R42Q9gAAAAIAQAADwAA&#10;AAAAAAABACAAAAAiAAAAZHJzL2Rvd25yZXYueG1sUEsBAhQAFAAAAAgAh07iQCz6AxUWAgAAQQQA&#10;AA4AAAAAAAAAAQAgAAAAJwEAAGRycy9lMm9Eb2MueG1sUEsFBgAAAAAGAAYAWQEAAK8FAAAAAA==&#10;">
                <v:fill on="f" focussize="0,0"/>
                <v:stroke color="#000000" joinstyle="round" endarrow="block"/>
                <v:imagedata o:title=""/>
                <o:lock v:ext="edit" aspectratio="t"/>
              </v:line>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83840" behindDoc="0" locked="0" layoutInCell="1" allowOverlap="1">
                <wp:simplePos x="0" y="0"/>
                <wp:positionH relativeFrom="column">
                  <wp:posOffset>4420235</wp:posOffset>
                </wp:positionH>
                <wp:positionV relativeFrom="paragraph">
                  <wp:posOffset>27940</wp:posOffset>
                </wp:positionV>
                <wp:extent cx="340360" cy="297180"/>
                <wp:effectExtent l="0" t="0" r="10160" b="7620"/>
                <wp:wrapNone/>
                <wp:docPr id="31" name="_x0000_s200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40360" cy="297180"/>
                        </a:xfrm>
                        <a:prstGeom prst="rect">
                          <a:avLst/>
                        </a:prstGeom>
                        <a:solidFill>
                          <a:srgbClr val="FFFFFF"/>
                        </a:solidFill>
                        <a:ln>
                          <a:noFill/>
                        </a:ln>
                      </wps:spPr>
                      <wps:txbx>
                        <w:txbxContent>
                          <w:p>
                            <w:r>
                              <w:rPr>
                                <w:rFonts w:hint="eastAsia"/>
                              </w:rPr>
                              <w:t>是</w:t>
                            </w:r>
                          </w:p>
                        </w:txbxContent>
                      </wps:txbx>
                      <wps:bodyPr rot="0" spcFirstLastPara="0" vertOverflow="overflow" horzOverflow="overflow" vert="horz" wrap="square" lIns="91440" tIns="45720" rIns="91440" bIns="45720" numCol="1" anchor="t" upright="1">
                        <a:noAutofit/>
                      </wps:bodyPr>
                    </wps:wsp>
                  </a:graphicData>
                </a:graphic>
              </wp:anchor>
            </w:drawing>
          </mc:Choice>
          <mc:Fallback>
            <w:pict>
              <v:rect id="_x0000_s2004" o:spid="_x0000_s1026" o:spt="1" style="position:absolute;left:0pt;margin-left:348.05pt;margin-top:2.2pt;height:23.4pt;width:26.8pt;z-index:251683840;mso-width-relative:page;mso-height-relative:page;" fillcolor="#FFFFFF" filled="t" stroked="f" coordsize="21600,21600" o:gfxdata="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HS7pV/XAAAACAEAAA8AAAAAAAAAAQAgAAAAIgAAAGRycy9kb3ducmV2&#10;LnhtbFBLAQIUABQAAAAIAIdO4kCb8btNNgIAAHMEAAAOAAAAAAAAAAEAIAAAACYBAABkcnMvZTJv&#10;RG9jLnhtbFBLBQYAAAAABgAGAFkBAADOBQAAAAA=&#10;">
                <v:fill on="t" focussize="0,0"/>
                <v:stroke on="f"/>
                <v:imagedata o:title=""/>
                <o:lock v:ext="edit" aspectratio="t"/>
                <v:textbox>
                  <w:txbxContent>
                    <w:p>
                      <w:r>
                        <w:rPr>
                          <w:rFonts w:hint="eastAsia"/>
                        </w:rPr>
                        <w:t>是</w:t>
                      </w:r>
                    </w:p>
                  </w:txbxContent>
                </v:textbox>
              </v:rect>
            </w:pict>
          </mc:Fallback>
        </mc:AlternateContent>
      </w:r>
    </w:p>
    <w:p>
      <w:pPr>
        <w:pStyle w:val="408"/>
        <w:spacing w:line="400" w:lineRule="atLeast"/>
        <w:ind w:left="420" w:hanging="420"/>
        <w:rPr>
          <w:rFonts w:ascii="宋体"/>
          <w:b/>
          <w:bCs/>
          <w:sz w:val="24"/>
          <w:highlight w:val="none"/>
        </w:rPr>
      </w:pPr>
      <w:r>
        <w:rPr>
          <w:rFonts w:asciiTheme="minorEastAsia" w:hAnsiTheme="minorEastAsia" w:eastAsiaTheme="minorEastAsia" w:cstheme="minorEastAsia"/>
          <w:sz w:val="24"/>
          <w:highlight w:val="none"/>
        </w:rPr>
        <mc:AlternateContent>
          <mc:Choice Requires="wps">
            <w:drawing>
              <wp:anchor distT="0" distB="0" distL="114300" distR="114300" simplePos="0" relativeHeight="251685888" behindDoc="0" locked="0" layoutInCell="1" allowOverlap="1">
                <wp:simplePos x="0" y="0"/>
                <wp:positionH relativeFrom="column">
                  <wp:posOffset>1743710</wp:posOffset>
                </wp:positionH>
                <wp:positionV relativeFrom="paragraph">
                  <wp:posOffset>120650</wp:posOffset>
                </wp:positionV>
                <wp:extent cx="1066165" cy="538480"/>
                <wp:effectExtent l="10795" t="5080" r="27940" b="8890"/>
                <wp:wrapNone/>
                <wp:docPr id="32" name="_x0000_s200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066165" cy="538480"/>
                        </a:xfrm>
                        <a:prstGeom prst="diamond">
                          <a:avLst/>
                        </a:prstGeom>
                        <a:solidFill>
                          <a:srgbClr val="FFFFFF"/>
                        </a:solidFill>
                        <a:ln w="9525" cap="flat" cmpd="sng">
                          <a:solidFill>
                            <a:srgbClr val="000000"/>
                          </a:solidFill>
                          <a:prstDash val="solid"/>
                          <a:miter lim="0"/>
                          <a:headEnd type="none" w="med" len="med"/>
                          <a:tailEnd type="none" w="med" len="med"/>
                        </a:ln>
                      </wps:spPr>
                      <wps:txbx>
                        <w:txbxContent>
                          <w:p>
                            <w:pPr>
                              <w:ind w:firstLine="90"/>
                              <w:rPr>
                                <w:sz w:val="18"/>
                                <w:szCs w:val="18"/>
                              </w:rPr>
                            </w:pPr>
                            <w:r>
                              <w:rPr>
                                <w:rFonts w:hint="eastAsia"/>
                                <w:sz w:val="18"/>
                                <w:szCs w:val="18"/>
                              </w:rPr>
                              <w:t>验收</w:t>
                            </w:r>
                          </w:p>
                        </w:txbxContent>
                      </wps:txbx>
                      <wps:bodyPr rot="0" spcFirstLastPara="0" vertOverflow="overflow" horzOverflow="overflow" vert="horz" wrap="square" lIns="91440" tIns="45720" rIns="91440" bIns="45720" numCol="1" anchor="t" upright="1">
                        <a:noAutofit/>
                      </wps:bodyPr>
                    </wps:wsp>
                  </a:graphicData>
                </a:graphic>
              </wp:anchor>
            </w:drawing>
          </mc:Choice>
          <mc:Fallback>
            <w:pict>
              <v:shape id="_x0000_s2005" o:spid="_x0000_s1026" o:spt="4" type="#_x0000_t4" style="position:absolute;left:0pt;margin-left:137.3pt;margin-top:9.5pt;height:42.4pt;width:83.95pt;z-index:251685888;mso-width-relative:page;mso-height-relative:page;" fillcolor="#FFFFFF" filled="t" stroked="t" coordsize="21600,21600" o:gfxdata="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PHccS/UAAAACgEAAA8AAAAA&#10;AAAAAQAgAAAAIgAAAGRycy9kb3ducmV2LnhtbFBLAQIUABQAAAAIAIdO4kCoV2vtigIAAD4FAAAO&#10;AAAAAAAAAAEAIAAAACMBAABkcnMvZTJvRG9jLnhtbFBLBQYAAAAABgAGAFkBAAAfBgAAAAA=&#10;">
                <v:fill on="t" focussize="0,0"/>
                <v:stroke color="#000000" miterlimit="0" joinstyle="miter"/>
                <v:imagedata o:title=""/>
                <o:lock v:ext="edit" aspectratio="t"/>
                <v:textbox>
                  <w:txbxContent>
                    <w:p>
                      <w:pPr>
                        <w:ind w:firstLine="90"/>
                        <w:rPr>
                          <w:sz w:val="18"/>
                          <w:szCs w:val="18"/>
                        </w:rPr>
                      </w:pPr>
                      <w:r>
                        <w:rPr>
                          <w:rFonts w:hint="eastAsia"/>
                          <w:sz w:val="18"/>
                          <w:szCs w:val="18"/>
                        </w:rPr>
                        <w:t>验收</w:t>
                      </w:r>
                    </w:p>
                  </w:txbxContent>
                </v:textbox>
              </v:shape>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84864" behindDoc="0" locked="0" layoutInCell="1" allowOverlap="1">
                <wp:simplePos x="0" y="0"/>
                <wp:positionH relativeFrom="column">
                  <wp:posOffset>3960495</wp:posOffset>
                </wp:positionH>
                <wp:positionV relativeFrom="paragraph">
                  <wp:posOffset>162560</wp:posOffset>
                </wp:positionV>
                <wp:extent cx="712470" cy="297180"/>
                <wp:effectExtent l="4445" t="4445" r="14604" b="18415"/>
                <wp:wrapNone/>
                <wp:docPr id="33" name="_x0000_s200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12470" cy="29718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pPr>
                              <w:ind w:firstLine="90"/>
                              <w:rPr>
                                <w:sz w:val="18"/>
                                <w:szCs w:val="18"/>
                              </w:rPr>
                            </w:pPr>
                            <w:r>
                              <w:rPr>
                                <w:rFonts w:hint="eastAsia"/>
                                <w:sz w:val="18"/>
                                <w:szCs w:val="18"/>
                              </w:rPr>
                              <w:t>结束</w:t>
                            </w:r>
                          </w:p>
                        </w:txbxContent>
                      </wps:txbx>
                      <wps:bodyPr rot="0" spcFirstLastPara="0" vertOverflow="overflow" horzOverflow="overflow" vert="horz" wrap="square" lIns="91440" tIns="45720" rIns="91440" bIns="45720" numCol="1" anchor="t" upright="1">
                        <a:noAutofit/>
                      </wps:bodyPr>
                    </wps:wsp>
                  </a:graphicData>
                </a:graphic>
              </wp:anchor>
            </w:drawing>
          </mc:Choice>
          <mc:Fallback>
            <w:pict>
              <v:roundrect id="_x0000_s2006" o:spid="_x0000_s1026" o:spt="2" style="position:absolute;left:0pt;margin-left:311.85pt;margin-top:12.8pt;height:23.4pt;width:56.1pt;z-index:251684864;mso-width-relative:page;mso-height-relative:page;" fillcolor="#FFFFFF" filled="t" stroked="t" coordsize="21600,21600" arcsize="0.166666666666667" o:gfxdata="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">
                <v:fill on="t" focussize="0,0"/>
                <v:stroke color="#000000" joinstyle="round"/>
                <v:imagedata o:title=""/>
                <o:lock v:ext="edit" aspectratio="t"/>
                <v:textbox>
                  <w:txbxContent>
                    <w:p>
                      <w:pPr>
                        <w:ind w:firstLine="90"/>
                        <w:rPr>
                          <w:sz w:val="18"/>
                          <w:szCs w:val="18"/>
                        </w:rPr>
                      </w:pPr>
                      <w:r>
                        <w:rPr>
                          <w:rFonts w:hint="eastAsia"/>
                          <w:sz w:val="18"/>
                          <w:szCs w:val="18"/>
                        </w:rPr>
                        <w:t>结束</w:t>
                      </w:r>
                    </w:p>
                  </w:txbxContent>
                </v:textbox>
              </v:roundrect>
            </w:pict>
          </mc:Fallback>
        </mc:AlternateContent>
      </w:r>
    </w:p>
    <w:p>
      <w:pPr>
        <w:pStyle w:val="408"/>
        <w:spacing w:line="400" w:lineRule="atLeast"/>
        <w:ind w:left="420" w:hanging="420"/>
        <w:rPr>
          <w:rFonts w:ascii="宋体"/>
          <w:b/>
          <w:bCs/>
          <w:sz w:val="24"/>
          <w:highlight w:val="none"/>
        </w:rPr>
      </w:pPr>
      <w:r>
        <w:rPr>
          <w:rFonts w:asciiTheme="minorEastAsia" w:hAnsiTheme="minorEastAsia" w:eastAsiaTheme="minorEastAsia" w:cstheme="minorEastAsia"/>
          <w:sz w:val="24"/>
          <w:highlight w:val="none"/>
        </w:rPr>
        <mc:AlternateContent>
          <mc:Choice Requires="wps">
            <w:drawing>
              <wp:anchor distT="0" distB="0" distL="114300" distR="114300" simplePos="0" relativeHeight="251686912" behindDoc="0" locked="0" layoutInCell="1" allowOverlap="1">
                <wp:simplePos x="0" y="0"/>
                <wp:positionH relativeFrom="column">
                  <wp:posOffset>1028700</wp:posOffset>
                </wp:positionH>
                <wp:positionV relativeFrom="paragraph">
                  <wp:posOffset>90170</wp:posOffset>
                </wp:positionV>
                <wp:extent cx="800100" cy="0"/>
                <wp:effectExtent l="0" t="0" r="0" b="0"/>
                <wp:wrapNone/>
                <wp:docPr id="34" name="_x0000_s2007"/>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bwMode="auto">
                        <a:xfrm>
                          <a:off x="0" y="0"/>
                          <a:ext cx="800100" cy="0"/>
                        </a:xfrm>
                        <a:prstGeom prst="line">
                          <a:avLst/>
                        </a:prstGeom>
                        <a:noFill/>
                        <a:ln w="9525" cap="flat" cmpd="sng">
                          <a:solidFill>
                            <a:srgbClr val="000000"/>
                          </a:solidFill>
                          <a:prstDash val="solid"/>
                          <a:headEnd type="none" w="med" len="med"/>
                          <a:tailEnd type="none" w="med" len="med"/>
                        </a:ln>
                      </wps:spPr>
                      <wps:bodyPr rot="0">
                        <a:noAutofit/>
                      </wps:bodyPr>
                    </wps:wsp>
                  </a:graphicData>
                </a:graphic>
              </wp:anchor>
            </w:drawing>
          </mc:Choice>
          <mc:Fallback>
            <w:pict>
              <v:line id="_x0000_s2007" o:spid="_x0000_s1026" o:spt="20" style="position:absolute;left:0pt;margin-left:81pt;margin-top:7.1pt;height:0pt;width:63pt;z-index:251686912;mso-width-relative:page;mso-height-relative:page;" filled="f" stroked="t" coordsize="21600,21600" o:gfxdata="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4VtQjTAAAACQEAAA8AAAAAAAAAAQAgAAAA&#10;IgAAAGRycy9kb3ducmV2LnhtbFBLAQIUABQAAAAIAIdO4kBWlg27EAIAAD0EAAAOAAAAAAAAAAEA&#10;IAAAACIBAABkcnMvZTJvRG9jLnhtbFBLBQYAAAAABgAGAFkBAACkBQAAAAA=&#10;">
                <v:fill on="f" focussize="0,0"/>
                <v:stroke color="#000000" joinstyle="round"/>
                <v:imagedata o:title=""/>
                <o:lock v:ext="edit" aspectratio="t"/>
              </v:line>
            </w:pict>
          </mc:Fallback>
        </mc:AlternateContent>
      </w:r>
      <w:r>
        <w:rPr>
          <w:rFonts w:asciiTheme="minorEastAsia" w:hAnsiTheme="minorEastAsia" w:eastAsiaTheme="minorEastAsia" w:cstheme="minorEastAsia"/>
          <w:sz w:val="24"/>
          <w:highlight w:val="none"/>
        </w:rPr>
        <mc:AlternateContent>
          <mc:Choice Requires="wps">
            <w:drawing>
              <wp:anchor distT="0" distB="0" distL="114300" distR="114300" simplePos="0" relativeHeight="251687936" behindDoc="0" locked="0" layoutInCell="1" allowOverlap="1">
                <wp:simplePos x="0" y="0"/>
                <wp:positionH relativeFrom="column">
                  <wp:posOffset>2743200</wp:posOffset>
                </wp:positionH>
                <wp:positionV relativeFrom="paragraph">
                  <wp:posOffset>80645</wp:posOffset>
                </wp:positionV>
                <wp:extent cx="674370" cy="9525"/>
                <wp:effectExtent l="0" t="29845" r="11430" b="36830"/>
                <wp:wrapNone/>
                <wp:docPr id="35" name="_x0000_s2008"/>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bwMode="auto">
                        <a:xfrm>
                          <a:off x="0" y="0"/>
                          <a:ext cx="674370" cy="9525"/>
                        </a:xfrm>
                        <a:prstGeom prst="line">
                          <a:avLst/>
                        </a:prstGeom>
                        <a:noFill/>
                        <a:ln w="9525" cap="flat" cmpd="sng">
                          <a:solidFill>
                            <a:srgbClr val="000000"/>
                          </a:solidFill>
                          <a:prstDash val="solid"/>
                          <a:headEnd type="none" w="med" len="med"/>
                          <a:tailEnd type="triangle" w="med" len="med"/>
                        </a:ln>
                      </wps:spPr>
                      <wps:bodyPr rot="0">
                        <a:noAutofit/>
                      </wps:bodyPr>
                    </wps:wsp>
                  </a:graphicData>
                </a:graphic>
              </wp:anchor>
            </w:drawing>
          </mc:Choice>
          <mc:Fallback>
            <w:pict>
              <v:line id="_x0000_s2008" o:spid="_x0000_s1026" o:spt="20" style="position:absolute;left:0pt;margin-left:216pt;margin-top:6.35pt;height:0.75pt;width:53.1pt;z-index:251687936;mso-width-relative:page;mso-height-relative:page;" filled="f" stroked="t" coordsize="21600,21600" o:gfxdata="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XHDVH2gAAAAkB&#10;AAAPAAAAAAAAAAEAIAAAACIAAABkcnMvZG93bnJldi54bWxQSwECFAAUAAAACACHTuJAirj+/RkC&#10;AABEBAAADgAAAAAAAAABACAAAAApAQAAZHJzL2Uyb0RvYy54bWxQSwUGAAAAAAYABgBZAQAAtAUA&#10;AAAA&#10;">
                <v:fill on="f" focussize="0,0"/>
                <v:stroke color="#000000" joinstyle="round" endarrow="block"/>
                <v:imagedata o:title=""/>
                <o:lock v:ext="edit" aspectratio="t"/>
              </v:line>
            </w:pict>
          </mc:Fallback>
        </mc:AlternateContent>
      </w:r>
    </w:p>
    <w:p>
      <w:pPr>
        <w:spacing w:line="400" w:lineRule="atLeast"/>
        <w:ind w:left="422" w:hanging="422"/>
        <w:rPr>
          <w:rFonts w:ascii="宋体"/>
          <w:b/>
          <w:bCs/>
          <w:sz w:val="24"/>
          <w:highlight w:val="none"/>
        </w:rPr>
      </w:pPr>
    </w:p>
    <w:p>
      <w:pPr>
        <w:pStyle w:val="408"/>
        <w:numPr>
          <w:ilvl w:val="0"/>
          <w:numId w:val="10"/>
        </w:numPr>
        <w:spacing w:line="360" w:lineRule="auto"/>
        <w:ind w:left="420"/>
        <w:rPr>
          <w:sz w:val="24"/>
          <w:highlight w:val="none"/>
        </w:rPr>
      </w:pPr>
      <w:r>
        <w:rPr>
          <w:rFonts w:hint="eastAsia" w:asciiTheme="minorEastAsia" w:hAnsiTheme="minorEastAsia" w:eastAsiaTheme="minorEastAsia" w:cstheme="minorEastAsia"/>
          <w:sz w:val="24"/>
          <w:highlight w:val="none"/>
        </w:rPr>
        <w:t>保温层的工艺：</w:t>
      </w:r>
    </w:p>
    <w:p>
      <w:pPr>
        <w:pStyle w:val="408"/>
        <w:numPr>
          <w:ilvl w:val="0"/>
          <w:numId w:val="11"/>
        </w:numPr>
        <w:spacing w:line="360" w:lineRule="auto"/>
        <w:ind w:left="420"/>
        <w:rPr>
          <w:sz w:val="24"/>
          <w:highlight w:val="none"/>
        </w:rPr>
      </w:pPr>
      <w:r>
        <w:rPr>
          <w:rFonts w:hint="eastAsia" w:asciiTheme="minorEastAsia" w:hAnsiTheme="minorEastAsia" w:eastAsiaTheme="minorEastAsia" w:cstheme="minorEastAsia"/>
          <w:sz w:val="24"/>
          <w:highlight w:val="none"/>
        </w:rPr>
        <w:t>安装保温层前，壁面不得沾有油脂或污物。</w:t>
      </w:r>
    </w:p>
    <w:p>
      <w:pPr>
        <w:pStyle w:val="408"/>
        <w:numPr>
          <w:ilvl w:val="0"/>
          <w:numId w:val="11"/>
        </w:numPr>
        <w:spacing w:line="360" w:lineRule="auto"/>
        <w:ind w:left="420"/>
        <w:rPr>
          <w:sz w:val="24"/>
          <w:highlight w:val="none"/>
        </w:rPr>
      </w:pPr>
      <w:r>
        <w:rPr>
          <w:rFonts w:hint="eastAsia" w:asciiTheme="minorEastAsia" w:hAnsiTheme="minorEastAsia" w:eastAsiaTheme="minorEastAsia" w:cstheme="minorEastAsia"/>
          <w:sz w:val="24"/>
          <w:highlight w:val="none"/>
        </w:rPr>
        <w:t>管道保温层厚度大于80mm时，应分层铺设，每层厚度大致相等，以10mm为分档单位，同层错缝，内外侧压缝方式铺设，拼缝应严密平整。</w:t>
      </w:r>
    </w:p>
    <w:p>
      <w:pPr>
        <w:pStyle w:val="408"/>
        <w:numPr>
          <w:ilvl w:val="0"/>
          <w:numId w:val="11"/>
        </w:numPr>
        <w:spacing w:line="360" w:lineRule="auto"/>
        <w:ind w:left="420"/>
        <w:rPr>
          <w:sz w:val="24"/>
          <w:highlight w:val="none"/>
        </w:rPr>
      </w:pPr>
      <w:r>
        <w:rPr>
          <w:rFonts w:hint="eastAsia" w:asciiTheme="minorEastAsia" w:hAnsiTheme="minorEastAsia" w:eastAsiaTheme="minorEastAsia" w:cstheme="minorEastAsia"/>
          <w:sz w:val="24"/>
          <w:highlight w:val="none"/>
        </w:rPr>
        <w:t>管道保温用镀锌铁丝将其捆扎在管道上，每块保温管壳应有两道双股铁丝加以绑扎，一般两道铁丝相距250mm~300mm。铁丝铰接头必须放在轴向对缝处，拧紧后的铁丝铰接头要随手掀入缝内。若为双层绝热，内外层均要按上述方法捆扎。</w:t>
      </w:r>
    </w:p>
    <w:p>
      <w:pPr>
        <w:pStyle w:val="408"/>
        <w:numPr>
          <w:ilvl w:val="0"/>
          <w:numId w:val="11"/>
        </w:numPr>
        <w:spacing w:line="360" w:lineRule="auto"/>
        <w:ind w:left="420"/>
        <w:rPr>
          <w:sz w:val="24"/>
          <w:highlight w:val="none"/>
        </w:rPr>
      </w:pPr>
      <w:r>
        <w:rPr>
          <w:rFonts w:hint="eastAsia" w:asciiTheme="minorEastAsia" w:hAnsiTheme="minorEastAsia" w:eastAsiaTheme="minorEastAsia" w:cstheme="minorEastAsia"/>
          <w:sz w:val="24"/>
          <w:highlight w:val="none"/>
        </w:rPr>
        <w:t>矩形大截面风烟管道和大型设备的保温宜采用留置空气层的结构（留置空气层每隔2m~3m设置防对流组隔层），保温错缝距离不小于板长或板宽的三分之一，保温层的外层均应敷设镀锌铁丝网对接牢固，紧贴在主保温上用自锁压片压实，自锁垫片每平方米6~8个。</w:t>
      </w:r>
    </w:p>
    <w:p>
      <w:pPr>
        <w:pStyle w:val="408"/>
        <w:numPr>
          <w:ilvl w:val="0"/>
          <w:numId w:val="11"/>
        </w:numPr>
        <w:spacing w:line="360" w:lineRule="auto"/>
        <w:ind w:left="420"/>
        <w:rPr>
          <w:sz w:val="24"/>
          <w:highlight w:val="none"/>
        </w:rPr>
      </w:pPr>
      <w:r>
        <w:rPr>
          <w:rFonts w:hint="eastAsia" w:asciiTheme="minorEastAsia" w:hAnsiTheme="minorEastAsia" w:eastAsiaTheme="minorEastAsia" w:cstheme="minorEastAsia"/>
          <w:sz w:val="24"/>
          <w:highlight w:val="none"/>
        </w:rPr>
        <w:t>设备、直管等无需检修的部位应采用固定式保温结构。管道蠕变观测段、蠕变测点、流量测量装置、阀门、法兰、堵板、补偿器等处的保温做成可拆卸式结构，长度以能拆卸螺栓为准，一般为螺栓长度加20mm~30mm，以满足运行检查和检修需要。</w:t>
      </w:r>
    </w:p>
    <w:p>
      <w:pPr>
        <w:pStyle w:val="408"/>
        <w:numPr>
          <w:ilvl w:val="0"/>
          <w:numId w:val="11"/>
        </w:numPr>
        <w:spacing w:line="360" w:lineRule="auto"/>
        <w:ind w:left="420"/>
        <w:rPr>
          <w:sz w:val="24"/>
          <w:highlight w:val="none"/>
        </w:rPr>
      </w:pPr>
      <w:r>
        <w:rPr>
          <w:rFonts w:hint="eastAsia" w:asciiTheme="minorEastAsia" w:hAnsiTheme="minorEastAsia" w:eastAsiaTheme="minorEastAsia" w:cstheme="minorEastAsia"/>
          <w:sz w:val="24"/>
          <w:highlight w:val="none"/>
        </w:rPr>
        <w:t>对异型设备或管道可采用保温浇注料双层抹面的方式进行绝热，待第一层稍干后再抹第二层，头层找平，二层抹光，避免出现凸起和鼓包，施工间断处须打毛淋湿后再继续施工，且总厚度要与相连的管道的保温层厚度一致，抹面要向外延伸150mm，整齐地进入相邻的外护板之下，接口处进行防雨处理。</w:t>
      </w:r>
    </w:p>
    <w:p>
      <w:pPr>
        <w:pStyle w:val="408"/>
        <w:numPr>
          <w:ilvl w:val="0"/>
          <w:numId w:val="11"/>
        </w:numPr>
        <w:spacing w:line="360" w:lineRule="auto"/>
        <w:ind w:left="420"/>
        <w:rPr>
          <w:sz w:val="24"/>
          <w:highlight w:val="none"/>
        </w:rPr>
      </w:pPr>
      <w:r>
        <w:rPr>
          <w:rFonts w:hint="eastAsia" w:asciiTheme="minorEastAsia" w:hAnsiTheme="minorEastAsia" w:eastAsiaTheme="minorEastAsia" w:cstheme="minorEastAsia"/>
          <w:sz w:val="24"/>
          <w:highlight w:val="none"/>
        </w:rPr>
        <w:t>设备保温应在各部件（包括爬梯、平台、仪表测试管）安装完毕后进行，做好保温铺设的预留设计工作，使之与墙、梁、栏杆、平台、支撑等固定构建留有足够的间隙。设备上的短管、法兰和人孔要露出在保温结构之外，伸出短管的保温同与之相连管道的保温一致，施工时将设备上的铭牌留出，并在其周围作好放水处理。</w:t>
      </w:r>
    </w:p>
    <w:p>
      <w:pPr>
        <w:pStyle w:val="408"/>
        <w:numPr>
          <w:ilvl w:val="0"/>
          <w:numId w:val="10"/>
        </w:numPr>
        <w:spacing w:line="360" w:lineRule="auto"/>
        <w:ind w:left="420"/>
        <w:rPr>
          <w:sz w:val="24"/>
          <w:highlight w:val="none"/>
        </w:rPr>
      </w:pPr>
      <w:r>
        <w:rPr>
          <w:rFonts w:hint="eastAsia" w:asciiTheme="minorEastAsia" w:hAnsiTheme="minorEastAsia" w:eastAsiaTheme="minorEastAsia" w:cstheme="minorEastAsia"/>
          <w:sz w:val="24"/>
          <w:highlight w:val="none"/>
        </w:rPr>
        <w:t>外护层的工艺：</w:t>
      </w:r>
    </w:p>
    <w:p>
      <w:pPr>
        <w:pStyle w:val="408"/>
        <w:numPr>
          <w:ilvl w:val="0"/>
          <w:numId w:val="11"/>
        </w:numPr>
        <w:spacing w:line="360" w:lineRule="auto"/>
        <w:ind w:left="420"/>
        <w:rPr>
          <w:sz w:val="24"/>
          <w:highlight w:val="none"/>
        </w:rPr>
      </w:pPr>
      <w:r>
        <w:rPr>
          <w:rFonts w:hint="eastAsia" w:asciiTheme="minorEastAsia" w:hAnsiTheme="minorEastAsia" w:eastAsiaTheme="minorEastAsia" w:cstheme="minorEastAsia"/>
          <w:sz w:val="24"/>
          <w:highlight w:val="none"/>
        </w:rPr>
        <w:t>管道的外护层，长度一般为500mm~900mm，展开宽度为保温层外圆周长加30mm~40mm的搭接尺寸，φ89mm以下采用0.5mm镀锌平板，φ89mm以上采用0.7mm镀锌平板。金属护壳的环向搭缝，室内管道采用单凸筋结构，室外管道则用重叠凸筋结构，所谓凸筋结构就是将金属保护皮放在摇线机上压出凸筋，并留有5~10mm宽的直边，凸筋圆弧直径一般为：</w:t>
      </w:r>
    </w:p>
    <w:tbl>
      <w:tblPr>
        <w:tblStyle w:val="37"/>
        <w:tblW w:w="4540" w:type="dxa"/>
        <w:tblInd w:w="17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30"/>
        <w:gridCol w:w="25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0" w:type="dxa"/>
          </w:tcPr>
          <w:p>
            <w:pPr>
              <w:ind w:left="420" w:hanging="420"/>
              <w:jc w:val="center"/>
              <w:rPr>
                <w:sz w:val="24"/>
                <w:highlight w:val="none"/>
              </w:rPr>
            </w:pPr>
            <w:r>
              <w:rPr>
                <w:rFonts w:hint="eastAsia"/>
                <w:sz w:val="24"/>
                <w:highlight w:val="none"/>
              </w:rPr>
              <w:t>保温外径（mm）</w:t>
            </w:r>
          </w:p>
        </w:tc>
        <w:tc>
          <w:tcPr>
            <w:tcW w:w="2510" w:type="dxa"/>
          </w:tcPr>
          <w:p>
            <w:pPr>
              <w:ind w:left="420" w:hanging="420"/>
              <w:jc w:val="center"/>
              <w:rPr>
                <w:sz w:val="24"/>
                <w:highlight w:val="none"/>
              </w:rPr>
            </w:pPr>
            <w:r>
              <w:rPr>
                <w:rFonts w:hint="eastAsia"/>
                <w:sz w:val="24"/>
                <w:highlight w:val="none"/>
              </w:rPr>
              <w:t>凸筋圆弧直径（mm）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0" w:type="dxa"/>
          </w:tcPr>
          <w:p>
            <w:pPr>
              <w:ind w:left="420" w:hanging="420"/>
              <w:jc w:val="center"/>
              <w:rPr>
                <w:sz w:val="24"/>
                <w:highlight w:val="none"/>
              </w:rPr>
            </w:pPr>
            <w:r>
              <w:rPr>
                <w:rFonts w:hint="eastAsia"/>
                <w:sz w:val="24"/>
                <w:highlight w:val="none"/>
              </w:rPr>
              <w:t>&lt;150</w:t>
            </w:r>
          </w:p>
        </w:tc>
        <w:tc>
          <w:tcPr>
            <w:tcW w:w="2510" w:type="dxa"/>
          </w:tcPr>
          <w:p>
            <w:pPr>
              <w:ind w:left="420" w:hanging="420"/>
              <w:jc w:val="center"/>
              <w:rPr>
                <w:sz w:val="24"/>
                <w:highlight w:val="none"/>
              </w:rPr>
            </w:pPr>
            <w:r>
              <w:rPr>
                <w:rFonts w:hint="eastAsia"/>
                <w:sz w:val="24"/>
                <w:highlight w:val="none"/>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0" w:type="dxa"/>
          </w:tcPr>
          <w:p>
            <w:pPr>
              <w:ind w:left="420" w:hanging="420"/>
              <w:jc w:val="center"/>
              <w:rPr>
                <w:sz w:val="24"/>
                <w:highlight w:val="none"/>
              </w:rPr>
            </w:pPr>
            <w:r>
              <w:rPr>
                <w:rFonts w:hint="eastAsia"/>
                <w:sz w:val="24"/>
                <w:highlight w:val="none"/>
              </w:rPr>
              <w:t>150～300</w:t>
            </w:r>
          </w:p>
        </w:tc>
        <w:tc>
          <w:tcPr>
            <w:tcW w:w="2510" w:type="dxa"/>
          </w:tcPr>
          <w:p>
            <w:pPr>
              <w:ind w:left="420" w:hanging="420"/>
              <w:jc w:val="center"/>
              <w:rPr>
                <w:sz w:val="24"/>
                <w:highlight w:val="none"/>
              </w:rPr>
            </w:pPr>
            <w:r>
              <w:rPr>
                <w:rFonts w:hint="eastAsia"/>
                <w:sz w:val="24"/>
                <w:highlight w:val="none"/>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0" w:type="dxa"/>
          </w:tcPr>
          <w:p>
            <w:pPr>
              <w:ind w:left="420" w:hanging="420"/>
              <w:jc w:val="center"/>
              <w:rPr>
                <w:sz w:val="24"/>
                <w:highlight w:val="none"/>
              </w:rPr>
            </w:pPr>
            <w:r>
              <w:rPr>
                <w:rFonts w:hint="eastAsia"/>
                <w:sz w:val="24"/>
                <w:highlight w:val="none"/>
              </w:rPr>
              <w:t>&gt;300</w:t>
            </w:r>
          </w:p>
        </w:tc>
        <w:tc>
          <w:tcPr>
            <w:tcW w:w="2510" w:type="dxa"/>
          </w:tcPr>
          <w:p>
            <w:pPr>
              <w:ind w:left="420" w:hanging="420"/>
              <w:jc w:val="center"/>
              <w:rPr>
                <w:sz w:val="24"/>
                <w:highlight w:val="none"/>
              </w:rPr>
            </w:pPr>
            <w:r>
              <w:rPr>
                <w:rFonts w:hint="eastAsia"/>
                <w:sz w:val="24"/>
                <w:highlight w:val="none"/>
              </w:rPr>
              <w:t>9</w:t>
            </w:r>
          </w:p>
        </w:tc>
      </w:tr>
    </w:tbl>
    <w:p>
      <w:pPr>
        <w:pStyle w:val="408"/>
        <w:numPr>
          <w:ilvl w:val="0"/>
          <w:numId w:val="11"/>
        </w:numPr>
        <w:spacing w:line="360" w:lineRule="auto"/>
        <w:ind w:left="420"/>
        <w:rPr>
          <w:sz w:val="24"/>
          <w:highlight w:val="none"/>
        </w:rPr>
      </w:pPr>
      <w:r>
        <w:rPr>
          <w:rFonts w:hint="eastAsia" w:asciiTheme="minorEastAsia" w:hAnsiTheme="minorEastAsia" w:eastAsiaTheme="minorEastAsia" w:cstheme="minorEastAsia"/>
          <w:sz w:val="24"/>
          <w:highlight w:val="none"/>
        </w:rPr>
        <w:t>环向搭缝尺寸不小于50mm，采用4×12自攻螺钉，螺钉均布，每道缝不得小于4个螺钉。</w:t>
      </w:r>
    </w:p>
    <w:p>
      <w:pPr>
        <w:pStyle w:val="408"/>
        <w:numPr>
          <w:ilvl w:val="0"/>
          <w:numId w:val="11"/>
        </w:numPr>
        <w:spacing w:line="360" w:lineRule="auto"/>
        <w:ind w:left="420"/>
        <w:rPr>
          <w:sz w:val="24"/>
          <w:highlight w:val="none"/>
        </w:rPr>
      </w:pPr>
      <w:r>
        <w:rPr>
          <w:rFonts w:hint="eastAsia" w:asciiTheme="minorEastAsia" w:hAnsiTheme="minorEastAsia" w:eastAsiaTheme="minorEastAsia" w:cstheme="minorEastAsia"/>
          <w:sz w:val="24"/>
          <w:highlight w:val="none"/>
        </w:rPr>
        <w:t>纵向搭缝尺寸不小于30mm，先用φ3.2mm钻头在铁皮护壳上钻孔，然后用4×12自攻螺钉固定，螺钉间距为200mm左右，外径大于600mm的管道，钻孔宜用手提电钻，禁止用冲孔或其它不适当的方式安装螺钉。</w:t>
      </w:r>
    </w:p>
    <w:p>
      <w:pPr>
        <w:pStyle w:val="408"/>
        <w:numPr>
          <w:ilvl w:val="0"/>
          <w:numId w:val="11"/>
        </w:numPr>
        <w:spacing w:line="360" w:lineRule="auto"/>
        <w:ind w:left="420"/>
        <w:rPr>
          <w:sz w:val="24"/>
          <w:highlight w:val="none"/>
        </w:rPr>
      </w:pPr>
      <w:r>
        <w:rPr>
          <w:rFonts w:hint="eastAsia" w:asciiTheme="minorEastAsia" w:hAnsiTheme="minorEastAsia" w:eastAsiaTheme="minorEastAsia" w:cstheme="minorEastAsia"/>
          <w:sz w:val="24"/>
          <w:highlight w:val="none"/>
        </w:rPr>
        <w:t>水平管道的纵向搭缝应设置在管道侧面，环向搭缝按坡度作高搭低茬；垂直管道的纵向搭缝方向应朝向隐蔽处，环向搭缝按坡度作上搭下茬。即顺雨水流动方向，即环向搭口朝下，与管道的坡度方向一致</w:t>
      </w:r>
    </w:p>
    <w:p>
      <w:pPr>
        <w:pStyle w:val="408"/>
        <w:numPr>
          <w:ilvl w:val="0"/>
          <w:numId w:val="11"/>
        </w:numPr>
        <w:spacing w:line="360" w:lineRule="auto"/>
        <w:ind w:left="420"/>
        <w:rPr>
          <w:sz w:val="24"/>
          <w:highlight w:val="none"/>
        </w:rPr>
      </w:pPr>
      <w:r>
        <w:rPr>
          <w:rFonts w:hint="eastAsia" w:asciiTheme="minorEastAsia" w:hAnsiTheme="minorEastAsia" w:eastAsiaTheme="minorEastAsia" w:cstheme="minorEastAsia"/>
          <w:sz w:val="24"/>
          <w:highlight w:val="none"/>
        </w:rPr>
        <w:t>管道弯头金属护壳的下料可按保温外圆周长的1.3倍作为下料长度，也可按实际略为调短。下料宽度为外圆周长的十二分之一，剪成长条放在摇线机上压出凸筋。</w:t>
      </w:r>
    </w:p>
    <w:p>
      <w:pPr>
        <w:pStyle w:val="408"/>
        <w:numPr>
          <w:ilvl w:val="0"/>
          <w:numId w:val="11"/>
        </w:numPr>
        <w:spacing w:line="360" w:lineRule="auto"/>
        <w:ind w:left="420"/>
        <w:rPr>
          <w:sz w:val="24"/>
          <w:highlight w:val="none"/>
        </w:rPr>
      </w:pPr>
      <w:r>
        <w:rPr>
          <w:rFonts w:hint="eastAsia" w:asciiTheme="minorEastAsia" w:hAnsiTheme="minorEastAsia" w:eastAsiaTheme="minorEastAsia" w:cstheme="minorEastAsia"/>
          <w:sz w:val="24"/>
          <w:highlight w:val="none"/>
        </w:rPr>
        <w:t>矩形大截面风烟管道和大型设备的外护层采用压型彩钢板。彩钢板的施工水平方向应从设备角部开始，垂直方向由下向上，搭接应外顺水搭接，搭接量纵向不小于75㎜，横向为一个波，炉墙角部、补偿器等处应采用滑动连接。安装外护板时应吊线施工，确保外护板整体平、正，</w:t>
      </w:r>
      <w:r>
        <w:rPr>
          <w:rFonts w:asciiTheme="minorEastAsia" w:hAnsiTheme="minorEastAsia" w:eastAsiaTheme="minorEastAsia" w:cstheme="minorEastAsia"/>
          <w:sz w:val="24"/>
          <w:highlight w:val="none"/>
        </w:rPr>
        <w:t>表面平整</w:t>
      </w:r>
      <w:r>
        <w:rPr>
          <w:rFonts w:hint="eastAsia" w:asciiTheme="minorEastAsia" w:hAnsiTheme="minorEastAsia" w:eastAsiaTheme="minorEastAsia" w:cstheme="minorEastAsia"/>
          <w:sz w:val="24"/>
          <w:highlight w:val="none"/>
        </w:rPr>
        <w:t>、</w:t>
      </w:r>
      <w:r>
        <w:rPr>
          <w:rFonts w:asciiTheme="minorEastAsia" w:hAnsiTheme="minorEastAsia" w:eastAsiaTheme="minorEastAsia" w:cstheme="minorEastAsia"/>
          <w:sz w:val="24"/>
          <w:highlight w:val="none"/>
        </w:rPr>
        <w:t>美观</w:t>
      </w:r>
      <w:r>
        <w:rPr>
          <w:rFonts w:hint="eastAsia" w:asciiTheme="minorEastAsia" w:hAnsiTheme="minorEastAsia" w:eastAsiaTheme="minorEastAsia" w:cstheme="minorEastAsia"/>
          <w:sz w:val="24"/>
          <w:highlight w:val="none"/>
        </w:rPr>
        <w:t>、</w:t>
      </w:r>
      <w:r>
        <w:rPr>
          <w:rFonts w:asciiTheme="minorEastAsia" w:hAnsiTheme="minorEastAsia" w:eastAsiaTheme="minorEastAsia" w:cstheme="minorEastAsia"/>
          <w:sz w:val="24"/>
          <w:highlight w:val="none"/>
        </w:rPr>
        <w:t>无松动</w:t>
      </w:r>
      <w:r>
        <w:rPr>
          <w:rFonts w:hint="eastAsia" w:asciiTheme="minorEastAsia" w:hAnsiTheme="minorEastAsia" w:eastAsiaTheme="minorEastAsia" w:cstheme="minorEastAsia"/>
          <w:sz w:val="24"/>
          <w:highlight w:val="none"/>
        </w:rPr>
        <w:t>。拐角处使用角衬板进行装饰，用抽芯铆钉相连，且应做好防雨措施。室外布置的矩形大截面风烟的保护顶部应设排水坡度（不小于1%），双面排水。</w:t>
      </w:r>
    </w:p>
    <w:p>
      <w:pPr>
        <w:pStyle w:val="408"/>
        <w:numPr>
          <w:ilvl w:val="0"/>
          <w:numId w:val="11"/>
        </w:numPr>
        <w:spacing w:line="360" w:lineRule="auto"/>
        <w:ind w:left="420"/>
        <w:rPr>
          <w:sz w:val="24"/>
          <w:highlight w:val="none"/>
        </w:rPr>
      </w:pPr>
      <w:r>
        <w:rPr>
          <w:rFonts w:hint="eastAsia" w:asciiTheme="minorEastAsia" w:hAnsiTheme="minorEastAsia" w:eastAsiaTheme="minorEastAsia" w:cstheme="minorEastAsia"/>
          <w:sz w:val="24"/>
          <w:highlight w:val="none"/>
        </w:rPr>
        <w:t>直管道外护层环向接缝应设置活动搭接以满足热膨胀的要求，一般不小于100mm；两根相互交叉或平行的管道，其膨胀方向或介质温度不相同时留出10~20mm的间隙；彩钢板搭接预留好100~200mm的膨胀间隙。</w:t>
      </w:r>
    </w:p>
    <w:p>
      <w:pPr>
        <w:pStyle w:val="408"/>
        <w:numPr>
          <w:ilvl w:val="0"/>
          <w:numId w:val="11"/>
        </w:numPr>
        <w:spacing w:line="360" w:lineRule="auto"/>
        <w:ind w:left="420"/>
        <w:rPr>
          <w:sz w:val="24"/>
          <w:highlight w:val="none"/>
        </w:rPr>
      </w:pPr>
      <w:r>
        <w:rPr>
          <w:rFonts w:hint="eastAsia" w:asciiTheme="minorEastAsia" w:hAnsiTheme="minorEastAsia" w:eastAsiaTheme="minorEastAsia" w:cstheme="minorEastAsia"/>
          <w:sz w:val="24"/>
          <w:highlight w:val="none"/>
        </w:rPr>
        <w:t>室外露天管道用自攻螺钉固定的地方采用环氧树脂堵孔，露天支吊架管部穿出镀锌铁皮的地方应在吊杆上加装防雨罩。</w:t>
      </w:r>
    </w:p>
    <w:p>
      <w:pPr>
        <w:pStyle w:val="408"/>
        <w:spacing w:line="360" w:lineRule="auto"/>
        <w:ind w:firstLine="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4.6.5保温施工管理要求：</w:t>
      </w:r>
    </w:p>
    <w:p>
      <w:pPr>
        <w:pStyle w:val="408"/>
        <w:numPr>
          <w:ilvl w:val="0"/>
          <w:numId w:val="12"/>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投标方需将本工程所需材料的质检合格报告向招标方出示，发标方有权对投标方的物资采购和保管进行检查和监督。</w:t>
      </w:r>
    </w:p>
    <w:p>
      <w:pPr>
        <w:pStyle w:val="408"/>
        <w:numPr>
          <w:ilvl w:val="0"/>
          <w:numId w:val="12"/>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投标方应做好成品保护和地面保护工作，保护好招标方的财产免受损失。</w:t>
      </w:r>
    </w:p>
    <w:p>
      <w:pPr>
        <w:pStyle w:val="408"/>
        <w:numPr>
          <w:ilvl w:val="0"/>
          <w:numId w:val="12"/>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同一范围内的保温施工，离地1.2m以下的，应最后施工，防止被踩坏。</w:t>
      </w:r>
    </w:p>
    <w:p>
      <w:pPr>
        <w:pStyle w:val="408"/>
        <w:numPr>
          <w:ilvl w:val="0"/>
          <w:numId w:val="12"/>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保温材料在运输和搬运过程中应使用合适尺寸的设备，防止丢失、变形和损伤，</w:t>
      </w:r>
      <w:r>
        <w:rPr>
          <w:rFonts w:asciiTheme="minorEastAsia" w:hAnsiTheme="minorEastAsia" w:eastAsiaTheme="minorEastAsia" w:cstheme="minorEastAsia"/>
          <w:sz w:val="24"/>
          <w:highlight w:val="none"/>
        </w:rPr>
        <w:t>应堆放整齐，</w:t>
      </w:r>
      <w:r>
        <w:rPr>
          <w:rFonts w:hint="eastAsia" w:asciiTheme="minorEastAsia" w:hAnsiTheme="minorEastAsia" w:eastAsiaTheme="minorEastAsia" w:cstheme="minorEastAsia"/>
          <w:sz w:val="24"/>
          <w:highlight w:val="none"/>
        </w:rPr>
        <w:t>并</w:t>
      </w:r>
      <w:r>
        <w:rPr>
          <w:rFonts w:asciiTheme="minorEastAsia" w:hAnsiTheme="minorEastAsia" w:eastAsiaTheme="minorEastAsia" w:cstheme="minorEastAsia"/>
          <w:sz w:val="24"/>
          <w:highlight w:val="none"/>
        </w:rPr>
        <w:t>设有防止滚动措施</w:t>
      </w:r>
      <w:r>
        <w:rPr>
          <w:rFonts w:hint="eastAsia" w:asciiTheme="minorEastAsia" w:hAnsiTheme="minorEastAsia" w:eastAsiaTheme="minorEastAsia" w:cstheme="minorEastAsia"/>
          <w:sz w:val="24"/>
          <w:highlight w:val="none"/>
        </w:rPr>
        <w:t>，做好消防防火措施。废旧的保温材料要及时清理，要分门别类存放在指定地点，不能够回收利用的不能随意填埋与丢弃。</w:t>
      </w:r>
    </w:p>
    <w:p>
      <w:pPr>
        <w:pStyle w:val="408"/>
        <w:numPr>
          <w:ilvl w:val="0"/>
          <w:numId w:val="12"/>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施工人员素质合格，做好劳动防护，带好安全帽，系好安全带，安全带必须挂牢，不得挂在铅丝扣或其他不牢固的地方，施工时不得坐在不安全的地方，不得嬉戏打闹，严禁酒后作业。</w:t>
      </w:r>
    </w:p>
    <w:p>
      <w:pPr>
        <w:pStyle w:val="408"/>
        <w:numPr>
          <w:ilvl w:val="0"/>
          <w:numId w:val="12"/>
        </w:numPr>
        <w:spacing w:line="360" w:lineRule="auto"/>
        <w:ind w:left="420"/>
        <w:rPr>
          <w:rFonts w:hint="eastAsia" w:asciiTheme="minorEastAsia" w:hAnsiTheme="minorEastAsia"/>
          <w:sz w:val="24"/>
          <w:highlight w:val="none"/>
        </w:rPr>
      </w:pPr>
      <w:r>
        <w:rPr>
          <w:rFonts w:hint="eastAsia" w:asciiTheme="minorEastAsia" w:hAnsiTheme="minorEastAsia" w:eastAsiaTheme="minorEastAsia" w:cstheme="minorEastAsia"/>
          <w:sz w:val="24"/>
          <w:highlight w:val="none"/>
        </w:rPr>
        <w:t>在电气设备附近施工时，须派监护人，做好防静电措施。重要生产场所，如电子室、开关室、控制室、油站、危险品仓库，储氢站、GIS区域、氨区、CEMS小室等区域工作，投标方必须有专人监护（所谓专人指投标方进入招标方单位后，经安健环部考试合格，取得相关工作负责人资格的人员）。</w:t>
      </w:r>
    </w:p>
    <w:p>
      <w:pPr>
        <w:pStyle w:val="408"/>
        <w:numPr>
          <w:ilvl w:val="0"/>
          <w:numId w:val="12"/>
        </w:numPr>
        <w:spacing w:line="360" w:lineRule="auto"/>
        <w:ind w:left="420"/>
        <w:rPr>
          <w:rFonts w:hint="eastAsia" w:ascii="宋体" w:hAnsi="宋体" w:cs="宋体"/>
          <w:sz w:val="24"/>
          <w:highlight w:val="none"/>
        </w:rPr>
      </w:pPr>
      <w:r>
        <w:rPr>
          <w:rFonts w:hint="eastAsia" w:asciiTheme="minorEastAsia" w:hAnsiTheme="minorEastAsia" w:eastAsiaTheme="minorEastAsia" w:cstheme="minorEastAsia"/>
          <w:sz w:val="24"/>
          <w:highlight w:val="none"/>
        </w:rPr>
        <w:t>进行现场动火作业时，铺设防火毡，做好防火措施，防止火星和切割物溅落引起火灾。</w:t>
      </w:r>
    </w:p>
    <w:p>
      <w:pPr>
        <w:pStyle w:val="408"/>
        <w:numPr>
          <w:ilvl w:val="0"/>
          <w:numId w:val="12"/>
        </w:numPr>
        <w:spacing w:line="360" w:lineRule="auto"/>
        <w:ind w:left="420"/>
        <w:rPr>
          <w:rFonts w:hint="eastAsia" w:ascii="宋体" w:hAnsi="宋体" w:cs="宋体"/>
          <w:sz w:val="24"/>
          <w:highlight w:val="none"/>
        </w:rPr>
      </w:pPr>
      <w:r>
        <w:rPr>
          <w:rFonts w:hint="eastAsia" w:asciiTheme="minorEastAsia" w:hAnsiTheme="minorEastAsia" w:eastAsiaTheme="minorEastAsia" w:cstheme="minorEastAsia"/>
          <w:sz w:val="24"/>
          <w:highlight w:val="none"/>
        </w:rPr>
        <w:t>对于被油料污染的保温层必须更换，以防着火。</w:t>
      </w:r>
    </w:p>
    <w:p>
      <w:pPr>
        <w:pStyle w:val="408"/>
        <w:numPr>
          <w:ilvl w:val="0"/>
          <w:numId w:val="12"/>
        </w:numPr>
        <w:spacing w:line="360" w:lineRule="auto"/>
        <w:ind w:left="420"/>
        <w:rPr>
          <w:rFonts w:hint="eastAsia" w:ascii="宋体" w:hAnsi="宋体" w:cs="宋体"/>
          <w:sz w:val="24"/>
          <w:highlight w:val="none"/>
        </w:rPr>
      </w:pPr>
      <w:r>
        <w:rPr>
          <w:rFonts w:hint="eastAsia" w:asciiTheme="minorEastAsia" w:hAnsiTheme="minorEastAsia" w:eastAsiaTheme="minorEastAsia" w:cstheme="minorEastAsia"/>
          <w:sz w:val="24"/>
          <w:highlight w:val="none"/>
        </w:rPr>
        <w:t>夜间施工时必须有良好的照明；露天遇5级以上大风或暴雨、打雷、大雾天应停止高处户外作业；冬季作业做好防滑措施；气温超过35℃时，室外作业应做好避暑降温措施，超过40℃时，应停止户外作业。</w:t>
      </w:r>
    </w:p>
    <w:p>
      <w:p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 xml:space="preserve">4.7 </w:t>
      </w:r>
      <w:r>
        <w:rPr>
          <w:rFonts w:hint="eastAsia" w:asciiTheme="minorEastAsia" w:hAnsiTheme="minorEastAsia" w:eastAsiaTheme="minorEastAsia" w:cstheme="minorEastAsia"/>
          <w:sz w:val="24"/>
          <w:highlight w:val="none"/>
          <w:lang w:val="en-US" w:eastAsia="zh-CN"/>
        </w:rPr>
        <w:t>受热面改造</w:t>
      </w:r>
      <w:r>
        <w:rPr>
          <w:rFonts w:hint="eastAsia" w:asciiTheme="minorEastAsia" w:hAnsiTheme="minorEastAsia" w:eastAsiaTheme="minorEastAsia" w:cstheme="minorEastAsia"/>
          <w:sz w:val="24"/>
          <w:highlight w:val="none"/>
        </w:rPr>
        <w:t>管排施工要求</w:t>
      </w:r>
    </w:p>
    <w:p>
      <w:pPr>
        <w:numPr>
          <w:ilvl w:val="0"/>
          <w:numId w:val="13"/>
        </w:num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对到货管排进行光谱复核，确保材质符合现场施工要求。</w:t>
      </w:r>
    </w:p>
    <w:p>
      <w:pPr>
        <w:numPr>
          <w:ilvl w:val="0"/>
          <w:numId w:val="13"/>
        </w:num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按图纸及设备清单，检查和核对设备的数量、规格、质量等情况符合设计要求，如发现缺陷应即时上报技术员，技术员确认后汇报招标方。</w:t>
      </w:r>
    </w:p>
    <w:p>
      <w:pPr>
        <w:numPr>
          <w:ilvl w:val="0"/>
          <w:numId w:val="13"/>
        </w:numPr>
        <w:spacing w:line="360" w:lineRule="auto"/>
        <w:jc w:val="left"/>
        <w:rPr>
          <w:rFonts w:hint="eastAsia" w:ascii="宋体" w:hAnsi="宋体" w:cs="宋体"/>
          <w:sz w:val="24"/>
          <w:highlight w:val="none"/>
        </w:rPr>
      </w:pPr>
      <w:r>
        <w:rPr>
          <w:rFonts w:hint="eastAsia" w:asciiTheme="minorEastAsia" w:hAnsiTheme="minorEastAsia" w:eastAsiaTheme="minorEastAsia" w:cstheme="minorEastAsia"/>
          <w:sz w:val="24"/>
          <w:highlight w:val="none"/>
        </w:rPr>
        <w:t>进行通球试验。通球试验用球应采用钢球，且必须编号和严格管理，不得将球遗留在管内；通球后应做好可靠的封闭措施，并做好记录；通球球径按要求进行选择；管口封闭后按编号堆放整齐；通球结束后应在管子上签通球人名字。</w:t>
      </w:r>
    </w:p>
    <w:p>
      <w:pPr>
        <w:numPr>
          <w:ilvl w:val="0"/>
          <w:numId w:val="13"/>
        </w:numPr>
        <w:spacing w:line="360" w:lineRule="auto"/>
        <w:jc w:val="left"/>
        <w:rPr>
          <w:rFonts w:hint="eastAsia" w:ascii="宋体" w:hAnsi="宋体" w:cs="宋体"/>
          <w:sz w:val="24"/>
          <w:highlight w:val="none"/>
        </w:rPr>
      </w:pPr>
      <w:r>
        <w:rPr>
          <w:rFonts w:hint="eastAsia" w:asciiTheme="minorEastAsia" w:hAnsiTheme="minorEastAsia" w:eastAsiaTheme="minorEastAsia" w:cstheme="minorEastAsia"/>
          <w:sz w:val="24"/>
          <w:highlight w:val="none"/>
        </w:rPr>
        <w:t>管排焊口打磨应在地面打磨好，尽量减少高空作业工作量。</w:t>
      </w:r>
    </w:p>
    <w:p>
      <w:pPr>
        <w:pStyle w:val="17"/>
        <w:numPr>
          <w:ilvl w:val="0"/>
          <w:numId w:val="13"/>
        </w:num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旧管排割除前，应采用钢丝绳和手拉葫芦等对管排进行固定。</w:t>
      </w:r>
    </w:p>
    <w:p>
      <w:pPr>
        <w:numPr>
          <w:ilvl w:val="0"/>
          <w:numId w:val="13"/>
        </w:num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割下管排应报废处理，将管排切割成方便运输形状，割成2m或1.5m长度。</w:t>
      </w:r>
    </w:p>
    <w:p>
      <w:pPr>
        <w:numPr>
          <w:ilvl w:val="0"/>
          <w:numId w:val="13"/>
        </w:num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炉顶大罩区域的积灰用塑料编织袋子装好先集中堆放并运至招标方指定地点。</w:t>
      </w:r>
    </w:p>
    <w:p>
      <w:pPr>
        <w:numPr>
          <w:ilvl w:val="0"/>
          <w:numId w:val="13"/>
        </w:num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拆除施工区域内的相应部位耐火保温层（拆除时不可伤及所有汽水管道、热工测点等设备）,炉顶大罩侧墙板的拆除，并清理现场。</w:t>
      </w:r>
    </w:p>
    <w:p>
      <w:pPr>
        <w:numPr>
          <w:ilvl w:val="0"/>
          <w:numId w:val="13"/>
        </w:num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炉顶大罩内炉顶棚耐火保温材料拆除、清理，保护层（铁丝网抹面层）、隔热层（轻质保温浇注料）和耐火层（耐火可塑料）拆除。拆除时根据现场实际情况选择拆除工具，不使用小型电动工具，注意不可伤及所有汽水管道，并在拆清后同时投标方安排检查炉顶棚管道是否受损，后清理现场。</w:t>
      </w:r>
    </w:p>
    <w:p>
      <w:pPr>
        <w:numPr>
          <w:ilvl w:val="0"/>
          <w:numId w:val="13"/>
        </w:num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检查穿顶棚管根部疏形密封板、顶棚管是否变形损坏，管间鳍片是否有脱落、脱焊等造成泄漏的情况发生，并及时通知招标方，并进行针对性修整、更换、加固工作。</w:t>
      </w:r>
    </w:p>
    <w:p>
      <w:pPr>
        <w:numPr>
          <w:ilvl w:val="0"/>
          <w:numId w:val="13"/>
        </w:num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现场影响施工的平台、钢结构的拆除，需提前向招标方提供专项施工方案，确认拆除区域及临时加固措施，招标方确认后方可实施。</w:t>
      </w:r>
    </w:p>
    <w:p>
      <w:pPr>
        <w:numPr>
          <w:ilvl w:val="0"/>
          <w:numId w:val="13"/>
        </w:num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浇注轻质保温浇注料, 用铁丝网包复保温层，用复合抹面料抹面。</w:t>
      </w:r>
    </w:p>
    <w:p>
      <w:pPr>
        <w:numPr>
          <w:ilvl w:val="0"/>
          <w:numId w:val="13"/>
        </w:numPr>
        <w:spacing w:before="50"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墙板密封及保温恢复工作，确保炉顶大罩不能有漏灰现象，同时施工涉及到的所有保温工作不存在超温现象。</w:t>
      </w:r>
    </w:p>
    <w:p>
      <w:pPr>
        <w:numPr>
          <w:ilvl w:val="0"/>
          <w:numId w:val="13"/>
        </w:numPr>
        <w:spacing w:before="50" w:line="360" w:lineRule="auto"/>
        <w:rPr>
          <w:rFonts w:hint="eastAsia"/>
          <w:highlight w:val="none"/>
        </w:rPr>
      </w:pPr>
      <w:r>
        <w:rPr>
          <w:rFonts w:hint="eastAsia" w:asciiTheme="minorEastAsia" w:hAnsiTheme="minorEastAsia" w:eastAsiaTheme="minorEastAsia" w:cstheme="minorEastAsia"/>
          <w:sz w:val="24"/>
          <w:highlight w:val="none"/>
        </w:rPr>
        <w:t>按设计恢复框架及因影响施工拆除的保温棉、测点、热电偶及其他附件。</w:t>
      </w:r>
    </w:p>
    <w:p>
      <w:pPr>
        <w:numPr>
          <w:ilvl w:val="0"/>
          <w:numId w:val="13"/>
        </w:numPr>
        <w:spacing w:before="50" w:line="360" w:lineRule="auto"/>
        <w:rPr>
          <w:rFonts w:hint="eastAsia"/>
          <w:highlight w:val="none"/>
        </w:rPr>
      </w:pPr>
      <w:r>
        <w:rPr>
          <w:rFonts w:hint="eastAsia" w:asciiTheme="minorEastAsia" w:hAnsiTheme="minorEastAsia" w:eastAsiaTheme="minorEastAsia" w:cstheme="minorEastAsia"/>
          <w:sz w:val="24"/>
          <w:highlight w:val="none"/>
        </w:rPr>
        <w:t>现场管排施工所需焊接材料由投标人提供，并提供符合NB/T 47018证明材料。品牌：SA213S30432(Super304H)采用进口焊材，品牌为日本住友；ERNiCr-3采用进口焊材，品牌为英国曼彻特；12Cr1MoV焊材品牌为大西洋。规格均为2.4mm。</w:t>
      </w:r>
    </w:p>
    <w:p>
      <w:pPr>
        <w:pStyle w:val="17"/>
        <w:spacing w:line="360" w:lineRule="auto"/>
        <w:rPr>
          <w:rFonts w:hint="eastAsia" w:asciiTheme="minorEastAsia" w:hAnsiTheme="minorEastAsia" w:eastAsiaTheme="minorEastAsia" w:cstheme="minorEastAsia"/>
          <w:sz w:val="24"/>
          <w:highlight w:val="none"/>
        </w:rPr>
      </w:pPr>
    </w:p>
    <w:p>
      <w:pPr>
        <w:pStyle w:val="17"/>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4.8焊接工艺要求</w:t>
      </w:r>
    </w:p>
    <w:p>
      <w:pPr>
        <w:numPr>
          <w:ilvl w:val="0"/>
          <w:numId w:val="14"/>
        </w:num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焊接施工中应严格按照《焊接工艺评定规程》DL/T 869执行。</w:t>
      </w:r>
    </w:p>
    <w:p>
      <w:pPr>
        <w:numPr>
          <w:ilvl w:val="0"/>
          <w:numId w:val="14"/>
        </w:num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焊接及焊接检验人员焊接前出示资质证件，持证作业。</w:t>
      </w:r>
    </w:p>
    <w:p>
      <w:pPr>
        <w:numPr>
          <w:ilvl w:val="0"/>
          <w:numId w:val="14"/>
        </w:num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焊条要有出厂证、质保书，焊条的领用和监护手续符合要求。</w:t>
      </w:r>
    </w:p>
    <w:p>
      <w:pPr>
        <w:numPr>
          <w:ilvl w:val="0"/>
          <w:numId w:val="14"/>
        </w:num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焊接工作前施焊方应提供焊接工艺书表，经招标方核对后施焊。</w:t>
      </w:r>
    </w:p>
    <w:p>
      <w:pPr>
        <w:numPr>
          <w:ilvl w:val="0"/>
          <w:numId w:val="14"/>
        </w:num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施焊作业中，焊工和焊接检验人员应严格按此工艺执行。</w:t>
      </w:r>
    </w:p>
    <w:p>
      <w:pPr>
        <w:numPr>
          <w:ilvl w:val="0"/>
          <w:numId w:val="14"/>
        </w:num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焊接施工管理方面要求专人对当班的焊接工作进行交底。</w:t>
      </w:r>
    </w:p>
    <w:p>
      <w:pPr>
        <w:numPr>
          <w:ilvl w:val="0"/>
          <w:numId w:val="14"/>
        </w:num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焊工对焊口施焊相对固定，对焊口、焊材进行一对一管理，改变焊口类型时必须将原来的焊材全部上交，根据下一类焊口重新领用焊材。</w:t>
      </w:r>
    </w:p>
    <w:p>
      <w:pPr>
        <w:numPr>
          <w:ilvl w:val="0"/>
          <w:numId w:val="14"/>
        </w:num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投标方必须专人现场复查焊口施焊时的管材、焊材，焊口施焊前必须检查确认管材、焊材是否正确，防止焊材用错。</w:t>
      </w:r>
    </w:p>
    <w:p>
      <w:pPr>
        <w:pStyle w:val="408"/>
        <w:numPr>
          <w:ilvl w:val="0"/>
          <w:numId w:val="15"/>
        </w:numPr>
        <w:spacing w:line="360" w:lineRule="auto"/>
        <w:ind w:firstLine="0"/>
        <w:rPr>
          <w:rFonts w:hint="eastAsia" w:asciiTheme="minorEastAsia" w:hAnsiTheme="minorEastAsia" w:eastAsiaTheme="minorEastAsia" w:cstheme="minorEastAsia"/>
          <w:sz w:val="24"/>
          <w:highlight w:val="none"/>
        </w:rPr>
      </w:pPr>
      <w:r>
        <w:rPr>
          <w:rFonts w:hint="eastAsia" w:asciiTheme="minorEastAsia" w:hAnsiTheme="minorEastAsia" w:eastAsiaTheme="minorEastAsia" w:cstheme="minorEastAsia"/>
          <w:sz w:val="24"/>
          <w:highlight w:val="none"/>
        </w:rPr>
        <w:t>热处理完成后及时进行无损检测。本项目范围内焊接坡口要求进行100%检测，合金钢焊口进行100%光谱复核，高合金钢焊口进行100%硬度检验，炉管焊缝进行100%表面探伤</w:t>
      </w:r>
    </w:p>
    <w:p>
      <w:pPr>
        <w:pStyle w:val="408"/>
        <w:numPr>
          <w:ilvl w:val="0"/>
          <w:numId w:val="15"/>
        </w:numPr>
        <w:spacing w:line="360" w:lineRule="auto"/>
        <w:ind w:firstLine="0"/>
        <w:rPr>
          <w:rFonts w:hint="eastAsia" w:asciiTheme="minorEastAsia" w:hAnsiTheme="minorEastAsia" w:eastAsiaTheme="minorEastAsia" w:cstheme="minorEastAsia"/>
          <w:sz w:val="24"/>
          <w:highlight w:val="none"/>
        </w:rPr>
      </w:pPr>
      <w:r>
        <w:rPr>
          <w:rFonts w:asciiTheme="minorEastAsia" w:hAnsiTheme="minorEastAsia" w:eastAsiaTheme="minorEastAsia" w:cstheme="minorEastAsia"/>
          <w:sz w:val="24"/>
          <w:highlight w:val="none"/>
        </w:rPr>
        <w:t>焊接</w:t>
      </w:r>
      <w:r>
        <w:rPr>
          <w:rFonts w:hint="eastAsia" w:asciiTheme="minorEastAsia" w:hAnsiTheme="minorEastAsia" w:eastAsiaTheme="minorEastAsia" w:cstheme="minorEastAsia"/>
          <w:sz w:val="24"/>
          <w:highlight w:val="none"/>
        </w:rPr>
        <w:t>水溶纸</w:t>
      </w:r>
      <w:r>
        <w:rPr>
          <w:rFonts w:asciiTheme="minorEastAsia" w:hAnsiTheme="minorEastAsia" w:eastAsiaTheme="minorEastAsia" w:cstheme="minorEastAsia"/>
          <w:sz w:val="24"/>
          <w:highlight w:val="none"/>
        </w:rPr>
        <w:t>须用塞维（进口）品牌。</w:t>
      </w:r>
    </w:p>
    <w:p>
      <w:pPr>
        <w:pStyle w:val="76"/>
        <w:spacing w:line="360" w:lineRule="auto"/>
        <w:ind w:left="0"/>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4.9 吊装技术要求</w:t>
      </w:r>
    </w:p>
    <w:p>
      <w:pPr>
        <w:numPr>
          <w:ilvl w:val="0"/>
          <w:numId w:val="16"/>
        </w:numPr>
        <w:spacing w:before="156" w:line="360" w:lineRule="auto"/>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吊装作业人员必须持有特殊工种作业证。</w:t>
      </w:r>
    </w:p>
    <w:p>
      <w:pPr>
        <w:pStyle w:val="76"/>
        <w:numPr>
          <w:ilvl w:val="0"/>
          <w:numId w:val="16"/>
        </w:numPr>
        <w:spacing w:before="156" w:line="360" w:lineRule="auto"/>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吊装重量大于等于40 吨的物体和土建工程主体结构，应编制吊装施工方案。吊物虽不足40 吨重，但形状复杂、刚度小、长径比大、精密贵重，施工条件特殊的情况下，也应编制吊装施工方案。吊装施工方案经相关部门批准后方可实施。</w:t>
      </w:r>
    </w:p>
    <w:p>
      <w:pPr>
        <w:pStyle w:val="76"/>
        <w:numPr>
          <w:ilvl w:val="0"/>
          <w:numId w:val="16"/>
        </w:numPr>
        <w:spacing w:before="156" w:line="360" w:lineRule="auto"/>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各种吊装作业前，应预先在吊装现场设置安全警戒标志并设专人监护，非施工人员禁止入内。</w:t>
      </w:r>
    </w:p>
    <w:p>
      <w:pPr>
        <w:pStyle w:val="76"/>
        <w:numPr>
          <w:ilvl w:val="0"/>
          <w:numId w:val="16"/>
        </w:numPr>
        <w:spacing w:before="156" w:line="360" w:lineRule="auto"/>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吊装作业中，夜间应有足够的照明，室外作业遇到大雪、暴雨、大雾及六级以上大风时，应停止作业。</w:t>
      </w:r>
    </w:p>
    <w:p>
      <w:pPr>
        <w:pStyle w:val="76"/>
        <w:numPr>
          <w:ilvl w:val="0"/>
          <w:numId w:val="16"/>
        </w:numPr>
        <w:spacing w:before="156" w:line="360" w:lineRule="auto"/>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吊装作业人员必须佩带安全帽，安全帽应符合GB 2811 的规定，高处作业时必须遵守《厂区高处作业安全规程》HG 23014 的规定。</w:t>
      </w:r>
    </w:p>
    <w:p>
      <w:pPr>
        <w:pStyle w:val="76"/>
        <w:numPr>
          <w:ilvl w:val="0"/>
          <w:numId w:val="16"/>
        </w:numPr>
        <w:spacing w:before="156" w:line="360" w:lineRule="auto"/>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吊装作业前，应对起重吊装设备、钢丝绳、揽风绳、链条、吊钩等各种机具进行检查，必须保证安全可靠，不准带病使用。</w:t>
      </w:r>
    </w:p>
    <w:p>
      <w:pPr>
        <w:pStyle w:val="76"/>
        <w:numPr>
          <w:ilvl w:val="0"/>
          <w:numId w:val="16"/>
        </w:numPr>
        <w:spacing w:before="156" w:line="360" w:lineRule="auto"/>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吊装作业时，必须分工明确、坚守岗位，并按GB 5082 规定的联络信号，统一指挥。</w:t>
      </w:r>
    </w:p>
    <w:p>
      <w:pPr>
        <w:pStyle w:val="76"/>
        <w:numPr>
          <w:ilvl w:val="0"/>
          <w:numId w:val="16"/>
        </w:numPr>
        <w:spacing w:before="156" w:line="360" w:lineRule="auto"/>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严禁利用管道、管架、电杆、机电设备等做吊装锚点。未经机动、建筑部门审查核算，不得将建筑物、构筑物做为锚点。</w:t>
      </w:r>
    </w:p>
    <w:p>
      <w:pPr>
        <w:pStyle w:val="76"/>
        <w:numPr>
          <w:ilvl w:val="0"/>
          <w:numId w:val="16"/>
        </w:numPr>
        <w:spacing w:before="156" w:line="360" w:lineRule="auto"/>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吊装作业前必须对各种起重吊装机械的运行部位、安全装置以及吊具、索具进行详细的安全检查，吊装设备的安全装置要灵敏可靠。吊装前必须试吊，确认无误方可作业。</w:t>
      </w:r>
    </w:p>
    <w:p>
      <w:pPr>
        <w:pStyle w:val="76"/>
        <w:numPr>
          <w:ilvl w:val="0"/>
          <w:numId w:val="16"/>
        </w:numPr>
        <w:spacing w:before="156" w:line="360" w:lineRule="auto"/>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任何人不得随同吊装重物或吊装机械升降。在特殊情况下，必须随之升降的，应采取可靠的安全措施，并经过现场指挥人员批准。</w:t>
      </w:r>
    </w:p>
    <w:p>
      <w:pPr>
        <w:pStyle w:val="76"/>
        <w:numPr>
          <w:ilvl w:val="0"/>
          <w:numId w:val="16"/>
        </w:numPr>
        <w:spacing w:before="156" w:line="360" w:lineRule="auto"/>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吊装作业现场如须动火，应遵守HG 23011 的规定。吊装作业现场的吊绳索、揽风绳、拖拉绳等要避免同带电线路接触，并保持安全距离。</w:t>
      </w:r>
    </w:p>
    <w:p>
      <w:pPr>
        <w:pStyle w:val="76"/>
        <w:numPr>
          <w:ilvl w:val="0"/>
          <w:numId w:val="16"/>
        </w:numPr>
        <w:spacing w:before="156" w:line="360" w:lineRule="auto"/>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用定型起重吊装机械（履带吊车、轮胎吊车、桥式吊车等）进行吊装作业时，除遵守本标准外，还应遵守该定型机械的操作规程。</w:t>
      </w:r>
    </w:p>
    <w:p>
      <w:pPr>
        <w:pStyle w:val="76"/>
        <w:numPr>
          <w:ilvl w:val="0"/>
          <w:numId w:val="16"/>
        </w:numPr>
        <w:spacing w:before="156" w:line="360" w:lineRule="auto"/>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吊装作业时，必须按规定负荷进行吊装，吊具、索具经计算选择使用，严禁超负荷运行。所吊重物接近或达到额定起重吊装能力时，应检查制动器，用低高度、短行程试吊后，再平稳吊起。</w:t>
      </w:r>
    </w:p>
    <w:p>
      <w:pPr>
        <w:pStyle w:val="76"/>
        <w:numPr>
          <w:ilvl w:val="0"/>
          <w:numId w:val="16"/>
        </w:numPr>
        <w:spacing w:before="156" w:line="360" w:lineRule="auto"/>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悬吊重物下方严禁站人、通行和工作。</w:t>
      </w:r>
    </w:p>
    <w:p>
      <w:pPr>
        <w:numPr>
          <w:ilvl w:val="0"/>
          <w:numId w:val="16"/>
        </w:numPr>
        <w:spacing w:line="360" w:lineRule="auto"/>
        <w:rPr>
          <w:rFonts w:hint="eastAsia" w:asciiTheme="minorEastAsia" w:hAnsiTheme="minorEastAsia" w:eastAsiaTheme="minorEastAsia" w:cstheme="minorEastAsia"/>
          <w:sz w:val="24"/>
          <w:highlight w:val="none"/>
        </w:rPr>
      </w:pPr>
      <w:r>
        <w:rPr>
          <w:rFonts w:hint="eastAsia" w:asciiTheme="minorEastAsia" w:hAnsiTheme="minorEastAsia" w:eastAsiaTheme="minorEastAsia" w:cstheme="minorEastAsia"/>
          <w:sz w:val="24"/>
          <w:highlight w:val="none"/>
        </w:rPr>
        <w:t>在吊装作业中，有下列情况之一者不准吊装：</w:t>
      </w:r>
    </w:p>
    <w:p>
      <w:pPr>
        <w:numPr>
          <w:ilvl w:val="0"/>
          <w:numId w:val="17"/>
        </w:numPr>
        <w:spacing w:line="360" w:lineRule="auto"/>
        <w:ind w:firstLine="0"/>
        <w:rPr>
          <w:rFonts w:hint="eastAsia" w:ascii="宋体" w:hAnsi="宋体" w:cs="宋体"/>
          <w:sz w:val="24"/>
          <w:highlight w:val="none"/>
        </w:rPr>
      </w:pPr>
      <w:r>
        <w:rPr>
          <w:rFonts w:hint="eastAsia" w:asciiTheme="minorEastAsia" w:hAnsiTheme="minorEastAsia" w:eastAsiaTheme="minorEastAsia" w:cstheme="minorEastAsia"/>
          <w:sz w:val="24"/>
          <w:highlight w:val="none"/>
        </w:rPr>
        <w:t>指挥信号不明；</w:t>
      </w:r>
    </w:p>
    <w:p>
      <w:pPr>
        <w:numPr>
          <w:ilvl w:val="0"/>
          <w:numId w:val="17"/>
        </w:numPr>
        <w:spacing w:line="360" w:lineRule="auto"/>
        <w:ind w:firstLine="0"/>
        <w:rPr>
          <w:rFonts w:hint="eastAsia" w:ascii="宋体" w:hAnsi="宋体" w:cs="宋体"/>
          <w:sz w:val="24"/>
          <w:highlight w:val="none"/>
        </w:rPr>
      </w:pPr>
      <w:r>
        <w:rPr>
          <w:rFonts w:hint="eastAsia" w:asciiTheme="minorEastAsia" w:hAnsiTheme="minorEastAsia" w:eastAsiaTheme="minorEastAsia" w:cstheme="minorEastAsia"/>
          <w:sz w:val="24"/>
          <w:highlight w:val="none"/>
        </w:rPr>
        <w:t>超负荷或物体重量不明；</w:t>
      </w:r>
    </w:p>
    <w:p>
      <w:pPr>
        <w:numPr>
          <w:ilvl w:val="0"/>
          <w:numId w:val="17"/>
        </w:numPr>
        <w:spacing w:line="360" w:lineRule="auto"/>
        <w:ind w:firstLine="0"/>
        <w:rPr>
          <w:rFonts w:hint="eastAsia" w:ascii="宋体" w:hAnsi="宋体" w:cs="宋体"/>
          <w:sz w:val="24"/>
          <w:highlight w:val="none"/>
        </w:rPr>
      </w:pPr>
      <w:r>
        <w:rPr>
          <w:rFonts w:hint="eastAsia" w:asciiTheme="minorEastAsia" w:hAnsiTheme="minorEastAsia" w:eastAsiaTheme="minorEastAsia" w:cstheme="minorEastAsia"/>
          <w:sz w:val="24"/>
          <w:highlight w:val="none"/>
        </w:rPr>
        <w:t>斜拉重物；</w:t>
      </w:r>
    </w:p>
    <w:p>
      <w:pPr>
        <w:numPr>
          <w:ilvl w:val="0"/>
          <w:numId w:val="17"/>
        </w:numPr>
        <w:spacing w:line="360" w:lineRule="auto"/>
        <w:ind w:firstLine="0"/>
        <w:rPr>
          <w:rFonts w:hint="eastAsia" w:ascii="宋体" w:hAnsi="宋体" w:cs="宋体"/>
          <w:sz w:val="24"/>
          <w:highlight w:val="none"/>
        </w:rPr>
      </w:pPr>
      <w:r>
        <w:rPr>
          <w:rFonts w:hint="eastAsia" w:asciiTheme="minorEastAsia" w:hAnsiTheme="minorEastAsia" w:eastAsiaTheme="minorEastAsia" w:cstheme="minorEastAsia"/>
          <w:sz w:val="24"/>
          <w:highlight w:val="none"/>
        </w:rPr>
        <w:t>光线不足、看不清重物；</w:t>
      </w:r>
    </w:p>
    <w:p>
      <w:pPr>
        <w:numPr>
          <w:ilvl w:val="0"/>
          <w:numId w:val="17"/>
        </w:numPr>
        <w:spacing w:line="360" w:lineRule="auto"/>
        <w:ind w:firstLine="0"/>
        <w:rPr>
          <w:rFonts w:hint="eastAsia" w:ascii="宋体" w:hAnsi="宋体" w:cs="宋体"/>
          <w:sz w:val="24"/>
          <w:highlight w:val="none"/>
        </w:rPr>
      </w:pPr>
      <w:r>
        <w:rPr>
          <w:rFonts w:hint="eastAsia" w:asciiTheme="minorEastAsia" w:hAnsiTheme="minorEastAsia" w:eastAsiaTheme="minorEastAsia" w:cstheme="minorEastAsia"/>
          <w:sz w:val="24"/>
          <w:highlight w:val="none"/>
        </w:rPr>
        <w:t>重物下站人；</w:t>
      </w:r>
    </w:p>
    <w:p>
      <w:pPr>
        <w:numPr>
          <w:ilvl w:val="0"/>
          <w:numId w:val="17"/>
        </w:numPr>
        <w:spacing w:line="360" w:lineRule="auto"/>
        <w:ind w:firstLine="0"/>
        <w:rPr>
          <w:rFonts w:hint="eastAsia" w:ascii="宋体" w:hAnsi="宋体" w:cs="宋体"/>
          <w:sz w:val="24"/>
          <w:highlight w:val="none"/>
        </w:rPr>
      </w:pPr>
      <w:r>
        <w:rPr>
          <w:rFonts w:hint="eastAsia" w:asciiTheme="minorEastAsia" w:hAnsiTheme="minorEastAsia" w:eastAsiaTheme="minorEastAsia" w:cstheme="minorEastAsia"/>
          <w:sz w:val="24"/>
          <w:highlight w:val="none"/>
        </w:rPr>
        <w:t>重物埋在地下；</w:t>
      </w:r>
    </w:p>
    <w:p>
      <w:pPr>
        <w:numPr>
          <w:ilvl w:val="0"/>
          <w:numId w:val="17"/>
        </w:numPr>
        <w:spacing w:line="360" w:lineRule="auto"/>
        <w:ind w:firstLine="0"/>
        <w:rPr>
          <w:rFonts w:hint="eastAsia" w:ascii="宋体" w:hAnsi="宋体" w:cs="宋体"/>
          <w:sz w:val="24"/>
          <w:highlight w:val="none"/>
        </w:rPr>
      </w:pPr>
      <w:r>
        <w:rPr>
          <w:rFonts w:hint="eastAsia" w:asciiTheme="minorEastAsia" w:hAnsiTheme="minorEastAsia" w:eastAsiaTheme="minorEastAsia" w:cstheme="minorEastAsia"/>
          <w:sz w:val="24"/>
          <w:highlight w:val="none"/>
        </w:rPr>
        <w:t>重物紧固不牢，绳打结、绳不齐；</w:t>
      </w:r>
    </w:p>
    <w:p>
      <w:pPr>
        <w:numPr>
          <w:ilvl w:val="0"/>
          <w:numId w:val="17"/>
        </w:numPr>
        <w:spacing w:line="360" w:lineRule="auto"/>
        <w:ind w:firstLine="0"/>
        <w:rPr>
          <w:rFonts w:hint="eastAsia" w:ascii="宋体" w:hAnsi="宋体" w:cs="宋体"/>
          <w:sz w:val="24"/>
          <w:highlight w:val="none"/>
        </w:rPr>
      </w:pPr>
      <w:r>
        <w:rPr>
          <w:rFonts w:hint="eastAsia" w:asciiTheme="minorEastAsia" w:hAnsiTheme="minorEastAsia" w:eastAsiaTheme="minorEastAsia" w:cstheme="minorEastAsia"/>
          <w:sz w:val="24"/>
          <w:highlight w:val="none"/>
        </w:rPr>
        <w:t>棱刃物体没有衬垫措施；</w:t>
      </w:r>
    </w:p>
    <w:p>
      <w:pPr>
        <w:numPr>
          <w:ilvl w:val="0"/>
          <w:numId w:val="17"/>
        </w:numPr>
        <w:spacing w:line="360" w:lineRule="auto"/>
        <w:ind w:firstLine="0"/>
        <w:rPr>
          <w:rFonts w:hint="eastAsia" w:ascii="宋体" w:hAnsi="宋体" w:cs="宋体"/>
          <w:sz w:val="24"/>
          <w:highlight w:val="none"/>
        </w:rPr>
      </w:pPr>
      <w:r>
        <w:rPr>
          <w:rFonts w:hint="eastAsia" w:asciiTheme="minorEastAsia" w:hAnsiTheme="minorEastAsia" w:eastAsiaTheme="minorEastAsia" w:cstheme="minorEastAsia"/>
          <w:sz w:val="24"/>
          <w:highlight w:val="none"/>
        </w:rPr>
        <w:t>重物越人头；</w:t>
      </w:r>
    </w:p>
    <w:p>
      <w:pPr>
        <w:numPr>
          <w:ilvl w:val="0"/>
          <w:numId w:val="17"/>
        </w:numPr>
        <w:spacing w:line="360" w:lineRule="auto"/>
        <w:ind w:firstLine="0"/>
        <w:rPr>
          <w:rFonts w:hint="eastAsia" w:asciiTheme="minorEastAsia" w:hAnsiTheme="minorEastAsia" w:eastAsiaTheme="minorEastAsia" w:cstheme="minorEastAsia"/>
          <w:sz w:val="24"/>
          <w:highlight w:val="none"/>
        </w:rPr>
      </w:pPr>
      <w:r>
        <w:rPr>
          <w:rFonts w:hint="eastAsia" w:asciiTheme="minorEastAsia" w:hAnsiTheme="minorEastAsia" w:eastAsiaTheme="minorEastAsia" w:cstheme="minorEastAsia"/>
          <w:sz w:val="24"/>
          <w:highlight w:val="none"/>
        </w:rPr>
        <w:t>安全装置失灵。</w:t>
      </w:r>
    </w:p>
    <w:p>
      <w:pPr>
        <w:numPr>
          <w:ilvl w:val="0"/>
          <w:numId w:val="16"/>
        </w:num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对吊装作业审批手续不全，安全措施不落实，作业环境不符合安全要求的，作业人员有权拒绝作业。</w:t>
      </w:r>
    </w:p>
    <w:p>
      <w:pPr>
        <w:spacing w:line="360" w:lineRule="auto"/>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4.10  施工管理</w:t>
      </w:r>
    </w:p>
    <w:p>
      <w:pPr>
        <w:pStyle w:val="76"/>
        <w:numPr>
          <w:ilvl w:val="0"/>
          <w:numId w:val="18"/>
        </w:numPr>
        <w:spacing w:line="360" w:lineRule="auto"/>
        <w:contextualSpacing w:val="0"/>
        <w:rPr>
          <w:rFonts w:hint="eastAsia" w:ascii="宋体" w:hAnsi="宋体" w:cs="宋体"/>
          <w:sz w:val="24"/>
          <w:highlight w:val="none"/>
        </w:rPr>
      </w:pPr>
      <w:r>
        <w:rPr>
          <w:rFonts w:hint="eastAsia" w:asciiTheme="minorEastAsia" w:hAnsiTheme="minorEastAsia" w:eastAsiaTheme="minorEastAsia" w:cstheme="minorEastAsia"/>
          <w:sz w:val="24"/>
          <w:highlight w:val="none"/>
        </w:rPr>
        <w:t>严格按施工项目计划进行施工工作。</w:t>
      </w:r>
    </w:p>
    <w:p>
      <w:pPr>
        <w:pStyle w:val="76"/>
        <w:numPr>
          <w:ilvl w:val="0"/>
          <w:numId w:val="18"/>
        </w:numPr>
        <w:spacing w:line="360" w:lineRule="auto"/>
        <w:contextualSpacing w:val="0"/>
        <w:rPr>
          <w:rFonts w:hint="eastAsia" w:ascii="宋体" w:hAnsi="宋体" w:cs="宋体"/>
          <w:sz w:val="24"/>
          <w:highlight w:val="none"/>
        </w:rPr>
      </w:pPr>
      <w:r>
        <w:rPr>
          <w:rFonts w:hint="eastAsia" w:asciiTheme="minorEastAsia" w:hAnsiTheme="minorEastAsia" w:eastAsiaTheme="minorEastAsia" w:cstheme="minorEastAsia"/>
          <w:sz w:val="24"/>
          <w:highlight w:val="none"/>
        </w:rPr>
        <w:t>应保证施工工期，必须严格按招标方施工进度要求组织施工工作，不得随意改变施工工期。</w:t>
      </w:r>
    </w:p>
    <w:p>
      <w:pPr>
        <w:pStyle w:val="76"/>
        <w:numPr>
          <w:ilvl w:val="0"/>
          <w:numId w:val="18"/>
        </w:numPr>
        <w:spacing w:line="360" w:lineRule="auto"/>
        <w:contextualSpacing w:val="0"/>
        <w:rPr>
          <w:rFonts w:hint="eastAsia" w:ascii="宋体" w:hAnsi="宋体" w:cs="宋体"/>
          <w:sz w:val="24"/>
          <w:highlight w:val="none"/>
        </w:rPr>
      </w:pPr>
      <w:r>
        <w:rPr>
          <w:rFonts w:hint="eastAsia" w:asciiTheme="minorEastAsia" w:hAnsiTheme="minorEastAsia" w:eastAsiaTheme="minorEastAsia" w:cstheme="minorEastAsia"/>
          <w:sz w:val="24"/>
          <w:highlight w:val="none"/>
        </w:rPr>
        <w:t>不得随意增减项目，如确需增减，需经招标方确认与批准。</w:t>
      </w:r>
    </w:p>
    <w:p>
      <w:pPr>
        <w:pStyle w:val="76"/>
        <w:numPr>
          <w:ilvl w:val="0"/>
          <w:numId w:val="18"/>
        </w:numPr>
        <w:spacing w:line="360" w:lineRule="auto"/>
        <w:contextualSpacing w:val="0"/>
        <w:rPr>
          <w:rFonts w:hint="eastAsia" w:ascii="宋体" w:hAnsi="宋体" w:cs="宋体"/>
          <w:sz w:val="24"/>
          <w:highlight w:val="none"/>
        </w:rPr>
      </w:pPr>
      <w:r>
        <w:rPr>
          <w:rFonts w:hint="eastAsia" w:asciiTheme="minorEastAsia" w:hAnsiTheme="minorEastAsia" w:eastAsiaTheme="minorEastAsia" w:cstheme="minorEastAsia"/>
          <w:sz w:val="24"/>
          <w:highlight w:val="none"/>
        </w:rPr>
        <w:t>做到三到位：设备安全防护到位，专业人员指导到位，施工焊接热处理验收到位。</w:t>
      </w:r>
    </w:p>
    <w:p>
      <w:pPr>
        <w:pStyle w:val="76"/>
        <w:numPr>
          <w:ilvl w:val="0"/>
          <w:numId w:val="18"/>
        </w:numPr>
        <w:spacing w:line="360" w:lineRule="auto"/>
        <w:contextualSpacing w:val="0"/>
        <w:rPr>
          <w:rFonts w:hint="eastAsia" w:ascii="宋体" w:hAnsi="宋体" w:cs="宋体"/>
          <w:sz w:val="24"/>
          <w:highlight w:val="none"/>
        </w:rPr>
      </w:pPr>
      <w:r>
        <w:rPr>
          <w:rFonts w:hint="eastAsia" w:asciiTheme="minorEastAsia" w:hAnsiTheme="minorEastAsia" w:eastAsiaTheme="minorEastAsia" w:cstheme="minorEastAsia"/>
          <w:sz w:val="24"/>
          <w:highlight w:val="none"/>
        </w:rPr>
        <w:t>投标方负责所属施工区域的设备成品、地面保护，做好施工的有效隔离。</w:t>
      </w:r>
    </w:p>
    <w:p>
      <w:pPr>
        <w:pStyle w:val="76"/>
        <w:numPr>
          <w:ilvl w:val="0"/>
          <w:numId w:val="18"/>
        </w:numPr>
        <w:spacing w:line="360" w:lineRule="auto"/>
        <w:contextualSpacing w:val="0"/>
        <w:rPr>
          <w:rFonts w:hint="eastAsia" w:ascii="宋体" w:hAnsi="宋体" w:cs="宋体"/>
          <w:sz w:val="24"/>
          <w:highlight w:val="none"/>
        </w:rPr>
      </w:pPr>
      <w:r>
        <w:rPr>
          <w:rFonts w:hint="eastAsia" w:asciiTheme="minorEastAsia" w:hAnsiTheme="minorEastAsia" w:eastAsiaTheme="minorEastAsia" w:cstheme="minorEastAsia"/>
          <w:sz w:val="24"/>
          <w:highlight w:val="none"/>
        </w:rPr>
        <w:t>施工过程中，必须做到三无（无油迹、无水、无灰），三齐（拆下零部件放整齐、施工机具放整齐、材料备品放整齐），三不乱（电线不乱拉、管道不乱放、垃圾不乱丢），三不落地（使用工具量具不落地、拆下来的零件不落地、污油脏物不落地），四清洁（双手、零件、工具、场地清洁）。</w:t>
      </w:r>
    </w:p>
    <w:p>
      <w:pPr>
        <w:pStyle w:val="76"/>
        <w:numPr>
          <w:ilvl w:val="0"/>
          <w:numId w:val="18"/>
        </w:numPr>
        <w:spacing w:line="360" w:lineRule="auto"/>
        <w:contextualSpacing w:val="0"/>
        <w:rPr>
          <w:rFonts w:hint="eastAsia" w:ascii="宋体" w:hAnsi="宋体" w:cs="宋体"/>
          <w:sz w:val="24"/>
          <w:highlight w:val="none"/>
        </w:rPr>
      </w:pPr>
      <w:r>
        <w:rPr>
          <w:rFonts w:hint="eastAsia" w:asciiTheme="minorEastAsia" w:hAnsiTheme="minorEastAsia" w:eastAsiaTheme="minorEastAsia" w:cstheme="minorEastAsia"/>
          <w:sz w:val="24"/>
          <w:highlight w:val="none"/>
        </w:rPr>
        <w:t>修后达到一净：场地设备净；二高：高标准，高质量；三完好：设备标志、铭牌完好、设备保温油漆完好、设备系统布置走向完好。</w:t>
      </w:r>
    </w:p>
    <w:p>
      <w:pPr>
        <w:pStyle w:val="76"/>
        <w:numPr>
          <w:ilvl w:val="0"/>
          <w:numId w:val="18"/>
        </w:numPr>
        <w:spacing w:line="360" w:lineRule="auto"/>
        <w:contextualSpacing w:val="0"/>
        <w:rPr>
          <w:rFonts w:hint="eastAsia" w:ascii="宋体" w:hAnsi="宋体" w:cs="宋体"/>
          <w:sz w:val="24"/>
          <w:highlight w:val="none"/>
        </w:rPr>
      </w:pPr>
      <w:r>
        <w:rPr>
          <w:rFonts w:hint="eastAsia" w:asciiTheme="minorEastAsia" w:hAnsiTheme="minorEastAsia" w:eastAsiaTheme="minorEastAsia" w:cstheme="minorEastAsia"/>
          <w:sz w:val="24"/>
          <w:highlight w:val="none"/>
        </w:rPr>
        <w:t>坚持修旧利废，厉行节约，杜绝浪费现象。</w:t>
      </w:r>
    </w:p>
    <w:p>
      <w:pPr>
        <w:pStyle w:val="76"/>
        <w:numPr>
          <w:ilvl w:val="0"/>
          <w:numId w:val="18"/>
        </w:numPr>
        <w:spacing w:line="360" w:lineRule="auto"/>
        <w:contextualSpacing w:val="0"/>
        <w:rPr>
          <w:rFonts w:hint="eastAsia" w:ascii="宋体" w:hAnsi="宋体" w:cs="宋体"/>
          <w:sz w:val="24"/>
          <w:highlight w:val="none"/>
        </w:rPr>
      </w:pPr>
      <w:r>
        <w:rPr>
          <w:rFonts w:hint="eastAsia" w:asciiTheme="minorEastAsia" w:hAnsiTheme="minorEastAsia" w:eastAsiaTheme="minorEastAsia" w:cstheme="minorEastAsia"/>
          <w:sz w:val="24"/>
          <w:highlight w:val="none"/>
        </w:rPr>
        <w:t>严格执行三级验收制度。</w:t>
      </w:r>
    </w:p>
    <w:p>
      <w:pPr>
        <w:pStyle w:val="76"/>
        <w:numPr>
          <w:ilvl w:val="0"/>
          <w:numId w:val="18"/>
        </w:numPr>
        <w:spacing w:line="360" w:lineRule="auto"/>
        <w:contextualSpacing w:val="0"/>
        <w:rPr>
          <w:rFonts w:hint="eastAsia" w:ascii="宋体" w:hAnsi="宋体" w:cs="宋体"/>
          <w:sz w:val="24"/>
          <w:highlight w:val="none"/>
        </w:rPr>
      </w:pPr>
      <w:r>
        <w:rPr>
          <w:rFonts w:hint="eastAsia" w:asciiTheme="minorEastAsia" w:hAnsiTheme="minorEastAsia" w:eastAsiaTheme="minorEastAsia" w:cstheme="minorEastAsia"/>
          <w:sz w:val="24"/>
          <w:highlight w:val="none"/>
        </w:rPr>
        <w:t>投标方在施工期间，当与其他工作由冲突时，须严格服从招标方安排。</w:t>
      </w:r>
    </w:p>
    <w:p>
      <w:pPr>
        <w:pStyle w:val="76"/>
        <w:numPr>
          <w:ilvl w:val="0"/>
          <w:numId w:val="18"/>
        </w:numPr>
        <w:spacing w:line="360" w:lineRule="auto"/>
        <w:contextualSpacing w:val="0"/>
        <w:rPr>
          <w:rFonts w:hint="eastAsia" w:ascii="宋体" w:hAnsi="宋体" w:cs="宋体"/>
          <w:sz w:val="24"/>
          <w:highlight w:val="none"/>
        </w:rPr>
      </w:pPr>
      <w:r>
        <w:rPr>
          <w:rFonts w:hint="eastAsia" w:asciiTheme="minorEastAsia" w:hAnsiTheme="minorEastAsia" w:eastAsiaTheme="minorEastAsia" w:cstheme="minorEastAsia"/>
          <w:sz w:val="24"/>
          <w:highlight w:val="none"/>
        </w:rPr>
        <w:t>涉及到交叉作业期间，投标方应指派专人进行现场安全、文明生产监督、联系。</w:t>
      </w:r>
    </w:p>
    <w:p>
      <w:pPr>
        <w:pStyle w:val="76"/>
        <w:numPr>
          <w:ilvl w:val="0"/>
          <w:numId w:val="18"/>
        </w:numPr>
        <w:spacing w:line="360" w:lineRule="auto"/>
        <w:contextualSpacing w:val="0"/>
        <w:rPr>
          <w:rFonts w:hint="eastAsia" w:ascii="宋体" w:hAnsi="宋体" w:cs="宋体"/>
          <w:sz w:val="24"/>
          <w:highlight w:val="none"/>
        </w:rPr>
      </w:pPr>
      <w:r>
        <w:rPr>
          <w:rFonts w:hint="eastAsia" w:asciiTheme="minorEastAsia" w:hAnsiTheme="minorEastAsia" w:eastAsiaTheme="minorEastAsia" w:cstheme="minorEastAsia"/>
          <w:sz w:val="24"/>
          <w:highlight w:val="none"/>
        </w:rPr>
        <w:t>所有的焊接工作，必须严格执行焊接规程规范和有关工艺规程，焊缝无气孔、裂纹、弧坑、夹渣等缺陷。</w:t>
      </w:r>
    </w:p>
    <w:p>
      <w:pPr>
        <w:spacing w:line="360" w:lineRule="auto"/>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4.11 受热面改造其他要求</w:t>
      </w:r>
    </w:p>
    <w:p>
      <w:pPr>
        <w:pStyle w:val="76"/>
        <w:numPr>
          <w:ilvl w:val="0"/>
          <w:numId w:val="19"/>
        </w:numPr>
        <w:spacing w:line="360" w:lineRule="auto"/>
        <w:contextualSpacing w:val="0"/>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本次受热面改造项目施工原则上要求严格按照审批后的施工方案等进行。如在施工过程中发现施工规程、作业指导书或与设备厂家提供的安装图纸手册与实际有矛盾而无法执行时，应经招标方设备管理部签署修改意见后方能继续实施施工。并要求投标方将修改意见记录保存。</w:t>
      </w:r>
    </w:p>
    <w:p>
      <w:pPr>
        <w:pStyle w:val="76"/>
        <w:numPr>
          <w:ilvl w:val="0"/>
          <w:numId w:val="19"/>
        </w:numPr>
        <w:spacing w:line="360" w:lineRule="auto"/>
        <w:contextualSpacing w:val="0"/>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如果投标方施工过程中由于投标方原因而无法完成的项目，招标方有权将未完项目另行处理，所产生的费用将从投标方费用中扣除。</w:t>
      </w:r>
    </w:p>
    <w:p>
      <w:pPr>
        <w:pStyle w:val="76"/>
        <w:numPr>
          <w:ilvl w:val="0"/>
          <w:numId w:val="19"/>
        </w:numPr>
        <w:spacing w:line="360" w:lineRule="auto"/>
        <w:contextualSpacing w:val="0"/>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如果投标方涉及到的设备界面划分不明确的，由招标方另行界定，投标方应接受招标方要求。</w:t>
      </w:r>
    </w:p>
    <w:p>
      <w:pPr>
        <w:pStyle w:val="76"/>
        <w:numPr>
          <w:ilvl w:val="0"/>
          <w:numId w:val="19"/>
        </w:numPr>
        <w:spacing w:line="360" w:lineRule="auto"/>
        <w:contextualSpacing w:val="0"/>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施工过程中，凡属招标方要求的可利旧物资，需按照招标方要求进行利旧恢复。如炉顶大罩切割墙板、末再穿顶棚支撑板等，如因投标方施工、管理等原因造成利旧物资的损坏与丢失，均由投标方无偿负责提供。</w:t>
      </w:r>
    </w:p>
    <w:p>
      <w:pPr>
        <w:pStyle w:val="76"/>
        <w:numPr>
          <w:ilvl w:val="0"/>
          <w:numId w:val="19"/>
        </w:numPr>
        <w:spacing w:line="360" w:lineRule="auto"/>
        <w:contextualSpacing w:val="0"/>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施工过程中，凡属运送至现场的改造涉及物资，因投标方施工、管理等原因造成物资的损坏与丢失，均由投标方无偿负责提供。</w:t>
      </w:r>
    </w:p>
    <w:p>
      <w:pPr>
        <w:pStyle w:val="76"/>
        <w:numPr>
          <w:ilvl w:val="0"/>
          <w:numId w:val="19"/>
        </w:numPr>
        <w:spacing w:line="360" w:lineRule="auto"/>
        <w:contextualSpacing w:val="0"/>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投标方负责在管排拆卸前的数据（如标高位置、原固定位置等）、更换及安装校验后数据的记录，应完整、可靠，具有可追溯性，且有招标方技术人员签字认可。</w:t>
      </w:r>
    </w:p>
    <w:p>
      <w:pPr>
        <w:pStyle w:val="76"/>
        <w:numPr>
          <w:ilvl w:val="0"/>
          <w:numId w:val="19"/>
        </w:numPr>
        <w:spacing w:line="360" w:lineRule="auto"/>
        <w:contextualSpacing w:val="0"/>
        <w:rPr>
          <w:rFonts w:hint="eastAsia" w:ascii="宋体" w:hAnsi="宋体" w:cs="宋体"/>
          <w:bCs/>
          <w:sz w:val="24"/>
          <w:highlight w:val="none"/>
        </w:rPr>
      </w:pPr>
      <w:r>
        <w:rPr>
          <w:rFonts w:hint="eastAsia" w:asciiTheme="minorEastAsia" w:hAnsiTheme="minorEastAsia" w:eastAsiaTheme="minorEastAsia" w:cstheme="minorEastAsia"/>
          <w:bCs/>
          <w:sz w:val="24"/>
          <w:highlight w:val="none"/>
        </w:rPr>
        <w:t>投标方负责本次改造项目的相关报检工作。</w:t>
      </w:r>
    </w:p>
    <w:p>
      <w:pPr>
        <w:spacing w:line="360" w:lineRule="auto"/>
        <w:rPr>
          <w:rFonts w:hint="eastAsia" w:ascii="宋体" w:hAnsi="宋体" w:cs="宋体"/>
          <w:sz w:val="24"/>
          <w:highlight w:val="none"/>
        </w:rPr>
      </w:pPr>
    </w:p>
    <w:p>
      <w:pPr>
        <w:spacing w:line="360" w:lineRule="auto"/>
        <w:outlineLvl w:val="0"/>
        <w:rPr>
          <w:rFonts w:hint="eastAsia" w:ascii="宋体" w:hAnsi="宋体" w:cs="宋体"/>
          <w:b/>
          <w:sz w:val="24"/>
          <w:highlight w:val="none"/>
        </w:rPr>
      </w:pPr>
      <w:bookmarkStart w:id="9" w:name="_Toc14580"/>
      <w:bookmarkStart w:id="10" w:name="_Toc4763"/>
      <w:r>
        <w:rPr>
          <w:rFonts w:hint="eastAsia" w:asciiTheme="minorEastAsia" w:hAnsiTheme="minorEastAsia" w:eastAsiaTheme="minorEastAsia" w:cstheme="minorEastAsia"/>
          <w:b/>
          <w:sz w:val="24"/>
          <w:highlight w:val="none"/>
        </w:rPr>
        <w:t>5. 双方的权利和义务</w:t>
      </w:r>
      <w:bookmarkEnd w:id="9"/>
      <w:bookmarkEnd w:id="10"/>
    </w:p>
    <w:p>
      <w:p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5.1 招标方的权利和义务</w:t>
      </w:r>
    </w:p>
    <w:p>
      <w:p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5.1.1为了本项目工作的顺利进行，招标方应积极做好配合工作，及时为投标方提供相关的图纸及技术资料，并有专责人员负责该项目。</w:t>
      </w:r>
    </w:p>
    <w:p>
      <w:p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5.1.2招标方有进行过程检查、安全监督、质量检验、全面考核的权利。</w:t>
      </w:r>
    </w:p>
    <w:p>
      <w:p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5.1.3招标方对投标方的施工、技术方案等有审查批准权。</w:t>
      </w:r>
    </w:p>
    <w:p>
      <w:p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5.1.4招标方应及时纠正投标方在施工过程中发生的不安全和违反安全规程有关规定的行为，对投标方的违章作业有停工、处罚权。</w:t>
      </w:r>
    </w:p>
    <w:p>
      <w:p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5.1.5招标方应及时掌握投标方施工过程中的各项工作内容，对投标方施工中发生的不符合规程。规范规定的事项应及时纠正，为投标方不按工艺要求施工的有停工、处罚权。</w:t>
      </w:r>
    </w:p>
    <w:p>
      <w:p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5.1.6招标方有权对投标方的施工作业人员进行素质、资质审查，并有关对不符合现场作业的人员进行清退。</w:t>
      </w:r>
    </w:p>
    <w:p>
      <w:p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5.2 投标方的权利和义务</w:t>
      </w:r>
    </w:p>
    <w:p>
      <w:p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5.2.1投标方应根据本标段工程合同及相关法律法规，完成本标段工作。施工过程中严格按照文件包、检修卡、施工方案等相关文件的要求进行，确保工程的质量和工程进度。</w:t>
      </w:r>
    </w:p>
    <w:p>
      <w:p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5.2.2投标方应根据招标方要求提供进度、质量、安全、机械、劳动力等情况的说明。投标方如有重大事项应及时通知招标方。</w:t>
      </w:r>
    </w:p>
    <w:p>
      <w:p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5.2.3投标方必须对施工现场的各个操作和施工方法的适用性、稳定性和安全性全面负责。</w:t>
      </w:r>
    </w:p>
    <w:p>
      <w:pPr>
        <w:spacing w:line="360" w:lineRule="auto"/>
        <w:rPr>
          <w:rFonts w:hint="eastAsia" w:ascii="宋体" w:hAnsi="宋体" w:cs="宋体"/>
          <w:color w:val="000000"/>
          <w:sz w:val="24"/>
          <w:highlight w:val="none"/>
        </w:rPr>
      </w:pPr>
      <w:r>
        <w:rPr>
          <w:rFonts w:hint="eastAsia" w:asciiTheme="minorEastAsia" w:hAnsiTheme="minorEastAsia" w:eastAsiaTheme="minorEastAsia" w:cstheme="minorEastAsia"/>
          <w:sz w:val="24"/>
          <w:highlight w:val="none"/>
        </w:rPr>
        <w:t>5.2.4投标方应认真遵守招标方有关检修、安全、文明生产等管理制度，现场作业人员必须在开始施工前认真学习招标方的相关规定，并经考试合格后方可进入现场施工</w:t>
      </w:r>
      <w:r>
        <w:rPr>
          <w:rFonts w:hint="eastAsia" w:asciiTheme="minorEastAsia" w:hAnsiTheme="minorEastAsia" w:eastAsiaTheme="minorEastAsia" w:cstheme="minorEastAsia"/>
          <w:color w:val="000000" w:themeColor="text1"/>
          <w:sz w:val="24"/>
          <w:highlight w:val="none"/>
          <w14:textFill>
            <w14:solidFill>
              <w14:schemeClr w14:val="tx1"/>
            </w14:solidFill>
          </w14:textFill>
        </w:rPr>
        <w:t>。</w:t>
      </w:r>
    </w:p>
    <w:p>
      <w:pPr>
        <w:spacing w:line="360" w:lineRule="auto"/>
        <w:rPr>
          <w:rFonts w:hint="eastAsia" w:ascii="宋体" w:hAnsi="宋体" w:cs="宋体"/>
          <w:color w:val="000000"/>
          <w:sz w:val="24"/>
          <w:highlight w:val="none"/>
        </w:rPr>
      </w:pPr>
      <w:r>
        <w:rPr>
          <w:rFonts w:hint="eastAsia" w:asciiTheme="minorEastAsia" w:hAnsiTheme="minorEastAsia" w:eastAsiaTheme="minorEastAsia" w:cstheme="minorEastAsia"/>
          <w:color w:val="000000" w:themeColor="text1"/>
          <w:sz w:val="24"/>
          <w:highlight w:val="none"/>
          <w14:textFill>
            <w14:solidFill>
              <w14:schemeClr w14:val="tx1"/>
            </w14:solidFill>
          </w14:textFill>
        </w:rPr>
        <w:t>5.2.5检修现场应符合招标方文明生产要求，同时做好现场文明施工。</w:t>
      </w:r>
    </w:p>
    <w:p>
      <w:pPr>
        <w:spacing w:line="360" w:lineRule="auto"/>
        <w:rPr>
          <w:rFonts w:hint="eastAsia" w:ascii="宋体" w:hAnsi="宋体" w:cs="宋体"/>
          <w:color w:val="000000"/>
          <w:sz w:val="24"/>
          <w:highlight w:val="none"/>
        </w:rPr>
      </w:pPr>
      <w:r>
        <w:rPr>
          <w:rFonts w:hint="eastAsia" w:asciiTheme="minorEastAsia" w:hAnsiTheme="minorEastAsia" w:eastAsiaTheme="minorEastAsia" w:cstheme="minorEastAsia"/>
          <w:color w:val="000000" w:themeColor="text1"/>
          <w:sz w:val="24"/>
          <w:highlight w:val="none"/>
          <w14:textFill>
            <w14:solidFill>
              <w14:schemeClr w14:val="tx1"/>
            </w14:solidFill>
          </w14:textFill>
        </w:rPr>
        <w:t>5.2.6检修工程中，投标方应自觉接受招标方过程控制的管理，按要求提供各种签证，记录等。</w:t>
      </w:r>
    </w:p>
    <w:p>
      <w:pPr>
        <w:spacing w:line="360" w:lineRule="auto"/>
        <w:rPr>
          <w:rFonts w:hint="eastAsia" w:ascii="宋体" w:hAnsi="宋体" w:cs="宋体"/>
          <w:color w:val="000000"/>
          <w:sz w:val="24"/>
          <w:highlight w:val="none"/>
        </w:rPr>
      </w:pPr>
      <w:r>
        <w:rPr>
          <w:rFonts w:hint="eastAsia" w:asciiTheme="minorEastAsia" w:hAnsiTheme="minorEastAsia" w:eastAsiaTheme="minorEastAsia" w:cstheme="minorEastAsia"/>
          <w:color w:val="000000" w:themeColor="text1"/>
          <w:sz w:val="24"/>
          <w:highlight w:val="none"/>
          <w14:textFill>
            <w14:solidFill>
              <w14:schemeClr w14:val="tx1"/>
            </w14:solidFill>
          </w14:textFill>
        </w:rPr>
        <w:t>5.2.7未经招标方同意，投标方不得进行分包。</w:t>
      </w:r>
    </w:p>
    <w:p>
      <w:pPr>
        <w:spacing w:line="360" w:lineRule="auto"/>
        <w:outlineLvl w:val="0"/>
        <w:rPr>
          <w:rFonts w:hint="eastAsia" w:ascii="宋体" w:hAnsi="宋体" w:cs="宋体"/>
          <w:b/>
          <w:sz w:val="24"/>
          <w:highlight w:val="none"/>
        </w:rPr>
      </w:pPr>
      <w:bookmarkStart w:id="11" w:name="_Toc25411"/>
      <w:bookmarkStart w:id="12" w:name="_Toc29283"/>
      <w:r>
        <w:rPr>
          <w:rFonts w:hint="eastAsia" w:asciiTheme="minorEastAsia" w:hAnsiTheme="minorEastAsia" w:eastAsiaTheme="minorEastAsia" w:cstheme="minorEastAsia"/>
          <w:b/>
          <w:sz w:val="24"/>
          <w:highlight w:val="none"/>
        </w:rPr>
        <w:t>6. 质量保证和试验</w:t>
      </w:r>
      <w:bookmarkEnd w:id="11"/>
      <w:bookmarkEnd w:id="12"/>
    </w:p>
    <w:p>
      <w:pPr>
        <w:pBdr>
          <w:top w:val="none" w:color="000000" w:sz="0" w:space="0"/>
          <w:left w:val="none" w:color="000000" w:sz="0" w:space="0"/>
          <w:bottom w:val="none" w:color="000000" w:sz="0" w:space="0"/>
          <w:right w:val="none" w:color="000000" w:sz="0" w:space="0"/>
        </w:pBdr>
        <w:spacing w:after="100" w:afterAutospacing="1" w:line="120" w:lineRule="atLeast"/>
        <w:ind w:firstLine="482"/>
        <w:rPr>
          <w:rFonts w:hint="eastAsia" w:asciiTheme="minorEastAsia" w:hAnsiTheme="minorEastAsia" w:eastAsiaTheme="minorEastAsia" w:cstheme="minorEastAsia"/>
          <w:color w:val="000000"/>
          <w:sz w:val="24"/>
          <w:highlight w:val="none"/>
        </w:rPr>
      </w:pPr>
      <w:r>
        <w:rPr>
          <w:rFonts w:hint="eastAsia" w:asciiTheme="minorEastAsia" w:hAnsiTheme="minorEastAsia" w:eastAsiaTheme="minorEastAsia" w:cstheme="minorEastAsia"/>
          <w:color w:val="000000"/>
          <w:sz w:val="24"/>
          <w:highlight w:val="none"/>
        </w:rPr>
        <w:t>6.1质量目标</w:t>
      </w:r>
    </w:p>
    <w:p>
      <w:pPr>
        <w:pStyle w:val="14"/>
        <w:numPr>
          <w:ilvl w:val="0"/>
          <w:numId w:val="20"/>
        </w:numPr>
        <w:spacing w:line="360" w:lineRule="auto"/>
        <w:ind w:left="0" w:firstLine="480"/>
        <w:rPr>
          <w:rFonts w:hint="eastAsia" w:ascii="宋体" w:hAnsi="宋体" w:cs="宋体"/>
          <w:sz w:val="24"/>
          <w:szCs w:val="24"/>
          <w:highlight w:val="none"/>
        </w:rPr>
      </w:pPr>
      <w:r>
        <w:rPr>
          <w:rFonts w:hint="eastAsia" w:asciiTheme="minorEastAsia" w:hAnsiTheme="minorEastAsia" w:eastAsiaTheme="minorEastAsia" w:cstheme="minorEastAsia"/>
          <w:sz w:val="24"/>
          <w:szCs w:val="24"/>
          <w:highlight w:val="none"/>
        </w:rPr>
        <w:t>所有承压部件焊口，无损检测一次合格率须达到98%以上。</w:t>
      </w:r>
    </w:p>
    <w:p>
      <w:pPr>
        <w:pStyle w:val="14"/>
        <w:numPr>
          <w:ilvl w:val="0"/>
          <w:numId w:val="20"/>
        </w:numPr>
        <w:spacing w:line="360" w:lineRule="auto"/>
        <w:ind w:left="0" w:firstLine="480"/>
        <w:rPr>
          <w:rFonts w:hint="eastAsia" w:ascii="宋体" w:hAnsi="宋体" w:cs="宋体"/>
          <w:sz w:val="24"/>
          <w:szCs w:val="24"/>
          <w:highlight w:val="none"/>
        </w:rPr>
      </w:pPr>
      <w:r>
        <w:rPr>
          <w:rFonts w:hint="eastAsia" w:asciiTheme="minorEastAsia" w:hAnsiTheme="minorEastAsia" w:eastAsiaTheme="minorEastAsia" w:cstheme="minorEastAsia"/>
          <w:sz w:val="24"/>
          <w:szCs w:val="24"/>
          <w:highlight w:val="none"/>
        </w:rPr>
        <w:t>机组启动后锅炉无超温异常。</w:t>
      </w:r>
    </w:p>
    <w:p>
      <w:pPr>
        <w:pStyle w:val="14"/>
        <w:numPr>
          <w:ilvl w:val="0"/>
          <w:numId w:val="20"/>
        </w:numPr>
        <w:spacing w:line="360" w:lineRule="auto"/>
        <w:ind w:left="0" w:firstLine="480"/>
        <w:rPr>
          <w:rFonts w:hint="eastAsia" w:ascii="宋体" w:hAnsi="宋体" w:cs="宋体"/>
          <w:sz w:val="24"/>
          <w:szCs w:val="24"/>
          <w:highlight w:val="none"/>
        </w:rPr>
      </w:pPr>
      <w:r>
        <w:rPr>
          <w:rFonts w:hint="eastAsia" w:asciiTheme="minorEastAsia" w:hAnsiTheme="minorEastAsia" w:eastAsiaTheme="minorEastAsia" w:cstheme="minorEastAsia"/>
          <w:sz w:val="24"/>
          <w:szCs w:val="24"/>
          <w:highlight w:val="none"/>
        </w:rPr>
        <w:t>施工修复的位置在运行不存在明显漏灰现象。</w:t>
      </w:r>
    </w:p>
    <w:p>
      <w:pPr>
        <w:pBdr>
          <w:top w:val="none" w:color="000000" w:sz="0" w:space="0"/>
          <w:left w:val="none" w:color="000000" w:sz="0" w:space="0"/>
          <w:bottom w:val="none" w:color="000000" w:sz="0" w:space="0"/>
          <w:right w:val="none" w:color="000000" w:sz="0" w:space="0"/>
        </w:pBdr>
        <w:spacing w:line="360" w:lineRule="auto"/>
        <w:ind w:firstLine="480"/>
        <w:rPr>
          <w:highlight w:val="none"/>
        </w:rPr>
      </w:pPr>
      <w:r>
        <w:rPr>
          <w:rFonts w:hint="eastAsia" w:asciiTheme="minorEastAsia" w:hAnsiTheme="minorEastAsia" w:eastAsiaTheme="minorEastAsia" w:cstheme="minorEastAsia"/>
          <w:color w:val="000000"/>
          <w:sz w:val="24"/>
          <w:highlight w:val="none"/>
        </w:rPr>
        <w:t>6.2</w:t>
      </w:r>
      <w:r>
        <w:rPr>
          <w:rFonts w:asciiTheme="minorEastAsia" w:hAnsiTheme="minorEastAsia" w:eastAsiaTheme="minorEastAsia" w:cstheme="minorEastAsia"/>
          <w:color w:val="000000"/>
          <w:sz w:val="24"/>
          <w:highlight w:val="none"/>
        </w:rPr>
        <w:t>项目内每项检修工作的质量验收及试验标准要求详见检修文件包、检修卡、检修方案等技术文件。投标方须严格按照标准进行检修及试验工作。</w:t>
      </w:r>
    </w:p>
    <w:p>
      <w:pPr>
        <w:spacing w:line="360" w:lineRule="auto"/>
        <w:ind w:firstLine="484"/>
        <w:rPr>
          <w:sz w:val="24"/>
          <w:highlight w:val="none"/>
        </w:rPr>
      </w:pPr>
      <w:r>
        <w:rPr>
          <w:rFonts w:hint="eastAsia" w:asciiTheme="minorEastAsia" w:hAnsiTheme="minorEastAsia" w:eastAsiaTheme="minorEastAsia" w:cstheme="minorEastAsia"/>
          <w:sz w:val="24"/>
          <w:highlight w:val="none"/>
        </w:rPr>
        <w:t>6.3项目内每个脚手架的安全质量应符合国家以及电力行业相关技术规范要求，如出现任何问题，由投标方负责免费修复或重新搭设。</w:t>
      </w:r>
    </w:p>
    <w:p>
      <w:pPr>
        <w:spacing w:line="360" w:lineRule="auto"/>
        <w:ind w:firstLine="484"/>
        <w:rPr>
          <w:sz w:val="24"/>
          <w:highlight w:val="none"/>
        </w:rPr>
      </w:pPr>
      <w:r>
        <w:rPr>
          <w:rFonts w:hint="eastAsia" w:asciiTheme="minorEastAsia" w:hAnsiTheme="minorEastAsia" w:eastAsiaTheme="minorEastAsia" w:cstheme="minorEastAsia"/>
          <w:sz w:val="24"/>
          <w:highlight w:val="none"/>
        </w:rPr>
        <w:t>6.4项目内每个保温的安全质量应符合国家以及电力行业相关技术规范要求，如出现任何问题，由投标方负责免费修复。</w:t>
      </w:r>
    </w:p>
    <w:p>
      <w:pPr>
        <w:spacing w:line="360" w:lineRule="auto"/>
        <w:ind w:firstLine="484"/>
        <w:rPr>
          <w:sz w:val="24"/>
          <w:highlight w:val="none"/>
        </w:rPr>
      </w:pPr>
      <w:r>
        <w:rPr>
          <w:rFonts w:hint="eastAsia" w:asciiTheme="minorEastAsia" w:hAnsiTheme="minorEastAsia" w:eastAsiaTheme="minorEastAsia" w:cstheme="minorEastAsia"/>
          <w:sz w:val="24"/>
          <w:highlight w:val="none"/>
        </w:rPr>
        <w:t>脚手架验收标准：</w:t>
      </w:r>
    </w:p>
    <w:tbl>
      <w:tblPr>
        <w:tblStyle w:val="37"/>
        <w:tblW w:w="85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6"/>
        <w:gridCol w:w="929"/>
        <w:gridCol w:w="1117"/>
        <w:gridCol w:w="616"/>
        <w:gridCol w:w="5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1" w:hRule="atLeast"/>
          <w:jc w:val="center"/>
        </w:trPr>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序号</w:t>
            </w:r>
          </w:p>
        </w:tc>
        <w:tc>
          <w:tcPr>
            <w:tcW w:w="2046" w:type="dxa"/>
            <w:gridSpan w:val="2"/>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检验项目</w:t>
            </w:r>
          </w:p>
        </w:tc>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单位</w:t>
            </w:r>
          </w:p>
        </w:tc>
        <w:tc>
          <w:tcPr>
            <w:tcW w:w="5250"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质量标准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1</w:t>
            </w:r>
          </w:p>
        </w:tc>
        <w:tc>
          <w:tcPr>
            <w:tcW w:w="2046" w:type="dxa"/>
            <w:gridSpan w:val="2"/>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钢管</w:t>
            </w:r>
          </w:p>
        </w:tc>
        <w:tc>
          <w:tcPr>
            <w:tcW w:w="616" w:type="dxa"/>
            <w:vAlign w:val="center"/>
          </w:tcPr>
          <w:p>
            <w:pPr>
              <w:tabs>
                <w:tab w:val="left" w:pos="284"/>
                <w:tab w:val="right" w:leader="dot" w:pos="7655"/>
              </w:tabs>
              <w:spacing w:line="360" w:lineRule="auto"/>
              <w:jc w:val="center"/>
              <w:rPr>
                <w:rFonts w:hint="eastAsia" w:ascii="宋体" w:hAnsi="宋体"/>
                <w:sz w:val="24"/>
                <w:highlight w:val="none"/>
              </w:rPr>
            </w:pPr>
          </w:p>
        </w:tc>
        <w:tc>
          <w:tcPr>
            <w:tcW w:w="5250" w:type="dxa"/>
            <w:vAlign w:val="center"/>
          </w:tcPr>
          <w:p>
            <w:pPr>
              <w:tabs>
                <w:tab w:val="left" w:pos="284"/>
                <w:tab w:val="right" w:leader="dot" w:pos="7655"/>
              </w:tabs>
              <w:jc w:val="center"/>
              <w:rPr>
                <w:rFonts w:hint="eastAsia" w:ascii="宋体" w:hAnsi="宋体"/>
                <w:sz w:val="24"/>
                <w:highlight w:val="none"/>
              </w:rPr>
            </w:pPr>
            <w:r>
              <w:rPr>
                <w:rFonts w:hint="eastAsia" w:ascii="宋体" w:hAnsi="宋体"/>
                <w:sz w:val="24"/>
                <w:highlight w:val="none"/>
              </w:rPr>
              <w:t>符合《电建安规》火力发电厂部分第9.2.1条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2</w:t>
            </w:r>
          </w:p>
        </w:tc>
        <w:tc>
          <w:tcPr>
            <w:tcW w:w="2046" w:type="dxa"/>
            <w:gridSpan w:val="2"/>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扣件</w:t>
            </w:r>
          </w:p>
        </w:tc>
        <w:tc>
          <w:tcPr>
            <w:tcW w:w="616" w:type="dxa"/>
            <w:vAlign w:val="center"/>
          </w:tcPr>
          <w:p>
            <w:pPr>
              <w:tabs>
                <w:tab w:val="left" w:pos="284"/>
                <w:tab w:val="right" w:leader="dot" w:pos="7655"/>
              </w:tabs>
              <w:spacing w:line="360" w:lineRule="auto"/>
              <w:jc w:val="center"/>
              <w:rPr>
                <w:rFonts w:hint="eastAsia" w:ascii="宋体" w:hAnsi="宋体"/>
                <w:sz w:val="24"/>
                <w:highlight w:val="none"/>
              </w:rPr>
            </w:pPr>
          </w:p>
        </w:tc>
        <w:tc>
          <w:tcPr>
            <w:tcW w:w="5250"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有出厂合格证，无脆裂、变形、滑丝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3</w:t>
            </w:r>
          </w:p>
        </w:tc>
        <w:tc>
          <w:tcPr>
            <w:tcW w:w="2046" w:type="dxa"/>
            <w:gridSpan w:val="2"/>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脚手板</w:t>
            </w:r>
          </w:p>
        </w:tc>
        <w:tc>
          <w:tcPr>
            <w:tcW w:w="616" w:type="dxa"/>
            <w:vAlign w:val="center"/>
          </w:tcPr>
          <w:p>
            <w:pPr>
              <w:tabs>
                <w:tab w:val="left" w:pos="284"/>
                <w:tab w:val="right" w:leader="dot" w:pos="7655"/>
              </w:tabs>
              <w:spacing w:line="360" w:lineRule="auto"/>
              <w:jc w:val="center"/>
              <w:rPr>
                <w:rFonts w:hint="eastAsia" w:ascii="宋体" w:hAnsi="宋体"/>
                <w:sz w:val="24"/>
                <w:highlight w:val="none"/>
              </w:rPr>
            </w:pPr>
          </w:p>
        </w:tc>
        <w:tc>
          <w:tcPr>
            <w:tcW w:w="5250" w:type="dxa"/>
            <w:vAlign w:val="center"/>
          </w:tcPr>
          <w:p>
            <w:pPr>
              <w:tabs>
                <w:tab w:val="left" w:pos="284"/>
                <w:tab w:val="right" w:leader="dot" w:pos="7655"/>
              </w:tabs>
              <w:jc w:val="center"/>
              <w:rPr>
                <w:rFonts w:hint="eastAsia" w:ascii="宋体" w:hAnsi="宋体"/>
                <w:sz w:val="24"/>
                <w:highlight w:val="none"/>
              </w:rPr>
            </w:pPr>
            <w:r>
              <w:rPr>
                <w:rFonts w:hint="eastAsia" w:ascii="宋体" w:hAnsi="宋体"/>
                <w:sz w:val="24"/>
                <w:highlight w:val="none"/>
              </w:rPr>
              <w:t>符合《电建安规》火力发电厂部分第9.2.1条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4</w:t>
            </w:r>
          </w:p>
        </w:tc>
        <w:tc>
          <w:tcPr>
            <w:tcW w:w="2046" w:type="dxa"/>
            <w:gridSpan w:val="2"/>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立杆基础</w:t>
            </w:r>
          </w:p>
        </w:tc>
        <w:tc>
          <w:tcPr>
            <w:tcW w:w="616" w:type="dxa"/>
            <w:vAlign w:val="center"/>
          </w:tcPr>
          <w:p>
            <w:pPr>
              <w:tabs>
                <w:tab w:val="left" w:pos="284"/>
                <w:tab w:val="right" w:leader="dot" w:pos="7655"/>
              </w:tabs>
              <w:spacing w:line="360" w:lineRule="auto"/>
              <w:jc w:val="center"/>
              <w:rPr>
                <w:rFonts w:hint="eastAsia" w:ascii="宋体" w:hAnsi="宋体"/>
                <w:sz w:val="24"/>
                <w:highlight w:val="none"/>
              </w:rPr>
            </w:pPr>
          </w:p>
        </w:tc>
        <w:tc>
          <w:tcPr>
            <w:tcW w:w="5250" w:type="dxa"/>
            <w:vAlign w:val="center"/>
          </w:tcPr>
          <w:p>
            <w:pPr>
              <w:tabs>
                <w:tab w:val="left" w:pos="284"/>
                <w:tab w:val="right" w:leader="dot" w:pos="7655"/>
              </w:tabs>
              <w:jc w:val="center"/>
              <w:rPr>
                <w:rFonts w:hint="eastAsia" w:ascii="宋体" w:hAnsi="宋体"/>
                <w:sz w:val="24"/>
                <w:highlight w:val="none"/>
              </w:rPr>
            </w:pPr>
            <w:r>
              <w:rPr>
                <w:rFonts w:hint="eastAsia" w:ascii="宋体" w:hAnsi="宋体"/>
                <w:sz w:val="24"/>
                <w:highlight w:val="none"/>
              </w:rPr>
              <w:t>符合《电建安规》火力发电厂部分第9.1.5条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1" w:hRule="atLeast"/>
          <w:jc w:val="center"/>
        </w:trPr>
        <w:tc>
          <w:tcPr>
            <w:tcW w:w="616" w:type="dxa"/>
            <w:vMerge w:val="restart"/>
            <w:vAlign w:val="center"/>
          </w:tcPr>
          <w:p>
            <w:pPr>
              <w:tabs>
                <w:tab w:val="left" w:pos="284"/>
                <w:tab w:val="right" w:leader="dot" w:pos="7655"/>
              </w:tabs>
              <w:spacing w:line="360" w:lineRule="auto"/>
              <w:jc w:val="center"/>
              <w:rPr>
                <w:rFonts w:hint="eastAsia" w:ascii="宋体" w:hAnsi="宋体"/>
                <w:sz w:val="24"/>
                <w:highlight w:val="none"/>
              </w:rPr>
            </w:pPr>
          </w:p>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5</w:t>
            </w:r>
          </w:p>
        </w:tc>
        <w:tc>
          <w:tcPr>
            <w:tcW w:w="929" w:type="dxa"/>
            <w:vMerge w:val="restart"/>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立杆</w:t>
            </w:r>
          </w:p>
        </w:tc>
        <w:tc>
          <w:tcPr>
            <w:tcW w:w="1117"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间距</w:t>
            </w:r>
          </w:p>
        </w:tc>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m</w:t>
            </w:r>
          </w:p>
        </w:tc>
        <w:tc>
          <w:tcPr>
            <w:tcW w:w="5250"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5" w:hRule="atLeast"/>
          <w:jc w:val="center"/>
        </w:trPr>
        <w:tc>
          <w:tcPr>
            <w:tcW w:w="616" w:type="dxa"/>
            <w:vMerge w:val="continue"/>
            <w:vAlign w:val="center"/>
          </w:tcPr>
          <w:p>
            <w:pPr>
              <w:tabs>
                <w:tab w:val="left" w:pos="284"/>
                <w:tab w:val="right" w:leader="dot" w:pos="7655"/>
              </w:tabs>
              <w:spacing w:line="360" w:lineRule="auto"/>
              <w:jc w:val="center"/>
              <w:rPr>
                <w:rFonts w:hint="eastAsia" w:ascii="宋体" w:hAnsi="宋体"/>
                <w:sz w:val="24"/>
                <w:highlight w:val="none"/>
              </w:rPr>
            </w:pPr>
          </w:p>
        </w:tc>
        <w:tc>
          <w:tcPr>
            <w:tcW w:w="929" w:type="dxa"/>
            <w:vMerge w:val="continue"/>
            <w:vAlign w:val="center"/>
          </w:tcPr>
          <w:p>
            <w:pPr>
              <w:tabs>
                <w:tab w:val="left" w:pos="284"/>
                <w:tab w:val="right" w:leader="dot" w:pos="7655"/>
              </w:tabs>
              <w:spacing w:line="360" w:lineRule="auto"/>
              <w:jc w:val="center"/>
              <w:rPr>
                <w:rFonts w:hint="eastAsia" w:ascii="宋体" w:hAnsi="宋体"/>
                <w:sz w:val="24"/>
                <w:highlight w:val="none"/>
              </w:rPr>
            </w:pPr>
          </w:p>
        </w:tc>
        <w:tc>
          <w:tcPr>
            <w:tcW w:w="1117"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垂直度</w:t>
            </w:r>
          </w:p>
        </w:tc>
        <w:tc>
          <w:tcPr>
            <w:tcW w:w="616" w:type="dxa"/>
            <w:vAlign w:val="center"/>
          </w:tcPr>
          <w:p>
            <w:pPr>
              <w:tabs>
                <w:tab w:val="left" w:pos="284"/>
                <w:tab w:val="right" w:leader="dot" w:pos="7655"/>
              </w:tabs>
              <w:spacing w:line="360" w:lineRule="auto"/>
              <w:jc w:val="center"/>
              <w:rPr>
                <w:rFonts w:hint="eastAsia" w:ascii="宋体" w:hAnsi="宋体"/>
                <w:sz w:val="24"/>
                <w:highlight w:val="none"/>
              </w:rPr>
            </w:pPr>
          </w:p>
        </w:tc>
        <w:tc>
          <w:tcPr>
            <w:tcW w:w="5250"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＜架高的1/200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3" w:hRule="atLeast"/>
          <w:jc w:val="center"/>
        </w:trPr>
        <w:tc>
          <w:tcPr>
            <w:tcW w:w="616" w:type="dxa"/>
            <w:vMerge w:val="restart"/>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6</w:t>
            </w:r>
          </w:p>
        </w:tc>
        <w:tc>
          <w:tcPr>
            <w:tcW w:w="929" w:type="dxa"/>
            <w:vMerge w:val="restart"/>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大横杆</w:t>
            </w:r>
          </w:p>
        </w:tc>
        <w:tc>
          <w:tcPr>
            <w:tcW w:w="1117"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间距</w:t>
            </w:r>
          </w:p>
        </w:tc>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m</w:t>
            </w:r>
          </w:p>
        </w:tc>
        <w:tc>
          <w:tcPr>
            <w:tcW w:w="5250"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5" w:hRule="atLeast"/>
          <w:jc w:val="center"/>
        </w:trPr>
        <w:tc>
          <w:tcPr>
            <w:tcW w:w="616" w:type="dxa"/>
            <w:vMerge w:val="continue"/>
            <w:vAlign w:val="center"/>
          </w:tcPr>
          <w:p>
            <w:pPr>
              <w:tabs>
                <w:tab w:val="left" w:pos="284"/>
                <w:tab w:val="right" w:leader="dot" w:pos="7655"/>
              </w:tabs>
              <w:spacing w:line="360" w:lineRule="auto"/>
              <w:jc w:val="center"/>
              <w:rPr>
                <w:rFonts w:hint="eastAsia" w:ascii="宋体" w:hAnsi="宋体"/>
                <w:sz w:val="24"/>
                <w:highlight w:val="none"/>
              </w:rPr>
            </w:pPr>
          </w:p>
        </w:tc>
        <w:tc>
          <w:tcPr>
            <w:tcW w:w="929" w:type="dxa"/>
            <w:vMerge w:val="continue"/>
            <w:vAlign w:val="center"/>
          </w:tcPr>
          <w:p>
            <w:pPr>
              <w:tabs>
                <w:tab w:val="left" w:pos="284"/>
                <w:tab w:val="right" w:leader="dot" w:pos="7655"/>
              </w:tabs>
              <w:spacing w:line="360" w:lineRule="auto"/>
              <w:jc w:val="center"/>
              <w:rPr>
                <w:rFonts w:hint="eastAsia" w:ascii="宋体" w:hAnsi="宋体"/>
                <w:sz w:val="24"/>
                <w:highlight w:val="none"/>
              </w:rPr>
            </w:pPr>
          </w:p>
        </w:tc>
        <w:tc>
          <w:tcPr>
            <w:tcW w:w="1117"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纵向水平</w:t>
            </w:r>
          </w:p>
        </w:tc>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m</w:t>
            </w:r>
          </w:p>
        </w:tc>
        <w:tc>
          <w:tcPr>
            <w:tcW w:w="5250"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3" w:hRule="atLeast"/>
          <w:jc w:val="center"/>
        </w:trPr>
        <w:tc>
          <w:tcPr>
            <w:tcW w:w="616" w:type="dxa"/>
            <w:vMerge w:val="restart"/>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7</w:t>
            </w:r>
          </w:p>
        </w:tc>
        <w:tc>
          <w:tcPr>
            <w:tcW w:w="929" w:type="dxa"/>
            <w:vMerge w:val="restart"/>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小横杆</w:t>
            </w:r>
          </w:p>
        </w:tc>
        <w:tc>
          <w:tcPr>
            <w:tcW w:w="1117"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间距</w:t>
            </w:r>
          </w:p>
        </w:tc>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m</w:t>
            </w:r>
          </w:p>
        </w:tc>
        <w:tc>
          <w:tcPr>
            <w:tcW w:w="5250"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616" w:type="dxa"/>
            <w:vMerge w:val="continue"/>
            <w:vAlign w:val="center"/>
          </w:tcPr>
          <w:p>
            <w:pPr>
              <w:tabs>
                <w:tab w:val="left" w:pos="284"/>
                <w:tab w:val="right" w:leader="dot" w:pos="7655"/>
              </w:tabs>
              <w:spacing w:line="360" w:lineRule="auto"/>
              <w:jc w:val="center"/>
              <w:rPr>
                <w:rFonts w:hint="eastAsia" w:ascii="宋体" w:hAnsi="宋体"/>
                <w:sz w:val="24"/>
                <w:highlight w:val="none"/>
              </w:rPr>
            </w:pPr>
          </w:p>
        </w:tc>
        <w:tc>
          <w:tcPr>
            <w:tcW w:w="929" w:type="dxa"/>
            <w:vMerge w:val="continue"/>
            <w:vAlign w:val="center"/>
          </w:tcPr>
          <w:p>
            <w:pPr>
              <w:tabs>
                <w:tab w:val="left" w:pos="284"/>
                <w:tab w:val="right" w:leader="dot" w:pos="7655"/>
              </w:tabs>
              <w:spacing w:line="360" w:lineRule="auto"/>
              <w:jc w:val="center"/>
              <w:rPr>
                <w:rFonts w:hint="eastAsia" w:ascii="宋体" w:hAnsi="宋体"/>
                <w:sz w:val="24"/>
                <w:highlight w:val="none"/>
              </w:rPr>
            </w:pPr>
          </w:p>
        </w:tc>
        <w:tc>
          <w:tcPr>
            <w:tcW w:w="1117"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伸出立杆长度</w:t>
            </w:r>
          </w:p>
        </w:tc>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m</w:t>
            </w:r>
          </w:p>
        </w:tc>
        <w:tc>
          <w:tcPr>
            <w:tcW w:w="5250"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616" w:type="dxa"/>
            <w:vMerge w:val="restart"/>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8</w:t>
            </w:r>
          </w:p>
        </w:tc>
        <w:tc>
          <w:tcPr>
            <w:tcW w:w="929" w:type="dxa"/>
            <w:vMerge w:val="restart"/>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撑杆</w:t>
            </w:r>
          </w:p>
        </w:tc>
        <w:tc>
          <w:tcPr>
            <w:tcW w:w="1117"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斜撑</w:t>
            </w:r>
          </w:p>
        </w:tc>
        <w:tc>
          <w:tcPr>
            <w:tcW w:w="616" w:type="dxa"/>
            <w:vAlign w:val="center"/>
          </w:tcPr>
          <w:p>
            <w:pPr>
              <w:tabs>
                <w:tab w:val="left" w:pos="284"/>
                <w:tab w:val="right" w:leader="dot" w:pos="7655"/>
              </w:tabs>
              <w:spacing w:line="360" w:lineRule="auto"/>
              <w:jc w:val="center"/>
              <w:rPr>
                <w:rFonts w:hint="eastAsia" w:ascii="宋体" w:hAnsi="宋体"/>
                <w:sz w:val="24"/>
                <w:highlight w:val="none"/>
              </w:rPr>
            </w:pPr>
          </w:p>
        </w:tc>
        <w:tc>
          <w:tcPr>
            <w:tcW w:w="5250"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与地面夹角小于60°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616" w:type="dxa"/>
            <w:vMerge w:val="continue"/>
            <w:vAlign w:val="center"/>
          </w:tcPr>
          <w:p>
            <w:pPr>
              <w:tabs>
                <w:tab w:val="left" w:pos="284"/>
                <w:tab w:val="right" w:leader="dot" w:pos="7655"/>
              </w:tabs>
              <w:spacing w:line="360" w:lineRule="auto"/>
              <w:jc w:val="center"/>
              <w:rPr>
                <w:rFonts w:hint="eastAsia" w:ascii="宋体" w:hAnsi="宋体"/>
                <w:sz w:val="24"/>
                <w:highlight w:val="none"/>
              </w:rPr>
            </w:pPr>
          </w:p>
        </w:tc>
        <w:tc>
          <w:tcPr>
            <w:tcW w:w="929" w:type="dxa"/>
            <w:vMerge w:val="continue"/>
            <w:vAlign w:val="center"/>
          </w:tcPr>
          <w:p>
            <w:pPr>
              <w:tabs>
                <w:tab w:val="left" w:pos="284"/>
                <w:tab w:val="right" w:leader="dot" w:pos="7655"/>
              </w:tabs>
              <w:spacing w:line="360" w:lineRule="auto"/>
              <w:jc w:val="center"/>
              <w:rPr>
                <w:rFonts w:hint="eastAsia" w:ascii="宋体" w:hAnsi="宋体"/>
                <w:sz w:val="24"/>
                <w:highlight w:val="none"/>
              </w:rPr>
            </w:pPr>
          </w:p>
        </w:tc>
        <w:tc>
          <w:tcPr>
            <w:tcW w:w="1117"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抛撑</w:t>
            </w:r>
          </w:p>
        </w:tc>
        <w:tc>
          <w:tcPr>
            <w:tcW w:w="616" w:type="dxa"/>
            <w:vAlign w:val="center"/>
          </w:tcPr>
          <w:p>
            <w:pPr>
              <w:tabs>
                <w:tab w:val="left" w:pos="284"/>
                <w:tab w:val="right" w:leader="dot" w:pos="7655"/>
              </w:tabs>
              <w:spacing w:line="360" w:lineRule="auto"/>
              <w:jc w:val="center"/>
              <w:rPr>
                <w:rFonts w:hint="eastAsia" w:ascii="宋体" w:hAnsi="宋体"/>
                <w:sz w:val="24"/>
                <w:highlight w:val="none"/>
              </w:rPr>
            </w:pPr>
          </w:p>
        </w:tc>
        <w:tc>
          <w:tcPr>
            <w:tcW w:w="5250"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与地面夹角小于60°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7" w:hRule="atLeast"/>
          <w:jc w:val="center"/>
        </w:trPr>
        <w:tc>
          <w:tcPr>
            <w:tcW w:w="616" w:type="dxa"/>
            <w:vMerge w:val="continue"/>
            <w:vAlign w:val="center"/>
          </w:tcPr>
          <w:p>
            <w:pPr>
              <w:tabs>
                <w:tab w:val="left" w:pos="284"/>
                <w:tab w:val="right" w:leader="dot" w:pos="7655"/>
              </w:tabs>
              <w:spacing w:line="360" w:lineRule="auto"/>
              <w:jc w:val="center"/>
              <w:rPr>
                <w:rFonts w:hint="eastAsia" w:ascii="宋体" w:hAnsi="宋体"/>
                <w:sz w:val="24"/>
                <w:highlight w:val="none"/>
              </w:rPr>
            </w:pPr>
          </w:p>
        </w:tc>
        <w:tc>
          <w:tcPr>
            <w:tcW w:w="929" w:type="dxa"/>
            <w:vMerge w:val="continue"/>
            <w:vAlign w:val="center"/>
          </w:tcPr>
          <w:p>
            <w:pPr>
              <w:tabs>
                <w:tab w:val="left" w:pos="284"/>
                <w:tab w:val="right" w:leader="dot" w:pos="7655"/>
              </w:tabs>
              <w:spacing w:line="360" w:lineRule="auto"/>
              <w:jc w:val="center"/>
              <w:rPr>
                <w:rFonts w:hint="eastAsia" w:ascii="宋体" w:hAnsi="宋体"/>
                <w:sz w:val="24"/>
                <w:highlight w:val="none"/>
              </w:rPr>
            </w:pPr>
          </w:p>
        </w:tc>
        <w:tc>
          <w:tcPr>
            <w:tcW w:w="1117"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连墙杆</w:t>
            </w:r>
          </w:p>
        </w:tc>
        <w:tc>
          <w:tcPr>
            <w:tcW w:w="616" w:type="dxa"/>
            <w:vAlign w:val="center"/>
          </w:tcPr>
          <w:p>
            <w:pPr>
              <w:tabs>
                <w:tab w:val="left" w:pos="284"/>
                <w:tab w:val="right" w:leader="dot" w:pos="7655"/>
              </w:tabs>
              <w:spacing w:line="360" w:lineRule="auto"/>
              <w:jc w:val="center"/>
              <w:rPr>
                <w:rFonts w:hint="eastAsia" w:ascii="宋体" w:hAnsi="宋体"/>
                <w:sz w:val="24"/>
                <w:highlight w:val="none"/>
              </w:rPr>
            </w:pPr>
          </w:p>
        </w:tc>
        <w:tc>
          <w:tcPr>
            <w:tcW w:w="5250"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足够牢固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4" w:hRule="atLeast"/>
          <w:jc w:val="center"/>
        </w:trPr>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ascii="宋体" w:hAnsi="宋体"/>
                <w:sz w:val="24"/>
                <w:highlight w:val="none"/>
              </w:rPr>
              <w:t>9</w:t>
            </w:r>
          </w:p>
        </w:tc>
        <w:tc>
          <w:tcPr>
            <w:tcW w:w="2046" w:type="dxa"/>
            <w:gridSpan w:val="2"/>
            <w:vAlign w:val="center"/>
          </w:tcPr>
          <w:p>
            <w:pPr>
              <w:tabs>
                <w:tab w:val="left" w:pos="284"/>
                <w:tab w:val="right" w:leader="dot" w:pos="7655"/>
              </w:tabs>
              <w:spacing w:line="360" w:lineRule="auto"/>
              <w:rPr>
                <w:rFonts w:hint="eastAsia" w:ascii="宋体" w:hAnsi="宋体"/>
                <w:color w:val="000000"/>
                <w:sz w:val="24"/>
                <w:highlight w:val="none"/>
              </w:rPr>
            </w:pPr>
            <w:r>
              <w:rPr>
                <w:rFonts w:hint="eastAsia" w:ascii="宋体" w:hAnsi="宋体"/>
                <w:color w:val="000000"/>
                <w:sz w:val="24"/>
                <w:highlight w:val="none"/>
              </w:rPr>
              <w:t>剪刀撑</w:t>
            </w:r>
          </w:p>
        </w:tc>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m</w:t>
            </w:r>
          </w:p>
        </w:tc>
        <w:tc>
          <w:tcPr>
            <w:tcW w:w="5250" w:type="dxa"/>
            <w:vAlign w:val="center"/>
          </w:tcPr>
          <w:p>
            <w:pPr>
              <w:tabs>
                <w:tab w:val="left" w:pos="284"/>
                <w:tab w:val="right" w:leader="dot" w:pos="7655"/>
              </w:tabs>
              <w:rPr>
                <w:rFonts w:hint="eastAsia" w:ascii="宋体" w:hAnsi="宋体"/>
                <w:sz w:val="24"/>
                <w:highlight w:val="none"/>
              </w:rPr>
            </w:pPr>
            <w:r>
              <w:rPr>
                <w:rFonts w:hint="eastAsia" w:ascii="宋体" w:hAnsi="宋体"/>
                <w:sz w:val="24"/>
                <w:highlight w:val="none"/>
              </w:rPr>
              <w:t>每隔12～15m设置一道，与地面夹角45°～60°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ascii="宋体" w:hAnsi="宋体"/>
                <w:sz w:val="24"/>
                <w:highlight w:val="none"/>
              </w:rPr>
              <w:t>10</w:t>
            </w:r>
          </w:p>
        </w:tc>
        <w:tc>
          <w:tcPr>
            <w:tcW w:w="2046" w:type="dxa"/>
            <w:gridSpan w:val="2"/>
            <w:vAlign w:val="center"/>
          </w:tcPr>
          <w:p>
            <w:pPr>
              <w:tabs>
                <w:tab w:val="left" w:pos="284"/>
                <w:tab w:val="right" w:leader="dot" w:pos="7655"/>
              </w:tabs>
              <w:spacing w:line="360" w:lineRule="auto"/>
              <w:rPr>
                <w:rFonts w:hint="eastAsia" w:ascii="宋体" w:hAnsi="宋体"/>
                <w:sz w:val="24"/>
                <w:highlight w:val="none"/>
              </w:rPr>
            </w:pPr>
            <w:r>
              <w:rPr>
                <w:rFonts w:hint="eastAsia" w:ascii="宋体" w:hAnsi="宋体"/>
                <w:sz w:val="24"/>
                <w:highlight w:val="none"/>
              </w:rPr>
              <w:t>连墙杆</w:t>
            </w:r>
          </w:p>
        </w:tc>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m</w:t>
            </w:r>
          </w:p>
        </w:tc>
        <w:tc>
          <w:tcPr>
            <w:tcW w:w="5250" w:type="dxa"/>
            <w:vAlign w:val="center"/>
          </w:tcPr>
          <w:p>
            <w:pPr>
              <w:tabs>
                <w:tab w:val="left" w:pos="284"/>
                <w:tab w:val="right" w:leader="dot" w:pos="7655"/>
              </w:tabs>
              <w:rPr>
                <w:rFonts w:hint="eastAsia" w:ascii="宋体" w:hAnsi="宋体"/>
                <w:sz w:val="24"/>
                <w:highlight w:val="none"/>
              </w:rPr>
            </w:pPr>
            <w:r>
              <w:rPr>
                <w:rFonts w:hint="eastAsia" w:ascii="宋体" w:hAnsi="宋体"/>
                <w:sz w:val="24"/>
                <w:highlight w:val="none"/>
              </w:rPr>
              <w:t>高度每隔4m、水平方向每隔7m设一道连墙杆，与建筑物连接牢固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ascii="宋体" w:hAnsi="宋体"/>
                <w:sz w:val="24"/>
                <w:highlight w:val="none"/>
              </w:rPr>
              <w:t>11</w:t>
            </w:r>
          </w:p>
        </w:tc>
        <w:tc>
          <w:tcPr>
            <w:tcW w:w="2046" w:type="dxa"/>
            <w:gridSpan w:val="2"/>
            <w:vAlign w:val="center"/>
          </w:tcPr>
          <w:p>
            <w:pPr>
              <w:tabs>
                <w:tab w:val="left" w:pos="284"/>
                <w:tab w:val="right" w:leader="dot" w:pos="7655"/>
              </w:tabs>
              <w:spacing w:line="360" w:lineRule="auto"/>
              <w:rPr>
                <w:rFonts w:hint="eastAsia" w:ascii="宋体" w:hAnsi="宋体"/>
                <w:sz w:val="24"/>
                <w:highlight w:val="none"/>
              </w:rPr>
            </w:pPr>
            <w:r>
              <w:rPr>
                <w:rFonts w:hint="eastAsia" w:ascii="宋体" w:hAnsi="宋体"/>
                <w:sz w:val="24"/>
                <w:highlight w:val="none"/>
              </w:rPr>
              <w:t>脚手板铺设</w:t>
            </w:r>
          </w:p>
        </w:tc>
        <w:tc>
          <w:tcPr>
            <w:tcW w:w="616" w:type="dxa"/>
            <w:vAlign w:val="center"/>
          </w:tcPr>
          <w:p>
            <w:pPr>
              <w:tabs>
                <w:tab w:val="left" w:pos="284"/>
                <w:tab w:val="right" w:leader="dot" w:pos="7655"/>
              </w:tabs>
              <w:spacing w:line="360" w:lineRule="auto"/>
              <w:rPr>
                <w:rFonts w:hint="eastAsia" w:ascii="宋体" w:hAnsi="宋体"/>
                <w:sz w:val="24"/>
                <w:highlight w:val="none"/>
              </w:rPr>
            </w:pPr>
          </w:p>
        </w:tc>
        <w:tc>
          <w:tcPr>
            <w:tcW w:w="5250" w:type="dxa"/>
            <w:vAlign w:val="center"/>
          </w:tcPr>
          <w:p>
            <w:pPr>
              <w:tabs>
                <w:tab w:val="left" w:pos="284"/>
                <w:tab w:val="right" w:leader="dot" w:pos="7655"/>
              </w:tabs>
              <w:rPr>
                <w:rFonts w:hint="eastAsia" w:ascii="宋体" w:hAnsi="宋体"/>
                <w:sz w:val="24"/>
                <w:highlight w:val="none"/>
              </w:rPr>
            </w:pPr>
            <w:r>
              <w:rPr>
                <w:rFonts w:hint="eastAsia" w:ascii="宋体" w:hAnsi="宋体"/>
                <w:sz w:val="24"/>
                <w:highlight w:val="none"/>
              </w:rPr>
              <w:t>脚手板满铺、平整绑扎牢固、无探头板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6" w:hRule="atLeast"/>
          <w:jc w:val="center"/>
        </w:trPr>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ascii="宋体" w:hAnsi="宋体"/>
                <w:sz w:val="24"/>
                <w:highlight w:val="none"/>
              </w:rPr>
              <w:t>12</w:t>
            </w:r>
          </w:p>
        </w:tc>
        <w:tc>
          <w:tcPr>
            <w:tcW w:w="2046" w:type="dxa"/>
            <w:gridSpan w:val="2"/>
            <w:vAlign w:val="center"/>
          </w:tcPr>
          <w:p>
            <w:pPr>
              <w:tabs>
                <w:tab w:val="left" w:pos="284"/>
                <w:tab w:val="right" w:leader="dot" w:pos="7655"/>
              </w:tabs>
              <w:spacing w:line="360" w:lineRule="auto"/>
              <w:rPr>
                <w:rFonts w:hint="eastAsia" w:ascii="宋体" w:hAnsi="宋体"/>
                <w:sz w:val="24"/>
                <w:highlight w:val="none"/>
              </w:rPr>
            </w:pPr>
            <w:r>
              <w:rPr>
                <w:rFonts w:hint="eastAsia" w:ascii="宋体" w:hAnsi="宋体"/>
                <w:sz w:val="24"/>
                <w:highlight w:val="none"/>
              </w:rPr>
              <w:t>脚手架荷载</w:t>
            </w:r>
          </w:p>
        </w:tc>
        <w:tc>
          <w:tcPr>
            <w:tcW w:w="616" w:type="dxa"/>
            <w:vAlign w:val="center"/>
          </w:tcPr>
          <w:p>
            <w:pPr>
              <w:tabs>
                <w:tab w:val="left" w:pos="284"/>
                <w:tab w:val="right" w:leader="dot" w:pos="7655"/>
              </w:tabs>
              <w:spacing w:line="360" w:lineRule="auto"/>
              <w:rPr>
                <w:rFonts w:hint="eastAsia" w:ascii="宋体" w:hAnsi="宋体"/>
                <w:sz w:val="24"/>
                <w:highlight w:val="none"/>
              </w:rPr>
            </w:pPr>
          </w:p>
        </w:tc>
        <w:tc>
          <w:tcPr>
            <w:tcW w:w="5250" w:type="dxa"/>
            <w:vAlign w:val="center"/>
          </w:tcPr>
          <w:p>
            <w:pPr>
              <w:tabs>
                <w:tab w:val="left" w:pos="284"/>
                <w:tab w:val="right" w:leader="dot" w:pos="7655"/>
              </w:tabs>
              <w:rPr>
                <w:rFonts w:hint="eastAsia" w:ascii="宋体" w:hAnsi="宋体"/>
                <w:sz w:val="24"/>
                <w:highlight w:val="none"/>
              </w:rPr>
            </w:pPr>
            <w:r>
              <w:rPr>
                <w:rFonts w:hint="eastAsia" w:ascii="宋体" w:hAnsi="宋体"/>
                <w:sz w:val="24"/>
                <w:highlight w:val="none"/>
              </w:rPr>
              <w:t>符合《电建安规》火力发电厂部分第9.1.1条，使用者要求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ascii="宋体" w:hAnsi="宋体"/>
                <w:sz w:val="24"/>
                <w:highlight w:val="none"/>
              </w:rPr>
              <w:t>13</w:t>
            </w:r>
          </w:p>
        </w:tc>
        <w:tc>
          <w:tcPr>
            <w:tcW w:w="2046" w:type="dxa"/>
            <w:gridSpan w:val="2"/>
            <w:vAlign w:val="center"/>
          </w:tcPr>
          <w:p>
            <w:pPr>
              <w:tabs>
                <w:tab w:val="left" w:pos="284"/>
                <w:tab w:val="right" w:leader="dot" w:pos="7655"/>
              </w:tabs>
              <w:spacing w:line="360" w:lineRule="auto"/>
              <w:rPr>
                <w:rFonts w:hint="eastAsia" w:ascii="宋体" w:hAnsi="宋体"/>
                <w:sz w:val="24"/>
                <w:highlight w:val="none"/>
              </w:rPr>
            </w:pPr>
            <w:r>
              <w:rPr>
                <w:rFonts w:hint="eastAsia" w:ascii="宋体" w:hAnsi="宋体"/>
                <w:sz w:val="24"/>
                <w:highlight w:val="none"/>
              </w:rPr>
              <w:t>脚手架外观</w:t>
            </w:r>
          </w:p>
        </w:tc>
        <w:tc>
          <w:tcPr>
            <w:tcW w:w="616" w:type="dxa"/>
            <w:vAlign w:val="center"/>
          </w:tcPr>
          <w:p>
            <w:pPr>
              <w:tabs>
                <w:tab w:val="left" w:pos="284"/>
                <w:tab w:val="right" w:leader="dot" w:pos="7655"/>
              </w:tabs>
              <w:spacing w:line="360" w:lineRule="auto"/>
              <w:rPr>
                <w:rFonts w:hint="eastAsia" w:ascii="宋体" w:hAnsi="宋体"/>
                <w:sz w:val="24"/>
                <w:highlight w:val="none"/>
              </w:rPr>
            </w:pPr>
          </w:p>
        </w:tc>
        <w:tc>
          <w:tcPr>
            <w:tcW w:w="5250" w:type="dxa"/>
            <w:vAlign w:val="center"/>
          </w:tcPr>
          <w:p>
            <w:pPr>
              <w:tabs>
                <w:tab w:val="left" w:pos="284"/>
                <w:tab w:val="right" w:leader="dot" w:pos="7655"/>
              </w:tabs>
              <w:rPr>
                <w:rFonts w:hint="eastAsia" w:ascii="宋体" w:hAnsi="宋体"/>
                <w:sz w:val="24"/>
                <w:highlight w:val="none"/>
              </w:rPr>
            </w:pPr>
            <w:r>
              <w:rPr>
                <w:rFonts w:hint="eastAsia" w:ascii="宋体" w:hAnsi="宋体"/>
                <w:sz w:val="24"/>
                <w:highlight w:val="none"/>
              </w:rPr>
              <w:t>整体搭设美观，铁丝绑扎牢固、稳定，设有护栏、踢脚板爬梯等附件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616" w:type="dxa"/>
            <w:vAlign w:val="center"/>
          </w:tcPr>
          <w:p>
            <w:pPr>
              <w:tabs>
                <w:tab w:val="left" w:pos="284"/>
                <w:tab w:val="right" w:leader="dot" w:pos="7655"/>
              </w:tabs>
              <w:spacing w:line="360" w:lineRule="auto"/>
              <w:jc w:val="center"/>
              <w:rPr>
                <w:rFonts w:hint="eastAsia" w:ascii="宋体" w:hAnsi="宋体"/>
                <w:sz w:val="24"/>
                <w:highlight w:val="none"/>
              </w:rPr>
            </w:pPr>
            <w:r>
              <w:rPr>
                <w:rFonts w:ascii="宋体" w:hAnsi="宋体"/>
                <w:sz w:val="24"/>
                <w:highlight w:val="none"/>
              </w:rPr>
              <w:t>14</w:t>
            </w:r>
          </w:p>
        </w:tc>
        <w:tc>
          <w:tcPr>
            <w:tcW w:w="2046" w:type="dxa"/>
            <w:gridSpan w:val="2"/>
            <w:vAlign w:val="center"/>
          </w:tcPr>
          <w:p>
            <w:pPr>
              <w:tabs>
                <w:tab w:val="left" w:pos="284"/>
                <w:tab w:val="right" w:leader="dot" w:pos="7655"/>
              </w:tabs>
              <w:spacing w:line="360" w:lineRule="auto"/>
              <w:rPr>
                <w:rFonts w:hint="eastAsia" w:ascii="宋体" w:hAnsi="宋体"/>
                <w:sz w:val="24"/>
                <w:highlight w:val="none"/>
              </w:rPr>
            </w:pPr>
            <w:r>
              <w:rPr>
                <w:rFonts w:hint="eastAsia" w:ascii="宋体" w:hAnsi="宋体"/>
                <w:sz w:val="24"/>
                <w:highlight w:val="none"/>
              </w:rPr>
              <w:t>标示牌</w:t>
            </w:r>
          </w:p>
        </w:tc>
        <w:tc>
          <w:tcPr>
            <w:tcW w:w="616" w:type="dxa"/>
            <w:vAlign w:val="center"/>
          </w:tcPr>
          <w:p>
            <w:pPr>
              <w:tabs>
                <w:tab w:val="left" w:pos="284"/>
                <w:tab w:val="right" w:leader="dot" w:pos="7655"/>
              </w:tabs>
              <w:spacing w:line="360" w:lineRule="auto"/>
              <w:rPr>
                <w:rFonts w:hint="eastAsia" w:ascii="宋体" w:hAnsi="宋体"/>
                <w:sz w:val="24"/>
                <w:highlight w:val="none"/>
              </w:rPr>
            </w:pPr>
          </w:p>
        </w:tc>
        <w:tc>
          <w:tcPr>
            <w:tcW w:w="5250" w:type="dxa"/>
            <w:vAlign w:val="center"/>
          </w:tcPr>
          <w:p>
            <w:pPr>
              <w:tabs>
                <w:tab w:val="left" w:pos="284"/>
                <w:tab w:val="right" w:leader="dot" w:pos="7655"/>
              </w:tabs>
              <w:spacing w:line="360" w:lineRule="auto"/>
              <w:rPr>
                <w:rFonts w:hint="eastAsia" w:ascii="宋体" w:hAnsi="宋体"/>
                <w:sz w:val="24"/>
                <w:highlight w:val="none"/>
              </w:rPr>
            </w:pPr>
            <w:r>
              <w:rPr>
                <w:rFonts w:hint="eastAsia" w:ascii="宋体" w:hAnsi="宋体"/>
                <w:sz w:val="24"/>
                <w:highlight w:val="none"/>
              </w:rPr>
              <w:t>完整无缺、绑扎牢固、位置显眼醒目</w:t>
            </w:r>
          </w:p>
        </w:tc>
      </w:tr>
    </w:tbl>
    <w:p>
      <w:pPr>
        <w:spacing w:line="360" w:lineRule="auto"/>
        <w:rPr>
          <w:sz w:val="24"/>
          <w:highlight w:val="none"/>
        </w:rPr>
      </w:pPr>
      <w:r>
        <w:rPr>
          <w:rFonts w:hint="eastAsia" w:asciiTheme="minorEastAsia" w:hAnsiTheme="minorEastAsia" w:eastAsiaTheme="minorEastAsia" w:cstheme="minorEastAsia"/>
          <w:sz w:val="24"/>
          <w:highlight w:val="none"/>
        </w:rPr>
        <w:t>保温验收技术要求：</w:t>
      </w:r>
    </w:p>
    <w:tbl>
      <w:tblPr>
        <w:tblStyle w:val="37"/>
        <w:tblW w:w="85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79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1" w:hRule="atLeast"/>
          <w:jc w:val="center"/>
        </w:trPr>
        <w:tc>
          <w:tcPr>
            <w:tcW w:w="534"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序号</w:t>
            </w:r>
          </w:p>
        </w:tc>
        <w:tc>
          <w:tcPr>
            <w:tcW w:w="7994"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质量标准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34"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1</w:t>
            </w:r>
          </w:p>
        </w:tc>
        <w:tc>
          <w:tcPr>
            <w:tcW w:w="7994" w:type="dxa"/>
            <w:vAlign w:val="center"/>
          </w:tcPr>
          <w:p>
            <w:pPr>
              <w:spacing w:line="360" w:lineRule="auto"/>
              <w:rPr>
                <w:rFonts w:hint="eastAsia" w:asciiTheme="minorEastAsia" w:hAnsiTheme="minorEastAsia"/>
                <w:sz w:val="24"/>
                <w:highlight w:val="none"/>
              </w:rPr>
            </w:pPr>
            <w:r>
              <w:rPr>
                <w:rFonts w:hint="eastAsia" w:asciiTheme="minorEastAsia" w:hAnsiTheme="minorEastAsia"/>
                <w:sz w:val="24"/>
                <w:highlight w:val="none"/>
              </w:rPr>
              <w:t>保温层厚度足够，拼接严密，一层错缝，二层压缝，无空层、孔洞、缝隙、固定牢固。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34"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2</w:t>
            </w:r>
          </w:p>
        </w:tc>
        <w:tc>
          <w:tcPr>
            <w:tcW w:w="7994" w:type="dxa"/>
            <w:vAlign w:val="center"/>
          </w:tcPr>
          <w:p>
            <w:pPr>
              <w:spacing w:line="360" w:lineRule="auto"/>
              <w:rPr>
                <w:rFonts w:hint="eastAsia" w:asciiTheme="minorEastAsia" w:hAnsiTheme="minorEastAsia"/>
                <w:sz w:val="24"/>
                <w:highlight w:val="none"/>
              </w:rPr>
            </w:pPr>
            <w:r>
              <w:rPr>
                <w:rFonts w:hint="eastAsia" w:asciiTheme="minorEastAsia" w:hAnsiTheme="minorEastAsia"/>
                <w:sz w:val="24"/>
                <w:highlight w:val="none"/>
              </w:rPr>
              <w:t>外护板固定牢固，紧贴保温，铆钉或自攻螺钉间距均匀，纵横成线，搭接顺水，表面平整，工艺美，且膨胀自如，无脱口现象。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34"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3</w:t>
            </w:r>
          </w:p>
        </w:tc>
        <w:tc>
          <w:tcPr>
            <w:tcW w:w="7994" w:type="dxa"/>
            <w:vAlign w:val="center"/>
          </w:tcPr>
          <w:p>
            <w:pPr>
              <w:spacing w:line="360" w:lineRule="auto"/>
              <w:rPr>
                <w:rFonts w:hint="eastAsia" w:asciiTheme="minorEastAsia" w:hAnsiTheme="minorEastAsia"/>
                <w:sz w:val="24"/>
                <w:highlight w:val="none"/>
              </w:rPr>
            </w:pPr>
            <w:r>
              <w:rPr>
                <w:rFonts w:hint="eastAsia" w:asciiTheme="minorEastAsia" w:hAnsiTheme="minorEastAsia"/>
                <w:sz w:val="24"/>
                <w:highlight w:val="none"/>
              </w:rPr>
              <w:t>保温效果要求：环境不高于25℃时，设备和管道保温结构外表面温度不应超过50℃；环境温度高于25℃时，保温结构外表面温度可比环境温度高25℃；对于防止烫伤保温，保温结构外表面温度不应超过60℃。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34" w:type="dxa"/>
            <w:vAlign w:val="center"/>
          </w:tcPr>
          <w:p>
            <w:pPr>
              <w:tabs>
                <w:tab w:val="left" w:pos="284"/>
                <w:tab w:val="right" w:leader="dot" w:pos="7655"/>
              </w:tabs>
              <w:spacing w:line="360" w:lineRule="auto"/>
              <w:jc w:val="center"/>
              <w:rPr>
                <w:rFonts w:hint="eastAsia" w:ascii="宋体" w:hAnsi="宋体"/>
                <w:sz w:val="24"/>
                <w:highlight w:val="none"/>
              </w:rPr>
            </w:pPr>
            <w:r>
              <w:rPr>
                <w:rFonts w:hint="eastAsia" w:ascii="宋体" w:hAnsi="宋体"/>
                <w:sz w:val="24"/>
                <w:highlight w:val="none"/>
              </w:rPr>
              <w:t>4</w:t>
            </w:r>
          </w:p>
        </w:tc>
        <w:tc>
          <w:tcPr>
            <w:tcW w:w="7994" w:type="dxa"/>
            <w:vAlign w:val="center"/>
          </w:tcPr>
          <w:p>
            <w:pPr>
              <w:spacing w:line="360" w:lineRule="auto"/>
              <w:rPr>
                <w:rFonts w:hint="eastAsia" w:asciiTheme="minorEastAsia" w:hAnsiTheme="minorEastAsia"/>
                <w:sz w:val="24"/>
                <w:highlight w:val="none"/>
              </w:rPr>
            </w:pPr>
            <w:r>
              <w:rPr>
                <w:rFonts w:hint="eastAsia" w:asciiTheme="minorEastAsia" w:hAnsiTheme="minorEastAsia"/>
                <w:sz w:val="24"/>
                <w:highlight w:val="none"/>
              </w:rPr>
              <w:t>其他上文未提及的技术规范按照《火力发电厂保温油漆设计规程》执行。</w:t>
            </w:r>
          </w:p>
        </w:tc>
      </w:tr>
    </w:tbl>
    <w:p>
      <w:pPr>
        <w:spacing w:line="360" w:lineRule="auto"/>
        <w:rPr>
          <w:rFonts w:hint="eastAsia" w:ascii="宋体" w:hAnsi="宋体"/>
          <w:sz w:val="24"/>
          <w:highlight w:val="none"/>
        </w:rPr>
      </w:pPr>
    </w:p>
    <w:p>
      <w:pPr>
        <w:numPr>
          <w:ilvl w:val="0"/>
          <w:numId w:val="21"/>
        </w:numPr>
        <w:spacing w:line="360" w:lineRule="auto"/>
        <w:outlineLvl w:val="0"/>
        <w:rPr>
          <w:rFonts w:hint="eastAsia" w:hAnsi="宋体"/>
          <w:b/>
          <w:bCs/>
          <w:sz w:val="24"/>
          <w:highlight w:val="none"/>
        </w:rPr>
      </w:pPr>
      <w:bookmarkStart w:id="13" w:name="_Toc8529"/>
      <w:bookmarkStart w:id="14" w:name="_Toc2877"/>
      <w:r>
        <w:rPr>
          <w:rFonts w:hint="eastAsia" w:asciiTheme="minorEastAsia" w:hAnsiTheme="minorEastAsia" w:eastAsiaTheme="minorEastAsia" w:cstheme="minorEastAsia"/>
          <w:b/>
          <w:bCs/>
          <w:sz w:val="24"/>
          <w:highlight w:val="none"/>
          <w:lang w:val="en-US" w:eastAsia="zh-CN"/>
        </w:rPr>
        <w:t xml:space="preserve"> </w:t>
      </w:r>
      <w:r>
        <w:rPr>
          <w:rFonts w:hint="eastAsia" w:asciiTheme="minorEastAsia" w:hAnsiTheme="minorEastAsia" w:eastAsiaTheme="minorEastAsia" w:cstheme="minorEastAsia"/>
          <w:b/>
          <w:bCs/>
          <w:sz w:val="24"/>
          <w:highlight w:val="none"/>
        </w:rPr>
        <w:t>技术资料及交付进度</w:t>
      </w:r>
      <w:bookmarkEnd w:id="13"/>
      <w:bookmarkEnd w:id="14"/>
    </w:p>
    <w:p>
      <w:pPr>
        <w:spacing w:line="360" w:lineRule="auto"/>
        <w:rPr>
          <w:sz w:val="24"/>
          <w:highlight w:val="none"/>
        </w:rPr>
      </w:pPr>
      <w:r>
        <w:rPr>
          <w:rFonts w:hint="eastAsia" w:asciiTheme="minorEastAsia" w:hAnsiTheme="minorEastAsia" w:eastAsiaTheme="minorEastAsia" w:cstheme="minorEastAsia"/>
          <w:sz w:val="24"/>
          <w:highlight w:val="none"/>
        </w:rPr>
        <w:t>7.1投标方应根据文件管理的要求，完成各自职责范围或合同规定的竣工文件的编制和文件整理、归档工作。投标方应指定文件资料管理负责人，并指定专人负责文件的分发，要求的项目开工前将人员名单及联系电话报招标方。</w:t>
      </w:r>
    </w:p>
    <w:p>
      <w:pPr>
        <w:spacing w:line="360" w:lineRule="auto"/>
        <w:rPr>
          <w:sz w:val="24"/>
          <w:highlight w:val="none"/>
        </w:rPr>
      </w:pPr>
      <w:r>
        <w:rPr>
          <w:rFonts w:hint="eastAsia" w:asciiTheme="minorEastAsia" w:hAnsiTheme="minorEastAsia" w:eastAsiaTheme="minorEastAsia" w:cstheme="minorEastAsia"/>
          <w:sz w:val="24"/>
          <w:highlight w:val="none"/>
        </w:rPr>
        <w:t>7.2投标方负责其承包项目全部文件的收集、积累、整理，并提交招标方审核汇总。</w:t>
      </w:r>
    </w:p>
    <w:p>
      <w:pPr>
        <w:spacing w:line="360" w:lineRule="auto"/>
        <w:rPr>
          <w:sz w:val="24"/>
          <w:highlight w:val="none"/>
        </w:rPr>
      </w:pPr>
      <w:r>
        <w:rPr>
          <w:rFonts w:hint="eastAsia" w:asciiTheme="minorEastAsia" w:hAnsiTheme="minorEastAsia" w:eastAsiaTheme="minorEastAsia" w:cstheme="minorEastAsia"/>
          <w:sz w:val="24"/>
          <w:highlight w:val="none"/>
        </w:rPr>
        <w:t>7.3投标方应根据《发电企业设备检修导则》要求及设备检修的实际情况编制设备检修文件。</w:t>
      </w:r>
    </w:p>
    <w:p>
      <w:pPr>
        <w:spacing w:line="360" w:lineRule="auto"/>
        <w:rPr>
          <w:sz w:val="24"/>
          <w:highlight w:val="none"/>
        </w:rPr>
      </w:pPr>
      <w:r>
        <w:rPr>
          <w:rFonts w:hint="eastAsia" w:asciiTheme="minorEastAsia" w:hAnsiTheme="minorEastAsia" w:eastAsiaTheme="minorEastAsia" w:cstheme="minorEastAsia"/>
          <w:sz w:val="24"/>
          <w:highlight w:val="none"/>
        </w:rPr>
        <w:t>7.4投标结束后，投标方在档案移交前，应填写科技档案移交书与案卷交招标方设备管理部专业主管负责人签字，确认该项目档案已齐全、完整、正确后，再与招标方档案室办理档案移交手续，明确档案移交的内容、案卷数、图纸张数等，并有完备的清点、签字等交接手续。</w:t>
      </w:r>
    </w:p>
    <w:p>
      <w:pPr>
        <w:widowControl/>
        <w:spacing w:line="360" w:lineRule="auto"/>
        <w:jc w:val="left"/>
        <w:rPr>
          <w:sz w:val="24"/>
          <w:highlight w:val="none"/>
        </w:rPr>
      </w:pPr>
      <w:r>
        <w:rPr>
          <w:rFonts w:hint="eastAsia" w:asciiTheme="minorEastAsia" w:hAnsiTheme="minorEastAsia" w:eastAsiaTheme="minorEastAsia" w:cstheme="minorEastAsia"/>
          <w:sz w:val="24"/>
          <w:highlight w:val="none"/>
        </w:rPr>
        <w:t>7.5 投标方应在整套机组检修完成后1月内将项目文件向招标方单位档案室归档（包含电子版本）。</w:t>
      </w:r>
    </w:p>
    <w:p>
      <w:pPr>
        <w:spacing w:line="360" w:lineRule="auto"/>
        <w:outlineLvl w:val="0"/>
        <w:rPr>
          <w:rFonts w:hint="eastAsia" w:hAnsi="宋体"/>
          <w:b/>
          <w:bCs/>
          <w:sz w:val="24"/>
          <w:highlight w:val="none"/>
        </w:rPr>
      </w:pPr>
      <w:bookmarkStart w:id="15" w:name="_Toc4779"/>
      <w:r>
        <w:rPr>
          <w:rFonts w:hint="eastAsia" w:asciiTheme="minorEastAsia" w:hAnsiTheme="minorEastAsia" w:eastAsiaTheme="minorEastAsia" w:cstheme="minorEastAsia"/>
          <w:b/>
          <w:bCs/>
          <w:sz w:val="24"/>
          <w:highlight w:val="none"/>
        </w:rPr>
        <w:t>8. 进度安排</w:t>
      </w:r>
      <w:bookmarkEnd w:id="15"/>
    </w:p>
    <w:p>
      <w:pPr>
        <w:widowControl/>
        <w:pBdr>
          <w:top w:val="none" w:color="000000" w:sz="0" w:space="0"/>
          <w:left w:val="none" w:color="000000" w:sz="0" w:space="0"/>
          <w:bottom w:val="none" w:color="000000" w:sz="0" w:space="0"/>
          <w:right w:val="none" w:color="000000" w:sz="0" w:space="0"/>
        </w:pBdr>
        <w:spacing w:line="360" w:lineRule="auto"/>
        <w:jc w:val="left"/>
        <w:rPr>
          <w:rFonts w:hint="eastAsia" w:ascii="宋体" w:hAnsi="宋体" w:cs="宋体"/>
          <w:sz w:val="24"/>
          <w:highlight w:val="none"/>
        </w:rPr>
      </w:pPr>
      <w:r>
        <w:rPr>
          <w:rFonts w:hint="eastAsia" w:asciiTheme="minorEastAsia" w:hAnsiTheme="minorEastAsia" w:eastAsiaTheme="minorEastAsia" w:cstheme="minorEastAsia"/>
          <w:sz w:val="24"/>
          <w:highlight w:val="none"/>
        </w:rPr>
        <w:t>工程进度要求：2026年3号机A级检修，合同时间为签订合同日起至机组复役后半个月，其中受热面改造施工时间为45个自然日。实际工作进度根据本次检修的具体情况进行。开工日期预计3号机：2026年4月1日，以调度批复时间为准。</w:t>
      </w:r>
    </w:p>
    <w:p>
      <w:pPr>
        <w:spacing w:line="360" w:lineRule="auto"/>
        <w:outlineLvl w:val="0"/>
        <w:rPr>
          <w:rFonts w:hint="eastAsia" w:hAnsi="宋体"/>
          <w:b/>
          <w:bCs/>
          <w:sz w:val="24"/>
          <w:highlight w:val="none"/>
        </w:rPr>
      </w:pPr>
      <w:bookmarkStart w:id="16" w:name="_Toc26696"/>
      <w:bookmarkStart w:id="17" w:name="_Toc22209"/>
      <w:r>
        <w:rPr>
          <w:rFonts w:hint="eastAsia" w:asciiTheme="minorEastAsia" w:hAnsiTheme="minorEastAsia" w:eastAsiaTheme="minorEastAsia" w:cstheme="minorEastAsia"/>
          <w:b/>
          <w:bCs/>
          <w:sz w:val="24"/>
          <w:highlight w:val="none"/>
        </w:rPr>
        <w:t>9. 考核条款</w:t>
      </w:r>
      <w:bookmarkEnd w:id="16"/>
      <w:bookmarkEnd w:id="17"/>
    </w:p>
    <w:p>
      <w:pPr>
        <w:spacing w:line="360" w:lineRule="auto"/>
        <w:rPr>
          <w:rFonts w:hint="eastAsia" w:ascii="宋体" w:hAnsi="宋体" w:cs="宋体"/>
          <w:sz w:val="24"/>
          <w:highlight w:val="none"/>
        </w:rPr>
      </w:pPr>
      <w:r>
        <w:rPr>
          <w:rFonts w:hint="eastAsia" w:asciiTheme="minorEastAsia" w:hAnsiTheme="minorEastAsia" w:eastAsiaTheme="minorEastAsia" w:cstheme="minorEastAsia"/>
          <w:sz w:val="24"/>
          <w:highlight w:val="none"/>
        </w:rPr>
        <w:t>9.1 检修设备在保证期内，因检修工艺及检修责任心等问题发生损坏, 损坏设备应按原价赔偿，并支付违约金20000元/次。</w:t>
      </w:r>
    </w:p>
    <w:p>
      <w:pPr>
        <w:spacing w:line="360" w:lineRule="auto"/>
        <w:rPr>
          <w:rFonts w:hint="eastAsia" w:asciiTheme="minorEastAsia" w:hAnsiTheme="minorEastAsia" w:eastAsiaTheme="minorEastAsia" w:cstheme="minorEastAsia"/>
          <w:sz w:val="24"/>
          <w:highlight w:val="none"/>
        </w:rPr>
      </w:pPr>
      <w:r>
        <w:rPr>
          <w:rFonts w:hint="eastAsia" w:asciiTheme="minorEastAsia" w:hAnsiTheme="minorEastAsia" w:eastAsiaTheme="minorEastAsia" w:cstheme="minorEastAsia"/>
          <w:sz w:val="24"/>
          <w:highlight w:val="none"/>
        </w:rPr>
        <w:t>9.2 检修设备在保证期内，因检修工艺及检修责任心等问题发生降负荷消缺的缺陷，支付违约金50000元/次。</w:t>
      </w:r>
    </w:p>
    <w:p>
      <w:pPr>
        <w:spacing w:line="360" w:lineRule="auto"/>
        <w:rPr>
          <w:rFonts w:hint="eastAsia" w:asciiTheme="minorEastAsia" w:hAnsiTheme="minorEastAsia" w:eastAsiaTheme="minorEastAsia" w:cstheme="minorEastAsia"/>
          <w:sz w:val="24"/>
          <w:highlight w:val="none"/>
        </w:rPr>
      </w:pPr>
      <w:r>
        <w:rPr>
          <w:rFonts w:hint="eastAsia" w:asciiTheme="minorEastAsia" w:hAnsiTheme="minorEastAsia" w:eastAsiaTheme="minorEastAsia" w:cstheme="minorEastAsia"/>
          <w:sz w:val="24"/>
          <w:highlight w:val="none"/>
        </w:rPr>
        <w:t>9.3 改造设备在保证期内，投标方因检修工艺及检修责任心等问题发生损坏, 损坏设备应按原价赔偿，并支付违约金50000元/次。</w:t>
      </w:r>
    </w:p>
    <w:p>
      <w:pPr>
        <w:spacing w:line="360" w:lineRule="auto"/>
        <w:rPr>
          <w:rFonts w:hint="eastAsia" w:asciiTheme="minorEastAsia" w:hAnsiTheme="minorEastAsia" w:eastAsiaTheme="minorEastAsia" w:cstheme="minorEastAsia"/>
          <w:sz w:val="24"/>
          <w:highlight w:val="none"/>
        </w:rPr>
      </w:pPr>
      <w:r>
        <w:rPr>
          <w:rFonts w:hint="eastAsia" w:asciiTheme="minorEastAsia" w:hAnsiTheme="minorEastAsia" w:eastAsiaTheme="minorEastAsia" w:cstheme="minorEastAsia"/>
          <w:sz w:val="24"/>
          <w:highlight w:val="none"/>
        </w:rPr>
        <w:t>9.4 改造设备在保证期内，因检修工艺及检修责任心等问题发生降负荷消缺的缺陷，投标方支付违约金200000元/次。</w:t>
      </w:r>
    </w:p>
    <w:p>
      <w:pPr>
        <w:widowControl/>
        <w:spacing w:line="360" w:lineRule="auto"/>
        <w:jc w:val="left"/>
        <w:rPr>
          <w:rFonts w:hint="eastAsia" w:ascii="宋体" w:hAnsi="宋体" w:cs="宋体"/>
          <w:sz w:val="24"/>
          <w:highlight w:val="none"/>
        </w:rPr>
      </w:pPr>
      <w:r>
        <w:rPr>
          <w:rFonts w:hint="eastAsia" w:asciiTheme="minorEastAsia" w:hAnsiTheme="minorEastAsia" w:eastAsiaTheme="minorEastAsia" w:cstheme="minorEastAsia"/>
          <w:sz w:val="24"/>
          <w:highlight w:val="none"/>
        </w:rPr>
        <w:t>9.5 投标方由于自身原因延迟合同规定的总工期时，招标方有权按每延迟一天扣除合同总价的1%。</w:t>
      </w:r>
    </w:p>
    <w:p>
      <w:pPr>
        <w:widowControl/>
        <w:spacing w:line="360" w:lineRule="auto"/>
        <w:jc w:val="left"/>
        <w:rPr>
          <w:highlight w:val="none"/>
        </w:rPr>
      </w:pPr>
      <w:r>
        <w:rPr>
          <w:rFonts w:hint="eastAsia" w:asciiTheme="minorEastAsia" w:hAnsiTheme="minorEastAsia" w:eastAsiaTheme="minorEastAsia" w:cstheme="minorEastAsia"/>
          <w:sz w:val="24"/>
          <w:highlight w:val="none"/>
        </w:rPr>
        <w:t>9.6 投标方未按要求配备相应的人员数量，招标方有权扣除投标方每人每天10000元。</w:t>
      </w:r>
    </w:p>
    <w:p>
      <w:pPr>
        <w:spacing w:line="360" w:lineRule="auto"/>
        <w:rPr>
          <w:highlight w:val="none"/>
        </w:rPr>
      </w:pPr>
      <w:r>
        <w:rPr>
          <w:rFonts w:hint="eastAsia" w:asciiTheme="minorEastAsia" w:hAnsiTheme="minorEastAsia" w:eastAsiaTheme="minorEastAsia" w:cstheme="minorEastAsia"/>
          <w:sz w:val="24"/>
          <w:highlight w:val="none"/>
        </w:rPr>
        <w:t>9.7 本技术规范书的安全管理和考核按照浙能</w:t>
      </w:r>
      <w:r>
        <w:rPr>
          <w:rFonts w:asciiTheme="minorEastAsia" w:hAnsiTheme="minorEastAsia" w:eastAsiaTheme="minorEastAsia" w:cstheme="minorEastAsia"/>
          <w:sz w:val="24"/>
          <w:highlight w:val="none"/>
        </w:rPr>
        <w:t>集团新发布的《外包工程（项目）安全管理办法》</w:t>
      </w:r>
      <w:r>
        <w:rPr>
          <w:rFonts w:hint="eastAsia" w:asciiTheme="minorEastAsia" w:hAnsiTheme="minorEastAsia" w:eastAsiaTheme="minorEastAsia" w:cstheme="minorEastAsia"/>
          <w:sz w:val="24"/>
          <w:highlight w:val="none"/>
        </w:rPr>
        <w:t>相关要求和条款执行。投标方无法做好相关要求，且拒绝整改；招标方有权中止合同</w:t>
      </w:r>
      <w:r>
        <w:rPr>
          <w:rFonts w:asciiTheme="minorEastAsia" w:hAnsiTheme="minorEastAsia" w:eastAsiaTheme="minorEastAsia" w:cstheme="minorEastAsia"/>
          <w:sz w:val="24"/>
          <w:highlight w:val="none"/>
        </w:rPr>
        <w:t>。</w:t>
      </w:r>
    </w:p>
    <w:p>
      <w:pPr>
        <w:spacing w:line="360" w:lineRule="auto"/>
        <w:rPr>
          <w:rFonts w:hint="eastAsia" w:asciiTheme="minorEastAsia" w:hAnsiTheme="minorEastAsia" w:eastAsiaTheme="minorEastAsia" w:cstheme="minorEastAsia"/>
          <w:sz w:val="24"/>
          <w:highlight w:val="none"/>
        </w:rPr>
      </w:pPr>
      <w:r>
        <w:rPr>
          <w:rFonts w:hint="eastAsia" w:asciiTheme="minorEastAsia" w:hAnsiTheme="minorEastAsia" w:eastAsiaTheme="minorEastAsia" w:cstheme="minorEastAsia"/>
          <w:sz w:val="24"/>
          <w:highlight w:val="none"/>
        </w:rPr>
        <w:t>9.8 本项目保温架子工作需在招标方要求时间内完成，架子工作以接到招标方通知5天内完成，保温工作以接到招标方通知3天内完成，如未按时完成，按每项工作500元/天进行考核。</w:t>
      </w:r>
    </w:p>
    <w:p>
      <w:pPr>
        <w:pBdr>
          <w:top w:val="none" w:color="000000" w:sz="0" w:space="0"/>
          <w:left w:val="none" w:color="000000" w:sz="0" w:space="0"/>
          <w:bottom w:val="none" w:color="000000" w:sz="0" w:space="0"/>
          <w:right w:val="none" w:color="000000" w:sz="0" w:space="0"/>
        </w:pBdr>
        <w:spacing w:line="360" w:lineRule="auto"/>
        <w:rPr>
          <w:rFonts w:hint="eastAsia" w:ascii="宋体" w:hAnsi="宋体" w:cs="宋体"/>
          <w:color w:val="000000"/>
          <w:sz w:val="24"/>
          <w:highlight w:val="none"/>
        </w:rPr>
      </w:pPr>
      <w:r>
        <w:rPr>
          <w:rFonts w:hint="eastAsia" w:asciiTheme="minorEastAsia" w:hAnsiTheme="minorEastAsia" w:eastAsiaTheme="minorEastAsia" w:cstheme="minorEastAsia"/>
          <w:sz w:val="24"/>
          <w:highlight w:val="none"/>
        </w:rPr>
        <w:t>9.9 本项目设置同质化专项奖励费用，用于同质化管理以及检修、安全设施改善等方面，投标方应严格按照招标方同质化管理相关要求进行施工作业，具体详见检修管理手册。同质化管理奖励总额设置为10万元，项目竣工后结算。投标方未按招标方要求完成同质化管理项目，本奖励不予支付，完成的情况由招标方确认。</w:t>
      </w:r>
    </w:p>
    <w:p>
      <w:pPr>
        <w:spacing w:line="360" w:lineRule="auto"/>
        <w:rPr>
          <w:rFonts w:hint="eastAsia" w:ascii="宋体" w:hAnsi="宋体" w:cs="宋体"/>
          <w:highlight w:val="none"/>
        </w:rPr>
      </w:pPr>
      <w:r>
        <w:rPr>
          <w:rFonts w:hint="eastAsia" w:asciiTheme="minorEastAsia" w:hAnsiTheme="minorEastAsia" w:eastAsiaTheme="minorEastAsia" w:cstheme="minorEastAsia"/>
          <w:sz w:val="24"/>
          <w:highlight w:val="none"/>
        </w:rPr>
        <w:t>9.10 本技术规范书的其他考核内容按本次检修的管理手册内的相关考核制度执行。</w:t>
      </w:r>
    </w:p>
    <w:p>
      <w:pPr>
        <w:spacing w:line="360" w:lineRule="auto"/>
        <w:rPr>
          <w:rFonts w:hint="eastAsia" w:asciiTheme="minorEastAsia" w:hAnsiTheme="minorEastAsia" w:eastAsiaTheme="minorEastAsia" w:cstheme="minorEastAsia"/>
          <w:sz w:val="24"/>
          <w:highlight w:val="none"/>
        </w:rPr>
        <w:sectPr>
          <w:headerReference r:id="rId13" w:type="first"/>
          <w:footerReference r:id="rId15" w:type="first"/>
          <w:footerReference r:id="rId14" w:type="default"/>
          <w:pgSz w:w="11906" w:h="16838"/>
          <w:pgMar w:top="1440" w:right="1797" w:bottom="1440" w:left="1797" w:header="851" w:footer="992" w:gutter="0"/>
          <w:pgNumType w:start="1"/>
          <w:cols w:space="425" w:num="1"/>
          <w:titlePg/>
          <w:docGrid w:linePitch="360" w:charSpace="0"/>
        </w:sectPr>
      </w:pPr>
      <w:r>
        <w:rPr>
          <w:rFonts w:hint="eastAsia" w:asciiTheme="minorEastAsia" w:hAnsiTheme="minorEastAsia" w:eastAsiaTheme="minorEastAsia" w:cstheme="minorEastAsia"/>
          <w:sz w:val="24"/>
          <w:highlight w:val="none"/>
        </w:rPr>
        <w:t>9.11 其他未尽事项，参照《承发包项目安全管理实施细则》、《个人安全绩效考核办法》、附录A、附录B、附录C等浙江浙能乐清发电有限责任公司相关制度。</w:t>
      </w:r>
    </w:p>
    <w:p>
      <w:pPr>
        <w:pStyle w:val="2"/>
        <w:ind w:left="0" w:firstLine="0"/>
        <w:rPr>
          <w:rFonts w:hint="eastAsia"/>
          <w:highlight w:val="none"/>
          <w:lang w:val="en-US" w:eastAsia="zh-CN"/>
        </w:rPr>
      </w:pPr>
      <w:r>
        <w:rPr>
          <w:rFonts w:hint="eastAsia" w:asciiTheme="minorEastAsia" w:hAnsiTheme="minorEastAsia" w:eastAsiaTheme="minorEastAsia" w:cstheme="minorEastAsia"/>
          <w:highlight w:val="none"/>
          <w:lang w:val="en-US" w:eastAsia="zh-CN"/>
        </w:rPr>
        <w:t>受热面改造附图</w:t>
      </w:r>
    </w:p>
    <w:p>
      <w:pPr>
        <w:pStyle w:val="2"/>
        <w:ind w:left="0" w:firstLine="0"/>
        <w:rPr>
          <w:rFonts w:hint="eastAsia"/>
          <w:highlight w:val="none"/>
          <w:lang w:val="en-US" w:eastAsia="zh-CN"/>
        </w:rPr>
      </w:pPr>
      <w:r>
        <w:rPr>
          <w:rFonts w:hint="eastAsia" w:asciiTheme="minorEastAsia" w:hAnsiTheme="minorEastAsia" w:eastAsiaTheme="minorEastAsia" w:cstheme="minorEastAsia"/>
          <w:highlight w:val="none"/>
          <w:lang w:val="en-US" w:eastAsia="zh-CN"/>
        </w:rPr>
        <w:t>附图1</w:t>
      </w:r>
    </w:p>
    <w:p>
      <w:pPr>
        <w:pStyle w:val="2"/>
        <w:ind w:left="0" w:firstLine="0"/>
        <w:jc w:val="center"/>
        <w:rPr>
          <w:highlight w:val="none"/>
        </w:rPr>
      </w:pPr>
      <w:r>
        <w:rPr>
          <w:rFonts w:asciiTheme="minorEastAsia" w:hAnsiTheme="minorEastAsia" w:eastAsiaTheme="minorEastAsia" w:cstheme="minorEastAsia"/>
          <w:highlight w:val="none"/>
        </w:rPr>
        <w:drawing>
          <wp:inline distT="0" distB="0" distL="0" distR="0">
            <wp:extent cx="7319010" cy="4077335"/>
            <wp:effectExtent l="0" t="0" r="18415" b="15240"/>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pic:cNvPicPr>
                      <a:picLocks noChangeAspect="1"/>
                    </pic:cNvPicPr>
                  </pic:nvPicPr>
                  <pic:blipFill>
                    <a:blip r:embed="rId20"/>
                    <a:stretch>
                      <a:fillRect/>
                    </a:stretch>
                  </pic:blipFill>
                  <pic:spPr>
                    <a:xfrm rot="16199998">
                      <a:off x="0" y="0"/>
                      <a:ext cx="7319010" cy="4077335"/>
                    </a:xfrm>
                    <a:prstGeom prst="rect">
                      <a:avLst/>
                    </a:prstGeom>
                    <a:noFill/>
                    <a:ln>
                      <a:noFill/>
                      <a:miter/>
                    </a:ln>
                  </pic:spPr>
                </pic:pic>
              </a:graphicData>
            </a:graphic>
          </wp:inline>
        </w:drawing>
      </w:r>
    </w:p>
    <w:p>
      <w:pPr>
        <w:pStyle w:val="2"/>
        <w:ind w:left="0" w:firstLine="0"/>
        <w:jc w:val="center"/>
        <w:rPr>
          <w:highlight w:val="none"/>
        </w:rPr>
      </w:pPr>
      <w:r>
        <w:rPr>
          <w:rFonts w:hint="eastAsia" w:asciiTheme="minorEastAsia" w:hAnsiTheme="minorEastAsia" w:eastAsiaTheme="minorEastAsia" w:cstheme="minorEastAsia"/>
          <w:highlight w:val="none"/>
        </w:rPr>
        <w:t>分隔屏过热器更换示意图</w:t>
      </w:r>
    </w:p>
    <w:p>
      <w:pPr>
        <w:pStyle w:val="2"/>
        <w:ind w:left="0" w:firstLine="0"/>
        <w:jc w:val="center"/>
        <w:rPr>
          <w:rFonts w:hint="default"/>
          <w:highlight w:val="none"/>
          <w:lang w:val="en-US" w:eastAsia="zh-CN"/>
        </w:rPr>
        <w:sectPr>
          <w:pgSz w:w="11906" w:h="16838"/>
          <w:pgMar w:top="1440" w:right="1797" w:bottom="1440" w:left="1797" w:header="851" w:footer="992" w:gutter="0"/>
          <w:pgNumType w:start="1"/>
          <w:cols w:space="425" w:num="1"/>
          <w:titlePg/>
          <w:docGrid w:linePitch="360" w:charSpace="0"/>
        </w:sectPr>
      </w:pPr>
    </w:p>
    <w:p>
      <w:pPr>
        <w:pBdr>
          <w:top w:val="none" w:color="000000" w:sz="0" w:space="0"/>
          <w:left w:val="none" w:color="000000" w:sz="0" w:space="0"/>
          <w:bottom w:val="none" w:color="000000" w:sz="0" w:space="0"/>
          <w:right w:val="none" w:color="000000" w:sz="0" w:space="0"/>
        </w:pBdr>
        <w:spacing w:line="85" w:lineRule="atLeast"/>
        <w:rPr>
          <w:rFonts w:hint="eastAsia"/>
          <w:highlight w:val="none"/>
          <w:lang w:val="en-US" w:eastAsia="zh-CN"/>
        </w:rPr>
      </w:pPr>
    </w:p>
    <w:p>
      <w:pPr>
        <w:pBdr>
          <w:top w:val="none" w:color="000000" w:sz="0" w:space="0"/>
          <w:left w:val="none" w:color="000000" w:sz="0" w:space="0"/>
          <w:bottom w:val="none" w:color="000000" w:sz="0" w:space="0"/>
          <w:right w:val="none" w:color="000000" w:sz="0" w:space="0"/>
        </w:pBdr>
        <w:spacing w:line="85" w:lineRule="atLeast"/>
        <w:rPr>
          <w:rFonts w:hint="default" w:eastAsia="宋体"/>
          <w:highlight w:val="none"/>
          <w:lang w:val="en-US" w:eastAsia="zh-CN"/>
        </w:rPr>
      </w:pPr>
      <w:r>
        <w:rPr>
          <w:rFonts w:hint="eastAsia" w:asciiTheme="minorEastAsia" w:hAnsiTheme="minorEastAsia" w:eastAsiaTheme="minorEastAsia" w:cstheme="minorEastAsia"/>
          <w:highlight w:val="none"/>
          <w:lang w:val="en-US" w:eastAsia="zh-CN"/>
        </w:rPr>
        <w:t>附图2</w:t>
      </w:r>
    </w:p>
    <w:p>
      <w:pPr>
        <w:spacing w:line="360" w:lineRule="auto"/>
        <w:jc w:val="center"/>
        <w:rPr>
          <w:sz w:val="24"/>
          <w:highlight w:val="none"/>
        </w:rPr>
      </w:pPr>
      <w:r>
        <w:rPr>
          <w:rFonts w:asciiTheme="minorEastAsia" w:hAnsiTheme="minorEastAsia" w:eastAsiaTheme="minorEastAsia" w:cstheme="minorEastAsia"/>
          <w:highlight w:val="none"/>
        </w:rPr>
        <w:drawing>
          <wp:inline distT="0" distB="0" distL="0" distR="0">
            <wp:extent cx="3609340" cy="7035800"/>
            <wp:effectExtent l="0" t="0" r="10160" b="1270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
                    <pic:cNvPicPr>
                      <a:picLocks noChangeAspect="1"/>
                    </pic:cNvPicPr>
                  </pic:nvPicPr>
                  <pic:blipFill>
                    <a:blip r:embed="rId21"/>
                    <a:stretch>
                      <a:fillRect/>
                    </a:stretch>
                  </pic:blipFill>
                  <pic:spPr>
                    <a:xfrm>
                      <a:off x="0" y="0"/>
                      <a:ext cx="3609340" cy="7035800"/>
                    </a:xfrm>
                    <a:prstGeom prst="rect">
                      <a:avLst/>
                    </a:prstGeom>
                    <a:noFill/>
                    <a:ln>
                      <a:noFill/>
                    </a:ln>
                  </pic:spPr>
                </pic:pic>
              </a:graphicData>
            </a:graphic>
          </wp:inline>
        </w:drawing>
      </w:r>
    </w:p>
    <w:p>
      <w:pPr>
        <w:pStyle w:val="410"/>
        <w:jc w:val="center"/>
        <w:rPr>
          <w:rFonts w:hint="eastAsia" w:hAnsi="宋体" w:cs="宋体"/>
          <w:highlight w:val="none"/>
        </w:rPr>
        <w:sectPr>
          <w:pgSz w:w="11906" w:h="16838"/>
          <w:pgMar w:top="1440" w:right="1797" w:bottom="1440" w:left="1797" w:header="851" w:footer="992" w:gutter="0"/>
          <w:pgNumType w:start="1"/>
          <w:cols w:space="425" w:num="1"/>
          <w:titlePg/>
          <w:docGrid w:linePitch="360" w:charSpace="0"/>
        </w:sectPr>
      </w:pPr>
      <w:r>
        <w:rPr>
          <w:rFonts w:hint="eastAsia" w:asciiTheme="minorEastAsia" w:hAnsiTheme="minorEastAsia" w:eastAsiaTheme="minorEastAsia" w:cstheme="minorEastAsia"/>
          <w:highlight w:val="none"/>
        </w:rPr>
        <w:t xml:space="preserve"> 末级再热器更换示意图（红色虚框内需更换的炉管）</w:t>
      </w:r>
    </w:p>
    <w:p>
      <w:pPr>
        <w:pStyle w:val="410"/>
        <w:jc w:val="both"/>
        <w:rPr>
          <w:rFonts w:hint="eastAsia" w:hAnsi="宋体" w:cs="宋体"/>
          <w:highlight w:val="none"/>
          <w:lang w:val="en-US" w:eastAsia="zh-CN"/>
        </w:rPr>
      </w:pPr>
      <w:r>
        <w:rPr>
          <w:rFonts w:hint="eastAsia" w:asciiTheme="minorEastAsia" w:hAnsiTheme="minorEastAsia" w:eastAsiaTheme="minorEastAsia" w:cstheme="minorEastAsia"/>
          <w:highlight w:val="none"/>
          <w:lang w:val="en-US" w:eastAsia="zh-CN"/>
        </w:rPr>
        <w:t>附图3</w:t>
      </w:r>
    </w:p>
    <w:p>
      <w:pPr>
        <w:pStyle w:val="410"/>
        <w:jc w:val="center"/>
        <w:rPr>
          <w:rFonts w:hint="eastAsia" w:hAnsi="宋体" w:cs="宋体"/>
          <w:highlight w:val="none"/>
          <w:lang w:val="en-US" w:eastAsia="zh-CN"/>
        </w:rPr>
      </w:pPr>
      <w:r>
        <w:rPr>
          <w:rFonts w:asciiTheme="minorEastAsia" w:hAnsiTheme="minorEastAsia" w:eastAsiaTheme="minorEastAsia" w:cstheme="minorEastAsia"/>
          <w:highlight w:val="none"/>
        </w:rPr>
        <w:drawing>
          <wp:inline distT="0" distB="0" distL="0" distR="0">
            <wp:extent cx="7743825" cy="3166745"/>
            <wp:effectExtent l="0" t="0" r="14604" b="952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
                    <pic:cNvPicPr>
                      <a:picLocks noChangeAspect="1"/>
                    </pic:cNvPicPr>
                  </pic:nvPicPr>
                  <pic:blipFill>
                    <a:blip r:embed="rId22"/>
                    <a:stretch>
                      <a:fillRect/>
                    </a:stretch>
                  </pic:blipFill>
                  <pic:spPr>
                    <a:xfrm rot="16199998">
                      <a:off x="0" y="0"/>
                      <a:ext cx="7743825" cy="3166745"/>
                    </a:xfrm>
                    <a:prstGeom prst="rect">
                      <a:avLst/>
                    </a:prstGeom>
                    <a:noFill/>
                    <a:ln>
                      <a:noFill/>
                    </a:ln>
                  </pic:spPr>
                </pic:pic>
              </a:graphicData>
            </a:graphic>
          </wp:inline>
        </w:drawing>
      </w:r>
    </w:p>
    <w:p>
      <w:pPr>
        <w:pStyle w:val="410"/>
        <w:ind w:firstLine="0"/>
        <w:jc w:val="center"/>
        <w:rPr>
          <w:rFonts w:hint="eastAsia" w:hAnsi="宋体" w:cs="宋体"/>
          <w:highlight w:val="none"/>
        </w:rPr>
      </w:pPr>
      <w:r>
        <w:rPr>
          <w:rFonts w:hint="eastAsia" w:asciiTheme="minorEastAsia" w:hAnsiTheme="minorEastAsia" w:eastAsiaTheme="minorEastAsia" w:cstheme="minorEastAsia"/>
          <w:highlight w:val="none"/>
          <w:lang w:val="en-US" w:eastAsia="zh-CN"/>
        </w:rPr>
        <w:t xml:space="preserve"> </w:t>
      </w:r>
      <w:r>
        <w:rPr>
          <w:rFonts w:hint="eastAsia" w:asciiTheme="minorEastAsia" w:hAnsiTheme="minorEastAsia" w:eastAsiaTheme="minorEastAsia" w:cstheme="minorEastAsia"/>
          <w:highlight w:val="none"/>
        </w:rPr>
        <w:t xml:space="preserve"> 末级再热器更换示意图（红色实框内需更换的炉管）</w:t>
      </w:r>
    </w:p>
    <w:p>
      <w:pPr>
        <w:pStyle w:val="410"/>
        <w:ind w:left="0" w:firstLine="0"/>
        <w:jc w:val="both"/>
        <w:rPr>
          <w:rFonts w:hint="default" w:hAnsi="宋体" w:cs="宋体"/>
          <w:highlight w:val="none"/>
          <w:lang w:val="en-US" w:eastAsia="zh-CN"/>
        </w:rPr>
        <w:sectPr>
          <w:pgSz w:w="11906" w:h="16838"/>
          <w:pgMar w:top="1440" w:right="1797" w:bottom="1440" w:left="1797" w:header="851" w:footer="992" w:gutter="0"/>
          <w:pgNumType w:start="1"/>
          <w:cols w:space="425" w:num="1"/>
          <w:titlePg/>
          <w:docGrid w:linePitch="360" w:charSpace="0"/>
        </w:sectPr>
      </w:pPr>
    </w:p>
    <w:p>
      <w:pPr>
        <w:pStyle w:val="409"/>
        <w:numPr>
          <w:ilvl w:val="0"/>
          <w:numId w:val="0"/>
        </w:numPr>
        <w:spacing w:before="0" w:line="240" w:lineRule="exact"/>
        <w:jc w:val="left"/>
        <w:rPr>
          <w:highlight w:val="none"/>
        </w:rPr>
      </w:pPr>
      <w:r>
        <w:rPr>
          <w:rFonts w:hint="eastAsia" w:asciiTheme="minorEastAsia" w:hAnsiTheme="minorEastAsia" w:eastAsiaTheme="minorEastAsia" w:cstheme="minorEastAsia"/>
          <w:sz w:val="24"/>
          <w:szCs w:val="24"/>
          <w:highlight w:val="none"/>
        </w:rPr>
        <w:t>附图4</w:t>
      </w:r>
    </w:p>
    <w:p>
      <w:pPr>
        <w:pStyle w:val="410"/>
        <w:jc w:val="center"/>
        <w:rPr>
          <w:rFonts w:hint="eastAsia" w:hAnsi="宋体" w:cs="宋体"/>
          <w:highlight w:val="none"/>
        </w:rPr>
      </w:pPr>
      <w:r>
        <w:rPr>
          <w:rFonts w:asciiTheme="minorEastAsia" w:hAnsiTheme="minorEastAsia" w:eastAsiaTheme="minorEastAsia" w:cstheme="minorEastAsia"/>
          <w:highlight w:val="none"/>
        </w:rPr>
        <w:drawing>
          <wp:inline distT="0" distB="0" distL="0" distR="0">
            <wp:extent cx="5793740" cy="7333615"/>
            <wp:effectExtent l="0" t="0" r="1651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
                    <pic:cNvPicPr>
                      <a:picLocks noChangeAspect="1"/>
                    </pic:cNvPicPr>
                  </pic:nvPicPr>
                  <pic:blipFill>
                    <a:blip r:embed="rId23"/>
                    <a:stretch>
                      <a:fillRect/>
                    </a:stretch>
                  </pic:blipFill>
                  <pic:spPr>
                    <a:xfrm>
                      <a:off x="0" y="0"/>
                      <a:ext cx="5793740" cy="7333615"/>
                    </a:xfrm>
                    <a:prstGeom prst="rect">
                      <a:avLst/>
                    </a:prstGeom>
                    <a:noFill/>
                    <a:ln>
                      <a:noFill/>
                    </a:ln>
                  </pic:spPr>
                </pic:pic>
              </a:graphicData>
            </a:graphic>
          </wp:inline>
        </w:drawing>
      </w:r>
    </w:p>
    <w:p>
      <w:pPr>
        <w:pStyle w:val="410"/>
        <w:jc w:val="center"/>
        <w:rPr>
          <w:rFonts w:hint="default" w:hAnsi="宋体" w:cs="宋体"/>
          <w:highlight w:val="none"/>
          <w:lang w:val="en-US" w:eastAsia="zh-CN"/>
        </w:rPr>
        <w:sectPr>
          <w:pgSz w:w="11906" w:h="16838"/>
          <w:pgMar w:top="1440" w:right="1797" w:bottom="1440" w:left="1797" w:header="851" w:footer="992" w:gutter="0"/>
          <w:pgNumType w:start="1"/>
          <w:cols w:space="425" w:num="1"/>
          <w:titlePg/>
          <w:docGrid w:linePitch="360" w:charSpace="0"/>
        </w:sectPr>
      </w:pPr>
      <w:r>
        <w:rPr>
          <w:rFonts w:hint="eastAsia" w:asciiTheme="minorEastAsia" w:hAnsiTheme="minorEastAsia" w:eastAsiaTheme="minorEastAsia" w:cstheme="minorEastAsia"/>
          <w:highlight w:val="none"/>
        </w:rPr>
        <w:t xml:space="preserve"> #3炉侧视图</w:t>
      </w:r>
    </w:p>
    <w:p>
      <w:pPr>
        <w:widowControl/>
        <w:jc w:val="left"/>
        <w:rPr>
          <w:sz w:val="24"/>
          <w:highlight w:val="none"/>
        </w:rPr>
      </w:pPr>
    </w:p>
    <w:p>
      <w:pPr>
        <w:pStyle w:val="409"/>
        <w:numPr>
          <w:ilvl w:val="0"/>
          <w:numId w:val="22"/>
        </w:numPr>
        <w:spacing w:before="0" w:line="240" w:lineRule="exact"/>
        <w:ind w:left="0"/>
        <w:rPr>
          <w:rFonts w:hint="eastAsia" w:asciiTheme="minorEastAsia" w:hAnsiTheme="minorEastAsia" w:eastAsiaTheme="minorEastAsia"/>
          <w:sz w:val="21"/>
          <w:szCs w:val="21"/>
          <w:highlight w:val="none"/>
        </w:rPr>
      </w:pPr>
      <w:r>
        <w:rPr>
          <w:rFonts w:asciiTheme="minorEastAsia" w:hAnsiTheme="minorEastAsia" w:eastAsiaTheme="minorEastAsia" w:cstheme="minorEastAsia"/>
          <w:highlight w:val="none"/>
        </w:rPr>
        <w:br w:type="textWrapping"/>
      </w:r>
      <w:r>
        <w:rPr>
          <w:rFonts w:hint="eastAsia" w:asciiTheme="minorEastAsia" w:hAnsiTheme="minorEastAsia" w:eastAsiaTheme="minorEastAsia" w:cstheme="minorEastAsia"/>
          <w:highlight w:val="none"/>
        </w:rPr>
        <w:t>《</w:t>
      </w:r>
      <w:r>
        <w:rPr>
          <w:rFonts w:asciiTheme="minorEastAsia" w:hAnsiTheme="minorEastAsia" w:eastAsiaTheme="minorEastAsia" w:cstheme="minorEastAsia"/>
          <w:color w:val="000000"/>
          <w:highlight w:val="none"/>
        </w:rPr>
        <w:t>外包单位安全考核明细表</w:t>
      </w:r>
      <w:r>
        <w:rPr>
          <w:rFonts w:hint="eastAsia" w:asciiTheme="minorEastAsia" w:hAnsiTheme="minorEastAsia" w:eastAsiaTheme="minorEastAsia" w:cstheme="minorEastAsia"/>
          <w:highlight w:val="none"/>
        </w:rPr>
        <w:t>》</w:t>
      </w:r>
    </w:p>
    <w:tbl>
      <w:tblPr>
        <w:tblStyle w:val="38"/>
        <w:tblW w:w="8336" w:type="dxa"/>
        <w:tblInd w:w="0" w:type="dxa"/>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Layout w:type="fixed"/>
        <w:tblCellMar>
          <w:top w:w="0" w:type="dxa"/>
          <w:left w:w="108" w:type="dxa"/>
          <w:bottom w:w="0" w:type="dxa"/>
          <w:right w:w="108" w:type="dxa"/>
        </w:tblCellMar>
      </w:tblPr>
      <w:tblGrid>
        <w:gridCol w:w="784"/>
        <w:gridCol w:w="2300"/>
        <w:gridCol w:w="3294"/>
        <w:gridCol w:w="934"/>
        <w:gridCol w:w="1024"/>
      </w:tblGrid>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30" w:hRule="atLeast"/>
        </w:trPr>
        <w:tc>
          <w:tcPr>
            <w:tcW w:w="784" w:type="dxa"/>
            <w:tcBorders>
              <w:top w:val="single" w:color="000000" w:sz="12" w:space="0"/>
              <w:left w:val="single" w:color="000000" w:sz="12" w:space="0"/>
              <w:bottom w:val="single" w:color="000000" w:sz="8" w:space="0"/>
              <w:right w:val="single" w:color="000000" w:sz="8" w:space="0"/>
            </w:tcBorders>
            <w:tcMar>
              <w:top w:w="15" w:type="dxa"/>
              <w:left w:w="15" w:type="dxa"/>
              <w:bottom w:w="0" w:type="dxa"/>
              <w:right w:w="15" w:type="dxa"/>
            </w:tcMa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b/>
                <w:color w:val="000000"/>
                <w:sz w:val="18"/>
                <w:highlight w:val="none"/>
              </w:rPr>
              <w:t>序号</w:t>
            </w:r>
          </w:p>
        </w:tc>
        <w:tc>
          <w:tcPr>
            <w:tcW w:w="2300" w:type="dxa"/>
            <w:tcBorders>
              <w:top w:val="single" w:color="000000" w:sz="12" w:space="0"/>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b/>
                <w:color w:val="000000"/>
                <w:sz w:val="18"/>
                <w:highlight w:val="none"/>
              </w:rPr>
              <w:t>违章考核条款内容</w:t>
            </w:r>
          </w:p>
        </w:tc>
        <w:tc>
          <w:tcPr>
            <w:tcW w:w="5252" w:type="dxa"/>
            <w:gridSpan w:val="3"/>
            <w:tcBorders>
              <w:top w:val="single" w:color="000000" w:sz="12" w:space="0"/>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b/>
                <w:color w:val="000000"/>
                <w:sz w:val="18"/>
                <w:highlight w:val="none"/>
              </w:rPr>
              <w:t>扣奖金额</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8336" w:type="dxa"/>
            <w:gridSpan w:val="5"/>
            <w:tcBorders>
              <w:top w:val="nil"/>
              <w:left w:val="single" w:color="000000" w:sz="12" w:space="0"/>
              <w:bottom w:val="single" w:color="000000" w:sz="8" w:space="0"/>
              <w:right w:val="single" w:color="000000" w:sz="12" w:space="0"/>
            </w:tcBorders>
            <w:tcMar>
              <w:top w:w="15" w:type="dxa"/>
              <w:left w:w="15" w:type="dxa"/>
              <w:bottom w:w="0" w:type="dxa"/>
              <w:right w:w="15" w:type="dxa"/>
            </w:tcMa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b/>
                <w:color w:val="000000"/>
                <w:sz w:val="18"/>
                <w:highlight w:val="none"/>
              </w:rPr>
              <w:t>一、事故事件</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2300"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发生设备考核障碍。</w:t>
            </w:r>
          </w:p>
        </w:tc>
        <w:tc>
          <w:tcPr>
            <w:tcW w:w="5252" w:type="dxa"/>
            <w:gridSpan w:val="3"/>
            <w:tcBorders>
              <w:top w:val="single" w:color="000000" w:sz="8" w:space="0"/>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扣款</w:t>
            </w:r>
            <w:r>
              <w:rPr>
                <w:rFonts w:ascii="Calibri" w:hAnsi="Calibri" w:eastAsia="Calibri" w:cs="Calibri"/>
                <w:color w:val="000000"/>
                <w:sz w:val="18"/>
                <w:highlight w:val="none"/>
              </w:rPr>
              <w:t>50000</w:t>
            </w:r>
            <w:r>
              <w:rPr>
                <w:rFonts w:ascii="宋体" w:hAnsi="宋体" w:cs="宋体"/>
                <w:color w:val="000000"/>
                <w:sz w:val="18"/>
                <w:highlight w:val="none"/>
              </w:rPr>
              <w:t>元。</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2300"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发生设备一类障碍。</w:t>
            </w:r>
          </w:p>
        </w:tc>
        <w:tc>
          <w:tcPr>
            <w:tcW w:w="5252" w:type="dxa"/>
            <w:gridSpan w:val="3"/>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扣款</w:t>
            </w:r>
            <w:r>
              <w:rPr>
                <w:rFonts w:ascii="Calibri" w:hAnsi="Calibri" w:eastAsia="Calibri" w:cs="Calibri"/>
                <w:color w:val="000000"/>
                <w:sz w:val="18"/>
                <w:highlight w:val="none"/>
              </w:rPr>
              <w:t>20000</w:t>
            </w:r>
            <w:r>
              <w:rPr>
                <w:rFonts w:ascii="宋体" w:hAnsi="宋体" w:cs="宋体"/>
                <w:color w:val="000000"/>
                <w:sz w:val="18"/>
                <w:highlight w:val="none"/>
              </w:rPr>
              <w:t>元。</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w:t>
            </w:r>
          </w:p>
        </w:tc>
        <w:tc>
          <w:tcPr>
            <w:tcW w:w="2300"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发生设备二类障碍。</w:t>
            </w:r>
          </w:p>
        </w:tc>
        <w:tc>
          <w:tcPr>
            <w:tcW w:w="5252" w:type="dxa"/>
            <w:gridSpan w:val="3"/>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扣款10000元。</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w:t>
            </w:r>
          </w:p>
        </w:tc>
        <w:tc>
          <w:tcPr>
            <w:tcW w:w="2300"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发生设备异常事件。</w:t>
            </w:r>
          </w:p>
        </w:tc>
        <w:tc>
          <w:tcPr>
            <w:tcW w:w="5252" w:type="dxa"/>
            <w:gridSpan w:val="3"/>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扣款5000元。</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w:t>
            </w:r>
          </w:p>
        </w:tc>
        <w:tc>
          <w:tcPr>
            <w:tcW w:w="2300"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发生伤亡事故</w:t>
            </w:r>
          </w:p>
        </w:tc>
        <w:tc>
          <w:tcPr>
            <w:tcW w:w="5252" w:type="dxa"/>
            <w:gridSpan w:val="3"/>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参照本标准6.11条款考核。</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w:t>
            </w:r>
          </w:p>
        </w:tc>
        <w:tc>
          <w:tcPr>
            <w:tcW w:w="2300"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发生人身重伤。</w:t>
            </w:r>
          </w:p>
        </w:tc>
        <w:tc>
          <w:tcPr>
            <w:tcW w:w="5252" w:type="dxa"/>
            <w:gridSpan w:val="3"/>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参照本标准6.11条款考核。</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w:t>
            </w:r>
          </w:p>
        </w:tc>
        <w:tc>
          <w:tcPr>
            <w:tcW w:w="2300"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发生人身轻伤。</w:t>
            </w:r>
          </w:p>
        </w:tc>
        <w:tc>
          <w:tcPr>
            <w:tcW w:w="5252" w:type="dxa"/>
            <w:gridSpan w:val="3"/>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参照本标准6.11条款考核。</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w:t>
            </w:r>
          </w:p>
        </w:tc>
        <w:tc>
          <w:tcPr>
            <w:tcW w:w="2300"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发生人身轻微伤。</w:t>
            </w:r>
          </w:p>
        </w:tc>
        <w:tc>
          <w:tcPr>
            <w:tcW w:w="5252" w:type="dxa"/>
            <w:gridSpan w:val="3"/>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扣款5000元。</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w:t>
            </w:r>
          </w:p>
        </w:tc>
        <w:tc>
          <w:tcPr>
            <w:tcW w:w="2300"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发生未遂事件。</w:t>
            </w:r>
          </w:p>
        </w:tc>
        <w:tc>
          <w:tcPr>
            <w:tcW w:w="5252" w:type="dxa"/>
            <w:gridSpan w:val="3"/>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扣款5000元。</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9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w:t>
            </w:r>
          </w:p>
        </w:tc>
        <w:tc>
          <w:tcPr>
            <w:tcW w:w="2300"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发生直接经济损失</w:t>
            </w:r>
            <w:r>
              <w:rPr>
                <w:rFonts w:ascii="Calibri" w:hAnsi="Calibri" w:eastAsia="Calibri" w:cs="Calibri"/>
                <w:color w:val="000000"/>
                <w:sz w:val="18"/>
                <w:highlight w:val="none"/>
              </w:rPr>
              <w:t>30</w:t>
            </w:r>
            <w:r>
              <w:rPr>
                <w:rFonts w:ascii="宋体" w:hAnsi="宋体" w:cs="宋体"/>
                <w:color w:val="000000"/>
                <w:sz w:val="18"/>
                <w:highlight w:val="none"/>
              </w:rPr>
              <w:t>万以上</w:t>
            </w:r>
            <w:r>
              <w:rPr>
                <w:rFonts w:ascii="Calibri" w:hAnsi="Calibri" w:eastAsia="Calibri" w:cs="Calibri"/>
                <w:color w:val="000000"/>
                <w:sz w:val="18"/>
                <w:highlight w:val="none"/>
              </w:rPr>
              <w:t>100</w:t>
            </w:r>
            <w:r>
              <w:rPr>
                <w:rFonts w:ascii="宋体" w:hAnsi="宋体" w:cs="宋体"/>
                <w:color w:val="000000"/>
                <w:sz w:val="18"/>
                <w:highlight w:val="none"/>
              </w:rPr>
              <w:t>万以下火灾事故。</w:t>
            </w:r>
          </w:p>
        </w:tc>
        <w:tc>
          <w:tcPr>
            <w:tcW w:w="5252" w:type="dxa"/>
            <w:gridSpan w:val="3"/>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扣款</w:t>
            </w:r>
            <w:r>
              <w:rPr>
                <w:rFonts w:ascii="Calibri" w:hAnsi="Calibri" w:eastAsia="Calibri" w:cs="Calibri"/>
                <w:color w:val="000000"/>
                <w:sz w:val="18"/>
                <w:highlight w:val="none"/>
              </w:rPr>
              <w:t>50000</w:t>
            </w:r>
            <w:r>
              <w:rPr>
                <w:rFonts w:ascii="宋体" w:hAnsi="宋体" w:cs="宋体"/>
                <w:color w:val="000000"/>
                <w:sz w:val="18"/>
                <w:highlight w:val="none"/>
              </w:rPr>
              <w:t>元。</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9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w:t>
            </w:r>
          </w:p>
        </w:tc>
        <w:tc>
          <w:tcPr>
            <w:tcW w:w="2300"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发生直接经济损失</w:t>
            </w:r>
            <w:r>
              <w:rPr>
                <w:rFonts w:ascii="Calibri" w:hAnsi="Calibri" w:eastAsia="Calibri" w:cs="Calibri"/>
                <w:color w:val="000000"/>
                <w:sz w:val="18"/>
                <w:highlight w:val="none"/>
              </w:rPr>
              <w:t>30</w:t>
            </w:r>
            <w:r>
              <w:rPr>
                <w:rFonts w:ascii="宋体" w:hAnsi="宋体" w:cs="宋体"/>
                <w:color w:val="000000"/>
                <w:sz w:val="18"/>
                <w:highlight w:val="none"/>
              </w:rPr>
              <w:t>万以下火灾事故。</w:t>
            </w:r>
          </w:p>
        </w:tc>
        <w:tc>
          <w:tcPr>
            <w:tcW w:w="5252" w:type="dxa"/>
            <w:gridSpan w:val="3"/>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扣款</w:t>
            </w:r>
            <w:r>
              <w:rPr>
                <w:rFonts w:ascii="Calibri" w:hAnsi="Calibri" w:eastAsia="Calibri" w:cs="Calibri"/>
                <w:color w:val="000000"/>
                <w:sz w:val="18"/>
                <w:highlight w:val="none"/>
              </w:rPr>
              <w:t>20000</w:t>
            </w:r>
            <w:r>
              <w:rPr>
                <w:rFonts w:ascii="宋体" w:hAnsi="宋体" w:cs="宋体"/>
                <w:color w:val="000000"/>
                <w:sz w:val="18"/>
                <w:highlight w:val="none"/>
              </w:rPr>
              <w:t>元。</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w:t>
            </w:r>
          </w:p>
        </w:tc>
        <w:tc>
          <w:tcPr>
            <w:tcW w:w="2300"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发生火险。</w:t>
            </w:r>
          </w:p>
        </w:tc>
        <w:tc>
          <w:tcPr>
            <w:tcW w:w="5252" w:type="dxa"/>
            <w:gridSpan w:val="3"/>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扣款10000元。</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w:t>
            </w:r>
          </w:p>
        </w:tc>
        <w:tc>
          <w:tcPr>
            <w:tcW w:w="2300"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发生一般以下环境污染事件。</w:t>
            </w:r>
          </w:p>
        </w:tc>
        <w:tc>
          <w:tcPr>
            <w:tcW w:w="5252" w:type="dxa"/>
            <w:gridSpan w:val="3"/>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扣款</w:t>
            </w:r>
            <w:r>
              <w:rPr>
                <w:rFonts w:ascii="Calibri" w:hAnsi="Calibri" w:eastAsia="Calibri" w:cs="Calibri"/>
                <w:color w:val="000000"/>
                <w:sz w:val="18"/>
                <w:highlight w:val="none"/>
              </w:rPr>
              <w:t>20000</w:t>
            </w:r>
            <w:r>
              <w:rPr>
                <w:rFonts w:ascii="宋体" w:hAnsi="宋体" w:cs="宋体"/>
                <w:color w:val="000000"/>
                <w:sz w:val="18"/>
                <w:highlight w:val="none"/>
              </w:rPr>
              <w:t>元。</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8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w:t>
            </w:r>
          </w:p>
        </w:tc>
        <w:tc>
          <w:tcPr>
            <w:tcW w:w="2300"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发生人员滋事、斗殴造成的治安事件。</w:t>
            </w:r>
          </w:p>
        </w:tc>
        <w:tc>
          <w:tcPr>
            <w:tcW w:w="5252" w:type="dxa"/>
            <w:gridSpan w:val="3"/>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扣款</w:t>
            </w:r>
            <w:r>
              <w:rPr>
                <w:rFonts w:ascii="Calibri" w:hAnsi="Calibri" w:eastAsia="Calibri" w:cs="Calibri"/>
                <w:color w:val="000000"/>
                <w:sz w:val="18"/>
                <w:highlight w:val="none"/>
              </w:rPr>
              <w:t>10000</w:t>
            </w:r>
            <w:r>
              <w:rPr>
                <w:rFonts w:ascii="宋体" w:hAnsi="宋体" w:cs="宋体"/>
                <w:color w:val="000000"/>
                <w:sz w:val="18"/>
                <w:highlight w:val="none"/>
              </w:rPr>
              <w:t>元。</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b/>
                <w:color w:val="000000"/>
                <w:sz w:val="18"/>
                <w:highlight w:val="none"/>
              </w:rPr>
              <w:t>序号</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b/>
                <w:color w:val="000000"/>
                <w:sz w:val="18"/>
                <w:highlight w:val="none"/>
              </w:rPr>
              <w:t>违章考核条款内容</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b/>
                <w:color w:val="000000"/>
                <w:sz w:val="18"/>
                <w:highlight w:val="none"/>
              </w:rPr>
              <w:t>违章类型</w:t>
            </w:r>
          </w:p>
        </w:tc>
        <w:tc>
          <w:tcPr>
            <w:tcW w:w="1024" w:type="dxa"/>
            <w:tcBorders>
              <w:top w:val="single" w:color="000000" w:sz="8" w:space="0"/>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b/>
                <w:color w:val="000000"/>
                <w:sz w:val="18"/>
                <w:highlight w:val="none"/>
              </w:rPr>
              <w:t>扣奖金额</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进入生产现场不戴安全帽。</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现场作业安全帽不系帽带。</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参观学习人员进入生产现场未规范佩戴安全帽，或穿着不符合要求，考核接待部门。</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作业人员未穿着工作服，或着装不符合安规要求。</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使用中的防护用品不符合国家有关标准和公司要求。</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在禁止使用无线通讯设备场所使用无线通讯设备。</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超出范围作业，或擅自出入重要生产场所。</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进入配电室、电子室、工程师站、供氢站、油库等区域时违反进入该区域的相关规定。</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不按工种或作业要求佩带、使用安全用具。</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使用未经检验合格或检验过期的工器具。</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未经入厂教育并考试合格即参与施工作业。</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实习、代培、临时用工以及外来人员的安全教育不符合规定。</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无故不参加公司组织的安全会议、培训，或违反会议管理规定。</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未按规定执行双确认。</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无证从事特种作业或特种设备作业，或证书已过期。</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16 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在易燃、易爆危险区内吸烟。</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17 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在生产区域其它场所内吸烟（指定的吸烟点、室除外）。</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18 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酒后作业。</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69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19 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修工作结束未做到工完料尽、场地清洁，值班人员未把关而注销工作票或缺陷单（如确系一时无法完成的，可在检修交待本上注明完成清理时间，在规定期限内完成），视未清理面积。</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因检修等工作损坏有关固定设施（如沟板、门窗）未及时联系恢复，或未采取措施恢复的。</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21 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生产现场进行电、气焊作业，地面拌水泥及保温泥，未做好防护措施，损坏地面、墙面设施，</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22 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在室内外场地、路旁、门厅、走廊及楼梯等处乱堆设备、器材或杂物垃圾，或私搭违章建筑根据面积。</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23 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乱倒垃圾。</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24 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车辆在厂区道路行驶随地散落，造成道路不洁。</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25 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自行车、电动自行车、摩托车进入生产区域。</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26 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在生产、生活设备、设施、墙面等处乱涂、乱画、乱写、乱刻、有意印手印、脚印等。</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27 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在宣传栏、广告栏以外的地方张贴、涂写。</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28 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资料台帐有撕页、缺页、乱涂乱画现象。</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29 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未按文明生产整改单所列要求及时整改（提出整改计划，并经同意除外）。</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未按要求定期组织进行安全、文明生产检查，或无检查记录的。</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31 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无操作票或工作票（检修作业联系单、检修作业通知单）作业。</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32 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擅自扩大工作票（检修作业联系单、检修作业通知单）作业范围，及擅自变更、破坏、撤销工作票（检修作业联系单、检修作业通知单）安全措施。</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33 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工作票（检修作业联系单）安措未执行完毕，工作票（检修作业联系单）已许可。</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34 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未查明工作票（检修作业联系单、检修作业通知单）是否已押回或终结、现场设备是否具备送电、送气、送油、送危化品等条件即输送介质或能量。</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35 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特殊作业前未开展危险源辨识，作业中未严格执行危险源管控措施。</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36 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工作票（检修作业联系单、检修作业通知单）负责人与风险预控措施交底单中工作负责人不一致。</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37 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工作票（检修作业联系单）安全措施填写错误。</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38 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工作票安措执行存在漏项。</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39 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工作票（检修作业联系单、检修作业通知单）种类选择错误或工作内容填写错误。</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40 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工作票（检修作业联系单、检修作业通知单）中安全措施设备名称描述与现场设备名称不一致。</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41 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工作票（检修作业联系单、检修作业通知单）涉及的工作单位、班组与实际不符。</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42 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动火工作票上未填写可燃可爆气体的检测值。</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43 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设备检修前，工作许可人未和工作负责人同时到检修现场检查安全措施是否已正确执行。</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44 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进场工作前，工作负责人未向工作班成员交代安全措施、危险点预控措施及注意事项，并经双方签字认可即开工。</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45 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工作班成员工作前未了解安全措施、危险点预控措施、注意事项和工作任务即工作。</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46 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作业人员与工作票（检修作业联系单、检修作业通知单）成员不符合。</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47 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现场作业时，工作票未随身携带。</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48 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检修工作中工作负责人离开现场，未指定临时工作负责人。</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49 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工作中更换工作负责人，但未办理变更手续。</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现场动火作业，防火措施不到位，监护不到位。</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51 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焊工工作完毕，不及时清理皮管导线，不关闭乙炔、氧气阀门，或作业结束未做到工完料尽场地清。</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52 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擅自变更检修安全措施。</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53 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临时工作负责人已超过2小时，未进行工作负责人变更。</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54 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检修工作期限超限，未及时办理延期手续。</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55 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全部工作完毕后，工作负责人未与运行人员同时到检修现场检查。</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56 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检修工作结束，未及时进行工作票（检修作业联系单、检修作业通知单）终结。</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57 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工作票（检修作业联系单）终结后安措涉及的标识牌未收回。</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58 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工作结束未及时封堵孔洞、盖好沟道盖板。</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59 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检修后的设备试运时，未认真检查即在设备试运单上签字，设备试验数据未进行记录。</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60 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检修完毕未按规定在检修记录交代本上交代检修结果的。</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61 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操作票操作步骤未执行，操作票票面已打“√”确认。</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62 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同时持两份不同操作票，交叉操作。</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63 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操作前未检查验电笔、摇表等安全工器具是否完好。</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64 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操作时操作人未确认设备名称、编号、位置就开始操作。</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65 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操作监护人不到位，操作人擅自操作。</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66 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操作监护人未监护，与操作人一起操作，或脱离岗位去从事其他活动。</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67 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操作时未唱票、复诵，复诵不严肃，声音微弱，双方听不清。</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68 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携带操作票未使用。</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69 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操作中未按操作票顺序逐项操作，并打“√”。</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70 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电气几个操作任务合写在一张操作票上，未分别填写。</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71 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在填写操作票时涂改，电气设备不按规定使用双重名称。</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72 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远方操作启动设备未到就地检查。</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73 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操作过程中给学习人员讲解。</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74 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操作完未进行复查。</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75 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倒闸操作时，监护人协助操作。</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76 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操作票未执行项目，未进行备注说明。</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77 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监护人员未按操作票制度执行监护职责，监护不到位。</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78 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操作票发令时间在操作开始时间之后。</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79 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现场考问工作负责人、作业人员，未掌握主要风险和防范措施。</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80 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操作票开始操作时间未进行记录，操作结束后未及时填写结束时间。</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81 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操作票票面填写的操作开始至操作结束时间段，与实际操作需要的时间偏差较大。</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82 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操作票内须记录的数据、编号等内容，未按照要求进行填写。</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83 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电气倒闸操作结束后未对使用的接地线进行记录。</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84 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未按规定对“两票”执行情况进行检查评价并形成记录，或对存在问题没有采取措施整改的。</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85 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交接班不认真，交接内容不清楚。</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86 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岗位交接班制度不严，未开展交班会、接班会，未在岗位进行交接，或未按规定进行设备系统工况检查即交接班。</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87 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未到正点以及接班人未签字即交接班。</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88 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值班记录本记录内容不齐全，字迹不清楚。</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89 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巡回检查不准时，未按巡回路线检查设备，检查不到位。</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90 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设备未按规定时间进行定期切换工作。</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91 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交接班巡检制度执行不规范，现场部分重点设备检查不到位。</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92 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班组设备巡回检查台账记录不全。</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93 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巡检记录内容不真实。</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94 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值班监盘不认真，表计变化发现不及时，抄表弄虚作假。</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95 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未经审批擅自修改逻辑及保护定值或退出热控、电气保护。</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96 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未按规定批准擅自解除“五防”闭锁装置。</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97 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单人在高压室或室外高压设备区从事维修工作。</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98 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约时停、送电或启动设备。</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99 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未经申请使用临时检修电源或乱拉乱接。</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电源线放置在热体上烘烤或放置在尖硬物上，或经过道路未做好防护措施。</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101 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电缆破损或敷设不规范。</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102 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配电箱不按规定接地，未做好封堵、无图纸或检查记录。</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103 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配电箱无漏电保护器、无检验合格证，或不按一机一闸一保护使用。</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104 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配电箱内部接线混乱，固定部件松脱，安装不符合要求，箱门敞开、变形损坏。</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105 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使用不合格或无检验合格证的安全工器具、电动工具。</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106 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使用电气工具后或遇临时停电没有及时切断电源。</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107 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带电移动低压电气设备，或检修工作结束后电动工具或行灯电源未切断电源就收线。</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108 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在停运中的皮带上行走或跨越皮带。</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109 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使用砂轮时不戴防护眼镜。</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110 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设备修复后未将设备标示牌、安全标志恢复。</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111 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在转动的机械、输煤皮带上从事清除作业。</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112 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在码头系缆绳作业不穿救生衣，或在码头、轮船边沿作业不穿救生衣。</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113 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高处作业未使用安全带。</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114 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高处作业安全带使用不规范。</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115 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5米及以上爬梯不使用防坠器。</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116 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脚手架未验收、未签字或未挂验收牌即投入使用。</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117 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脚手架搭设不符合要求。</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118 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高处作业随意抛掷工具、材料杂物、垃圾或造成施工现场污染。</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119 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脚手架搭设、拆除未做好防护措施。</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120 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使用带缺陷的梯子或底部无防滑装置的梯子进行高处作业。</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121 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两家及以上单位在同一区域交叉作业时，未签订交叉作业</w:t>
            </w:r>
            <w:r>
              <w:rPr>
                <w:rFonts w:hint="eastAsia" w:ascii="宋体" w:hAnsi="宋体" w:cs="宋体"/>
                <w:color w:val="000000"/>
                <w:sz w:val="18"/>
                <w:highlight w:val="none"/>
              </w:rPr>
              <w:t>技术规范</w:t>
            </w:r>
            <w:r>
              <w:rPr>
                <w:rFonts w:ascii="宋体" w:hAnsi="宋体" w:cs="宋体"/>
                <w:color w:val="000000"/>
                <w:sz w:val="18"/>
                <w:highlight w:val="none"/>
              </w:rPr>
              <w:t>。</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122 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交叉作业无防护隔离措施。</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123 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违反汽轮机上缸作业规定。</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124 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气瓶使用不符合安规及管理制度要求。</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125 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违反规定进行电焊作业。</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126 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使用有缺陷的焊接工器具。</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127 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电焊机外壳无接地或接地不规范。</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128 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违规使用、储存易燃易爆物品或危险化学品。</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129 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起重作业现场无人指挥和监护。</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130 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起重作业现场无安全围栏和警示标志。</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131 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用不合格的钢丝绳、麻绳起吊设备或重物，或超负荷起吊。</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132 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利用管道、栏杆悬吊重物和起重滑车。</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133 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使用有缺陷的起重工器具（如手拉葫芦吊钩损坏、千斤顶头盖缺失等）。</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134 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在起重过程中，人员在起重物和起重臂下随意行走或逗留。</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135 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有限空间作业未严格执行“先通风、再检测、后进入”原则。</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136 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未办理有限空间准入证进行作业。</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137 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有限空间作业人员出入登记未签名或记录不规范。</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138 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有限空间作业现场无人监护。</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139 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有限空间作业不符合其他安全管理要求。</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140 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挖掘的基坑、井坑未做好防滑坡措施，坡边堆积土方、材料等。</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141 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在高粉尘区域作业，没有采取防尘措施，或措施不全。</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142 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在有毒有害场所作业未按规定使用排风扇等设施。</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8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143 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违反《工作票管理》《操作票管理》《危险化学品管理》《安全作业管理》《特种作业人员管理》《有限（密闭）空间作业管理》等，无明确考核条款适用的。</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1000-2500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144 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不执行安全风险分级管控工作要求。</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145 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未签订《承发包工程安健环及文明施工安全</w:t>
            </w:r>
            <w:r>
              <w:rPr>
                <w:rFonts w:hint="eastAsia" w:ascii="宋体" w:hAnsi="宋体" w:cs="宋体"/>
                <w:color w:val="000000"/>
                <w:sz w:val="18"/>
                <w:highlight w:val="none"/>
              </w:rPr>
              <w:t>技术规范</w:t>
            </w:r>
            <w:r>
              <w:rPr>
                <w:rFonts w:ascii="宋体" w:hAnsi="宋体" w:cs="宋体"/>
                <w:color w:val="000000"/>
                <w:sz w:val="18"/>
                <w:highlight w:val="none"/>
              </w:rPr>
              <w:t>》，擅自开始检修作业。</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146 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外包单位未按规定签署开工报审表，擅自开工的。</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147 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不执行安全技术措施或施工作业方案，冒险作业。</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148 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责任部门未按规定对责任区内的消防设施、器材进行自查、记录的。</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149 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发生火险使用消防器材未及时报告消防队的。</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非火警擅自启用、使用消防器材及设施。</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151 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任意折卸、涂改各类消防警告标牌的。</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152 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易燃易爆危险化学品使用、储存、运输、管理部门，未按规定进行自查、整改、记录。</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153 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擅自堆放物资阻塞消防设施、消防通道或防火间距的。</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154 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未经审批，擅自搭建临时建筑违反用火、用电安全规定，发现后仍不整改的。</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155 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对出入禁火区域（油库区、储氢区、特殊材料库）的车辆未按规定佩戴防火罩的。</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156 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指使或者强令他人违反安全规定，冒险作业，尚未造成后果的。</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指挥性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157 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无证驾驶机动车辆。</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158 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货运车辆和其他专用车辆载人。</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159 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非作业车辆进入主厂房的。</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160 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随意在厂区道路上堆物，影响正常通行的。</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84"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161 </w:t>
            </w:r>
          </w:p>
        </w:tc>
        <w:tc>
          <w:tcPr>
            <w:tcW w:w="5594"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未经审批随意在厂区道路上挖沟（坑）、开凿或已办审批未设置警示标志等防护措施的。</w:t>
            </w:r>
          </w:p>
        </w:tc>
        <w:tc>
          <w:tcPr>
            <w:tcW w:w="934"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1024"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80" w:hRule="atLeast"/>
        </w:trPr>
        <w:tc>
          <w:tcPr>
            <w:tcW w:w="784" w:type="dxa"/>
            <w:tcBorders>
              <w:top w:val="nil"/>
              <w:left w:val="single" w:color="000000" w:sz="12" w:space="0"/>
              <w:bottom w:val="single" w:color="000000" w:sz="12"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162 </w:t>
            </w:r>
          </w:p>
        </w:tc>
        <w:tc>
          <w:tcPr>
            <w:tcW w:w="5594" w:type="dxa"/>
            <w:gridSpan w:val="2"/>
            <w:tcBorders>
              <w:top w:val="nil"/>
              <w:left w:val="nil"/>
              <w:bottom w:val="single" w:color="000000" w:sz="12"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其他违反安规及公司有关安全生产管理标准、规程、规定的行为、现象。</w:t>
            </w:r>
          </w:p>
        </w:tc>
        <w:tc>
          <w:tcPr>
            <w:tcW w:w="934" w:type="dxa"/>
            <w:tcBorders>
              <w:top w:val="nil"/>
              <w:left w:val="nil"/>
              <w:bottom w:val="single" w:color="000000" w:sz="12"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管理性/作业性</w:t>
            </w:r>
          </w:p>
        </w:tc>
        <w:tc>
          <w:tcPr>
            <w:tcW w:w="1024" w:type="dxa"/>
            <w:tcBorders>
              <w:top w:val="nil"/>
              <w:left w:val="nil"/>
              <w:bottom w:val="single" w:color="000000" w:sz="12"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500～8000</w:t>
            </w:r>
          </w:p>
        </w:tc>
      </w:tr>
    </w:tbl>
    <w:p>
      <w:pPr>
        <w:pStyle w:val="216"/>
        <w:pBdr>
          <w:top w:val="none" w:color="000000" w:sz="0" w:space="0"/>
          <w:left w:val="none" w:color="000000" w:sz="0" w:space="0"/>
          <w:bottom w:val="none" w:color="000000" w:sz="0" w:space="0"/>
          <w:right w:val="none" w:color="000000" w:sz="0" w:space="0"/>
        </w:pBdr>
        <w:spacing w:before="240" w:after="240"/>
        <w:rPr>
          <w:highlight w:val="none"/>
        </w:rPr>
      </w:pPr>
      <w:r>
        <w:rPr>
          <w:rFonts w:asciiTheme="minorEastAsia" w:hAnsiTheme="minorEastAsia" w:eastAsiaTheme="minorEastAsia" w:cstheme="minorEastAsia"/>
          <w:color w:val="000000"/>
          <w:sz w:val="22"/>
          <w:highlight w:val="none"/>
        </w:rPr>
        <w:t>注：治安、消防、交通等违章行为的考核，在公司</w:t>
      </w:r>
      <w:r>
        <w:rPr>
          <w:rFonts w:asciiTheme="minorEastAsia" w:hAnsiTheme="minorEastAsia" w:eastAsiaTheme="minorEastAsia" w:cstheme="minorEastAsia"/>
          <w:color w:val="000000"/>
          <w:highlight w:val="none"/>
        </w:rPr>
        <w:t>Q/ZNYD 2020《奖金考核分配及奖惩管理》中另有明确规定的，则根据相关条款进行考核。</w:t>
      </w:r>
    </w:p>
    <w:p>
      <w:pPr>
        <w:pStyle w:val="216"/>
        <w:widowControl/>
        <w:jc w:val="left"/>
        <w:rPr>
          <w:rFonts w:hint="eastAsia" w:asciiTheme="minorEastAsia" w:hAnsiTheme="minorEastAsia" w:eastAsiaTheme="minorEastAsia"/>
          <w:sz w:val="21"/>
          <w:szCs w:val="21"/>
          <w:highlight w:val="none"/>
        </w:rPr>
      </w:pPr>
      <w:r>
        <w:rPr>
          <w:rFonts w:asciiTheme="minorEastAsia" w:hAnsiTheme="minorEastAsia" w:eastAsiaTheme="minorEastAsia" w:cstheme="minorEastAsia"/>
          <w:highlight w:val="none"/>
        </w:rPr>
        <w:br w:type="page"/>
      </w:r>
    </w:p>
    <w:p>
      <w:pPr>
        <w:pStyle w:val="409"/>
        <w:numPr>
          <w:ilvl w:val="0"/>
          <w:numId w:val="22"/>
        </w:numPr>
        <w:spacing w:before="0" w:after="0" w:line="240" w:lineRule="exact"/>
        <w:ind w:left="0"/>
        <w:rPr>
          <w:rFonts w:hint="eastAsia" w:asciiTheme="minorEastAsia" w:hAnsiTheme="minorEastAsia" w:eastAsiaTheme="minorEastAsia"/>
          <w:sz w:val="21"/>
          <w:szCs w:val="21"/>
          <w:highlight w:val="none"/>
        </w:rPr>
      </w:pPr>
    </w:p>
    <w:p>
      <w:pPr>
        <w:pStyle w:val="216"/>
        <w:pBdr>
          <w:top w:val="none" w:color="000000" w:sz="0" w:space="0"/>
          <w:left w:val="none" w:color="000000" w:sz="0" w:space="0"/>
          <w:bottom w:val="none" w:color="000000" w:sz="0" w:space="0"/>
          <w:right w:val="none" w:color="000000" w:sz="0" w:space="0"/>
        </w:pBdr>
        <w:jc w:val="center"/>
        <w:rPr>
          <w:rFonts w:hint="eastAsia" w:asciiTheme="minorEastAsia" w:hAnsiTheme="minorEastAsia" w:eastAsiaTheme="minorEastAsia"/>
          <w:sz w:val="22"/>
          <w:highlight w:val="none"/>
        </w:rPr>
      </w:pPr>
      <w:r>
        <w:rPr>
          <w:rFonts w:hint="eastAsia" w:asciiTheme="minorEastAsia" w:hAnsiTheme="minorEastAsia" w:eastAsiaTheme="minorEastAsia" w:cstheme="minorEastAsia"/>
          <w:highlight w:val="none"/>
        </w:rPr>
        <w:t>《</w:t>
      </w:r>
      <w:r>
        <w:rPr>
          <w:rFonts w:asciiTheme="minorEastAsia" w:hAnsiTheme="minorEastAsia" w:eastAsiaTheme="minorEastAsia" w:cstheme="minorEastAsia"/>
          <w:color w:val="000000"/>
          <w:sz w:val="22"/>
          <w:highlight w:val="none"/>
        </w:rPr>
        <w:t>考核标准和违章记分</w:t>
      </w:r>
      <w:r>
        <w:rPr>
          <w:rFonts w:hint="eastAsia" w:asciiTheme="minorEastAsia" w:hAnsiTheme="minorEastAsia" w:eastAsiaTheme="minorEastAsia" w:cstheme="minorEastAsia"/>
          <w:highlight w:val="none"/>
        </w:rPr>
        <w:t>》内容</w:t>
      </w:r>
    </w:p>
    <w:tbl>
      <w:tblPr>
        <w:tblStyle w:val="38"/>
        <w:tblW w:w="8336" w:type="dxa"/>
        <w:tblInd w:w="0" w:type="dxa"/>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Layout w:type="fixed"/>
        <w:tblCellMar>
          <w:top w:w="0" w:type="dxa"/>
          <w:left w:w="108" w:type="dxa"/>
          <w:bottom w:w="0" w:type="dxa"/>
          <w:right w:w="108" w:type="dxa"/>
        </w:tblCellMar>
      </w:tblPr>
      <w:tblGrid>
        <w:gridCol w:w="705"/>
        <w:gridCol w:w="2061"/>
        <w:gridCol w:w="2888"/>
        <w:gridCol w:w="837"/>
        <w:gridCol w:w="837"/>
        <w:gridCol w:w="1008"/>
      </w:tblGrid>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00" w:hRule="atLeast"/>
        </w:trPr>
        <w:tc>
          <w:tcPr>
            <w:tcW w:w="705" w:type="dxa"/>
            <w:tcBorders>
              <w:top w:val="single" w:color="000000" w:sz="12" w:space="0"/>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b/>
                <w:color w:val="000000"/>
                <w:sz w:val="18"/>
                <w:highlight w:val="none"/>
              </w:rPr>
              <w:t>序号</w:t>
            </w:r>
          </w:p>
        </w:tc>
        <w:tc>
          <w:tcPr>
            <w:tcW w:w="2061" w:type="dxa"/>
            <w:tcBorders>
              <w:top w:val="single" w:color="000000" w:sz="12" w:space="0"/>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b/>
                <w:color w:val="000000"/>
                <w:sz w:val="18"/>
                <w:highlight w:val="none"/>
              </w:rPr>
              <w:t>违章考核条款内容</w:t>
            </w:r>
          </w:p>
        </w:tc>
        <w:tc>
          <w:tcPr>
            <w:tcW w:w="5570" w:type="dxa"/>
            <w:gridSpan w:val="4"/>
            <w:tcBorders>
              <w:top w:val="single" w:color="000000" w:sz="12" w:space="0"/>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b/>
                <w:color w:val="000000"/>
                <w:sz w:val="18"/>
                <w:highlight w:val="none"/>
              </w:rPr>
              <w:t>违章记分及扣奖金额</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8336" w:type="dxa"/>
            <w:gridSpan w:val="6"/>
            <w:tcBorders>
              <w:top w:val="nil"/>
              <w:left w:val="single" w:color="000000" w:sz="12" w:space="0"/>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b/>
                <w:color w:val="000000"/>
                <w:sz w:val="18"/>
                <w:highlight w:val="none"/>
              </w:rPr>
              <w:t>一、事故事件</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2061"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发生人为责任性一类障碍。</w:t>
            </w:r>
          </w:p>
        </w:tc>
        <w:tc>
          <w:tcPr>
            <w:tcW w:w="5570" w:type="dxa"/>
            <w:gridSpan w:val="4"/>
            <w:tcBorders>
              <w:top w:val="single" w:color="000000" w:sz="8" w:space="0"/>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扣主要责任者10分，次要责任者5分。其他按照公司</w:t>
            </w:r>
            <w:r>
              <w:rPr>
                <w:rFonts w:ascii="Calibri" w:hAnsi="Calibri" w:eastAsia="Calibri" w:cs="Calibri"/>
                <w:color w:val="000000"/>
                <w:sz w:val="18"/>
                <w:highlight w:val="none"/>
              </w:rPr>
              <w:t>Q/ZNYD 2020</w:t>
            </w:r>
            <w:r>
              <w:rPr>
                <w:rFonts w:ascii="宋体" w:hAnsi="宋体" w:cs="宋体"/>
                <w:color w:val="000000"/>
                <w:sz w:val="18"/>
                <w:highlight w:val="none"/>
              </w:rPr>
              <w:t>《奖金考核分配及奖惩管理》第</w:t>
            </w:r>
            <w:r>
              <w:rPr>
                <w:rFonts w:ascii="Calibri" w:hAnsi="Calibri" w:eastAsia="Calibri" w:cs="Calibri"/>
                <w:color w:val="000000"/>
                <w:sz w:val="18"/>
                <w:highlight w:val="none"/>
              </w:rPr>
              <w:t>8.1.2.1</w:t>
            </w:r>
            <w:r>
              <w:rPr>
                <w:rFonts w:ascii="宋体" w:hAnsi="宋体" w:cs="宋体"/>
                <w:color w:val="000000"/>
                <w:sz w:val="18"/>
                <w:highlight w:val="none"/>
              </w:rPr>
              <w:t>条执行。</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2061"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发生人为责任性二类障碍。</w:t>
            </w:r>
          </w:p>
        </w:tc>
        <w:tc>
          <w:tcPr>
            <w:tcW w:w="5570" w:type="dxa"/>
            <w:gridSpan w:val="4"/>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扣主要责任者5分，次要责任者3分。其他按照公司</w:t>
            </w:r>
            <w:r>
              <w:rPr>
                <w:rFonts w:ascii="Calibri" w:hAnsi="Calibri" w:eastAsia="Calibri" w:cs="Calibri"/>
                <w:color w:val="000000"/>
                <w:sz w:val="18"/>
                <w:highlight w:val="none"/>
              </w:rPr>
              <w:t>Q/ZNYD 2020</w:t>
            </w:r>
            <w:r>
              <w:rPr>
                <w:rFonts w:ascii="宋体" w:hAnsi="宋体" w:cs="宋体"/>
                <w:color w:val="000000"/>
                <w:sz w:val="18"/>
                <w:highlight w:val="none"/>
              </w:rPr>
              <w:t>《奖金考核分配及奖惩管理》第</w:t>
            </w:r>
            <w:r>
              <w:rPr>
                <w:rFonts w:ascii="Calibri" w:hAnsi="Calibri" w:eastAsia="Calibri" w:cs="Calibri"/>
                <w:color w:val="000000"/>
                <w:sz w:val="18"/>
                <w:highlight w:val="none"/>
              </w:rPr>
              <w:t>8.1.2.1</w:t>
            </w:r>
            <w:r>
              <w:rPr>
                <w:rFonts w:ascii="宋体" w:hAnsi="宋体" w:cs="宋体"/>
                <w:color w:val="000000"/>
                <w:sz w:val="18"/>
                <w:highlight w:val="none"/>
              </w:rPr>
              <w:t>条执行。</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w:t>
            </w:r>
          </w:p>
        </w:tc>
        <w:tc>
          <w:tcPr>
            <w:tcW w:w="2061"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发生责任性异常事件。</w:t>
            </w:r>
          </w:p>
        </w:tc>
        <w:tc>
          <w:tcPr>
            <w:tcW w:w="5570" w:type="dxa"/>
            <w:gridSpan w:val="4"/>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扣主要责任者3分，次要责任者2分。其他按照公司</w:t>
            </w:r>
            <w:r>
              <w:rPr>
                <w:rFonts w:ascii="Calibri" w:hAnsi="Calibri" w:eastAsia="Calibri" w:cs="Calibri"/>
                <w:color w:val="000000"/>
                <w:sz w:val="18"/>
                <w:highlight w:val="none"/>
              </w:rPr>
              <w:t>Q/ZNYD 2020</w:t>
            </w:r>
            <w:r>
              <w:rPr>
                <w:rFonts w:ascii="宋体" w:hAnsi="宋体" w:cs="宋体"/>
                <w:color w:val="000000"/>
                <w:sz w:val="18"/>
                <w:highlight w:val="none"/>
              </w:rPr>
              <w:t>《奖金考核分配及奖惩管理》第</w:t>
            </w:r>
            <w:r>
              <w:rPr>
                <w:rFonts w:ascii="Calibri" w:hAnsi="Calibri" w:eastAsia="Calibri" w:cs="Calibri"/>
                <w:color w:val="000000"/>
                <w:sz w:val="18"/>
                <w:highlight w:val="none"/>
              </w:rPr>
              <w:t>8.1.2.1</w:t>
            </w:r>
            <w:r>
              <w:rPr>
                <w:rFonts w:ascii="宋体" w:hAnsi="宋体" w:cs="宋体"/>
                <w:color w:val="000000"/>
                <w:sz w:val="18"/>
                <w:highlight w:val="none"/>
              </w:rPr>
              <w:t>条执行。</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w:t>
            </w:r>
          </w:p>
        </w:tc>
        <w:tc>
          <w:tcPr>
            <w:tcW w:w="2061"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发生人身重伤。</w:t>
            </w:r>
          </w:p>
        </w:tc>
        <w:tc>
          <w:tcPr>
            <w:tcW w:w="5570" w:type="dxa"/>
            <w:gridSpan w:val="4"/>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扣责任者15分，其他按照浙能电力股份</w:t>
            </w:r>
            <w:r>
              <w:rPr>
                <w:rFonts w:ascii="Calibri" w:hAnsi="Calibri" w:eastAsia="Calibri" w:cs="Calibri"/>
                <w:color w:val="000000"/>
                <w:sz w:val="18"/>
                <w:highlight w:val="none"/>
              </w:rPr>
              <w:t>Q/ZD 205043</w:t>
            </w:r>
            <w:r>
              <w:rPr>
                <w:rFonts w:ascii="宋体" w:hAnsi="宋体" w:cs="宋体"/>
                <w:color w:val="000000"/>
                <w:sz w:val="18"/>
                <w:highlight w:val="none"/>
              </w:rPr>
              <w:t>《安全生产工作奖惩规定》第</w:t>
            </w:r>
            <w:r>
              <w:rPr>
                <w:rFonts w:ascii="Calibri" w:hAnsi="Calibri" w:eastAsia="Calibri" w:cs="Calibri"/>
                <w:color w:val="000000"/>
                <w:sz w:val="18"/>
                <w:highlight w:val="none"/>
              </w:rPr>
              <w:t>6.1</w:t>
            </w:r>
            <w:r>
              <w:rPr>
                <w:rFonts w:ascii="宋体" w:hAnsi="宋体" w:cs="宋体"/>
                <w:color w:val="000000"/>
                <w:sz w:val="18"/>
                <w:highlight w:val="none"/>
              </w:rPr>
              <w:t>条执行。</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w:t>
            </w:r>
          </w:p>
        </w:tc>
        <w:tc>
          <w:tcPr>
            <w:tcW w:w="2061"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发生人身轻伤。</w:t>
            </w:r>
          </w:p>
        </w:tc>
        <w:tc>
          <w:tcPr>
            <w:tcW w:w="5570" w:type="dxa"/>
            <w:gridSpan w:val="4"/>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扣主要责任者10分，次要责任者5分。其他按照公司</w:t>
            </w:r>
            <w:r>
              <w:rPr>
                <w:rFonts w:ascii="Calibri" w:hAnsi="Calibri" w:eastAsia="Calibri" w:cs="Calibri"/>
                <w:color w:val="000000"/>
                <w:sz w:val="18"/>
                <w:highlight w:val="none"/>
              </w:rPr>
              <w:t>Q/ZNYD 2020</w:t>
            </w:r>
            <w:r>
              <w:rPr>
                <w:rFonts w:ascii="宋体" w:hAnsi="宋体" w:cs="宋体"/>
                <w:color w:val="000000"/>
                <w:sz w:val="18"/>
                <w:highlight w:val="none"/>
              </w:rPr>
              <w:t>《奖金考核分配及奖惩管理》第</w:t>
            </w:r>
            <w:r>
              <w:rPr>
                <w:rFonts w:ascii="Calibri" w:hAnsi="Calibri" w:eastAsia="Calibri" w:cs="Calibri"/>
                <w:color w:val="000000"/>
                <w:sz w:val="18"/>
                <w:highlight w:val="none"/>
              </w:rPr>
              <w:t>8.1.2.1</w:t>
            </w:r>
            <w:r>
              <w:rPr>
                <w:rFonts w:ascii="宋体" w:hAnsi="宋体" w:cs="宋体"/>
                <w:color w:val="000000"/>
                <w:sz w:val="18"/>
                <w:highlight w:val="none"/>
              </w:rPr>
              <w:t>条执行。</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w:t>
            </w:r>
          </w:p>
        </w:tc>
        <w:tc>
          <w:tcPr>
            <w:tcW w:w="2061"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发生人身轻微伤。</w:t>
            </w:r>
          </w:p>
        </w:tc>
        <w:tc>
          <w:tcPr>
            <w:tcW w:w="5570" w:type="dxa"/>
            <w:gridSpan w:val="4"/>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扣主要责任者3分，扣款1000元；次要责任者2分，扣款500元。</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w:t>
            </w:r>
          </w:p>
        </w:tc>
        <w:tc>
          <w:tcPr>
            <w:tcW w:w="2061"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发生恶性未遂事件。</w:t>
            </w:r>
          </w:p>
        </w:tc>
        <w:tc>
          <w:tcPr>
            <w:tcW w:w="5570" w:type="dxa"/>
            <w:gridSpan w:val="4"/>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扣主要责任者10分，次要责任者5分。其他按照公司</w:t>
            </w:r>
            <w:r>
              <w:rPr>
                <w:rFonts w:ascii="Calibri" w:hAnsi="Calibri" w:eastAsia="Calibri" w:cs="Calibri"/>
                <w:color w:val="000000"/>
                <w:sz w:val="18"/>
                <w:highlight w:val="none"/>
              </w:rPr>
              <w:t>Q/ZNYD 2020</w:t>
            </w:r>
            <w:r>
              <w:rPr>
                <w:rFonts w:ascii="宋体" w:hAnsi="宋体" w:cs="宋体"/>
                <w:color w:val="000000"/>
                <w:sz w:val="18"/>
                <w:highlight w:val="none"/>
              </w:rPr>
              <w:t>《奖金考核分配及奖惩管理》第</w:t>
            </w:r>
            <w:r>
              <w:rPr>
                <w:rFonts w:ascii="Calibri" w:hAnsi="Calibri" w:eastAsia="Calibri" w:cs="Calibri"/>
                <w:color w:val="000000"/>
                <w:sz w:val="18"/>
                <w:highlight w:val="none"/>
              </w:rPr>
              <w:t>8.1.2.1</w:t>
            </w:r>
            <w:r>
              <w:rPr>
                <w:rFonts w:ascii="宋体" w:hAnsi="宋体" w:cs="宋体"/>
                <w:color w:val="000000"/>
                <w:sz w:val="18"/>
                <w:highlight w:val="none"/>
              </w:rPr>
              <w:t>条执行。</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w:t>
            </w:r>
          </w:p>
        </w:tc>
        <w:tc>
          <w:tcPr>
            <w:tcW w:w="2061"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发生未遂事件。</w:t>
            </w:r>
          </w:p>
        </w:tc>
        <w:tc>
          <w:tcPr>
            <w:tcW w:w="5570" w:type="dxa"/>
            <w:gridSpan w:val="4"/>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扣主要责任者3分，扣款1000元；次要责任者2分，扣款500元。</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80"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w:t>
            </w:r>
          </w:p>
        </w:tc>
        <w:tc>
          <w:tcPr>
            <w:tcW w:w="2061"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发生直接经济损失</w:t>
            </w:r>
            <w:r>
              <w:rPr>
                <w:rFonts w:ascii="Calibri" w:hAnsi="Calibri" w:eastAsia="Calibri" w:cs="Calibri"/>
                <w:color w:val="000000"/>
                <w:sz w:val="18"/>
                <w:highlight w:val="none"/>
              </w:rPr>
              <w:t>30</w:t>
            </w:r>
            <w:r>
              <w:rPr>
                <w:rFonts w:ascii="宋体" w:hAnsi="宋体" w:cs="宋体"/>
                <w:color w:val="000000"/>
                <w:sz w:val="18"/>
                <w:highlight w:val="none"/>
              </w:rPr>
              <w:t>万以上</w:t>
            </w:r>
            <w:r>
              <w:rPr>
                <w:rFonts w:ascii="Calibri" w:hAnsi="Calibri" w:eastAsia="Calibri" w:cs="Calibri"/>
                <w:color w:val="000000"/>
                <w:sz w:val="18"/>
                <w:highlight w:val="none"/>
              </w:rPr>
              <w:t>100</w:t>
            </w:r>
            <w:r>
              <w:rPr>
                <w:rFonts w:ascii="宋体" w:hAnsi="宋体" w:cs="宋体"/>
                <w:color w:val="000000"/>
                <w:sz w:val="18"/>
                <w:highlight w:val="none"/>
              </w:rPr>
              <w:t>万以下火灾事故。</w:t>
            </w:r>
          </w:p>
        </w:tc>
        <w:tc>
          <w:tcPr>
            <w:tcW w:w="5570" w:type="dxa"/>
            <w:gridSpan w:val="4"/>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扣责任者15分，其他按照公司</w:t>
            </w:r>
            <w:r>
              <w:rPr>
                <w:rFonts w:ascii="Calibri" w:hAnsi="Calibri" w:eastAsia="Calibri" w:cs="Calibri"/>
                <w:color w:val="000000"/>
                <w:sz w:val="18"/>
                <w:highlight w:val="none"/>
              </w:rPr>
              <w:t>Q/ZNYD 2020</w:t>
            </w:r>
            <w:r>
              <w:rPr>
                <w:rFonts w:ascii="宋体" w:hAnsi="宋体" w:cs="宋体"/>
                <w:color w:val="000000"/>
                <w:sz w:val="18"/>
                <w:highlight w:val="none"/>
              </w:rPr>
              <w:t>《奖金考核分配及奖惩管理》第</w:t>
            </w:r>
            <w:r>
              <w:rPr>
                <w:rFonts w:ascii="Calibri" w:hAnsi="Calibri" w:eastAsia="Calibri" w:cs="Calibri"/>
                <w:color w:val="000000"/>
                <w:sz w:val="18"/>
                <w:highlight w:val="none"/>
              </w:rPr>
              <w:t>10.4.2</w:t>
            </w:r>
            <w:r>
              <w:rPr>
                <w:rFonts w:ascii="宋体" w:hAnsi="宋体" w:cs="宋体"/>
                <w:color w:val="000000"/>
                <w:sz w:val="18"/>
                <w:highlight w:val="none"/>
              </w:rPr>
              <w:t>条执行。</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80"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w:t>
            </w:r>
          </w:p>
        </w:tc>
        <w:tc>
          <w:tcPr>
            <w:tcW w:w="2061"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发生直接经济损失</w:t>
            </w:r>
            <w:r>
              <w:rPr>
                <w:rFonts w:ascii="Calibri" w:hAnsi="Calibri" w:eastAsia="Calibri" w:cs="Calibri"/>
                <w:color w:val="000000"/>
                <w:sz w:val="18"/>
                <w:highlight w:val="none"/>
              </w:rPr>
              <w:t>30</w:t>
            </w:r>
            <w:r>
              <w:rPr>
                <w:rFonts w:ascii="宋体" w:hAnsi="宋体" w:cs="宋体"/>
                <w:color w:val="000000"/>
                <w:sz w:val="18"/>
                <w:highlight w:val="none"/>
              </w:rPr>
              <w:t>万以下火灾事故。</w:t>
            </w:r>
          </w:p>
        </w:tc>
        <w:tc>
          <w:tcPr>
            <w:tcW w:w="5570" w:type="dxa"/>
            <w:gridSpan w:val="4"/>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扣责任者10分，其他按照公司</w:t>
            </w:r>
            <w:r>
              <w:rPr>
                <w:rFonts w:ascii="Calibri" w:hAnsi="Calibri" w:eastAsia="Calibri" w:cs="Calibri"/>
                <w:color w:val="000000"/>
                <w:sz w:val="18"/>
                <w:highlight w:val="none"/>
              </w:rPr>
              <w:t>Q/ZNYD 2020</w:t>
            </w:r>
            <w:r>
              <w:rPr>
                <w:rFonts w:ascii="宋体" w:hAnsi="宋体" w:cs="宋体"/>
                <w:color w:val="000000"/>
                <w:sz w:val="18"/>
                <w:highlight w:val="none"/>
              </w:rPr>
              <w:t>《奖金考核分配及奖惩管理》第</w:t>
            </w:r>
            <w:r>
              <w:rPr>
                <w:rFonts w:ascii="Calibri" w:hAnsi="Calibri" w:eastAsia="Calibri" w:cs="Calibri"/>
                <w:color w:val="000000"/>
                <w:sz w:val="18"/>
                <w:highlight w:val="none"/>
              </w:rPr>
              <w:t>10.4.2</w:t>
            </w:r>
            <w:r>
              <w:rPr>
                <w:rFonts w:ascii="宋体" w:hAnsi="宋体" w:cs="宋体"/>
                <w:color w:val="000000"/>
                <w:sz w:val="18"/>
                <w:highlight w:val="none"/>
              </w:rPr>
              <w:t>条执行。</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w:t>
            </w:r>
          </w:p>
        </w:tc>
        <w:tc>
          <w:tcPr>
            <w:tcW w:w="2061"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发生火险。</w:t>
            </w:r>
          </w:p>
        </w:tc>
        <w:tc>
          <w:tcPr>
            <w:tcW w:w="5570" w:type="dxa"/>
            <w:gridSpan w:val="4"/>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扣主要责任者6分，次要责任者3分。其他按照公司</w:t>
            </w:r>
            <w:r>
              <w:rPr>
                <w:rFonts w:ascii="Calibri" w:hAnsi="Calibri" w:eastAsia="Calibri" w:cs="Calibri"/>
                <w:color w:val="000000"/>
                <w:sz w:val="18"/>
                <w:highlight w:val="none"/>
              </w:rPr>
              <w:t>Q/ZNYD 2020</w:t>
            </w:r>
            <w:r>
              <w:rPr>
                <w:rFonts w:ascii="宋体" w:hAnsi="宋体" w:cs="宋体"/>
                <w:color w:val="000000"/>
                <w:sz w:val="18"/>
                <w:highlight w:val="none"/>
              </w:rPr>
              <w:t>《奖金考核分配及奖惩管理》第</w:t>
            </w:r>
            <w:r>
              <w:rPr>
                <w:rFonts w:ascii="Calibri" w:hAnsi="Calibri" w:eastAsia="Calibri" w:cs="Calibri"/>
                <w:color w:val="000000"/>
                <w:sz w:val="18"/>
                <w:highlight w:val="none"/>
              </w:rPr>
              <w:t>10.4.2</w:t>
            </w:r>
            <w:r>
              <w:rPr>
                <w:rFonts w:ascii="宋体" w:hAnsi="宋体" w:cs="宋体"/>
                <w:color w:val="000000"/>
                <w:sz w:val="18"/>
                <w:highlight w:val="none"/>
              </w:rPr>
              <w:t>条执行。</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w:t>
            </w:r>
          </w:p>
        </w:tc>
        <w:tc>
          <w:tcPr>
            <w:tcW w:w="2061"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发生一般以下环境污染事件。</w:t>
            </w:r>
          </w:p>
        </w:tc>
        <w:tc>
          <w:tcPr>
            <w:tcW w:w="5570" w:type="dxa"/>
            <w:gridSpan w:val="4"/>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扣责任者10分，并按照公司</w:t>
            </w:r>
            <w:r>
              <w:rPr>
                <w:rFonts w:ascii="Calibri" w:hAnsi="Calibri" w:eastAsia="Calibri" w:cs="Calibri"/>
                <w:color w:val="000000"/>
                <w:sz w:val="18"/>
                <w:highlight w:val="none"/>
              </w:rPr>
              <w:t>Q/ZNYD 2020</w:t>
            </w:r>
            <w:r>
              <w:rPr>
                <w:rFonts w:ascii="宋体" w:hAnsi="宋体" w:cs="宋体"/>
                <w:color w:val="000000"/>
                <w:sz w:val="18"/>
                <w:highlight w:val="none"/>
              </w:rPr>
              <w:t>《奖金考核分配及奖惩管理》第</w:t>
            </w:r>
            <w:r>
              <w:rPr>
                <w:rFonts w:ascii="Calibri" w:hAnsi="Calibri" w:eastAsia="Calibri" w:cs="Calibri"/>
                <w:color w:val="000000"/>
                <w:sz w:val="18"/>
                <w:highlight w:val="none"/>
              </w:rPr>
              <w:t>8.4.1</w:t>
            </w:r>
            <w:r>
              <w:rPr>
                <w:rFonts w:ascii="宋体" w:hAnsi="宋体" w:cs="宋体"/>
                <w:color w:val="000000"/>
                <w:sz w:val="18"/>
                <w:highlight w:val="none"/>
              </w:rPr>
              <w:t>条执行。</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w:t>
            </w:r>
          </w:p>
        </w:tc>
        <w:tc>
          <w:tcPr>
            <w:tcW w:w="2061"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发生人员滋事、斗殴造成的治安事件。</w:t>
            </w:r>
          </w:p>
        </w:tc>
        <w:tc>
          <w:tcPr>
            <w:tcW w:w="5570" w:type="dxa"/>
            <w:gridSpan w:val="4"/>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扣主要责任者6分，次要责任者3分。并按照公司</w:t>
            </w:r>
            <w:r>
              <w:rPr>
                <w:rFonts w:ascii="Calibri" w:hAnsi="Calibri" w:eastAsia="Calibri" w:cs="Calibri"/>
                <w:color w:val="000000"/>
                <w:sz w:val="18"/>
                <w:highlight w:val="none"/>
              </w:rPr>
              <w:t>Q/ZNYD 2020</w:t>
            </w:r>
            <w:r>
              <w:rPr>
                <w:rFonts w:ascii="宋体" w:hAnsi="宋体" w:cs="宋体"/>
                <w:color w:val="000000"/>
                <w:sz w:val="18"/>
                <w:highlight w:val="none"/>
              </w:rPr>
              <w:t>《奖金考核分配及奖惩管理》第</w:t>
            </w:r>
            <w:r>
              <w:rPr>
                <w:rFonts w:ascii="Calibri" w:hAnsi="Calibri" w:eastAsia="Calibri" w:cs="Calibri"/>
                <w:color w:val="000000"/>
                <w:sz w:val="18"/>
                <w:highlight w:val="none"/>
              </w:rPr>
              <w:t>10.4.1</w:t>
            </w:r>
            <w:r>
              <w:rPr>
                <w:rFonts w:ascii="宋体" w:hAnsi="宋体" w:cs="宋体"/>
                <w:color w:val="000000"/>
                <w:sz w:val="18"/>
                <w:highlight w:val="none"/>
              </w:rPr>
              <w:t>条执行。</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w:t>
            </w:r>
          </w:p>
        </w:tc>
        <w:tc>
          <w:tcPr>
            <w:tcW w:w="2061"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伪造或故意破坏事故现场。</w:t>
            </w:r>
          </w:p>
        </w:tc>
        <w:tc>
          <w:tcPr>
            <w:tcW w:w="5570" w:type="dxa"/>
            <w:gridSpan w:val="4"/>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扣责任者6分。并按照公司</w:t>
            </w:r>
            <w:r>
              <w:rPr>
                <w:rFonts w:ascii="Calibri" w:hAnsi="Calibri" w:eastAsia="Calibri" w:cs="Calibri"/>
                <w:color w:val="000000"/>
                <w:sz w:val="18"/>
                <w:highlight w:val="none"/>
              </w:rPr>
              <w:t>Q/ZNYD 2020</w:t>
            </w:r>
            <w:r>
              <w:rPr>
                <w:rFonts w:ascii="宋体" w:hAnsi="宋体" w:cs="宋体"/>
                <w:color w:val="000000"/>
                <w:sz w:val="18"/>
                <w:highlight w:val="none"/>
              </w:rPr>
              <w:t>《奖金考核分配及奖惩管理》第</w:t>
            </w:r>
            <w:r>
              <w:rPr>
                <w:rFonts w:ascii="Calibri" w:hAnsi="Calibri" w:eastAsia="Calibri" w:cs="Calibri"/>
                <w:color w:val="000000"/>
                <w:sz w:val="18"/>
                <w:highlight w:val="none"/>
              </w:rPr>
              <w:t>8.1.2.7</w:t>
            </w:r>
            <w:r>
              <w:rPr>
                <w:rFonts w:ascii="宋体" w:hAnsi="宋体" w:cs="宋体"/>
                <w:color w:val="000000"/>
                <w:sz w:val="18"/>
                <w:highlight w:val="none"/>
              </w:rPr>
              <w:t>条执行。</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w:t>
            </w:r>
          </w:p>
        </w:tc>
        <w:tc>
          <w:tcPr>
            <w:tcW w:w="2061"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在事故调查中作伪证或者指使他人作伪证。</w:t>
            </w:r>
          </w:p>
        </w:tc>
        <w:tc>
          <w:tcPr>
            <w:tcW w:w="5570" w:type="dxa"/>
            <w:gridSpan w:val="4"/>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扣责任者6分。并按照公司</w:t>
            </w:r>
            <w:r>
              <w:rPr>
                <w:rFonts w:ascii="Calibri" w:hAnsi="Calibri" w:eastAsia="Calibri" w:cs="Calibri"/>
                <w:color w:val="000000"/>
                <w:sz w:val="18"/>
                <w:highlight w:val="none"/>
              </w:rPr>
              <w:t>Q/ZNYD 2020</w:t>
            </w:r>
            <w:r>
              <w:rPr>
                <w:rFonts w:ascii="宋体" w:hAnsi="宋体" w:cs="宋体"/>
                <w:color w:val="000000"/>
                <w:sz w:val="18"/>
                <w:highlight w:val="none"/>
              </w:rPr>
              <w:t>《奖金考核分配及奖惩管理》第</w:t>
            </w:r>
            <w:r>
              <w:rPr>
                <w:rFonts w:ascii="Calibri" w:hAnsi="Calibri" w:eastAsia="Calibri" w:cs="Calibri"/>
                <w:color w:val="000000"/>
                <w:sz w:val="18"/>
                <w:highlight w:val="none"/>
              </w:rPr>
              <w:t>8.1.2.7</w:t>
            </w:r>
            <w:r>
              <w:rPr>
                <w:rFonts w:ascii="宋体" w:hAnsi="宋体" w:cs="宋体"/>
                <w:color w:val="000000"/>
                <w:sz w:val="18"/>
                <w:highlight w:val="none"/>
              </w:rPr>
              <w:t>条执行。</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8336" w:type="dxa"/>
            <w:gridSpan w:val="6"/>
            <w:tcBorders>
              <w:top w:val="nil"/>
              <w:left w:val="single" w:color="000000" w:sz="12" w:space="0"/>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b/>
                <w:color w:val="000000"/>
                <w:sz w:val="18"/>
                <w:highlight w:val="none"/>
              </w:rPr>
              <w:t>二、考核条款</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序号</w:t>
            </w:r>
          </w:p>
        </w:tc>
        <w:tc>
          <w:tcPr>
            <w:tcW w:w="4949" w:type="dxa"/>
            <w:gridSpan w:val="2"/>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b/>
                <w:color w:val="000000"/>
                <w:sz w:val="18"/>
                <w:highlight w:val="none"/>
              </w:rPr>
              <w:t>违章考核条款内容</w:t>
            </w:r>
          </w:p>
        </w:tc>
        <w:tc>
          <w:tcPr>
            <w:tcW w:w="837"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b/>
                <w:color w:val="000000"/>
                <w:sz w:val="18"/>
                <w:highlight w:val="none"/>
              </w:rPr>
              <w:t>违章类型</w:t>
            </w:r>
          </w:p>
        </w:tc>
        <w:tc>
          <w:tcPr>
            <w:tcW w:w="837"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b/>
                <w:color w:val="000000"/>
                <w:sz w:val="18"/>
                <w:highlight w:val="none"/>
              </w:rPr>
              <w:t>违章记分</w:t>
            </w:r>
          </w:p>
        </w:tc>
        <w:tc>
          <w:tcPr>
            <w:tcW w:w="1008" w:type="dxa"/>
            <w:tcBorders>
              <w:top w:val="single" w:color="000000" w:sz="8" w:space="0"/>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b/>
                <w:color w:val="000000"/>
                <w:sz w:val="18"/>
                <w:highlight w:val="none"/>
              </w:rPr>
              <w:t>扣奖金额（元）</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进入生产现场不戴安全帽。</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离岗</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现场作业安全帽不系帽带。</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参观学习人员进入生产现场未规范佩戴安全帽，或穿着不符合要求，考核接待部门。</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作业人员未穿着工作服，或着装不符合安规要求。</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使用中的防护用品不符合国家有关标准和公司要求。</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在禁止使用无线通讯设备场所使用无线通讯设备。</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超出范围作业，或擅自出入重要生产场所。</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进入配电室、电子室、工程师站、供氢站、油库等区域时违反进入该区域的相关规定。</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不按工种或作业要求佩带、使用安全用具。</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使用未经检验合格或检验过期的工器具。</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未经入厂教育并考试合格即参与施工作业。</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离岗</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实习、代培、临时用工以及外来人员的安全教育不符合规定。</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无故不参加公司组织的安全会议、培训，或违反会议管理规定。</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未按有关规定执行双确认。</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无证从事特种作业或特种设备作业，或证书已过期。</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离岗</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16 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在易燃、易爆危险区内吸烟。</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17 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在生产区域其它场所内吸烟（指定的吸烟点、室除外）。</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18 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酒后作业。</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离岗</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19 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修工作结束未做到工完料尽、场地清洁，值班人员未把关而注销工作票或缺陷单（如确系一时无法完成的，可在检修交待本上注明完成清理时间，在规定期限内完成），视未清理面积。</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0.5</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因检修等工作损坏有关固定设施（如沟板、门窗）未及时联系恢复，或未采取措施恢复的。</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21 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生产现场进行电、气焊作业，地面拌水泥及保温泥，未做好防护措施，损坏地面、墙面设施，</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0.5</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22 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在室内外场地、路旁、门厅、走廊及楼梯等处乱堆设备、器材或杂物垃圾，或私搭违章建筑根据面积。</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0.5</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23 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乱倒垃圾。</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0.5</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24 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车辆在厂区道路行驶随地散落，造成道路不洁。</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0.5</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25 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自行车、电动自行车、摩托车进入生产区域。</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0.5</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26 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在生产、生活设备、设施、墙面等处乱涂、乱画、乱写、乱刻、有意印手印、脚印等。</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0.5</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27 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在宣传栏、广告栏以外的地方张贴、涂写。</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0.5</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28 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资料台帐有撕页、缺页、乱涂乱画现象。</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0.5</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29 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未按文明生产整改单所列要求及时整改（提出整改计划，并经同意除外）。</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0.5</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未按要求定期组织进行安全、文明生产检查，或无检查记录的。</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31 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无操作票或工作票（检修作业联系单、检修作业通知单）作业。</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离岗</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32 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擅自扩大工作票（检修作业联系单、检修作业通知单）作业范围，及擅自变更、破坏、撤销工作票（检修作业联系单、检修作业通知单）安全措施。</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离岗</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33 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工作票（检修作业联系单）安措未执行完毕，工作票（检修作业联系单）已许可。</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离岗</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34 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未查明工作票（检修作业联系单、检修作业通知单）是否已押回或终结、现场设备是否具备送电、送气、送油、送危化品等条件即输送介质或能量。</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离岗</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35 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特殊作业前未开展危险源辨识，作业中未严格执行危险源管控措施。</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离岗</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36 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工作票（检修作业联系单、检修作业通知单）负责人与风险预控措施交底单中工作负责人不一致。</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37 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工作票（检修作业联系单）安全措施填写错误。</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38 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工作票安措执行存在漏项。</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39 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工作票（检修作业联系单、检修作业通知单）种类选择错误或工作内容填写错误。</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40 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工作票（检修作业联系单、检修作业通知单）中安全措施设备名称描述与现场设备名称不一致。</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41 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工作票（检修作业联系单、检修作业通知单）涉及的工作单位、班组与实际不符。</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42 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动火工作票上未填写可燃可爆气体的检测值。</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43 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设备检修前，工作许可人未和工作负责人同时到检修现场检查安全措施是否已正确执行。</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44 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进场工作前，工作负责人未向工作班成员交代安全措施、危险点预控措施及注意事项，并经双方签字认可即开工。</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45 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工作班成员工作前未了解安全措施、危险点预控措施、注意事项和工作任务即工作。</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46 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作业人员与工作票（检修作业联系单、检修作业通知单）成员不符合。</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47 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现场作业时，工作票未随身携带。</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48 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检修工作中工作负责人离开现场，未指定临时工作负责人。</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49 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工作中更换工作负责人，但未办理变更手续。</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现场动火作业，防火措施不到位，监护不到位。</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51 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焊工工作完毕，不及时清理皮管导线，不关闭乙炔、氧气阀门，或作业结束未做到工完料尽场地清。</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52 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擅自变更检修安全措施。</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离岗</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53 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临时工作负责人已超过2小时，未进行工作负责人变更。</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54 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检修工作期限超限，未及时办理延期手续。</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55 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全部工作完毕后，工作负责人未与运行人员同时到检修现场检查。</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56 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检修工作结束，未及时进行工作票（检修作业联系单、检修作业通知单）终结。</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57 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工作票（检修作业联系单）终结后安措涉及的标识牌未收回。</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58 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工作结束未及时封堵孔洞、盖好沟道盖板。</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59 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运行值长（班组长）对夜间许可进行的抢修工作的事项，未进行详细记录。</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60 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检修后的设备试运时，未认真检查即在设备试运单上签字，设备试验数据未进行记录。</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61 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检修完毕未按规定在检修记录交代本上交代检修结果的。</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62 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操作票操作步骤未执行，操作票票面已打“√”确认。</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63 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同时持两份不同操作票，交叉操作。</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64 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操作前未检查验电笔、摇表等安全工器具是否完好。</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65 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操作时操作人未确认设备名称、编号、位置就开始操作。</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66 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操作监护人不到位，操作人擅自操作。</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67 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操作监护人未监护，与操作人一起操作，或脱离岗位去从事其他活动。</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68 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操作时未唱票、复诵，复诵不严肃，声音微弱，双方听不清。</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69 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携带操作票未使用。</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离岗</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70 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操作中未按操作票顺序逐项操作，并打“√”。</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71 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电气几个操作任务合写在一张操作票上，未分别填写。</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72 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在填写操作票时涂改，电气设备不按规定使用双重名称。</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73 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远方操作启动设备未到就地检查。</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74 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操作过程中给学习人员讲解。</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75 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操作完未进行复查。</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76 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倒闸操作时，监护人协助操作。</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77 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操作票未执行项目，未进行备注说明。</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78 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监护人员未按操作票制度执行监护职责，监护不到位。</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79 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操作票发令时间在操作开始时间之后。</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80 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现场考问工作负责人、作业人员，未掌握主要风险和防范措施。</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81 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操作票开始操作时间未进行记录，操作结束后未及时填写结束时间。</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82 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操作票票面填写的操作开始至操作结束时间段，与实际操作需要的时间偏差较大。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83 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操作票内须记录的数据、编号等内容，未按照要求进行填写。</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84 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电气倒闸操作结束后未对使用的接地线进行记录。</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85 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未按规定对“两票”执行情况进行检查评价并形成记录，或对存在问题没有采取措施整改的。</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86 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交接班不认真，交接内容不清楚。</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87 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岗位交接班制度不严，未开展交班会、接班会，未在岗位进行交接，或未按规定进行设备系统工况检查即交接班。</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88 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未到正点以及接班人未签字即交接班。</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89 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值班记录本记录内容不齐全，字迹不清楚。</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90 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巡回检查不准时，未按巡回路线检查设备，检查不到位。</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91 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设备未按规定时间进行定期切换工作。</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92 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交接班巡检制度执行不规范，现场部分重点设备检查不到位。</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93 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班组设备巡回检查台账记录不全。</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94 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巡检记录内容不真实。</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95 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值班监盘不认真，表计变化发现不及时，抄表弄虚作假。</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96 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未经审批擅自修改逻辑及保护定值或退出热控、电气保护。</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97 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未按规定批准擅自解除“五防”闭锁装置。</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98 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单人在高压室或室外高压设备区从事维修工作。</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99 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约时停、送电或启动设备。</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未经申请使用临时检修电源或乱拉乱接。</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101 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电源线放置在热体上烘烤或放置在尖硬物上，或经过道路未做好防护措施。</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102 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电缆破损或敷设不规范。</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103 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配电箱不按规定接地，未做好封堵、无图纸或检查记录。</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104 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配电箱无漏电保护器、无检验合格证，或不按一机一闸一保护使用。</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105 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配电箱内部接线混乱，固定部件松脱，安装不符合要求，箱门敞开、变形损坏。</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106 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使用不合格或无检验合格证的安全工器具、电动工具。</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107 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使用电气工具后或遇临时停电没有及时切断电源。</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108 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带电移动低压电气设备，或检修工作结束后电动工具或行灯电源未切断电源就收线。</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109 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在停运中的皮带上行走或跨越皮带。</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110 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使用砂轮时不戴防护眼镜。</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111 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设备修复后未将设备标示牌、安全标志恢复。</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112 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在转动的机械、输煤皮带上从事清除作业。</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113 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在码头系缆绳作业不穿救生衣，或在码头、轮船边沿作业不穿救生衣。</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114 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高处作业未使用安全带。</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离岗</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115 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高处作业安全带使用不规范。</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116 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5米及以上爬梯不使用防坠器。</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117 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脚手架未验收、未签字或未挂验收牌即投入使用。</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118 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脚手架搭设不符合要求。</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119 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高处作业随意抛掷工具、材料杂物、垃圾或造成施工现场污染。</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120 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脚手架搭设、拆除未做好防护措施。</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121 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使用带缺陷的梯子或底部无防滑装置的梯子进行高处作业。</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122 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两家及以上单位在同一区域交叉作业时，未签订交叉作业</w:t>
            </w:r>
            <w:r>
              <w:rPr>
                <w:rFonts w:hint="eastAsia" w:ascii="宋体" w:hAnsi="宋体" w:cs="宋体"/>
                <w:color w:val="000000"/>
                <w:sz w:val="18"/>
                <w:highlight w:val="none"/>
              </w:rPr>
              <w:t>技术规范</w:t>
            </w:r>
            <w:r>
              <w:rPr>
                <w:rFonts w:ascii="宋体" w:hAnsi="宋体" w:cs="宋体"/>
                <w:color w:val="000000"/>
                <w:sz w:val="18"/>
                <w:highlight w:val="none"/>
              </w:rPr>
              <w:t>。</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123 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交叉作业无防护隔离措施。</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124 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违反汽轮机上缸作业规定。</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125 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气瓶使用不符合安规及管理制度要求。</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126 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违反规定进行电焊作业。</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127 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使用有缺陷的焊接工器具。</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128 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电焊机外壳无接地或接地不规范。</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129 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违规使用、储存易燃易爆物品或危险化学品。</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130 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起重作业现场无人指挥和监护。</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131 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起重作业现场无安全围栏和警示标志。</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132 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用不合格的钢丝绳、麻绳起吊设备或重物，或超负荷起吊。</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133 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利用管道、栏杆悬吊重物和起重滑车。</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134 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使用有缺陷的起重工器具（如手拉葫芦吊钩损坏、千斤顶头盖缺失等）。</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135 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在起重过程中，人员在起重物和起重臂下随意行走或逗留。</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136 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有限空间作业未严格执行“先通风、再检测、后进入”原则。</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137 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未办理有限空间准入证进行作业。</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离岗</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138 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有限空间作业人员出入登记未签名或记录不规范。</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139 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有限空间作业现场无人监护。</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140 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有限空间作业不符合其他安全管理要求。</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1月2日</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141 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挖掘的基坑、井坑未做好防滑坡措施，坡边堆积土方、材料等。</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142 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在高粉尘区域作业，没有采取防尘措施，或措施不全。</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143 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在有毒有害场所作业未按规定使用排风扇等设施。</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144 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违反《工作票管理》《操作票管理》《危险化学品管理》《安全作业管理》《特种作业人员管理》《有限（密闭）空间作业管理》等，无明确考核条款适用的。</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1月3日</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145 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不执行安全风险分级管控工作要求。</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146 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未签订《承发包工程安健环及文明施工安全</w:t>
            </w:r>
            <w:r>
              <w:rPr>
                <w:rFonts w:hint="eastAsia" w:ascii="宋体" w:hAnsi="宋体" w:cs="宋体"/>
                <w:color w:val="000000"/>
                <w:sz w:val="18"/>
                <w:highlight w:val="none"/>
              </w:rPr>
              <w:t>技术规范</w:t>
            </w:r>
            <w:r>
              <w:rPr>
                <w:rFonts w:ascii="宋体" w:hAnsi="宋体" w:cs="宋体"/>
                <w:color w:val="000000"/>
                <w:sz w:val="18"/>
                <w:highlight w:val="none"/>
              </w:rPr>
              <w:t>》，擅自开始检修作业。</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离岗</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147 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外包单位未按规定签署开工报审表，擅自开工的。</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148 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不执行安全技术措施或施工作业方案，冒险作业。</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149 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责任部门未按规定对责任区内的消防设施、器材进行自查、记录的。</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150 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发生火险使用消防器材未及时报告消防队的。</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151 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非火警擅自启用、使用消防器材及设施。</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152 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任意折卸、涂改各类消防警告标牌的。</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153 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易燃易爆危险化学品使用、储存、运输、管理部门，未按规定进行自查、整改、记录。</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154 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擅自堆放物资阻塞消防设施、消防通道或防火间距的。</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155 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未经审批，擅自搭建临时建筑违反用火、用电安全规定，发现后仍不整改的。</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156 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对出入禁火区域（油库区、储氢区、特殊材料库）的车辆未按规定佩戴防火罩的。</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157 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指使或者强令他人违反安全规定，冒险作业，尚未造成后果的。</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指挥性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500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158 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无证驾驶机动车辆。</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6</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离岗</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159 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货运车辆和其他专用车辆载人。</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160 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非作业车辆进入主厂房的。</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161 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随意在厂区道路上堆物，影响正常通行的。</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85" w:hRule="atLeast"/>
        </w:trPr>
        <w:tc>
          <w:tcPr>
            <w:tcW w:w="705" w:type="dxa"/>
            <w:tcBorders>
              <w:top w:val="nil"/>
              <w:left w:val="single" w:color="000000" w:sz="12" w:space="0"/>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162 </w:t>
            </w:r>
          </w:p>
        </w:tc>
        <w:tc>
          <w:tcPr>
            <w:tcW w:w="4949" w:type="dxa"/>
            <w:gridSpan w:val="2"/>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未经审批随意在厂区道路上挖沟（坑）、开凿或已办审批未设置警示标志等防护措施的。</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管理性</w:t>
            </w:r>
          </w:p>
        </w:tc>
        <w:tc>
          <w:tcPr>
            <w:tcW w:w="837" w:type="dxa"/>
            <w:tcBorders>
              <w:top w:val="nil"/>
              <w:left w:val="nil"/>
              <w:bottom w:val="single" w:color="000000" w:sz="8"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2</w:t>
            </w:r>
          </w:p>
        </w:tc>
        <w:tc>
          <w:tcPr>
            <w:tcW w:w="1008" w:type="dxa"/>
            <w:tcBorders>
              <w:top w:val="nil"/>
              <w:left w:val="nil"/>
              <w:bottom w:val="single" w:color="000000" w:sz="8"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300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65" w:hRule="atLeast"/>
        </w:trPr>
        <w:tc>
          <w:tcPr>
            <w:tcW w:w="705" w:type="dxa"/>
            <w:tcBorders>
              <w:top w:val="nil"/>
              <w:left w:val="single" w:color="000000" w:sz="12" w:space="0"/>
              <w:bottom w:val="single" w:color="000000" w:sz="12"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163 </w:t>
            </w:r>
          </w:p>
        </w:tc>
        <w:tc>
          <w:tcPr>
            <w:tcW w:w="4949" w:type="dxa"/>
            <w:gridSpan w:val="2"/>
            <w:tcBorders>
              <w:top w:val="nil"/>
              <w:left w:val="nil"/>
              <w:bottom w:val="single" w:color="000000" w:sz="12"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rPr>
                <w:highlight w:val="none"/>
              </w:rPr>
            </w:pPr>
            <w:r>
              <w:rPr>
                <w:rFonts w:ascii="宋体" w:hAnsi="宋体" w:cs="宋体"/>
                <w:color w:val="000000"/>
                <w:sz w:val="18"/>
                <w:highlight w:val="none"/>
              </w:rPr>
              <w:t>其他违反安规及公司有关安全生产管理标准、规程、规定的行为、现象。</w:t>
            </w:r>
          </w:p>
        </w:tc>
        <w:tc>
          <w:tcPr>
            <w:tcW w:w="837" w:type="dxa"/>
            <w:tcBorders>
              <w:top w:val="nil"/>
              <w:left w:val="nil"/>
              <w:bottom w:val="single" w:color="000000" w:sz="12"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作业性/管理性</w:t>
            </w:r>
          </w:p>
        </w:tc>
        <w:tc>
          <w:tcPr>
            <w:tcW w:w="837" w:type="dxa"/>
            <w:tcBorders>
              <w:top w:val="nil"/>
              <w:left w:val="nil"/>
              <w:bottom w:val="single" w:color="000000" w:sz="12" w:space="0"/>
              <w:right w:val="single" w:color="000000" w:sz="8"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1～6</w:t>
            </w:r>
          </w:p>
        </w:tc>
        <w:tc>
          <w:tcPr>
            <w:tcW w:w="1008" w:type="dxa"/>
            <w:tcBorders>
              <w:top w:val="nil"/>
              <w:left w:val="nil"/>
              <w:bottom w:val="single" w:color="000000" w:sz="12" w:space="0"/>
              <w:right w:val="single" w:color="000000" w:sz="12" w:space="0"/>
            </w:tcBorders>
            <w:tcMar>
              <w:top w:w="15" w:type="dxa"/>
              <w:left w:w="15" w:type="dxa"/>
              <w:bottom w:w="0" w:type="dxa"/>
              <w:right w:w="15" w:type="dxa"/>
            </w:tcMar>
            <w:vAlign w:val="center"/>
          </w:tcPr>
          <w:p>
            <w:pPr>
              <w:pStyle w:val="216"/>
              <w:pBdr>
                <w:top w:val="none" w:color="000000" w:sz="0" w:space="0"/>
                <w:left w:val="none" w:color="000000" w:sz="0" w:space="0"/>
                <w:bottom w:val="none" w:color="000000" w:sz="0" w:space="0"/>
                <w:right w:val="none" w:color="000000" w:sz="0" w:space="0"/>
              </w:pBdr>
              <w:jc w:val="center"/>
              <w:rPr>
                <w:highlight w:val="none"/>
              </w:rPr>
            </w:pPr>
            <w:r>
              <w:rPr>
                <w:rFonts w:ascii="宋体" w:hAnsi="宋体" w:cs="宋体"/>
                <w:color w:val="000000"/>
                <w:sz w:val="18"/>
                <w:highlight w:val="none"/>
              </w:rPr>
              <w:t>100～直至离岗</w:t>
            </w:r>
          </w:p>
        </w:tc>
      </w:tr>
    </w:tbl>
    <w:p>
      <w:pPr>
        <w:widowControl/>
        <w:jc w:val="left"/>
        <w:rPr>
          <w:sz w:val="24"/>
          <w:highlight w:val="none"/>
        </w:rPr>
      </w:pPr>
    </w:p>
    <w:p>
      <w:pPr>
        <w:pStyle w:val="409"/>
        <w:numPr>
          <w:ilvl w:val="0"/>
          <w:numId w:val="0"/>
        </w:numPr>
        <w:spacing w:before="0" w:line="240" w:lineRule="exact"/>
        <w:jc w:val="both"/>
        <w:rPr>
          <w:sz w:val="24"/>
          <w:highlight w:val="none"/>
        </w:rPr>
      </w:pPr>
      <w:r>
        <w:rPr>
          <w:rFonts w:hint="eastAsia" w:asciiTheme="minorEastAsia" w:hAnsiTheme="minorEastAsia" w:eastAsiaTheme="minorEastAsia" w:cstheme="minorEastAsia"/>
          <w:highlight w:val="none"/>
        </w:rPr>
        <w:t>附录C 《检修质量及进度考核》内容</w:t>
      </w:r>
    </w:p>
    <w:tbl>
      <w:tblPr>
        <w:tblStyle w:val="37"/>
        <w:tblW w:w="8184" w:type="dxa"/>
        <w:tblInd w:w="2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5"/>
        <w:gridCol w:w="996"/>
        <w:gridCol w:w="1701"/>
        <w:gridCol w:w="1276"/>
        <w:gridCol w:w="992"/>
        <w:gridCol w:w="1276"/>
        <w:gridCol w:w="14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525" w:type="dxa"/>
            <w:tcBorders>
              <w:top w:val="single" w:color="auto" w:sz="4" w:space="0"/>
              <w:left w:val="single" w:color="auto" w:sz="4" w:space="0"/>
              <w:bottom w:val="single" w:color="auto" w:sz="4" w:space="0"/>
              <w:right w:val="single" w:color="auto" w:sz="4" w:space="0"/>
            </w:tcBorders>
          </w:tcPr>
          <w:p>
            <w:pPr>
              <w:ind w:left="-107" w:right="-63"/>
              <w:jc w:val="center"/>
              <w:rPr>
                <w:rFonts w:eastAsia="黑体"/>
                <w:sz w:val="18"/>
                <w:szCs w:val="18"/>
                <w:highlight w:val="none"/>
              </w:rPr>
            </w:pPr>
            <w:r>
              <w:rPr>
                <w:rFonts w:hint="eastAsia" w:eastAsia="黑体"/>
                <w:sz w:val="18"/>
                <w:szCs w:val="18"/>
                <w:highlight w:val="none"/>
              </w:rPr>
              <w:t>序号</w:t>
            </w:r>
          </w:p>
        </w:tc>
        <w:tc>
          <w:tcPr>
            <w:tcW w:w="996" w:type="dxa"/>
            <w:tcBorders>
              <w:top w:val="single" w:color="auto" w:sz="4" w:space="0"/>
              <w:left w:val="single" w:color="auto" w:sz="4" w:space="0"/>
              <w:bottom w:val="single" w:color="auto" w:sz="4" w:space="0"/>
              <w:right w:val="single" w:color="auto" w:sz="4" w:space="0"/>
            </w:tcBorders>
          </w:tcPr>
          <w:p>
            <w:pPr>
              <w:jc w:val="center"/>
              <w:rPr>
                <w:rFonts w:eastAsia="黑体"/>
                <w:sz w:val="18"/>
                <w:szCs w:val="18"/>
                <w:highlight w:val="none"/>
              </w:rPr>
            </w:pPr>
            <w:r>
              <w:rPr>
                <w:rFonts w:hint="eastAsia" w:eastAsia="黑体"/>
                <w:sz w:val="18"/>
                <w:szCs w:val="18"/>
                <w:highlight w:val="none"/>
              </w:rPr>
              <w:t>考核内容</w:t>
            </w:r>
          </w:p>
        </w:tc>
        <w:tc>
          <w:tcPr>
            <w:tcW w:w="1701" w:type="dxa"/>
            <w:tcBorders>
              <w:top w:val="single" w:color="auto" w:sz="4" w:space="0"/>
              <w:left w:val="single" w:color="auto" w:sz="4" w:space="0"/>
              <w:bottom w:val="single" w:color="auto" w:sz="4" w:space="0"/>
              <w:right w:val="single" w:color="auto" w:sz="4" w:space="0"/>
            </w:tcBorders>
            <w:vAlign w:val="center"/>
          </w:tcPr>
          <w:p>
            <w:pPr>
              <w:rPr>
                <w:rFonts w:eastAsia="黑体"/>
                <w:sz w:val="18"/>
                <w:szCs w:val="18"/>
                <w:highlight w:val="none"/>
              </w:rPr>
            </w:pPr>
            <w:r>
              <w:rPr>
                <w:rFonts w:hint="eastAsia" w:eastAsia="黑体"/>
                <w:sz w:val="18"/>
                <w:szCs w:val="18"/>
                <w:highlight w:val="none"/>
              </w:rPr>
              <w:t>考核标准</w:t>
            </w:r>
          </w:p>
        </w:tc>
        <w:tc>
          <w:tcPr>
            <w:tcW w:w="1276" w:type="dxa"/>
            <w:tcBorders>
              <w:top w:val="single" w:color="auto" w:sz="4" w:space="0"/>
              <w:left w:val="single" w:color="auto" w:sz="4" w:space="0"/>
              <w:bottom w:val="single" w:color="auto" w:sz="4" w:space="0"/>
              <w:right w:val="single" w:color="auto" w:sz="4" w:space="0"/>
            </w:tcBorders>
          </w:tcPr>
          <w:p>
            <w:pPr>
              <w:jc w:val="center"/>
              <w:rPr>
                <w:rFonts w:eastAsia="黑体"/>
                <w:sz w:val="18"/>
                <w:szCs w:val="18"/>
                <w:highlight w:val="none"/>
              </w:rPr>
            </w:pPr>
            <w:r>
              <w:rPr>
                <w:rFonts w:hint="eastAsia" w:eastAsia="黑体"/>
                <w:sz w:val="18"/>
                <w:szCs w:val="18"/>
                <w:highlight w:val="none"/>
              </w:rPr>
              <w:t>考核值</w:t>
            </w:r>
          </w:p>
        </w:tc>
        <w:tc>
          <w:tcPr>
            <w:tcW w:w="992" w:type="dxa"/>
            <w:tcBorders>
              <w:top w:val="single" w:color="auto" w:sz="4" w:space="0"/>
              <w:left w:val="single" w:color="auto" w:sz="4" w:space="0"/>
              <w:bottom w:val="single" w:color="auto" w:sz="4" w:space="0"/>
              <w:right w:val="single" w:color="auto" w:sz="4" w:space="0"/>
            </w:tcBorders>
          </w:tcPr>
          <w:p>
            <w:pPr>
              <w:ind w:left="-107" w:right="-63"/>
              <w:jc w:val="center"/>
              <w:rPr>
                <w:rFonts w:eastAsia="黑体"/>
                <w:sz w:val="18"/>
                <w:szCs w:val="18"/>
                <w:highlight w:val="none"/>
              </w:rPr>
            </w:pPr>
            <w:r>
              <w:rPr>
                <w:rFonts w:hint="eastAsia" w:eastAsia="黑体"/>
                <w:sz w:val="18"/>
                <w:szCs w:val="18"/>
                <w:highlight w:val="none"/>
              </w:rPr>
              <w:t>被考核对象</w:t>
            </w:r>
          </w:p>
        </w:tc>
        <w:tc>
          <w:tcPr>
            <w:tcW w:w="1276" w:type="dxa"/>
            <w:tcBorders>
              <w:top w:val="single" w:color="auto" w:sz="4" w:space="0"/>
              <w:left w:val="single" w:color="auto" w:sz="4" w:space="0"/>
              <w:bottom w:val="single" w:color="auto" w:sz="4" w:space="0"/>
              <w:right w:val="single" w:color="auto" w:sz="4" w:space="0"/>
            </w:tcBorders>
          </w:tcPr>
          <w:p>
            <w:pPr>
              <w:jc w:val="center"/>
              <w:rPr>
                <w:rFonts w:eastAsia="黑体"/>
                <w:sz w:val="18"/>
                <w:szCs w:val="18"/>
                <w:highlight w:val="none"/>
              </w:rPr>
            </w:pPr>
            <w:r>
              <w:rPr>
                <w:rFonts w:hint="eastAsia" w:eastAsia="黑体"/>
                <w:sz w:val="18"/>
                <w:szCs w:val="18"/>
                <w:highlight w:val="none"/>
              </w:rPr>
              <w:t>考核者</w:t>
            </w:r>
          </w:p>
        </w:tc>
        <w:tc>
          <w:tcPr>
            <w:tcW w:w="1418" w:type="dxa"/>
            <w:tcBorders>
              <w:top w:val="single" w:color="auto" w:sz="4" w:space="0"/>
              <w:left w:val="single" w:color="auto" w:sz="4" w:space="0"/>
              <w:bottom w:val="single" w:color="auto" w:sz="4" w:space="0"/>
              <w:right w:val="single" w:color="auto" w:sz="4" w:space="0"/>
            </w:tcBorders>
            <w:vAlign w:val="center"/>
          </w:tcPr>
          <w:p>
            <w:pPr>
              <w:jc w:val="center"/>
              <w:rPr>
                <w:rFonts w:eastAsia="黑体"/>
                <w:sz w:val="18"/>
                <w:szCs w:val="18"/>
                <w:highlight w:val="none"/>
              </w:rPr>
            </w:pPr>
            <w:r>
              <w:rPr>
                <w:rFonts w:hint="eastAsia" w:eastAsia="黑体"/>
                <w:sz w:val="18"/>
                <w:szCs w:val="18"/>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dxa"/>
            <w:vMerge w:val="restart"/>
            <w:tcBorders>
              <w:top w:val="single" w:color="auto" w:sz="4" w:space="0"/>
            </w:tcBorders>
            <w:vAlign w:val="center"/>
          </w:tcPr>
          <w:p>
            <w:pPr>
              <w:numPr>
                <w:ilvl w:val="0"/>
                <w:numId w:val="23"/>
              </w:numPr>
              <w:jc w:val="right"/>
              <w:rPr>
                <w:sz w:val="18"/>
                <w:szCs w:val="18"/>
                <w:highlight w:val="none"/>
              </w:rPr>
            </w:pPr>
          </w:p>
        </w:tc>
        <w:tc>
          <w:tcPr>
            <w:tcW w:w="996" w:type="dxa"/>
            <w:vMerge w:val="restart"/>
            <w:tcBorders>
              <w:top w:val="single" w:color="auto" w:sz="4" w:space="0"/>
            </w:tcBorders>
            <w:vAlign w:val="center"/>
          </w:tcPr>
          <w:p>
            <w:pPr>
              <w:jc w:val="center"/>
              <w:rPr>
                <w:sz w:val="18"/>
                <w:szCs w:val="18"/>
                <w:highlight w:val="none"/>
              </w:rPr>
            </w:pPr>
            <w:r>
              <w:rPr>
                <w:rFonts w:hint="eastAsia"/>
                <w:sz w:val="18"/>
                <w:szCs w:val="18"/>
                <w:highlight w:val="none"/>
              </w:rPr>
              <w:t>参修队伍</w:t>
            </w:r>
          </w:p>
        </w:tc>
        <w:tc>
          <w:tcPr>
            <w:tcW w:w="1701" w:type="dxa"/>
            <w:tcBorders>
              <w:top w:val="single" w:color="auto" w:sz="4" w:space="0"/>
            </w:tcBorders>
            <w:vAlign w:val="center"/>
          </w:tcPr>
          <w:p>
            <w:pPr>
              <w:rPr>
                <w:sz w:val="18"/>
                <w:szCs w:val="18"/>
                <w:highlight w:val="none"/>
              </w:rPr>
            </w:pPr>
            <w:r>
              <w:rPr>
                <w:rFonts w:hint="eastAsia"/>
                <w:sz w:val="18"/>
                <w:szCs w:val="18"/>
                <w:highlight w:val="none"/>
              </w:rPr>
              <w:t>人员数量无法保证检修项目</w:t>
            </w:r>
          </w:p>
        </w:tc>
        <w:tc>
          <w:tcPr>
            <w:tcW w:w="1276" w:type="dxa"/>
            <w:tcBorders>
              <w:top w:val="single" w:color="auto" w:sz="4" w:space="0"/>
            </w:tcBorders>
            <w:vAlign w:val="center"/>
          </w:tcPr>
          <w:p>
            <w:pPr>
              <w:jc w:val="center"/>
              <w:rPr>
                <w:sz w:val="18"/>
                <w:szCs w:val="18"/>
                <w:highlight w:val="none"/>
              </w:rPr>
            </w:pPr>
            <w:r>
              <w:rPr>
                <w:rFonts w:hint="eastAsia"/>
                <w:sz w:val="18"/>
                <w:szCs w:val="18"/>
                <w:highlight w:val="none"/>
              </w:rPr>
              <w:t>扣2000元/项</w:t>
            </w:r>
          </w:p>
        </w:tc>
        <w:tc>
          <w:tcPr>
            <w:tcW w:w="992" w:type="dxa"/>
            <w:tcBorders>
              <w:top w:val="single" w:color="auto" w:sz="4" w:space="0"/>
            </w:tcBorders>
            <w:vAlign w:val="center"/>
          </w:tcPr>
          <w:p>
            <w:pPr>
              <w:ind w:left="-90" w:right="-113"/>
              <w:jc w:val="center"/>
              <w:rPr>
                <w:sz w:val="18"/>
                <w:szCs w:val="18"/>
                <w:highlight w:val="none"/>
              </w:rPr>
            </w:pPr>
            <w:r>
              <w:rPr>
                <w:rFonts w:hint="eastAsia"/>
                <w:sz w:val="18"/>
                <w:szCs w:val="18"/>
                <w:highlight w:val="none"/>
              </w:rPr>
              <w:t>责任单位</w:t>
            </w:r>
          </w:p>
        </w:tc>
        <w:tc>
          <w:tcPr>
            <w:tcW w:w="1276" w:type="dxa"/>
            <w:tcBorders>
              <w:top w:val="single" w:color="auto" w:sz="4" w:space="0"/>
            </w:tcBorders>
            <w:vAlign w:val="center"/>
          </w:tcPr>
          <w:p>
            <w:pPr>
              <w:ind w:left="-59" w:right="-57"/>
              <w:jc w:val="center"/>
              <w:rPr>
                <w:sz w:val="18"/>
                <w:szCs w:val="18"/>
                <w:highlight w:val="none"/>
              </w:rPr>
            </w:pPr>
            <w:r>
              <w:rPr>
                <w:rFonts w:hint="eastAsia"/>
                <w:sz w:val="18"/>
                <w:szCs w:val="18"/>
                <w:highlight w:val="none"/>
              </w:rPr>
              <w:t>检修项目经理或专业主管</w:t>
            </w:r>
          </w:p>
        </w:tc>
        <w:tc>
          <w:tcPr>
            <w:tcW w:w="1418" w:type="dxa"/>
            <w:tcBorders>
              <w:top w:val="single" w:color="auto" w:sz="4" w:space="0"/>
            </w:tcBorders>
            <w:vAlign w:val="center"/>
          </w:tcPr>
          <w:p>
            <w:pPr>
              <w:jc w:val="center"/>
              <w:rPr>
                <w:sz w:val="18"/>
                <w:szCs w:val="18"/>
                <w:highlight w:val="none"/>
              </w:rPr>
            </w:pPr>
            <w:r>
              <w:rPr>
                <w:rFonts w:hint="eastAsia"/>
                <w:sz w:val="18"/>
                <w:szCs w:val="18"/>
                <w:highlight w:val="none"/>
              </w:rPr>
              <w:t>超出限期未调整，加倍考核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jc w:val="center"/>
              <w:rPr>
                <w:sz w:val="18"/>
                <w:szCs w:val="18"/>
                <w:highlight w:val="none"/>
              </w:rPr>
            </w:pPr>
          </w:p>
        </w:tc>
        <w:tc>
          <w:tcPr>
            <w:tcW w:w="1701" w:type="dxa"/>
            <w:vAlign w:val="center"/>
          </w:tcPr>
          <w:p>
            <w:pPr>
              <w:rPr>
                <w:sz w:val="18"/>
                <w:szCs w:val="18"/>
                <w:highlight w:val="none"/>
              </w:rPr>
            </w:pPr>
            <w:r>
              <w:rPr>
                <w:rFonts w:hint="eastAsia"/>
                <w:sz w:val="18"/>
                <w:szCs w:val="18"/>
                <w:highlight w:val="none"/>
              </w:rPr>
              <w:t>无资质人员进行项目施工</w:t>
            </w:r>
          </w:p>
        </w:tc>
        <w:tc>
          <w:tcPr>
            <w:tcW w:w="1276" w:type="dxa"/>
            <w:vAlign w:val="center"/>
          </w:tcPr>
          <w:p>
            <w:pPr>
              <w:jc w:val="center"/>
              <w:rPr>
                <w:sz w:val="18"/>
                <w:szCs w:val="18"/>
                <w:highlight w:val="none"/>
              </w:rPr>
            </w:pPr>
            <w:r>
              <w:rPr>
                <w:rFonts w:hint="eastAsia"/>
                <w:sz w:val="18"/>
                <w:szCs w:val="18"/>
                <w:highlight w:val="none"/>
              </w:rPr>
              <w:t>扣500-1000元/项</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ind w:left="-59" w:right="-57"/>
              <w:jc w:val="center"/>
              <w:rPr>
                <w:sz w:val="18"/>
                <w:szCs w:val="18"/>
                <w:highlight w:val="none"/>
              </w:rPr>
            </w:pPr>
            <w:r>
              <w:rPr>
                <w:rFonts w:hint="eastAsia"/>
                <w:sz w:val="18"/>
                <w:szCs w:val="18"/>
                <w:highlight w:val="none"/>
              </w:rPr>
              <w:t>检修项目经理或专业主管</w:t>
            </w:r>
          </w:p>
        </w:tc>
        <w:tc>
          <w:tcPr>
            <w:tcW w:w="1418" w:type="dxa"/>
            <w:vAlign w:val="center"/>
          </w:tcPr>
          <w:p>
            <w:pPr>
              <w:jc w:val="center"/>
              <w:rPr>
                <w:sz w:val="18"/>
                <w:szCs w:val="18"/>
                <w:highlight w:val="none"/>
              </w:rPr>
            </w:pPr>
            <w:r>
              <w:rPr>
                <w:rFonts w:hint="eastAsia"/>
                <w:sz w:val="18"/>
                <w:szCs w:val="18"/>
                <w:highlight w:val="none"/>
              </w:rPr>
              <w:t>超出限期未调整，加倍考核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dxa"/>
            <w:vAlign w:val="center"/>
          </w:tcPr>
          <w:p>
            <w:pPr>
              <w:numPr>
                <w:ilvl w:val="0"/>
                <w:numId w:val="23"/>
              </w:numPr>
              <w:jc w:val="right"/>
              <w:rPr>
                <w:sz w:val="18"/>
                <w:szCs w:val="18"/>
                <w:highlight w:val="none"/>
              </w:rPr>
            </w:pPr>
          </w:p>
        </w:tc>
        <w:tc>
          <w:tcPr>
            <w:tcW w:w="996" w:type="dxa"/>
            <w:vAlign w:val="center"/>
          </w:tcPr>
          <w:p>
            <w:pPr>
              <w:jc w:val="center"/>
              <w:rPr>
                <w:sz w:val="18"/>
                <w:szCs w:val="18"/>
                <w:highlight w:val="none"/>
              </w:rPr>
            </w:pPr>
            <w:r>
              <w:rPr>
                <w:rFonts w:hint="eastAsia"/>
                <w:sz w:val="18"/>
                <w:szCs w:val="18"/>
                <w:highlight w:val="none"/>
              </w:rPr>
              <w:t>施工文件</w:t>
            </w:r>
          </w:p>
        </w:tc>
        <w:tc>
          <w:tcPr>
            <w:tcW w:w="1701" w:type="dxa"/>
            <w:vAlign w:val="center"/>
          </w:tcPr>
          <w:p>
            <w:pPr>
              <w:rPr>
                <w:sz w:val="18"/>
                <w:szCs w:val="18"/>
                <w:highlight w:val="none"/>
              </w:rPr>
            </w:pPr>
            <w:r>
              <w:rPr>
                <w:rFonts w:hint="eastAsia"/>
                <w:sz w:val="18"/>
                <w:szCs w:val="18"/>
                <w:highlight w:val="none"/>
              </w:rPr>
              <w:t>未执行施工工艺文件，或对施工人员交底不清的</w:t>
            </w:r>
          </w:p>
        </w:tc>
        <w:tc>
          <w:tcPr>
            <w:tcW w:w="1276" w:type="dxa"/>
            <w:vAlign w:val="center"/>
          </w:tcPr>
          <w:p>
            <w:pPr>
              <w:jc w:val="center"/>
              <w:rPr>
                <w:sz w:val="18"/>
                <w:szCs w:val="18"/>
                <w:highlight w:val="none"/>
              </w:rPr>
            </w:pPr>
            <w:r>
              <w:rPr>
                <w:rFonts w:hint="eastAsia"/>
                <w:sz w:val="18"/>
                <w:szCs w:val="18"/>
                <w:highlight w:val="none"/>
              </w:rPr>
              <w:t>扣500-1000元/项</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ind w:left="-59" w:right="-57"/>
              <w:jc w:val="center"/>
              <w:rPr>
                <w:sz w:val="18"/>
                <w:szCs w:val="18"/>
                <w:highlight w:val="none"/>
              </w:rPr>
            </w:pPr>
            <w:r>
              <w:rPr>
                <w:rFonts w:hint="eastAsia"/>
                <w:sz w:val="18"/>
                <w:szCs w:val="18"/>
                <w:highlight w:val="none"/>
              </w:rPr>
              <w:t>检修项目经理或专业主管</w:t>
            </w:r>
          </w:p>
        </w:tc>
        <w:tc>
          <w:tcPr>
            <w:tcW w:w="1418" w:type="dxa"/>
            <w:vAlign w:val="center"/>
          </w:tcPr>
          <w:p>
            <w:pPr>
              <w:jc w:val="center"/>
              <w:rPr>
                <w:sz w:val="18"/>
                <w:szCs w:val="18"/>
                <w:highlight w:val="none"/>
              </w:rPr>
            </w:pPr>
            <w:r>
              <w:rPr>
                <w:rFonts w:hint="eastAsia"/>
                <w:sz w:val="18"/>
                <w:szCs w:val="18"/>
                <w:highlight w:val="none"/>
              </w:rPr>
              <w:t>发生检修质量问题的加倍考核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dxa"/>
            <w:vMerge w:val="restart"/>
            <w:vAlign w:val="center"/>
          </w:tcPr>
          <w:p>
            <w:pPr>
              <w:numPr>
                <w:ilvl w:val="0"/>
                <w:numId w:val="23"/>
              </w:numPr>
              <w:jc w:val="right"/>
              <w:rPr>
                <w:sz w:val="18"/>
                <w:szCs w:val="18"/>
                <w:highlight w:val="none"/>
              </w:rPr>
            </w:pPr>
          </w:p>
        </w:tc>
        <w:tc>
          <w:tcPr>
            <w:tcW w:w="996" w:type="dxa"/>
            <w:vMerge w:val="restart"/>
            <w:vAlign w:val="center"/>
          </w:tcPr>
          <w:p>
            <w:pPr>
              <w:rPr>
                <w:sz w:val="18"/>
                <w:szCs w:val="18"/>
                <w:highlight w:val="none"/>
              </w:rPr>
            </w:pPr>
            <w:r>
              <w:rPr>
                <w:rFonts w:hint="eastAsia"/>
                <w:sz w:val="18"/>
                <w:szCs w:val="18"/>
                <w:highlight w:val="none"/>
              </w:rPr>
              <w:t>施工方案</w:t>
            </w:r>
          </w:p>
        </w:tc>
        <w:tc>
          <w:tcPr>
            <w:tcW w:w="1701" w:type="dxa"/>
            <w:vAlign w:val="center"/>
          </w:tcPr>
          <w:p>
            <w:pPr>
              <w:rPr>
                <w:sz w:val="18"/>
                <w:szCs w:val="18"/>
                <w:highlight w:val="none"/>
              </w:rPr>
            </w:pPr>
            <w:r>
              <w:rPr>
                <w:rFonts w:hint="eastAsia"/>
                <w:sz w:val="18"/>
                <w:szCs w:val="18"/>
                <w:highlight w:val="none"/>
              </w:rPr>
              <w:t>施工方案报审时发现，可操作性差，关键步骤、质量要求以及安全事项未明确的</w:t>
            </w:r>
          </w:p>
        </w:tc>
        <w:tc>
          <w:tcPr>
            <w:tcW w:w="1276" w:type="dxa"/>
            <w:vAlign w:val="center"/>
          </w:tcPr>
          <w:p>
            <w:pPr>
              <w:rPr>
                <w:sz w:val="18"/>
                <w:szCs w:val="18"/>
                <w:highlight w:val="none"/>
              </w:rPr>
            </w:pPr>
            <w:r>
              <w:rPr>
                <w:rFonts w:hint="eastAsia"/>
                <w:sz w:val="18"/>
                <w:szCs w:val="18"/>
                <w:highlight w:val="none"/>
              </w:rPr>
              <w:t>扣200-800元/件</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ind w:left="-59" w:right="-57"/>
              <w:jc w:val="center"/>
              <w:rPr>
                <w:sz w:val="18"/>
                <w:szCs w:val="18"/>
                <w:highlight w:val="none"/>
              </w:rPr>
            </w:pPr>
            <w:r>
              <w:rPr>
                <w:rFonts w:hint="eastAsia"/>
                <w:sz w:val="18"/>
                <w:szCs w:val="18"/>
                <w:highlight w:val="none"/>
              </w:rPr>
              <w:t>检修项目经理或专业主管</w:t>
            </w:r>
          </w:p>
        </w:tc>
        <w:tc>
          <w:tcPr>
            <w:tcW w:w="1418" w:type="dxa"/>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rPr>
                <w:sz w:val="18"/>
                <w:szCs w:val="18"/>
                <w:highlight w:val="none"/>
              </w:rPr>
            </w:pPr>
          </w:p>
        </w:tc>
        <w:tc>
          <w:tcPr>
            <w:tcW w:w="1701" w:type="dxa"/>
            <w:vAlign w:val="center"/>
          </w:tcPr>
          <w:p>
            <w:pPr>
              <w:rPr>
                <w:sz w:val="18"/>
                <w:szCs w:val="18"/>
                <w:highlight w:val="none"/>
              </w:rPr>
            </w:pPr>
            <w:r>
              <w:rPr>
                <w:rFonts w:hint="eastAsia"/>
                <w:sz w:val="18"/>
                <w:szCs w:val="18"/>
                <w:highlight w:val="none"/>
              </w:rPr>
              <w:t>报审超时</w:t>
            </w:r>
          </w:p>
        </w:tc>
        <w:tc>
          <w:tcPr>
            <w:tcW w:w="1276" w:type="dxa"/>
            <w:vAlign w:val="center"/>
          </w:tcPr>
          <w:p>
            <w:pPr>
              <w:rPr>
                <w:sz w:val="18"/>
                <w:szCs w:val="18"/>
                <w:highlight w:val="none"/>
              </w:rPr>
            </w:pPr>
            <w:r>
              <w:rPr>
                <w:rFonts w:hint="eastAsia"/>
                <w:sz w:val="18"/>
                <w:szCs w:val="18"/>
                <w:highlight w:val="none"/>
              </w:rPr>
              <w:t>扣200元/份</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ind w:left="-59" w:right="-57"/>
              <w:jc w:val="center"/>
              <w:rPr>
                <w:sz w:val="18"/>
                <w:szCs w:val="18"/>
                <w:highlight w:val="none"/>
              </w:rPr>
            </w:pPr>
            <w:r>
              <w:rPr>
                <w:rFonts w:hint="eastAsia"/>
                <w:sz w:val="18"/>
                <w:szCs w:val="18"/>
                <w:highlight w:val="none"/>
              </w:rPr>
              <w:t>检修项目经理或专业主管</w:t>
            </w:r>
          </w:p>
        </w:tc>
        <w:tc>
          <w:tcPr>
            <w:tcW w:w="1418" w:type="dxa"/>
            <w:vAlign w:val="center"/>
          </w:tcPr>
          <w:p>
            <w:pPr>
              <w:jc w:val="center"/>
              <w:rPr>
                <w:sz w:val="18"/>
                <w:szCs w:val="18"/>
                <w:highlight w:val="none"/>
              </w:rPr>
            </w:pPr>
            <w:r>
              <w:rPr>
                <w:rFonts w:hint="eastAsia"/>
                <w:sz w:val="18"/>
                <w:szCs w:val="18"/>
                <w:highlight w:val="none"/>
              </w:rPr>
              <w:t>施工方案必须在开工前一周完成报审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dxa"/>
            <w:vAlign w:val="center"/>
          </w:tcPr>
          <w:p>
            <w:pPr>
              <w:numPr>
                <w:ilvl w:val="0"/>
                <w:numId w:val="23"/>
              </w:numPr>
              <w:jc w:val="right"/>
              <w:rPr>
                <w:sz w:val="18"/>
                <w:szCs w:val="18"/>
                <w:highlight w:val="none"/>
              </w:rPr>
            </w:pPr>
          </w:p>
        </w:tc>
        <w:tc>
          <w:tcPr>
            <w:tcW w:w="996" w:type="dxa"/>
            <w:vAlign w:val="center"/>
          </w:tcPr>
          <w:p>
            <w:pPr>
              <w:rPr>
                <w:sz w:val="18"/>
                <w:szCs w:val="18"/>
                <w:highlight w:val="none"/>
              </w:rPr>
            </w:pPr>
            <w:r>
              <w:rPr>
                <w:rFonts w:hint="eastAsia"/>
                <w:sz w:val="18"/>
                <w:szCs w:val="18"/>
                <w:highlight w:val="none"/>
              </w:rPr>
              <w:t>施工中的工器具、测量器具或装备</w:t>
            </w:r>
          </w:p>
        </w:tc>
        <w:tc>
          <w:tcPr>
            <w:tcW w:w="1701" w:type="dxa"/>
            <w:vAlign w:val="center"/>
          </w:tcPr>
          <w:p>
            <w:pPr>
              <w:rPr>
                <w:sz w:val="18"/>
                <w:szCs w:val="18"/>
                <w:highlight w:val="none"/>
              </w:rPr>
            </w:pPr>
            <w:r>
              <w:rPr>
                <w:rFonts w:hint="eastAsia"/>
                <w:sz w:val="18"/>
                <w:szCs w:val="18"/>
                <w:highlight w:val="none"/>
              </w:rPr>
              <w:t>超出定期安全校验期的而未检验而使用者；</w:t>
            </w:r>
          </w:p>
          <w:p>
            <w:pPr>
              <w:rPr>
                <w:sz w:val="18"/>
                <w:szCs w:val="18"/>
                <w:highlight w:val="none"/>
              </w:rPr>
            </w:pPr>
            <w:r>
              <w:rPr>
                <w:rFonts w:hint="eastAsia"/>
                <w:sz w:val="18"/>
                <w:szCs w:val="18"/>
                <w:highlight w:val="none"/>
              </w:rPr>
              <w:t>使用未检验的测量器具设备</w:t>
            </w:r>
          </w:p>
        </w:tc>
        <w:tc>
          <w:tcPr>
            <w:tcW w:w="1276" w:type="dxa"/>
            <w:vAlign w:val="center"/>
          </w:tcPr>
          <w:p>
            <w:pPr>
              <w:jc w:val="center"/>
              <w:rPr>
                <w:sz w:val="18"/>
                <w:szCs w:val="18"/>
                <w:highlight w:val="none"/>
              </w:rPr>
            </w:pPr>
            <w:r>
              <w:rPr>
                <w:rFonts w:hint="eastAsia"/>
                <w:sz w:val="18"/>
                <w:szCs w:val="18"/>
                <w:highlight w:val="none"/>
              </w:rPr>
              <w:t>扣100－300元/件</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ind w:left="-59" w:right="-57"/>
              <w:jc w:val="center"/>
              <w:rPr>
                <w:sz w:val="18"/>
                <w:szCs w:val="18"/>
                <w:highlight w:val="none"/>
              </w:rPr>
            </w:pPr>
            <w:r>
              <w:rPr>
                <w:rFonts w:hint="eastAsia"/>
                <w:sz w:val="18"/>
                <w:szCs w:val="18"/>
                <w:highlight w:val="none"/>
              </w:rPr>
              <w:t>检修项目经理或专业主管</w:t>
            </w:r>
          </w:p>
        </w:tc>
        <w:tc>
          <w:tcPr>
            <w:tcW w:w="1418" w:type="dxa"/>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5" w:hRule="atLeast"/>
        </w:trPr>
        <w:tc>
          <w:tcPr>
            <w:tcW w:w="525" w:type="dxa"/>
            <w:vAlign w:val="center"/>
          </w:tcPr>
          <w:p>
            <w:pPr>
              <w:numPr>
                <w:ilvl w:val="0"/>
                <w:numId w:val="23"/>
              </w:numPr>
              <w:jc w:val="right"/>
              <w:rPr>
                <w:sz w:val="18"/>
                <w:szCs w:val="18"/>
                <w:highlight w:val="none"/>
              </w:rPr>
            </w:pPr>
          </w:p>
        </w:tc>
        <w:tc>
          <w:tcPr>
            <w:tcW w:w="996" w:type="dxa"/>
            <w:vAlign w:val="center"/>
          </w:tcPr>
          <w:p>
            <w:pPr>
              <w:rPr>
                <w:sz w:val="18"/>
                <w:szCs w:val="18"/>
                <w:highlight w:val="none"/>
              </w:rPr>
            </w:pPr>
            <w:r>
              <w:rPr>
                <w:rFonts w:hint="eastAsia"/>
                <w:sz w:val="18"/>
                <w:szCs w:val="18"/>
                <w:highlight w:val="none"/>
              </w:rPr>
              <w:t>施工工艺文件（文件包、检修卡、施工方案等）内容</w:t>
            </w:r>
          </w:p>
        </w:tc>
        <w:tc>
          <w:tcPr>
            <w:tcW w:w="1701" w:type="dxa"/>
            <w:vAlign w:val="center"/>
          </w:tcPr>
          <w:p>
            <w:pPr>
              <w:rPr>
                <w:sz w:val="18"/>
                <w:szCs w:val="18"/>
                <w:highlight w:val="none"/>
              </w:rPr>
            </w:pPr>
            <w:r>
              <w:rPr>
                <w:rFonts w:hint="eastAsia"/>
                <w:sz w:val="18"/>
                <w:szCs w:val="18"/>
                <w:highlight w:val="none"/>
              </w:rPr>
              <w:t>发现作业书中有重大原则性错误的，可能导致影响施工质量，安全和进度的</w:t>
            </w:r>
          </w:p>
        </w:tc>
        <w:tc>
          <w:tcPr>
            <w:tcW w:w="1276" w:type="dxa"/>
            <w:vAlign w:val="center"/>
          </w:tcPr>
          <w:p>
            <w:pPr>
              <w:jc w:val="center"/>
              <w:rPr>
                <w:sz w:val="18"/>
                <w:szCs w:val="18"/>
                <w:highlight w:val="none"/>
              </w:rPr>
            </w:pPr>
            <w:r>
              <w:rPr>
                <w:rFonts w:hint="eastAsia"/>
                <w:sz w:val="18"/>
                <w:szCs w:val="18"/>
                <w:highlight w:val="none"/>
              </w:rPr>
              <w:t>奖50-500元/项</w:t>
            </w:r>
          </w:p>
        </w:tc>
        <w:tc>
          <w:tcPr>
            <w:tcW w:w="992" w:type="dxa"/>
            <w:vAlign w:val="center"/>
          </w:tcPr>
          <w:p>
            <w:pPr>
              <w:ind w:left="-90" w:right="-113"/>
              <w:jc w:val="center"/>
              <w:rPr>
                <w:sz w:val="18"/>
                <w:szCs w:val="18"/>
                <w:highlight w:val="none"/>
              </w:rPr>
            </w:pPr>
            <w:r>
              <w:rPr>
                <w:rFonts w:hint="eastAsia"/>
                <w:sz w:val="18"/>
                <w:szCs w:val="18"/>
                <w:highlight w:val="none"/>
              </w:rPr>
              <w:t>参修单位或个人</w:t>
            </w:r>
          </w:p>
        </w:tc>
        <w:tc>
          <w:tcPr>
            <w:tcW w:w="1276" w:type="dxa"/>
            <w:vAlign w:val="center"/>
          </w:tcPr>
          <w:p>
            <w:pPr>
              <w:ind w:left="-59" w:right="-57"/>
              <w:jc w:val="center"/>
              <w:rPr>
                <w:sz w:val="18"/>
                <w:szCs w:val="18"/>
                <w:highlight w:val="none"/>
              </w:rPr>
            </w:pPr>
            <w:r>
              <w:rPr>
                <w:rFonts w:hint="eastAsia"/>
                <w:sz w:val="18"/>
                <w:szCs w:val="18"/>
                <w:highlight w:val="none"/>
              </w:rPr>
              <w:t>检修项目经理或专业主管</w:t>
            </w:r>
          </w:p>
        </w:tc>
        <w:tc>
          <w:tcPr>
            <w:tcW w:w="1418" w:type="dxa"/>
            <w:vAlign w:val="center"/>
          </w:tcPr>
          <w:p>
            <w:pPr>
              <w:jc w:val="center"/>
              <w:rPr>
                <w:sz w:val="18"/>
                <w:szCs w:val="18"/>
                <w:highlight w:val="none"/>
              </w:rPr>
            </w:pPr>
            <w:r>
              <w:rPr>
                <w:rFonts w:hint="eastAsia"/>
                <w:sz w:val="18"/>
                <w:szCs w:val="18"/>
                <w:highlight w:val="none"/>
              </w:rPr>
              <w:t>已得到设备部认可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0" w:hRule="atLeast"/>
        </w:trPr>
        <w:tc>
          <w:tcPr>
            <w:tcW w:w="525" w:type="dxa"/>
            <w:vMerge w:val="restart"/>
            <w:vAlign w:val="center"/>
          </w:tcPr>
          <w:p>
            <w:pPr>
              <w:numPr>
                <w:ilvl w:val="0"/>
                <w:numId w:val="23"/>
              </w:numPr>
              <w:jc w:val="right"/>
              <w:rPr>
                <w:sz w:val="18"/>
                <w:szCs w:val="18"/>
                <w:highlight w:val="none"/>
              </w:rPr>
            </w:pPr>
          </w:p>
        </w:tc>
        <w:tc>
          <w:tcPr>
            <w:tcW w:w="996" w:type="dxa"/>
            <w:vMerge w:val="restart"/>
            <w:vAlign w:val="center"/>
          </w:tcPr>
          <w:p>
            <w:pPr>
              <w:rPr>
                <w:sz w:val="18"/>
                <w:szCs w:val="18"/>
                <w:highlight w:val="none"/>
              </w:rPr>
            </w:pPr>
            <w:r>
              <w:rPr>
                <w:rFonts w:hint="eastAsia"/>
                <w:sz w:val="18"/>
                <w:szCs w:val="18"/>
                <w:highlight w:val="none"/>
              </w:rPr>
              <w:t>施工中的备品配件材料</w:t>
            </w:r>
          </w:p>
        </w:tc>
        <w:tc>
          <w:tcPr>
            <w:tcW w:w="1701" w:type="dxa"/>
            <w:vAlign w:val="center"/>
          </w:tcPr>
          <w:p>
            <w:pPr>
              <w:rPr>
                <w:sz w:val="18"/>
                <w:szCs w:val="18"/>
                <w:highlight w:val="none"/>
              </w:rPr>
            </w:pPr>
            <w:r>
              <w:rPr>
                <w:rFonts w:hint="eastAsia"/>
                <w:sz w:val="18"/>
                <w:szCs w:val="18"/>
                <w:highlight w:val="none"/>
              </w:rPr>
              <w:t>发现项目中重要备品配件缺少，不齐，错误或存在质量问题的，可能导致影响施工质量进度和安全的</w:t>
            </w:r>
          </w:p>
        </w:tc>
        <w:tc>
          <w:tcPr>
            <w:tcW w:w="1276" w:type="dxa"/>
            <w:vAlign w:val="center"/>
          </w:tcPr>
          <w:p>
            <w:pPr>
              <w:jc w:val="center"/>
              <w:rPr>
                <w:sz w:val="18"/>
                <w:szCs w:val="18"/>
                <w:highlight w:val="none"/>
              </w:rPr>
            </w:pPr>
            <w:r>
              <w:rPr>
                <w:rFonts w:hint="eastAsia"/>
                <w:sz w:val="18"/>
                <w:szCs w:val="18"/>
                <w:highlight w:val="none"/>
              </w:rPr>
              <w:t>奖50-500元/项</w:t>
            </w:r>
          </w:p>
        </w:tc>
        <w:tc>
          <w:tcPr>
            <w:tcW w:w="992" w:type="dxa"/>
            <w:vAlign w:val="center"/>
          </w:tcPr>
          <w:p>
            <w:pPr>
              <w:ind w:left="-90" w:right="-113"/>
              <w:jc w:val="center"/>
              <w:rPr>
                <w:sz w:val="18"/>
                <w:szCs w:val="18"/>
                <w:highlight w:val="none"/>
              </w:rPr>
            </w:pPr>
            <w:r>
              <w:rPr>
                <w:rFonts w:hint="eastAsia"/>
                <w:sz w:val="18"/>
                <w:szCs w:val="18"/>
                <w:highlight w:val="none"/>
              </w:rPr>
              <w:t>参修单位或个人</w:t>
            </w:r>
          </w:p>
        </w:tc>
        <w:tc>
          <w:tcPr>
            <w:tcW w:w="1276" w:type="dxa"/>
            <w:vAlign w:val="center"/>
          </w:tcPr>
          <w:p>
            <w:pPr>
              <w:ind w:left="-59" w:right="-57"/>
              <w:jc w:val="center"/>
              <w:rPr>
                <w:sz w:val="18"/>
                <w:szCs w:val="18"/>
                <w:highlight w:val="none"/>
              </w:rPr>
            </w:pPr>
            <w:r>
              <w:rPr>
                <w:rFonts w:hint="eastAsia"/>
                <w:sz w:val="18"/>
                <w:szCs w:val="18"/>
                <w:highlight w:val="none"/>
              </w:rPr>
              <w:t>检修项目经理或专业主管</w:t>
            </w:r>
          </w:p>
        </w:tc>
        <w:tc>
          <w:tcPr>
            <w:tcW w:w="1418" w:type="dxa"/>
            <w:vAlign w:val="center"/>
          </w:tcPr>
          <w:p>
            <w:pPr>
              <w:jc w:val="center"/>
              <w:rPr>
                <w:sz w:val="18"/>
                <w:szCs w:val="18"/>
                <w:highlight w:val="none"/>
              </w:rPr>
            </w:pPr>
            <w:r>
              <w:rPr>
                <w:rFonts w:hint="eastAsia"/>
                <w:sz w:val="18"/>
                <w:szCs w:val="18"/>
                <w:highlight w:val="none"/>
              </w:rPr>
              <w:t>已得到设备部认可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trPr>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rPr>
                <w:sz w:val="18"/>
                <w:szCs w:val="18"/>
                <w:highlight w:val="none"/>
              </w:rPr>
            </w:pPr>
          </w:p>
        </w:tc>
        <w:tc>
          <w:tcPr>
            <w:tcW w:w="1701" w:type="dxa"/>
            <w:vAlign w:val="center"/>
          </w:tcPr>
          <w:p>
            <w:pPr>
              <w:rPr>
                <w:sz w:val="18"/>
                <w:szCs w:val="18"/>
                <w:highlight w:val="none"/>
              </w:rPr>
            </w:pPr>
            <w:r>
              <w:rPr>
                <w:rFonts w:hint="eastAsia"/>
                <w:sz w:val="18"/>
                <w:szCs w:val="18"/>
                <w:highlight w:val="none"/>
              </w:rPr>
              <w:t>已领用的备品备件发生损坏，或遗失</w:t>
            </w:r>
          </w:p>
        </w:tc>
        <w:tc>
          <w:tcPr>
            <w:tcW w:w="1276" w:type="dxa"/>
            <w:vAlign w:val="center"/>
          </w:tcPr>
          <w:p>
            <w:pPr>
              <w:jc w:val="center"/>
              <w:rPr>
                <w:sz w:val="18"/>
                <w:szCs w:val="18"/>
                <w:highlight w:val="none"/>
              </w:rPr>
            </w:pPr>
            <w:r>
              <w:rPr>
                <w:rFonts w:hint="eastAsia"/>
                <w:sz w:val="18"/>
                <w:szCs w:val="18"/>
                <w:highlight w:val="none"/>
              </w:rPr>
              <w:t>按遗失备件原价赔偿，若导致工期延误，按本表的第12点考核</w:t>
            </w:r>
          </w:p>
        </w:tc>
        <w:tc>
          <w:tcPr>
            <w:tcW w:w="992" w:type="dxa"/>
            <w:vAlign w:val="center"/>
          </w:tcPr>
          <w:p>
            <w:pPr>
              <w:ind w:left="-90" w:right="-113"/>
              <w:jc w:val="center"/>
              <w:rPr>
                <w:sz w:val="18"/>
                <w:szCs w:val="18"/>
                <w:highlight w:val="none"/>
              </w:rPr>
            </w:pPr>
            <w:r>
              <w:rPr>
                <w:rFonts w:hint="eastAsia"/>
                <w:sz w:val="18"/>
                <w:szCs w:val="18"/>
                <w:highlight w:val="none"/>
              </w:rPr>
              <w:t>参修单位或个人</w:t>
            </w:r>
          </w:p>
        </w:tc>
        <w:tc>
          <w:tcPr>
            <w:tcW w:w="1276" w:type="dxa"/>
            <w:vAlign w:val="center"/>
          </w:tcPr>
          <w:p>
            <w:pPr>
              <w:ind w:left="-59" w:right="-57"/>
              <w:jc w:val="center"/>
              <w:rPr>
                <w:sz w:val="18"/>
                <w:szCs w:val="18"/>
                <w:highlight w:val="none"/>
              </w:rPr>
            </w:pPr>
            <w:r>
              <w:rPr>
                <w:rFonts w:hint="eastAsia"/>
                <w:sz w:val="18"/>
                <w:szCs w:val="18"/>
                <w:highlight w:val="none"/>
              </w:rPr>
              <w:t>检修项目经理或专业主管</w:t>
            </w:r>
          </w:p>
        </w:tc>
        <w:tc>
          <w:tcPr>
            <w:tcW w:w="1418" w:type="dxa"/>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atLeast"/>
        </w:trPr>
        <w:tc>
          <w:tcPr>
            <w:tcW w:w="525" w:type="dxa"/>
            <w:vAlign w:val="center"/>
          </w:tcPr>
          <w:p>
            <w:pPr>
              <w:numPr>
                <w:ilvl w:val="0"/>
                <w:numId w:val="23"/>
              </w:numPr>
              <w:jc w:val="right"/>
              <w:rPr>
                <w:sz w:val="18"/>
                <w:szCs w:val="18"/>
                <w:highlight w:val="none"/>
              </w:rPr>
            </w:pPr>
          </w:p>
        </w:tc>
        <w:tc>
          <w:tcPr>
            <w:tcW w:w="996" w:type="dxa"/>
            <w:vAlign w:val="center"/>
          </w:tcPr>
          <w:p>
            <w:pPr>
              <w:rPr>
                <w:sz w:val="18"/>
                <w:szCs w:val="18"/>
                <w:highlight w:val="none"/>
              </w:rPr>
            </w:pPr>
            <w:r>
              <w:rPr>
                <w:rFonts w:hint="eastAsia"/>
                <w:sz w:val="18"/>
                <w:szCs w:val="18"/>
                <w:highlight w:val="none"/>
              </w:rPr>
              <w:t>问题发现</w:t>
            </w:r>
          </w:p>
        </w:tc>
        <w:tc>
          <w:tcPr>
            <w:tcW w:w="1701" w:type="dxa"/>
            <w:vAlign w:val="center"/>
          </w:tcPr>
          <w:p>
            <w:pPr>
              <w:rPr>
                <w:sz w:val="18"/>
                <w:szCs w:val="18"/>
                <w:highlight w:val="none"/>
              </w:rPr>
            </w:pPr>
            <w:r>
              <w:rPr>
                <w:rFonts w:hint="eastAsia"/>
                <w:sz w:val="18"/>
                <w:szCs w:val="18"/>
                <w:highlight w:val="none"/>
              </w:rPr>
              <w:t>检修过程中发现重大缺陷</w:t>
            </w:r>
          </w:p>
        </w:tc>
        <w:tc>
          <w:tcPr>
            <w:tcW w:w="1276" w:type="dxa"/>
            <w:vAlign w:val="center"/>
          </w:tcPr>
          <w:p>
            <w:pPr>
              <w:jc w:val="center"/>
              <w:rPr>
                <w:sz w:val="18"/>
                <w:szCs w:val="18"/>
                <w:highlight w:val="none"/>
              </w:rPr>
            </w:pPr>
            <w:r>
              <w:rPr>
                <w:rFonts w:hint="eastAsia"/>
                <w:sz w:val="18"/>
                <w:szCs w:val="18"/>
                <w:highlight w:val="none"/>
              </w:rPr>
              <w:t>奖200-1000元/条</w:t>
            </w:r>
          </w:p>
        </w:tc>
        <w:tc>
          <w:tcPr>
            <w:tcW w:w="992" w:type="dxa"/>
            <w:vAlign w:val="center"/>
          </w:tcPr>
          <w:p>
            <w:pPr>
              <w:ind w:left="-90" w:right="-113"/>
              <w:jc w:val="center"/>
              <w:rPr>
                <w:sz w:val="18"/>
                <w:szCs w:val="18"/>
                <w:highlight w:val="none"/>
              </w:rPr>
            </w:pPr>
            <w:r>
              <w:rPr>
                <w:rFonts w:hint="eastAsia"/>
                <w:sz w:val="18"/>
                <w:szCs w:val="18"/>
                <w:highlight w:val="none"/>
              </w:rPr>
              <w:t>发现者</w:t>
            </w:r>
          </w:p>
        </w:tc>
        <w:tc>
          <w:tcPr>
            <w:tcW w:w="1276" w:type="dxa"/>
            <w:vAlign w:val="center"/>
          </w:tcPr>
          <w:p>
            <w:pPr>
              <w:ind w:left="-59" w:right="-57"/>
              <w:jc w:val="center"/>
              <w:rPr>
                <w:sz w:val="18"/>
                <w:szCs w:val="18"/>
                <w:highlight w:val="none"/>
              </w:rPr>
            </w:pPr>
            <w:r>
              <w:rPr>
                <w:rFonts w:hint="eastAsia"/>
                <w:sz w:val="18"/>
                <w:szCs w:val="18"/>
                <w:highlight w:val="none"/>
              </w:rPr>
              <w:t>检修项目经理或专业主管</w:t>
            </w:r>
          </w:p>
        </w:tc>
        <w:tc>
          <w:tcPr>
            <w:tcW w:w="1418" w:type="dxa"/>
            <w:vAlign w:val="center"/>
          </w:tcPr>
          <w:p>
            <w:pPr>
              <w:jc w:val="center"/>
              <w:rPr>
                <w:sz w:val="18"/>
                <w:szCs w:val="18"/>
                <w:highlight w:val="none"/>
              </w:rPr>
            </w:pPr>
            <w:r>
              <w:rPr>
                <w:rFonts w:hint="eastAsia"/>
                <w:sz w:val="18"/>
                <w:szCs w:val="18"/>
                <w:highlight w:val="none"/>
              </w:rPr>
              <w:t>已得到设备部认可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1" w:hRule="atLeast"/>
        </w:trPr>
        <w:tc>
          <w:tcPr>
            <w:tcW w:w="525" w:type="dxa"/>
            <w:vMerge w:val="restart"/>
            <w:vAlign w:val="center"/>
          </w:tcPr>
          <w:p>
            <w:pPr>
              <w:numPr>
                <w:ilvl w:val="0"/>
                <w:numId w:val="23"/>
              </w:numPr>
              <w:jc w:val="right"/>
              <w:rPr>
                <w:sz w:val="18"/>
                <w:szCs w:val="18"/>
                <w:highlight w:val="none"/>
              </w:rPr>
            </w:pPr>
          </w:p>
        </w:tc>
        <w:tc>
          <w:tcPr>
            <w:tcW w:w="996" w:type="dxa"/>
            <w:vMerge w:val="restart"/>
            <w:vAlign w:val="center"/>
          </w:tcPr>
          <w:p>
            <w:pPr>
              <w:jc w:val="center"/>
              <w:rPr>
                <w:sz w:val="18"/>
                <w:szCs w:val="18"/>
                <w:highlight w:val="none"/>
              </w:rPr>
            </w:pPr>
            <w:r>
              <w:rPr>
                <w:rFonts w:hint="eastAsia"/>
                <w:sz w:val="18"/>
                <w:szCs w:val="18"/>
                <w:highlight w:val="none"/>
              </w:rPr>
              <w:t>H、W、S点验收</w:t>
            </w:r>
          </w:p>
        </w:tc>
        <w:tc>
          <w:tcPr>
            <w:tcW w:w="1701" w:type="dxa"/>
            <w:vAlign w:val="center"/>
          </w:tcPr>
          <w:p>
            <w:pPr>
              <w:rPr>
                <w:sz w:val="18"/>
                <w:szCs w:val="18"/>
                <w:highlight w:val="none"/>
              </w:rPr>
            </w:pPr>
            <w:r>
              <w:rPr>
                <w:rFonts w:hint="eastAsia" w:ascii="宋体" w:hAnsi="宋体"/>
                <w:sz w:val="18"/>
                <w:szCs w:val="18"/>
                <w:highlight w:val="none"/>
              </w:rPr>
              <w:t>未按规定进行</w:t>
            </w:r>
            <w:r>
              <w:rPr>
                <w:rFonts w:hint="eastAsia"/>
                <w:sz w:val="18"/>
                <w:szCs w:val="18"/>
                <w:highlight w:val="none"/>
              </w:rPr>
              <w:t>H/W/S点验收申请</w:t>
            </w:r>
          </w:p>
        </w:tc>
        <w:tc>
          <w:tcPr>
            <w:tcW w:w="1276" w:type="dxa"/>
            <w:vAlign w:val="center"/>
          </w:tcPr>
          <w:p>
            <w:pPr>
              <w:jc w:val="center"/>
              <w:rPr>
                <w:sz w:val="18"/>
                <w:szCs w:val="18"/>
                <w:highlight w:val="none"/>
              </w:rPr>
            </w:pPr>
            <w:r>
              <w:rPr>
                <w:rFonts w:hint="eastAsia"/>
                <w:sz w:val="18"/>
                <w:szCs w:val="18"/>
                <w:highlight w:val="none"/>
              </w:rPr>
              <w:t>扣200元/点</w:t>
            </w:r>
          </w:p>
        </w:tc>
        <w:tc>
          <w:tcPr>
            <w:tcW w:w="992" w:type="dxa"/>
            <w:vMerge w:val="restart"/>
            <w:vAlign w:val="center"/>
          </w:tcPr>
          <w:p>
            <w:pPr>
              <w:ind w:left="-90" w:right="-113"/>
              <w:jc w:val="center"/>
              <w:rPr>
                <w:sz w:val="18"/>
                <w:szCs w:val="18"/>
                <w:highlight w:val="none"/>
              </w:rPr>
            </w:pPr>
            <w:r>
              <w:rPr>
                <w:rFonts w:hint="eastAsia"/>
                <w:sz w:val="18"/>
                <w:szCs w:val="18"/>
                <w:highlight w:val="none"/>
              </w:rPr>
              <w:t>责任单位</w:t>
            </w:r>
          </w:p>
        </w:tc>
        <w:tc>
          <w:tcPr>
            <w:tcW w:w="1276" w:type="dxa"/>
            <w:vMerge w:val="restart"/>
            <w:vAlign w:val="center"/>
          </w:tcPr>
          <w:p>
            <w:pPr>
              <w:ind w:left="-59" w:right="-57"/>
              <w:jc w:val="center"/>
              <w:rPr>
                <w:sz w:val="18"/>
                <w:szCs w:val="18"/>
                <w:highlight w:val="none"/>
              </w:rPr>
            </w:pPr>
            <w:r>
              <w:rPr>
                <w:rFonts w:hint="eastAsia"/>
                <w:sz w:val="18"/>
                <w:szCs w:val="18"/>
                <w:highlight w:val="none"/>
              </w:rPr>
              <w:t>质量监督组或专业点检</w:t>
            </w:r>
          </w:p>
        </w:tc>
        <w:tc>
          <w:tcPr>
            <w:tcW w:w="1418" w:type="dxa"/>
            <w:vMerge w:val="restart"/>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5" w:hRule="atLeast"/>
        </w:trPr>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jc w:val="center"/>
              <w:rPr>
                <w:sz w:val="18"/>
                <w:szCs w:val="18"/>
                <w:highlight w:val="none"/>
              </w:rPr>
            </w:pPr>
          </w:p>
        </w:tc>
        <w:tc>
          <w:tcPr>
            <w:tcW w:w="1701" w:type="dxa"/>
            <w:vAlign w:val="center"/>
          </w:tcPr>
          <w:p>
            <w:pPr>
              <w:rPr>
                <w:sz w:val="18"/>
                <w:szCs w:val="18"/>
                <w:highlight w:val="none"/>
              </w:rPr>
            </w:pPr>
            <w:r>
              <w:rPr>
                <w:rFonts w:hint="eastAsia"/>
                <w:sz w:val="18"/>
                <w:szCs w:val="18"/>
                <w:highlight w:val="none"/>
              </w:rPr>
              <w:t>验收一次不合格的</w:t>
            </w:r>
          </w:p>
        </w:tc>
        <w:tc>
          <w:tcPr>
            <w:tcW w:w="1276" w:type="dxa"/>
            <w:vAlign w:val="center"/>
          </w:tcPr>
          <w:p>
            <w:pPr>
              <w:jc w:val="center"/>
              <w:rPr>
                <w:sz w:val="18"/>
                <w:szCs w:val="18"/>
                <w:highlight w:val="none"/>
              </w:rPr>
            </w:pPr>
            <w:r>
              <w:rPr>
                <w:rFonts w:hint="eastAsia"/>
                <w:sz w:val="18"/>
                <w:szCs w:val="18"/>
                <w:highlight w:val="none"/>
              </w:rPr>
              <w:t>扣50-200元/点</w:t>
            </w:r>
          </w:p>
        </w:tc>
        <w:tc>
          <w:tcPr>
            <w:tcW w:w="992" w:type="dxa"/>
            <w:vMerge w:val="continue"/>
            <w:vAlign w:val="center"/>
          </w:tcPr>
          <w:p>
            <w:pPr>
              <w:ind w:left="-90" w:right="-113"/>
              <w:jc w:val="center"/>
              <w:rPr>
                <w:sz w:val="18"/>
                <w:szCs w:val="18"/>
                <w:highlight w:val="none"/>
              </w:rPr>
            </w:pPr>
          </w:p>
        </w:tc>
        <w:tc>
          <w:tcPr>
            <w:tcW w:w="1276" w:type="dxa"/>
            <w:vMerge w:val="continue"/>
            <w:vAlign w:val="center"/>
          </w:tcPr>
          <w:p>
            <w:pPr>
              <w:ind w:left="-59" w:right="-57"/>
              <w:jc w:val="center"/>
              <w:rPr>
                <w:sz w:val="18"/>
                <w:szCs w:val="18"/>
                <w:highlight w:val="none"/>
              </w:rPr>
            </w:pPr>
          </w:p>
        </w:tc>
        <w:tc>
          <w:tcPr>
            <w:tcW w:w="1418" w:type="dxa"/>
            <w:vMerge w:val="continue"/>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5" w:hRule="atLeast"/>
        </w:trPr>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jc w:val="center"/>
              <w:rPr>
                <w:sz w:val="18"/>
                <w:szCs w:val="18"/>
                <w:highlight w:val="none"/>
              </w:rPr>
            </w:pPr>
          </w:p>
        </w:tc>
        <w:tc>
          <w:tcPr>
            <w:tcW w:w="1701" w:type="dxa"/>
            <w:vAlign w:val="center"/>
          </w:tcPr>
          <w:p>
            <w:pPr>
              <w:rPr>
                <w:sz w:val="18"/>
                <w:szCs w:val="18"/>
                <w:highlight w:val="none"/>
              </w:rPr>
            </w:pPr>
            <w:r>
              <w:rPr>
                <w:rFonts w:hint="eastAsia"/>
                <w:sz w:val="18"/>
                <w:szCs w:val="18"/>
                <w:highlight w:val="none"/>
              </w:rPr>
              <w:t>验收二次不合格的</w:t>
            </w:r>
          </w:p>
        </w:tc>
        <w:tc>
          <w:tcPr>
            <w:tcW w:w="1276" w:type="dxa"/>
            <w:vAlign w:val="center"/>
          </w:tcPr>
          <w:p>
            <w:pPr>
              <w:jc w:val="center"/>
              <w:rPr>
                <w:sz w:val="18"/>
                <w:szCs w:val="18"/>
                <w:highlight w:val="none"/>
              </w:rPr>
            </w:pPr>
            <w:r>
              <w:rPr>
                <w:rFonts w:hint="eastAsia"/>
                <w:sz w:val="18"/>
                <w:szCs w:val="18"/>
                <w:highlight w:val="none"/>
              </w:rPr>
              <w:t>扣200-500元/点</w:t>
            </w:r>
          </w:p>
        </w:tc>
        <w:tc>
          <w:tcPr>
            <w:tcW w:w="992" w:type="dxa"/>
            <w:vMerge w:val="continue"/>
            <w:vAlign w:val="center"/>
          </w:tcPr>
          <w:p>
            <w:pPr>
              <w:ind w:left="-90" w:right="-113"/>
              <w:jc w:val="center"/>
              <w:rPr>
                <w:sz w:val="18"/>
                <w:szCs w:val="18"/>
                <w:highlight w:val="none"/>
              </w:rPr>
            </w:pPr>
          </w:p>
        </w:tc>
        <w:tc>
          <w:tcPr>
            <w:tcW w:w="1276" w:type="dxa"/>
            <w:vMerge w:val="continue"/>
            <w:vAlign w:val="center"/>
          </w:tcPr>
          <w:p>
            <w:pPr>
              <w:ind w:left="-59" w:right="-57"/>
              <w:jc w:val="center"/>
              <w:rPr>
                <w:sz w:val="18"/>
                <w:szCs w:val="18"/>
                <w:highlight w:val="none"/>
              </w:rPr>
            </w:pPr>
          </w:p>
        </w:tc>
        <w:tc>
          <w:tcPr>
            <w:tcW w:w="1418" w:type="dxa"/>
            <w:vMerge w:val="continue"/>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2" w:hRule="atLeast"/>
        </w:trPr>
        <w:tc>
          <w:tcPr>
            <w:tcW w:w="525" w:type="dxa"/>
            <w:vMerge w:val="restart"/>
            <w:vAlign w:val="center"/>
          </w:tcPr>
          <w:p>
            <w:pPr>
              <w:numPr>
                <w:ilvl w:val="0"/>
                <w:numId w:val="23"/>
              </w:numPr>
              <w:jc w:val="right"/>
              <w:rPr>
                <w:sz w:val="18"/>
                <w:szCs w:val="18"/>
                <w:highlight w:val="none"/>
              </w:rPr>
            </w:pPr>
          </w:p>
        </w:tc>
        <w:tc>
          <w:tcPr>
            <w:tcW w:w="996" w:type="dxa"/>
            <w:vMerge w:val="restart"/>
            <w:vAlign w:val="center"/>
          </w:tcPr>
          <w:p>
            <w:pPr>
              <w:jc w:val="center"/>
              <w:rPr>
                <w:sz w:val="18"/>
                <w:szCs w:val="18"/>
                <w:highlight w:val="none"/>
              </w:rPr>
            </w:pPr>
            <w:r>
              <w:rPr>
                <w:rFonts w:hint="eastAsia"/>
                <w:sz w:val="18"/>
                <w:szCs w:val="18"/>
                <w:highlight w:val="none"/>
              </w:rPr>
              <w:t>项目验收</w:t>
            </w:r>
          </w:p>
        </w:tc>
        <w:tc>
          <w:tcPr>
            <w:tcW w:w="1701" w:type="dxa"/>
            <w:vAlign w:val="center"/>
          </w:tcPr>
          <w:p>
            <w:pPr>
              <w:rPr>
                <w:sz w:val="18"/>
                <w:szCs w:val="18"/>
                <w:highlight w:val="none"/>
              </w:rPr>
            </w:pPr>
            <w:r>
              <w:rPr>
                <w:rFonts w:hint="eastAsia"/>
                <w:sz w:val="18"/>
                <w:szCs w:val="18"/>
                <w:highlight w:val="none"/>
              </w:rPr>
              <w:t>验收一次不合格的</w:t>
            </w:r>
          </w:p>
        </w:tc>
        <w:tc>
          <w:tcPr>
            <w:tcW w:w="1276" w:type="dxa"/>
            <w:vAlign w:val="center"/>
          </w:tcPr>
          <w:p>
            <w:pPr>
              <w:jc w:val="center"/>
              <w:rPr>
                <w:sz w:val="18"/>
                <w:szCs w:val="18"/>
                <w:highlight w:val="none"/>
              </w:rPr>
            </w:pPr>
            <w:r>
              <w:rPr>
                <w:rFonts w:hint="eastAsia"/>
                <w:sz w:val="18"/>
                <w:szCs w:val="18"/>
                <w:highlight w:val="none"/>
              </w:rPr>
              <w:t>扣500-1000元</w:t>
            </w:r>
          </w:p>
        </w:tc>
        <w:tc>
          <w:tcPr>
            <w:tcW w:w="992" w:type="dxa"/>
            <w:vMerge w:val="restart"/>
            <w:vAlign w:val="center"/>
          </w:tcPr>
          <w:p>
            <w:pPr>
              <w:ind w:left="-90" w:right="-113"/>
              <w:jc w:val="center"/>
              <w:rPr>
                <w:sz w:val="18"/>
                <w:szCs w:val="18"/>
                <w:highlight w:val="none"/>
              </w:rPr>
            </w:pPr>
            <w:r>
              <w:rPr>
                <w:rFonts w:hint="eastAsia"/>
                <w:sz w:val="18"/>
                <w:szCs w:val="18"/>
                <w:highlight w:val="none"/>
              </w:rPr>
              <w:t>责任单位</w:t>
            </w:r>
          </w:p>
        </w:tc>
        <w:tc>
          <w:tcPr>
            <w:tcW w:w="1276" w:type="dxa"/>
            <w:vMerge w:val="restart"/>
            <w:vAlign w:val="center"/>
          </w:tcPr>
          <w:p>
            <w:pPr>
              <w:jc w:val="center"/>
              <w:rPr>
                <w:sz w:val="18"/>
                <w:szCs w:val="18"/>
                <w:highlight w:val="none"/>
              </w:rPr>
            </w:pPr>
            <w:r>
              <w:rPr>
                <w:rFonts w:hint="eastAsia"/>
                <w:sz w:val="18"/>
                <w:szCs w:val="18"/>
                <w:highlight w:val="none"/>
              </w:rPr>
              <w:t>质量监督组或专业点检</w:t>
            </w:r>
          </w:p>
        </w:tc>
        <w:tc>
          <w:tcPr>
            <w:tcW w:w="1418" w:type="dxa"/>
            <w:vMerge w:val="restart"/>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2" w:hRule="atLeast"/>
        </w:trPr>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jc w:val="center"/>
              <w:rPr>
                <w:sz w:val="18"/>
                <w:szCs w:val="18"/>
                <w:highlight w:val="none"/>
              </w:rPr>
            </w:pPr>
          </w:p>
        </w:tc>
        <w:tc>
          <w:tcPr>
            <w:tcW w:w="1701" w:type="dxa"/>
            <w:vAlign w:val="center"/>
          </w:tcPr>
          <w:p>
            <w:pPr>
              <w:rPr>
                <w:sz w:val="18"/>
                <w:szCs w:val="18"/>
                <w:highlight w:val="none"/>
              </w:rPr>
            </w:pPr>
            <w:r>
              <w:rPr>
                <w:rFonts w:hint="eastAsia"/>
                <w:sz w:val="18"/>
                <w:szCs w:val="18"/>
                <w:highlight w:val="none"/>
              </w:rPr>
              <w:t>验收二次不合格的</w:t>
            </w:r>
          </w:p>
        </w:tc>
        <w:tc>
          <w:tcPr>
            <w:tcW w:w="1276" w:type="dxa"/>
            <w:vAlign w:val="center"/>
          </w:tcPr>
          <w:p>
            <w:pPr>
              <w:jc w:val="center"/>
              <w:rPr>
                <w:sz w:val="18"/>
                <w:szCs w:val="18"/>
                <w:highlight w:val="none"/>
              </w:rPr>
            </w:pPr>
            <w:r>
              <w:rPr>
                <w:rFonts w:hint="eastAsia"/>
                <w:sz w:val="18"/>
                <w:szCs w:val="18"/>
                <w:highlight w:val="none"/>
              </w:rPr>
              <w:t>扣800-2000元</w:t>
            </w:r>
          </w:p>
        </w:tc>
        <w:tc>
          <w:tcPr>
            <w:tcW w:w="992" w:type="dxa"/>
            <w:vMerge w:val="continue"/>
            <w:vAlign w:val="center"/>
          </w:tcPr>
          <w:p>
            <w:pPr>
              <w:ind w:left="-90" w:right="-113"/>
              <w:jc w:val="center"/>
              <w:rPr>
                <w:sz w:val="18"/>
                <w:szCs w:val="18"/>
                <w:highlight w:val="none"/>
              </w:rPr>
            </w:pPr>
          </w:p>
        </w:tc>
        <w:tc>
          <w:tcPr>
            <w:tcW w:w="1276" w:type="dxa"/>
            <w:vMerge w:val="continue"/>
            <w:vAlign w:val="center"/>
          </w:tcPr>
          <w:p>
            <w:pPr>
              <w:ind w:left="-59" w:right="-57"/>
              <w:jc w:val="center"/>
              <w:rPr>
                <w:sz w:val="18"/>
                <w:szCs w:val="18"/>
                <w:highlight w:val="none"/>
              </w:rPr>
            </w:pPr>
          </w:p>
        </w:tc>
        <w:tc>
          <w:tcPr>
            <w:tcW w:w="1418" w:type="dxa"/>
            <w:vMerge w:val="continue"/>
            <w:vAlign w:val="center"/>
          </w:tcPr>
          <w:p>
            <w:pP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85" w:hRule="atLeast"/>
        </w:trPr>
        <w:tc>
          <w:tcPr>
            <w:tcW w:w="525" w:type="dxa"/>
            <w:vAlign w:val="center"/>
          </w:tcPr>
          <w:p>
            <w:pPr>
              <w:numPr>
                <w:ilvl w:val="0"/>
                <w:numId w:val="23"/>
              </w:numPr>
              <w:jc w:val="right"/>
              <w:rPr>
                <w:sz w:val="18"/>
                <w:szCs w:val="18"/>
                <w:highlight w:val="none"/>
              </w:rPr>
            </w:pPr>
          </w:p>
        </w:tc>
        <w:tc>
          <w:tcPr>
            <w:tcW w:w="996" w:type="dxa"/>
            <w:vAlign w:val="center"/>
          </w:tcPr>
          <w:p>
            <w:pPr>
              <w:jc w:val="center"/>
              <w:rPr>
                <w:sz w:val="18"/>
                <w:szCs w:val="18"/>
                <w:highlight w:val="none"/>
              </w:rPr>
            </w:pPr>
            <w:r>
              <w:rPr>
                <w:rFonts w:hint="eastAsia"/>
                <w:sz w:val="18"/>
                <w:szCs w:val="18"/>
                <w:highlight w:val="none"/>
              </w:rPr>
              <w:t>返工</w:t>
            </w:r>
          </w:p>
        </w:tc>
        <w:tc>
          <w:tcPr>
            <w:tcW w:w="1701" w:type="dxa"/>
            <w:vAlign w:val="center"/>
          </w:tcPr>
          <w:p>
            <w:pPr>
              <w:rPr>
                <w:sz w:val="18"/>
                <w:szCs w:val="18"/>
                <w:highlight w:val="none"/>
              </w:rPr>
            </w:pPr>
            <w:r>
              <w:rPr>
                <w:rFonts w:hint="eastAsia"/>
                <w:sz w:val="18"/>
                <w:szCs w:val="18"/>
                <w:highlight w:val="none"/>
              </w:rPr>
              <w:t>因施工方法不当或不按工艺文件施工导致返工的</w:t>
            </w:r>
          </w:p>
        </w:tc>
        <w:tc>
          <w:tcPr>
            <w:tcW w:w="1276" w:type="dxa"/>
            <w:vAlign w:val="center"/>
          </w:tcPr>
          <w:p>
            <w:pPr>
              <w:rPr>
                <w:sz w:val="18"/>
                <w:szCs w:val="18"/>
                <w:highlight w:val="none"/>
              </w:rPr>
            </w:pPr>
            <w:r>
              <w:rPr>
                <w:rFonts w:hint="eastAsia"/>
                <w:sz w:val="18"/>
                <w:szCs w:val="18"/>
                <w:highlight w:val="none"/>
              </w:rPr>
              <w:t>扣2000~5000元</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jc w:val="center"/>
              <w:rPr>
                <w:sz w:val="18"/>
                <w:szCs w:val="18"/>
                <w:highlight w:val="none"/>
              </w:rPr>
            </w:pPr>
            <w:r>
              <w:rPr>
                <w:rFonts w:hint="eastAsia"/>
                <w:sz w:val="18"/>
                <w:szCs w:val="18"/>
                <w:highlight w:val="none"/>
              </w:rPr>
              <w:t>质量监督组或专业点检</w:t>
            </w:r>
          </w:p>
        </w:tc>
        <w:tc>
          <w:tcPr>
            <w:tcW w:w="1418" w:type="dxa"/>
            <w:vAlign w:val="center"/>
          </w:tcPr>
          <w:p>
            <w:pP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525" w:type="dxa"/>
            <w:vMerge w:val="restart"/>
            <w:vAlign w:val="center"/>
          </w:tcPr>
          <w:p>
            <w:pPr>
              <w:numPr>
                <w:ilvl w:val="0"/>
                <w:numId w:val="23"/>
              </w:numPr>
              <w:jc w:val="right"/>
              <w:rPr>
                <w:sz w:val="18"/>
                <w:szCs w:val="18"/>
                <w:highlight w:val="none"/>
              </w:rPr>
            </w:pPr>
          </w:p>
        </w:tc>
        <w:tc>
          <w:tcPr>
            <w:tcW w:w="996" w:type="dxa"/>
            <w:vMerge w:val="restart"/>
            <w:vAlign w:val="center"/>
          </w:tcPr>
          <w:p>
            <w:pPr>
              <w:jc w:val="center"/>
              <w:rPr>
                <w:sz w:val="18"/>
                <w:szCs w:val="18"/>
                <w:highlight w:val="none"/>
              </w:rPr>
            </w:pPr>
            <w:r>
              <w:rPr>
                <w:rFonts w:hint="eastAsia"/>
                <w:sz w:val="18"/>
                <w:szCs w:val="18"/>
                <w:highlight w:val="none"/>
              </w:rPr>
              <w:t>质量记录</w:t>
            </w:r>
          </w:p>
        </w:tc>
        <w:tc>
          <w:tcPr>
            <w:tcW w:w="1701" w:type="dxa"/>
            <w:vAlign w:val="center"/>
          </w:tcPr>
          <w:p>
            <w:pPr>
              <w:rPr>
                <w:sz w:val="18"/>
                <w:szCs w:val="18"/>
                <w:highlight w:val="none"/>
              </w:rPr>
            </w:pPr>
            <w:r>
              <w:rPr>
                <w:rFonts w:hint="eastAsia"/>
                <w:sz w:val="18"/>
                <w:szCs w:val="18"/>
                <w:highlight w:val="none"/>
              </w:rPr>
              <w:t>未按程序记录</w:t>
            </w:r>
          </w:p>
        </w:tc>
        <w:tc>
          <w:tcPr>
            <w:tcW w:w="1276" w:type="dxa"/>
            <w:vAlign w:val="center"/>
          </w:tcPr>
          <w:p>
            <w:pPr>
              <w:rPr>
                <w:sz w:val="18"/>
                <w:szCs w:val="18"/>
                <w:highlight w:val="none"/>
              </w:rPr>
            </w:pPr>
            <w:r>
              <w:rPr>
                <w:rFonts w:hint="eastAsia"/>
                <w:sz w:val="18"/>
                <w:szCs w:val="18"/>
                <w:highlight w:val="none"/>
              </w:rPr>
              <w:t>扣100元/项</w:t>
            </w:r>
          </w:p>
        </w:tc>
        <w:tc>
          <w:tcPr>
            <w:tcW w:w="992" w:type="dxa"/>
            <w:vMerge w:val="restart"/>
            <w:vAlign w:val="center"/>
          </w:tcPr>
          <w:p>
            <w:pPr>
              <w:ind w:left="-90" w:right="-113"/>
              <w:jc w:val="center"/>
              <w:rPr>
                <w:sz w:val="18"/>
                <w:szCs w:val="18"/>
                <w:highlight w:val="none"/>
              </w:rPr>
            </w:pPr>
            <w:r>
              <w:rPr>
                <w:rFonts w:hint="eastAsia"/>
                <w:sz w:val="18"/>
                <w:szCs w:val="18"/>
                <w:highlight w:val="none"/>
              </w:rPr>
              <w:t>责任单位</w:t>
            </w:r>
          </w:p>
        </w:tc>
        <w:tc>
          <w:tcPr>
            <w:tcW w:w="1276" w:type="dxa"/>
            <w:vMerge w:val="restart"/>
            <w:vAlign w:val="center"/>
          </w:tcPr>
          <w:p>
            <w:pPr>
              <w:jc w:val="center"/>
              <w:rPr>
                <w:sz w:val="18"/>
                <w:szCs w:val="18"/>
                <w:highlight w:val="none"/>
              </w:rPr>
            </w:pPr>
            <w:r>
              <w:rPr>
                <w:rFonts w:hint="eastAsia"/>
                <w:sz w:val="18"/>
                <w:szCs w:val="18"/>
                <w:highlight w:val="none"/>
              </w:rPr>
              <w:t>质量监督组或专业点检</w:t>
            </w:r>
          </w:p>
        </w:tc>
        <w:tc>
          <w:tcPr>
            <w:tcW w:w="1418" w:type="dxa"/>
            <w:vMerge w:val="restart"/>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jc w:val="center"/>
              <w:rPr>
                <w:sz w:val="18"/>
                <w:szCs w:val="18"/>
                <w:highlight w:val="none"/>
              </w:rPr>
            </w:pPr>
          </w:p>
        </w:tc>
        <w:tc>
          <w:tcPr>
            <w:tcW w:w="1701" w:type="dxa"/>
            <w:vAlign w:val="center"/>
          </w:tcPr>
          <w:p>
            <w:pPr>
              <w:rPr>
                <w:sz w:val="18"/>
                <w:szCs w:val="18"/>
                <w:highlight w:val="none"/>
              </w:rPr>
            </w:pPr>
            <w:r>
              <w:rPr>
                <w:rFonts w:hint="eastAsia"/>
                <w:sz w:val="18"/>
                <w:szCs w:val="18"/>
                <w:highlight w:val="none"/>
              </w:rPr>
              <w:t>不符合记录要求</w:t>
            </w:r>
          </w:p>
        </w:tc>
        <w:tc>
          <w:tcPr>
            <w:tcW w:w="1276" w:type="dxa"/>
            <w:vAlign w:val="center"/>
          </w:tcPr>
          <w:p>
            <w:pPr>
              <w:rPr>
                <w:sz w:val="18"/>
                <w:szCs w:val="18"/>
                <w:highlight w:val="none"/>
              </w:rPr>
            </w:pPr>
            <w:r>
              <w:rPr>
                <w:rFonts w:hint="eastAsia"/>
                <w:sz w:val="18"/>
                <w:szCs w:val="18"/>
                <w:highlight w:val="none"/>
              </w:rPr>
              <w:t>扣100元/项</w:t>
            </w:r>
          </w:p>
        </w:tc>
        <w:tc>
          <w:tcPr>
            <w:tcW w:w="992" w:type="dxa"/>
            <w:vMerge w:val="continue"/>
            <w:vAlign w:val="center"/>
          </w:tcPr>
          <w:p>
            <w:pPr>
              <w:ind w:left="-90" w:right="-113"/>
              <w:jc w:val="center"/>
              <w:rPr>
                <w:sz w:val="18"/>
                <w:szCs w:val="18"/>
                <w:highlight w:val="none"/>
              </w:rPr>
            </w:pPr>
          </w:p>
        </w:tc>
        <w:tc>
          <w:tcPr>
            <w:tcW w:w="1276" w:type="dxa"/>
            <w:vMerge w:val="continue"/>
            <w:vAlign w:val="center"/>
          </w:tcPr>
          <w:p>
            <w:pPr>
              <w:ind w:left="-59" w:right="-57"/>
              <w:jc w:val="center"/>
              <w:rPr>
                <w:sz w:val="18"/>
                <w:szCs w:val="18"/>
                <w:highlight w:val="none"/>
              </w:rPr>
            </w:pPr>
          </w:p>
        </w:tc>
        <w:tc>
          <w:tcPr>
            <w:tcW w:w="1418" w:type="dxa"/>
            <w:vMerge w:val="continue"/>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jc w:val="center"/>
              <w:rPr>
                <w:sz w:val="18"/>
                <w:szCs w:val="18"/>
                <w:highlight w:val="none"/>
              </w:rPr>
            </w:pPr>
          </w:p>
        </w:tc>
        <w:tc>
          <w:tcPr>
            <w:tcW w:w="1701" w:type="dxa"/>
            <w:vAlign w:val="center"/>
          </w:tcPr>
          <w:p>
            <w:pPr>
              <w:rPr>
                <w:sz w:val="18"/>
                <w:szCs w:val="18"/>
                <w:highlight w:val="none"/>
              </w:rPr>
            </w:pPr>
            <w:r>
              <w:rPr>
                <w:rFonts w:hint="eastAsia"/>
                <w:sz w:val="18"/>
                <w:szCs w:val="18"/>
                <w:highlight w:val="none"/>
              </w:rPr>
              <w:t>编造、伪造、任意涂改记录数据</w:t>
            </w:r>
          </w:p>
        </w:tc>
        <w:tc>
          <w:tcPr>
            <w:tcW w:w="1276" w:type="dxa"/>
            <w:vAlign w:val="center"/>
          </w:tcPr>
          <w:p>
            <w:pPr>
              <w:rPr>
                <w:sz w:val="18"/>
                <w:szCs w:val="18"/>
                <w:highlight w:val="none"/>
              </w:rPr>
            </w:pPr>
            <w:r>
              <w:rPr>
                <w:rFonts w:hint="eastAsia"/>
                <w:sz w:val="18"/>
                <w:szCs w:val="18"/>
                <w:highlight w:val="none"/>
              </w:rPr>
              <w:t>扣800元/项</w:t>
            </w:r>
          </w:p>
        </w:tc>
        <w:tc>
          <w:tcPr>
            <w:tcW w:w="992" w:type="dxa"/>
            <w:vMerge w:val="continue"/>
            <w:vAlign w:val="center"/>
          </w:tcPr>
          <w:p>
            <w:pPr>
              <w:ind w:left="-90" w:right="-113"/>
              <w:jc w:val="center"/>
              <w:rPr>
                <w:sz w:val="18"/>
                <w:szCs w:val="18"/>
                <w:highlight w:val="none"/>
              </w:rPr>
            </w:pPr>
          </w:p>
        </w:tc>
        <w:tc>
          <w:tcPr>
            <w:tcW w:w="1276" w:type="dxa"/>
            <w:vMerge w:val="continue"/>
            <w:vAlign w:val="center"/>
          </w:tcPr>
          <w:p>
            <w:pPr>
              <w:ind w:left="-59" w:right="-57"/>
              <w:jc w:val="center"/>
              <w:rPr>
                <w:sz w:val="18"/>
                <w:szCs w:val="18"/>
                <w:highlight w:val="none"/>
              </w:rPr>
            </w:pPr>
          </w:p>
        </w:tc>
        <w:tc>
          <w:tcPr>
            <w:tcW w:w="1418" w:type="dxa"/>
            <w:vMerge w:val="continue"/>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525" w:type="dxa"/>
            <w:vMerge w:val="restart"/>
            <w:vAlign w:val="center"/>
          </w:tcPr>
          <w:p>
            <w:pPr>
              <w:numPr>
                <w:ilvl w:val="0"/>
                <w:numId w:val="23"/>
              </w:numPr>
              <w:jc w:val="right"/>
              <w:rPr>
                <w:sz w:val="18"/>
                <w:szCs w:val="18"/>
                <w:highlight w:val="none"/>
              </w:rPr>
            </w:pPr>
          </w:p>
        </w:tc>
        <w:tc>
          <w:tcPr>
            <w:tcW w:w="996" w:type="dxa"/>
            <w:vMerge w:val="restart"/>
            <w:vAlign w:val="center"/>
          </w:tcPr>
          <w:p>
            <w:pPr>
              <w:jc w:val="center"/>
              <w:rPr>
                <w:sz w:val="18"/>
                <w:szCs w:val="18"/>
                <w:highlight w:val="none"/>
              </w:rPr>
            </w:pPr>
            <w:r>
              <w:rPr>
                <w:rFonts w:hint="eastAsia"/>
                <w:sz w:val="18"/>
                <w:szCs w:val="18"/>
                <w:highlight w:val="none"/>
              </w:rPr>
              <w:t>施工进度</w:t>
            </w:r>
          </w:p>
        </w:tc>
        <w:tc>
          <w:tcPr>
            <w:tcW w:w="1701" w:type="dxa"/>
            <w:vAlign w:val="center"/>
          </w:tcPr>
          <w:p>
            <w:pPr>
              <w:rPr>
                <w:sz w:val="18"/>
                <w:szCs w:val="18"/>
                <w:highlight w:val="none"/>
              </w:rPr>
            </w:pPr>
            <w:r>
              <w:rPr>
                <w:rFonts w:hint="eastAsia"/>
                <w:sz w:val="18"/>
                <w:szCs w:val="18"/>
                <w:highlight w:val="none"/>
              </w:rPr>
              <w:t xml:space="preserve">因参修单位自身原因未达到原定单个项目进度要求的 </w:t>
            </w:r>
          </w:p>
        </w:tc>
        <w:tc>
          <w:tcPr>
            <w:tcW w:w="1276" w:type="dxa"/>
            <w:vAlign w:val="center"/>
          </w:tcPr>
          <w:p>
            <w:pPr>
              <w:jc w:val="center"/>
              <w:rPr>
                <w:sz w:val="18"/>
                <w:szCs w:val="18"/>
                <w:highlight w:val="none"/>
              </w:rPr>
            </w:pPr>
            <w:r>
              <w:rPr>
                <w:rFonts w:hint="eastAsia"/>
                <w:sz w:val="18"/>
                <w:szCs w:val="18"/>
                <w:highlight w:val="none"/>
              </w:rPr>
              <w:t>扣1000～2000元</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ind w:left="-59" w:right="-57"/>
              <w:jc w:val="center"/>
              <w:rPr>
                <w:sz w:val="18"/>
                <w:szCs w:val="18"/>
                <w:highlight w:val="none"/>
              </w:rPr>
            </w:pPr>
            <w:r>
              <w:rPr>
                <w:rFonts w:hint="eastAsia"/>
                <w:sz w:val="18"/>
                <w:szCs w:val="18"/>
                <w:highlight w:val="none"/>
              </w:rPr>
              <w:t>检修项目经理或专业主管</w:t>
            </w:r>
          </w:p>
        </w:tc>
        <w:tc>
          <w:tcPr>
            <w:tcW w:w="1418" w:type="dxa"/>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jc w:val="center"/>
              <w:rPr>
                <w:sz w:val="18"/>
                <w:szCs w:val="18"/>
                <w:highlight w:val="none"/>
              </w:rPr>
            </w:pPr>
          </w:p>
        </w:tc>
        <w:tc>
          <w:tcPr>
            <w:tcW w:w="1701" w:type="dxa"/>
            <w:vAlign w:val="center"/>
          </w:tcPr>
          <w:p>
            <w:pPr>
              <w:rPr>
                <w:sz w:val="18"/>
                <w:szCs w:val="18"/>
                <w:highlight w:val="none"/>
              </w:rPr>
            </w:pPr>
            <w:r>
              <w:rPr>
                <w:rFonts w:hint="eastAsia"/>
                <w:sz w:val="18"/>
                <w:szCs w:val="18"/>
                <w:highlight w:val="none"/>
              </w:rPr>
              <w:t>因参修单位自身原因导致整个检修进度延迟的</w:t>
            </w:r>
          </w:p>
        </w:tc>
        <w:tc>
          <w:tcPr>
            <w:tcW w:w="1276" w:type="dxa"/>
            <w:vAlign w:val="center"/>
          </w:tcPr>
          <w:p>
            <w:pPr>
              <w:jc w:val="center"/>
              <w:rPr>
                <w:sz w:val="18"/>
                <w:szCs w:val="18"/>
                <w:highlight w:val="none"/>
              </w:rPr>
            </w:pPr>
            <w:r>
              <w:rPr>
                <w:rFonts w:hint="eastAsia"/>
                <w:sz w:val="18"/>
                <w:szCs w:val="18"/>
                <w:highlight w:val="none"/>
              </w:rPr>
              <w:t>扣合同款5%~30%</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ind w:left="-59" w:right="-57"/>
              <w:jc w:val="center"/>
              <w:rPr>
                <w:sz w:val="18"/>
                <w:szCs w:val="18"/>
                <w:highlight w:val="none"/>
              </w:rPr>
            </w:pPr>
            <w:r>
              <w:rPr>
                <w:rFonts w:hint="eastAsia"/>
                <w:sz w:val="18"/>
                <w:szCs w:val="18"/>
                <w:highlight w:val="none"/>
              </w:rPr>
              <w:t>检修项目经理或专业主管</w:t>
            </w:r>
          </w:p>
        </w:tc>
        <w:tc>
          <w:tcPr>
            <w:tcW w:w="1418" w:type="dxa"/>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525" w:type="dxa"/>
            <w:vMerge w:val="restart"/>
            <w:vAlign w:val="center"/>
          </w:tcPr>
          <w:p>
            <w:pPr>
              <w:numPr>
                <w:ilvl w:val="0"/>
                <w:numId w:val="23"/>
              </w:numPr>
              <w:jc w:val="right"/>
              <w:rPr>
                <w:sz w:val="18"/>
                <w:szCs w:val="18"/>
                <w:highlight w:val="none"/>
              </w:rPr>
            </w:pPr>
          </w:p>
        </w:tc>
        <w:tc>
          <w:tcPr>
            <w:tcW w:w="996" w:type="dxa"/>
            <w:vMerge w:val="restart"/>
            <w:vAlign w:val="center"/>
          </w:tcPr>
          <w:p>
            <w:pPr>
              <w:jc w:val="center"/>
              <w:rPr>
                <w:sz w:val="18"/>
                <w:szCs w:val="18"/>
                <w:highlight w:val="none"/>
              </w:rPr>
            </w:pPr>
            <w:r>
              <w:rPr>
                <w:rFonts w:hint="eastAsia"/>
                <w:sz w:val="18"/>
                <w:szCs w:val="18"/>
                <w:highlight w:val="none"/>
              </w:rPr>
              <w:t>设备试运行</w:t>
            </w:r>
          </w:p>
        </w:tc>
        <w:tc>
          <w:tcPr>
            <w:tcW w:w="1701" w:type="dxa"/>
            <w:vAlign w:val="center"/>
          </w:tcPr>
          <w:p>
            <w:pPr>
              <w:rPr>
                <w:sz w:val="18"/>
                <w:szCs w:val="18"/>
                <w:highlight w:val="none"/>
              </w:rPr>
            </w:pPr>
            <w:r>
              <w:rPr>
                <w:rFonts w:hint="eastAsia"/>
                <w:sz w:val="18"/>
                <w:szCs w:val="18"/>
                <w:highlight w:val="none"/>
              </w:rPr>
              <w:t>1.单项试运行项目漏项</w:t>
            </w:r>
          </w:p>
        </w:tc>
        <w:tc>
          <w:tcPr>
            <w:tcW w:w="1276" w:type="dxa"/>
            <w:vAlign w:val="center"/>
          </w:tcPr>
          <w:p>
            <w:pPr>
              <w:jc w:val="center"/>
              <w:rPr>
                <w:sz w:val="18"/>
                <w:szCs w:val="18"/>
                <w:highlight w:val="none"/>
              </w:rPr>
            </w:pPr>
            <w:r>
              <w:rPr>
                <w:rFonts w:hint="eastAsia"/>
                <w:sz w:val="18"/>
                <w:szCs w:val="18"/>
                <w:highlight w:val="none"/>
              </w:rPr>
              <w:t>扣300元/项</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Merge w:val="restart"/>
            <w:vAlign w:val="center"/>
          </w:tcPr>
          <w:p>
            <w:pPr>
              <w:ind w:left="-59" w:right="-57"/>
              <w:jc w:val="center"/>
              <w:rPr>
                <w:sz w:val="18"/>
                <w:szCs w:val="18"/>
                <w:highlight w:val="none"/>
              </w:rPr>
            </w:pPr>
            <w:r>
              <w:rPr>
                <w:rFonts w:hint="eastAsia"/>
                <w:sz w:val="18"/>
                <w:szCs w:val="18"/>
                <w:highlight w:val="none"/>
              </w:rPr>
              <w:t>操作隔离与试运调试组或设备管理部主任</w:t>
            </w:r>
          </w:p>
        </w:tc>
        <w:tc>
          <w:tcPr>
            <w:tcW w:w="1418" w:type="dxa"/>
            <w:vMerge w:val="restart"/>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jc w:val="center"/>
              <w:rPr>
                <w:sz w:val="18"/>
                <w:szCs w:val="18"/>
                <w:highlight w:val="none"/>
              </w:rPr>
            </w:pPr>
          </w:p>
        </w:tc>
        <w:tc>
          <w:tcPr>
            <w:tcW w:w="1701" w:type="dxa"/>
            <w:vAlign w:val="center"/>
          </w:tcPr>
          <w:p>
            <w:pPr>
              <w:rPr>
                <w:sz w:val="18"/>
                <w:szCs w:val="18"/>
                <w:highlight w:val="none"/>
              </w:rPr>
            </w:pPr>
            <w:r>
              <w:rPr>
                <w:rFonts w:hint="eastAsia"/>
                <w:sz w:val="18"/>
                <w:szCs w:val="18"/>
                <w:highlight w:val="none"/>
              </w:rPr>
              <w:t>2.单项试运行一次未成功</w:t>
            </w:r>
          </w:p>
        </w:tc>
        <w:tc>
          <w:tcPr>
            <w:tcW w:w="1276" w:type="dxa"/>
            <w:vAlign w:val="center"/>
          </w:tcPr>
          <w:p>
            <w:pPr>
              <w:jc w:val="center"/>
              <w:rPr>
                <w:sz w:val="18"/>
                <w:szCs w:val="18"/>
                <w:highlight w:val="none"/>
              </w:rPr>
            </w:pPr>
            <w:r>
              <w:rPr>
                <w:rFonts w:hint="eastAsia"/>
                <w:sz w:val="18"/>
                <w:szCs w:val="18"/>
                <w:highlight w:val="none"/>
              </w:rPr>
              <w:t>扣200元/项</w:t>
            </w:r>
          </w:p>
        </w:tc>
        <w:tc>
          <w:tcPr>
            <w:tcW w:w="992" w:type="dxa"/>
            <w:vMerge w:val="restart"/>
            <w:vAlign w:val="center"/>
          </w:tcPr>
          <w:p>
            <w:pPr>
              <w:ind w:left="-90" w:right="-113"/>
              <w:jc w:val="center"/>
              <w:rPr>
                <w:sz w:val="18"/>
                <w:szCs w:val="18"/>
                <w:highlight w:val="none"/>
              </w:rPr>
            </w:pPr>
            <w:r>
              <w:rPr>
                <w:rFonts w:hint="eastAsia"/>
                <w:sz w:val="18"/>
                <w:szCs w:val="18"/>
                <w:highlight w:val="none"/>
              </w:rPr>
              <w:t>责任单位</w:t>
            </w:r>
          </w:p>
        </w:tc>
        <w:tc>
          <w:tcPr>
            <w:tcW w:w="1276" w:type="dxa"/>
            <w:vMerge w:val="continue"/>
            <w:vAlign w:val="center"/>
          </w:tcPr>
          <w:p>
            <w:pPr>
              <w:ind w:left="-59" w:right="-57"/>
              <w:jc w:val="center"/>
              <w:rPr>
                <w:sz w:val="18"/>
                <w:szCs w:val="18"/>
                <w:highlight w:val="none"/>
              </w:rPr>
            </w:pPr>
          </w:p>
        </w:tc>
        <w:tc>
          <w:tcPr>
            <w:tcW w:w="1418" w:type="dxa"/>
            <w:vMerge w:val="continue"/>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jc w:val="center"/>
              <w:rPr>
                <w:sz w:val="18"/>
                <w:szCs w:val="18"/>
                <w:highlight w:val="none"/>
              </w:rPr>
            </w:pPr>
          </w:p>
        </w:tc>
        <w:tc>
          <w:tcPr>
            <w:tcW w:w="1701" w:type="dxa"/>
            <w:vAlign w:val="center"/>
          </w:tcPr>
          <w:p>
            <w:pPr>
              <w:rPr>
                <w:sz w:val="18"/>
                <w:szCs w:val="18"/>
                <w:highlight w:val="none"/>
              </w:rPr>
            </w:pPr>
            <w:r>
              <w:rPr>
                <w:rFonts w:hint="eastAsia"/>
                <w:sz w:val="18"/>
                <w:szCs w:val="18"/>
                <w:highlight w:val="none"/>
              </w:rPr>
              <w:t>3.单项试运行二次及以上未成功</w:t>
            </w:r>
          </w:p>
        </w:tc>
        <w:tc>
          <w:tcPr>
            <w:tcW w:w="1276" w:type="dxa"/>
            <w:vAlign w:val="center"/>
          </w:tcPr>
          <w:p>
            <w:pPr>
              <w:jc w:val="center"/>
              <w:rPr>
                <w:sz w:val="18"/>
                <w:szCs w:val="18"/>
                <w:highlight w:val="none"/>
              </w:rPr>
            </w:pPr>
            <w:r>
              <w:rPr>
                <w:rFonts w:hint="eastAsia"/>
                <w:sz w:val="18"/>
                <w:szCs w:val="18"/>
                <w:highlight w:val="none"/>
              </w:rPr>
              <w:t>按13.2加倍考核</w:t>
            </w:r>
          </w:p>
        </w:tc>
        <w:tc>
          <w:tcPr>
            <w:tcW w:w="992" w:type="dxa"/>
            <w:vMerge w:val="continue"/>
            <w:vAlign w:val="center"/>
          </w:tcPr>
          <w:p>
            <w:pPr>
              <w:ind w:left="-90" w:right="-113"/>
              <w:jc w:val="center"/>
              <w:rPr>
                <w:sz w:val="18"/>
                <w:szCs w:val="18"/>
                <w:highlight w:val="none"/>
              </w:rPr>
            </w:pPr>
          </w:p>
        </w:tc>
        <w:tc>
          <w:tcPr>
            <w:tcW w:w="1276" w:type="dxa"/>
            <w:vMerge w:val="continue"/>
            <w:vAlign w:val="center"/>
          </w:tcPr>
          <w:p>
            <w:pPr>
              <w:ind w:left="-59" w:right="-57"/>
              <w:jc w:val="center"/>
              <w:rPr>
                <w:sz w:val="18"/>
                <w:szCs w:val="18"/>
                <w:highlight w:val="none"/>
              </w:rPr>
            </w:pPr>
          </w:p>
        </w:tc>
        <w:tc>
          <w:tcPr>
            <w:tcW w:w="1418" w:type="dxa"/>
            <w:vMerge w:val="continue"/>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jc w:val="center"/>
              <w:rPr>
                <w:sz w:val="18"/>
                <w:szCs w:val="18"/>
                <w:highlight w:val="none"/>
              </w:rPr>
            </w:pPr>
          </w:p>
        </w:tc>
        <w:tc>
          <w:tcPr>
            <w:tcW w:w="1701" w:type="dxa"/>
            <w:vAlign w:val="center"/>
          </w:tcPr>
          <w:p>
            <w:pPr>
              <w:rPr>
                <w:sz w:val="18"/>
                <w:szCs w:val="18"/>
                <w:highlight w:val="none"/>
              </w:rPr>
            </w:pPr>
            <w:r>
              <w:rPr>
                <w:rFonts w:hint="eastAsia"/>
                <w:sz w:val="18"/>
                <w:szCs w:val="18"/>
                <w:highlight w:val="none"/>
              </w:rPr>
              <w:t>4.独立系统试运行一次未成功</w:t>
            </w:r>
          </w:p>
        </w:tc>
        <w:tc>
          <w:tcPr>
            <w:tcW w:w="1276" w:type="dxa"/>
            <w:vAlign w:val="center"/>
          </w:tcPr>
          <w:p>
            <w:pPr>
              <w:jc w:val="center"/>
              <w:rPr>
                <w:sz w:val="18"/>
                <w:szCs w:val="18"/>
                <w:highlight w:val="none"/>
              </w:rPr>
            </w:pPr>
            <w:r>
              <w:rPr>
                <w:rFonts w:hint="eastAsia"/>
                <w:sz w:val="18"/>
                <w:szCs w:val="18"/>
                <w:highlight w:val="none"/>
              </w:rPr>
              <w:t>扣1000元/项</w:t>
            </w:r>
          </w:p>
        </w:tc>
        <w:tc>
          <w:tcPr>
            <w:tcW w:w="992" w:type="dxa"/>
            <w:vMerge w:val="restart"/>
            <w:vAlign w:val="center"/>
          </w:tcPr>
          <w:p>
            <w:pPr>
              <w:ind w:left="-90" w:right="-113"/>
              <w:jc w:val="center"/>
              <w:rPr>
                <w:sz w:val="18"/>
                <w:szCs w:val="18"/>
                <w:highlight w:val="none"/>
              </w:rPr>
            </w:pPr>
            <w:r>
              <w:rPr>
                <w:rFonts w:hint="eastAsia"/>
                <w:sz w:val="18"/>
                <w:szCs w:val="18"/>
                <w:highlight w:val="none"/>
              </w:rPr>
              <w:t>责任单位</w:t>
            </w:r>
          </w:p>
        </w:tc>
        <w:tc>
          <w:tcPr>
            <w:tcW w:w="1276" w:type="dxa"/>
            <w:vMerge w:val="continue"/>
            <w:vAlign w:val="center"/>
          </w:tcPr>
          <w:p>
            <w:pPr>
              <w:ind w:left="-59" w:right="-57"/>
              <w:jc w:val="center"/>
              <w:rPr>
                <w:sz w:val="18"/>
                <w:szCs w:val="18"/>
                <w:highlight w:val="none"/>
              </w:rPr>
            </w:pPr>
          </w:p>
        </w:tc>
        <w:tc>
          <w:tcPr>
            <w:tcW w:w="1418" w:type="dxa"/>
            <w:vMerge w:val="continue"/>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jc w:val="center"/>
              <w:rPr>
                <w:sz w:val="18"/>
                <w:szCs w:val="18"/>
                <w:highlight w:val="none"/>
              </w:rPr>
            </w:pPr>
          </w:p>
        </w:tc>
        <w:tc>
          <w:tcPr>
            <w:tcW w:w="1701" w:type="dxa"/>
            <w:vAlign w:val="center"/>
          </w:tcPr>
          <w:p>
            <w:pPr>
              <w:rPr>
                <w:sz w:val="18"/>
                <w:szCs w:val="18"/>
                <w:highlight w:val="none"/>
              </w:rPr>
            </w:pPr>
            <w:r>
              <w:rPr>
                <w:rFonts w:hint="eastAsia"/>
                <w:sz w:val="18"/>
                <w:szCs w:val="18"/>
                <w:highlight w:val="none"/>
              </w:rPr>
              <w:t>5.独立系统试运行二次及以上未成功</w:t>
            </w:r>
          </w:p>
        </w:tc>
        <w:tc>
          <w:tcPr>
            <w:tcW w:w="1276" w:type="dxa"/>
            <w:vAlign w:val="center"/>
          </w:tcPr>
          <w:p>
            <w:pPr>
              <w:jc w:val="center"/>
              <w:rPr>
                <w:sz w:val="18"/>
                <w:szCs w:val="18"/>
                <w:highlight w:val="none"/>
              </w:rPr>
            </w:pPr>
            <w:r>
              <w:rPr>
                <w:rFonts w:hint="eastAsia"/>
                <w:sz w:val="18"/>
                <w:szCs w:val="18"/>
                <w:highlight w:val="none"/>
              </w:rPr>
              <w:t>13.4加倍考核</w:t>
            </w:r>
          </w:p>
        </w:tc>
        <w:tc>
          <w:tcPr>
            <w:tcW w:w="992" w:type="dxa"/>
            <w:vMerge w:val="continue"/>
            <w:vAlign w:val="center"/>
          </w:tcPr>
          <w:p>
            <w:pPr>
              <w:ind w:left="-90" w:right="-113"/>
              <w:jc w:val="center"/>
              <w:rPr>
                <w:sz w:val="18"/>
                <w:szCs w:val="18"/>
                <w:highlight w:val="none"/>
              </w:rPr>
            </w:pPr>
          </w:p>
        </w:tc>
        <w:tc>
          <w:tcPr>
            <w:tcW w:w="1276" w:type="dxa"/>
            <w:vMerge w:val="continue"/>
            <w:vAlign w:val="center"/>
          </w:tcPr>
          <w:p>
            <w:pPr>
              <w:ind w:left="-59" w:right="-57"/>
              <w:jc w:val="center"/>
              <w:rPr>
                <w:sz w:val="18"/>
                <w:szCs w:val="18"/>
                <w:highlight w:val="none"/>
              </w:rPr>
            </w:pPr>
          </w:p>
        </w:tc>
        <w:tc>
          <w:tcPr>
            <w:tcW w:w="1418" w:type="dxa"/>
            <w:vMerge w:val="continue"/>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525" w:type="dxa"/>
            <w:vAlign w:val="center"/>
          </w:tcPr>
          <w:p>
            <w:pPr>
              <w:numPr>
                <w:ilvl w:val="0"/>
                <w:numId w:val="23"/>
              </w:numPr>
              <w:jc w:val="right"/>
              <w:rPr>
                <w:sz w:val="18"/>
                <w:szCs w:val="18"/>
                <w:highlight w:val="none"/>
              </w:rPr>
            </w:pPr>
          </w:p>
        </w:tc>
        <w:tc>
          <w:tcPr>
            <w:tcW w:w="996" w:type="dxa"/>
            <w:vAlign w:val="center"/>
          </w:tcPr>
          <w:p>
            <w:pPr>
              <w:rPr>
                <w:sz w:val="18"/>
                <w:szCs w:val="18"/>
                <w:highlight w:val="none"/>
              </w:rPr>
            </w:pPr>
            <w:r>
              <w:rPr>
                <w:rFonts w:hint="eastAsia" w:ascii="宋体"/>
                <w:spacing w:val="-2"/>
                <w:sz w:val="18"/>
                <w:szCs w:val="18"/>
                <w:highlight w:val="none"/>
              </w:rPr>
              <w:t>检修质量事件延误机组并网复役</w:t>
            </w:r>
          </w:p>
        </w:tc>
        <w:tc>
          <w:tcPr>
            <w:tcW w:w="1701" w:type="dxa"/>
            <w:vAlign w:val="center"/>
          </w:tcPr>
          <w:p>
            <w:pPr>
              <w:rPr>
                <w:sz w:val="18"/>
                <w:szCs w:val="18"/>
                <w:highlight w:val="none"/>
              </w:rPr>
            </w:pPr>
            <w:r>
              <w:rPr>
                <w:rFonts w:hint="eastAsia"/>
                <w:sz w:val="18"/>
                <w:szCs w:val="18"/>
                <w:highlight w:val="none"/>
              </w:rPr>
              <w:t>超过计划复役时间</w:t>
            </w:r>
          </w:p>
        </w:tc>
        <w:tc>
          <w:tcPr>
            <w:tcW w:w="1276" w:type="dxa"/>
            <w:vAlign w:val="center"/>
          </w:tcPr>
          <w:p>
            <w:pPr>
              <w:rPr>
                <w:sz w:val="18"/>
                <w:szCs w:val="18"/>
                <w:highlight w:val="none"/>
              </w:rPr>
            </w:pPr>
            <w:r>
              <w:rPr>
                <w:rFonts w:hint="eastAsia"/>
                <w:sz w:val="18"/>
                <w:szCs w:val="18"/>
                <w:highlight w:val="none"/>
              </w:rPr>
              <w:t>扣合同款5%~20%</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ind w:left="-59" w:right="-57"/>
              <w:jc w:val="center"/>
              <w:rPr>
                <w:sz w:val="18"/>
                <w:szCs w:val="18"/>
                <w:highlight w:val="none"/>
              </w:rPr>
            </w:pPr>
            <w:r>
              <w:rPr>
                <w:rFonts w:hint="eastAsia"/>
                <w:sz w:val="18"/>
                <w:szCs w:val="18"/>
                <w:highlight w:val="none"/>
              </w:rPr>
              <w:t>检修领导小组组长</w:t>
            </w:r>
          </w:p>
        </w:tc>
        <w:tc>
          <w:tcPr>
            <w:tcW w:w="1418" w:type="dxa"/>
            <w:vAlign w:val="center"/>
          </w:tcPr>
          <w:p>
            <w:pP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5" w:hRule="atLeast"/>
        </w:trPr>
        <w:tc>
          <w:tcPr>
            <w:tcW w:w="525" w:type="dxa"/>
            <w:vMerge w:val="restart"/>
            <w:vAlign w:val="center"/>
          </w:tcPr>
          <w:p>
            <w:pPr>
              <w:numPr>
                <w:ilvl w:val="0"/>
                <w:numId w:val="23"/>
              </w:numPr>
              <w:jc w:val="right"/>
              <w:rPr>
                <w:sz w:val="18"/>
                <w:szCs w:val="18"/>
                <w:highlight w:val="none"/>
              </w:rPr>
            </w:pPr>
          </w:p>
        </w:tc>
        <w:tc>
          <w:tcPr>
            <w:tcW w:w="996" w:type="dxa"/>
            <w:vMerge w:val="restart"/>
            <w:vAlign w:val="center"/>
          </w:tcPr>
          <w:p>
            <w:pPr>
              <w:rPr>
                <w:sz w:val="18"/>
                <w:szCs w:val="18"/>
                <w:highlight w:val="none"/>
              </w:rPr>
            </w:pPr>
            <w:r>
              <w:rPr>
                <w:rFonts w:hint="eastAsia"/>
                <w:sz w:val="18"/>
                <w:szCs w:val="18"/>
                <w:highlight w:val="none"/>
              </w:rPr>
              <w:t>启动后至满负荷期间的缺陷</w:t>
            </w:r>
          </w:p>
        </w:tc>
        <w:tc>
          <w:tcPr>
            <w:tcW w:w="1701" w:type="dxa"/>
            <w:vAlign w:val="center"/>
          </w:tcPr>
          <w:p>
            <w:pPr>
              <w:rPr>
                <w:sz w:val="18"/>
                <w:szCs w:val="18"/>
                <w:highlight w:val="none"/>
              </w:rPr>
            </w:pPr>
            <w:r>
              <w:rPr>
                <w:rFonts w:hint="eastAsia"/>
                <w:sz w:val="18"/>
                <w:szCs w:val="18"/>
                <w:highlight w:val="none"/>
              </w:rPr>
              <w:t>一类缺陷</w:t>
            </w:r>
          </w:p>
        </w:tc>
        <w:tc>
          <w:tcPr>
            <w:tcW w:w="1276" w:type="dxa"/>
            <w:vAlign w:val="center"/>
          </w:tcPr>
          <w:p>
            <w:pPr>
              <w:jc w:val="center"/>
              <w:rPr>
                <w:sz w:val="18"/>
                <w:szCs w:val="18"/>
                <w:highlight w:val="none"/>
              </w:rPr>
            </w:pPr>
            <w:r>
              <w:rPr>
                <w:rFonts w:hint="eastAsia"/>
                <w:sz w:val="18"/>
                <w:szCs w:val="18"/>
                <w:highlight w:val="none"/>
              </w:rPr>
              <w:t>扣10000元/条</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ind w:left="-59" w:right="-57"/>
              <w:jc w:val="center"/>
              <w:rPr>
                <w:sz w:val="18"/>
                <w:szCs w:val="18"/>
                <w:highlight w:val="none"/>
              </w:rPr>
            </w:pPr>
            <w:r>
              <w:rPr>
                <w:rFonts w:hint="eastAsia"/>
                <w:sz w:val="18"/>
                <w:szCs w:val="18"/>
                <w:highlight w:val="none"/>
              </w:rPr>
              <w:t>检修项目经理</w:t>
            </w:r>
          </w:p>
        </w:tc>
        <w:tc>
          <w:tcPr>
            <w:tcW w:w="1418" w:type="dxa"/>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jc w:val="center"/>
              <w:rPr>
                <w:sz w:val="18"/>
                <w:szCs w:val="18"/>
                <w:highlight w:val="none"/>
              </w:rPr>
            </w:pPr>
          </w:p>
        </w:tc>
        <w:tc>
          <w:tcPr>
            <w:tcW w:w="1701" w:type="dxa"/>
            <w:vAlign w:val="center"/>
          </w:tcPr>
          <w:p>
            <w:pPr>
              <w:rPr>
                <w:sz w:val="18"/>
                <w:szCs w:val="18"/>
                <w:highlight w:val="none"/>
              </w:rPr>
            </w:pPr>
            <w:r>
              <w:rPr>
                <w:rFonts w:hint="eastAsia"/>
                <w:sz w:val="18"/>
                <w:szCs w:val="18"/>
                <w:highlight w:val="none"/>
              </w:rPr>
              <w:t>二类缺陷</w:t>
            </w:r>
          </w:p>
        </w:tc>
        <w:tc>
          <w:tcPr>
            <w:tcW w:w="1276" w:type="dxa"/>
            <w:vAlign w:val="center"/>
          </w:tcPr>
          <w:p>
            <w:pPr>
              <w:rPr>
                <w:sz w:val="18"/>
                <w:szCs w:val="18"/>
                <w:highlight w:val="none"/>
              </w:rPr>
            </w:pPr>
            <w:r>
              <w:rPr>
                <w:rFonts w:hint="eastAsia"/>
                <w:sz w:val="18"/>
                <w:szCs w:val="18"/>
                <w:highlight w:val="none"/>
              </w:rPr>
              <w:t>扣3000元/条</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tcPr>
          <w:p>
            <w:pPr>
              <w:ind w:left="-59" w:right="-57"/>
              <w:jc w:val="center"/>
              <w:rPr>
                <w:sz w:val="18"/>
                <w:szCs w:val="18"/>
                <w:highlight w:val="none"/>
              </w:rPr>
            </w:pPr>
            <w:r>
              <w:rPr>
                <w:rFonts w:hint="eastAsia"/>
                <w:sz w:val="18"/>
                <w:szCs w:val="18"/>
                <w:highlight w:val="none"/>
              </w:rPr>
              <w:t>检修项目经理</w:t>
            </w:r>
          </w:p>
        </w:tc>
        <w:tc>
          <w:tcPr>
            <w:tcW w:w="1418" w:type="dxa"/>
            <w:vAlign w:val="center"/>
          </w:tcPr>
          <w:p>
            <w:pPr>
              <w:jc w:val="cente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6" w:hRule="atLeast"/>
        </w:trPr>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jc w:val="center"/>
              <w:rPr>
                <w:sz w:val="18"/>
                <w:szCs w:val="18"/>
                <w:highlight w:val="none"/>
              </w:rPr>
            </w:pPr>
          </w:p>
        </w:tc>
        <w:tc>
          <w:tcPr>
            <w:tcW w:w="1701" w:type="dxa"/>
            <w:vAlign w:val="center"/>
          </w:tcPr>
          <w:p>
            <w:pPr>
              <w:rPr>
                <w:sz w:val="18"/>
                <w:szCs w:val="18"/>
                <w:highlight w:val="none"/>
              </w:rPr>
            </w:pPr>
            <w:r>
              <w:rPr>
                <w:rFonts w:hint="eastAsia"/>
                <w:sz w:val="18"/>
                <w:szCs w:val="18"/>
                <w:highlight w:val="none"/>
              </w:rPr>
              <w:t>消缺不及时</w:t>
            </w:r>
          </w:p>
        </w:tc>
        <w:tc>
          <w:tcPr>
            <w:tcW w:w="1276" w:type="dxa"/>
            <w:vAlign w:val="center"/>
          </w:tcPr>
          <w:p>
            <w:pPr>
              <w:rPr>
                <w:sz w:val="18"/>
                <w:szCs w:val="18"/>
                <w:highlight w:val="none"/>
              </w:rPr>
            </w:pPr>
            <w:r>
              <w:rPr>
                <w:rFonts w:hint="eastAsia"/>
                <w:sz w:val="18"/>
                <w:szCs w:val="18"/>
                <w:highlight w:val="none"/>
              </w:rPr>
              <w:t>扣100元/条</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jc w:val="center"/>
              <w:rPr>
                <w:sz w:val="18"/>
                <w:szCs w:val="18"/>
                <w:highlight w:val="none"/>
              </w:rPr>
            </w:pPr>
            <w:r>
              <w:rPr>
                <w:rFonts w:hint="eastAsia"/>
                <w:sz w:val="18"/>
                <w:szCs w:val="18"/>
                <w:highlight w:val="none"/>
              </w:rPr>
              <w:t>现场指挥及协调组</w:t>
            </w:r>
          </w:p>
        </w:tc>
        <w:tc>
          <w:tcPr>
            <w:tcW w:w="1418" w:type="dxa"/>
            <w:vAlign w:val="center"/>
          </w:tcPr>
          <w:p>
            <w:pPr>
              <w:rPr>
                <w:sz w:val="18"/>
                <w:szCs w:val="18"/>
                <w:highlight w:val="none"/>
              </w:rPr>
            </w:pPr>
            <w:r>
              <w:rPr>
                <w:rFonts w:hint="eastAsia"/>
                <w:sz w:val="18"/>
                <w:szCs w:val="18"/>
                <w:highlight w:val="none"/>
              </w:rPr>
              <w:t>每条每超24小时扣100元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6" w:hRule="atLeast"/>
        </w:trPr>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jc w:val="center"/>
              <w:rPr>
                <w:sz w:val="18"/>
                <w:szCs w:val="18"/>
                <w:highlight w:val="none"/>
              </w:rPr>
            </w:pPr>
          </w:p>
        </w:tc>
        <w:tc>
          <w:tcPr>
            <w:tcW w:w="1701" w:type="dxa"/>
            <w:vAlign w:val="center"/>
          </w:tcPr>
          <w:p>
            <w:pPr>
              <w:rPr>
                <w:sz w:val="18"/>
                <w:szCs w:val="18"/>
                <w:highlight w:val="none"/>
              </w:rPr>
            </w:pPr>
            <w:r>
              <w:rPr>
                <w:rFonts w:hint="eastAsia"/>
                <w:sz w:val="18"/>
                <w:szCs w:val="18"/>
                <w:highlight w:val="none"/>
              </w:rPr>
              <w:t>由检修质量原因产生的延期缺陷</w:t>
            </w:r>
          </w:p>
        </w:tc>
        <w:tc>
          <w:tcPr>
            <w:tcW w:w="1276" w:type="dxa"/>
            <w:vAlign w:val="center"/>
          </w:tcPr>
          <w:p>
            <w:pPr>
              <w:rPr>
                <w:sz w:val="18"/>
                <w:szCs w:val="18"/>
                <w:highlight w:val="none"/>
              </w:rPr>
            </w:pPr>
            <w:r>
              <w:rPr>
                <w:rFonts w:hint="eastAsia"/>
                <w:sz w:val="18"/>
                <w:szCs w:val="18"/>
                <w:highlight w:val="none"/>
              </w:rPr>
              <w:t>扣200~3000元/条</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jc w:val="center"/>
              <w:rPr>
                <w:sz w:val="18"/>
                <w:szCs w:val="18"/>
                <w:highlight w:val="none"/>
              </w:rPr>
            </w:pPr>
            <w:r>
              <w:rPr>
                <w:rFonts w:hint="eastAsia"/>
                <w:sz w:val="18"/>
                <w:szCs w:val="18"/>
                <w:highlight w:val="none"/>
              </w:rPr>
              <w:t>现场指挥及协调组</w:t>
            </w:r>
          </w:p>
        </w:tc>
        <w:tc>
          <w:tcPr>
            <w:tcW w:w="1418" w:type="dxa"/>
            <w:vAlign w:val="center"/>
          </w:tcPr>
          <w:p>
            <w:pP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6" w:hRule="atLeast"/>
        </w:trPr>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jc w:val="center"/>
              <w:rPr>
                <w:sz w:val="18"/>
                <w:szCs w:val="18"/>
                <w:highlight w:val="none"/>
              </w:rPr>
            </w:pPr>
          </w:p>
        </w:tc>
        <w:tc>
          <w:tcPr>
            <w:tcW w:w="1701" w:type="dxa"/>
            <w:vAlign w:val="center"/>
          </w:tcPr>
          <w:p>
            <w:pPr>
              <w:rPr>
                <w:sz w:val="18"/>
                <w:szCs w:val="18"/>
                <w:highlight w:val="none"/>
              </w:rPr>
            </w:pPr>
            <w:r>
              <w:rPr>
                <w:rFonts w:hint="eastAsia"/>
                <w:sz w:val="18"/>
                <w:szCs w:val="18"/>
                <w:highlight w:val="none"/>
              </w:rPr>
              <w:t>由检修质量原因产生重复缺陷</w:t>
            </w:r>
          </w:p>
        </w:tc>
        <w:tc>
          <w:tcPr>
            <w:tcW w:w="1276" w:type="dxa"/>
            <w:vAlign w:val="center"/>
          </w:tcPr>
          <w:p>
            <w:pPr>
              <w:rPr>
                <w:sz w:val="18"/>
                <w:szCs w:val="18"/>
                <w:highlight w:val="none"/>
              </w:rPr>
            </w:pPr>
            <w:r>
              <w:rPr>
                <w:rFonts w:hint="eastAsia"/>
                <w:sz w:val="18"/>
                <w:szCs w:val="18"/>
                <w:highlight w:val="none"/>
              </w:rPr>
              <w:t>扣300元/条</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jc w:val="center"/>
              <w:rPr>
                <w:sz w:val="18"/>
                <w:szCs w:val="18"/>
                <w:highlight w:val="none"/>
              </w:rPr>
            </w:pPr>
            <w:r>
              <w:rPr>
                <w:rFonts w:hint="eastAsia"/>
                <w:sz w:val="18"/>
                <w:szCs w:val="18"/>
                <w:highlight w:val="none"/>
              </w:rPr>
              <w:t>现场指挥及协调组</w:t>
            </w:r>
          </w:p>
        </w:tc>
        <w:tc>
          <w:tcPr>
            <w:tcW w:w="1418" w:type="dxa"/>
            <w:vAlign w:val="center"/>
          </w:tcPr>
          <w:p>
            <w:pPr>
              <w:jc w:val="center"/>
              <w:rPr>
                <w:sz w:val="18"/>
                <w:szCs w:val="18"/>
                <w:highlight w:val="none"/>
              </w:rPr>
            </w:pPr>
            <w:r>
              <w:rPr>
                <w:rFonts w:hint="eastAsia"/>
                <w:sz w:val="18"/>
                <w:szCs w:val="18"/>
                <w:highlight w:val="none"/>
              </w:rPr>
              <w:t>重复次数在3次及以上的，加倍考核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3" w:hRule="atLeast"/>
        </w:trPr>
        <w:tc>
          <w:tcPr>
            <w:tcW w:w="525" w:type="dxa"/>
            <w:vAlign w:val="center"/>
          </w:tcPr>
          <w:p>
            <w:pPr>
              <w:numPr>
                <w:ilvl w:val="0"/>
                <w:numId w:val="23"/>
              </w:numPr>
              <w:jc w:val="right"/>
              <w:rPr>
                <w:sz w:val="18"/>
                <w:szCs w:val="18"/>
                <w:highlight w:val="none"/>
              </w:rPr>
            </w:pPr>
          </w:p>
        </w:tc>
        <w:tc>
          <w:tcPr>
            <w:tcW w:w="996" w:type="dxa"/>
            <w:vAlign w:val="center"/>
          </w:tcPr>
          <w:p>
            <w:pPr>
              <w:rPr>
                <w:sz w:val="18"/>
                <w:szCs w:val="18"/>
                <w:highlight w:val="none"/>
              </w:rPr>
            </w:pPr>
            <w:r>
              <w:rPr>
                <w:rFonts w:hint="eastAsia"/>
                <w:sz w:val="18"/>
                <w:szCs w:val="18"/>
                <w:highlight w:val="none"/>
              </w:rPr>
              <w:t>机组C、D级检修</w:t>
            </w:r>
          </w:p>
        </w:tc>
        <w:tc>
          <w:tcPr>
            <w:tcW w:w="1701" w:type="dxa"/>
            <w:vAlign w:val="center"/>
          </w:tcPr>
          <w:p>
            <w:pPr>
              <w:rPr>
                <w:sz w:val="18"/>
                <w:szCs w:val="18"/>
                <w:highlight w:val="none"/>
              </w:rPr>
            </w:pPr>
            <w:r>
              <w:rPr>
                <w:rFonts w:hint="eastAsia"/>
                <w:sz w:val="18"/>
                <w:szCs w:val="18"/>
                <w:highlight w:val="none"/>
              </w:rPr>
              <w:t>由参修单位承接的项目，由检修质量原因致使机组连续运行未达到60天</w:t>
            </w:r>
          </w:p>
        </w:tc>
        <w:tc>
          <w:tcPr>
            <w:tcW w:w="1276" w:type="dxa"/>
            <w:vAlign w:val="center"/>
          </w:tcPr>
          <w:p>
            <w:pPr>
              <w:rPr>
                <w:sz w:val="18"/>
                <w:szCs w:val="18"/>
                <w:highlight w:val="none"/>
              </w:rPr>
            </w:pPr>
            <w:r>
              <w:rPr>
                <w:rFonts w:hint="eastAsia"/>
                <w:sz w:val="18"/>
                <w:szCs w:val="18"/>
                <w:highlight w:val="none"/>
              </w:rPr>
              <w:t>扣除合同款10%</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ind w:left="-59" w:right="-57"/>
              <w:jc w:val="center"/>
              <w:rPr>
                <w:sz w:val="18"/>
                <w:szCs w:val="18"/>
                <w:highlight w:val="none"/>
              </w:rPr>
            </w:pPr>
            <w:r>
              <w:rPr>
                <w:rFonts w:hint="eastAsia"/>
                <w:sz w:val="18"/>
                <w:szCs w:val="18"/>
                <w:highlight w:val="none"/>
              </w:rPr>
              <w:t>检修领导小组组长</w:t>
            </w:r>
          </w:p>
        </w:tc>
        <w:tc>
          <w:tcPr>
            <w:tcW w:w="1418" w:type="dxa"/>
            <w:vAlign w:val="center"/>
          </w:tcPr>
          <w:p>
            <w:pP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5" w:hRule="atLeast"/>
        </w:trPr>
        <w:tc>
          <w:tcPr>
            <w:tcW w:w="525" w:type="dxa"/>
            <w:vAlign w:val="center"/>
          </w:tcPr>
          <w:p>
            <w:pPr>
              <w:numPr>
                <w:ilvl w:val="0"/>
                <w:numId w:val="23"/>
              </w:numPr>
              <w:jc w:val="right"/>
              <w:rPr>
                <w:sz w:val="18"/>
                <w:szCs w:val="18"/>
                <w:highlight w:val="none"/>
              </w:rPr>
            </w:pPr>
          </w:p>
        </w:tc>
        <w:tc>
          <w:tcPr>
            <w:tcW w:w="996" w:type="dxa"/>
            <w:vAlign w:val="center"/>
          </w:tcPr>
          <w:p>
            <w:pPr>
              <w:rPr>
                <w:sz w:val="18"/>
                <w:szCs w:val="18"/>
                <w:highlight w:val="none"/>
              </w:rPr>
            </w:pPr>
            <w:r>
              <w:rPr>
                <w:rFonts w:hint="eastAsia"/>
                <w:sz w:val="18"/>
                <w:szCs w:val="18"/>
                <w:highlight w:val="none"/>
              </w:rPr>
              <w:t>机组A、B级检修</w:t>
            </w:r>
          </w:p>
        </w:tc>
        <w:tc>
          <w:tcPr>
            <w:tcW w:w="1701" w:type="dxa"/>
            <w:vAlign w:val="center"/>
          </w:tcPr>
          <w:p>
            <w:pPr>
              <w:rPr>
                <w:sz w:val="18"/>
                <w:szCs w:val="18"/>
                <w:highlight w:val="none"/>
              </w:rPr>
            </w:pPr>
            <w:r>
              <w:rPr>
                <w:rFonts w:hint="eastAsia"/>
                <w:sz w:val="18"/>
                <w:szCs w:val="18"/>
                <w:highlight w:val="none"/>
              </w:rPr>
              <w:t>由参修单位承接的项目，由检修质量原因致使机组连续运行未达到100天</w:t>
            </w:r>
          </w:p>
        </w:tc>
        <w:tc>
          <w:tcPr>
            <w:tcW w:w="1276" w:type="dxa"/>
            <w:vAlign w:val="center"/>
          </w:tcPr>
          <w:p>
            <w:pPr>
              <w:rPr>
                <w:sz w:val="18"/>
                <w:szCs w:val="18"/>
                <w:highlight w:val="none"/>
              </w:rPr>
            </w:pPr>
            <w:r>
              <w:rPr>
                <w:rFonts w:hint="eastAsia"/>
                <w:sz w:val="18"/>
                <w:szCs w:val="18"/>
                <w:highlight w:val="none"/>
              </w:rPr>
              <w:t>扣除合同款10%</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ind w:left="-59" w:right="-57"/>
              <w:jc w:val="center"/>
              <w:rPr>
                <w:sz w:val="18"/>
                <w:szCs w:val="18"/>
                <w:highlight w:val="none"/>
              </w:rPr>
            </w:pPr>
            <w:r>
              <w:rPr>
                <w:rFonts w:hint="eastAsia"/>
                <w:sz w:val="18"/>
                <w:szCs w:val="18"/>
                <w:highlight w:val="none"/>
              </w:rPr>
              <w:t>检修领导小组组长</w:t>
            </w:r>
          </w:p>
        </w:tc>
        <w:tc>
          <w:tcPr>
            <w:tcW w:w="1418" w:type="dxa"/>
            <w:vAlign w:val="center"/>
          </w:tcPr>
          <w:p>
            <w:pP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1" w:hRule="atLeast"/>
        </w:trPr>
        <w:tc>
          <w:tcPr>
            <w:tcW w:w="525" w:type="dxa"/>
            <w:vMerge w:val="restart"/>
            <w:vAlign w:val="center"/>
          </w:tcPr>
          <w:p>
            <w:pPr>
              <w:numPr>
                <w:ilvl w:val="0"/>
                <w:numId w:val="23"/>
              </w:numPr>
              <w:jc w:val="right"/>
              <w:rPr>
                <w:sz w:val="18"/>
                <w:szCs w:val="18"/>
                <w:highlight w:val="none"/>
              </w:rPr>
            </w:pPr>
          </w:p>
        </w:tc>
        <w:tc>
          <w:tcPr>
            <w:tcW w:w="996" w:type="dxa"/>
            <w:vMerge w:val="restart"/>
            <w:vAlign w:val="center"/>
          </w:tcPr>
          <w:p>
            <w:pPr>
              <w:rPr>
                <w:sz w:val="18"/>
                <w:szCs w:val="18"/>
                <w:highlight w:val="none"/>
              </w:rPr>
            </w:pPr>
            <w:r>
              <w:rPr>
                <w:rFonts w:hint="eastAsia"/>
                <w:sz w:val="18"/>
                <w:szCs w:val="18"/>
                <w:highlight w:val="none"/>
              </w:rPr>
              <w:t>资料移交</w:t>
            </w:r>
          </w:p>
        </w:tc>
        <w:tc>
          <w:tcPr>
            <w:tcW w:w="1701" w:type="dxa"/>
            <w:vAlign w:val="center"/>
          </w:tcPr>
          <w:p>
            <w:pPr>
              <w:rPr>
                <w:sz w:val="18"/>
                <w:szCs w:val="18"/>
                <w:highlight w:val="none"/>
              </w:rPr>
            </w:pPr>
            <w:r>
              <w:rPr>
                <w:rFonts w:hint="eastAsia"/>
                <w:sz w:val="18"/>
                <w:szCs w:val="18"/>
                <w:highlight w:val="none"/>
              </w:rPr>
              <w:t>按文件管理要求，超时一天移交</w:t>
            </w:r>
          </w:p>
        </w:tc>
        <w:tc>
          <w:tcPr>
            <w:tcW w:w="1276" w:type="dxa"/>
            <w:vAlign w:val="center"/>
          </w:tcPr>
          <w:p>
            <w:pPr>
              <w:rPr>
                <w:sz w:val="18"/>
                <w:szCs w:val="18"/>
                <w:highlight w:val="none"/>
              </w:rPr>
            </w:pPr>
            <w:r>
              <w:rPr>
                <w:rFonts w:hint="eastAsia"/>
                <w:sz w:val="18"/>
                <w:szCs w:val="18"/>
                <w:highlight w:val="none"/>
              </w:rPr>
              <w:t>扣100元/天</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ind w:left="-59" w:right="-57"/>
              <w:jc w:val="center"/>
              <w:rPr>
                <w:sz w:val="18"/>
                <w:szCs w:val="18"/>
                <w:highlight w:val="none"/>
              </w:rPr>
            </w:pPr>
            <w:r>
              <w:rPr>
                <w:rFonts w:hint="eastAsia"/>
                <w:sz w:val="18"/>
                <w:szCs w:val="18"/>
                <w:highlight w:val="none"/>
              </w:rPr>
              <w:t>设备部专业主管</w:t>
            </w:r>
          </w:p>
        </w:tc>
        <w:tc>
          <w:tcPr>
            <w:tcW w:w="1418" w:type="dxa"/>
            <w:vAlign w:val="center"/>
          </w:tcPr>
          <w:p>
            <w:pP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1" w:hRule="atLeast"/>
        </w:trPr>
        <w:tc>
          <w:tcPr>
            <w:tcW w:w="525" w:type="dxa"/>
            <w:vMerge w:val="continue"/>
            <w:vAlign w:val="center"/>
          </w:tcPr>
          <w:p>
            <w:pPr>
              <w:numPr>
                <w:ilvl w:val="0"/>
                <w:numId w:val="23"/>
              </w:numPr>
              <w:jc w:val="right"/>
              <w:rPr>
                <w:sz w:val="18"/>
                <w:szCs w:val="18"/>
                <w:highlight w:val="none"/>
              </w:rPr>
            </w:pPr>
          </w:p>
        </w:tc>
        <w:tc>
          <w:tcPr>
            <w:tcW w:w="996" w:type="dxa"/>
            <w:vMerge w:val="continue"/>
            <w:vAlign w:val="center"/>
          </w:tcPr>
          <w:p>
            <w:pPr>
              <w:rPr>
                <w:sz w:val="18"/>
                <w:szCs w:val="18"/>
                <w:highlight w:val="none"/>
              </w:rPr>
            </w:pPr>
          </w:p>
        </w:tc>
        <w:tc>
          <w:tcPr>
            <w:tcW w:w="1701" w:type="dxa"/>
            <w:vAlign w:val="center"/>
          </w:tcPr>
          <w:p>
            <w:pPr>
              <w:rPr>
                <w:sz w:val="18"/>
                <w:szCs w:val="18"/>
                <w:highlight w:val="none"/>
              </w:rPr>
            </w:pPr>
            <w:r>
              <w:rPr>
                <w:rFonts w:hint="eastAsia"/>
                <w:sz w:val="18"/>
                <w:szCs w:val="18"/>
                <w:highlight w:val="none"/>
              </w:rPr>
              <w:t>移交文件缺少</w:t>
            </w:r>
          </w:p>
        </w:tc>
        <w:tc>
          <w:tcPr>
            <w:tcW w:w="1276" w:type="dxa"/>
            <w:vAlign w:val="center"/>
          </w:tcPr>
          <w:p>
            <w:pPr>
              <w:rPr>
                <w:sz w:val="18"/>
                <w:szCs w:val="18"/>
                <w:highlight w:val="none"/>
              </w:rPr>
            </w:pPr>
            <w:r>
              <w:rPr>
                <w:rFonts w:hint="eastAsia"/>
                <w:sz w:val="18"/>
                <w:szCs w:val="18"/>
                <w:highlight w:val="none"/>
              </w:rPr>
              <w:t>扣300元/份</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ind w:left="-59" w:right="-57"/>
              <w:jc w:val="center"/>
              <w:rPr>
                <w:sz w:val="18"/>
                <w:szCs w:val="18"/>
                <w:highlight w:val="none"/>
              </w:rPr>
            </w:pPr>
            <w:r>
              <w:rPr>
                <w:rFonts w:hint="eastAsia"/>
                <w:sz w:val="18"/>
                <w:szCs w:val="18"/>
                <w:highlight w:val="none"/>
              </w:rPr>
              <w:t>设备部专业主管</w:t>
            </w:r>
          </w:p>
        </w:tc>
        <w:tc>
          <w:tcPr>
            <w:tcW w:w="1418" w:type="dxa"/>
            <w:vAlign w:val="center"/>
          </w:tcPr>
          <w:p>
            <w:pPr>
              <w:rPr>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5" w:hRule="atLeast"/>
        </w:trPr>
        <w:tc>
          <w:tcPr>
            <w:tcW w:w="525" w:type="dxa"/>
            <w:vAlign w:val="center"/>
          </w:tcPr>
          <w:p>
            <w:pPr>
              <w:numPr>
                <w:ilvl w:val="0"/>
                <w:numId w:val="23"/>
              </w:numPr>
              <w:jc w:val="right"/>
              <w:rPr>
                <w:sz w:val="18"/>
                <w:szCs w:val="18"/>
                <w:highlight w:val="none"/>
              </w:rPr>
            </w:pPr>
          </w:p>
        </w:tc>
        <w:tc>
          <w:tcPr>
            <w:tcW w:w="996" w:type="dxa"/>
            <w:vAlign w:val="center"/>
          </w:tcPr>
          <w:p>
            <w:pPr>
              <w:rPr>
                <w:rFonts w:ascii="宋体"/>
                <w:spacing w:val="-2"/>
                <w:sz w:val="18"/>
                <w:szCs w:val="18"/>
                <w:highlight w:val="none"/>
              </w:rPr>
            </w:pPr>
            <w:r>
              <w:rPr>
                <w:rFonts w:hint="eastAsia" w:ascii="宋体"/>
                <w:spacing w:val="-2"/>
                <w:sz w:val="18"/>
                <w:szCs w:val="18"/>
                <w:highlight w:val="none"/>
              </w:rPr>
              <w:t>修后缺陷（C、D检修复役后60天内，A级检修复役后100天内）</w:t>
            </w:r>
          </w:p>
        </w:tc>
        <w:tc>
          <w:tcPr>
            <w:tcW w:w="1701" w:type="dxa"/>
            <w:vAlign w:val="center"/>
          </w:tcPr>
          <w:p>
            <w:pPr>
              <w:rPr>
                <w:sz w:val="18"/>
                <w:szCs w:val="18"/>
                <w:highlight w:val="none"/>
              </w:rPr>
            </w:pPr>
            <w:r>
              <w:rPr>
                <w:rFonts w:hint="eastAsia"/>
                <w:sz w:val="18"/>
                <w:szCs w:val="18"/>
                <w:highlight w:val="none"/>
              </w:rPr>
              <w:t>由检修质量原因产生的延期缺陷</w:t>
            </w:r>
          </w:p>
        </w:tc>
        <w:tc>
          <w:tcPr>
            <w:tcW w:w="1276" w:type="dxa"/>
            <w:vAlign w:val="center"/>
          </w:tcPr>
          <w:p>
            <w:pPr>
              <w:rPr>
                <w:sz w:val="18"/>
                <w:szCs w:val="18"/>
                <w:highlight w:val="none"/>
              </w:rPr>
            </w:pPr>
            <w:r>
              <w:rPr>
                <w:rFonts w:hint="eastAsia"/>
                <w:sz w:val="18"/>
                <w:szCs w:val="18"/>
                <w:highlight w:val="none"/>
              </w:rPr>
              <w:t>扣200元/条</w:t>
            </w:r>
          </w:p>
        </w:tc>
        <w:tc>
          <w:tcPr>
            <w:tcW w:w="992" w:type="dxa"/>
            <w:vAlign w:val="center"/>
          </w:tcPr>
          <w:p>
            <w:pPr>
              <w:ind w:left="-90" w:right="-113"/>
              <w:jc w:val="center"/>
              <w:rPr>
                <w:sz w:val="18"/>
                <w:szCs w:val="18"/>
                <w:highlight w:val="none"/>
              </w:rPr>
            </w:pPr>
            <w:r>
              <w:rPr>
                <w:rFonts w:hint="eastAsia"/>
                <w:sz w:val="18"/>
                <w:szCs w:val="18"/>
                <w:highlight w:val="none"/>
              </w:rPr>
              <w:t>责任单位</w:t>
            </w:r>
          </w:p>
        </w:tc>
        <w:tc>
          <w:tcPr>
            <w:tcW w:w="1276" w:type="dxa"/>
            <w:vAlign w:val="center"/>
          </w:tcPr>
          <w:p>
            <w:pPr>
              <w:jc w:val="center"/>
              <w:rPr>
                <w:sz w:val="18"/>
                <w:szCs w:val="18"/>
                <w:highlight w:val="none"/>
              </w:rPr>
            </w:pPr>
            <w:r>
              <w:rPr>
                <w:rFonts w:hint="eastAsia"/>
                <w:sz w:val="18"/>
                <w:szCs w:val="18"/>
                <w:highlight w:val="none"/>
              </w:rPr>
              <w:t>设备管理部</w:t>
            </w:r>
          </w:p>
        </w:tc>
        <w:tc>
          <w:tcPr>
            <w:tcW w:w="1418" w:type="dxa"/>
            <w:vAlign w:val="center"/>
          </w:tcPr>
          <w:p>
            <w:pPr>
              <w:rPr>
                <w:sz w:val="18"/>
                <w:szCs w:val="18"/>
                <w:highlight w:val="none"/>
              </w:rPr>
            </w:pPr>
            <w:r>
              <w:rPr>
                <w:rFonts w:hint="eastAsia"/>
                <w:sz w:val="18"/>
                <w:szCs w:val="18"/>
                <w:highlight w:val="none"/>
              </w:rPr>
              <w:t>在质保金内扣除</w:t>
            </w:r>
          </w:p>
        </w:tc>
      </w:tr>
    </w:tbl>
    <w:p>
      <w:pPr>
        <w:pStyle w:val="2"/>
        <w:ind w:firstLine="0"/>
        <w:rPr>
          <w:sz w:val="24"/>
          <w:highlight w:val="none"/>
        </w:rPr>
        <w:sectPr>
          <w:pgSz w:w="11906" w:h="16838"/>
          <w:pgMar w:top="1440" w:right="1797" w:bottom="1440" w:left="1797" w:header="851" w:footer="992" w:gutter="0"/>
          <w:pgNumType w:start="1"/>
          <w:cols w:space="425" w:num="1"/>
          <w:titlePg/>
          <w:docGrid w:linePitch="360" w:charSpace="0"/>
        </w:sectPr>
      </w:pPr>
    </w:p>
    <w:p>
      <w:pPr>
        <w:outlineLvl w:val="0"/>
        <w:rPr>
          <w:rFonts w:hint="eastAsia" w:asciiTheme="minorEastAsia" w:hAnsiTheme="minorEastAsia" w:eastAsiaTheme="minorEastAsia" w:cstheme="minorEastAsia"/>
          <w:sz w:val="32"/>
          <w:szCs w:val="32"/>
          <w:highlight w:val="none"/>
        </w:rPr>
      </w:pPr>
      <w:bookmarkStart w:id="18" w:name="_Toc2138"/>
      <w:bookmarkStart w:id="19" w:name="_Toc30680"/>
      <w:r>
        <w:rPr>
          <w:rFonts w:hint="eastAsia" w:asciiTheme="minorEastAsia" w:hAnsiTheme="minorEastAsia" w:eastAsiaTheme="minorEastAsia" w:cstheme="minorEastAsia"/>
          <w:sz w:val="32"/>
          <w:szCs w:val="32"/>
          <w:highlight w:val="none"/>
        </w:rPr>
        <w:t>附件</w:t>
      </w:r>
      <w:bookmarkEnd w:id="18"/>
      <w:bookmarkEnd w:id="19"/>
      <w:r>
        <w:rPr>
          <w:rFonts w:hint="eastAsia" w:asciiTheme="minorEastAsia" w:hAnsiTheme="minorEastAsia" w:eastAsiaTheme="minorEastAsia" w:cstheme="minorEastAsia"/>
          <w:sz w:val="32"/>
          <w:szCs w:val="32"/>
          <w:highlight w:val="none"/>
        </w:rPr>
        <w:t>D</w:t>
      </w:r>
    </w:p>
    <w:p>
      <w:pPr>
        <w:pStyle w:val="17"/>
        <w:rPr>
          <w:rFonts w:hint="eastAsia" w:asciiTheme="minorEastAsia" w:hAnsiTheme="minorEastAsia" w:eastAsiaTheme="minorEastAsia" w:cstheme="minorEastAsia"/>
          <w:sz w:val="24"/>
          <w:highlight w:val="none"/>
        </w:rPr>
      </w:pPr>
      <w:r>
        <w:rPr>
          <w:rFonts w:hint="eastAsia" w:asciiTheme="minorEastAsia" w:hAnsiTheme="minorEastAsia" w:eastAsiaTheme="minorEastAsia" w:cstheme="minorEastAsia"/>
          <w:sz w:val="24"/>
          <w:highlight w:val="none"/>
        </w:rPr>
        <w:t>2026年3号机组受热面改造项目预估清单</w:t>
      </w:r>
    </w:p>
    <w:tbl>
      <w:tblPr>
        <w:tblStyle w:val="38"/>
        <w:tblW w:w="8233" w:type="dxa"/>
        <w:tblInd w:w="0" w:type="dxa"/>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Layout w:type="fixed"/>
        <w:tblCellMar>
          <w:top w:w="0" w:type="dxa"/>
          <w:left w:w="108" w:type="dxa"/>
          <w:bottom w:w="0" w:type="dxa"/>
          <w:right w:w="108" w:type="dxa"/>
        </w:tblCellMar>
      </w:tblPr>
      <w:tblGrid>
        <w:gridCol w:w="768"/>
        <w:gridCol w:w="3213"/>
        <w:gridCol w:w="2370"/>
        <w:gridCol w:w="748"/>
        <w:gridCol w:w="1134"/>
      </w:tblGrid>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423" w:hRule="atLeast"/>
        </w:trPr>
        <w:tc>
          <w:tcPr>
            <w:tcW w:w="768" w:type="dxa"/>
            <w:tcBorders>
              <w:top w:val="single" w:color="000000" w:sz="8" w:space="0"/>
              <w:left w:val="single" w:color="000000" w:sz="8" w:space="0"/>
              <w:bottom w:val="single" w:color="000000" w:sz="8" w:space="0"/>
              <w:right w:val="single" w:color="000000" w:sz="8" w:space="0"/>
            </w:tcBorders>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r>
              <w:rPr>
                <w:rFonts w:ascii="宋体" w:hAnsi="宋体" w:cs="宋体"/>
                <w:color w:val="000000"/>
                <w:sz w:val="24"/>
                <w:highlight w:val="none"/>
              </w:rPr>
              <w:t>序号</w:t>
            </w:r>
          </w:p>
        </w:tc>
        <w:tc>
          <w:tcPr>
            <w:tcW w:w="3213"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r>
              <w:rPr>
                <w:rFonts w:ascii="宋体" w:hAnsi="宋体" w:cs="宋体"/>
                <w:color w:val="000000"/>
                <w:sz w:val="24"/>
                <w:highlight w:val="none"/>
              </w:rPr>
              <w:t>项目名称</w:t>
            </w:r>
          </w:p>
        </w:tc>
        <w:tc>
          <w:tcPr>
            <w:tcW w:w="2370"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r>
              <w:rPr>
                <w:rFonts w:ascii="宋体" w:hAnsi="宋体" w:cs="宋体"/>
                <w:color w:val="000000"/>
                <w:sz w:val="22"/>
                <w:highlight w:val="none"/>
              </w:rPr>
              <w:t>项目特征</w:t>
            </w:r>
          </w:p>
        </w:tc>
        <w:tc>
          <w:tcPr>
            <w:tcW w:w="748"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r>
              <w:rPr>
                <w:rFonts w:ascii="宋体" w:hAnsi="宋体" w:cs="宋体"/>
                <w:color w:val="000000"/>
                <w:sz w:val="22"/>
                <w:highlight w:val="none"/>
              </w:rPr>
              <w:t>单位</w:t>
            </w:r>
          </w:p>
        </w:tc>
        <w:tc>
          <w:tcPr>
            <w:tcW w:w="1134" w:type="dxa"/>
            <w:tcBorders>
              <w:top w:val="single" w:color="000000" w:sz="8" w:space="0"/>
              <w:left w:val="nil"/>
              <w:bottom w:val="single" w:color="000000" w:sz="8" w:space="0"/>
              <w:right w:val="single" w:color="000000" w:sz="8" w:space="0"/>
            </w:tcBorders>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r>
              <w:rPr>
                <w:rFonts w:ascii="宋体" w:hAnsi="宋体" w:cs="宋体"/>
                <w:color w:val="000000"/>
                <w:sz w:val="22"/>
                <w:highlight w:val="none"/>
              </w:rPr>
              <w:t>数量</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30" w:hRule="atLeast"/>
        </w:trPr>
        <w:tc>
          <w:tcPr>
            <w:tcW w:w="768" w:type="dxa"/>
            <w:tcBorders>
              <w:top w:val="nil"/>
              <w:left w:val="single" w:color="000000" w:sz="8" w:space="0"/>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r>
              <w:rPr>
                <w:rFonts w:ascii="宋体" w:hAnsi="宋体" w:cs="宋体"/>
                <w:color w:val="000000"/>
                <w:sz w:val="24"/>
                <w:highlight w:val="none"/>
              </w:rPr>
              <w:t>一</w:t>
            </w:r>
          </w:p>
        </w:tc>
        <w:tc>
          <w:tcPr>
            <w:tcW w:w="3213"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highlight w:val="none"/>
              </w:rPr>
            </w:pPr>
            <w:r>
              <w:rPr>
                <w:rFonts w:hint="eastAsia"/>
                <w:bCs/>
                <w:sz w:val="21"/>
                <w:szCs w:val="21"/>
                <w:highlight w:val="none"/>
              </w:rPr>
              <w:t>3号锅炉</w:t>
            </w:r>
            <w:r>
              <w:rPr>
                <w:bCs/>
                <w:sz w:val="21"/>
                <w:szCs w:val="21"/>
                <w:highlight w:val="none"/>
              </w:rPr>
              <w:t>高温再热器管排更换（82</w:t>
            </w:r>
            <w:r>
              <w:rPr>
                <w:rFonts w:hint="eastAsia"/>
                <w:bCs/>
                <w:sz w:val="21"/>
                <w:szCs w:val="21"/>
                <w:highlight w:val="none"/>
              </w:rPr>
              <w:t>屏</w:t>
            </w:r>
            <w:r>
              <w:rPr>
                <w:bCs/>
                <w:sz w:val="21"/>
                <w:szCs w:val="21"/>
                <w:highlight w:val="none"/>
              </w:rPr>
              <w:t>，每</w:t>
            </w:r>
            <w:r>
              <w:rPr>
                <w:rFonts w:hint="eastAsia"/>
                <w:bCs/>
                <w:sz w:val="21"/>
                <w:szCs w:val="21"/>
                <w:highlight w:val="none"/>
              </w:rPr>
              <w:t>屏43</w:t>
            </w:r>
            <w:r>
              <w:rPr>
                <w:bCs/>
                <w:sz w:val="21"/>
                <w:szCs w:val="21"/>
                <w:highlight w:val="none"/>
              </w:rPr>
              <w:t>个焊口）</w:t>
            </w:r>
          </w:p>
        </w:tc>
        <w:tc>
          <w:tcPr>
            <w:tcW w:w="2370"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highlight w:val="none"/>
              </w:rPr>
            </w:pPr>
            <w:r>
              <w:rPr>
                <w:rFonts w:ascii="宋体" w:hAnsi="宋体" w:cs="宋体"/>
                <w:color w:val="000000"/>
                <w:sz w:val="22"/>
                <w:highlight w:val="none"/>
              </w:rPr>
              <w:t> </w:t>
            </w:r>
          </w:p>
        </w:tc>
        <w:tc>
          <w:tcPr>
            <w:tcW w:w="748"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highlight w:val="none"/>
              </w:rPr>
            </w:pPr>
            <w:r>
              <w:rPr>
                <w:rFonts w:ascii="宋体" w:hAnsi="宋体" w:cs="宋体"/>
                <w:color w:val="000000"/>
                <w:sz w:val="22"/>
                <w:highlight w:val="none"/>
              </w:rPr>
              <w:t> </w:t>
            </w:r>
          </w:p>
        </w:tc>
        <w:tc>
          <w:tcPr>
            <w:tcW w:w="1134"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highlight w:val="none"/>
              </w:rPr>
            </w:pPr>
            <w:r>
              <w:rPr>
                <w:rFonts w:ascii="宋体" w:hAnsi="宋体" w:cs="宋体"/>
                <w:color w:val="000000"/>
                <w:sz w:val="22"/>
                <w:highlight w:val="none"/>
              </w:rPr>
              <w:t> </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28" w:hRule="atLeast"/>
        </w:trPr>
        <w:tc>
          <w:tcPr>
            <w:tcW w:w="768" w:type="dxa"/>
            <w:tcBorders>
              <w:top w:val="nil"/>
              <w:left w:val="single" w:color="000000" w:sz="8" w:space="0"/>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r>
              <w:rPr>
                <w:rFonts w:ascii="宋体" w:hAnsi="宋体" w:cs="宋体"/>
                <w:color w:val="000000"/>
                <w:sz w:val="24"/>
                <w:highlight w:val="none"/>
              </w:rPr>
              <w:t>1</w:t>
            </w:r>
          </w:p>
        </w:tc>
        <w:tc>
          <w:tcPr>
            <w:tcW w:w="3213"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rFonts w:hint="eastAsia"/>
                <w:bCs/>
                <w:sz w:val="21"/>
                <w:szCs w:val="21"/>
                <w:highlight w:val="none"/>
              </w:rPr>
              <w:t>脚手架搭设、拆除及过程配合</w:t>
            </w:r>
          </w:p>
        </w:tc>
        <w:tc>
          <w:tcPr>
            <w:tcW w:w="2370"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highlight w:val="none"/>
              </w:rPr>
            </w:pPr>
          </w:p>
        </w:tc>
        <w:tc>
          <w:tcPr>
            <w:tcW w:w="748"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bCs/>
                <w:sz w:val="21"/>
                <w:szCs w:val="21"/>
                <w:highlight w:val="none"/>
              </w:rPr>
              <w:t>项</w:t>
            </w:r>
          </w:p>
        </w:tc>
        <w:tc>
          <w:tcPr>
            <w:tcW w:w="1134"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rFonts w:ascii="宋体" w:hAnsi="宋体" w:cs="宋体"/>
                <w:bCs/>
                <w:sz w:val="21"/>
                <w:szCs w:val="21"/>
                <w:highlight w:val="none"/>
              </w:rPr>
              <w:t>1</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76" w:hRule="atLeast"/>
        </w:trPr>
        <w:tc>
          <w:tcPr>
            <w:tcW w:w="768" w:type="dxa"/>
            <w:tcBorders>
              <w:top w:val="nil"/>
              <w:left w:val="single" w:color="000000" w:sz="8" w:space="0"/>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r>
              <w:rPr>
                <w:rFonts w:ascii="宋体" w:hAnsi="宋体" w:cs="宋体"/>
                <w:color w:val="000000"/>
                <w:sz w:val="24"/>
                <w:highlight w:val="none"/>
              </w:rPr>
              <w:t>2</w:t>
            </w:r>
          </w:p>
        </w:tc>
        <w:tc>
          <w:tcPr>
            <w:tcW w:w="3213"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bCs/>
                <w:sz w:val="21"/>
                <w:szCs w:val="21"/>
                <w:highlight w:val="none"/>
              </w:rPr>
              <w:t>管排拆除</w:t>
            </w:r>
          </w:p>
        </w:tc>
        <w:tc>
          <w:tcPr>
            <w:tcW w:w="2370"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highlight w:val="none"/>
              </w:rPr>
            </w:pPr>
            <w:r>
              <w:rPr>
                <w:rFonts w:ascii="宋体" w:hAnsi="宋体" w:cs="宋体"/>
                <w:color w:val="000000"/>
                <w:sz w:val="20"/>
                <w:highlight w:val="none"/>
              </w:rPr>
              <w:t> </w:t>
            </w:r>
          </w:p>
        </w:tc>
        <w:tc>
          <w:tcPr>
            <w:tcW w:w="748"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bCs/>
                <w:sz w:val="21"/>
                <w:szCs w:val="21"/>
                <w:highlight w:val="none"/>
              </w:rPr>
              <w:t>项</w:t>
            </w:r>
          </w:p>
        </w:tc>
        <w:tc>
          <w:tcPr>
            <w:tcW w:w="1134"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rFonts w:ascii="宋体" w:hAnsi="宋体" w:cs="宋体"/>
                <w:bCs/>
                <w:sz w:val="21"/>
                <w:szCs w:val="21"/>
                <w:highlight w:val="none"/>
              </w:rPr>
              <w:t>1</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90" w:hRule="atLeast"/>
        </w:trPr>
        <w:tc>
          <w:tcPr>
            <w:tcW w:w="768" w:type="dxa"/>
            <w:tcBorders>
              <w:top w:val="nil"/>
              <w:left w:val="single" w:color="000000" w:sz="8" w:space="0"/>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r>
              <w:rPr>
                <w:rFonts w:ascii="宋体" w:hAnsi="宋体" w:cs="宋体"/>
                <w:color w:val="000000"/>
                <w:sz w:val="24"/>
                <w:highlight w:val="none"/>
              </w:rPr>
              <w:t>3</w:t>
            </w:r>
          </w:p>
        </w:tc>
        <w:tc>
          <w:tcPr>
            <w:tcW w:w="3213"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bCs/>
                <w:sz w:val="21"/>
                <w:szCs w:val="21"/>
                <w:highlight w:val="none"/>
              </w:rPr>
              <w:t>管排吊装</w:t>
            </w:r>
          </w:p>
        </w:tc>
        <w:tc>
          <w:tcPr>
            <w:tcW w:w="2370"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highlight w:val="none"/>
              </w:rPr>
            </w:pPr>
            <w:r>
              <w:rPr>
                <w:rFonts w:ascii="宋体" w:hAnsi="宋体" w:cs="宋体"/>
                <w:color w:val="000000"/>
                <w:sz w:val="20"/>
                <w:highlight w:val="none"/>
              </w:rPr>
              <w:t> </w:t>
            </w:r>
          </w:p>
        </w:tc>
        <w:tc>
          <w:tcPr>
            <w:tcW w:w="748"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bCs/>
                <w:sz w:val="21"/>
                <w:szCs w:val="21"/>
                <w:highlight w:val="none"/>
              </w:rPr>
              <w:t>项</w:t>
            </w:r>
          </w:p>
        </w:tc>
        <w:tc>
          <w:tcPr>
            <w:tcW w:w="1134"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rFonts w:ascii="宋体" w:hAnsi="宋体" w:cs="宋体"/>
                <w:bCs/>
                <w:sz w:val="21"/>
                <w:szCs w:val="21"/>
                <w:highlight w:val="none"/>
              </w:rPr>
              <w:t>1</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90" w:hRule="atLeast"/>
        </w:trPr>
        <w:tc>
          <w:tcPr>
            <w:tcW w:w="768" w:type="dxa"/>
            <w:tcBorders>
              <w:top w:val="nil"/>
              <w:left w:val="single" w:color="000000" w:sz="8" w:space="0"/>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r>
              <w:rPr>
                <w:rFonts w:ascii="宋体" w:hAnsi="宋体" w:cs="宋体"/>
                <w:color w:val="000000"/>
                <w:sz w:val="24"/>
                <w:highlight w:val="none"/>
              </w:rPr>
              <w:t>4</w:t>
            </w:r>
          </w:p>
        </w:tc>
        <w:tc>
          <w:tcPr>
            <w:tcW w:w="3213"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bCs/>
                <w:sz w:val="21"/>
                <w:szCs w:val="21"/>
                <w:highlight w:val="none"/>
              </w:rPr>
              <w:t>管排焊接</w:t>
            </w:r>
          </w:p>
        </w:tc>
        <w:tc>
          <w:tcPr>
            <w:tcW w:w="2370"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highlight w:val="none"/>
              </w:rPr>
            </w:pPr>
            <w:r>
              <w:rPr>
                <w:rFonts w:ascii="宋体" w:hAnsi="宋体" w:cs="宋体"/>
                <w:color w:val="000000"/>
                <w:sz w:val="20"/>
                <w:highlight w:val="none"/>
              </w:rPr>
              <w:t>共计</w:t>
            </w:r>
            <w:r>
              <w:rPr>
                <w:rFonts w:hint="eastAsia" w:ascii="宋体" w:hAnsi="宋体" w:cs="宋体"/>
                <w:color w:val="000000"/>
                <w:sz w:val="20"/>
                <w:highlight w:val="none"/>
              </w:rPr>
              <w:t>82屏</w:t>
            </w:r>
            <w:r>
              <w:rPr>
                <w:rFonts w:ascii="宋体" w:hAnsi="宋体" w:cs="宋体"/>
                <w:color w:val="000000"/>
                <w:sz w:val="20"/>
                <w:highlight w:val="none"/>
              </w:rPr>
              <w:t>，每片管排上有1</w:t>
            </w:r>
            <w:r>
              <w:rPr>
                <w:rFonts w:hint="eastAsia" w:ascii="宋体" w:hAnsi="宋体" w:cs="宋体"/>
                <w:color w:val="000000"/>
                <w:sz w:val="20"/>
                <w:highlight w:val="none"/>
              </w:rPr>
              <w:t>0</w:t>
            </w:r>
            <w:r>
              <w:rPr>
                <w:rFonts w:ascii="宋体" w:hAnsi="宋体" w:cs="宋体"/>
                <w:color w:val="000000"/>
                <w:sz w:val="20"/>
                <w:highlight w:val="none"/>
              </w:rPr>
              <w:t>根管子需更换，预估共</w:t>
            </w:r>
            <w:r>
              <w:rPr>
                <w:rFonts w:hint="eastAsia" w:ascii="宋体" w:hAnsi="宋体" w:cs="宋体"/>
                <w:color w:val="000000"/>
                <w:sz w:val="20"/>
                <w:highlight w:val="none"/>
              </w:rPr>
              <w:t>3526</w:t>
            </w:r>
            <w:r>
              <w:rPr>
                <w:rFonts w:ascii="宋体" w:hAnsi="宋体" w:cs="宋体"/>
                <w:color w:val="000000"/>
                <w:sz w:val="20"/>
                <w:highlight w:val="none"/>
              </w:rPr>
              <w:t>只焊口</w:t>
            </w:r>
          </w:p>
        </w:tc>
        <w:tc>
          <w:tcPr>
            <w:tcW w:w="748"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rFonts w:hint="eastAsia" w:ascii="宋体" w:hAnsi="宋体" w:cs="宋体"/>
                <w:bCs/>
                <w:sz w:val="21"/>
                <w:szCs w:val="21"/>
                <w:highlight w:val="none"/>
              </w:rPr>
              <w:t>焊口</w:t>
            </w:r>
          </w:p>
        </w:tc>
        <w:tc>
          <w:tcPr>
            <w:tcW w:w="1134"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rFonts w:hint="eastAsia" w:ascii="宋体" w:hAnsi="宋体" w:cs="宋体"/>
                <w:bCs/>
                <w:sz w:val="21"/>
                <w:szCs w:val="21"/>
                <w:highlight w:val="none"/>
              </w:rPr>
              <w:t>3526</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141" w:hRule="atLeast"/>
        </w:trPr>
        <w:tc>
          <w:tcPr>
            <w:tcW w:w="768" w:type="dxa"/>
            <w:tcBorders>
              <w:top w:val="nil"/>
              <w:left w:val="single" w:color="000000" w:sz="8" w:space="0"/>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r>
              <w:rPr>
                <w:rFonts w:hint="eastAsia" w:ascii="宋体" w:hAnsi="宋体" w:cs="宋体"/>
                <w:color w:val="000000"/>
                <w:sz w:val="24"/>
                <w:highlight w:val="none"/>
              </w:rPr>
              <w:t>5</w:t>
            </w:r>
          </w:p>
        </w:tc>
        <w:tc>
          <w:tcPr>
            <w:tcW w:w="3213"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bCs/>
                <w:sz w:val="21"/>
                <w:szCs w:val="21"/>
                <w:highlight w:val="none"/>
              </w:rPr>
              <w:t>吊装装置安装</w:t>
            </w:r>
          </w:p>
        </w:tc>
        <w:tc>
          <w:tcPr>
            <w:tcW w:w="2370"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highlight w:val="none"/>
              </w:rPr>
            </w:pPr>
          </w:p>
        </w:tc>
        <w:tc>
          <w:tcPr>
            <w:tcW w:w="748"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bCs/>
                <w:sz w:val="21"/>
                <w:szCs w:val="21"/>
                <w:highlight w:val="none"/>
              </w:rPr>
              <w:t>项</w:t>
            </w:r>
          </w:p>
        </w:tc>
        <w:tc>
          <w:tcPr>
            <w:tcW w:w="1134"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rFonts w:ascii="宋体" w:hAnsi="宋体" w:cs="宋体"/>
                <w:bCs/>
                <w:sz w:val="21"/>
                <w:szCs w:val="21"/>
                <w:highlight w:val="none"/>
              </w:rPr>
              <w:t>1</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90" w:hRule="atLeast"/>
        </w:trPr>
        <w:tc>
          <w:tcPr>
            <w:tcW w:w="768" w:type="dxa"/>
            <w:tcBorders>
              <w:top w:val="nil"/>
              <w:left w:val="single" w:color="000000" w:sz="8" w:space="0"/>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r>
              <w:rPr>
                <w:rFonts w:hint="eastAsia" w:ascii="宋体" w:hAnsi="宋体" w:cs="宋体"/>
                <w:color w:val="000000"/>
                <w:sz w:val="24"/>
                <w:highlight w:val="none"/>
              </w:rPr>
              <w:t>6</w:t>
            </w:r>
          </w:p>
        </w:tc>
        <w:tc>
          <w:tcPr>
            <w:tcW w:w="3213"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rFonts w:hint="eastAsia" w:ascii="宋体" w:hAnsi="宋体" w:cs="宋体"/>
                <w:bCs/>
                <w:sz w:val="21"/>
                <w:szCs w:val="21"/>
                <w:highlight w:val="none"/>
                <w:lang w:eastAsia="en-US"/>
              </w:rPr>
              <w:t>水冷壁割孔及恢复</w:t>
            </w:r>
          </w:p>
        </w:tc>
        <w:tc>
          <w:tcPr>
            <w:tcW w:w="2370"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highlight w:val="none"/>
              </w:rPr>
            </w:pPr>
            <w:r>
              <w:rPr>
                <w:rFonts w:ascii="宋体" w:hAnsi="宋体" w:cs="宋体"/>
                <w:color w:val="000000"/>
                <w:sz w:val="20"/>
                <w:highlight w:val="none"/>
              </w:rPr>
              <w:t>预估</w:t>
            </w:r>
            <w:r>
              <w:rPr>
                <w:rFonts w:hint="eastAsia" w:ascii="宋体" w:hAnsi="宋体" w:cs="宋体"/>
                <w:color w:val="000000"/>
                <w:sz w:val="20"/>
                <w:highlight w:val="none"/>
              </w:rPr>
              <w:t>6</w:t>
            </w:r>
            <w:r>
              <w:rPr>
                <w:rFonts w:ascii="宋体" w:hAnsi="宋体" w:cs="宋体"/>
                <w:color w:val="000000"/>
                <w:sz w:val="20"/>
                <w:highlight w:val="none"/>
              </w:rPr>
              <w:t>0只焊口</w:t>
            </w:r>
          </w:p>
        </w:tc>
        <w:tc>
          <w:tcPr>
            <w:tcW w:w="748"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rFonts w:hint="eastAsia" w:ascii="宋体" w:hAnsi="宋体" w:cs="宋体"/>
                <w:bCs/>
                <w:sz w:val="21"/>
                <w:szCs w:val="21"/>
                <w:highlight w:val="none"/>
              </w:rPr>
              <w:t>焊口</w:t>
            </w:r>
          </w:p>
        </w:tc>
        <w:tc>
          <w:tcPr>
            <w:tcW w:w="1134"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rFonts w:hint="eastAsia" w:ascii="宋体" w:hAnsi="宋体" w:cs="宋体"/>
                <w:bCs/>
                <w:sz w:val="21"/>
                <w:szCs w:val="21"/>
                <w:highlight w:val="none"/>
              </w:rPr>
              <w:t>60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10" w:hRule="atLeast"/>
        </w:trPr>
        <w:tc>
          <w:tcPr>
            <w:tcW w:w="768" w:type="dxa"/>
            <w:tcBorders>
              <w:top w:val="nil"/>
              <w:left w:val="single" w:color="000000" w:sz="8" w:space="0"/>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rFonts w:hint="eastAsia" w:ascii="宋体" w:hAnsi="宋体" w:cs="宋体"/>
                <w:color w:val="000000"/>
                <w:sz w:val="24"/>
                <w:highlight w:val="none"/>
              </w:rPr>
            </w:pPr>
            <w:r>
              <w:rPr>
                <w:rFonts w:hint="eastAsia" w:ascii="宋体" w:hAnsi="宋体" w:cs="宋体"/>
                <w:color w:val="000000"/>
                <w:sz w:val="24"/>
                <w:highlight w:val="none"/>
              </w:rPr>
              <w:t>7</w:t>
            </w:r>
          </w:p>
        </w:tc>
        <w:tc>
          <w:tcPr>
            <w:tcW w:w="3213"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rFonts w:hint="eastAsia" w:ascii="宋体" w:hAnsi="宋体" w:cs="宋体"/>
                <w:color w:val="000000"/>
                <w:sz w:val="22"/>
                <w:highlight w:val="none"/>
              </w:rPr>
            </w:pPr>
            <w:r>
              <w:rPr>
                <w:rFonts w:hint="eastAsia" w:ascii="宋体" w:hAnsi="宋体" w:cs="宋体"/>
                <w:bCs/>
                <w:sz w:val="21"/>
                <w:szCs w:val="21"/>
                <w:highlight w:val="none"/>
              </w:rPr>
              <w:t>顶棚管开孔及恢复（含出口处密封拆装及无损检测）</w:t>
            </w:r>
          </w:p>
        </w:tc>
        <w:tc>
          <w:tcPr>
            <w:tcW w:w="2370"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rFonts w:hint="eastAsia" w:ascii="宋体" w:hAnsi="宋体" w:cs="宋体"/>
                <w:color w:val="000000"/>
                <w:sz w:val="20"/>
                <w:highlight w:val="none"/>
              </w:rPr>
            </w:pPr>
            <w:r>
              <w:rPr>
                <w:rFonts w:hint="eastAsia" w:ascii="宋体" w:hAnsi="宋体" w:cs="宋体"/>
                <w:color w:val="000000"/>
                <w:sz w:val="20"/>
                <w:highlight w:val="none"/>
              </w:rPr>
              <w:t>预估640只焊口</w:t>
            </w:r>
          </w:p>
        </w:tc>
        <w:tc>
          <w:tcPr>
            <w:tcW w:w="748"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rFonts w:hint="eastAsia" w:ascii="宋体" w:hAnsi="宋体" w:cs="宋体"/>
                <w:color w:val="000000"/>
                <w:sz w:val="22"/>
                <w:highlight w:val="none"/>
              </w:rPr>
            </w:pPr>
            <w:r>
              <w:rPr>
                <w:rFonts w:hint="eastAsia" w:ascii="宋体" w:hAnsi="宋体" w:cs="宋体"/>
                <w:bCs/>
                <w:sz w:val="21"/>
                <w:szCs w:val="21"/>
                <w:highlight w:val="none"/>
              </w:rPr>
              <w:t>焊口</w:t>
            </w:r>
          </w:p>
        </w:tc>
        <w:tc>
          <w:tcPr>
            <w:tcW w:w="1134"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rFonts w:hint="eastAsia" w:ascii="宋体" w:hAnsi="宋体" w:cs="宋体"/>
                <w:color w:val="000000"/>
                <w:sz w:val="22"/>
                <w:highlight w:val="none"/>
              </w:rPr>
            </w:pPr>
            <w:r>
              <w:rPr>
                <w:rFonts w:hint="eastAsia" w:ascii="宋体" w:hAnsi="宋体" w:cs="宋体"/>
                <w:bCs/>
                <w:sz w:val="21"/>
                <w:szCs w:val="21"/>
                <w:highlight w:val="none"/>
              </w:rPr>
              <w:t>640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10" w:hRule="atLeast"/>
        </w:trPr>
        <w:tc>
          <w:tcPr>
            <w:tcW w:w="768" w:type="dxa"/>
            <w:tcBorders>
              <w:top w:val="nil"/>
              <w:left w:val="single" w:color="000000" w:sz="8" w:space="0"/>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rFonts w:hint="eastAsia" w:ascii="宋体" w:hAnsi="宋体" w:cs="宋体"/>
                <w:color w:val="000000"/>
                <w:sz w:val="24"/>
                <w:highlight w:val="none"/>
              </w:rPr>
            </w:pPr>
            <w:r>
              <w:rPr>
                <w:rFonts w:hint="eastAsia" w:ascii="宋体" w:hAnsi="宋体" w:cs="宋体"/>
                <w:color w:val="000000"/>
                <w:sz w:val="24"/>
                <w:highlight w:val="none"/>
              </w:rPr>
              <w:t>8</w:t>
            </w:r>
          </w:p>
        </w:tc>
        <w:tc>
          <w:tcPr>
            <w:tcW w:w="3213"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rFonts w:hint="eastAsia" w:ascii="宋体" w:hAnsi="宋体" w:cs="宋体"/>
                <w:color w:val="000000"/>
                <w:sz w:val="22"/>
                <w:highlight w:val="none"/>
              </w:rPr>
            </w:pPr>
            <w:r>
              <w:rPr>
                <w:rFonts w:hint="eastAsia" w:ascii="宋体" w:hAnsi="宋体" w:cs="宋体"/>
                <w:bCs/>
                <w:sz w:val="21"/>
                <w:szCs w:val="21"/>
                <w:highlight w:val="none"/>
              </w:rPr>
              <w:t>顶棚浇注料拆除、恢复（含材料）</w:t>
            </w:r>
          </w:p>
        </w:tc>
        <w:tc>
          <w:tcPr>
            <w:tcW w:w="2370"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rFonts w:hint="eastAsia" w:ascii="宋体" w:hAnsi="宋体" w:cs="宋体"/>
                <w:color w:val="000000"/>
                <w:sz w:val="20"/>
                <w:highlight w:val="none"/>
              </w:rPr>
            </w:pPr>
          </w:p>
        </w:tc>
        <w:tc>
          <w:tcPr>
            <w:tcW w:w="748"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rFonts w:hint="eastAsia" w:ascii="宋体" w:hAnsi="宋体" w:cs="宋体"/>
                <w:color w:val="000000"/>
                <w:sz w:val="22"/>
                <w:highlight w:val="none"/>
              </w:rPr>
            </w:pPr>
            <w:r>
              <w:rPr>
                <w:bCs/>
                <w:sz w:val="21"/>
                <w:szCs w:val="21"/>
                <w:highlight w:val="none"/>
              </w:rPr>
              <w:t>项</w:t>
            </w:r>
          </w:p>
        </w:tc>
        <w:tc>
          <w:tcPr>
            <w:tcW w:w="1134"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rFonts w:hint="eastAsia" w:ascii="宋体" w:hAnsi="宋体" w:cs="宋体"/>
                <w:color w:val="000000"/>
                <w:sz w:val="22"/>
                <w:highlight w:val="none"/>
              </w:rPr>
            </w:pPr>
            <w:r>
              <w:rPr>
                <w:rFonts w:ascii="宋体" w:hAnsi="宋体" w:cs="宋体"/>
                <w:bCs/>
                <w:sz w:val="21"/>
                <w:szCs w:val="21"/>
                <w:highlight w:val="none"/>
              </w:rPr>
              <w:t>1</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10" w:hRule="atLeast"/>
        </w:trPr>
        <w:tc>
          <w:tcPr>
            <w:tcW w:w="768" w:type="dxa"/>
            <w:tcBorders>
              <w:top w:val="nil"/>
              <w:left w:val="single" w:color="000000" w:sz="8" w:space="0"/>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r>
              <w:rPr>
                <w:rFonts w:hint="eastAsia" w:ascii="宋体" w:hAnsi="宋体" w:cs="宋体"/>
                <w:color w:val="000000"/>
                <w:sz w:val="24"/>
                <w:highlight w:val="none"/>
              </w:rPr>
              <w:t>9</w:t>
            </w:r>
          </w:p>
        </w:tc>
        <w:tc>
          <w:tcPr>
            <w:tcW w:w="3213"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rFonts w:hint="eastAsia" w:ascii="宋体" w:hAnsi="宋体" w:cs="宋体"/>
                <w:bCs/>
                <w:sz w:val="21"/>
                <w:szCs w:val="21"/>
                <w:highlight w:val="none"/>
              </w:rPr>
              <w:t>高温再热器下弯头异物检查及清理</w:t>
            </w:r>
          </w:p>
        </w:tc>
        <w:tc>
          <w:tcPr>
            <w:tcW w:w="2370"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highlight w:val="none"/>
              </w:rPr>
            </w:pPr>
            <w:r>
              <w:rPr>
                <w:rFonts w:ascii="宋体" w:hAnsi="宋体" w:cs="宋体"/>
                <w:color w:val="000000"/>
                <w:sz w:val="20"/>
                <w:highlight w:val="none"/>
              </w:rPr>
              <w:t> </w:t>
            </w:r>
          </w:p>
        </w:tc>
        <w:tc>
          <w:tcPr>
            <w:tcW w:w="748"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rFonts w:hint="eastAsia" w:ascii="宋体" w:hAnsi="宋体" w:cs="宋体"/>
                <w:bCs/>
                <w:sz w:val="21"/>
                <w:szCs w:val="21"/>
                <w:highlight w:val="none"/>
              </w:rPr>
              <w:t>个</w:t>
            </w:r>
          </w:p>
        </w:tc>
        <w:tc>
          <w:tcPr>
            <w:tcW w:w="1134"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rFonts w:hint="eastAsia" w:ascii="宋体" w:hAnsi="宋体" w:cs="宋体"/>
                <w:bCs/>
                <w:sz w:val="21"/>
                <w:szCs w:val="21"/>
                <w:highlight w:val="none"/>
              </w:rPr>
              <w:t>1640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210" w:hRule="atLeast"/>
        </w:trPr>
        <w:tc>
          <w:tcPr>
            <w:tcW w:w="768" w:type="dxa"/>
            <w:tcBorders>
              <w:top w:val="nil"/>
              <w:left w:val="single" w:color="000000" w:sz="8" w:space="0"/>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rFonts w:hint="eastAsia" w:ascii="宋体" w:hAnsi="宋体" w:cs="宋体"/>
                <w:color w:val="000000"/>
                <w:sz w:val="24"/>
                <w:highlight w:val="none"/>
              </w:rPr>
            </w:pPr>
            <w:r>
              <w:rPr>
                <w:rFonts w:hint="eastAsia" w:ascii="宋体" w:hAnsi="宋体" w:cs="宋体"/>
                <w:color w:val="000000"/>
                <w:sz w:val="24"/>
                <w:highlight w:val="none"/>
              </w:rPr>
              <w:t>10</w:t>
            </w:r>
          </w:p>
        </w:tc>
        <w:tc>
          <w:tcPr>
            <w:tcW w:w="3213"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rFonts w:hint="eastAsia" w:ascii="宋体" w:hAnsi="宋体" w:cs="宋体"/>
                <w:bCs/>
                <w:sz w:val="21"/>
                <w:szCs w:val="21"/>
                <w:highlight w:val="none"/>
              </w:rPr>
            </w:pPr>
            <w:r>
              <w:rPr>
                <w:rFonts w:hint="eastAsia" w:ascii="宋体" w:hAnsi="宋体" w:cs="宋体"/>
                <w:bCs/>
                <w:sz w:val="21"/>
                <w:szCs w:val="21"/>
                <w:highlight w:val="none"/>
              </w:rPr>
              <w:t>集箱保温拆除恢复</w:t>
            </w:r>
          </w:p>
        </w:tc>
        <w:tc>
          <w:tcPr>
            <w:tcW w:w="2370"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rFonts w:hint="eastAsia" w:ascii="宋体" w:hAnsi="宋体" w:cs="宋体"/>
                <w:color w:val="000000"/>
                <w:sz w:val="20"/>
                <w:highlight w:val="none"/>
              </w:rPr>
            </w:pPr>
            <w:r>
              <w:rPr>
                <w:rFonts w:hint="eastAsia" w:ascii="宋体" w:hAnsi="宋体" w:cs="宋体"/>
                <w:color w:val="000000"/>
                <w:sz w:val="20"/>
                <w:highlight w:val="none"/>
              </w:rPr>
              <w:t>高再进出口集箱</w:t>
            </w:r>
          </w:p>
        </w:tc>
        <w:tc>
          <w:tcPr>
            <w:tcW w:w="748"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rFonts w:hint="eastAsia" w:ascii="宋体" w:hAnsi="宋体" w:cs="宋体"/>
                <w:bCs/>
                <w:sz w:val="21"/>
                <w:szCs w:val="21"/>
                <w:highlight w:val="none"/>
              </w:rPr>
            </w:pPr>
            <w:r>
              <w:rPr>
                <w:rFonts w:hint="eastAsia" w:ascii="宋体" w:hAnsi="宋体" w:cs="宋体"/>
                <w:bCs/>
                <w:sz w:val="21"/>
                <w:szCs w:val="21"/>
                <w:highlight w:val="none"/>
              </w:rPr>
              <w:t>项</w:t>
            </w:r>
          </w:p>
        </w:tc>
        <w:tc>
          <w:tcPr>
            <w:tcW w:w="1134"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rFonts w:hint="eastAsia" w:ascii="宋体" w:hAnsi="宋体" w:cs="宋体"/>
                <w:bCs/>
                <w:sz w:val="21"/>
                <w:szCs w:val="21"/>
                <w:highlight w:val="none"/>
              </w:rPr>
            </w:pPr>
            <w:r>
              <w:rPr>
                <w:rFonts w:hint="eastAsia" w:ascii="宋体" w:hAnsi="宋体" w:cs="宋体"/>
                <w:bCs/>
                <w:sz w:val="21"/>
                <w:szCs w:val="21"/>
                <w:highlight w:val="none"/>
              </w:rPr>
              <w:t>1</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124" w:hRule="atLeast"/>
        </w:trPr>
        <w:tc>
          <w:tcPr>
            <w:tcW w:w="768" w:type="dxa"/>
            <w:tcBorders>
              <w:top w:val="nil"/>
              <w:left w:val="single" w:color="000000" w:sz="8" w:space="0"/>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rFonts w:hint="eastAsia" w:ascii="宋体" w:hAnsi="宋体" w:cs="宋体"/>
                <w:color w:val="000000"/>
                <w:sz w:val="22"/>
                <w:highlight w:val="none"/>
              </w:rPr>
            </w:pPr>
            <w:r>
              <w:rPr>
                <w:rFonts w:hint="eastAsia" w:ascii="宋体" w:hAnsi="宋体" w:cs="宋体"/>
                <w:color w:val="000000"/>
                <w:sz w:val="22"/>
                <w:highlight w:val="none"/>
              </w:rPr>
              <w:t>二</w:t>
            </w:r>
          </w:p>
        </w:tc>
        <w:tc>
          <w:tcPr>
            <w:tcW w:w="3213"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rFonts w:hint="eastAsia" w:ascii="宋体" w:hAnsi="宋体" w:cs="宋体"/>
                <w:bCs/>
                <w:sz w:val="21"/>
                <w:szCs w:val="21"/>
                <w:highlight w:val="none"/>
              </w:rPr>
            </w:pPr>
            <w:r>
              <w:rPr>
                <w:rFonts w:hint="eastAsia" w:ascii="宋体" w:hAnsi="宋体" w:cs="宋体"/>
                <w:bCs/>
                <w:sz w:val="21"/>
                <w:szCs w:val="21"/>
                <w:highlight w:val="none"/>
              </w:rPr>
              <w:t>3号锅炉分隔屏过热器管排密封盒处套管增加</w:t>
            </w:r>
          </w:p>
        </w:tc>
        <w:tc>
          <w:tcPr>
            <w:tcW w:w="2370"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rFonts w:hint="eastAsia" w:ascii="宋体" w:hAnsi="宋体" w:cs="宋体"/>
                <w:color w:val="000000"/>
                <w:sz w:val="22"/>
                <w:highlight w:val="none"/>
              </w:rPr>
            </w:pPr>
            <w:r>
              <w:rPr>
                <w:rFonts w:hint="eastAsia" w:ascii="宋体" w:hAnsi="宋体" w:cs="宋体"/>
                <w:color w:val="000000"/>
                <w:sz w:val="22"/>
                <w:highlight w:val="none"/>
              </w:rPr>
              <w:t>密封盒拆除安装；共960个焊口</w:t>
            </w:r>
          </w:p>
        </w:tc>
        <w:tc>
          <w:tcPr>
            <w:tcW w:w="748"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rFonts w:hint="eastAsia" w:ascii="宋体" w:hAnsi="宋体" w:cs="宋体"/>
                <w:color w:val="000000"/>
                <w:sz w:val="22"/>
                <w:highlight w:val="none"/>
              </w:rPr>
            </w:pPr>
            <w:r>
              <w:rPr>
                <w:rFonts w:hint="eastAsia" w:ascii="宋体" w:hAnsi="宋体" w:cs="宋体"/>
                <w:color w:val="000000"/>
                <w:sz w:val="22"/>
                <w:highlight w:val="none"/>
              </w:rPr>
              <w:t>项</w:t>
            </w:r>
          </w:p>
        </w:tc>
        <w:tc>
          <w:tcPr>
            <w:tcW w:w="1134"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rFonts w:hint="eastAsia" w:ascii="宋体" w:hAnsi="宋体" w:cs="宋体"/>
                <w:color w:val="000000"/>
                <w:sz w:val="22"/>
                <w:highlight w:val="none"/>
              </w:rPr>
            </w:pPr>
            <w:r>
              <w:rPr>
                <w:rFonts w:hint="eastAsia" w:ascii="宋体" w:hAnsi="宋体" w:cs="宋体"/>
                <w:color w:val="000000"/>
                <w:sz w:val="22"/>
                <w:highlight w:val="none"/>
              </w:rPr>
              <w:t>1</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124" w:hRule="atLeast"/>
        </w:trPr>
        <w:tc>
          <w:tcPr>
            <w:tcW w:w="768" w:type="dxa"/>
            <w:tcBorders>
              <w:top w:val="nil"/>
              <w:left w:val="single" w:color="000000" w:sz="8" w:space="0"/>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rFonts w:hint="eastAsia" w:ascii="宋体" w:hAnsi="宋体" w:cs="宋体"/>
                <w:color w:val="000000"/>
                <w:sz w:val="22"/>
                <w:highlight w:val="none"/>
              </w:rPr>
            </w:pPr>
          </w:p>
        </w:tc>
        <w:tc>
          <w:tcPr>
            <w:tcW w:w="3213"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rFonts w:hint="eastAsia" w:ascii="宋体" w:hAnsi="宋体" w:cs="宋体"/>
                <w:bCs/>
                <w:sz w:val="21"/>
                <w:szCs w:val="21"/>
                <w:highlight w:val="none"/>
              </w:rPr>
            </w:pPr>
            <w:r>
              <w:rPr>
                <w:rFonts w:hint="eastAsia" w:ascii="宋体" w:hAnsi="宋体" w:cs="宋体"/>
                <w:bCs/>
                <w:sz w:val="21"/>
                <w:szCs w:val="21"/>
                <w:highlight w:val="none"/>
              </w:rPr>
              <w:t>分隔屏集箱保温拆除恢复</w:t>
            </w:r>
          </w:p>
        </w:tc>
        <w:tc>
          <w:tcPr>
            <w:tcW w:w="2370"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rFonts w:hint="eastAsia" w:ascii="宋体" w:hAnsi="宋体" w:cs="宋体"/>
                <w:color w:val="000000"/>
                <w:sz w:val="22"/>
                <w:highlight w:val="none"/>
              </w:rPr>
            </w:pPr>
            <w:r>
              <w:rPr>
                <w:rFonts w:hint="eastAsia" w:ascii="宋体" w:hAnsi="宋体" w:cs="宋体"/>
                <w:color w:val="000000"/>
                <w:sz w:val="22"/>
                <w:highlight w:val="none"/>
              </w:rPr>
              <w:t>分隔屏进出口集箱</w:t>
            </w:r>
          </w:p>
        </w:tc>
        <w:tc>
          <w:tcPr>
            <w:tcW w:w="748"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rFonts w:hint="eastAsia" w:ascii="宋体" w:hAnsi="宋体" w:cs="宋体"/>
                <w:color w:val="000000"/>
                <w:sz w:val="22"/>
                <w:highlight w:val="none"/>
              </w:rPr>
            </w:pPr>
            <w:r>
              <w:rPr>
                <w:rFonts w:hint="eastAsia" w:ascii="宋体" w:hAnsi="宋体" w:cs="宋体"/>
                <w:color w:val="000000"/>
                <w:sz w:val="22"/>
                <w:highlight w:val="none"/>
              </w:rPr>
              <w:t>项</w:t>
            </w:r>
          </w:p>
        </w:tc>
        <w:tc>
          <w:tcPr>
            <w:tcW w:w="1134"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rFonts w:hint="eastAsia" w:ascii="宋体" w:hAnsi="宋体" w:cs="宋体"/>
                <w:color w:val="000000"/>
                <w:sz w:val="22"/>
                <w:highlight w:val="none"/>
              </w:rPr>
            </w:pPr>
            <w:r>
              <w:rPr>
                <w:rFonts w:hint="eastAsia" w:ascii="宋体" w:hAnsi="宋体" w:cs="宋体"/>
                <w:color w:val="000000"/>
                <w:sz w:val="22"/>
                <w:highlight w:val="none"/>
              </w:rPr>
              <w:t>1</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12" w:hRule="atLeast"/>
        </w:trPr>
        <w:tc>
          <w:tcPr>
            <w:tcW w:w="768" w:type="dxa"/>
            <w:tcBorders>
              <w:top w:val="nil"/>
              <w:left w:val="single" w:color="000000" w:sz="8" w:space="0"/>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rFonts w:hint="eastAsia"/>
                <w:highlight w:val="none"/>
              </w:rPr>
            </w:pPr>
            <w:r>
              <w:rPr>
                <w:rFonts w:hint="eastAsia"/>
                <w:highlight w:val="none"/>
              </w:rPr>
              <w:t>三</w:t>
            </w:r>
          </w:p>
        </w:tc>
        <w:tc>
          <w:tcPr>
            <w:tcW w:w="3213"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rFonts w:hint="eastAsia" w:ascii="宋体" w:hAnsi="宋体" w:cs="宋体"/>
                <w:color w:val="000000"/>
                <w:sz w:val="22"/>
                <w:highlight w:val="none"/>
              </w:rPr>
            </w:pPr>
            <w:r>
              <w:rPr>
                <w:rFonts w:hint="eastAsia" w:ascii="宋体" w:hAnsi="宋体" w:cs="宋体"/>
                <w:bCs/>
                <w:sz w:val="21"/>
                <w:szCs w:val="21"/>
                <w:highlight w:val="none"/>
              </w:rPr>
              <w:t>3号锅炉末级再热器出口段穿顶棚密封更换，5套</w:t>
            </w:r>
          </w:p>
        </w:tc>
        <w:tc>
          <w:tcPr>
            <w:tcW w:w="2370"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rFonts w:hint="eastAsia" w:ascii="宋体" w:hAnsi="宋体" w:cs="宋体"/>
                <w:color w:val="000000"/>
                <w:sz w:val="22"/>
                <w:highlight w:val="none"/>
              </w:rPr>
            </w:pPr>
            <w:r>
              <w:rPr>
                <w:rFonts w:hint="eastAsia" w:ascii="宋体" w:hAnsi="宋体" w:cs="宋体"/>
                <w:color w:val="000000"/>
                <w:sz w:val="22"/>
                <w:highlight w:val="none"/>
              </w:rPr>
              <w:t>预估共200个焊口</w:t>
            </w:r>
          </w:p>
        </w:tc>
        <w:tc>
          <w:tcPr>
            <w:tcW w:w="748"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rFonts w:ascii="宋体" w:hAnsi="宋体" w:cs="宋体"/>
                <w:color w:val="000000"/>
                <w:sz w:val="22"/>
                <w:highlight w:val="none"/>
              </w:rPr>
            </w:pPr>
            <w:r>
              <w:rPr>
                <w:rFonts w:hint="eastAsia" w:ascii="宋体" w:hAnsi="宋体" w:cs="宋体"/>
                <w:color w:val="000000"/>
                <w:sz w:val="22"/>
                <w:highlight w:val="none"/>
              </w:rPr>
              <w:t>项</w:t>
            </w:r>
          </w:p>
        </w:tc>
        <w:tc>
          <w:tcPr>
            <w:tcW w:w="1134"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r>
              <w:rPr>
                <w:rFonts w:hint="eastAsia"/>
                <w:highlight w:val="none"/>
              </w:rPr>
              <w:t>1</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12" w:hRule="atLeast"/>
        </w:trPr>
        <w:tc>
          <w:tcPr>
            <w:tcW w:w="768" w:type="dxa"/>
            <w:tcBorders>
              <w:top w:val="nil"/>
              <w:left w:val="single" w:color="000000" w:sz="8" w:space="0"/>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r>
              <w:rPr>
                <w:rFonts w:hint="eastAsia"/>
                <w:highlight w:val="none"/>
              </w:rPr>
              <w:t>四</w:t>
            </w:r>
          </w:p>
        </w:tc>
        <w:tc>
          <w:tcPr>
            <w:tcW w:w="3213"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highlight w:val="none"/>
              </w:rPr>
            </w:pPr>
            <w:r>
              <w:rPr>
                <w:rFonts w:hint="eastAsia" w:ascii="宋体" w:hAnsi="宋体" w:cs="宋体"/>
                <w:color w:val="000000"/>
                <w:sz w:val="22"/>
                <w:highlight w:val="none"/>
              </w:rPr>
              <w:t>3号</w:t>
            </w:r>
            <w:r>
              <w:rPr>
                <w:rFonts w:ascii="宋体" w:hAnsi="宋体" w:cs="宋体"/>
                <w:color w:val="000000"/>
                <w:sz w:val="22"/>
                <w:highlight w:val="none"/>
              </w:rPr>
              <w:t>锅炉受热面改造备用换管</w:t>
            </w:r>
          </w:p>
        </w:tc>
        <w:tc>
          <w:tcPr>
            <w:tcW w:w="2370"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highlight w:val="none"/>
              </w:rPr>
            </w:pPr>
            <w:r>
              <w:rPr>
                <w:rFonts w:ascii="宋体" w:hAnsi="宋体" w:cs="宋体"/>
                <w:color w:val="000000"/>
                <w:sz w:val="22"/>
                <w:highlight w:val="none"/>
              </w:rPr>
              <w:t> </w:t>
            </w:r>
          </w:p>
        </w:tc>
        <w:tc>
          <w:tcPr>
            <w:tcW w:w="748"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highlight w:val="none"/>
              </w:rPr>
            </w:pPr>
            <w:r>
              <w:rPr>
                <w:rFonts w:ascii="宋体" w:hAnsi="宋体" w:cs="宋体"/>
                <w:color w:val="000000"/>
                <w:sz w:val="22"/>
                <w:highlight w:val="none"/>
              </w:rPr>
              <w:t> </w:t>
            </w:r>
          </w:p>
        </w:tc>
        <w:tc>
          <w:tcPr>
            <w:tcW w:w="1134"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12" w:hRule="atLeast"/>
        </w:trPr>
        <w:tc>
          <w:tcPr>
            <w:tcW w:w="768" w:type="dxa"/>
            <w:tcBorders>
              <w:top w:val="nil"/>
              <w:left w:val="single" w:color="000000" w:sz="8" w:space="0"/>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rFonts w:hint="eastAsia"/>
                <w:highlight w:val="none"/>
              </w:rPr>
            </w:pPr>
            <w:r>
              <w:rPr>
                <w:rFonts w:hint="eastAsia"/>
                <w:highlight w:val="none"/>
              </w:rPr>
              <w:t>1</w:t>
            </w:r>
          </w:p>
        </w:tc>
        <w:tc>
          <w:tcPr>
            <w:tcW w:w="3213"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rFonts w:hint="eastAsia" w:ascii="宋体" w:hAnsi="宋体" w:cs="宋体"/>
                <w:color w:val="000000"/>
                <w:sz w:val="22"/>
                <w:highlight w:val="none"/>
              </w:rPr>
            </w:pPr>
            <w:r>
              <w:rPr>
                <w:rFonts w:hint="eastAsia"/>
                <w:highlight w:val="none"/>
              </w:rPr>
              <w:t>3号</w:t>
            </w:r>
            <w:r>
              <w:rPr>
                <w:highlight w:val="none"/>
              </w:rPr>
              <w:t>锅炉受热面改造备用换管</w:t>
            </w:r>
          </w:p>
        </w:tc>
        <w:tc>
          <w:tcPr>
            <w:tcW w:w="2370"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rFonts w:ascii="宋体" w:hAnsi="宋体" w:cs="宋体"/>
                <w:color w:val="000000"/>
                <w:sz w:val="22"/>
                <w:highlight w:val="none"/>
              </w:rPr>
            </w:pPr>
            <w:r>
              <w:rPr>
                <w:highlight w:val="none"/>
              </w:rPr>
              <w:t>预估</w:t>
            </w:r>
            <w:r>
              <w:rPr>
                <w:rFonts w:hint="eastAsia"/>
                <w:highlight w:val="none"/>
              </w:rPr>
              <w:t>3</w:t>
            </w:r>
            <w:r>
              <w:rPr>
                <w:highlight w:val="none"/>
              </w:rPr>
              <w:t>00只焊口</w:t>
            </w:r>
          </w:p>
        </w:tc>
        <w:tc>
          <w:tcPr>
            <w:tcW w:w="748"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rFonts w:ascii="宋体" w:hAnsi="宋体" w:cs="宋体"/>
                <w:color w:val="000000"/>
                <w:sz w:val="22"/>
                <w:highlight w:val="none"/>
              </w:rPr>
            </w:pPr>
            <w:r>
              <w:rPr>
                <w:highlight w:val="none"/>
              </w:rPr>
              <w:t>焊口</w:t>
            </w:r>
          </w:p>
        </w:tc>
        <w:tc>
          <w:tcPr>
            <w:tcW w:w="1134"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r>
              <w:rPr>
                <w:rFonts w:hint="eastAsia"/>
                <w:highlight w:val="none"/>
              </w:rPr>
              <w:t>3</w:t>
            </w:r>
            <w:r>
              <w:rPr>
                <w:highlight w:val="none"/>
              </w:rPr>
              <w:t>00</w:t>
            </w:r>
          </w:p>
        </w:tc>
      </w:tr>
      <w:tr>
        <w:tblPrEx>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CellMar>
            <w:top w:w="0" w:type="dxa"/>
            <w:left w:w="108" w:type="dxa"/>
            <w:bottom w:w="0" w:type="dxa"/>
            <w:right w:w="108" w:type="dxa"/>
          </w:tblCellMar>
        </w:tblPrEx>
        <w:trPr>
          <w:trHeight w:val="312" w:hRule="atLeast"/>
        </w:trPr>
        <w:tc>
          <w:tcPr>
            <w:tcW w:w="768" w:type="dxa"/>
            <w:tcBorders>
              <w:top w:val="nil"/>
              <w:left w:val="single" w:color="000000" w:sz="8" w:space="0"/>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jc w:val="center"/>
              <w:rPr>
                <w:highlight w:val="none"/>
              </w:rPr>
            </w:pPr>
            <w:r>
              <w:rPr>
                <w:rFonts w:hint="eastAsia"/>
                <w:highlight w:val="none"/>
              </w:rPr>
              <w:t>五</w:t>
            </w:r>
          </w:p>
        </w:tc>
        <w:tc>
          <w:tcPr>
            <w:tcW w:w="3213"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rFonts w:hint="eastAsia"/>
                <w:highlight w:val="none"/>
              </w:rPr>
            </w:pPr>
            <w:r>
              <w:rPr>
                <w:rFonts w:hint="eastAsia"/>
                <w:highlight w:val="none"/>
              </w:rPr>
              <w:t>锅炉内部清灰</w:t>
            </w:r>
          </w:p>
        </w:tc>
        <w:tc>
          <w:tcPr>
            <w:tcW w:w="2370"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pBdr>
                <w:top w:val="none" w:color="000000" w:sz="0" w:space="0"/>
                <w:left w:val="none" w:color="000000" w:sz="0" w:space="0"/>
                <w:bottom w:val="none" w:color="000000" w:sz="0" w:space="0"/>
                <w:right w:val="none" w:color="000000" w:sz="0" w:space="0"/>
              </w:pBdr>
              <w:spacing w:after="0"/>
              <w:rPr>
                <w:highlight w:val="none"/>
              </w:rPr>
            </w:pPr>
          </w:p>
        </w:tc>
        <w:tc>
          <w:tcPr>
            <w:tcW w:w="748"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highlight w:val="none"/>
              </w:rPr>
            </w:pPr>
            <w:r>
              <w:rPr>
                <w:bCs/>
                <w:sz w:val="21"/>
                <w:szCs w:val="21"/>
                <w:highlight w:val="none"/>
              </w:rPr>
              <w:t>项</w:t>
            </w:r>
          </w:p>
        </w:tc>
        <w:tc>
          <w:tcPr>
            <w:tcW w:w="1134" w:type="dxa"/>
            <w:tcBorders>
              <w:top w:val="nil"/>
              <w:left w:val="nil"/>
              <w:bottom w:val="single" w:color="000000" w:sz="8" w:space="0"/>
              <w:right w:val="single" w:color="000000" w:sz="8" w:space="0"/>
            </w:tcBorders>
            <w:shd w:val="clear" w:color="FFFFFF" w:fill="auto"/>
            <w:tcMar>
              <w:top w:w="0" w:type="dxa"/>
              <w:left w:w="108" w:type="dxa"/>
              <w:bottom w:w="0" w:type="dxa"/>
              <w:right w:w="108" w:type="dxa"/>
            </w:tcMar>
            <w:vAlign w:val="center"/>
          </w:tcPr>
          <w:p>
            <w:pPr>
              <w:spacing w:after="0" w:line="240" w:lineRule="auto"/>
              <w:jc w:val="center"/>
              <w:rPr>
                <w:rFonts w:hint="eastAsia"/>
                <w:highlight w:val="none"/>
              </w:rPr>
            </w:pPr>
            <w:r>
              <w:rPr>
                <w:rFonts w:ascii="宋体" w:hAnsi="宋体" w:cs="宋体"/>
                <w:bCs/>
                <w:sz w:val="21"/>
                <w:szCs w:val="21"/>
                <w:highlight w:val="none"/>
              </w:rPr>
              <w:t>1</w:t>
            </w:r>
          </w:p>
        </w:tc>
      </w:tr>
    </w:tbl>
    <w:p>
      <w:pPr>
        <w:pStyle w:val="17"/>
        <w:rPr>
          <w:rFonts w:hint="eastAsia" w:asciiTheme="minorEastAsia" w:hAnsiTheme="minorEastAsia" w:eastAsiaTheme="minorEastAsia" w:cstheme="minorEastAsia"/>
          <w:sz w:val="24"/>
          <w:highlight w:val="none"/>
        </w:rPr>
      </w:pPr>
    </w:p>
    <w:p>
      <w:pPr>
        <w:pStyle w:val="17"/>
        <w:rPr>
          <w:highlight w:val="none"/>
        </w:rPr>
      </w:pPr>
      <w:r>
        <w:rPr>
          <w:rFonts w:hint="eastAsia" w:asciiTheme="minorEastAsia" w:hAnsiTheme="minorEastAsia" w:eastAsiaTheme="minorEastAsia" w:cstheme="minorEastAsia"/>
          <w:sz w:val="24"/>
          <w:highlight w:val="none"/>
        </w:rPr>
        <w:t>3号机组检修预估清单</w:t>
      </w:r>
    </w:p>
    <w:tbl>
      <w:tblPr>
        <w:tblStyle w:val="37"/>
        <w:tblW w:w="8483" w:type="dxa"/>
        <w:tblInd w:w="-147" w:type="dxa"/>
        <w:tblLayout w:type="fixed"/>
        <w:tblCellMar>
          <w:top w:w="0" w:type="dxa"/>
          <w:left w:w="0" w:type="dxa"/>
          <w:bottom w:w="0" w:type="dxa"/>
          <w:right w:w="0" w:type="dxa"/>
        </w:tblCellMar>
      </w:tblPr>
      <w:tblGrid>
        <w:gridCol w:w="379"/>
        <w:gridCol w:w="706"/>
        <w:gridCol w:w="233"/>
        <w:gridCol w:w="306"/>
        <w:gridCol w:w="6173"/>
        <w:gridCol w:w="405"/>
        <w:gridCol w:w="281"/>
      </w:tblGrid>
      <w:tr>
        <w:tblPrEx>
          <w:tblCellMar>
            <w:top w:w="0" w:type="dxa"/>
            <w:left w:w="0" w:type="dxa"/>
            <w:bottom w:w="0" w:type="dxa"/>
            <w:right w:w="0" w:type="dxa"/>
          </w:tblCellMar>
        </w:tblPrEx>
        <w:trPr>
          <w:trHeight w:val="96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bCs/>
                <w:color w:val="000000"/>
                <w:sz w:val="20"/>
                <w:szCs w:val="20"/>
                <w:highlight w:val="none"/>
                <w:lang w:bidi="ar"/>
              </w:rPr>
            </w:pPr>
            <w:r>
              <w:rPr>
                <w:rFonts w:hint="eastAsia" w:ascii="宋体" w:hAnsi="宋体" w:cs="宋体"/>
                <w:bCs/>
                <w:sz w:val="20"/>
                <w:szCs w:val="20"/>
                <w:highlight w:val="none"/>
                <w:lang w:bidi="ar"/>
              </w:rPr>
              <w:t>序号</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bCs/>
                <w:color w:val="000000"/>
                <w:sz w:val="20"/>
                <w:szCs w:val="20"/>
                <w:highlight w:val="none"/>
                <w:lang w:bidi="ar"/>
              </w:rPr>
            </w:pPr>
            <w:r>
              <w:rPr>
                <w:rFonts w:hint="eastAsia" w:ascii="宋体" w:hAnsi="宋体" w:cs="宋体"/>
                <w:bCs/>
                <w:sz w:val="20"/>
                <w:szCs w:val="20"/>
                <w:highlight w:val="none"/>
                <w:lang w:bidi="ar"/>
              </w:rPr>
              <w:t>检  修  项  目</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bCs/>
                <w:color w:val="000000"/>
                <w:sz w:val="20"/>
                <w:szCs w:val="20"/>
                <w:highlight w:val="none"/>
                <w:lang w:bidi="ar"/>
              </w:rPr>
            </w:pPr>
            <w:r>
              <w:rPr>
                <w:rFonts w:hint="eastAsia" w:ascii="宋体" w:hAnsi="宋体" w:cs="宋体"/>
                <w:bCs/>
                <w:sz w:val="20"/>
                <w:szCs w:val="20"/>
                <w:highlight w:val="none"/>
                <w:lang w:bidi="ar"/>
              </w:rPr>
              <w:t>在装量</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bCs/>
                <w:color w:val="000000"/>
                <w:sz w:val="20"/>
                <w:szCs w:val="20"/>
                <w:highlight w:val="none"/>
                <w:lang w:bidi="ar"/>
              </w:rPr>
            </w:pPr>
            <w:r>
              <w:rPr>
                <w:rFonts w:hint="eastAsia" w:ascii="宋体" w:hAnsi="宋体" w:cs="宋体"/>
                <w:bCs/>
                <w:sz w:val="20"/>
                <w:szCs w:val="20"/>
                <w:highlight w:val="none"/>
                <w:lang w:bidi="ar"/>
              </w:rPr>
              <w:t>类别</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bCs/>
                <w:color w:val="000000"/>
                <w:sz w:val="20"/>
                <w:szCs w:val="20"/>
                <w:highlight w:val="none"/>
                <w:lang w:bidi="ar"/>
              </w:rPr>
            </w:pPr>
            <w:r>
              <w:rPr>
                <w:rFonts w:hint="eastAsia" w:ascii="宋体" w:hAnsi="宋体" w:cs="宋体"/>
                <w:bCs/>
                <w:sz w:val="20"/>
                <w:szCs w:val="20"/>
                <w:highlight w:val="none"/>
                <w:lang w:bidi="ar"/>
              </w:rPr>
              <w:t>主要检修内容</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bCs/>
                <w:color w:val="000000"/>
                <w:sz w:val="20"/>
                <w:szCs w:val="20"/>
                <w:highlight w:val="none"/>
                <w:lang w:bidi="ar"/>
              </w:rPr>
            </w:pPr>
            <w:r>
              <w:rPr>
                <w:rFonts w:hint="eastAsia" w:ascii="宋体" w:hAnsi="宋体" w:cs="宋体"/>
                <w:bCs/>
                <w:sz w:val="20"/>
                <w:szCs w:val="20"/>
                <w:highlight w:val="none"/>
                <w:lang w:bidi="ar"/>
              </w:rPr>
              <w:t>技术措施</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bCs/>
                <w:color w:val="000000"/>
                <w:sz w:val="20"/>
                <w:szCs w:val="20"/>
                <w:highlight w:val="none"/>
                <w:lang w:bidi="ar"/>
              </w:rPr>
            </w:pPr>
            <w:r>
              <w:rPr>
                <w:rFonts w:hint="eastAsia" w:ascii="宋体" w:hAnsi="宋体" w:cs="宋体"/>
                <w:bCs/>
                <w:sz w:val="20"/>
                <w:szCs w:val="20"/>
                <w:highlight w:val="none"/>
                <w:lang w:bidi="ar"/>
              </w:rPr>
              <w:t>项目</w:t>
            </w:r>
            <w:r>
              <w:rPr>
                <w:rFonts w:hint="eastAsia" w:ascii="宋体" w:hAnsi="宋体" w:cs="宋体"/>
                <w:bCs/>
                <w:sz w:val="20"/>
                <w:szCs w:val="20"/>
                <w:highlight w:val="none"/>
                <w:lang w:bidi="ar"/>
              </w:rPr>
              <w:br w:type="textWrapping"/>
            </w:r>
            <w:r>
              <w:rPr>
                <w:rFonts w:hint="eastAsia" w:ascii="宋体" w:hAnsi="宋体" w:cs="宋体"/>
                <w:bCs/>
                <w:sz w:val="20"/>
                <w:szCs w:val="20"/>
                <w:highlight w:val="none"/>
                <w:lang w:bidi="ar"/>
              </w:rPr>
              <w:t>负责人</w:t>
            </w:r>
          </w:p>
        </w:tc>
      </w:tr>
      <w:tr>
        <w:tblPrEx>
          <w:tblCellMar>
            <w:top w:w="0" w:type="dxa"/>
            <w:left w:w="0" w:type="dxa"/>
            <w:bottom w:w="0" w:type="dxa"/>
            <w:right w:w="0" w:type="dxa"/>
          </w:tblCellMar>
        </w:tblPrEx>
        <w:trPr>
          <w:trHeight w:val="96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疏水扩容器及疏水箱检修</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标准</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1.内部清理检查；2.防冲板检查及修复；3.焊缝检查；4.磁翻板水位计解体清理；5.排汽管支吊架检查处理；6.排水管膨胀节检查处理；7.减温水管、排水管角焊缝检查补焊。</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密兴国</w:t>
            </w:r>
          </w:p>
        </w:tc>
      </w:tr>
      <w:tr>
        <w:tblPrEx>
          <w:tblCellMar>
            <w:top w:w="0" w:type="dxa"/>
            <w:left w:w="0" w:type="dxa"/>
            <w:bottom w:w="0" w:type="dxa"/>
            <w:right w:w="0" w:type="dxa"/>
          </w:tblCellMar>
        </w:tblPrEx>
        <w:trPr>
          <w:trHeight w:val="340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2</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sz w:val="20"/>
                <w:szCs w:val="20"/>
                <w:highlight w:val="none"/>
              </w:rPr>
            </w:pPr>
            <w:r>
              <w:rPr>
                <w:rFonts w:hint="eastAsia" w:ascii="宋体" w:hAnsi="宋体" w:cs="宋体"/>
                <w:color w:val="000000"/>
                <w:sz w:val="20"/>
                <w:szCs w:val="20"/>
                <w:highlight w:val="none"/>
              </w:rPr>
              <w:t>受热面密封盒检查</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一般特殊</w:t>
            </w:r>
          </w:p>
          <w:p>
            <w:pPr>
              <w:widowControl/>
              <w:jc w:val="center"/>
              <w:rPr>
                <w:rFonts w:hint="eastAsia" w:ascii="宋体" w:hAnsi="宋体" w:cs="宋体"/>
                <w:color w:val="000000"/>
                <w:sz w:val="20"/>
                <w:szCs w:val="20"/>
                <w:highlight w:val="none"/>
              </w:rPr>
            </w:pP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rPr>
              <w:t>高再后屏密封盒检查及更换，16套，预估焊口640个。</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文件包</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密兴国</w:t>
            </w:r>
          </w:p>
        </w:tc>
      </w:tr>
      <w:tr>
        <w:tblPrEx>
          <w:tblCellMar>
            <w:top w:w="0" w:type="dxa"/>
            <w:left w:w="0" w:type="dxa"/>
            <w:bottom w:w="0" w:type="dxa"/>
            <w:right w:w="0" w:type="dxa"/>
          </w:tblCellMar>
        </w:tblPrEx>
        <w:trPr>
          <w:trHeight w:val="2128"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3</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sz w:val="20"/>
                <w:szCs w:val="20"/>
                <w:highlight w:val="none"/>
              </w:rPr>
            </w:pPr>
            <w:r>
              <w:rPr>
                <w:rFonts w:hint="eastAsia"/>
                <w:sz w:val="20"/>
                <w:szCs w:val="20"/>
                <w:highlight w:val="none"/>
              </w:rPr>
              <w:t>水冷系统（水冷壁及集箱）检修</w:t>
            </w:r>
          </w:p>
          <w:p>
            <w:pPr>
              <w:widowControl/>
              <w:jc w:val="left"/>
              <w:rPr>
                <w:rFonts w:hint="eastAsia" w:ascii="宋体" w:hAnsi="宋体" w:cs="宋体"/>
                <w:color w:val="000000"/>
                <w:sz w:val="20"/>
                <w:szCs w:val="20"/>
                <w:highlight w:val="none"/>
              </w:rPr>
            </w:pP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1</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sz w:val="20"/>
                <w:szCs w:val="20"/>
                <w:highlight w:val="none"/>
              </w:rPr>
            </w:pPr>
            <w:r>
              <w:rPr>
                <w:rFonts w:hint="eastAsia"/>
                <w:sz w:val="20"/>
                <w:szCs w:val="20"/>
                <w:highlight w:val="none"/>
              </w:rPr>
              <w:t>标准</w:t>
            </w:r>
          </w:p>
          <w:p>
            <w:pPr>
              <w:widowControl/>
              <w:jc w:val="center"/>
              <w:rPr>
                <w:rFonts w:hint="eastAsia" w:ascii="宋体" w:hAnsi="宋体" w:cs="宋体"/>
                <w:color w:val="000000"/>
                <w:sz w:val="20"/>
                <w:szCs w:val="20"/>
                <w:highlight w:val="none"/>
                <w:lang w:bidi="ar"/>
              </w:rPr>
            </w:pP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sz w:val="20"/>
                <w:szCs w:val="20"/>
                <w:highlight w:val="none"/>
              </w:rPr>
              <w:t>1.清理水冷壁管表面灰渣；</w:t>
            </w:r>
            <w:r>
              <w:rPr>
                <w:rFonts w:hint="eastAsia"/>
                <w:sz w:val="20"/>
                <w:szCs w:val="20"/>
                <w:highlight w:val="none"/>
              </w:rPr>
              <w:br w:type="textWrapping"/>
            </w:r>
            <w:r>
              <w:rPr>
                <w:rFonts w:hint="eastAsia"/>
                <w:sz w:val="20"/>
                <w:szCs w:val="20"/>
                <w:highlight w:val="none"/>
              </w:rPr>
              <w:t>2.锅炉内部检查：检查管子胀粗、变形和磨损、烟气冲刷和高温腐蚀，水冷壁测厚少量打磨配合，并根据检查情况进行消缺处理；受热面防磨整改。</w:t>
            </w:r>
            <w:r>
              <w:rPr>
                <w:rFonts w:hint="eastAsia"/>
                <w:sz w:val="20"/>
                <w:szCs w:val="20"/>
                <w:highlight w:val="none"/>
              </w:rPr>
              <w:br w:type="textWrapping"/>
            </w:r>
            <w:r>
              <w:rPr>
                <w:rFonts w:hint="eastAsia"/>
                <w:sz w:val="20"/>
                <w:szCs w:val="20"/>
                <w:highlight w:val="none"/>
              </w:rPr>
              <w:t>3.支吊架检查、调整；</w:t>
            </w:r>
            <w:r>
              <w:rPr>
                <w:rFonts w:hint="eastAsia"/>
                <w:sz w:val="20"/>
                <w:szCs w:val="20"/>
                <w:highlight w:val="none"/>
              </w:rPr>
              <w:br w:type="textWrapping"/>
            </w:r>
            <w:r>
              <w:rPr>
                <w:rFonts w:hint="eastAsia"/>
                <w:sz w:val="20"/>
                <w:szCs w:val="20"/>
                <w:highlight w:val="none"/>
              </w:rPr>
              <w:t>4.折焰角支撑检查加固；</w:t>
            </w:r>
            <w:r>
              <w:rPr>
                <w:rFonts w:hint="eastAsia"/>
                <w:sz w:val="20"/>
                <w:szCs w:val="20"/>
                <w:highlight w:val="none"/>
              </w:rPr>
              <w:br w:type="textWrapping"/>
            </w:r>
            <w:r>
              <w:rPr>
                <w:rFonts w:hint="eastAsia"/>
                <w:sz w:val="20"/>
                <w:szCs w:val="20"/>
                <w:highlight w:val="none"/>
              </w:rPr>
              <w:t>5.螺旋管与垂直交界处、吹灰孔鳍片检查处理。</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文件包</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密兴国</w:t>
            </w:r>
          </w:p>
        </w:tc>
      </w:tr>
      <w:tr>
        <w:tblPrEx>
          <w:tblCellMar>
            <w:top w:w="0" w:type="dxa"/>
            <w:left w:w="0" w:type="dxa"/>
            <w:bottom w:w="0" w:type="dxa"/>
            <w:right w:w="0" w:type="dxa"/>
          </w:tblCellMar>
        </w:tblPrEx>
        <w:trPr>
          <w:trHeight w:val="1677"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4</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sz w:val="20"/>
                <w:szCs w:val="20"/>
                <w:highlight w:val="none"/>
              </w:rPr>
            </w:pPr>
            <w:r>
              <w:rPr>
                <w:rFonts w:hint="eastAsia"/>
                <w:sz w:val="20"/>
                <w:szCs w:val="20"/>
                <w:highlight w:val="none"/>
              </w:rPr>
              <w:t>省煤器检修</w:t>
            </w:r>
          </w:p>
          <w:p>
            <w:pPr>
              <w:widowControl/>
              <w:jc w:val="left"/>
              <w:rPr>
                <w:rFonts w:hint="eastAsia" w:ascii="宋体" w:hAnsi="宋体" w:cs="宋体"/>
                <w:color w:val="000000"/>
                <w:sz w:val="20"/>
                <w:szCs w:val="20"/>
                <w:highlight w:val="none"/>
              </w:rPr>
            </w:pP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1</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标准</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sz w:val="20"/>
                <w:szCs w:val="20"/>
                <w:highlight w:val="none"/>
              </w:rPr>
            </w:pPr>
            <w:r>
              <w:rPr>
                <w:rFonts w:hint="eastAsia"/>
                <w:sz w:val="20"/>
                <w:szCs w:val="20"/>
                <w:highlight w:val="none"/>
              </w:rPr>
              <w:t>1.清理省煤器管表面积灰；</w:t>
            </w:r>
            <w:r>
              <w:rPr>
                <w:rFonts w:hint="eastAsia"/>
                <w:sz w:val="20"/>
                <w:szCs w:val="20"/>
                <w:highlight w:val="none"/>
              </w:rPr>
              <w:br w:type="textWrapping"/>
            </w:r>
            <w:r>
              <w:rPr>
                <w:rFonts w:hint="eastAsia"/>
                <w:sz w:val="20"/>
                <w:szCs w:val="20"/>
                <w:highlight w:val="none"/>
              </w:rPr>
              <w:t>2.配合锅炉内部检查：检查管子磨损、胀粗、弯曲、腐蚀、变形情况，测量壁厚；并根据检查情况进行消缺处理；矫正管排；悬吊管焊口检查；受热面防磨整改。</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文件包</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密兴国</w:t>
            </w:r>
          </w:p>
        </w:tc>
      </w:tr>
      <w:tr>
        <w:tblPrEx>
          <w:tblCellMar>
            <w:top w:w="0" w:type="dxa"/>
            <w:left w:w="0" w:type="dxa"/>
            <w:bottom w:w="0" w:type="dxa"/>
            <w:right w:w="0" w:type="dxa"/>
          </w:tblCellMar>
        </w:tblPrEx>
        <w:trPr>
          <w:trHeight w:val="1677"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5</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sz w:val="20"/>
                <w:szCs w:val="20"/>
                <w:highlight w:val="none"/>
              </w:rPr>
            </w:pPr>
            <w:r>
              <w:rPr>
                <w:rFonts w:hint="eastAsia"/>
                <w:sz w:val="20"/>
                <w:szCs w:val="20"/>
                <w:highlight w:val="none"/>
              </w:rPr>
              <w:t>过热器系统检修</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1</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标准</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sz w:val="20"/>
                <w:szCs w:val="20"/>
                <w:highlight w:val="none"/>
              </w:rPr>
            </w:pPr>
            <w:r>
              <w:rPr>
                <w:rFonts w:hint="eastAsia"/>
                <w:sz w:val="20"/>
                <w:szCs w:val="20"/>
                <w:highlight w:val="none"/>
              </w:rPr>
              <w:t>1.清理过热器管表面积灰；</w:t>
            </w:r>
            <w:r>
              <w:rPr>
                <w:rFonts w:hint="eastAsia"/>
                <w:sz w:val="20"/>
                <w:szCs w:val="20"/>
                <w:highlight w:val="none"/>
              </w:rPr>
              <w:br w:type="textWrapping"/>
            </w:r>
            <w:r>
              <w:rPr>
                <w:rFonts w:hint="eastAsia"/>
                <w:sz w:val="20"/>
                <w:szCs w:val="20"/>
                <w:highlight w:val="none"/>
              </w:rPr>
              <w:t>2.配合锅炉内部检查：检查管子磨损、胀粗、弯曲、腐蚀、变形情况，测量壁厚及蠕胀；并根据检查情况进行消缺处理；矫正管排，受热面防磨整改。</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文件包</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密兴国</w:t>
            </w:r>
          </w:p>
        </w:tc>
      </w:tr>
      <w:tr>
        <w:tblPrEx>
          <w:tblCellMar>
            <w:top w:w="0" w:type="dxa"/>
            <w:left w:w="0" w:type="dxa"/>
            <w:bottom w:w="0" w:type="dxa"/>
            <w:right w:w="0" w:type="dxa"/>
          </w:tblCellMar>
        </w:tblPrEx>
        <w:trPr>
          <w:trHeight w:val="1677"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6</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sz w:val="20"/>
                <w:szCs w:val="20"/>
                <w:highlight w:val="none"/>
              </w:rPr>
            </w:pPr>
            <w:r>
              <w:rPr>
                <w:rFonts w:hint="eastAsia"/>
                <w:sz w:val="20"/>
                <w:szCs w:val="20"/>
                <w:highlight w:val="none"/>
              </w:rPr>
              <w:t>再热器系统检修</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1</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标准</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sz w:val="20"/>
                <w:szCs w:val="20"/>
                <w:highlight w:val="none"/>
              </w:rPr>
            </w:pPr>
            <w:r>
              <w:rPr>
                <w:rFonts w:hint="eastAsia"/>
                <w:sz w:val="20"/>
                <w:szCs w:val="20"/>
                <w:highlight w:val="none"/>
              </w:rPr>
              <w:t>1.清理再热器管表面积灰；</w:t>
            </w:r>
            <w:r>
              <w:rPr>
                <w:rFonts w:hint="eastAsia"/>
                <w:sz w:val="20"/>
                <w:szCs w:val="20"/>
                <w:highlight w:val="none"/>
              </w:rPr>
              <w:br w:type="textWrapping"/>
            </w:r>
            <w:r>
              <w:rPr>
                <w:rFonts w:hint="eastAsia"/>
                <w:sz w:val="20"/>
                <w:szCs w:val="20"/>
                <w:highlight w:val="none"/>
              </w:rPr>
              <w:t>2.配合锅炉内部检查：检查管子磨损、胀粗、弯曲、腐蚀、变形情况，测量壁厚及蠕胀；并根据检查情况进行消缺处理；矫正管排，受热面防磨整改。</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文件包</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密兴国</w:t>
            </w:r>
          </w:p>
        </w:tc>
      </w:tr>
      <w:tr>
        <w:tblPrEx>
          <w:tblCellMar>
            <w:top w:w="0" w:type="dxa"/>
            <w:left w:w="0" w:type="dxa"/>
            <w:bottom w:w="0" w:type="dxa"/>
            <w:right w:w="0" w:type="dxa"/>
          </w:tblCellMar>
        </w:tblPrEx>
        <w:trPr>
          <w:trHeight w:val="1677"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7</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sz w:val="20"/>
                <w:szCs w:val="20"/>
                <w:highlight w:val="none"/>
              </w:rPr>
            </w:pPr>
            <w:r>
              <w:rPr>
                <w:rFonts w:hint="eastAsia"/>
                <w:sz w:val="20"/>
                <w:szCs w:val="20"/>
                <w:highlight w:val="none"/>
              </w:rPr>
              <w:t>水压试验</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1</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标准</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sz w:val="20"/>
                <w:szCs w:val="20"/>
                <w:highlight w:val="none"/>
              </w:rPr>
            </w:pPr>
            <w:r>
              <w:rPr>
                <w:rFonts w:hint="eastAsia"/>
                <w:sz w:val="20"/>
                <w:szCs w:val="20"/>
                <w:highlight w:val="none"/>
              </w:rPr>
              <w:t>水压试验试验配合及试验后消缺。</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方案</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密兴国</w:t>
            </w:r>
          </w:p>
        </w:tc>
      </w:tr>
      <w:tr>
        <w:tblPrEx>
          <w:tblCellMar>
            <w:top w:w="0" w:type="dxa"/>
            <w:left w:w="0" w:type="dxa"/>
            <w:bottom w:w="0" w:type="dxa"/>
            <w:right w:w="0" w:type="dxa"/>
          </w:tblCellMar>
        </w:tblPrEx>
        <w:trPr>
          <w:trHeight w:val="72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8</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锅炉密封检修</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标准</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1.检修观火门、人孔门、膨胀节，更换部分密封盘根、消除漏风；</w:t>
            </w:r>
            <w:r>
              <w:rPr>
                <w:rFonts w:hint="eastAsia"/>
                <w:color w:val="000000"/>
                <w:sz w:val="20"/>
                <w:szCs w:val="20"/>
                <w:highlight w:val="none"/>
              </w:rPr>
              <w:br w:type="textWrapping"/>
            </w:r>
            <w:r>
              <w:rPr>
                <w:rFonts w:hint="eastAsia"/>
                <w:color w:val="000000"/>
                <w:sz w:val="20"/>
                <w:szCs w:val="20"/>
                <w:highlight w:val="none"/>
              </w:rPr>
              <w:t>2.炉顶小室清灰、消漏处理。</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密兴国</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9</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省煤器灰斗检修</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标准</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1.检查灰斗是否漏灰、变形和脱焊并进行处理等；2.灰斗出口烟道导流板检查及处理。3、灰斗清灰。</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密兴国</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10</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膨胀指示器检修</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标准</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各膨胀指示器原始数据记录，并检查、调整、修复或更换。</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密兴国</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11</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受热面取样、换管</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一般特殊</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1、受热面换管（预估200根）</w:t>
            </w:r>
            <w:r>
              <w:rPr>
                <w:rFonts w:hint="eastAsia"/>
                <w:color w:val="000000"/>
                <w:sz w:val="20"/>
                <w:szCs w:val="20"/>
                <w:highlight w:val="none"/>
              </w:rPr>
              <w:br w:type="textWrapping"/>
            </w:r>
            <w:r>
              <w:rPr>
                <w:rFonts w:hint="eastAsia"/>
                <w:color w:val="000000"/>
                <w:sz w:val="20"/>
                <w:szCs w:val="20"/>
                <w:highlight w:val="none"/>
              </w:rPr>
              <w:t>2、受热面氧化皮割管清理（预估50根）3、取样割管(预估热处理20根，不热处理20根)</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密兴国</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12</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集箱手孔检查</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8</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一般特殊</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集箱手孔割开，内窥检查（预估8个）</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密兴国</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13</w:t>
            </w:r>
          </w:p>
        </w:tc>
        <w:tc>
          <w:tcPr>
            <w:tcW w:w="706" w:type="dxa"/>
            <w:vMerge w:val="restar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炉外管道检修</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一般特殊</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炉外管道检查配合、消缺，更换预估200米。</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密兴国</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14</w:t>
            </w:r>
          </w:p>
        </w:tc>
        <w:tc>
          <w:tcPr>
            <w:tcW w:w="706" w:type="dxa"/>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left"/>
              <w:rPr>
                <w:rFonts w:hint="eastAsia" w:ascii="宋体" w:hAnsi="宋体" w:cs="宋体"/>
                <w:color w:val="000000"/>
                <w:sz w:val="20"/>
                <w:szCs w:val="20"/>
                <w:highlight w:val="none"/>
              </w:rPr>
            </w:pP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一般特殊</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炉外管道一次门前管道焊缝全面排查配合</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方案</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陈昶旭</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15</w:t>
            </w:r>
          </w:p>
        </w:tc>
        <w:tc>
          <w:tcPr>
            <w:tcW w:w="706" w:type="dxa"/>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left"/>
              <w:rPr>
                <w:rFonts w:hint="eastAsia" w:ascii="宋体" w:hAnsi="宋体" w:cs="宋体"/>
                <w:color w:val="000000"/>
                <w:sz w:val="20"/>
                <w:szCs w:val="20"/>
                <w:highlight w:val="none"/>
              </w:rPr>
            </w:pP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一般特殊</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eastAsia="宋体"/>
                <w:color w:val="000000"/>
                <w:sz w:val="20"/>
                <w:szCs w:val="20"/>
                <w:highlight w:val="none"/>
                <w:lang w:eastAsia="zh-CN"/>
              </w:rPr>
            </w:pPr>
            <w:r>
              <w:rPr>
                <w:rFonts w:hint="eastAsia"/>
                <w:color w:val="000000"/>
                <w:sz w:val="20"/>
                <w:szCs w:val="20"/>
                <w:highlight w:val="none"/>
              </w:rPr>
              <w:t>炉外疏水管更换</w:t>
            </w:r>
            <w:r>
              <w:rPr>
                <w:rFonts w:hint="eastAsia"/>
                <w:color w:val="000000"/>
                <w:sz w:val="20"/>
                <w:szCs w:val="20"/>
                <w:highlight w:val="none"/>
                <w:lang w:eastAsia="zh-CN"/>
              </w:rPr>
              <w:t>（</w:t>
            </w:r>
            <w:r>
              <w:rPr>
                <w:rFonts w:hint="eastAsia"/>
                <w:color w:val="000000"/>
                <w:sz w:val="20"/>
                <w:szCs w:val="20"/>
                <w:highlight w:val="none"/>
                <w:lang w:val="en-US" w:eastAsia="zh-CN"/>
              </w:rPr>
              <w:t>预估2400米</w:t>
            </w:r>
            <w:r>
              <w:rPr>
                <w:rFonts w:hint="eastAsia"/>
                <w:color w:val="000000"/>
                <w:sz w:val="20"/>
                <w:szCs w:val="20"/>
                <w:highlight w:val="none"/>
                <w:lang w:eastAsia="zh-CN"/>
              </w:rPr>
              <w:t>）</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密兴国</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16</w:t>
            </w:r>
          </w:p>
        </w:tc>
        <w:tc>
          <w:tcPr>
            <w:tcW w:w="706" w:type="dxa"/>
            <w:vMerge w:val="restar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金属监督项目的配合工作</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标准</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金属监督项目的配合工作（技术研究院负责的项目的打磨、全部消缺）</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陈昶旭</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17</w:t>
            </w:r>
          </w:p>
        </w:tc>
        <w:tc>
          <w:tcPr>
            <w:tcW w:w="706" w:type="dxa"/>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left"/>
              <w:rPr>
                <w:rFonts w:hint="eastAsia" w:ascii="宋体" w:hAnsi="宋体" w:cs="宋体"/>
                <w:color w:val="000000"/>
                <w:sz w:val="20"/>
                <w:szCs w:val="20"/>
                <w:highlight w:val="none"/>
              </w:rPr>
            </w:pP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6</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标准</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割喷嘴检查喷水减温器：抽查一、二级过热器减温器各1个。三级过热器减温器、再热器减温器全查（共4个）</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陈昶旭</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18</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炉内升降平台搭设</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一般特殊</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炉内升降平台搭拆</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方案</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密兴国</w:t>
            </w:r>
          </w:p>
        </w:tc>
      </w:tr>
      <w:tr>
        <w:tblPrEx>
          <w:tblCellMar>
            <w:top w:w="0" w:type="dxa"/>
            <w:left w:w="0" w:type="dxa"/>
            <w:bottom w:w="0" w:type="dxa"/>
            <w:right w:w="0" w:type="dxa"/>
          </w:tblCellMar>
        </w:tblPrEx>
        <w:trPr>
          <w:trHeight w:val="24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19</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炉水循环泵拆装</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重大特殊</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炉水循环泵拆装</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徐云</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20</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汽水系统阀门</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一般特殊</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阀门更换及热处理（预估30个）</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徐云</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21</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汽水分离器加装疏水旁路系统</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技改</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汽水分离器加装疏水旁路系统</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徐云</w:t>
            </w:r>
          </w:p>
        </w:tc>
      </w:tr>
      <w:tr>
        <w:tblPrEx>
          <w:tblCellMar>
            <w:top w:w="0" w:type="dxa"/>
            <w:left w:w="0" w:type="dxa"/>
            <w:bottom w:w="0" w:type="dxa"/>
            <w:right w:w="0" w:type="dxa"/>
          </w:tblCellMar>
        </w:tblPrEx>
        <w:trPr>
          <w:trHeight w:val="24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22</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炉底渣井</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标准</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 xml:space="preserve">1.渣井底板修复部分更换；2.扎钉焊接。     </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文件包</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徐云</w:t>
            </w:r>
          </w:p>
        </w:tc>
      </w:tr>
      <w:tr>
        <w:tblPrEx>
          <w:tblCellMar>
            <w:top w:w="0" w:type="dxa"/>
            <w:left w:w="0" w:type="dxa"/>
            <w:bottom w:w="0" w:type="dxa"/>
            <w:right w:w="0" w:type="dxa"/>
          </w:tblCellMar>
        </w:tblPrEx>
        <w:trPr>
          <w:trHeight w:val="72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23</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油系统检查消缺</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12</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标准</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1.油枪清洗及雾化片检查或更换；</w:t>
            </w:r>
            <w:r>
              <w:rPr>
                <w:rFonts w:hint="eastAsia"/>
                <w:color w:val="000000"/>
                <w:sz w:val="20"/>
                <w:szCs w:val="20"/>
                <w:highlight w:val="none"/>
              </w:rPr>
              <w:br w:type="textWrapping"/>
            </w:r>
            <w:r>
              <w:rPr>
                <w:rFonts w:hint="eastAsia"/>
                <w:color w:val="000000"/>
                <w:sz w:val="20"/>
                <w:szCs w:val="20"/>
                <w:highlight w:val="none"/>
              </w:rPr>
              <w:t>2.燃油滤网清理；</w:t>
            </w:r>
            <w:r>
              <w:rPr>
                <w:rFonts w:hint="eastAsia"/>
                <w:color w:val="000000"/>
                <w:sz w:val="20"/>
                <w:szCs w:val="20"/>
                <w:highlight w:val="none"/>
              </w:rPr>
              <w:br w:type="textWrapping"/>
            </w:r>
            <w:r>
              <w:rPr>
                <w:rFonts w:hint="eastAsia"/>
                <w:color w:val="000000"/>
                <w:sz w:val="20"/>
                <w:szCs w:val="20"/>
                <w:highlight w:val="none"/>
              </w:rPr>
              <w:t>3.油枪软套管检修或更换。</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李金龙</w:t>
            </w:r>
          </w:p>
        </w:tc>
      </w:tr>
      <w:tr>
        <w:tblPrEx>
          <w:tblCellMar>
            <w:top w:w="0" w:type="dxa"/>
            <w:left w:w="0" w:type="dxa"/>
            <w:bottom w:w="0" w:type="dxa"/>
            <w:right w:w="0" w:type="dxa"/>
          </w:tblCellMar>
        </w:tblPrEx>
        <w:trPr>
          <w:trHeight w:val="120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24</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等离子系统解体检修</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4</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标准</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1.等离子点火器解体检修，阴、阳极头、压弧环、瓷环、冷却水导管解体检修或更换；</w:t>
            </w:r>
            <w:r>
              <w:rPr>
                <w:rFonts w:hint="eastAsia"/>
                <w:color w:val="000000"/>
                <w:sz w:val="20"/>
                <w:szCs w:val="20"/>
                <w:highlight w:val="none"/>
              </w:rPr>
              <w:br w:type="textWrapping"/>
            </w:r>
            <w:r>
              <w:rPr>
                <w:rFonts w:hint="eastAsia"/>
                <w:color w:val="000000"/>
                <w:sz w:val="20"/>
                <w:szCs w:val="20"/>
                <w:highlight w:val="none"/>
              </w:rPr>
              <w:t>2.冷却水及载体风系统解体检修；</w:t>
            </w:r>
            <w:r>
              <w:rPr>
                <w:rFonts w:hint="eastAsia"/>
                <w:color w:val="000000"/>
                <w:sz w:val="20"/>
                <w:szCs w:val="20"/>
                <w:highlight w:val="none"/>
              </w:rPr>
              <w:br w:type="textWrapping"/>
            </w:r>
            <w:r>
              <w:rPr>
                <w:rFonts w:hint="eastAsia"/>
                <w:color w:val="000000"/>
                <w:sz w:val="20"/>
                <w:szCs w:val="20"/>
                <w:highlight w:val="none"/>
              </w:rPr>
              <w:t>3.等离子冷却水泵及冷却水管路检修、滤网清理；</w:t>
            </w:r>
            <w:r>
              <w:rPr>
                <w:rFonts w:hint="eastAsia"/>
                <w:color w:val="000000"/>
                <w:sz w:val="20"/>
                <w:szCs w:val="20"/>
                <w:highlight w:val="none"/>
              </w:rPr>
              <w:br w:type="textWrapping"/>
            </w:r>
            <w:r>
              <w:rPr>
                <w:rFonts w:hint="eastAsia"/>
                <w:color w:val="000000"/>
                <w:sz w:val="20"/>
                <w:szCs w:val="20"/>
                <w:highlight w:val="none"/>
              </w:rPr>
              <w:t>4.载体风管路滤网清理。</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李金龙</w:t>
            </w:r>
          </w:p>
        </w:tc>
      </w:tr>
      <w:tr>
        <w:tblPrEx>
          <w:tblCellMar>
            <w:top w:w="0" w:type="dxa"/>
            <w:left w:w="0" w:type="dxa"/>
            <w:bottom w:w="0" w:type="dxa"/>
            <w:right w:w="0" w:type="dxa"/>
          </w:tblCellMar>
        </w:tblPrEx>
        <w:trPr>
          <w:trHeight w:val="360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25</w:t>
            </w:r>
          </w:p>
        </w:tc>
        <w:tc>
          <w:tcPr>
            <w:tcW w:w="706" w:type="dxa"/>
            <w:vMerge w:val="restart"/>
            <w:tcBorders>
              <w:top w:val="single" w:color="000000" w:sz="4" w:space="0"/>
              <w:left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燃烧系统检修</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24</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标准</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1.二次风箱及二次风喷嘴查漏修复，膨胀节检查修补；</w:t>
            </w:r>
          </w:p>
          <w:p>
            <w:pPr>
              <w:widowControl/>
              <w:jc w:val="left"/>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2.检修燃烧器，一次喷嘴及隔板修复或更换；喷嘴、导向器、钝体磨损、变形等情况检查修补；燃烧器进口弯头拆除，检查燃烧器喷嘴组件，检查修复中心内筒和一次风管耐磨部件；喷嘴角度测量；</w:t>
            </w:r>
          </w:p>
          <w:p>
            <w:pPr>
              <w:widowControl/>
              <w:jc w:val="left"/>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3.燃烧器粉管及内部装置磨损情况检查；燃烧器周围结焦清理；</w:t>
            </w:r>
          </w:p>
          <w:p>
            <w:pPr>
              <w:widowControl/>
              <w:jc w:val="left"/>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4.二次风、燃尽风调节装置、燃尽风喷嘴检查、修复、校松调整及间隙测量；风门调试；</w:t>
            </w:r>
          </w:p>
          <w:p>
            <w:pPr>
              <w:widowControl/>
              <w:jc w:val="left"/>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5.风箱内部支撑检查修复，清灰处理；</w:t>
            </w:r>
          </w:p>
          <w:p>
            <w:pPr>
              <w:widowControl/>
              <w:jc w:val="left"/>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6.风箱及其人孔门消漏；看火孔镜片完善、清理；</w:t>
            </w:r>
          </w:p>
          <w:p>
            <w:pPr>
              <w:widowControl/>
              <w:jc w:val="left"/>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7.检修燃烧器一、二次风挡板、小风门及其调节机构校松及开度调整；</w:t>
            </w:r>
          </w:p>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8.检修后设备、现场清理。</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李金龙</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26</w:t>
            </w:r>
          </w:p>
        </w:tc>
        <w:tc>
          <w:tcPr>
            <w:tcW w:w="706" w:type="dxa"/>
            <w:vMerge w:val="continue"/>
            <w:tcBorders>
              <w:left w:val="single" w:color="000000" w:sz="4" w:space="0"/>
              <w:right w:val="single" w:color="000000" w:sz="4" w:space="0"/>
            </w:tcBorders>
            <w:tcMar>
              <w:top w:w="15" w:type="dxa"/>
              <w:left w:w="15" w:type="dxa"/>
              <w:right w:w="15" w:type="dxa"/>
            </w:tcMar>
            <w:vAlign w:val="center"/>
          </w:tcPr>
          <w:p>
            <w:pPr>
              <w:jc w:val="left"/>
              <w:rPr>
                <w:rFonts w:hint="eastAsia" w:ascii="宋体" w:hAnsi="宋体" w:cs="宋体"/>
                <w:color w:val="000000"/>
                <w:sz w:val="20"/>
                <w:szCs w:val="20"/>
                <w:highlight w:val="none"/>
              </w:rPr>
            </w:pP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一般特殊</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1.更换等离子燃烧器1套；</w:t>
            </w:r>
            <w:r>
              <w:rPr>
                <w:rFonts w:hint="eastAsia"/>
                <w:color w:val="000000"/>
                <w:sz w:val="20"/>
                <w:szCs w:val="20"/>
                <w:highlight w:val="none"/>
              </w:rPr>
              <w:br w:type="textWrapping"/>
            </w:r>
            <w:r>
              <w:rPr>
                <w:rFonts w:hint="eastAsia"/>
                <w:color w:val="000000"/>
                <w:sz w:val="20"/>
                <w:szCs w:val="20"/>
                <w:highlight w:val="none"/>
              </w:rPr>
              <w:t>2.更换一次风室5套（预估）；</w:t>
            </w:r>
            <w:r>
              <w:rPr>
                <w:rFonts w:hint="eastAsia"/>
                <w:color w:val="000000"/>
                <w:sz w:val="20"/>
                <w:szCs w:val="20"/>
                <w:highlight w:val="none"/>
              </w:rPr>
              <w:br w:type="textWrapping"/>
            </w:r>
            <w:r>
              <w:rPr>
                <w:rFonts w:hint="eastAsia"/>
                <w:color w:val="000000"/>
                <w:sz w:val="20"/>
                <w:szCs w:val="20"/>
                <w:highlight w:val="none"/>
              </w:rPr>
              <w:t>3.sofa喷口更换8个</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李金龙</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27</w:t>
            </w:r>
          </w:p>
        </w:tc>
        <w:tc>
          <w:tcPr>
            <w:tcW w:w="706" w:type="dxa"/>
            <w:vMerge w:val="continue"/>
            <w:tcBorders>
              <w:left w:val="single" w:color="000000" w:sz="4" w:space="0"/>
              <w:bottom w:val="single" w:color="000000" w:sz="4" w:space="0"/>
              <w:right w:val="single" w:color="000000" w:sz="4" w:space="0"/>
            </w:tcBorders>
            <w:tcMar>
              <w:top w:w="15" w:type="dxa"/>
              <w:left w:w="15" w:type="dxa"/>
              <w:right w:w="15" w:type="dxa"/>
            </w:tcMar>
            <w:vAlign w:val="center"/>
          </w:tcPr>
          <w:p>
            <w:pPr>
              <w:jc w:val="left"/>
              <w:rPr>
                <w:rFonts w:hint="eastAsia" w:ascii="宋体" w:hAnsi="宋体" w:cs="宋体"/>
                <w:color w:val="000000"/>
                <w:sz w:val="20"/>
                <w:szCs w:val="20"/>
                <w:highlight w:val="none"/>
              </w:rPr>
            </w:pP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一般特殊</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燃烧器及燃尽风电动头执行机构加装。</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李金龙</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28</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吹灰蒸汽管道更换</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一般特殊</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吹灰蒸汽管道更换(预估200米)</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李金龙</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29</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声波吹灰器检查及调试</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标准</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炉本及脱硝声波吹灰器检查消缺及单体调试，声波吹灰器更换，预估10台。</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李金龙</w:t>
            </w:r>
          </w:p>
        </w:tc>
      </w:tr>
      <w:tr>
        <w:tblPrEx>
          <w:tblCellMar>
            <w:top w:w="0" w:type="dxa"/>
            <w:left w:w="0" w:type="dxa"/>
            <w:bottom w:w="0" w:type="dxa"/>
            <w:right w:w="0" w:type="dxa"/>
          </w:tblCellMar>
        </w:tblPrEx>
        <w:trPr>
          <w:trHeight w:val="120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30</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SCR检查</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2</w:t>
            </w: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标准</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1.SCR区域及入口段清灰；</w:t>
            </w:r>
            <w:r>
              <w:rPr>
                <w:rFonts w:hint="eastAsia"/>
                <w:color w:val="000000"/>
                <w:sz w:val="20"/>
                <w:szCs w:val="20"/>
                <w:highlight w:val="none"/>
              </w:rPr>
              <w:br w:type="textWrapping"/>
            </w:r>
            <w:r>
              <w:rPr>
                <w:rFonts w:hint="eastAsia"/>
                <w:color w:val="000000"/>
                <w:sz w:val="20"/>
                <w:szCs w:val="20"/>
                <w:highlight w:val="none"/>
              </w:rPr>
              <w:t>2.脱硝反应器膨胀节检查消漏；</w:t>
            </w:r>
            <w:r>
              <w:rPr>
                <w:rFonts w:hint="eastAsia"/>
                <w:color w:val="000000"/>
                <w:sz w:val="20"/>
                <w:szCs w:val="20"/>
                <w:highlight w:val="none"/>
              </w:rPr>
              <w:br w:type="textWrapping"/>
            </w:r>
            <w:r>
              <w:rPr>
                <w:rFonts w:hint="eastAsia"/>
                <w:color w:val="000000"/>
                <w:sz w:val="20"/>
                <w:szCs w:val="20"/>
                <w:highlight w:val="none"/>
              </w:rPr>
              <w:t>3.SCR喷氨管路消缺疏通，检查清理氨喷嘴；SCR烟道消缺；喷氨管路橡胶膨胀节检查</w:t>
            </w:r>
            <w:r>
              <w:rPr>
                <w:rFonts w:hint="eastAsia"/>
                <w:color w:val="000000"/>
                <w:sz w:val="20"/>
                <w:szCs w:val="20"/>
                <w:highlight w:val="none"/>
              </w:rPr>
              <w:br w:type="textWrapping"/>
            </w:r>
            <w:r>
              <w:rPr>
                <w:rFonts w:hint="eastAsia"/>
                <w:color w:val="000000"/>
                <w:sz w:val="20"/>
                <w:szCs w:val="20"/>
                <w:highlight w:val="none"/>
              </w:rPr>
              <w:t>4.模块及防护网检查消缺。</w:t>
            </w:r>
            <w:r>
              <w:rPr>
                <w:rFonts w:hint="eastAsia"/>
                <w:color w:val="000000"/>
                <w:sz w:val="20"/>
                <w:szCs w:val="20"/>
                <w:highlight w:val="none"/>
              </w:rPr>
              <w:br w:type="textWrapping"/>
            </w:r>
            <w:r>
              <w:rPr>
                <w:rFonts w:hint="eastAsia"/>
                <w:color w:val="000000"/>
                <w:sz w:val="20"/>
                <w:szCs w:val="20"/>
                <w:highlight w:val="none"/>
              </w:rPr>
              <w:t>5.第二、三层催化剂取样。</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李金龙</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31</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催化剂更换</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p>
        </w:tc>
        <w:tc>
          <w:tcPr>
            <w:tcW w:w="3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重大特殊</w:t>
            </w:r>
          </w:p>
        </w:tc>
        <w:tc>
          <w:tcPr>
            <w:tcW w:w="617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SCR第一层催化剂宽温再生</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方案</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lang w:bidi="ar"/>
              </w:rPr>
              <w:t>李金龙</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32</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吸收塔A、B、C、D、E浆液再循环泵检修</w:t>
            </w:r>
          </w:p>
        </w:tc>
        <w:tc>
          <w:tcPr>
            <w:tcW w:w="233"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r>
              <w:rPr>
                <w:rFonts w:hint="eastAsia"/>
                <w:color w:val="000000"/>
                <w:sz w:val="20"/>
                <w:szCs w:val="20"/>
                <w:highlight w:val="none"/>
              </w:rPr>
              <w:t>5</w:t>
            </w:r>
          </w:p>
        </w:tc>
        <w:tc>
          <w:tcPr>
            <w:tcW w:w="306" w:type="dxa"/>
            <w:tcBorders>
              <w:top w:val="single" w:color="000000" w:sz="4" w:space="0"/>
              <w:left w:val="nil"/>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标准</w:t>
            </w:r>
          </w:p>
        </w:tc>
        <w:tc>
          <w:tcPr>
            <w:tcW w:w="6173" w:type="dxa"/>
            <w:tcBorders>
              <w:top w:val="single" w:color="000000" w:sz="4" w:space="0"/>
              <w:left w:val="nil"/>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五台吸收塔再循环泵泵体解体检修；叶轮检查、前后防磨板等易损件更换、壳体检查；叶轮间隙调整；轴承箱、减速箱润滑油更换；机封水管及冷却水管疏通更换。</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文件包</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付达</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33</w:t>
            </w:r>
          </w:p>
        </w:tc>
        <w:tc>
          <w:tcPr>
            <w:tcW w:w="706"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吸收塔A、B、C、D搅拌器检修</w:t>
            </w:r>
          </w:p>
        </w:tc>
        <w:tc>
          <w:tcPr>
            <w:tcW w:w="233"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r>
              <w:rPr>
                <w:rFonts w:hint="eastAsia"/>
                <w:color w:val="000000"/>
                <w:sz w:val="20"/>
                <w:szCs w:val="20"/>
                <w:highlight w:val="none"/>
              </w:rPr>
              <w:t>4</w:t>
            </w:r>
          </w:p>
        </w:tc>
        <w:tc>
          <w:tcPr>
            <w:tcW w:w="306" w:type="dxa"/>
            <w:tcBorders>
              <w:top w:val="nil"/>
              <w:left w:val="nil"/>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标准</w:t>
            </w:r>
          </w:p>
        </w:tc>
        <w:tc>
          <w:tcPr>
            <w:tcW w:w="6173" w:type="dxa"/>
            <w:tcBorders>
              <w:top w:val="nil"/>
              <w:left w:val="nil"/>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四台搅拌器减速机检查（配合减速机返厂检修），油脂更换；机械密封更换、主轴检查视情况检修更换。</w:t>
            </w:r>
          </w:p>
        </w:tc>
        <w:tc>
          <w:tcPr>
            <w:tcW w:w="405"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检修卡</w:t>
            </w:r>
          </w:p>
        </w:tc>
        <w:tc>
          <w:tcPr>
            <w:tcW w:w="281"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付达</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34</w:t>
            </w:r>
          </w:p>
        </w:tc>
        <w:tc>
          <w:tcPr>
            <w:tcW w:w="706"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FGD烟道检修</w:t>
            </w:r>
          </w:p>
        </w:tc>
        <w:tc>
          <w:tcPr>
            <w:tcW w:w="233"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r>
              <w:rPr>
                <w:rFonts w:hint="eastAsia"/>
                <w:color w:val="000000"/>
                <w:sz w:val="20"/>
                <w:szCs w:val="20"/>
                <w:highlight w:val="none"/>
              </w:rPr>
              <w:t>1</w:t>
            </w:r>
          </w:p>
        </w:tc>
        <w:tc>
          <w:tcPr>
            <w:tcW w:w="306" w:type="dxa"/>
            <w:tcBorders>
              <w:top w:val="nil"/>
              <w:left w:val="nil"/>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标准</w:t>
            </w:r>
          </w:p>
        </w:tc>
        <w:tc>
          <w:tcPr>
            <w:tcW w:w="6173" w:type="dxa"/>
            <w:tcBorders>
              <w:top w:val="nil"/>
              <w:left w:val="nil"/>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烟道内部疏水槽、导流板清理；检查烟道并配合防腐工作，烟道织物补偿器更换（预估100米）；烟道漏点检查及修复，约400㎡。</w:t>
            </w:r>
          </w:p>
        </w:tc>
        <w:tc>
          <w:tcPr>
            <w:tcW w:w="405"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检修卡</w:t>
            </w:r>
          </w:p>
        </w:tc>
        <w:tc>
          <w:tcPr>
            <w:tcW w:w="281"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付达</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35</w:t>
            </w:r>
          </w:p>
        </w:tc>
        <w:tc>
          <w:tcPr>
            <w:tcW w:w="706"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吸收塔检修</w:t>
            </w:r>
          </w:p>
        </w:tc>
        <w:tc>
          <w:tcPr>
            <w:tcW w:w="233"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r>
              <w:rPr>
                <w:rFonts w:hint="eastAsia"/>
                <w:color w:val="000000"/>
                <w:sz w:val="20"/>
                <w:szCs w:val="20"/>
                <w:highlight w:val="none"/>
              </w:rPr>
              <w:t>1</w:t>
            </w:r>
          </w:p>
        </w:tc>
        <w:tc>
          <w:tcPr>
            <w:tcW w:w="306" w:type="dxa"/>
            <w:tcBorders>
              <w:top w:val="nil"/>
              <w:left w:val="nil"/>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标准</w:t>
            </w:r>
          </w:p>
        </w:tc>
        <w:tc>
          <w:tcPr>
            <w:tcW w:w="6173" w:type="dxa"/>
            <w:tcBorders>
              <w:top w:val="nil"/>
              <w:left w:val="nil"/>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吸收塔内部清理；吸收塔喷淋层喷嘴检查及疏通；喷淋母管检查；托盘检修更换；吸收塔内部防腐检查；除雾器及冲洗水管路、氧化风管、相关的阀门检查及处理。</w:t>
            </w:r>
          </w:p>
        </w:tc>
        <w:tc>
          <w:tcPr>
            <w:tcW w:w="405"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检修卡</w:t>
            </w:r>
          </w:p>
        </w:tc>
        <w:tc>
          <w:tcPr>
            <w:tcW w:w="281"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付达</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36</w:t>
            </w:r>
          </w:p>
        </w:tc>
        <w:tc>
          <w:tcPr>
            <w:tcW w:w="706"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塔外浆液箱检修</w:t>
            </w:r>
          </w:p>
        </w:tc>
        <w:tc>
          <w:tcPr>
            <w:tcW w:w="233"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r>
              <w:rPr>
                <w:rFonts w:hint="eastAsia"/>
                <w:color w:val="000000"/>
                <w:sz w:val="20"/>
                <w:szCs w:val="20"/>
                <w:highlight w:val="none"/>
              </w:rPr>
              <w:t>1</w:t>
            </w:r>
          </w:p>
        </w:tc>
        <w:tc>
          <w:tcPr>
            <w:tcW w:w="306" w:type="dxa"/>
            <w:tcBorders>
              <w:top w:val="nil"/>
              <w:left w:val="nil"/>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标准</w:t>
            </w:r>
          </w:p>
        </w:tc>
        <w:tc>
          <w:tcPr>
            <w:tcW w:w="6173" w:type="dxa"/>
            <w:tcBorders>
              <w:top w:val="nil"/>
              <w:left w:val="nil"/>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三台搅拌器主轴及机械密封视情况更换检修；塔内衬胶检查及修补；塔外浆液箱内部清理。</w:t>
            </w:r>
          </w:p>
        </w:tc>
        <w:tc>
          <w:tcPr>
            <w:tcW w:w="405"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检修卡</w:t>
            </w:r>
          </w:p>
        </w:tc>
        <w:tc>
          <w:tcPr>
            <w:tcW w:w="281"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付达</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37</w:t>
            </w:r>
          </w:p>
        </w:tc>
        <w:tc>
          <w:tcPr>
            <w:tcW w:w="706"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3A、3B石膏排出泵检修</w:t>
            </w:r>
          </w:p>
        </w:tc>
        <w:tc>
          <w:tcPr>
            <w:tcW w:w="233"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r>
              <w:rPr>
                <w:rFonts w:hint="eastAsia"/>
                <w:color w:val="000000"/>
                <w:sz w:val="20"/>
                <w:szCs w:val="20"/>
                <w:highlight w:val="none"/>
              </w:rPr>
              <w:t>2</w:t>
            </w:r>
          </w:p>
        </w:tc>
        <w:tc>
          <w:tcPr>
            <w:tcW w:w="306" w:type="dxa"/>
            <w:tcBorders>
              <w:top w:val="nil"/>
              <w:left w:val="nil"/>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标准</w:t>
            </w:r>
          </w:p>
        </w:tc>
        <w:tc>
          <w:tcPr>
            <w:tcW w:w="6173" w:type="dxa"/>
            <w:tcBorders>
              <w:top w:val="nil"/>
              <w:left w:val="nil"/>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两台泵叶轮及前后护板检查更换；轴承及骨架油封检查更换；出口管及再循环管部分管路更换。</w:t>
            </w:r>
          </w:p>
        </w:tc>
        <w:tc>
          <w:tcPr>
            <w:tcW w:w="405"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文件包</w:t>
            </w:r>
          </w:p>
        </w:tc>
        <w:tc>
          <w:tcPr>
            <w:tcW w:w="281"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付达</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38</w:t>
            </w:r>
          </w:p>
        </w:tc>
        <w:tc>
          <w:tcPr>
            <w:tcW w:w="706"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烟道除雾器检修</w:t>
            </w:r>
          </w:p>
        </w:tc>
        <w:tc>
          <w:tcPr>
            <w:tcW w:w="233"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r>
              <w:rPr>
                <w:rFonts w:hint="eastAsia"/>
                <w:color w:val="000000"/>
                <w:sz w:val="20"/>
                <w:szCs w:val="20"/>
                <w:highlight w:val="none"/>
              </w:rPr>
              <w:t>1</w:t>
            </w:r>
          </w:p>
        </w:tc>
        <w:tc>
          <w:tcPr>
            <w:tcW w:w="306" w:type="dxa"/>
            <w:tcBorders>
              <w:top w:val="nil"/>
              <w:left w:val="nil"/>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标准</w:t>
            </w:r>
          </w:p>
        </w:tc>
        <w:tc>
          <w:tcPr>
            <w:tcW w:w="6173" w:type="dxa"/>
            <w:tcBorders>
              <w:top w:val="nil"/>
              <w:left w:val="nil"/>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除雾器波形板结垢检查及冲洗；除雾器底部疏水管疏通。</w:t>
            </w:r>
          </w:p>
        </w:tc>
        <w:tc>
          <w:tcPr>
            <w:tcW w:w="405"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检修卡</w:t>
            </w:r>
          </w:p>
        </w:tc>
        <w:tc>
          <w:tcPr>
            <w:tcW w:w="281"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付达</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39</w:t>
            </w:r>
          </w:p>
        </w:tc>
        <w:tc>
          <w:tcPr>
            <w:tcW w:w="706"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3B烟道除雾器冲洗水泵检修</w:t>
            </w:r>
          </w:p>
        </w:tc>
        <w:tc>
          <w:tcPr>
            <w:tcW w:w="233"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r>
              <w:rPr>
                <w:rFonts w:hint="eastAsia"/>
                <w:color w:val="000000"/>
                <w:sz w:val="20"/>
                <w:szCs w:val="20"/>
                <w:highlight w:val="none"/>
              </w:rPr>
              <w:t>2</w:t>
            </w:r>
          </w:p>
        </w:tc>
        <w:tc>
          <w:tcPr>
            <w:tcW w:w="306" w:type="dxa"/>
            <w:tcBorders>
              <w:top w:val="nil"/>
              <w:left w:val="nil"/>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标准</w:t>
            </w:r>
          </w:p>
        </w:tc>
        <w:tc>
          <w:tcPr>
            <w:tcW w:w="6173" w:type="dxa"/>
            <w:tcBorders>
              <w:top w:val="nil"/>
              <w:left w:val="nil"/>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3B除雾器冲洗水泵解体检修；泵叶轮及轴承箱骨架油封检查更换；滤网检查清理。</w:t>
            </w:r>
          </w:p>
        </w:tc>
        <w:tc>
          <w:tcPr>
            <w:tcW w:w="405"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文件包</w:t>
            </w:r>
          </w:p>
        </w:tc>
        <w:tc>
          <w:tcPr>
            <w:tcW w:w="281"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付达</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40</w:t>
            </w:r>
          </w:p>
        </w:tc>
        <w:tc>
          <w:tcPr>
            <w:tcW w:w="706"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3B吸收塔除雾器冲洗水泵检修</w:t>
            </w:r>
          </w:p>
        </w:tc>
        <w:tc>
          <w:tcPr>
            <w:tcW w:w="233"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r>
              <w:rPr>
                <w:rFonts w:hint="eastAsia"/>
                <w:color w:val="000000"/>
                <w:sz w:val="20"/>
                <w:szCs w:val="20"/>
                <w:highlight w:val="none"/>
              </w:rPr>
              <w:t>2</w:t>
            </w:r>
          </w:p>
        </w:tc>
        <w:tc>
          <w:tcPr>
            <w:tcW w:w="306" w:type="dxa"/>
            <w:tcBorders>
              <w:top w:val="nil"/>
              <w:left w:val="nil"/>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标准</w:t>
            </w:r>
          </w:p>
        </w:tc>
        <w:tc>
          <w:tcPr>
            <w:tcW w:w="6173" w:type="dxa"/>
            <w:tcBorders>
              <w:top w:val="nil"/>
              <w:left w:val="nil"/>
              <w:bottom w:val="single" w:color="000000" w:sz="4" w:space="0"/>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3B吸收塔除雾器冲洗水泵叶轮及轴承箱骨架油封检查更换；滤网检查清理。</w:t>
            </w:r>
          </w:p>
        </w:tc>
        <w:tc>
          <w:tcPr>
            <w:tcW w:w="405"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文件包</w:t>
            </w:r>
          </w:p>
        </w:tc>
        <w:tc>
          <w:tcPr>
            <w:tcW w:w="281"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付达</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41</w:t>
            </w:r>
          </w:p>
        </w:tc>
        <w:tc>
          <w:tcPr>
            <w:tcW w:w="706" w:type="dxa"/>
            <w:tcBorders>
              <w:top w:val="nil"/>
              <w:left w:val="single" w:color="000000" w:sz="4" w:space="0"/>
              <w:bottom w:val="nil"/>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A、B、C氧化风机检修</w:t>
            </w:r>
          </w:p>
        </w:tc>
        <w:tc>
          <w:tcPr>
            <w:tcW w:w="233" w:type="dxa"/>
            <w:tcBorders>
              <w:top w:val="nil"/>
              <w:left w:val="single" w:color="000000" w:sz="4" w:space="0"/>
              <w:bottom w:val="nil"/>
              <w:right w:val="single" w:color="000000" w:sz="4" w:space="0"/>
            </w:tcBorders>
            <w:tcMar>
              <w:top w:w="15" w:type="dxa"/>
              <w:left w:w="15" w:type="dxa"/>
              <w:right w:w="15" w:type="dxa"/>
            </w:tcMar>
            <w:vAlign w:val="center"/>
          </w:tcPr>
          <w:p>
            <w:pPr>
              <w:jc w:val="center"/>
              <w:rPr>
                <w:rFonts w:hint="eastAsia" w:ascii="宋体" w:hAnsi="宋体" w:cs="宋体"/>
                <w:color w:val="000000"/>
                <w:sz w:val="20"/>
                <w:szCs w:val="20"/>
                <w:highlight w:val="none"/>
              </w:rPr>
            </w:pPr>
            <w:r>
              <w:rPr>
                <w:rFonts w:hint="eastAsia"/>
                <w:color w:val="000000"/>
                <w:sz w:val="20"/>
                <w:szCs w:val="20"/>
                <w:highlight w:val="none"/>
              </w:rPr>
              <w:t>3</w:t>
            </w:r>
          </w:p>
        </w:tc>
        <w:tc>
          <w:tcPr>
            <w:tcW w:w="306" w:type="dxa"/>
            <w:tcBorders>
              <w:top w:val="nil"/>
              <w:left w:val="nil"/>
              <w:bottom w:val="nil"/>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标准</w:t>
            </w:r>
          </w:p>
        </w:tc>
        <w:tc>
          <w:tcPr>
            <w:tcW w:w="6173" w:type="dxa"/>
            <w:tcBorders>
              <w:top w:val="nil"/>
              <w:left w:val="nil"/>
              <w:bottom w:val="nil"/>
              <w:right w:val="single" w:color="000000" w:sz="4" w:space="0"/>
            </w:tcBorders>
            <w:tcMar>
              <w:top w:w="15" w:type="dxa"/>
              <w:left w:w="15" w:type="dxa"/>
              <w:right w:w="15" w:type="dxa"/>
            </w:tcMar>
            <w:vAlign w:val="center"/>
          </w:tcPr>
          <w:p>
            <w:pPr>
              <w:widowControl/>
              <w:jc w:val="left"/>
              <w:rPr>
                <w:rFonts w:hint="eastAsia" w:ascii="宋体" w:hAnsi="宋体" w:cs="宋体"/>
                <w:color w:val="000000"/>
                <w:sz w:val="20"/>
                <w:szCs w:val="20"/>
                <w:highlight w:val="none"/>
                <w:lang w:bidi="ar"/>
              </w:rPr>
            </w:pPr>
            <w:r>
              <w:rPr>
                <w:rFonts w:hint="eastAsia"/>
                <w:color w:val="000000"/>
                <w:sz w:val="20"/>
                <w:szCs w:val="20"/>
                <w:highlight w:val="none"/>
              </w:rPr>
              <w:t>A、B、C氧化风机空气滤网清理；风机出口止回阀、排空阀检查。</w:t>
            </w:r>
          </w:p>
        </w:tc>
        <w:tc>
          <w:tcPr>
            <w:tcW w:w="405" w:type="dxa"/>
            <w:tcBorders>
              <w:top w:val="nil"/>
              <w:left w:val="single" w:color="000000" w:sz="4" w:space="0"/>
              <w:bottom w:val="nil"/>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检修卡</w:t>
            </w:r>
          </w:p>
        </w:tc>
        <w:tc>
          <w:tcPr>
            <w:tcW w:w="281" w:type="dxa"/>
            <w:tcBorders>
              <w:top w:val="nil"/>
              <w:left w:val="single" w:color="000000" w:sz="4" w:space="0"/>
              <w:bottom w:val="nil"/>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color w:val="000000"/>
                <w:sz w:val="20"/>
                <w:szCs w:val="20"/>
                <w:highlight w:val="none"/>
              </w:rPr>
              <w:t>付达</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42</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吸收塔区域浆池清理</w:t>
            </w:r>
          </w:p>
        </w:tc>
        <w:tc>
          <w:tcPr>
            <w:tcW w:w="233" w:type="dxa"/>
            <w:tcBorders>
              <w:top w:val="single" w:color="000000" w:sz="4" w:space="0"/>
              <w:left w:val="nil"/>
              <w:bottom w:val="single" w:color="000000" w:sz="4" w:space="0"/>
              <w:right w:val="single" w:color="000000" w:sz="4" w:space="0"/>
            </w:tcBorders>
            <w:tcMar>
              <w:top w:w="15" w:type="dxa"/>
              <w:left w:w="15" w:type="dxa"/>
              <w:right w:w="15" w:type="dxa"/>
            </w:tcMar>
            <w:vAlign w:val="center"/>
          </w:tcPr>
          <w:p>
            <w:pPr>
              <w:jc w:val="center"/>
              <w:rPr>
                <w:color w:val="000000"/>
                <w:sz w:val="20"/>
                <w:szCs w:val="20"/>
                <w:highlight w:val="none"/>
              </w:rPr>
            </w:pPr>
            <w:r>
              <w:rPr>
                <w:rFonts w:hint="eastAsia"/>
                <w:color w:val="000000"/>
                <w:sz w:val="20"/>
                <w:szCs w:val="20"/>
                <w:highlight w:val="none"/>
              </w:rPr>
              <w:t>1</w:t>
            </w:r>
          </w:p>
        </w:tc>
        <w:tc>
          <w:tcPr>
            <w:tcW w:w="306" w:type="dxa"/>
            <w:tcBorders>
              <w:top w:val="single" w:color="000000" w:sz="4" w:space="0"/>
              <w:left w:val="nil"/>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标准</w:t>
            </w:r>
          </w:p>
        </w:tc>
        <w:tc>
          <w:tcPr>
            <w:tcW w:w="6173" w:type="dxa"/>
            <w:tcBorders>
              <w:top w:val="single" w:color="000000" w:sz="4" w:space="0"/>
              <w:left w:val="nil"/>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吸收塔区域浆液池清理。</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检修卡</w:t>
            </w:r>
          </w:p>
        </w:tc>
        <w:tc>
          <w:tcPr>
            <w:tcW w:w="2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付达</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43</w:t>
            </w:r>
          </w:p>
        </w:tc>
        <w:tc>
          <w:tcPr>
            <w:tcW w:w="70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吸收塔区域浆池搅拌器检修</w:t>
            </w:r>
          </w:p>
        </w:tc>
        <w:tc>
          <w:tcPr>
            <w:tcW w:w="233" w:type="dxa"/>
            <w:tcBorders>
              <w:top w:val="single" w:color="000000" w:sz="4" w:space="0"/>
              <w:left w:val="nil"/>
              <w:bottom w:val="single" w:color="000000" w:sz="4" w:space="0"/>
              <w:right w:val="single" w:color="000000" w:sz="4" w:space="0"/>
            </w:tcBorders>
            <w:tcMar>
              <w:top w:w="15" w:type="dxa"/>
              <w:left w:w="15" w:type="dxa"/>
              <w:right w:w="15" w:type="dxa"/>
            </w:tcMar>
            <w:vAlign w:val="center"/>
          </w:tcPr>
          <w:p>
            <w:pPr>
              <w:jc w:val="center"/>
              <w:rPr>
                <w:color w:val="000000"/>
                <w:sz w:val="20"/>
                <w:szCs w:val="20"/>
                <w:highlight w:val="none"/>
              </w:rPr>
            </w:pPr>
            <w:r>
              <w:rPr>
                <w:rFonts w:hint="eastAsia"/>
                <w:color w:val="000000"/>
                <w:sz w:val="20"/>
                <w:szCs w:val="20"/>
                <w:highlight w:val="none"/>
              </w:rPr>
              <w:t>1</w:t>
            </w:r>
          </w:p>
        </w:tc>
        <w:tc>
          <w:tcPr>
            <w:tcW w:w="306" w:type="dxa"/>
            <w:tcBorders>
              <w:top w:val="single" w:color="000000" w:sz="4" w:space="0"/>
              <w:left w:val="nil"/>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标准</w:t>
            </w:r>
          </w:p>
        </w:tc>
        <w:tc>
          <w:tcPr>
            <w:tcW w:w="6173" w:type="dxa"/>
            <w:tcBorders>
              <w:top w:val="single" w:color="000000" w:sz="4" w:space="0"/>
              <w:left w:val="nil"/>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吸收塔区域浆池搅拌器及叶片检查；减速机油泵检查及油更换。</w:t>
            </w:r>
          </w:p>
        </w:tc>
        <w:tc>
          <w:tcPr>
            <w:tcW w:w="40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检修卡</w:t>
            </w:r>
          </w:p>
        </w:tc>
        <w:tc>
          <w:tcPr>
            <w:tcW w:w="281"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付达</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44</w:t>
            </w:r>
          </w:p>
        </w:tc>
        <w:tc>
          <w:tcPr>
            <w:tcW w:w="706"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管式GGH加热器检修</w:t>
            </w:r>
          </w:p>
        </w:tc>
        <w:tc>
          <w:tcPr>
            <w:tcW w:w="233" w:type="dxa"/>
            <w:tcBorders>
              <w:top w:val="nil"/>
              <w:left w:val="nil"/>
              <w:bottom w:val="single" w:color="000000" w:sz="4" w:space="0"/>
              <w:right w:val="single" w:color="000000" w:sz="4" w:space="0"/>
            </w:tcBorders>
            <w:tcMar>
              <w:top w:w="15" w:type="dxa"/>
              <w:left w:w="15" w:type="dxa"/>
              <w:right w:w="15" w:type="dxa"/>
            </w:tcMar>
            <w:vAlign w:val="center"/>
          </w:tcPr>
          <w:p>
            <w:pPr>
              <w:jc w:val="center"/>
              <w:rPr>
                <w:color w:val="000000"/>
                <w:sz w:val="20"/>
                <w:szCs w:val="20"/>
                <w:highlight w:val="none"/>
              </w:rPr>
            </w:pPr>
            <w:r>
              <w:rPr>
                <w:rFonts w:hint="eastAsia"/>
                <w:color w:val="000000"/>
                <w:sz w:val="20"/>
                <w:szCs w:val="20"/>
                <w:highlight w:val="none"/>
              </w:rPr>
              <w:t>1</w:t>
            </w:r>
          </w:p>
        </w:tc>
        <w:tc>
          <w:tcPr>
            <w:tcW w:w="306" w:type="dxa"/>
            <w:tcBorders>
              <w:top w:val="nil"/>
              <w:left w:val="nil"/>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标准</w:t>
            </w:r>
          </w:p>
        </w:tc>
        <w:tc>
          <w:tcPr>
            <w:tcW w:w="6173" w:type="dxa"/>
            <w:tcBorders>
              <w:top w:val="nil"/>
              <w:left w:val="nil"/>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加热器内部管束腐蚀检查；加热器底部疏水管疏通；管束清理。</w:t>
            </w:r>
          </w:p>
        </w:tc>
        <w:tc>
          <w:tcPr>
            <w:tcW w:w="405"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检修卡</w:t>
            </w:r>
          </w:p>
        </w:tc>
        <w:tc>
          <w:tcPr>
            <w:tcW w:w="281"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付达</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45</w:t>
            </w:r>
          </w:p>
        </w:tc>
        <w:tc>
          <w:tcPr>
            <w:tcW w:w="706"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3B管式GGH热媒水泵检修</w:t>
            </w:r>
          </w:p>
        </w:tc>
        <w:tc>
          <w:tcPr>
            <w:tcW w:w="233" w:type="dxa"/>
            <w:tcBorders>
              <w:top w:val="nil"/>
              <w:left w:val="nil"/>
              <w:bottom w:val="single" w:color="000000" w:sz="4" w:space="0"/>
              <w:right w:val="single" w:color="000000" w:sz="4" w:space="0"/>
            </w:tcBorders>
            <w:tcMar>
              <w:top w:w="15" w:type="dxa"/>
              <w:left w:w="15" w:type="dxa"/>
              <w:right w:w="15" w:type="dxa"/>
            </w:tcMar>
            <w:vAlign w:val="center"/>
          </w:tcPr>
          <w:p>
            <w:pPr>
              <w:jc w:val="center"/>
              <w:rPr>
                <w:color w:val="000000"/>
                <w:sz w:val="20"/>
                <w:szCs w:val="20"/>
                <w:highlight w:val="none"/>
              </w:rPr>
            </w:pPr>
            <w:r>
              <w:rPr>
                <w:rFonts w:hint="eastAsia"/>
                <w:color w:val="000000"/>
                <w:sz w:val="20"/>
                <w:szCs w:val="20"/>
                <w:highlight w:val="none"/>
              </w:rPr>
              <w:t>1</w:t>
            </w:r>
          </w:p>
        </w:tc>
        <w:tc>
          <w:tcPr>
            <w:tcW w:w="306" w:type="dxa"/>
            <w:tcBorders>
              <w:top w:val="nil"/>
              <w:left w:val="nil"/>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标准</w:t>
            </w:r>
          </w:p>
        </w:tc>
        <w:tc>
          <w:tcPr>
            <w:tcW w:w="6173" w:type="dxa"/>
            <w:tcBorders>
              <w:top w:val="nil"/>
              <w:left w:val="nil"/>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3B热媒水泵叶轮、泵壳检查；轴承及骨架油封检查更换。</w:t>
            </w:r>
          </w:p>
        </w:tc>
        <w:tc>
          <w:tcPr>
            <w:tcW w:w="405"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文件包</w:t>
            </w:r>
          </w:p>
        </w:tc>
        <w:tc>
          <w:tcPr>
            <w:tcW w:w="281"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付达</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46</w:t>
            </w:r>
          </w:p>
        </w:tc>
        <w:tc>
          <w:tcPr>
            <w:tcW w:w="706"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管式GGH热媒水池清理</w:t>
            </w:r>
          </w:p>
        </w:tc>
        <w:tc>
          <w:tcPr>
            <w:tcW w:w="233" w:type="dxa"/>
            <w:tcBorders>
              <w:top w:val="nil"/>
              <w:left w:val="nil"/>
              <w:bottom w:val="single" w:color="000000" w:sz="4" w:space="0"/>
              <w:right w:val="single" w:color="000000" w:sz="4" w:space="0"/>
            </w:tcBorders>
            <w:tcMar>
              <w:top w:w="15" w:type="dxa"/>
              <w:left w:w="15" w:type="dxa"/>
              <w:right w:w="15" w:type="dxa"/>
            </w:tcMar>
            <w:vAlign w:val="center"/>
          </w:tcPr>
          <w:p>
            <w:pPr>
              <w:jc w:val="center"/>
              <w:rPr>
                <w:color w:val="000000"/>
                <w:sz w:val="20"/>
                <w:szCs w:val="20"/>
                <w:highlight w:val="none"/>
              </w:rPr>
            </w:pPr>
            <w:r>
              <w:rPr>
                <w:rFonts w:hint="eastAsia"/>
                <w:color w:val="000000"/>
                <w:sz w:val="20"/>
                <w:szCs w:val="20"/>
                <w:highlight w:val="none"/>
              </w:rPr>
              <w:t>1</w:t>
            </w:r>
          </w:p>
        </w:tc>
        <w:tc>
          <w:tcPr>
            <w:tcW w:w="306" w:type="dxa"/>
            <w:tcBorders>
              <w:top w:val="nil"/>
              <w:left w:val="nil"/>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标准</w:t>
            </w:r>
          </w:p>
        </w:tc>
        <w:tc>
          <w:tcPr>
            <w:tcW w:w="6173" w:type="dxa"/>
            <w:tcBorders>
              <w:top w:val="nil"/>
              <w:left w:val="nil"/>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热媒水池清理。</w:t>
            </w:r>
          </w:p>
        </w:tc>
        <w:tc>
          <w:tcPr>
            <w:tcW w:w="405"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检修卡</w:t>
            </w:r>
          </w:p>
        </w:tc>
        <w:tc>
          <w:tcPr>
            <w:tcW w:w="281"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付达</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47</w:t>
            </w:r>
          </w:p>
        </w:tc>
        <w:tc>
          <w:tcPr>
            <w:tcW w:w="706"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尿素水解反应器检修</w:t>
            </w:r>
          </w:p>
        </w:tc>
        <w:tc>
          <w:tcPr>
            <w:tcW w:w="233" w:type="dxa"/>
            <w:tcBorders>
              <w:top w:val="nil"/>
              <w:left w:val="nil"/>
              <w:bottom w:val="single" w:color="000000" w:sz="4" w:space="0"/>
              <w:right w:val="single" w:color="000000" w:sz="4" w:space="0"/>
            </w:tcBorders>
            <w:tcMar>
              <w:top w:w="15" w:type="dxa"/>
              <w:left w:w="15" w:type="dxa"/>
              <w:right w:w="15" w:type="dxa"/>
            </w:tcMar>
            <w:vAlign w:val="center"/>
          </w:tcPr>
          <w:p>
            <w:pPr>
              <w:jc w:val="center"/>
              <w:rPr>
                <w:color w:val="000000"/>
                <w:sz w:val="20"/>
                <w:szCs w:val="20"/>
                <w:highlight w:val="none"/>
              </w:rPr>
            </w:pPr>
            <w:r>
              <w:rPr>
                <w:rFonts w:hint="eastAsia"/>
                <w:color w:val="000000"/>
                <w:sz w:val="20"/>
                <w:szCs w:val="20"/>
                <w:highlight w:val="none"/>
              </w:rPr>
              <w:t>4</w:t>
            </w:r>
          </w:p>
        </w:tc>
        <w:tc>
          <w:tcPr>
            <w:tcW w:w="306" w:type="dxa"/>
            <w:tcBorders>
              <w:top w:val="nil"/>
              <w:left w:val="nil"/>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标准</w:t>
            </w:r>
          </w:p>
        </w:tc>
        <w:tc>
          <w:tcPr>
            <w:tcW w:w="6173" w:type="dxa"/>
            <w:tcBorders>
              <w:top w:val="nil"/>
              <w:left w:val="nil"/>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#3尿素水解反应器解体检修，加热管束壁厚检测，管束清理。阀门及管道检查更换、试验。</w:t>
            </w:r>
          </w:p>
        </w:tc>
        <w:tc>
          <w:tcPr>
            <w:tcW w:w="405"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文件包</w:t>
            </w:r>
          </w:p>
        </w:tc>
        <w:tc>
          <w:tcPr>
            <w:tcW w:w="281"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付达</w:t>
            </w:r>
          </w:p>
        </w:tc>
      </w:tr>
      <w:tr>
        <w:tblPrEx>
          <w:tblCellMar>
            <w:top w:w="0" w:type="dxa"/>
            <w:left w:w="0" w:type="dxa"/>
            <w:bottom w:w="0" w:type="dxa"/>
            <w:right w:w="0" w:type="dxa"/>
          </w:tblCellMar>
        </w:tblPrEx>
        <w:trPr>
          <w:trHeight w:val="480" w:hRule="atLeast"/>
        </w:trPr>
        <w:tc>
          <w:tcPr>
            <w:tcW w:w="379"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int="eastAsia" w:ascii="宋体" w:hAnsi="宋体" w:cs="宋体"/>
                <w:color w:val="000000"/>
                <w:sz w:val="20"/>
                <w:szCs w:val="20"/>
                <w:highlight w:val="none"/>
                <w:lang w:bidi="ar"/>
              </w:rPr>
            </w:pPr>
            <w:r>
              <w:rPr>
                <w:rFonts w:hint="eastAsia" w:ascii="宋体" w:hAnsi="宋体" w:cs="宋体"/>
                <w:color w:val="000000"/>
                <w:sz w:val="20"/>
                <w:szCs w:val="20"/>
                <w:highlight w:val="none"/>
                <w:lang w:bidi="ar"/>
              </w:rPr>
              <w:t>48</w:t>
            </w:r>
          </w:p>
        </w:tc>
        <w:tc>
          <w:tcPr>
            <w:tcW w:w="706"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吸收塔浆液再循环泵进出口管道检修</w:t>
            </w:r>
          </w:p>
        </w:tc>
        <w:tc>
          <w:tcPr>
            <w:tcW w:w="233" w:type="dxa"/>
            <w:tcBorders>
              <w:top w:val="nil"/>
              <w:left w:val="nil"/>
              <w:bottom w:val="single" w:color="000000" w:sz="4" w:space="0"/>
              <w:right w:val="single" w:color="000000" w:sz="4" w:space="0"/>
            </w:tcBorders>
            <w:tcMar>
              <w:top w:w="15" w:type="dxa"/>
              <w:left w:w="15" w:type="dxa"/>
              <w:right w:w="15" w:type="dxa"/>
            </w:tcMar>
            <w:vAlign w:val="center"/>
          </w:tcPr>
          <w:p>
            <w:pPr>
              <w:jc w:val="center"/>
              <w:rPr>
                <w:color w:val="000000"/>
                <w:sz w:val="20"/>
                <w:szCs w:val="20"/>
                <w:highlight w:val="none"/>
              </w:rPr>
            </w:pPr>
            <w:r>
              <w:rPr>
                <w:rFonts w:hint="eastAsia"/>
                <w:color w:val="000000"/>
                <w:sz w:val="20"/>
                <w:szCs w:val="20"/>
                <w:highlight w:val="none"/>
              </w:rPr>
              <w:t>5</w:t>
            </w:r>
          </w:p>
        </w:tc>
        <w:tc>
          <w:tcPr>
            <w:tcW w:w="306" w:type="dxa"/>
            <w:tcBorders>
              <w:top w:val="nil"/>
              <w:left w:val="nil"/>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一般特殊</w:t>
            </w:r>
          </w:p>
        </w:tc>
        <w:tc>
          <w:tcPr>
            <w:tcW w:w="6173" w:type="dxa"/>
            <w:tcBorders>
              <w:top w:val="nil"/>
              <w:left w:val="nil"/>
              <w:bottom w:val="single" w:color="000000" w:sz="4" w:space="0"/>
              <w:right w:val="single" w:color="000000" w:sz="4" w:space="0"/>
            </w:tcBorders>
            <w:tcMar>
              <w:top w:w="15" w:type="dxa"/>
              <w:left w:w="15" w:type="dxa"/>
              <w:right w:w="15" w:type="dxa"/>
            </w:tcMar>
            <w:vAlign w:val="center"/>
          </w:tcPr>
          <w:p>
            <w:pPr>
              <w:widowControl/>
              <w:jc w:val="left"/>
              <w:rPr>
                <w:color w:val="000000"/>
                <w:sz w:val="20"/>
                <w:szCs w:val="20"/>
                <w:highlight w:val="none"/>
              </w:rPr>
            </w:pPr>
            <w:r>
              <w:rPr>
                <w:rFonts w:hint="eastAsia"/>
                <w:color w:val="000000"/>
                <w:sz w:val="20"/>
                <w:szCs w:val="20"/>
                <w:highlight w:val="none"/>
              </w:rPr>
              <w:t>5台吸收塔浆液再循环泵进出口管道整体拆装，配合返厂防腐；管道膨胀节更换；浆液喷淋管内部检查清理。</w:t>
            </w:r>
          </w:p>
        </w:tc>
        <w:tc>
          <w:tcPr>
            <w:tcW w:w="405"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检修卡</w:t>
            </w:r>
          </w:p>
        </w:tc>
        <w:tc>
          <w:tcPr>
            <w:tcW w:w="281" w:type="dxa"/>
            <w:tcBorders>
              <w:top w:val="nil"/>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color w:val="000000"/>
                <w:sz w:val="20"/>
                <w:szCs w:val="20"/>
                <w:highlight w:val="none"/>
              </w:rPr>
            </w:pPr>
            <w:r>
              <w:rPr>
                <w:rFonts w:hint="eastAsia"/>
                <w:color w:val="000000"/>
                <w:sz w:val="20"/>
                <w:szCs w:val="20"/>
                <w:highlight w:val="none"/>
              </w:rPr>
              <w:t>付达</w:t>
            </w:r>
          </w:p>
        </w:tc>
      </w:tr>
    </w:tbl>
    <w:p>
      <w:pPr>
        <w:pStyle w:val="17"/>
        <w:rPr>
          <w:highlight w:val="none"/>
        </w:rPr>
      </w:pPr>
    </w:p>
    <w:p>
      <w:pPr>
        <w:rPr>
          <w:highlight w:val="none"/>
        </w:rPr>
      </w:pPr>
    </w:p>
    <w:p>
      <w:pPr>
        <w:pStyle w:val="17"/>
        <w:rPr>
          <w:highlight w:val="none"/>
        </w:rPr>
      </w:pPr>
    </w:p>
    <w:p>
      <w:pPr>
        <w:rPr>
          <w:highlight w:val="none"/>
        </w:rPr>
      </w:pPr>
      <w:r>
        <w:rPr>
          <w:rFonts w:hint="eastAsia" w:asciiTheme="minorEastAsia" w:hAnsiTheme="minorEastAsia" w:eastAsiaTheme="minorEastAsia" w:cstheme="minorEastAsia"/>
          <w:highlight w:val="none"/>
        </w:rPr>
        <w:t>#3机组脚手架预估清单</w:t>
      </w:r>
    </w:p>
    <w:tbl>
      <w:tblPr>
        <w:tblStyle w:val="37"/>
        <w:tblW w:w="9500" w:type="dxa"/>
        <w:tblInd w:w="0" w:type="dxa"/>
        <w:tblLayout w:type="fixed"/>
        <w:tblCellMar>
          <w:top w:w="0" w:type="dxa"/>
          <w:left w:w="108" w:type="dxa"/>
          <w:bottom w:w="0" w:type="dxa"/>
          <w:right w:w="108" w:type="dxa"/>
        </w:tblCellMar>
      </w:tblPr>
      <w:tblGrid>
        <w:gridCol w:w="780"/>
        <w:gridCol w:w="1420"/>
        <w:gridCol w:w="1420"/>
        <w:gridCol w:w="820"/>
        <w:gridCol w:w="940"/>
        <w:gridCol w:w="940"/>
        <w:gridCol w:w="860"/>
        <w:gridCol w:w="660"/>
        <w:gridCol w:w="660"/>
        <w:gridCol w:w="1000"/>
      </w:tblGrid>
      <w:tr>
        <w:tblPrEx>
          <w:tblCellMar>
            <w:top w:w="0" w:type="dxa"/>
            <w:left w:w="108" w:type="dxa"/>
            <w:bottom w:w="0" w:type="dxa"/>
            <w:right w:w="108" w:type="dxa"/>
          </w:tblCellMar>
        </w:tblPrEx>
        <w:trPr>
          <w:trHeight w:val="240" w:hRule="atLeast"/>
        </w:trPr>
        <w:tc>
          <w:tcPr>
            <w:tcW w:w="9500" w:type="dxa"/>
            <w:gridSpan w:val="10"/>
            <w:tcBorders>
              <w:top w:val="single" w:color="auto" w:sz="4" w:space="0"/>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2025年#3机A修保温架子项目</w:t>
            </w:r>
          </w:p>
        </w:tc>
      </w:tr>
      <w:tr>
        <w:tblPrEx>
          <w:tblCellMar>
            <w:top w:w="0" w:type="dxa"/>
            <w:left w:w="108" w:type="dxa"/>
            <w:bottom w:w="0" w:type="dxa"/>
            <w:right w:w="108" w:type="dxa"/>
          </w:tblCellMar>
        </w:tblPrEx>
        <w:trPr>
          <w:trHeight w:val="885"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序号</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项目内容</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规格(长*宽*高)</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单位</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数量</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金属架子合计（立方）</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竹架子合计（立方）</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爬梯（平方）</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竹爬梯（平方）</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专业</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低压缸防爆检查架子搭拆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6*2*5</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1420" w:type="dxa"/>
            <w:vMerge w:val="restart"/>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主油箱及附属油泵检修架子搭拆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8*6*1.5</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w:t>
            </w:r>
          </w:p>
        </w:tc>
        <w:tc>
          <w:tcPr>
            <w:tcW w:w="1420" w:type="dxa"/>
            <w:vMerge w:val="continue"/>
            <w:tcBorders>
              <w:top w:val="nil"/>
              <w:left w:val="single" w:color="auto" w:sz="4" w:space="0"/>
              <w:bottom w:val="single" w:color="auto"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w:t>
            </w:r>
          </w:p>
        </w:tc>
        <w:tc>
          <w:tcPr>
            <w:tcW w:w="1420" w:type="dxa"/>
            <w:vMerge w:val="continue"/>
            <w:tcBorders>
              <w:top w:val="nil"/>
              <w:left w:val="single" w:color="auto" w:sz="4" w:space="0"/>
              <w:bottom w:val="single" w:color="auto"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5</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密封油系统油泵及油箱检修架子搭拆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主机控制油系统密封圈更换架子搭拆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主机控制油系统配合拆接线架子搭拆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循环冷却油泵返厂检修架子搭拆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9</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高低旁减温水喷嘴检查架子搭拆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凝汽器热井清理架子搭拆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凝汽器真空系统查漏、消缺处理架子搭拆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#5#6循泵电机空冷器检修架子搭拆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13</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循环水管道防腐检查配合架子搭拆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14</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3A凝泵及电机解体大修架子搭拆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4*4*6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15</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3B凝泵电机架子搭拆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4*4*6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3B小机开缸检修、3A小机各轴承检修架子搭拆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72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汽泵各密封水、卸荷水部分管道弯头更换架子搭拆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前置泵进口滤网清理架子搭拆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19</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4A、4B定冷器检修</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20</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氢干机干燥剂更换架子搭拆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闭式水热交换器防腐配合架子搭拆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7A、7B低加正常疏水气动调整门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23</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除氧器水位气动副调整门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除氧器水位气动主调整门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25</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高压旁路调整门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高旁减温水气动门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AB侧汽泵进出口电动门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AB侧汽泵进口滤网</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29</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AB闭冷器人孔门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30</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AB闭冷器循水进出水电动门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AB凝泵出口电动门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0米层8A、8B低加正常气动调整门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33</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主蒸汽母管疏水气动门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34</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高排通风气动门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35</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高排逆止门后疏水气动门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高排逆止阀门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#3循母放空气门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闭冷水进水电动总门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39</w:t>
            </w:r>
          </w:p>
        </w:tc>
        <w:tc>
          <w:tcPr>
            <w:tcW w:w="1420" w:type="dxa"/>
            <w:vMerge w:val="restart"/>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13.7米层AB低压旁路阀</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40</w:t>
            </w:r>
          </w:p>
        </w:tc>
        <w:tc>
          <w:tcPr>
            <w:tcW w:w="1420" w:type="dxa"/>
            <w:vMerge w:val="continue"/>
            <w:tcBorders>
              <w:top w:val="nil"/>
              <w:left w:val="single" w:color="auto" w:sz="4" w:space="0"/>
              <w:bottom w:val="single" w:color="auto"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41</w:t>
            </w:r>
          </w:p>
        </w:tc>
        <w:tc>
          <w:tcPr>
            <w:tcW w:w="1420" w:type="dxa"/>
            <w:vMerge w:val="restart"/>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13.7米层AB高压调门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42</w:t>
            </w:r>
          </w:p>
        </w:tc>
        <w:tc>
          <w:tcPr>
            <w:tcW w:w="1420" w:type="dxa"/>
            <w:vMerge w:val="continue"/>
            <w:tcBorders>
              <w:top w:val="nil"/>
              <w:left w:val="single" w:color="auto" w:sz="4" w:space="0"/>
              <w:bottom w:val="single" w:color="auto"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43</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13.7米层AB中压主汽门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44</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汽机房6.4米层高压内缸疏水气动门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45</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13.7米层AB辅汽至小机进汽气动调整门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13.7米层AB辅汽至小机用汽逆止阀</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AB凝泵进口电动门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AB凝泵进口滤网</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49</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除氧器人孔门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50</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13.7米层AB汽泵前置泵进口电动门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51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AB汽泵再循环气动调整门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52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高排逆止门前疏水气动门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53</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AB凝输泵进口滤网</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54</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轴加出水电动门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55</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8A低加进水电动门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56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7、8号低加旁路电动门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57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AB凝汽器内部清洗</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58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汽机房0米层再热冷段蒸汽管道打磨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59</w:t>
            </w:r>
          </w:p>
        </w:tc>
        <w:tc>
          <w:tcPr>
            <w:tcW w:w="1420" w:type="dxa"/>
            <w:vMerge w:val="restart"/>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AB小机速关阀</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60</w:t>
            </w:r>
          </w:p>
        </w:tc>
        <w:tc>
          <w:tcPr>
            <w:tcW w:w="1420" w:type="dxa"/>
            <w:vMerge w:val="continue"/>
            <w:tcBorders>
              <w:top w:val="nil"/>
              <w:left w:val="single" w:color="auto" w:sz="4" w:space="0"/>
              <w:bottom w:val="single" w:color="auto"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2*1*2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1、2、3号高压加热器人孔门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5号低压加热器人孔门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63</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6号低压加热器人孔门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64</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1号高压加热器罐头焊口打磨架子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65</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2号高压加热器罐头焊口打磨架子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五号低加正常疏水气动调门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13.7米层四抽至辅电动门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13.7米层五号低加旁路电动门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95"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69</w:t>
            </w:r>
          </w:p>
        </w:tc>
        <w:tc>
          <w:tcPr>
            <w:tcW w:w="1420" w:type="dxa"/>
            <w:tcBorders>
              <w:top w:val="nil"/>
              <w:left w:val="nil"/>
              <w:bottom w:val="single" w:color="auto" w:sz="4" w:space="0"/>
              <w:right w:val="single" w:color="auto" w:sz="4" w:space="0"/>
            </w:tcBorders>
            <w:vAlign w:val="center"/>
          </w:tcPr>
          <w:p>
            <w:pPr>
              <w:widowControl/>
              <w:jc w:val="center"/>
              <w:rPr>
                <w:rFonts w:ascii="Calibri" w:hAnsi="Calibri" w:cs="Calibri"/>
                <w:sz w:val="20"/>
                <w:szCs w:val="20"/>
                <w:highlight w:val="none"/>
              </w:rPr>
            </w:pPr>
            <w:r>
              <w:rPr>
                <w:rFonts w:ascii="Calibri" w:hAnsi="Calibri" w:cs="Calibri"/>
                <w:sz w:val="20"/>
                <w:szCs w:val="20"/>
                <w:highlight w:val="none"/>
              </w:rPr>
              <w:t>3</w:t>
            </w:r>
            <w:r>
              <w:rPr>
                <w:rFonts w:hint="eastAsia" w:ascii="宋体" w:hAnsi="宋体" w:cs="Calibri"/>
                <w:sz w:val="20"/>
                <w:szCs w:val="20"/>
                <w:highlight w:val="none"/>
              </w:rPr>
              <w:t>号高压加热器罐头焊口打磨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70</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AB凝汽器进口循环管内部防腐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2*1.5*3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71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汽机房高旁阀后疏水管角焊缝检查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72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72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汽机房二楼低旁至凝汽器AB温度测点交焊缝检查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73</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汽机房二楼高排疏水管道角焊缝检查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2*2*5</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74</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汽机房二楼三抽逆止门角疏水管道交焊缝检查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75</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汽机房二楼一抽逆止门角疏水管道交焊缝检查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76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汽机房二楼高压导汽管角焊缝检查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77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13.7米层AB中压进汽测点角焊缝检查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78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AB低压缸内部检查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6*3*2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144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79</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AB凝汽器内部检查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80</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13.7米层氢冷器架子搭设</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81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循泵房滤网检修围栏</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15*6*1.5</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135</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82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循泵房#5、#6出口母管围栏</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18*6*1.5</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83</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汽机房运转层油漆配合脚手架</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4*7*10</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20</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5600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84</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循泵电机</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85</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汽机侧四大管道</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3*4*2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130</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3120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86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汽机侧受监部件角焊缝</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70</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汽机</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87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3A、3B高压厂变母管检架子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6*2*8</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192</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88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3号主变低压侧封闭母线检修架子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20*4*8</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640</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89</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3号主变冷却器架子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10*3*7</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420</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90</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3号机主变高压侧套管接拆做试验二次架子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15*2*13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780</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91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3号主变500KV避雷器ABC相接拆做试验二次</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2*2*10</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240</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92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3号升压站GIS开关检修架子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3*3*5</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135</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93</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3号主变升压站侧套管架子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2*2*10</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120</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94</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3号励磁变高低压侧母线检查架子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12*2*8</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192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95</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3号机发电机端两头架子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96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3号发电机顶部圆孔检查架子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4*3*4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97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3号发电机底部人孔门及油管道检修架子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6*2*8</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192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98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xml:space="preserve">3A、3B凝泵电机架子 </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99</w:t>
            </w:r>
          </w:p>
        </w:tc>
        <w:tc>
          <w:tcPr>
            <w:tcW w:w="1420" w:type="dxa"/>
            <w:tcBorders>
              <w:top w:val="nil"/>
              <w:left w:val="nil"/>
              <w:bottom w:val="nil"/>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#5、#6循泵电机检修</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1*1*3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100</w:t>
            </w:r>
          </w:p>
        </w:tc>
        <w:tc>
          <w:tcPr>
            <w:tcW w:w="1420" w:type="dxa"/>
            <w:vMerge w:val="restart"/>
            <w:tcBorders>
              <w:top w:val="single" w:color="auto" w:sz="4" w:space="0"/>
              <w:left w:val="single" w:color="auto" w:sz="4" w:space="0"/>
              <w:bottom w:val="single" w:color="000000"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干电垂直段电缆检查架子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3*2*22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132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101</w:t>
            </w:r>
          </w:p>
        </w:tc>
        <w:tc>
          <w:tcPr>
            <w:tcW w:w="1420" w:type="dxa"/>
            <w:vMerge w:val="continue"/>
            <w:tcBorders>
              <w:top w:val="single" w:color="auto" w:sz="4" w:space="0"/>
              <w:left w:val="single" w:color="auto" w:sz="4" w:space="0"/>
              <w:bottom w:val="single" w:color="000000" w:sz="4" w:space="0"/>
              <w:right w:val="single" w:color="auto" w:sz="4" w:space="0"/>
            </w:tcBorders>
            <w:vAlign w:val="center"/>
          </w:tcPr>
          <w:p>
            <w:pPr>
              <w:widowControl/>
              <w:jc w:val="left"/>
              <w:rPr>
                <w:rFonts w:hint="eastAsia" w:ascii="宋体" w:hAnsi="宋体" w:cs="宋体"/>
                <w:color w:val="000000"/>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102</w:t>
            </w:r>
          </w:p>
        </w:tc>
        <w:tc>
          <w:tcPr>
            <w:tcW w:w="1420" w:type="dxa"/>
            <w:vMerge w:val="continue"/>
            <w:tcBorders>
              <w:top w:val="single" w:color="auto" w:sz="4" w:space="0"/>
              <w:left w:val="single" w:color="auto" w:sz="4" w:space="0"/>
              <w:bottom w:val="single" w:color="000000" w:sz="4" w:space="0"/>
              <w:right w:val="single" w:color="auto" w:sz="4" w:space="0"/>
            </w:tcBorders>
            <w:vAlign w:val="center"/>
          </w:tcPr>
          <w:p>
            <w:pPr>
              <w:widowControl/>
              <w:jc w:val="left"/>
              <w:rPr>
                <w:rFonts w:hint="eastAsia" w:ascii="宋体" w:hAnsi="宋体" w:cs="宋体"/>
                <w:color w:val="000000"/>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2*2*9</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103</w:t>
            </w:r>
          </w:p>
        </w:tc>
        <w:tc>
          <w:tcPr>
            <w:tcW w:w="1420" w:type="dxa"/>
            <w:vMerge w:val="restart"/>
            <w:tcBorders>
              <w:top w:val="nil"/>
              <w:left w:val="single" w:color="auto" w:sz="4" w:space="0"/>
              <w:bottom w:val="single" w:color="000000"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湿电垂直段电缆检查架子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2*2*45</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180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104</w:t>
            </w:r>
          </w:p>
        </w:tc>
        <w:tc>
          <w:tcPr>
            <w:tcW w:w="1420" w:type="dxa"/>
            <w:vMerge w:val="continue"/>
            <w:tcBorders>
              <w:top w:val="nil"/>
              <w:left w:val="single" w:color="auto" w:sz="4" w:space="0"/>
              <w:bottom w:val="single" w:color="000000" w:sz="4" w:space="0"/>
              <w:right w:val="single" w:color="auto" w:sz="4" w:space="0"/>
            </w:tcBorders>
            <w:vAlign w:val="center"/>
          </w:tcPr>
          <w:p>
            <w:pPr>
              <w:widowControl/>
              <w:jc w:val="left"/>
              <w:rPr>
                <w:rFonts w:hint="eastAsia" w:ascii="宋体" w:hAnsi="宋体" w:cs="宋体"/>
                <w:color w:val="000000"/>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40*2*3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电气</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105</w:t>
            </w:r>
          </w:p>
        </w:tc>
        <w:tc>
          <w:tcPr>
            <w:tcW w:w="1420" w:type="dxa"/>
            <w:vMerge w:val="restart"/>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15楼主蒸汽堵阀及通道</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2*2*7.5</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106</w:t>
            </w:r>
          </w:p>
        </w:tc>
        <w:tc>
          <w:tcPr>
            <w:tcW w:w="1420" w:type="dxa"/>
            <w:vMerge w:val="continue"/>
            <w:tcBorders>
              <w:top w:val="nil"/>
              <w:left w:val="single" w:color="auto" w:sz="4" w:space="0"/>
              <w:bottom w:val="single" w:color="auto"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2*1.5*2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15楼AB侧再热热段蒸汽堵阀</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8楼A侧主给水电动门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109</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主蒸汽母管疏水气动门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110</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9楼省煤器出口至水冷壁下集箱</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111</w:t>
            </w:r>
          </w:p>
        </w:tc>
        <w:tc>
          <w:tcPr>
            <w:tcW w:w="1420" w:type="dxa"/>
            <w:vMerge w:val="restart"/>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省煤器灰斗内部清灰搭通道及爬梯</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18*2*2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112</w:t>
            </w:r>
          </w:p>
        </w:tc>
        <w:tc>
          <w:tcPr>
            <w:tcW w:w="1420" w:type="dxa"/>
            <w:vMerge w:val="continue"/>
            <w:tcBorders>
              <w:top w:val="nil"/>
              <w:left w:val="single" w:color="auto" w:sz="4" w:space="0"/>
              <w:bottom w:val="single" w:color="auto"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1.5*4*1</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113</w:t>
            </w:r>
          </w:p>
        </w:tc>
        <w:tc>
          <w:tcPr>
            <w:tcW w:w="1420" w:type="dxa"/>
            <w:vMerge w:val="continue"/>
            <w:tcBorders>
              <w:top w:val="nil"/>
              <w:left w:val="single" w:color="auto" w:sz="4" w:space="0"/>
              <w:bottom w:val="single" w:color="auto"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114</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AB空预器进口烟气挡板</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14*2*3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115</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汽水分离器疏水#1#2液动调整门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116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汽水分离器疏水#1#2管电动门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117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ABCDEF磨煤机进口热风快关门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118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ABCDEF磨煤机进口热风电动调节风门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144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119</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磨煤机热风道人孔门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120</w:t>
            </w:r>
          </w:p>
        </w:tc>
        <w:tc>
          <w:tcPr>
            <w:tcW w:w="1420" w:type="dxa"/>
            <w:vMerge w:val="restart"/>
            <w:tcBorders>
              <w:top w:val="nil"/>
              <w:left w:val="single" w:color="auto" w:sz="4" w:space="0"/>
              <w:bottom w:val="single" w:color="000000"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#3炉捞渣机改造架子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22*2*10</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880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121</w:t>
            </w:r>
          </w:p>
        </w:tc>
        <w:tc>
          <w:tcPr>
            <w:tcW w:w="1420" w:type="dxa"/>
            <w:vMerge w:val="continue"/>
            <w:tcBorders>
              <w:top w:val="nil"/>
              <w:left w:val="single" w:color="auto" w:sz="4" w:space="0"/>
              <w:bottom w:val="single" w:color="000000"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7*2*10</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140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122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ABCDEF磨煤机人孔门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123</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磨煤机动态分离器改造架子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13*2*6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312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124</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AB一次风机</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192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125</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AB送风机</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144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126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AB引风机</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288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127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密封风机进口风道人孔门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128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AB引风机人孔门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129</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AB引风机进口烟道膨胀节</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2*2*7</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112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130</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AB空预器出口二次风风门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131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炉前AB侧再热器减温水手动隔离门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132</w:t>
            </w:r>
          </w:p>
        </w:tc>
        <w:tc>
          <w:tcPr>
            <w:tcW w:w="1420" w:type="dxa"/>
            <w:vMerge w:val="restart"/>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14楼AB侧过热器二级减温水调整门，及手动隔离门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133</w:t>
            </w:r>
          </w:p>
        </w:tc>
        <w:tc>
          <w:tcPr>
            <w:tcW w:w="1420" w:type="dxa"/>
            <w:vMerge w:val="continue"/>
            <w:tcBorders>
              <w:top w:val="nil"/>
              <w:left w:val="single" w:color="auto" w:sz="4" w:space="0"/>
              <w:bottom w:val="single" w:color="auto"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134</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14楼AB侧过热器一级减温水调整门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135</w:t>
            </w:r>
          </w:p>
        </w:tc>
        <w:tc>
          <w:tcPr>
            <w:tcW w:w="1420" w:type="dxa"/>
            <w:vMerge w:val="restart"/>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磨煤机ABCDEF煤粉管更换</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4*3*4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136</w:t>
            </w:r>
          </w:p>
        </w:tc>
        <w:tc>
          <w:tcPr>
            <w:tcW w:w="1420" w:type="dxa"/>
            <w:vMerge w:val="continue"/>
            <w:tcBorders>
              <w:top w:val="nil"/>
              <w:left w:val="single" w:color="auto" w:sz="4" w:space="0"/>
              <w:bottom w:val="single" w:color="auto"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6*3*4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144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137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AB中间热风道暖风器电动门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138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AB热一次风道人孔门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139</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空预器底部轴承检查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140</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11楼AB侧再热冷段水压管对接口架子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141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ABCDEF给煤机挡板门架子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142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4楼AB侧空预器出口一次风门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27</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143</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5楼AB侧二次风热风再循环电动门及开孔架子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144</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AB空预器查漏粉处理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144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145</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AB空预器进口温度测点</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4*2*5</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146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#1#2#3#4角水冷壁检查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4*2*12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384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147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3楼水冷壁A侧墙中间集箱疏水电动门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148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3楼烟井前墙下集箱疏水电动门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149</w:t>
            </w:r>
          </w:p>
        </w:tc>
        <w:tc>
          <w:tcPr>
            <w:tcW w:w="1420" w:type="dxa"/>
            <w:vMerge w:val="restart"/>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省煤器内部集箱检查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18*2*2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150</w:t>
            </w:r>
          </w:p>
        </w:tc>
        <w:tc>
          <w:tcPr>
            <w:tcW w:w="1420" w:type="dxa"/>
            <w:vMerge w:val="continue"/>
            <w:tcBorders>
              <w:top w:val="nil"/>
              <w:left w:val="single" w:color="auto" w:sz="4" w:space="0"/>
              <w:bottom w:val="single" w:color="auto"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151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#1#2#3#4号燃烧风门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7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152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AB侧大风箱内部四角燃烧器检查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2*1*12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7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153</w:t>
            </w:r>
          </w:p>
        </w:tc>
        <w:tc>
          <w:tcPr>
            <w:tcW w:w="1420" w:type="dxa"/>
            <w:vMerge w:val="restart"/>
            <w:tcBorders>
              <w:top w:val="nil"/>
              <w:left w:val="single" w:color="auto" w:sz="4" w:space="0"/>
              <w:bottom w:val="single" w:color="000000"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#1炉膛吹灰孔及管排卡片块及前屏取管检查架子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18.6*2*10</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372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7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154</w:t>
            </w:r>
          </w:p>
        </w:tc>
        <w:tc>
          <w:tcPr>
            <w:tcW w:w="1420" w:type="dxa"/>
            <w:vMerge w:val="continue"/>
            <w:tcBorders>
              <w:top w:val="nil"/>
              <w:left w:val="single" w:color="auto" w:sz="4" w:space="0"/>
              <w:bottom w:val="single" w:color="000000"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18.6*2*8</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297.6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7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155</w:t>
            </w:r>
          </w:p>
        </w:tc>
        <w:tc>
          <w:tcPr>
            <w:tcW w:w="1420" w:type="dxa"/>
            <w:vMerge w:val="continue"/>
            <w:tcBorders>
              <w:top w:val="nil"/>
              <w:left w:val="single" w:color="auto" w:sz="4" w:space="0"/>
              <w:bottom w:val="single" w:color="000000"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18.6*2*12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892.8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7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156</w:t>
            </w:r>
          </w:p>
        </w:tc>
        <w:tc>
          <w:tcPr>
            <w:tcW w:w="1420" w:type="dxa"/>
            <w:vMerge w:val="continue"/>
            <w:tcBorders>
              <w:top w:val="nil"/>
              <w:left w:val="single" w:color="auto" w:sz="4" w:space="0"/>
              <w:bottom w:val="single" w:color="000000"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7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157</w:t>
            </w:r>
          </w:p>
        </w:tc>
        <w:tc>
          <w:tcPr>
            <w:tcW w:w="1420" w:type="dxa"/>
            <w:vMerge w:val="continue"/>
            <w:tcBorders>
              <w:top w:val="nil"/>
              <w:left w:val="single" w:color="auto" w:sz="4" w:space="0"/>
              <w:bottom w:val="single" w:color="000000"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15*2*2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7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158</w:t>
            </w:r>
          </w:p>
        </w:tc>
        <w:tc>
          <w:tcPr>
            <w:tcW w:w="1420" w:type="dxa"/>
            <w:vMerge w:val="continue"/>
            <w:tcBorders>
              <w:top w:val="nil"/>
              <w:left w:val="single" w:color="auto" w:sz="4" w:space="0"/>
              <w:bottom w:val="single" w:color="000000"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7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159</w:t>
            </w:r>
          </w:p>
        </w:tc>
        <w:tc>
          <w:tcPr>
            <w:tcW w:w="1420" w:type="dxa"/>
            <w:vMerge w:val="continue"/>
            <w:tcBorders>
              <w:top w:val="nil"/>
              <w:left w:val="single" w:color="auto" w:sz="4" w:space="0"/>
              <w:bottom w:val="single" w:color="000000"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2*2*10</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160</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AB送风机出口风门及联络风门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161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AB一次风机出口风门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162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5楼平台下面汽水分离器疏水管道（悬吊架）</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28*2*3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163</w:t>
            </w:r>
          </w:p>
        </w:tc>
        <w:tc>
          <w:tcPr>
            <w:tcW w:w="1420" w:type="dxa"/>
            <w:vMerge w:val="restart"/>
            <w:tcBorders>
              <w:top w:val="nil"/>
              <w:left w:val="single" w:color="auto" w:sz="4" w:space="0"/>
              <w:bottom w:val="single" w:color="000000"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AB引风机上方烟道闸板门处理</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8*2*8</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256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120</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164</w:t>
            </w:r>
          </w:p>
        </w:tc>
        <w:tc>
          <w:tcPr>
            <w:tcW w:w="1420" w:type="dxa"/>
            <w:vMerge w:val="continue"/>
            <w:tcBorders>
              <w:top w:val="nil"/>
              <w:left w:val="single" w:color="auto" w:sz="4" w:space="0"/>
              <w:bottom w:val="single" w:color="000000"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2*2*14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112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165</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省煤器出口AB侧烟道内部澎胀节检查修补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10*3*4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166</w:t>
            </w:r>
          </w:p>
        </w:tc>
        <w:tc>
          <w:tcPr>
            <w:tcW w:w="1420" w:type="dxa"/>
            <w:vMerge w:val="restart"/>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炉省煤器内部集箱检查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19*2*2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167</w:t>
            </w:r>
          </w:p>
        </w:tc>
        <w:tc>
          <w:tcPr>
            <w:tcW w:w="1420" w:type="dxa"/>
            <w:vMerge w:val="continue"/>
            <w:tcBorders>
              <w:top w:val="nil"/>
              <w:left w:val="single" w:color="auto" w:sz="4" w:space="0"/>
              <w:bottom w:val="single" w:color="auto"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288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168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#1#2#3#4角燃烧器检修</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4*2*15</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480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169</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5楼四角风箱底部水冷壁打磨检查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170</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吹灰器检修</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171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脱硝催化剂更换架子配合</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16*5*2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172</w:t>
            </w:r>
          </w:p>
        </w:tc>
        <w:tc>
          <w:tcPr>
            <w:tcW w:w="1420" w:type="dxa"/>
            <w:vMerge w:val="restart"/>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AB引风机出口烟道外侧补焊</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8*1.5*6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144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173</w:t>
            </w:r>
          </w:p>
        </w:tc>
        <w:tc>
          <w:tcPr>
            <w:tcW w:w="1420" w:type="dxa"/>
            <w:vMerge w:val="continue"/>
            <w:tcBorders>
              <w:top w:val="nil"/>
              <w:left w:val="single" w:color="auto" w:sz="4" w:space="0"/>
              <w:bottom w:val="single" w:color="auto"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4*1.5*6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174</w:t>
            </w:r>
          </w:p>
        </w:tc>
        <w:tc>
          <w:tcPr>
            <w:tcW w:w="1420" w:type="dxa"/>
            <w:vMerge w:val="restart"/>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AB空预器出口烟道浇注防磨料</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6*1.5*4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144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175</w:t>
            </w:r>
          </w:p>
        </w:tc>
        <w:tc>
          <w:tcPr>
            <w:tcW w:w="1420" w:type="dxa"/>
            <w:vMerge w:val="continue"/>
            <w:tcBorders>
              <w:top w:val="nil"/>
              <w:left w:val="single" w:color="auto" w:sz="4" w:space="0"/>
              <w:bottom w:val="single" w:color="auto"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3*1.5*5</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135</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176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脱硝反应器烟道内部查漏补漏</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10*2*8</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177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炉内检修平台物资传递平台1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178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炉内检修平台物资传递平台2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179</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炉内冷灰斗平台</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19*3*3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342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180</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炉内冷灰斗两侧爬梯</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19*14*1</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144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181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AB空预器内部检修架子大仓</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12*6*4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576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182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AB空预器内部检修架子中仓</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12*4*4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384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183</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AB空预器内部检修架子小仓</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4*3*3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184</w:t>
            </w:r>
          </w:p>
        </w:tc>
        <w:tc>
          <w:tcPr>
            <w:tcW w:w="1420" w:type="dxa"/>
            <w:vMerge w:val="restart"/>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炉省煤器内部集箱检查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19*2*2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185</w:t>
            </w:r>
          </w:p>
        </w:tc>
        <w:tc>
          <w:tcPr>
            <w:tcW w:w="1420" w:type="dxa"/>
            <w:vMerge w:val="continue"/>
            <w:tcBorders>
              <w:top w:val="nil"/>
              <w:left w:val="single" w:color="auto" w:sz="4" w:space="0"/>
              <w:bottom w:val="single" w:color="auto" w:sz="4" w:space="0"/>
              <w:right w:val="single" w:color="auto" w:sz="4" w:space="0"/>
            </w:tcBorders>
            <w:vAlign w:val="center"/>
          </w:tcPr>
          <w:p>
            <w:pPr>
              <w:widowControl/>
              <w:jc w:val="left"/>
              <w:rPr>
                <w:rFonts w:hint="eastAsia" w:ascii="宋体" w:hAnsi="宋体" w:cs="宋体"/>
                <w:sz w:val="20"/>
                <w:szCs w:val="20"/>
                <w:highlight w:val="none"/>
              </w:rPr>
            </w:pP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288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186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捞渣机渣井内</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19*3*8</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456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187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大罩内减温水管道打磨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72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188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炉外管、外护板</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19*2*4（2）、14*2*4（2）、2*2*2（10）</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608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189</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锅炉侧四大管道</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3*4*5</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30</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1800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190</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锅炉侧受监部件角焊缝</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2*4*2</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30</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480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191</w:t>
            </w:r>
          </w:p>
        </w:tc>
        <w:tc>
          <w:tcPr>
            <w:tcW w:w="1420"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#2角二次风箱风箱膨胀节</w:t>
            </w:r>
          </w:p>
        </w:tc>
        <w:tc>
          <w:tcPr>
            <w:tcW w:w="1420" w:type="dxa"/>
            <w:tcBorders>
              <w:top w:val="single" w:color="000000" w:sz="4" w:space="0"/>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2*12*2</w:t>
            </w:r>
          </w:p>
        </w:tc>
        <w:tc>
          <w:tcPr>
            <w:tcW w:w="820" w:type="dxa"/>
            <w:tcBorders>
              <w:top w:val="single" w:color="000000" w:sz="4" w:space="0"/>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single" w:color="000000" w:sz="4" w:space="0"/>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w:t>
            </w:r>
          </w:p>
        </w:tc>
        <w:tc>
          <w:tcPr>
            <w:tcW w:w="940" w:type="dxa"/>
            <w:tcBorders>
              <w:top w:val="single" w:color="000000" w:sz="4" w:space="0"/>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48</w:t>
            </w:r>
          </w:p>
        </w:tc>
        <w:tc>
          <w:tcPr>
            <w:tcW w:w="860" w:type="dxa"/>
            <w:tcBorders>
              <w:top w:val="single" w:color="000000" w:sz="4" w:space="0"/>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single" w:color="000000" w:sz="4" w:space="0"/>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single" w:color="000000" w:sz="4" w:space="0"/>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single" w:color="000000" w:sz="4" w:space="0"/>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192</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吹灰蒸汽管路更换</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2*2*6</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20</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480</w:t>
            </w:r>
          </w:p>
        </w:tc>
        <w:tc>
          <w:tcPr>
            <w:tcW w:w="8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193</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省煤器声波吹灰器安装</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2*2*12</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192</w:t>
            </w:r>
          </w:p>
        </w:tc>
        <w:tc>
          <w:tcPr>
            <w:tcW w:w="8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194</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伴热管道疏水管更换（预估200米）</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130*2*3</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2"/>
                <w:szCs w:val="22"/>
                <w:highlight w:val="none"/>
              </w:rPr>
            </w:pPr>
            <w:r>
              <w:rPr>
                <w:rFonts w:hint="eastAsia" w:ascii="宋体" w:hAnsi="宋体" w:cs="宋体"/>
                <w:color w:val="000000"/>
                <w:sz w:val="22"/>
                <w:szCs w:val="22"/>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2"/>
                <w:szCs w:val="22"/>
                <w:highlight w:val="none"/>
              </w:rPr>
            </w:pPr>
            <w:r>
              <w:rPr>
                <w:rFonts w:hint="eastAsia" w:ascii="宋体" w:hAnsi="宋体" w:cs="宋体"/>
                <w:color w:val="000000"/>
                <w:sz w:val="22"/>
                <w:szCs w:val="22"/>
                <w:highlight w:val="none"/>
              </w:rPr>
              <w:t>1</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2"/>
                <w:szCs w:val="22"/>
                <w:highlight w:val="none"/>
              </w:rPr>
            </w:pPr>
            <w:r>
              <w:rPr>
                <w:rFonts w:hint="eastAsia" w:ascii="宋体" w:hAnsi="宋体" w:cs="宋体"/>
                <w:color w:val="000000"/>
                <w:sz w:val="22"/>
                <w:szCs w:val="22"/>
                <w:highlight w:val="none"/>
              </w:rPr>
              <w:t>780</w:t>
            </w:r>
          </w:p>
        </w:tc>
        <w:tc>
          <w:tcPr>
            <w:tcW w:w="8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195</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磨煤机启动快关门及可调缩孔</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3*2*6</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216</w:t>
            </w:r>
          </w:p>
        </w:tc>
        <w:tc>
          <w:tcPr>
            <w:tcW w:w="8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锅炉</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196</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煤粉管道及弯头、三项补偿器</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3*2*6</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216</w:t>
            </w:r>
          </w:p>
        </w:tc>
        <w:tc>
          <w:tcPr>
            <w:tcW w:w="8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197</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10楼燃尽风风门架子</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2*2*4</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64</w:t>
            </w:r>
          </w:p>
        </w:tc>
        <w:tc>
          <w:tcPr>
            <w:tcW w:w="8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198</w:t>
            </w:r>
          </w:p>
        </w:tc>
        <w:tc>
          <w:tcPr>
            <w:tcW w:w="1420" w:type="dxa"/>
            <w:vMerge w:val="restart"/>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#1炉AB空预器减速电机及下方人孔门架子</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2*2*4</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32</w:t>
            </w:r>
          </w:p>
        </w:tc>
        <w:tc>
          <w:tcPr>
            <w:tcW w:w="8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199</w:t>
            </w:r>
          </w:p>
        </w:tc>
        <w:tc>
          <w:tcPr>
            <w:tcW w:w="1420" w:type="dxa"/>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宋体" w:hAnsi="宋体" w:cs="宋体"/>
                <w:color w:val="000000"/>
                <w:sz w:val="20"/>
                <w:szCs w:val="20"/>
                <w:highlight w:val="none"/>
              </w:rPr>
            </w:pP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3*2*3</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36</w:t>
            </w:r>
          </w:p>
        </w:tc>
        <w:tc>
          <w:tcPr>
            <w:tcW w:w="8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锅炉</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200</w:t>
            </w:r>
          </w:p>
        </w:tc>
        <w:tc>
          <w:tcPr>
            <w:tcW w:w="1420" w:type="dxa"/>
            <w:tcBorders>
              <w:top w:val="single" w:color="auto" w:sz="4" w:space="0"/>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3B、3C捕捉器</w:t>
            </w:r>
          </w:p>
        </w:tc>
        <w:tc>
          <w:tcPr>
            <w:tcW w:w="1420" w:type="dxa"/>
            <w:tcBorders>
              <w:top w:val="single" w:color="auto" w:sz="4" w:space="0"/>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3*3*4</w:t>
            </w:r>
          </w:p>
        </w:tc>
        <w:tc>
          <w:tcPr>
            <w:tcW w:w="820" w:type="dxa"/>
            <w:tcBorders>
              <w:top w:val="single" w:color="auto" w:sz="4" w:space="0"/>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single" w:color="auto" w:sz="4" w:space="0"/>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single" w:color="auto" w:sz="4" w:space="0"/>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72</w:t>
            </w:r>
          </w:p>
        </w:tc>
        <w:tc>
          <w:tcPr>
            <w:tcW w:w="860" w:type="dxa"/>
            <w:tcBorders>
              <w:top w:val="single" w:color="auto" w:sz="4" w:space="0"/>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single" w:color="auto" w:sz="4" w:space="0"/>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single" w:color="auto" w:sz="4" w:space="0"/>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single" w:color="auto" w:sz="4" w:space="0"/>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201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3B凝混床进/出水气动蝶阀</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202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3B凝混床排气气动门、进脂气动门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203</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3C凝混床进/出水气动蝶阀</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204</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3C凝混床排气气动门、进脂气动门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205</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3A前置过滤器人孔门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206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3B前置过滤器人孔门</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207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3A前置过滤器进水气动蝶阀</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208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3B前置过滤器进水气动蝶阀</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209</w:t>
            </w:r>
          </w:p>
        </w:tc>
        <w:tc>
          <w:tcPr>
            <w:tcW w:w="142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精处理再生系统阳再生罐</w:t>
            </w:r>
          </w:p>
        </w:tc>
        <w:tc>
          <w:tcPr>
            <w:tcW w:w="142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210</w:t>
            </w:r>
          </w:p>
        </w:tc>
        <w:tc>
          <w:tcPr>
            <w:tcW w:w="142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精处理再生系统分离罐</w:t>
            </w:r>
          </w:p>
        </w:tc>
        <w:tc>
          <w:tcPr>
            <w:tcW w:w="142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211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精处理02A酸罐液位计</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2*3*4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212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精处理02A碱罐液位计</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2*3*4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213</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＃3机水汽集中取样系统</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214</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#02A机组排水槽排水泵</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6*4*4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FF0000"/>
                <w:sz w:val="20"/>
                <w:szCs w:val="20"/>
                <w:highlight w:val="none"/>
              </w:rPr>
            </w:pPr>
            <w:r>
              <w:rPr>
                <w:rFonts w:hint="eastAsia" w:ascii="宋体" w:hAnsi="宋体" w:cs="宋体"/>
                <w:color w:val="FF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215</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脱硫废水系统检修</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216</w:t>
            </w:r>
          </w:p>
        </w:tc>
        <w:tc>
          <w:tcPr>
            <w:tcW w:w="142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精处理废水管道更换</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720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217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#3炉酸洗管道安装架子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72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218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#3电除尘3A1、3A2、3B1、3B2进口烟道多孔板更换架子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6*2*5</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219</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#3电除尘钢支架及灰斗检查、加固</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360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220</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#3吸收塔再循环泵进口管检修架子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3*2*3</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3A吸收塔再循环泵竖直管道架子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3*3*20</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360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3B吸收塔再循环泵竖直管道架子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3*3*20</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360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223</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3C吸收塔再循环泵竖直管道架子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3*3*20</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360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224</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3D吸收塔再循环泵竖直管道架子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3*3*25</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450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225</w:t>
            </w:r>
          </w:p>
        </w:tc>
        <w:tc>
          <w:tcPr>
            <w:tcW w:w="142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3E吸收塔再循环泵竖直管道架子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3*3*25</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450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72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#3吸收塔本体循环管架子东侧（氧化风机房顶）</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16*4*18</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1152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#3吸收塔本体循环管架子南侧（ABC循环泵）</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216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72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#3吸收塔本体循环管架子西侧（吸收塔进口侧）</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16*4*15</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960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229</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#3吸收塔本体循环管架子北侧（锅炉侧）</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10*3*7</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420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72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230</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#3吸收塔内部架子（取胶板换喷嘴、塔壁修补）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2*2*8</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231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3A引风机出口水平段膨胀节架子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3*3*8</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144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232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3B引风机出口水平段膨胀节架子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3*3*8</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144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233</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3A引风机出口竖直段膨胀节架子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25*2*20</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1000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234</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3B引风机出口竖直段膨胀节架子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25*2*14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700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235</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3A引风机出口水平联络段膨胀节架子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10*3*14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840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236</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#3吸收塔ABCD搅拌器架子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96</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237</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#3吸收塔出口烟道内部涂磷架子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3*2*16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192</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238</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#3GGH加热器除雾器冲洗架子</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3*2*10</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239</w:t>
            </w:r>
          </w:p>
        </w:tc>
        <w:tc>
          <w:tcPr>
            <w:tcW w:w="142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#3净烟气至烟囱膨胀节</w:t>
            </w:r>
          </w:p>
        </w:tc>
        <w:tc>
          <w:tcPr>
            <w:tcW w:w="142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18*2*14</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504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240</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塔外浆液箱内部修补</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241</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3A/B烟道除雾器底部管道更换</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3*2*20</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240</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242</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石膏浆液箱</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243</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湿电循环、排水箱</w:t>
            </w:r>
          </w:p>
        </w:tc>
        <w:tc>
          <w:tcPr>
            <w:tcW w:w="14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2*2*6</w:t>
            </w:r>
          </w:p>
        </w:tc>
        <w:tc>
          <w:tcPr>
            <w:tcW w:w="8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座</w:t>
            </w:r>
          </w:p>
        </w:tc>
        <w:tc>
          <w:tcPr>
            <w:tcW w:w="940" w:type="dxa"/>
            <w:tcBorders>
              <w:top w:val="nil"/>
              <w:left w:val="nil"/>
              <w:bottom w:val="single" w:color="auto" w:sz="4" w:space="0"/>
              <w:right w:val="single" w:color="auto" w:sz="4" w:space="0"/>
            </w:tcBorders>
            <w:shd w:val="clear" w:color="000000" w:fill="FFFFFF"/>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94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48</w:t>
            </w:r>
          </w:p>
        </w:tc>
        <w:tc>
          <w:tcPr>
            <w:tcW w:w="86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244</w:t>
            </w:r>
          </w:p>
        </w:tc>
        <w:tc>
          <w:tcPr>
            <w:tcW w:w="1420" w:type="dxa"/>
            <w:tcBorders>
              <w:top w:val="single" w:color="000000" w:sz="4" w:space="0"/>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表计测点</w:t>
            </w:r>
          </w:p>
        </w:tc>
        <w:tc>
          <w:tcPr>
            <w:tcW w:w="1420" w:type="dxa"/>
            <w:tcBorders>
              <w:top w:val="single" w:color="000000" w:sz="4" w:space="0"/>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2*2*3</w:t>
            </w:r>
          </w:p>
        </w:tc>
        <w:tc>
          <w:tcPr>
            <w:tcW w:w="820" w:type="dxa"/>
            <w:tcBorders>
              <w:top w:val="single" w:color="000000" w:sz="4" w:space="0"/>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single" w:color="000000" w:sz="4" w:space="0"/>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20</w:t>
            </w:r>
          </w:p>
        </w:tc>
        <w:tc>
          <w:tcPr>
            <w:tcW w:w="940" w:type="dxa"/>
            <w:tcBorders>
              <w:top w:val="single" w:color="000000" w:sz="4" w:space="0"/>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240</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245</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电缆敷设</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6*15</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8</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720</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246</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漏氢探头检查更换</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2*2*3</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247</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炉管泄漏装置检修</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2*2*3</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120</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248</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燃油点火系统检查、调试</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2*2*4</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6</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96</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249</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等离子风速测量装置更换及管路吹扫检查</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2*2*6</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48</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250</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灰渣系统料位计检查</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2*3*9</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540</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251</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15楼AB侧主蒸汽温度测点</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2*2*3</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252</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15楼AB侧再热热段蒸汽温度侧点</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2*2*3</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253</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15楼炉前AB侧汽水分离器温度测点</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2*2*3</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16</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254</w:t>
            </w:r>
          </w:p>
        </w:tc>
        <w:tc>
          <w:tcPr>
            <w:tcW w:w="1420" w:type="dxa"/>
            <w:vMerge w:val="restart"/>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13楼台至14楼AB侧炉膛泄漏装置</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3*2*2</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255</w:t>
            </w:r>
          </w:p>
        </w:tc>
        <w:tc>
          <w:tcPr>
            <w:tcW w:w="1420" w:type="dxa"/>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宋体" w:hAnsi="宋体" w:cs="宋体"/>
                <w:color w:val="000000"/>
                <w:sz w:val="20"/>
                <w:szCs w:val="20"/>
                <w:highlight w:val="none"/>
              </w:rPr>
            </w:pP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3*2*6</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72</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256</w:t>
            </w:r>
          </w:p>
        </w:tc>
        <w:tc>
          <w:tcPr>
            <w:tcW w:w="1420" w:type="dxa"/>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宋体" w:hAnsi="宋体" w:cs="宋体"/>
                <w:color w:val="000000"/>
                <w:sz w:val="20"/>
                <w:szCs w:val="20"/>
                <w:highlight w:val="none"/>
              </w:rPr>
            </w:pP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2*2*4</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32</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257</w:t>
            </w:r>
          </w:p>
        </w:tc>
        <w:tc>
          <w:tcPr>
            <w:tcW w:w="1420" w:type="dxa"/>
            <w:vMerge w:val="continue"/>
            <w:tcBorders>
              <w:top w:val="nil"/>
              <w:left w:val="single" w:color="000000" w:sz="4" w:space="0"/>
              <w:bottom w:val="single" w:color="000000" w:sz="4" w:space="0"/>
              <w:right w:val="single" w:color="000000" w:sz="4" w:space="0"/>
            </w:tcBorders>
            <w:vAlign w:val="center"/>
          </w:tcPr>
          <w:p>
            <w:pPr>
              <w:widowControl/>
              <w:jc w:val="left"/>
              <w:rPr>
                <w:rFonts w:hint="eastAsia" w:ascii="宋体" w:hAnsi="宋体" w:cs="宋体"/>
                <w:color w:val="000000"/>
                <w:sz w:val="20"/>
                <w:szCs w:val="20"/>
                <w:highlight w:val="none"/>
              </w:rPr>
            </w:pP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2*2*3</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258</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AB空预器进口温度测点</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4*2*5</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80</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259</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11楼分离器液位保温柜加装</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2*2*4</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32</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260</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7.5楼省煤器进口流量保温柜加装</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2*2*4</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16</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261</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风烟系统测点、管路及防堵装置检修</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2*2*4</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32</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262</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脱硝出口小室移位改造配合</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3*2*6</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108</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263</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吹灰蒸汽压力、流量保温箱增装</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2*2*3</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48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264</w:t>
            </w: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磨煤机风粉温度测点检查</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3*2*2</w:t>
            </w: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w:t>
            </w: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24</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nil"/>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265</w:t>
            </w:r>
          </w:p>
        </w:tc>
        <w:tc>
          <w:tcPr>
            <w:tcW w:w="1420" w:type="dxa"/>
            <w:tcBorders>
              <w:top w:val="nil"/>
              <w:left w:val="single" w:color="000000" w:sz="4" w:space="0"/>
              <w:bottom w:val="nil"/>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炉管壁温增装</w:t>
            </w:r>
          </w:p>
        </w:tc>
        <w:tc>
          <w:tcPr>
            <w:tcW w:w="1420" w:type="dxa"/>
            <w:tcBorders>
              <w:top w:val="nil"/>
              <w:left w:val="nil"/>
              <w:bottom w:val="nil"/>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3*2*6</w:t>
            </w:r>
          </w:p>
        </w:tc>
        <w:tc>
          <w:tcPr>
            <w:tcW w:w="820" w:type="dxa"/>
            <w:tcBorders>
              <w:top w:val="nil"/>
              <w:left w:val="nil"/>
              <w:bottom w:val="nil"/>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座</w:t>
            </w:r>
          </w:p>
        </w:tc>
        <w:tc>
          <w:tcPr>
            <w:tcW w:w="940" w:type="dxa"/>
            <w:tcBorders>
              <w:top w:val="nil"/>
              <w:left w:val="nil"/>
              <w:bottom w:val="nil"/>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3</w:t>
            </w:r>
          </w:p>
        </w:tc>
        <w:tc>
          <w:tcPr>
            <w:tcW w:w="940" w:type="dxa"/>
            <w:tcBorders>
              <w:top w:val="nil"/>
              <w:left w:val="nil"/>
              <w:bottom w:val="nil"/>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108</w:t>
            </w:r>
          </w:p>
        </w:tc>
        <w:tc>
          <w:tcPr>
            <w:tcW w:w="860" w:type="dxa"/>
            <w:tcBorders>
              <w:top w:val="nil"/>
              <w:left w:val="single" w:color="auto" w:sz="4" w:space="0"/>
              <w:bottom w:val="nil"/>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660" w:type="dxa"/>
            <w:tcBorders>
              <w:top w:val="nil"/>
              <w:left w:val="nil"/>
              <w:bottom w:val="nil"/>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660" w:type="dxa"/>
            <w:tcBorders>
              <w:top w:val="nil"/>
              <w:left w:val="nil"/>
              <w:bottom w:val="nil"/>
              <w:right w:val="single" w:color="auto"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　</w:t>
            </w:r>
          </w:p>
        </w:tc>
        <w:tc>
          <w:tcPr>
            <w:tcW w:w="1000" w:type="dxa"/>
            <w:tcBorders>
              <w:top w:val="nil"/>
              <w:left w:val="nil"/>
              <w:bottom w:val="nil"/>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r>
      <w:tr>
        <w:tblPrEx>
          <w:tblCellMar>
            <w:top w:w="0" w:type="dxa"/>
            <w:left w:w="108" w:type="dxa"/>
            <w:bottom w:w="0" w:type="dxa"/>
            <w:right w:w="108" w:type="dxa"/>
          </w:tblCellMar>
        </w:tblPrEx>
        <w:trPr>
          <w:trHeight w:val="240" w:hRule="atLeast"/>
        </w:trPr>
        <w:tc>
          <w:tcPr>
            <w:tcW w:w="7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p>
        </w:tc>
        <w:tc>
          <w:tcPr>
            <w:tcW w:w="1420" w:type="dxa"/>
            <w:tcBorders>
              <w:top w:val="nil"/>
              <w:left w:val="single" w:color="000000" w:sz="4" w:space="0"/>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r>
              <w:rPr>
                <w:rFonts w:hint="eastAsia" w:ascii="宋体" w:hAnsi="宋体" w:cs="宋体"/>
                <w:color w:val="000000"/>
                <w:sz w:val="20"/>
                <w:szCs w:val="20"/>
                <w:highlight w:val="none"/>
              </w:rPr>
              <w:t>额外增加预估</w:t>
            </w:r>
          </w:p>
        </w:tc>
        <w:tc>
          <w:tcPr>
            <w:tcW w:w="14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p>
        </w:tc>
        <w:tc>
          <w:tcPr>
            <w:tcW w:w="82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p>
        </w:tc>
        <w:tc>
          <w:tcPr>
            <w:tcW w:w="940" w:type="dxa"/>
            <w:tcBorders>
              <w:top w:val="nil"/>
              <w:left w:val="nil"/>
              <w:bottom w:val="single" w:color="000000" w:sz="4" w:space="0"/>
              <w:right w:val="single" w:color="000000" w:sz="4" w:space="0"/>
            </w:tcBorders>
            <w:vAlign w:val="center"/>
          </w:tcPr>
          <w:p>
            <w:pPr>
              <w:widowControl/>
              <w:jc w:val="center"/>
              <w:rPr>
                <w:rFonts w:hint="eastAsia" w:ascii="宋体" w:hAnsi="宋体" w:cs="宋体"/>
                <w:color w:val="000000"/>
                <w:sz w:val="20"/>
                <w:szCs w:val="20"/>
                <w:highlight w:val="none"/>
              </w:rPr>
            </w:pPr>
          </w:p>
        </w:tc>
        <w:tc>
          <w:tcPr>
            <w:tcW w:w="940" w:type="dxa"/>
            <w:tcBorders>
              <w:top w:val="nil"/>
              <w:left w:val="nil"/>
              <w:bottom w:val="single" w:color="000000" w:sz="4" w:space="0"/>
              <w:right w:val="single" w:color="000000" w:sz="4" w:space="0"/>
            </w:tcBorders>
            <w:vAlign w:val="center"/>
          </w:tcPr>
          <w:p>
            <w:pPr>
              <w:widowControl/>
              <w:jc w:val="center"/>
              <w:rPr>
                <w:rFonts w:hint="default" w:ascii="宋体" w:hAnsi="宋体" w:eastAsia="宋体" w:cs="宋体"/>
                <w:color w:val="000000"/>
                <w:sz w:val="20"/>
                <w:szCs w:val="20"/>
                <w:highlight w:val="none"/>
                <w:lang w:val="en-US" w:eastAsia="zh-CN"/>
              </w:rPr>
            </w:pPr>
            <w:r>
              <w:rPr>
                <w:rFonts w:hint="eastAsia" w:ascii="宋体" w:hAnsi="宋体" w:cs="宋体"/>
                <w:color w:val="000000"/>
                <w:sz w:val="20"/>
                <w:szCs w:val="20"/>
                <w:highlight w:val="none"/>
                <w:lang w:val="en-US" w:eastAsia="zh-CN"/>
              </w:rPr>
              <w:t>9000</w:t>
            </w:r>
          </w:p>
        </w:tc>
        <w:tc>
          <w:tcPr>
            <w:tcW w:w="86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p>
        </w:tc>
        <w:tc>
          <w:tcPr>
            <w:tcW w:w="660" w:type="dxa"/>
            <w:tcBorders>
              <w:top w:val="nil"/>
              <w:left w:val="nil"/>
              <w:bottom w:val="single" w:color="auto" w:sz="4" w:space="0"/>
              <w:right w:val="single" w:color="auto" w:sz="4" w:space="0"/>
            </w:tcBorders>
            <w:vAlign w:val="center"/>
          </w:tcPr>
          <w:p>
            <w:pPr>
              <w:widowControl/>
              <w:jc w:val="center"/>
              <w:rPr>
                <w:rFonts w:hint="eastAsia" w:ascii="宋体" w:hAnsi="宋体" w:cs="宋体"/>
                <w:color w:val="000000"/>
                <w:sz w:val="20"/>
                <w:szCs w:val="20"/>
                <w:highlight w:val="none"/>
              </w:rPr>
            </w:pPr>
          </w:p>
        </w:tc>
        <w:tc>
          <w:tcPr>
            <w:tcW w:w="1000" w:type="dxa"/>
            <w:tcBorders>
              <w:top w:val="nil"/>
              <w:left w:val="nil"/>
              <w:bottom w:val="single" w:color="auto" w:sz="4" w:space="0"/>
              <w:right w:val="single" w:color="auto" w:sz="4" w:space="0"/>
            </w:tcBorders>
            <w:vAlign w:val="center"/>
          </w:tcPr>
          <w:p>
            <w:pPr>
              <w:widowControl/>
              <w:jc w:val="center"/>
              <w:rPr>
                <w:rFonts w:hint="eastAsia" w:ascii="宋体" w:hAnsi="宋体" w:eastAsia="宋体" w:cs="宋体"/>
                <w:sz w:val="20"/>
                <w:szCs w:val="20"/>
                <w:highlight w:val="none"/>
                <w:lang w:val="en-US" w:eastAsia="zh-CN"/>
              </w:rPr>
            </w:pPr>
            <w:r>
              <w:rPr>
                <w:rFonts w:hint="eastAsia" w:ascii="宋体" w:hAnsi="宋体" w:cs="宋体"/>
                <w:sz w:val="20"/>
                <w:szCs w:val="20"/>
                <w:highlight w:val="none"/>
                <w:lang w:val="en-US" w:eastAsia="zh-CN"/>
              </w:rPr>
              <w:t>公用</w:t>
            </w:r>
          </w:p>
        </w:tc>
      </w:tr>
    </w:tbl>
    <w:p>
      <w:pPr>
        <w:pStyle w:val="17"/>
        <w:rPr>
          <w:highlight w:val="none"/>
        </w:rPr>
      </w:pPr>
    </w:p>
    <w:p>
      <w:pPr>
        <w:rPr>
          <w:highlight w:val="none"/>
        </w:rPr>
      </w:pPr>
      <w:r>
        <w:rPr>
          <w:rFonts w:hint="eastAsia" w:asciiTheme="minorEastAsia" w:hAnsiTheme="minorEastAsia" w:eastAsiaTheme="minorEastAsia" w:cstheme="minorEastAsia"/>
          <w:highlight w:val="none"/>
        </w:rPr>
        <w:t>#3机组保温外护板预估清单</w:t>
      </w:r>
    </w:p>
    <w:tbl>
      <w:tblPr>
        <w:tblStyle w:val="37"/>
        <w:tblW w:w="7940" w:type="dxa"/>
        <w:tblInd w:w="0" w:type="dxa"/>
        <w:tblLayout w:type="fixed"/>
        <w:tblCellMar>
          <w:top w:w="0" w:type="dxa"/>
          <w:left w:w="108" w:type="dxa"/>
          <w:bottom w:w="0" w:type="dxa"/>
          <w:right w:w="108" w:type="dxa"/>
        </w:tblCellMar>
      </w:tblPr>
      <w:tblGrid>
        <w:gridCol w:w="1080"/>
        <w:gridCol w:w="1080"/>
        <w:gridCol w:w="2500"/>
        <w:gridCol w:w="1080"/>
        <w:gridCol w:w="1120"/>
        <w:gridCol w:w="1080"/>
      </w:tblGrid>
      <w:tr>
        <w:tblPrEx>
          <w:tblCellMar>
            <w:top w:w="0" w:type="dxa"/>
            <w:left w:w="108" w:type="dxa"/>
            <w:bottom w:w="0" w:type="dxa"/>
            <w:right w:w="108" w:type="dxa"/>
          </w:tblCellMar>
        </w:tblPrEx>
        <w:trPr>
          <w:trHeight w:val="525" w:hRule="atLeast"/>
        </w:trPr>
        <w:tc>
          <w:tcPr>
            <w:tcW w:w="1080" w:type="dxa"/>
            <w:tcBorders>
              <w:top w:val="single" w:color="auto" w:sz="4" w:space="0"/>
              <w:left w:val="single" w:color="auto" w:sz="4" w:space="0"/>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序号</w:t>
            </w:r>
          </w:p>
        </w:tc>
        <w:tc>
          <w:tcPr>
            <w:tcW w:w="1080" w:type="dxa"/>
            <w:tcBorders>
              <w:top w:val="single" w:color="auto" w:sz="4" w:space="0"/>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专业</w:t>
            </w:r>
          </w:p>
        </w:tc>
        <w:tc>
          <w:tcPr>
            <w:tcW w:w="2500" w:type="dxa"/>
            <w:tcBorders>
              <w:top w:val="single" w:color="auto" w:sz="4" w:space="0"/>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部位</w:t>
            </w:r>
          </w:p>
        </w:tc>
        <w:tc>
          <w:tcPr>
            <w:tcW w:w="1080" w:type="dxa"/>
            <w:tcBorders>
              <w:top w:val="single" w:color="auto" w:sz="4" w:space="0"/>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数量</w:t>
            </w:r>
          </w:p>
        </w:tc>
        <w:tc>
          <w:tcPr>
            <w:tcW w:w="1120" w:type="dxa"/>
            <w:tcBorders>
              <w:top w:val="single" w:color="auto" w:sz="4" w:space="0"/>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保温棉（m³）</w:t>
            </w:r>
          </w:p>
        </w:tc>
        <w:tc>
          <w:tcPr>
            <w:tcW w:w="1080" w:type="dxa"/>
            <w:tcBorders>
              <w:top w:val="single" w:color="auto" w:sz="4" w:space="0"/>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外护板（m</w:t>
            </w:r>
            <w:r>
              <w:rPr>
                <w:rFonts w:hint="eastAsia" w:ascii="宋体" w:hAnsi="宋体" w:cs="宋体"/>
                <w:sz w:val="20"/>
                <w:szCs w:val="20"/>
                <w:highlight w:val="none"/>
                <w:vertAlign w:val="superscript"/>
              </w:rPr>
              <w:t>2</w:t>
            </w:r>
            <w:r>
              <w:rPr>
                <w:rFonts w:hint="eastAsia" w:ascii="宋体" w:hAnsi="宋体" w:cs="宋体"/>
                <w:sz w:val="20"/>
                <w:szCs w:val="20"/>
                <w:highlight w:val="none"/>
              </w:rPr>
              <w:t>）</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1</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#3机水汽集中取样系统</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2</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#3脱硫原烟气及净烟气烟道</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500</w:t>
            </w:r>
          </w:p>
        </w:tc>
      </w:tr>
      <w:tr>
        <w:tblPrEx>
          <w:tblCellMar>
            <w:top w:w="0" w:type="dxa"/>
            <w:left w:w="108" w:type="dxa"/>
            <w:bottom w:w="0" w:type="dxa"/>
            <w:right w:w="108" w:type="dxa"/>
          </w:tblCellMar>
        </w:tblPrEx>
        <w:trPr>
          <w:trHeight w:val="48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3</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#3炉电除尘灰斗气化板检修保温护板拆装</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w:t>
            </w:r>
          </w:p>
        </w:tc>
      </w:tr>
      <w:tr>
        <w:tblPrEx>
          <w:tblCellMar>
            <w:top w:w="0" w:type="dxa"/>
            <w:left w:w="108" w:type="dxa"/>
            <w:bottom w:w="0" w:type="dxa"/>
            <w:right w:w="108" w:type="dxa"/>
          </w:tblCellMar>
        </w:tblPrEx>
        <w:trPr>
          <w:trHeight w:val="48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4</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环化</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#3炉电除尘钢支架及灰斗检查保温护板拆装</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电气</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灰斗贴片电加热检查</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240</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1200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6</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各受监部件小口径管道</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20</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30</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200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7</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二次风道顶部</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50</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25</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8</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省煤器灰斗清灰</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9</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压水查漏试验</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10</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炉外小管道支吊架检查</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11</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环形大风箱漏灰治理</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12</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吹灰器管道三通弯头更换</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50</w:t>
            </w:r>
          </w:p>
        </w:tc>
      </w:tr>
      <w:tr>
        <w:tblPrEx>
          <w:tblCellMar>
            <w:top w:w="0" w:type="dxa"/>
            <w:left w:w="108" w:type="dxa"/>
            <w:bottom w:w="0" w:type="dxa"/>
            <w:right w:w="108" w:type="dxa"/>
          </w:tblCellMar>
        </w:tblPrEx>
        <w:trPr>
          <w:trHeight w:val="48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13</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锅炉本体系统阀门检修（详见阀门清单）</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209</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14</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A一次风机</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15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B一次风机</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16</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A、B送风机</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17</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A、B引风机</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18</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烟风道挡板门</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19</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冷热一次风三通处</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24</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20</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A、B空预器LCS传感器处</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40</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21</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A、B空预器一二次风出口处</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200</w:t>
            </w:r>
          </w:p>
        </w:tc>
      </w:tr>
      <w:tr>
        <w:tblPrEx>
          <w:tblCellMar>
            <w:top w:w="0" w:type="dxa"/>
            <w:left w:w="108" w:type="dxa"/>
            <w:bottom w:w="0" w:type="dxa"/>
            <w:right w:w="108" w:type="dxa"/>
          </w:tblCellMar>
        </w:tblPrEx>
        <w:trPr>
          <w:trHeight w:val="48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22</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磨煤机风门快关门和暖风器快关门检查</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7</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23</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分离器出口放空取样管</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24</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省煤器出口放空取样管</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45</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25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过热器蒸汽A、B侧取样管</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1.3</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45</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26</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再热器A、B侧减温水管道</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27</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一级减温水管道</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60</w:t>
            </w:r>
          </w:p>
        </w:tc>
      </w:tr>
      <w:tr>
        <w:tblPrEx>
          <w:tblCellMar>
            <w:top w:w="0" w:type="dxa"/>
            <w:left w:w="108" w:type="dxa"/>
            <w:bottom w:w="0" w:type="dxa"/>
            <w:right w:w="108" w:type="dxa"/>
          </w:tblCellMar>
        </w:tblPrEx>
        <w:trPr>
          <w:trHeight w:val="48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28</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启动系统至过热器A、B侧一级减温水14楼</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65</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29</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过热器二级减温水</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95</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30</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暖风器</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31</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风机A、B防雨罩外护板更换</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32</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密封风机A、B</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33</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锅炉各类门处</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34</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锅炉</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二次风再循环管</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50</w:t>
            </w:r>
          </w:p>
        </w:tc>
      </w:tr>
      <w:tr>
        <w:tblPrEx>
          <w:tblCellMar>
            <w:top w:w="0" w:type="dxa"/>
            <w:left w:w="108" w:type="dxa"/>
            <w:bottom w:w="0" w:type="dxa"/>
            <w:right w:w="108" w:type="dxa"/>
          </w:tblCellMar>
        </w:tblPrEx>
        <w:trPr>
          <w:trHeight w:val="48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35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焊口检查配合</w:t>
            </w:r>
          </w:p>
        </w:tc>
        <w:tc>
          <w:tcPr>
            <w:tcW w:w="2500" w:type="dxa"/>
            <w:tcBorders>
              <w:top w:val="nil"/>
              <w:left w:val="nil"/>
              <w:bottom w:val="single" w:color="auto" w:sz="4" w:space="0"/>
              <w:right w:val="single" w:color="auto" w:sz="4" w:space="0"/>
            </w:tcBorders>
            <w:vAlign w:val="center"/>
          </w:tcPr>
          <w:p>
            <w:pPr>
              <w:widowControl/>
              <w:jc w:val="left"/>
              <w:rPr>
                <w:rFonts w:hint="eastAsia" w:ascii="宋体" w:hAnsi="宋体" w:cs="宋体"/>
                <w:sz w:val="20"/>
                <w:szCs w:val="20"/>
                <w:highlight w:val="none"/>
              </w:rPr>
            </w:pPr>
            <w:r>
              <w:rPr>
                <w:rFonts w:hint="eastAsia" w:ascii="宋体" w:hAnsi="宋体" w:cs="宋体"/>
                <w:sz w:val="20"/>
                <w:szCs w:val="20"/>
                <w:highlight w:val="none"/>
              </w:rPr>
              <w:t>锅炉侧所有保温焊口检查</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500</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40</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400</w:t>
            </w:r>
          </w:p>
        </w:tc>
      </w:tr>
      <w:tr>
        <w:tblPrEx>
          <w:tblCellMar>
            <w:top w:w="0" w:type="dxa"/>
            <w:left w:w="108" w:type="dxa"/>
            <w:bottom w:w="0" w:type="dxa"/>
            <w:right w:w="108" w:type="dxa"/>
          </w:tblCellMar>
        </w:tblPrEx>
        <w:trPr>
          <w:trHeight w:val="48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36</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本体疏水系统系统管阀检修及调试（见管阀清单）</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27</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20</w:t>
            </w:r>
          </w:p>
        </w:tc>
      </w:tr>
      <w:tr>
        <w:tblPrEx>
          <w:tblCellMar>
            <w:top w:w="0" w:type="dxa"/>
            <w:left w:w="108" w:type="dxa"/>
            <w:bottom w:w="0" w:type="dxa"/>
            <w:right w:w="108" w:type="dxa"/>
          </w:tblCellMar>
        </w:tblPrEx>
        <w:trPr>
          <w:trHeight w:val="48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37</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抽汽系统阀门检修及调试（见管阀清单）</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20</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25</w:t>
            </w:r>
          </w:p>
        </w:tc>
      </w:tr>
      <w:tr>
        <w:tblPrEx>
          <w:tblCellMar>
            <w:top w:w="0" w:type="dxa"/>
            <w:left w:w="108" w:type="dxa"/>
            <w:bottom w:w="0" w:type="dxa"/>
            <w:right w:w="108" w:type="dxa"/>
          </w:tblCellMar>
        </w:tblPrEx>
        <w:trPr>
          <w:trHeight w:val="48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38</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给水系统阀门检修及调试（见管阀清单）</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w:t>
            </w:r>
          </w:p>
        </w:tc>
      </w:tr>
      <w:tr>
        <w:tblPrEx>
          <w:tblCellMar>
            <w:top w:w="0" w:type="dxa"/>
            <w:left w:w="108" w:type="dxa"/>
            <w:bottom w:w="0" w:type="dxa"/>
            <w:right w:w="108" w:type="dxa"/>
          </w:tblCellMar>
        </w:tblPrEx>
        <w:trPr>
          <w:trHeight w:val="48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39</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除氧器及加热器系统管阀检修及调试（见管阀清单）</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40</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高中压主汽阀、调节阀</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9</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120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41</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低旁</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42</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高旁</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3.5</w:t>
            </w:r>
          </w:p>
        </w:tc>
      </w:tr>
      <w:tr>
        <w:tblPrEx>
          <w:tblCellMar>
            <w:top w:w="0" w:type="dxa"/>
            <w:left w:w="108" w:type="dxa"/>
            <w:bottom w:w="0" w:type="dxa"/>
            <w:right w:w="108" w:type="dxa"/>
          </w:tblCellMar>
        </w:tblPrEx>
        <w:trPr>
          <w:trHeight w:val="72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43</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小机本体、轴封管道部分保温缺失污损，保面板缺失变形</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11</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20</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w:t>
            </w:r>
          </w:p>
        </w:tc>
      </w:tr>
      <w:tr>
        <w:tblPrEx>
          <w:tblCellMar>
            <w:top w:w="0" w:type="dxa"/>
            <w:left w:w="108" w:type="dxa"/>
            <w:bottom w:w="0" w:type="dxa"/>
            <w:right w:w="108" w:type="dxa"/>
          </w:tblCellMar>
        </w:tblPrEx>
        <w:trPr>
          <w:trHeight w:val="48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44</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汽泵密封水、卸荷水部分管道</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45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前置泵进口滤网</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8</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10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46</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汽机</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各疏水管道</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　</w:t>
            </w:r>
          </w:p>
        </w:tc>
        <w:tc>
          <w:tcPr>
            <w:tcW w:w="112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5</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40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nil"/>
              <w:right w:val="single" w:color="auto" w:sz="4" w:space="0"/>
            </w:tcBorders>
            <w:vAlign w:val="center"/>
          </w:tcPr>
          <w:p>
            <w:pPr>
              <w:widowControl/>
              <w:jc w:val="center"/>
              <w:rPr>
                <w:rFonts w:hint="eastAsia" w:ascii="宋体" w:hAnsi="宋体" w:cs="宋体"/>
                <w:sz w:val="22"/>
                <w:szCs w:val="22"/>
                <w:highlight w:val="none"/>
              </w:rPr>
            </w:pPr>
            <w:r>
              <w:rPr>
                <w:rFonts w:hint="eastAsia" w:ascii="宋体" w:hAnsi="宋体" w:cs="宋体"/>
                <w:sz w:val="22"/>
                <w:szCs w:val="22"/>
                <w:highlight w:val="none"/>
              </w:rPr>
              <w:t>47</w:t>
            </w:r>
          </w:p>
        </w:tc>
        <w:tc>
          <w:tcPr>
            <w:tcW w:w="1080" w:type="dxa"/>
            <w:tcBorders>
              <w:top w:val="nil"/>
              <w:left w:val="nil"/>
              <w:bottom w:val="nil"/>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w:t>
            </w:r>
          </w:p>
        </w:tc>
        <w:tc>
          <w:tcPr>
            <w:tcW w:w="2500" w:type="dxa"/>
            <w:tcBorders>
              <w:top w:val="nil"/>
              <w:left w:val="nil"/>
              <w:bottom w:val="nil"/>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仪控测点位置</w:t>
            </w:r>
          </w:p>
        </w:tc>
        <w:tc>
          <w:tcPr>
            <w:tcW w:w="1080" w:type="dxa"/>
            <w:tcBorders>
              <w:top w:val="nil"/>
              <w:left w:val="nil"/>
              <w:bottom w:val="nil"/>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60</w:t>
            </w:r>
          </w:p>
        </w:tc>
        <w:tc>
          <w:tcPr>
            <w:tcW w:w="1120" w:type="dxa"/>
            <w:tcBorders>
              <w:top w:val="nil"/>
              <w:left w:val="nil"/>
              <w:bottom w:val="nil"/>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20</w:t>
            </w:r>
          </w:p>
        </w:tc>
        <w:tc>
          <w:tcPr>
            <w:tcW w:w="1080" w:type="dxa"/>
            <w:tcBorders>
              <w:top w:val="nil"/>
              <w:left w:val="nil"/>
              <w:bottom w:val="nil"/>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20</w:t>
            </w:r>
          </w:p>
        </w:tc>
      </w:tr>
      <w:tr>
        <w:tblPrEx>
          <w:tblCellMar>
            <w:top w:w="0" w:type="dxa"/>
            <w:left w:w="108" w:type="dxa"/>
            <w:bottom w:w="0" w:type="dxa"/>
            <w:right w:w="108" w:type="dxa"/>
          </w:tblCellMar>
        </w:tblPrEx>
        <w:trPr>
          <w:trHeight w:val="270" w:hRule="atLeast"/>
        </w:trPr>
        <w:tc>
          <w:tcPr>
            <w:tcW w:w="1080" w:type="dxa"/>
            <w:tcBorders>
              <w:top w:val="nil"/>
              <w:left w:val="single" w:color="auto" w:sz="4" w:space="0"/>
              <w:bottom w:val="single" w:color="auto" w:sz="4" w:space="0"/>
              <w:right w:val="single" w:color="auto" w:sz="4" w:space="0"/>
            </w:tcBorders>
            <w:vAlign w:val="center"/>
          </w:tcPr>
          <w:p>
            <w:pPr>
              <w:widowControl/>
              <w:jc w:val="center"/>
              <w:rPr>
                <w:rFonts w:hint="eastAsia" w:ascii="宋体" w:hAnsi="宋体" w:cs="宋体"/>
                <w:sz w:val="22"/>
                <w:szCs w:val="22"/>
                <w:highlight w:val="none"/>
              </w:rPr>
            </w:pP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eastAsia="宋体" w:cs="宋体"/>
                <w:sz w:val="20"/>
                <w:szCs w:val="20"/>
                <w:highlight w:val="none"/>
                <w:lang w:val="en-US" w:eastAsia="zh-CN"/>
              </w:rPr>
            </w:pPr>
            <w:r>
              <w:rPr>
                <w:rFonts w:hint="eastAsia" w:ascii="宋体" w:hAnsi="宋体" w:cs="宋体"/>
                <w:sz w:val="20"/>
                <w:szCs w:val="20"/>
                <w:highlight w:val="none"/>
                <w:lang w:val="en-US" w:eastAsia="zh-CN"/>
              </w:rPr>
              <w:t>公用</w:t>
            </w:r>
          </w:p>
        </w:tc>
        <w:tc>
          <w:tcPr>
            <w:tcW w:w="250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r>
              <w:rPr>
                <w:rFonts w:hint="eastAsia" w:ascii="宋体" w:hAnsi="宋体" w:cs="宋体"/>
                <w:sz w:val="20"/>
                <w:szCs w:val="20"/>
                <w:highlight w:val="none"/>
              </w:rPr>
              <w:t>额外增加预估</w:t>
            </w:r>
          </w:p>
        </w:tc>
        <w:tc>
          <w:tcPr>
            <w:tcW w:w="1080" w:type="dxa"/>
            <w:tcBorders>
              <w:top w:val="nil"/>
              <w:left w:val="nil"/>
              <w:bottom w:val="single" w:color="auto" w:sz="4" w:space="0"/>
              <w:right w:val="single" w:color="auto" w:sz="4" w:space="0"/>
            </w:tcBorders>
            <w:vAlign w:val="center"/>
          </w:tcPr>
          <w:p>
            <w:pPr>
              <w:widowControl/>
              <w:jc w:val="center"/>
              <w:rPr>
                <w:rFonts w:hint="eastAsia" w:ascii="宋体" w:hAnsi="宋体" w:cs="宋体"/>
                <w:sz w:val="20"/>
                <w:szCs w:val="20"/>
                <w:highlight w:val="none"/>
              </w:rPr>
            </w:pPr>
          </w:p>
        </w:tc>
        <w:tc>
          <w:tcPr>
            <w:tcW w:w="1120" w:type="dxa"/>
            <w:tcBorders>
              <w:top w:val="nil"/>
              <w:left w:val="nil"/>
              <w:bottom w:val="single" w:color="auto" w:sz="4" w:space="0"/>
              <w:right w:val="single" w:color="auto" w:sz="4" w:space="0"/>
            </w:tcBorders>
            <w:vAlign w:val="center"/>
          </w:tcPr>
          <w:p>
            <w:pPr>
              <w:widowControl/>
              <w:jc w:val="center"/>
              <w:rPr>
                <w:rFonts w:hint="default" w:ascii="宋体" w:hAnsi="宋体" w:eastAsia="宋体" w:cs="宋体"/>
                <w:sz w:val="20"/>
                <w:szCs w:val="20"/>
                <w:highlight w:val="none"/>
                <w:lang w:val="en-US" w:eastAsia="zh-CN"/>
              </w:rPr>
            </w:pPr>
            <w:r>
              <w:rPr>
                <w:rFonts w:hint="eastAsia" w:ascii="宋体" w:hAnsi="宋体" w:cs="宋体"/>
                <w:sz w:val="20"/>
                <w:szCs w:val="20"/>
                <w:highlight w:val="none"/>
                <w:lang w:val="en-US" w:eastAsia="zh-CN"/>
              </w:rPr>
              <w:t>200</w:t>
            </w:r>
          </w:p>
        </w:tc>
        <w:tc>
          <w:tcPr>
            <w:tcW w:w="1080" w:type="dxa"/>
            <w:tcBorders>
              <w:top w:val="nil"/>
              <w:left w:val="nil"/>
              <w:bottom w:val="single" w:color="auto" w:sz="4" w:space="0"/>
              <w:right w:val="single" w:color="auto" w:sz="4" w:space="0"/>
            </w:tcBorders>
            <w:vAlign w:val="center"/>
          </w:tcPr>
          <w:p>
            <w:pPr>
              <w:widowControl/>
              <w:jc w:val="center"/>
              <w:rPr>
                <w:rFonts w:hint="default" w:ascii="宋体" w:hAnsi="宋体" w:eastAsia="宋体" w:cs="宋体"/>
                <w:sz w:val="20"/>
                <w:szCs w:val="20"/>
                <w:highlight w:val="none"/>
                <w:lang w:val="en-US" w:eastAsia="zh-CN"/>
              </w:rPr>
            </w:pPr>
            <w:r>
              <w:rPr>
                <w:rFonts w:hint="eastAsia" w:ascii="宋体" w:hAnsi="宋体" w:cs="宋体"/>
                <w:sz w:val="20"/>
                <w:szCs w:val="20"/>
                <w:highlight w:val="none"/>
                <w:lang w:val="en-US" w:eastAsia="zh-CN"/>
              </w:rPr>
              <w:t>1000</w:t>
            </w:r>
          </w:p>
        </w:tc>
      </w:tr>
    </w:tbl>
    <w:p>
      <w:pPr>
        <w:pStyle w:val="17"/>
        <w:rPr>
          <w:highlight w:val="none"/>
        </w:rPr>
      </w:pPr>
    </w:p>
    <w:bookmarkEnd w:id="20"/>
    <w:sectPr>
      <w:headerReference r:id="rId16" w:type="default"/>
      <w:footerReference r:id="rId17" w:type="default"/>
      <w:pgSz w:w="11906" w:h="16838"/>
      <w:pgMar w:top="1440" w:right="1800" w:bottom="1440" w:left="1800" w:header="851" w:footer="992" w:gutter="0"/>
      <w:cols w:space="425"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宋体_x0004_fal">
    <w:altName w:val="宋体"/>
    <w:panose1 w:val="02010600030101010101"/>
    <w:charset w:val="00"/>
    <w:family w:val="auto"/>
    <w:pitch w:val="default"/>
    <w:sig w:usb0="00000000" w:usb1="00000000" w:usb2="00000000" w:usb3="00000000" w:csb0="00000000" w:csb1="00000000"/>
  </w:font>
  <w:font w:name="Book Antiqua">
    <w:panose1 w:val="02040602050305030304"/>
    <w:charset w:val="00"/>
    <w:family w:val="auto"/>
    <w:pitch w:val="default"/>
    <w:sig w:usb0="00000287" w:usb1="00000000" w:usb2="00000000" w:usb3="00000000" w:csb0="2000009F" w:csb1="DFD7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jc w:val="center"/>
    </w:pPr>
  </w:p>
  <w:p>
    <w:pPr>
      <w:pStyle w:val="25"/>
      <w:jc w:val="center"/>
    </w:pPr>
    <w:r>
      <w:rPr>
        <w:lang w:val="zh-CN"/>
      </w:rPr>
      <w:t xml:space="preserve"> </w:t>
    </w:r>
  </w:p>
  <w:p>
    <w:pPr>
      <w:pStyle w:val="2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3"/>
      <w:tabs>
        <w:tab w:val="clear" w:pos="4153"/>
        <w:tab w:val="clear" w:pos="8306"/>
      </w:tabs>
    </w:pPr>
    <w:r>
      <mc:AlternateContent>
        <mc:Choice Requires="wps">
          <w:drawing>
            <wp:anchor distT="0" distB="0" distL="114300" distR="114300" simplePos="0" relativeHeight="251689984" behindDoc="0" locked="0" layoutInCell="1" allowOverlap="1">
              <wp:simplePos x="0" y="0"/>
              <wp:positionH relativeFrom="margin">
                <wp:align>center</wp:align>
              </wp:positionH>
              <wp:positionV relativeFrom="paragraph">
                <wp:posOffset>0</wp:posOffset>
              </wp:positionV>
              <wp:extent cx="269240" cy="142240"/>
              <wp:effectExtent l="3175" t="3175" r="3175" b="3175"/>
              <wp:wrapNone/>
              <wp:docPr id="2" name="_x0000_s200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69240" cy="142240"/>
                      </a:xfrm>
                      <a:prstGeom prst="rect">
                        <a:avLst/>
                      </a:prstGeom>
                      <a:noFill/>
                      <a:ln>
                        <a:noFill/>
                      </a:ln>
                    </wps:spPr>
                    <wps:style>
                      <a:lnRef idx="0">
                        <a:srgbClr val="FFFFFF"/>
                      </a:lnRef>
                      <a:fillRef idx="0">
                        <a:srgbClr val="FFFFFF"/>
                      </a:fillRef>
                      <a:effectRef idx="0">
                        <a:schemeClr val="accent1"/>
                      </a:effectRef>
                      <a:fontRef idx="minor">
                        <a:schemeClr val="dk1"/>
                      </a:fontRef>
                    </wps:style>
                    <wps:txbx>
                      <w:txbxContent>
                        <w:p>
                          <w:pPr>
                            <w:pStyle w:val="233"/>
                          </w:pPr>
                          <w:r>
                            <w:rPr>
                              <w:rFonts w:hint="eastAsia"/>
                            </w:rPr>
                            <w:fldChar w:fldCharType="begin"/>
                          </w:r>
                          <w:r>
                            <w:rPr>
                              <w:rFonts w:hint="eastAsia"/>
                            </w:rPr>
                            <w:instrText xml:space="preserve"> PAGE  \* MERGEFORMAT </w:instrText>
                          </w:r>
                          <w:r>
                            <w:rPr>
                              <w:rFonts w:hint="eastAsia"/>
                            </w:rPr>
                            <w:fldChar w:fldCharType="separate"/>
                          </w:r>
                          <w:r>
                            <w:rPr>
                              <w:rFonts w:hint="eastAsia"/>
                            </w:rPr>
                            <w:t>44</w:t>
                          </w:r>
                          <w:r>
                            <w:rPr>
                              <w:rFonts w:hint="eastAsia"/>
                            </w:rPr>
                            <w:fldChar w:fldCharType="end"/>
                          </w:r>
                        </w:p>
                      </w:txbxContent>
                    </wps:txbx>
                    <wps:bodyPr rot="0" spcFirstLastPara="0" vertOverflow="overflow" horzOverflow="overflow" vert="horz" wrap="square" lIns="0" tIns="0" rIns="0" bIns="0" numCol="1" rtlCol="0" anchor="t">
                      <a:noAutofit/>
                    </wps:bodyPr>
                  </wps:wsp>
                </a:graphicData>
              </a:graphic>
            </wp:anchor>
          </w:drawing>
        </mc:Choice>
        <mc:Fallback>
          <w:pict>
            <v:rect id="_x0000_s2009" o:spid="_x0000_s1026" o:spt="1" style="position:absolute;left:0pt;margin-top:0pt;height:11.2pt;width:21.2pt;mso-position-horizontal:center;mso-position-horizontal-relative:margin;z-index:251689984;mso-width-relative:page;mso-height-relative:page;" filled="f" stroked="f" coordsize="21600,21600" o:gfxdata="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Ijk6BDUAAAAAwEAAA8AAAAAAAAAAQAg&#10;AAAAIgAAAGRycy9kb3ducmV2LnhtbFBLAQIUABQAAAAIAIdO4kA2+HJ4EgIAADgEAAAOAAAAAAAA&#10;AAEAIAAAACMBAABkcnMvZTJvRG9jLnhtbFBLBQYAAAAABgAGAFkBAACnBQAAAAA=&#10;">
              <v:fill on="f" focussize="0,0"/>
              <v:stroke on="f"/>
              <v:imagedata o:title=""/>
              <o:lock v:ext="edit" aspectratio="t"/>
              <v:textbox inset="0mm,0mm,0mm,0mm">
                <w:txbxContent>
                  <w:p>
                    <w:pPr>
                      <w:pStyle w:val="233"/>
                    </w:pPr>
                    <w:r>
                      <w:rPr>
                        <w:rFonts w:hint="eastAsia"/>
                      </w:rPr>
                      <w:fldChar w:fldCharType="begin"/>
                    </w:r>
                    <w:r>
                      <w:rPr>
                        <w:rFonts w:hint="eastAsia"/>
                      </w:rPr>
                      <w:instrText xml:space="preserve"> PAGE  \* MERGEFORMAT </w:instrText>
                    </w:r>
                    <w:r>
                      <w:rPr>
                        <w:rFonts w:hint="eastAsia"/>
                      </w:rPr>
                      <w:fldChar w:fldCharType="separate"/>
                    </w:r>
                    <w:r>
                      <w:rPr>
                        <w:rFonts w:hint="eastAsia"/>
                      </w:rPr>
                      <w:t>44</w:t>
                    </w:r>
                    <w:r>
                      <w:rPr>
                        <w:rFonts w:hint="eastAsia"/>
                      </w:rPr>
                      <w:fldChar w:fldCharType="end"/>
                    </w:r>
                  </w:p>
                </w:txbxContent>
              </v:textbox>
            </v:rect>
          </w:pict>
        </mc:Fallback>
      </mc:AlternateContent>
    </w:r>
    <w:r>
      <w:tab/>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3"/>
    </w:pPr>
    <w:r>
      <mc:AlternateContent>
        <mc:Choice Requires="wps">
          <w:drawing>
            <wp:anchor distT="0" distB="0" distL="114300" distR="114300" simplePos="0" relativeHeight="251691008"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_x0000_s20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0" cy="1828800"/>
                      </a:xfrm>
                      <a:prstGeom prst="rect">
                        <a:avLst/>
                      </a:prstGeom>
                      <a:noFill/>
                      <a:ln>
                        <a:noFill/>
                      </a:ln>
                    </wps:spPr>
                    <wps:style>
                      <a:lnRef idx="0">
                        <a:srgbClr val="FFFFFF"/>
                      </a:lnRef>
                      <a:fillRef idx="0">
                        <a:srgbClr val="FFFFFF"/>
                      </a:fillRef>
                      <a:effectRef idx="0">
                        <a:schemeClr val="accent1"/>
                      </a:effectRef>
                      <a:fontRef idx="minor">
                        <a:schemeClr val="dk1"/>
                      </a:fontRef>
                    </wps:style>
                    <wps:txbx>
                      <w:txbxContent>
                        <w:p>
                          <w:pPr>
                            <w:pStyle w:val="233"/>
                          </w:pPr>
                          <w:r>
                            <w:rPr>
                              <w:rFonts w:hint="eastAsia"/>
                            </w:rPr>
                            <w:fldChar w:fldCharType="begin"/>
                          </w:r>
                          <w:r>
                            <w:rPr>
                              <w:rFonts w:hint="eastAsia"/>
                            </w:rPr>
                            <w:instrText xml:space="preserve"> PAGE  \* MERGEFORMAT </w:instrText>
                          </w:r>
                          <w:r>
                            <w:rPr>
                              <w:rFonts w:hint="eastAsia"/>
                            </w:rPr>
                            <w:fldChar w:fldCharType="separate"/>
                          </w:r>
                          <w:r>
                            <w:rPr>
                              <w:rFonts w:hint="eastAsia"/>
                            </w:rPr>
                            <w:t>44</w:t>
                          </w:r>
                          <w:r>
                            <w:rPr>
                              <w:rFonts w:hint="eastAsia"/>
                            </w:rPr>
                            <w:fldChar w:fldCharType="end"/>
                          </w:r>
                        </w:p>
                      </w:txbxContent>
                    </wps:txbx>
                    <wps:bodyPr rot="0" spcFirstLastPara="0" vertOverflow="overflow" horzOverflow="overflow" vert="horz" wrap="none" lIns="0" tIns="0" rIns="0" bIns="0" numCol="1" rtlCol="0" anchor="t">
                      <a:spAutoFit/>
                    </wps:bodyPr>
                  </wps:wsp>
                </a:graphicData>
              </a:graphic>
            </wp:anchor>
          </w:drawing>
        </mc:Choice>
        <mc:Fallback>
          <w:pict>
            <v:rect id="_x0000_s2010" o:spid="_x0000_s1026" o:spt="1" style="position:absolute;left:0pt;margin-top:0pt;height:144pt;width:144pt;mso-position-horizontal:center;mso-position-horizontal-relative:margin;mso-wrap-style:none;z-index:25169100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5dblS0AAAAAUBAAAPAAAAAAAAAAEAIAAAACIAAABk&#10;cnMvZG93bnJldi54bWxQSwECFAAUAAAACACHTuJAFZRrmA4CAAA5BAAADgAAAAAAAAABACAAAAAf&#10;AQAAZHJzL2Uyb0RvYy54bWxQSwUGAAAAAAYABgBZAQAAnwUAAAAA&#10;">
              <v:fill on="f" focussize="0,0"/>
              <v:stroke on="f"/>
              <v:imagedata o:title=""/>
              <o:lock v:ext="edit" aspectratio="t"/>
              <v:textbox inset="0mm,0mm,0mm,0mm" style="mso-fit-shape-to-text:t;">
                <w:txbxContent>
                  <w:p>
                    <w:pPr>
                      <w:pStyle w:val="233"/>
                    </w:pPr>
                    <w:r>
                      <w:rPr>
                        <w:rFonts w:hint="eastAsia"/>
                      </w:rPr>
                      <w:fldChar w:fldCharType="begin"/>
                    </w:r>
                    <w:r>
                      <w:rPr>
                        <w:rFonts w:hint="eastAsia"/>
                      </w:rPr>
                      <w:instrText xml:space="preserve"> PAGE  \* MERGEFORMAT </w:instrText>
                    </w:r>
                    <w:r>
                      <w:rPr>
                        <w:rFonts w:hint="eastAsia"/>
                      </w:rPr>
                      <w:fldChar w:fldCharType="separate"/>
                    </w:r>
                    <w:r>
                      <w:rPr>
                        <w:rFonts w:hint="eastAsia"/>
                      </w:rPr>
                      <w:t>44</w:t>
                    </w:r>
                    <w:r>
                      <w:rPr>
                        <w:rFonts w:hint="eastAsia"/>
                      </w:rP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t>45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pPr>
    <w:r>
      <w:rPr>
        <w:rFonts w:hint="eastAsia"/>
      </w:rPr>
      <w:t>浙江浙能乐清发电有限责任公司                 2025年#1机A修、#2机C修J2标段项目技术规范书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4"/>
    </w:pPr>
    <w:r>
      <w:rPr>
        <w:rFonts w:hint="eastAsia"/>
      </w:rPr>
      <w:t>浙江浙能乐清发电有限责任公司                                   2026年#3机A修J2标段项目技术规范书</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4"/>
    </w:pPr>
    <w:r>
      <w:rPr>
        <w:rFonts w:hint="eastAsia"/>
      </w:rPr>
      <w:t>浙江浙能乐清发电有限责任公司                                          2026年#3机A修J2标段项目技术规范书</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4"/>
    </w:pPr>
    <w:r>
      <w:rPr>
        <w:rFonts w:hint="eastAsia"/>
      </w:rPr>
      <w:t>浙江浙能乐清发电有限责任公司                                   2026年#3机A修J2标段项目技术规范书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39341B"/>
    <w:multiLevelType w:val="multilevel"/>
    <w:tmpl w:val="9239341B"/>
    <w:lvl w:ilvl="0" w:tentative="0">
      <w:start w:val="1"/>
      <w:numFmt w:val="decimal"/>
      <w:lvlText w:val="%1)"/>
      <w:lvlJc w:val="left"/>
      <w:pPr>
        <w:ind w:left="845" w:hanging="420"/>
      </w:pPr>
      <w:rPr>
        <w:rFonts w:hint="eastAsia" w:ascii="宋体" w:hAnsi="宋体" w:eastAsia="宋体"/>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1">
    <w:nsid w:val="9C8AC8EF"/>
    <w:multiLevelType w:val="multilevel"/>
    <w:tmpl w:val="9C8AC8EF"/>
    <w:lvl w:ilvl="0" w:tentative="0">
      <w:start w:val="1"/>
      <w:numFmt w:val="decimal"/>
      <w:lvlText w:val="%1)"/>
      <w:lvlJc w:val="left"/>
      <w:pPr>
        <w:ind w:left="425" w:hanging="425"/>
      </w:pPr>
      <w:rPr>
        <w:rFonts w:hint="default"/>
      </w:rPr>
    </w:lvl>
    <w:lvl w:ilvl="1" w:tentative="0">
      <w:start w:val="1"/>
      <w:numFmt w:val="bullet"/>
      <w:lvlText w:val="o"/>
      <w:lvlJc w:val="left"/>
      <w:pPr>
        <w:ind w:left="1440" w:hanging="360"/>
      </w:pPr>
      <w:rPr>
        <w:rFonts w:hint="default" w:ascii="Courier New" w:hAnsi="Courier New" w:eastAsia="Courier New" w:cs="Courier New"/>
      </w:rPr>
    </w:lvl>
    <w:lvl w:ilvl="2" w:tentative="0">
      <w:start w:val="1"/>
      <w:numFmt w:val="bullet"/>
      <w:lvlText w:val="§"/>
      <w:lvlJc w:val="left"/>
      <w:pPr>
        <w:ind w:left="2160" w:hanging="360"/>
      </w:pPr>
      <w:rPr>
        <w:rFonts w:hint="default" w:ascii="Wingdings" w:hAnsi="Wingdings" w:eastAsia="Wingdings" w:cs="Wingdings"/>
      </w:rPr>
    </w:lvl>
    <w:lvl w:ilvl="3" w:tentative="0">
      <w:start w:val="1"/>
      <w:numFmt w:val="bullet"/>
      <w:lvlText w:val="·"/>
      <w:lvlJc w:val="left"/>
      <w:pPr>
        <w:ind w:left="2880" w:hanging="360"/>
      </w:pPr>
      <w:rPr>
        <w:rFonts w:hint="default" w:ascii="Symbol" w:hAnsi="Symbol" w:eastAsia="Symbol" w:cs="Symbol"/>
      </w:rPr>
    </w:lvl>
    <w:lvl w:ilvl="4" w:tentative="0">
      <w:start w:val="1"/>
      <w:numFmt w:val="bullet"/>
      <w:lvlText w:val="o"/>
      <w:lvlJc w:val="left"/>
      <w:pPr>
        <w:ind w:left="3600" w:hanging="360"/>
      </w:pPr>
      <w:rPr>
        <w:rFonts w:hint="default" w:ascii="Courier New" w:hAnsi="Courier New" w:eastAsia="Courier New" w:cs="Courier New"/>
      </w:rPr>
    </w:lvl>
    <w:lvl w:ilvl="5" w:tentative="0">
      <w:start w:val="1"/>
      <w:numFmt w:val="bullet"/>
      <w:lvlText w:val="§"/>
      <w:lvlJc w:val="left"/>
      <w:pPr>
        <w:ind w:left="4320" w:hanging="360"/>
      </w:pPr>
      <w:rPr>
        <w:rFonts w:hint="default" w:ascii="Wingdings" w:hAnsi="Wingdings" w:eastAsia="Wingdings" w:cs="Wingdings"/>
      </w:rPr>
    </w:lvl>
    <w:lvl w:ilvl="6" w:tentative="0">
      <w:start w:val="1"/>
      <w:numFmt w:val="bullet"/>
      <w:lvlText w:val="·"/>
      <w:lvlJc w:val="left"/>
      <w:pPr>
        <w:ind w:left="5040" w:hanging="360"/>
      </w:pPr>
      <w:rPr>
        <w:rFonts w:hint="default" w:ascii="Symbol" w:hAnsi="Symbol" w:eastAsia="Symbol" w:cs="Symbol"/>
      </w:rPr>
    </w:lvl>
    <w:lvl w:ilvl="7" w:tentative="0">
      <w:start w:val="1"/>
      <w:numFmt w:val="bullet"/>
      <w:lvlText w:val="o"/>
      <w:lvlJc w:val="left"/>
      <w:pPr>
        <w:ind w:left="5760" w:hanging="360"/>
      </w:pPr>
      <w:rPr>
        <w:rFonts w:hint="default" w:ascii="Courier New" w:hAnsi="Courier New" w:eastAsia="Courier New" w:cs="Courier New"/>
      </w:rPr>
    </w:lvl>
    <w:lvl w:ilvl="8" w:tentative="0">
      <w:start w:val="1"/>
      <w:numFmt w:val="bullet"/>
      <w:lvlText w:val="§"/>
      <w:lvlJc w:val="left"/>
      <w:pPr>
        <w:ind w:left="6480" w:hanging="360"/>
      </w:pPr>
      <w:rPr>
        <w:rFonts w:hint="default" w:ascii="Wingdings" w:hAnsi="Wingdings" w:eastAsia="Wingdings" w:cs="Wingdings"/>
      </w:rPr>
    </w:lvl>
  </w:abstractNum>
  <w:abstractNum w:abstractNumId="2">
    <w:nsid w:val="B5E306ED"/>
    <w:multiLevelType w:val="multilevel"/>
    <w:tmpl w:val="B5E306ED"/>
    <w:lvl w:ilvl="0" w:tentative="0">
      <w:start w:val="1"/>
      <w:numFmt w:val="decimal"/>
      <w:lvlText w:val="%1)"/>
      <w:lvlJc w:val="left"/>
      <w:pPr>
        <w:ind w:left="425" w:hanging="425"/>
      </w:pPr>
      <w:rPr>
        <w:rFonts w:hint="default" w:ascii="宋体" w:hAnsi="宋体" w:eastAsia="宋体" w:cs="宋体"/>
        <w:sz w:val="24"/>
        <w:szCs w:val="24"/>
      </w:rPr>
    </w:lvl>
    <w:lvl w:ilvl="1" w:tentative="0">
      <w:start w:val="1"/>
      <w:numFmt w:val="bullet"/>
      <w:lvlText w:val="o"/>
      <w:lvlJc w:val="left"/>
      <w:pPr>
        <w:ind w:left="1440" w:hanging="360"/>
      </w:pPr>
      <w:rPr>
        <w:rFonts w:hint="default" w:ascii="Courier New" w:hAnsi="Courier New" w:eastAsia="Courier New" w:cs="Courier New"/>
      </w:rPr>
    </w:lvl>
    <w:lvl w:ilvl="2" w:tentative="0">
      <w:start w:val="1"/>
      <w:numFmt w:val="bullet"/>
      <w:lvlText w:val="§"/>
      <w:lvlJc w:val="left"/>
      <w:pPr>
        <w:ind w:left="2160" w:hanging="360"/>
      </w:pPr>
      <w:rPr>
        <w:rFonts w:hint="default" w:ascii="Wingdings" w:hAnsi="Wingdings" w:eastAsia="Wingdings" w:cs="Wingdings"/>
      </w:rPr>
    </w:lvl>
    <w:lvl w:ilvl="3" w:tentative="0">
      <w:start w:val="1"/>
      <w:numFmt w:val="bullet"/>
      <w:lvlText w:val="·"/>
      <w:lvlJc w:val="left"/>
      <w:pPr>
        <w:ind w:left="2880" w:hanging="360"/>
      </w:pPr>
      <w:rPr>
        <w:rFonts w:hint="default" w:ascii="Symbol" w:hAnsi="Symbol" w:eastAsia="Symbol" w:cs="Symbol"/>
      </w:rPr>
    </w:lvl>
    <w:lvl w:ilvl="4" w:tentative="0">
      <w:start w:val="1"/>
      <w:numFmt w:val="bullet"/>
      <w:lvlText w:val="o"/>
      <w:lvlJc w:val="left"/>
      <w:pPr>
        <w:ind w:left="3600" w:hanging="360"/>
      </w:pPr>
      <w:rPr>
        <w:rFonts w:hint="default" w:ascii="Courier New" w:hAnsi="Courier New" w:eastAsia="Courier New" w:cs="Courier New"/>
      </w:rPr>
    </w:lvl>
    <w:lvl w:ilvl="5" w:tentative="0">
      <w:start w:val="1"/>
      <w:numFmt w:val="bullet"/>
      <w:lvlText w:val="§"/>
      <w:lvlJc w:val="left"/>
      <w:pPr>
        <w:ind w:left="4320" w:hanging="360"/>
      </w:pPr>
      <w:rPr>
        <w:rFonts w:hint="default" w:ascii="Wingdings" w:hAnsi="Wingdings" w:eastAsia="Wingdings" w:cs="Wingdings"/>
      </w:rPr>
    </w:lvl>
    <w:lvl w:ilvl="6" w:tentative="0">
      <w:start w:val="1"/>
      <w:numFmt w:val="bullet"/>
      <w:lvlText w:val="·"/>
      <w:lvlJc w:val="left"/>
      <w:pPr>
        <w:ind w:left="5040" w:hanging="360"/>
      </w:pPr>
      <w:rPr>
        <w:rFonts w:hint="default" w:ascii="Symbol" w:hAnsi="Symbol" w:eastAsia="Symbol" w:cs="Symbol"/>
      </w:rPr>
    </w:lvl>
    <w:lvl w:ilvl="7" w:tentative="0">
      <w:start w:val="1"/>
      <w:numFmt w:val="bullet"/>
      <w:lvlText w:val="o"/>
      <w:lvlJc w:val="left"/>
      <w:pPr>
        <w:ind w:left="5760" w:hanging="360"/>
      </w:pPr>
      <w:rPr>
        <w:rFonts w:hint="default" w:ascii="Courier New" w:hAnsi="Courier New" w:eastAsia="Courier New" w:cs="Courier New"/>
      </w:rPr>
    </w:lvl>
    <w:lvl w:ilvl="8" w:tentative="0">
      <w:start w:val="1"/>
      <w:numFmt w:val="bullet"/>
      <w:lvlText w:val="§"/>
      <w:lvlJc w:val="left"/>
      <w:pPr>
        <w:ind w:left="6480" w:hanging="360"/>
      </w:pPr>
      <w:rPr>
        <w:rFonts w:hint="default" w:ascii="Wingdings" w:hAnsi="Wingdings" w:eastAsia="Wingdings" w:cs="Wingdings"/>
      </w:rPr>
    </w:lvl>
  </w:abstractNum>
  <w:abstractNum w:abstractNumId="3">
    <w:nsid w:val="BF205925"/>
    <w:multiLevelType w:val="multilevel"/>
    <w:tmpl w:val="BF205925"/>
    <w:lvl w:ilvl="0" w:tentative="0">
      <w:start w:val="1"/>
      <w:numFmt w:val="decimal"/>
      <w:lvlText w:val="%1)"/>
      <w:lvlJc w:val="left"/>
      <w:pPr>
        <w:ind w:left="845" w:hanging="420"/>
      </w:pPr>
      <w:rPr>
        <w:rFonts w:hint="eastAsia" w:ascii="宋体" w:hAnsi="宋体" w:eastAsia="宋体"/>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4">
    <w:nsid w:val="C8879AEF"/>
    <w:multiLevelType w:val="multilevel"/>
    <w:tmpl w:val="C8879AEF"/>
    <w:lvl w:ilvl="0" w:tentative="0">
      <w:start w:val="1"/>
      <w:numFmt w:val="decimal"/>
      <w:lvlText w:val="%1)"/>
      <w:lvlJc w:val="left"/>
      <w:pPr>
        <w:ind w:left="425" w:hanging="425"/>
      </w:pPr>
      <w:rPr>
        <w:rFonts w:hint="default" w:ascii="宋体" w:hAnsi="宋体" w:eastAsia="宋体" w:cs="宋体"/>
        <w:sz w:val="24"/>
        <w:szCs w:val="24"/>
      </w:rPr>
    </w:lvl>
    <w:lvl w:ilvl="1" w:tentative="0">
      <w:start w:val="1"/>
      <w:numFmt w:val="bullet"/>
      <w:lvlText w:val="o"/>
      <w:lvlJc w:val="left"/>
      <w:pPr>
        <w:ind w:left="1440" w:hanging="360"/>
      </w:pPr>
      <w:rPr>
        <w:rFonts w:hint="default" w:ascii="Courier New" w:hAnsi="Courier New" w:eastAsia="Courier New" w:cs="Courier New"/>
      </w:rPr>
    </w:lvl>
    <w:lvl w:ilvl="2" w:tentative="0">
      <w:start w:val="1"/>
      <w:numFmt w:val="bullet"/>
      <w:lvlText w:val="§"/>
      <w:lvlJc w:val="left"/>
      <w:pPr>
        <w:ind w:left="2160" w:hanging="360"/>
      </w:pPr>
      <w:rPr>
        <w:rFonts w:hint="default" w:ascii="Wingdings" w:hAnsi="Wingdings" w:eastAsia="Wingdings" w:cs="Wingdings"/>
      </w:rPr>
    </w:lvl>
    <w:lvl w:ilvl="3" w:tentative="0">
      <w:start w:val="1"/>
      <w:numFmt w:val="bullet"/>
      <w:lvlText w:val="·"/>
      <w:lvlJc w:val="left"/>
      <w:pPr>
        <w:ind w:left="2880" w:hanging="360"/>
      </w:pPr>
      <w:rPr>
        <w:rFonts w:hint="default" w:ascii="Symbol" w:hAnsi="Symbol" w:eastAsia="Symbol" w:cs="Symbol"/>
      </w:rPr>
    </w:lvl>
    <w:lvl w:ilvl="4" w:tentative="0">
      <w:start w:val="1"/>
      <w:numFmt w:val="bullet"/>
      <w:lvlText w:val="o"/>
      <w:lvlJc w:val="left"/>
      <w:pPr>
        <w:ind w:left="3600" w:hanging="360"/>
      </w:pPr>
      <w:rPr>
        <w:rFonts w:hint="default" w:ascii="Courier New" w:hAnsi="Courier New" w:eastAsia="Courier New" w:cs="Courier New"/>
      </w:rPr>
    </w:lvl>
    <w:lvl w:ilvl="5" w:tentative="0">
      <w:start w:val="1"/>
      <w:numFmt w:val="bullet"/>
      <w:lvlText w:val="§"/>
      <w:lvlJc w:val="left"/>
      <w:pPr>
        <w:ind w:left="4320" w:hanging="360"/>
      </w:pPr>
      <w:rPr>
        <w:rFonts w:hint="default" w:ascii="Wingdings" w:hAnsi="Wingdings" w:eastAsia="Wingdings" w:cs="Wingdings"/>
      </w:rPr>
    </w:lvl>
    <w:lvl w:ilvl="6" w:tentative="0">
      <w:start w:val="1"/>
      <w:numFmt w:val="bullet"/>
      <w:lvlText w:val="·"/>
      <w:lvlJc w:val="left"/>
      <w:pPr>
        <w:ind w:left="5040" w:hanging="360"/>
      </w:pPr>
      <w:rPr>
        <w:rFonts w:hint="default" w:ascii="Symbol" w:hAnsi="Symbol" w:eastAsia="Symbol" w:cs="Symbol"/>
      </w:rPr>
    </w:lvl>
    <w:lvl w:ilvl="7" w:tentative="0">
      <w:start w:val="1"/>
      <w:numFmt w:val="bullet"/>
      <w:lvlText w:val="o"/>
      <w:lvlJc w:val="left"/>
      <w:pPr>
        <w:ind w:left="5760" w:hanging="360"/>
      </w:pPr>
      <w:rPr>
        <w:rFonts w:hint="default" w:ascii="Courier New" w:hAnsi="Courier New" w:eastAsia="Courier New" w:cs="Courier New"/>
      </w:rPr>
    </w:lvl>
    <w:lvl w:ilvl="8" w:tentative="0">
      <w:start w:val="1"/>
      <w:numFmt w:val="bullet"/>
      <w:lvlText w:val="§"/>
      <w:lvlJc w:val="left"/>
      <w:pPr>
        <w:ind w:left="6480" w:hanging="360"/>
      </w:pPr>
      <w:rPr>
        <w:rFonts w:hint="default" w:ascii="Wingdings" w:hAnsi="Wingdings" w:eastAsia="Wingdings" w:cs="Wingdings"/>
      </w:rPr>
    </w:lvl>
  </w:abstractNum>
  <w:abstractNum w:abstractNumId="5">
    <w:nsid w:val="CF092B84"/>
    <w:multiLevelType w:val="multilevel"/>
    <w:tmpl w:val="CF092B84"/>
    <w:lvl w:ilvl="0" w:tentative="0">
      <w:start w:val="4"/>
      <w:numFmt w:val="decimal"/>
      <w:suff w:val="space"/>
      <w:lvlText w:val="%1."/>
      <w:lvlJc w:val="left"/>
    </w:lvl>
    <w:lvl w:ilvl="1" w:tentative="0">
      <w:start w:val="1"/>
      <w:numFmt w:val="bullet"/>
      <w:lvlText w:val="o"/>
      <w:lvlJc w:val="left"/>
      <w:pPr>
        <w:ind w:left="1440" w:hanging="360"/>
      </w:pPr>
      <w:rPr>
        <w:rFonts w:hint="default" w:ascii="Courier New" w:hAnsi="Courier New" w:eastAsia="Courier New" w:cs="Courier New"/>
      </w:rPr>
    </w:lvl>
    <w:lvl w:ilvl="2" w:tentative="0">
      <w:start w:val="1"/>
      <w:numFmt w:val="bullet"/>
      <w:lvlText w:val="§"/>
      <w:lvlJc w:val="left"/>
      <w:pPr>
        <w:ind w:left="2160" w:hanging="360"/>
      </w:pPr>
      <w:rPr>
        <w:rFonts w:hint="default" w:ascii="Wingdings" w:hAnsi="Wingdings" w:eastAsia="Wingdings" w:cs="Wingdings"/>
      </w:rPr>
    </w:lvl>
    <w:lvl w:ilvl="3" w:tentative="0">
      <w:start w:val="1"/>
      <w:numFmt w:val="bullet"/>
      <w:lvlText w:val="·"/>
      <w:lvlJc w:val="left"/>
      <w:pPr>
        <w:ind w:left="2880" w:hanging="360"/>
      </w:pPr>
      <w:rPr>
        <w:rFonts w:hint="default" w:ascii="Symbol" w:hAnsi="Symbol" w:eastAsia="Symbol" w:cs="Symbol"/>
      </w:rPr>
    </w:lvl>
    <w:lvl w:ilvl="4" w:tentative="0">
      <w:start w:val="1"/>
      <w:numFmt w:val="bullet"/>
      <w:lvlText w:val="o"/>
      <w:lvlJc w:val="left"/>
      <w:pPr>
        <w:ind w:left="3600" w:hanging="360"/>
      </w:pPr>
      <w:rPr>
        <w:rFonts w:hint="default" w:ascii="Courier New" w:hAnsi="Courier New" w:eastAsia="Courier New" w:cs="Courier New"/>
      </w:rPr>
    </w:lvl>
    <w:lvl w:ilvl="5" w:tentative="0">
      <w:start w:val="1"/>
      <w:numFmt w:val="bullet"/>
      <w:lvlText w:val="§"/>
      <w:lvlJc w:val="left"/>
      <w:pPr>
        <w:ind w:left="4320" w:hanging="360"/>
      </w:pPr>
      <w:rPr>
        <w:rFonts w:hint="default" w:ascii="Wingdings" w:hAnsi="Wingdings" w:eastAsia="Wingdings" w:cs="Wingdings"/>
      </w:rPr>
    </w:lvl>
    <w:lvl w:ilvl="6" w:tentative="0">
      <w:start w:val="1"/>
      <w:numFmt w:val="bullet"/>
      <w:lvlText w:val="·"/>
      <w:lvlJc w:val="left"/>
      <w:pPr>
        <w:ind w:left="5040" w:hanging="360"/>
      </w:pPr>
      <w:rPr>
        <w:rFonts w:hint="default" w:ascii="Symbol" w:hAnsi="Symbol" w:eastAsia="Symbol" w:cs="Symbol"/>
      </w:rPr>
    </w:lvl>
    <w:lvl w:ilvl="7" w:tentative="0">
      <w:start w:val="1"/>
      <w:numFmt w:val="bullet"/>
      <w:lvlText w:val="o"/>
      <w:lvlJc w:val="left"/>
      <w:pPr>
        <w:ind w:left="5760" w:hanging="360"/>
      </w:pPr>
      <w:rPr>
        <w:rFonts w:hint="default" w:ascii="Courier New" w:hAnsi="Courier New" w:eastAsia="Courier New" w:cs="Courier New"/>
      </w:rPr>
    </w:lvl>
    <w:lvl w:ilvl="8" w:tentative="0">
      <w:start w:val="1"/>
      <w:numFmt w:val="bullet"/>
      <w:lvlText w:val="§"/>
      <w:lvlJc w:val="left"/>
      <w:pPr>
        <w:ind w:left="6480" w:hanging="360"/>
      </w:pPr>
      <w:rPr>
        <w:rFonts w:hint="default" w:ascii="Wingdings" w:hAnsi="Wingdings" w:eastAsia="Wingdings" w:cs="Wingdings"/>
      </w:rPr>
    </w:lvl>
  </w:abstractNum>
  <w:abstractNum w:abstractNumId="6">
    <w:nsid w:val="D7F9FE59"/>
    <w:multiLevelType w:val="multilevel"/>
    <w:tmpl w:val="D7F9FE59"/>
    <w:lvl w:ilvl="0" w:tentative="0">
      <w:start w:val="1"/>
      <w:numFmt w:val="decimal"/>
      <w:lvlText w:val="%1)"/>
      <w:lvlJc w:val="left"/>
      <w:pPr>
        <w:ind w:left="425" w:hanging="425"/>
      </w:pPr>
      <w:rPr>
        <w:rFonts w:hint="default"/>
      </w:rPr>
    </w:lvl>
    <w:lvl w:ilvl="1" w:tentative="0">
      <w:start w:val="1"/>
      <w:numFmt w:val="bullet"/>
      <w:lvlText w:val="o"/>
      <w:lvlJc w:val="left"/>
      <w:pPr>
        <w:ind w:left="1440" w:hanging="360"/>
      </w:pPr>
      <w:rPr>
        <w:rFonts w:hint="default" w:ascii="Courier New" w:hAnsi="Courier New" w:eastAsia="Courier New" w:cs="Courier New"/>
      </w:rPr>
    </w:lvl>
    <w:lvl w:ilvl="2" w:tentative="0">
      <w:start w:val="1"/>
      <w:numFmt w:val="bullet"/>
      <w:lvlText w:val="§"/>
      <w:lvlJc w:val="left"/>
      <w:pPr>
        <w:ind w:left="2160" w:hanging="360"/>
      </w:pPr>
      <w:rPr>
        <w:rFonts w:hint="default" w:ascii="Wingdings" w:hAnsi="Wingdings" w:eastAsia="Wingdings" w:cs="Wingdings"/>
      </w:rPr>
    </w:lvl>
    <w:lvl w:ilvl="3" w:tentative="0">
      <w:start w:val="1"/>
      <w:numFmt w:val="bullet"/>
      <w:lvlText w:val="·"/>
      <w:lvlJc w:val="left"/>
      <w:pPr>
        <w:ind w:left="2880" w:hanging="360"/>
      </w:pPr>
      <w:rPr>
        <w:rFonts w:hint="default" w:ascii="Symbol" w:hAnsi="Symbol" w:eastAsia="Symbol" w:cs="Symbol"/>
      </w:rPr>
    </w:lvl>
    <w:lvl w:ilvl="4" w:tentative="0">
      <w:start w:val="1"/>
      <w:numFmt w:val="bullet"/>
      <w:lvlText w:val="o"/>
      <w:lvlJc w:val="left"/>
      <w:pPr>
        <w:ind w:left="3600" w:hanging="360"/>
      </w:pPr>
      <w:rPr>
        <w:rFonts w:hint="default" w:ascii="Courier New" w:hAnsi="Courier New" w:eastAsia="Courier New" w:cs="Courier New"/>
      </w:rPr>
    </w:lvl>
    <w:lvl w:ilvl="5" w:tentative="0">
      <w:start w:val="1"/>
      <w:numFmt w:val="bullet"/>
      <w:lvlText w:val="§"/>
      <w:lvlJc w:val="left"/>
      <w:pPr>
        <w:ind w:left="4320" w:hanging="360"/>
      </w:pPr>
      <w:rPr>
        <w:rFonts w:hint="default" w:ascii="Wingdings" w:hAnsi="Wingdings" w:eastAsia="Wingdings" w:cs="Wingdings"/>
      </w:rPr>
    </w:lvl>
    <w:lvl w:ilvl="6" w:tentative="0">
      <w:start w:val="1"/>
      <w:numFmt w:val="bullet"/>
      <w:lvlText w:val="·"/>
      <w:lvlJc w:val="left"/>
      <w:pPr>
        <w:ind w:left="5040" w:hanging="360"/>
      </w:pPr>
      <w:rPr>
        <w:rFonts w:hint="default" w:ascii="Symbol" w:hAnsi="Symbol" w:eastAsia="Symbol" w:cs="Symbol"/>
      </w:rPr>
    </w:lvl>
    <w:lvl w:ilvl="7" w:tentative="0">
      <w:start w:val="1"/>
      <w:numFmt w:val="bullet"/>
      <w:lvlText w:val="o"/>
      <w:lvlJc w:val="left"/>
      <w:pPr>
        <w:ind w:left="5760" w:hanging="360"/>
      </w:pPr>
      <w:rPr>
        <w:rFonts w:hint="default" w:ascii="Courier New" w:hAnsi="Courier New" w:eastAsia="Courier New" w:cs="Courier New"/>
      </w:rPr>
    </w:lvl>
    <w:lvl w:ilvl="8" w:tentative="0">
      <w:start w:val="1"/>
      <w:numFmt w:val="bullet"/>
      <w:lvlText w:val="§"/>
      <w:lvlJc w:val="left"/>
      <w:pPr>
        <w:ind w:left="6480" w:hanging="360"/>
      </w:pPr>
      <w:rPr>
        <w:rFonts w:hint="default" w:ascii="Wingdings" w:hAnsi="Wingdings" w:eastAsia="Wingdings" w:cs="Wingdings"/>
      </w:rPr>
    </w:lvl>
  </w:abstractNum>
  <w:abstractNum w:abstractNumId="7">
    <w:nsid w:val="DCBA6B53"/>
    <w:multiLevelType w:val="multilevel"/>
    <w:tmpl w:val="DCBA6B53"/>
    <w:lvl w:ilvl="0" w:tentative="0">
      <w:start w:val="1"/>
      <w:numFmt w:val="bullet"/>
      <w:lvlText w:val=""/>
      <w:lvlJc w:val="left"/>
      <w:pPr>
        <w:ind w:left="420" w:hanging="420"/>
      </w:pPr>
      <w:rPr>
        <w:rFonts w:hint="default" w:ascii="Wingdings" w:hAnsi="Wingdings"/>
      </w:rPr>
    </w:lvl>
    <w:lvl w:ilvl="1" w:tentative="0">
      <w:start w:val="1"/>
      <w:numFmt w:val="bullet"/>
      <w:lvlText w:val="o"/>
      <w:lvlJc w:val="left"/>
      <w:pPr>
        <w:ind w:left="1440" w:hanging="360"/>
      </w:pPr>
      <w:rPr>
        <w:rFonts w:hint="default" w:ascii="Courier New" w:hAnsi="Courier New" w:eastAsia="Courier New" w:cs="Courier New"/>
      </w:rPr>
    </w:lvl>
    <w:lvl w:ilvl="2" w:tentative="0">
      <w:start w:val="1"/>
      <w:numFmt w:val="bullet"/>
      <w:lvlText w:val="§"/>
      <w:lvlJc w:val="left"/>
      <w:pPr>
        <w:ind w:left="2160" w:hanging="360"/>
      </w:pPr>
      <w:rPr>
        <w:rFonts w:hint="default" w:ascii="Wingdings" w:hAnsi="Wingdings" w:eastAsia="Wingdings" w:cs="Wingdings"/>
      </w:rPr>
    </w:lvl>
    <w:lvl w:ilvl="3" w:tentative="0">
      <w:start w:val="1"/>
      <w:numFmt w:val="bullet"/>
      <w:lvlText w:val="·"/>
      <w:lvlJc w:val="left"/>
      <w:pPr>
        <w:ind w:left="2880" w:hanging="360"/>
      </w:pPr>
      <w:rPr>
        <w:rFonts w:hint="default" w:ascii="Symbol" w:hAnsi="Symbol" w:eastAsia="Symbol" w:cs="Symbol"/>
      </w:rPr>
    </w:lvl>
    <w:lvl w:ilvl="4" w:tentative="0">
      <w:start w:val="1"/>
      <w:numFmt w:val="bullet"/>
      <w:lvlText w:val="o"/>
      <w:lvlJc w:val="left"/>
      <w:pPr>
        <w:ind w:left="3600" w:hanging="360"/>
      </w:pPr>
      <w:rPr>
        <w:rFonts w:hint="default" w:ascii="Courier New" w:hAnsi="Courier New" w:eastAsia="Courier New" w:cs="Courier New"/>
      </w:rPr>
    </w:lvl>
    <w:lvl w:ilvl="5" w:tentative="0">
      <w:start w:val="1"/>
      <w:numFmt w:val="bullet"/>
      <w:lvlText w:val="§"/>
      <w:lvlJc w:val="left"/>
      <w:pPr>
        <w:ind w:left="4320" w:hanging="360"/>
      </w:pPr>
      <w:rPr>
        <w:rFonts w:hint="default" w:ascii="Wingdings" w:hAnsi="Wingdings" w:eastAsia="Wingdings" w:cs="Wingdings"/>
      </w:rPr>
    </w:lvl>
    <w:lvl w:ilvl="6" w:tentative="0">
      <w:start w:val="1"/>
      <w:numFmt w:val="bullet"/>
      <w:lvlText w:val="·"/>
      <w:lvlJc w:val="left"/>
      <w:pPr>
        <w:ind w:left="5040" w:hanging="360"/>
      </w:pPr>
      <w:rPr>
        <w:rFonts w:hint="default" w:ascii="Symbol" w:hAnsi="Symbol" w:eastAsia="Symbol" w:cs="Symbol"/>
      </w:rPr>
    </w:lvl>
    <w:lvl w:ilvl="7" w:tentative="0">
      <w:start w:val="1"/>
      <w:numFmt w:val="bullet"/>
      <w:lvlText w:val="o"/>
      <w:lvlJc w:val="left"/>
      <w:pPr>
        <w:ind w:left="5760" w:hanging="360"/>
      </w:pPr>
      <w:rPr>
        <w:rFonts w:hint="default" w:ascii="Courier New" w:hAnsi="Courier New" w:eastAsia="Courier New" w:cs="Courier New"/>
      </w:rPr>
    </w:lvl>
    <w:lvl w:ilvl="8" w:tentative="0">
      <w:start w:val="1"/>
      <w:numFmt w:val="bullet"/>
      <w:lvlText w:val="§"/>
      <w:lvlJc w:val="left"/>
      <w:pPr>
        <w:ind w:left="6480" w:hanging="360"/>
      </w:pPr>
      <w:rPr>
        <w:rFonts w:hint="default" w:ascii="Wingdings" w:hAnsi="Wingdings" w:eastAsia="Wingdings" w:cs="Wingdings"/>
      </w:rPr>
    </w:lvl>
  </w:abstractNum>
  <w:abstractNum w:abstractNumId="8">
    <w:nsid w:val="F4B5D9F5"/>
    <w:multiLevelType w:val="multilevel"/>
    <w:tmpl w:val="F4B5D9F5"/>
    <w:lvl w:ilvl="0" w:tentative="0">
      <w:start w:val="9"/>
      <w:numFmt w:val="decimal"/>
      <w:suff w:val="nothing"/>
      <w:lvlText w:val="%1）"/>
      <w:lvlJc w:val="left"/>
    </w:lvl>
    <w:lvl w:ilvl="1" w:tentative="0">
      <w:start w:val="1"/>
      <w:numFmt w:val="bullet"/>
      <w:lvlText w:val="o"/>
      <w:lvlJc w:val="left"/>
      <w:pPr>
        <w:ind w:left="1440" w:hanging="360"/>
      </w:pPr>
      <w:rPr>
        <w:rFonts w:hint="default" w:ascii="Courier New" w:hAnsi="Courier New" w:eastAsia="Courier New" w:cs="Courier New"/>
      </w:rPr>
    </w:lvl>
    <w:lvl w:ilvl="2" w:tentative="0">
      <w:start w:val="1"/>
      <w:numFmt w:val="bullet"/>
      <w:lvlText w:val="§"/>
      <w:lvlJc w:val="left"/>
      <w:pPr>
        <w:ind w:left="2160" w:hanging="360"/>
      </w:pPr>
      <w:rPr>
        <w:rFonts w:hint="default" w:ascii="Wingdings" w:hAnsi="Wingdings" w:eastAsia="Wingdings" w:cs="Wingdings"/>
      </w:rPr>
    </w:lvl>
    <w:lvl w:ilvl="3" w:tentative="0">
      <w:start w:val="1"/>
      <w:numFmt w:val="bullet"/>
      <w:lvlText w:val="·"/>
      <w:lvlJc w:val="left"/>
      <w:pPr>
        <w:ind w:left="2880" w:hanging="360"/>
      </w:pPr>
      <w:rPr>
        <w:rFonts w:hint="default" w:ascii="Symbol" w:hAnsi="Symbol" w:eastAsia="Symbol" w:cs="Symbol"/>
      </w:rPr>
    </w:lvl>
    <w:lvl w:ilvl="4" w:tentative="0">
      <w:start w:val="1"/>
      <w:numFmt w:val="bullet"/>
      <w:lvlText w:val="o"/>
      <w:lvlJc w:val="left"/>
      <w:pPr>
        <w:ind w:left="3600" w:hanging="360"/>
      </w:pPr>
      <w:rPr>
        <w:rFonts w:hint="default" w:ascii="Courier New" w:hAnsi="Courier New" w:eastAsia="Courier New" w:cs="Courier New"/>
      </w:rPr>
    </w:lvl>
    <w:lvl w:ilvl="5" w:tentative="0">
      <w:start w:val="1"/>
      <w:numFmt w:val="bullet"/>
      <w:lvlText w:val="§"/>
      <w:lvlJc w:val="left"/>
      <w:pPr>
        <w:ind w:left="4320" w:hanging="360"/>
      </w:pPr>
      <w:rPr>
        <w:rFonts w:hint="default" w:ascii="Wingdings" w:hAnsi="Wingdings" w:eastAsia="Wingdings" w:cs="Wingdings"/>
      </w:rPr>
    </w:lvl>
    <w:lvl w:ilvl="6" w:tentative="0">
      <w:start w:val="1"/>
      <w:numFmt w:val="bullet"/>
      <w:lvlText w:val="·"/>
      <w:lvlJc w:val="left"/>
      <w:pPr>
        <w:ind w:left="5040" w:hanging="360"/>
      </w:pPr>
      <w:rPr>
        <w:rFonts w:hint="default" w:ascii="Symbol" w:hAnsi="Symbol" w:eastAsia="Symbol" w:cs="Symbol"/>
      </w:rPr>
    </w:lvl>
    <w:lvl w:ilvl="7" w:tentative="0">
      <w:start w:val="1"/>
      <w:numFmt w:val="bullet"/>
      <w:lvlText w:val="o"/>
      <w:lvlJc w:val="left"/>
      <w:pPr>
        <w:ind w:left="5760" w:hanging="360"/>
      </w:pPr>
      <w:rPr>
        <w:rFonts w:hint="default" w:ascii="Courier New" w:hAnsi="Courier New" w:eastAsia="Courier New" w:cs="Courier New"/>
      </w:rPr>
    </w:lvl>
    <w:lvl w:ilvl="8" w:tentative="0">
      <w:start w:val="1"/>
      <w:numFmt w:val="bullet"/>
      <w:lvlText w:val="§"/>
      <w:lvlJc w:val="left"/>
      <w:pPr>
        <w:ind w:left="6480" w:hanging="360"/>
      </w:pPr>
      <w:rPr>
        <w:rFonts w:hint="default" w:ascii="Wingdings" w:hAnsi="Wingdings" w:eastAsia="Wingdings" w:cs="Wingdings"/>
      </w:rPr>
    </w:lvl>
  </w:abstractNum>
  <w:abstractNum w:abstractNumId="9">
    <w:nsid w:val="0053208E"/>
    <w:multiLevelType w:val="multilevel"/>
    <w:tmpl w:val="0053208E"/>
    <w:lvl w:ilvl="0" w:tentative="0">
      <w:start w:val="1"/>
      <w:numFmt w:val="decimal"/>
      <w:pStyle w:val="409"/>
      <w:lvlText w:val="%1."/>
      <w:lvlJc w:val="left"/>
      <w:pPr>
        <w:tabs>
          <w:tab w:val="left" w:pos="360"/>
        </w:tabs>
        <w:ind w:left="0" w:firstLine="0"/>
      </w:pPr>
      <w:rPr>
        <w:rFonts w:hint="eastAsia" w:ascii="宋体" w:eastAsia="宋体"/>
        <w:b/>
        <w:i w:val="0"/>
        <w:spacing w:val="0"/>
        <w:position w:val="0"/>
        <w:sz w:val="30"/>
        <w:szCs w:val="30"/>
      </w:rPr>
    </w:lvl>
    <w:lvl w:ilvl="1" w:tentative="0">
      <w:start w:val="1"/>
      <w:numFmt w:val="decimal"/>
      <w:suff w:val="space"/>
      <w:lvlText w:val="%1.%2"/>
      <w:lvlJc w:val="left"/>
      <w:pPr>
        <w:ind w:left="0" w:firstLine="0"/>
      </w:pPr>
      <w:rPr>
        <w:rFonts w:hint="eastAsia" w:ascii="宋体" w:hAnsi="Times New Roman" w:eastAsia="宋体"/>
        <w:b w:val="0"/>
        <w:i w:val="0"/>
        <w:spacing w:val="0"/>
        <w:position w:val="0"/>
        <w:sz w:val="24"/>
        <w:szCs w:val="24"/>
      </w:rPr>
    </w:lvl>
    <w:lvl w:ilvl="2" w:tentative="0">
      <w:start w:val="1"/>
      <w:numFmt w:val="decimal"/>
      <w:suff w:val="space"/>
      <w:lvlText w:val="%1.%2.%3"/>
      <w:lvlJc w:val="left"/>
      <w:pPr>
        <w:ind w:left="0" w:firstLine="0"/>
      </w:pPr>
      <w:rPr>
        <w:rFonts w:hint="eastAsia" w:ascii="宋体" w:eastAsia="宋体"/>
        <w:b w:val="0"/>
        <w:i w:val="0"/>
        <w:spacing w:val="0"/>
        <w:position w:val="0"/>
        <w:sz w:val="24"/>
        <w:szCs w:val="24"/>
      </w:rPr>
    </w:lvl>
    <w:lvl w:ilvl="3" w:tentative="0">
      <w:start w:val="1"/>
      <w:numFmt w:val="decimal"/>
      <w:suff w:val="space"/>
      <w:lvlText w:val="%1.%2.%3.%4"/>
      <w:lvlJc w:val="left"/>
      <w:pPr>
        <w:ind w:left="0" w:firstLine="0"/>
      </w:pPr>
      <w:rPr>
        <w:rFonts w:hint="eastAsia" w:ascii="宋体" w:eastAsia="宋体"/>
        <w:b w:val="0"/>
        <w:i w:val="0"/>
        <w:spacing w:val="0"/>
        <w:position w:val="0"/>
        <w:sz w:val="28"/>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0">
    <w:nsid w:val="0248C179"/>
    <w:multiLevelType w:val="multilevel"/>
    <w:tmpl w:val="0248C179"/>
    <w:lvl w:ilvl="0" w:tentative="0">
      <w:start w:val="1"/>
      <w:numFmt w:val="decimal"/>
      <w:lvlText w:val="%1)"/>
      <w:lvlJc w:val="left"/>
      <w:pPr>
        <w:ind w:left="845" w:hanging="420"/>
      </w:pPr>
      <w:rPr>
        <w:rFonts w:hint="eastAsia" w:ascii="宋体" w:hAnsi="宋体" w:eastAsia="宋体"/>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11">
    <w:nsid w:val="03D62ECE"/>
    <w:multiLevelType w:val="multilevel"/>
    <w:tmpl w:val="03D62ECE"/>
    <w:lvl w:ilvl="0" w:tentative="0">
      <w:start w:val="1"/>
      <w:numFmt w:val="decimal"/>
      <w:lvlText w:val="%1)"/>
      <w:lvlJc w:val="left"/>
      <w:pPr>
        <w:ind w:left="425" w:hanging="425"/>
      </w:pPr>
      <w:rPr>
        <w:rFonts w:hint="default" w:ascii="宋体" w:hAnsi="宋体" w:eastAsia="宋体" w:cs="宋体"/>
        <w:sz w:val="24"/>
        <w:szCs w:val="24"/>
      </w:rPr>
    </w:lvl>
    <w:lvl w:ilvl="1" w:tentative="0">
      <w:start w:val="1"/>
      <w:numFmt w:val="bullet"/>
      <w:lvlText w:val="o"/>
      <w:lvlJc w:val="left"/>
      <w:pPr>
        <w:ind w:left="1440" w:hanging="360"/>
      </w:pPr>
      <w:rPr>
        <w:rFonts w:hint="default" w:ascii="Courier New" w:hAnsi="Courier New" w:eastAsia="Courier New" w:cs="Courier New"/>
      </w:rPr>
    </w:lvl>
    <w:lvl w:ilvl="2" w:tentative="0">
      <w:start w:val="1"/>
      <w:numFmt w:val="bullet"/>
      <w:lvlText w:val="§"/>
      <w:lvlJc w:val="left"/>
      <w:pPr>
        <w:ind w:left="2160" w:hanging="360"/>
      </w:pPr>
      <w:rPr>
        <w:rFonts w:hint="default" w:ascii="Wingdings" w:hAnsi="Wingdings" w:eastAsia="Wingdings" w:cs="Wingdings"/>
      </w:rPr>
    </w:lvl>
    <w:lvl w:ilvl="3" w:tentative="0">
      <w:start w:val="1"/>
      <w:numFmt w:val="bullet"/>
      <w:lvlText w:val="·"/>
      <w:lvlJc w:val="left"/>
      <w:pPr>
        <w:ind w:left="2880" w:hanging="360"/>
      </w:pPr>
      <w:rPr>
        <w:rFonts w:hint="default" w:ascii="Symbol" w:hAnsi="Symbol" w:eastAsia="Symbol" w:cs="Symbol"/>
      </w:rPr>
    </w:lvl>
    <w:lvl w:ilvl="4" w:tentative="0">
      <w:start w:val="1"/>
      <w:numFmt w:val="bullet"/>
      <w:lvlText w:val="o"/>
      <w:lvlJc w:val="left"/>
      <w:pPr>
        <w:ind w:left="3600" w:hanging="360"/>
      </w:pPr>
      <w:rPr>
        <w:rFonts w:hint="default" w:ascii="Courier New" w:hAnsi="Courier New" w:eastAsia="Courier New" w:cs="Courier New"/>
      </w:rPr>
    </w:lvl>
    <w:lvl w:ilvl="5" w:tentative="0">
      <w:start w:val="1"/>
      <w:numFmt w:val="bullet"/>
      <w:lvlText w:val="§"/>
      <w:lvlJc w:val="left"/>
      <w:pPr>
        <w:ind w:left="4320" w:hanging="360"/>
      </w:pPr>
      <w:rPr>
        <w:rFonts w:hint="default" w:ascii="Wingdings" w:hAnsi="Wingdings" w:eastAsia="Wingdings" w:cs="Wingdings"/>
      </w:rPr>
    </w:lvl>
    <w:lvl w:ilvl="6" w:tentative="0">
      <w:start w:val="1"/>
      <w:numFmt w:val="bullet"/>
      <w:lvlText w:val="·"/>
      <w:lvlJc w:val="left"/>
      <w:pPr>
        <w:ind w:left="5040" w:hanging="360"/>
      </w:pPr>
      <w:rPr>
        <w:rFonts w:hint="default" w:ascii="Symbol" w:hAnsi="Symbol" w:eastAsia="Symbol" w:cs="Symbol"/>
      </w:rPr>
    </w:lvl>
    <w:lvl w:ilvl="7" w:tentative="0">
      <w:start w:val="1"/>
      <w:numFmt w:val="bullet"/>
      <w:lvlText w:val="o"/>
      <w:lvlJc w:val="left"/>
      <w:pPr>
        <w:ind w:left="5760" w:hanging="360"/>
      </w:pPr>
      <w:rPr>
        <w:rFonts w:hint="default" w:ascii="Courier New" w:hAnsi="Courier New" w:eastAsia="Courier New" w:cs="Courier New"/>
      </w:rPr>
    </w:lvl>
    <w:lvl w:ilvl="8" w:tentative="0">
      <w:start w:val="1"/>
      <w:numFmt w:val="bullet"/>
      <w:lvlText w:val="§"/>
      <w:lvlJc w:val="left"/>
      <w:pPr>
        <w:ind w:left="6480" w:hanging="360"/>
      </w:pPr>
      <w:rPr>
        <w:rFonts w:hint="default" w:ascii="Wingdings" w:hAnsi="Wingdings" w:eastAsia="Wingdings" w:cs="Wingdings"/>
      </w:rPr>
    </w:lvl>
  </w:abstractNum>
  <w:abstractNum w:abstractNumId="12">
    <w:nsid w:val="0E640482"/>
    <w:multiLevelType w:val="multilevel"/>
    <w:tmpl w:val="0E640482"/>
    <w:lvl w:ilvl="0" w:tentative="0">
      <w:start w:val="1"/>
      <w:numFmt w:val="upperLetter"/>
      <w:suff w:val="nothing"/>
      <w:lvlText w:val="附　录　%1"/>
      <w:lvlJc w:val="left"/>
      <w:pPr>
        <w:ind w:left="4536" w:firstLine="0"/>
      </w:pPr>
      <w:rPr>
        <w:rFonts w:hint="eastAsia" w:ascii="黑体" w:hAnsi="Times New Roman" w:eastAsia="黑体"/>
        <w:b w:val="0"/>
        <w:i w:val="0"/>
        <w:spacing w:val="0"/>
        <w:sz w:val="21"/>
      </w:rPr>
    </w:lvl>
    <w:lvl w:ilvl="1" w:tentative="0">
      <w:start w:val="0"/>
      <w:numFmt w:val="none"/>
      <w:lvlText w:val=""/>
      <w:lvlJc w:val="left"/>
      <w:pPr>
        <w:tabs>
          <w:tab w:val="left" w:pos="360"/>
        </w:tabs>
      </w:pPr>
    </w:lvl>
    <w:lvl w:ilvl="2" w:tentative="0">
      <w:start w:val="0"/>
      <w:numFmt w:val="none"/>
      <w:lvlText w:val=""/>
      <w:lvlJc w:val="left"/>
      <w:pPr>
        <w:tabs>
          <w:tab w:val="left" w:pos="360"/>
        </w:tabs>
      </w:pPr>
    </w:lvl>
    <w:lvl w:ilvl="3" w:tentative="0">
      <w:start w:val="0"/>
      <w:numFmt w:val="none"/>
      <w:lvlText w:val=""/>
      <w:lvlJc w:val="left"/>
      <w:pPr>
        <w:tabs>
          <w:tab w:val="left" w:pos="360"/>
        </w:tabs>
      </w:pPr>
    </w:lvl>
    <w:lvl w:ilvl="4" w:tentative="0">
      <w:start w:val="0"/>
      <w:numFmt w:val="none"/>
      <w:lvlText w:val=""/>
      <w:lvlJc w:val="left"/>
      <w:pPr>
        <w:tabs>
          <w:tab w:val="left" w:pos="360"/>
        </w:tabs>
      </w:pPr>
    </w:lvl>
    <w:lvl w:ilvl="5" w:tentative="0">
      <w:start w:val="0"/>
      <w:numFmt w:val="none"/>
      <w:lvlText w:val=""/>
      <w:lvlJc w:val="left"/>
      <w:pPr>
        <w:tabs>
          <w:tab w:val="left" w:pos="360"/>
        </w:tabs>
      </w:pPr>
    </w:lvl>
    <w:lvl w:ilvl="6" w:tentative="0">
      <w:start w:val="0"/>
      <w:numFmt w:val="none"/>
      <w:lvlText w:val=""/>
      <w:lvlJc w:val="left"/>
      <w:pPr>
        <w:tabs>
          <w:tab w:val="left" w:pos="360"/>
        </w:tabs>
      </w:pPr>
    </w:lvl>
    <w:lvl w:ilvl="7" w:tentative="0">
      <w:start w:val="0"/>
      <w:numFmt w:val="none"/>
      <w:lvlText w:val=""/>
      <w:lvlJc w:val="left"/>
      <w:pPr>
        <w:tabs>
          <w:tab w:val="left" w:pos="360"/>
        </w:tabs>
      </w:pPr>
    </w:lvl>
    <w:lvl w:ilvl="8" w:tentative="0">
      <w:start w:val="0"/>
      <w:numFmt w:val="none"/>
      <w:lvlText w:val=""/>
      <w:lvlJc w:val="left"/>
      <w:pPr>
        <w:tabs>
          <w:tab w:val="left" w:pos="360"/>
        </w:tabs>
      </w:pPr>
    </w:lvl>
  </w:abstractNum>
  <w:abstractNum w:abstractNumId="13">
    <w:nsid w:val="2470EC97"/>
    <w:multiLevelType w:val="multilevel"/>
    <w:tmpl w:val="2470EC97"/>
    <w:lvl w:ilvl="0" w:tentative="0">
      <w:start w:val="1"/>
      <w:numFmt w:val="decimal"/>
      <w:lvlText w:val="%1)"/>
      <w:lvlJc w:val="left"/>
      <w:pPr>
        <w:ind w:left="425" w:hanging="425"/>
      </w:pPr>
      <w:rPr>
        <w:rFonts w:hint="default"/>
      </w:rPr>
    </w:lvl>
    <w:lvl w:ilvl="1" w:tentative="0">
      <w:start w:val="1"/>
      <w:numFmt w:val="bullet"/>
      <w:lvlText w:val="o"/>
      <w:lvlJc w:val="left"/>
      <w:pPr>
        <w:ind w:left="1440" w:hanging="360"/>
      </w:pPr>
      <w:rPr>
        <w:rFonts w:hint="default" w:ascii="Courier New" w:hAnsi="Courier New" w:eastAsia="Courier New" w:cs="Courier New"/>
      </w:rPr>
    </w:lvl>
    <w:lvl w:ilvl="2" w:tentative="0">
      <w:start w:val="1"/>
      <w:numFmt w:val="bullet"/>
      <w:lvlText w:val="§"/>
      <w:lvlJc w:val="left"/>
      <w:pPr>
        <w:ind w:left="2160" w:hanging="360"/>
      </w:pPr>
      <w:rPr>
        <w:rFonts w:hint="default" w:ascii="Wingdings" w:hAnsi="Wingdings" w:eastAsia="Wingdings" w:cs="Wingdings"/>
      </w:rPr>
    </w:lvl>
    <w:lvl w:ilvl="3" w:tentative="0">
      <w:start w:val="1"/>
      <w:numFmt w:val="bullet"/>
      <w:lvlText w:val="·"/>
      <w:lvlJc w:val="left"/>
      <w:pPr>
        <w:ind w:left="2880" w:hanging="360"/>
      </w:pPr>
      <w:rPr>
        <w:rFonts w:hint="default" w:ascii="Symbol" w:hAnsi="Symbol" w:eastAsia="Symbol" w:cs="Symbol"/>
      </w:rPr>
    </w:lvl>
    <w:lvl w:ilvl="4" w:tentative="0">
      <w:start w:val="1"/>
      <w:numFmt w:val="bullet"/>
      <w:lvlText w:val="o"/>
      <w:lvlJc w:val="left"/>
      <w:pPr>
        <w:ind w:left="3600" w:hanging="360"/>
      </w:pPr>
      <w:rPr>
        <w:rFonts w:hint="default" w:ascii="Courier New" w:hAnsi="Courier New" w:eastAsia="Courier New" w:cs="Courier New"/>
      </w:rPr>
    </w:lvl>
    <w:lvl w:ilvl="5" w:tentative="0">
      <w:start w:val="1"/>
      <w:numFmt w:val="bullet"/>
      <w:lvlText w:val="§"/>
      <w:lvlJc w:val="left"/>
      <w:pPr>
        <w:ind w:left="4320" w:hanging="360"/>
      </w:pPr>
      <w:rPr>
        <w:rFonts w:hint="default" w:ascii="Wingdings" w:hAnsi="Wingdings" w:eastAsia="Wingdings" w:cs="Wingdings"/>
      </w:rPr>
    </w:lvl>
    <w:lvl w:ilvl="6" w:tentative="0">
      <w:start w:val="1"/>
      <w:numFmt w:val="bullet"/>
      <w:lvlText w:val="·"/>
      <w:lvlJc w:val="left"/>
      <w:pPr>
        <w:ind w:left="5040" w:hanging="360"/>
      </w:pPr>
      <w:rPr>
        <w:rFonts w:hint="default" w:ascii="Symbol" w:hAnsi="Symbol" w:eastAsia="Symbol" w:cs="Symbol"/>
      </w:rPr>
    </w:lvl>
    <w:lvl w:ilvl="7" w:tentative="0">
      <w:start w:val="1"/>
      <w:numFmt w:val="bullet"/>
      <w:lvlText w:val="o"/>
      <w:lvlJc w:val="left"/>
      <w:pPr>
        <w:ind w:left="5760" w:hanging="360"/>
      </w:pPr>
      <w:rPr>
        <w:rFonts w:hint="default" w:ascii="Courier New" w:hAnsi="Courier New" w:eastAsia="Courier New" w:cs="Courier New"/>
      </w:rPr>
    </w:lvl>
    <w:lvl w:ilvl="8" w:tentative="0">
      <w:start w:val="1"/>
      <w:numFmt w:val="bullet"/>
      <w:lvlText w:val="§"/>
      <w:lvlJc w:val="left"/>
      <w:pPr>
        <w:ind w:left="6480" w:hanging="360"/>
      </w:pPr>
      <w:rPr>
        <w:rFonts w:hint="default" w:ascii="Wingdings" w:hAnsi="Wingdings" w:eastAsia="Wingdings" w:cs="Wingdings"/>
      </w:rPr>
    </w:lvl>
  </w:abstractNum>
  <w:abstractNum w:abstractNumId="14">
    <w:nsid w:val="25B654F3"/>
    <w:multiLevelType w:val="multilevel"/>
    <w:tmpl w:val="25B654F3"/>
    <w:lvl w:ilvl="0" w:tentative="0">
      <w:start w:val="1"/>
      <w:numFmt w:val="decimal"/>
      <w:lvlText w:val="%1)"/>
      <w:lvlJc w:val="left"/>
      <w:pPr>
        <w:ind w:left="845" w:hanging="420"/>
      </w:pPr>
      <w:rPr>
        <w:rFonts w:hint="eastAsia" w:ascii="宋体" w:hAnsi="宋体" w:eastAsia="宋体"/>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15">
    <w:nsid w:val="2A8F537B"/>
    <w:multiLevelType w:val="multilevel"/>
    <w:tmpl w:val="2A8F537B"/>
    <w:lvl w:ilvl="0" w:tentative="0">
      <w:start w:val="1"/>
      <w:numFmt w:val="bullet"/>
      <w:lvlText w:val=""/>
      <w:lvlJc w:val="left"/>
      <w:pPr>
        <w:ind w:left="1265" w:hanging="420"/>
      </w:pPr>
      <w:rPr>
        <w:rFonts w:hint="default" w:ascii="Wingdings" w:hAnsi="Wingdings"/>
      </w:rPr>
    </w:lvl>
    <w:lvl w:ilvl="1" w:tentative="0">
      <w:start w:val="1"/>
      <w:numFmt w:val="bullet"/>
      <w:lvlText w:val=""/>
      <w:lvlJc w:val="left"/>
      <w:pPr>
        <w:ind w:left="1685" w:hanging="420"/>
      </w:pPr>
      <w:rPr>
        <w:rFonts w:hint="default" w:ascii="Wingdings" w:hAnsi="Wingdings"/>
      </w:rPr>
    </w:lvl>
    <w:lvl w:ilvl="2" w:tentative="0">
      <w:start w:val="1"/>
      <w:numFmt w:val="bullet"/>
      <w:lvlText w:val=""/>
      <w:lvlJc w:val="left"/>
      <w:pPr>
        <w:ind w:left="2105" w:hanging="420"/>
      </w:pPr>
      <w:rPr>
        <w:rFonts w:hint="default" w:ascii="Wingdings" w:hAnsi="Wingdings"/>
      </w:rPr>
    </w:lvl>
    <w:lvl w:ilvl="3" w:tentative="0">
      <w:start w:val="1"/>
      <w:numFmt w:val="bullet"/>
      <w:lvlText w:val=""/>
      <w:lvlJc w:val="left"/>
      <w:pPr>
        <w:ind w:left="2525" w:hanging="420"/>
      </w:pPr>
      <w:rPr>
        <w:rFonts w:hint="default" w:ascii="Wingdings" w:hAnsi="Wingdings"/>
      </w:rPr>
    </w:lvl>
    <w:lvl w:ilvl="4" w:tentative="0">
      <w:start w:val="1"/>
      <w:numFmt w:val="bullet"/>
      <w:lvlText w:val=""/>
      <w:lvlJc w:val="left"/>
      <w:pPr>
        <w:ind w:left="2945" w:hanging="420"/>
      </w:pPr>
      <w:rPr>
        <w:rFonts w:hint="default" w:ascii="Wingdings" w:hAnsi="Wingdings"/>
      </w:rPr>
    </w:lvl>
    <w:lvl w:ilvl="5" w:tentative="0">
      <w:start w:val="1"/>
      <w:numFmt w:val="bullet"/>
      <w:lvlText w:val=""/>
      <w:lvlJc w:val="left"/>
      <w:pPr>
        <w:ind w:left="3365" w:hanging="420"/>
      </w:pPr>
      <w:rPr>
        <w:rFonts w:hint="default" w:ascii="Wingdings" w:hAnsi="Wingdings"/>
      </w:rPr>
    </w:lvl>
    <w:lvl w:ilvl="6" w:tentative="0">
      <w:start w:val="1"/>
      <w:numFmt w:val="bullet"/>
      <w:lvlText w:val=""/>
      <w:lvlJc w:val="left"/>
      <w:pPr>
        <w:ind w:left="3785" w:hanging="420"/>
      </w:pPr>
      <w:rPr>
        <w:rFonts w:hint="default" w:ascii="Wingdings" w:hAnsi="Wingdings"/>
      </w:rPr>
    </w:lvl>
    <w:lvl w:ilvl="7" w:tentative="0">
      <w:start w:val="1"/>
      <w:numFmt w:val="bullet"/>
      <w:lvlText w:val=""/>
      <w:lvlJc w:val="left"/>
      <w:pPr>
        <w:ind w:left="4205" w:hanging="420"/>
      </w:pPr>
      <w:rPr>
        <w:rFonts w:hint="default" w:ascii="Wingdings" w:hAnsi="Wingdings"/>
      </w:rPr>
    </w:lvl>
    <w:lvl w:ilvl="8" w:tentative="0">
      <w:start w:val="1"/>
      <w:numFmt w:val="bullet"/>
      <w:lvlText w:val=""/>
      <w:lvlJc w:val="left"/>
      <w:pPr>
        <w:ind w:left="4625" w:hanging="420"/>
      </w:pPr>
      <w:rPr>
        <w:rFonts w:hint="default" w:ascii="Wingdings" w:hAnsi="Wingdings"/>
      </w:rPr>
    </w:lvl>
  </w:abstractNum>
  <w:abstractNum w:abstractNumId="16">
    <w:nsid w:val="46A08BB8"/>
    <w:multiLevelType w:val="multilevel"/>
    <w:tmpl w:val="46A08BB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4C1BAE26"/>
    <w:multiLevelType w:val="multilevel"/>
    <w:tmpl w:val="4C1BAE26"/>
    <w:lvl w:ilvl="0" w:tentative="0">
      <w:start w:val="1"/>
      <w:numFmt w:val="decimal"/>
      <w:lvlText w:val="%1)"/>
      <w:lvlJc w:val="left"/>
      <w:pPr>
        <w:ind w:left="440" w:hanging="440"/>
      </w:p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8">
    <w:nsid w:val="4D4DC07F"/>
    <w:multiLevelType w:val="multilevel"/>
    <w:tmpl w:val="4D4DC07F"/>
    <w:lvl w:ilvl="0" w:tentative="0">
      <w:start w:val="1"/>
      <w:numFmt w:val="decimal"/>
      <w:lvlText w:val="%1)"/>
      <w:lvlJc w:val="left"/>
      <w:pPr>
        <w:ind w:left="425" w:hanging="425"/>
      </w:pPr>
      <w:rPr>
        <w:rFonts w:hint="default" w:ascii="宋体" w:hAnsi="宋体" w:eastAsia="宋体" w:cs="宋体"/>
        <w:sz w:val="24"/>
        <w:szCs w:val="24"/>
      </w:rPr>
    </w:lvl>
    <w:lvl w:ilvl="1" w:tentative="0">
      <w:start w:val="1"/>
      <w:numFmt w:val="bullet"/>
      <w:lvlText w:val="o"/>
      <w:lvlJc w:val="left"/>
      <w:pPr>
        <w:ind w:left="1440" w:hanging="360"/>
      </w:pPr>
      <w:rPr>
        <w:rFonts w:hint="default" w:ascii="Courier New" w:hAnsi="Courier New" w:eastAsia="Courier New" w:cs="Courier New"/>
      </w:rPr>
    </w:lvl>
    <w:lvl w:ilvl="2" w:tentative="0">
      <w:start w:val="1"/>
      <w:numFmt w:val="bullet"/>
      <w:lvlText w:val="§"/>
      <w:lvlJc w:val="left"/>
      <w:pPr>
        <w:ind w:left="2160" w:hanging="360"/>
      </w:pPr>
      <w:rPr>
        <w:rFonts w:hint="default" w:ascii="Wingdings" w:hAnsi="Wingdings" w:eastAsia="Wingdings" w:cs="Wingdings"/>
      </w:rPr>
    </w:lvl>
    <w:lvl w:ilvl="3" w:tentative="0">
      <w:start w:val="1"/>
      <w:numFmt w:val="bullet"/>
      <w:lvlText w:val="·"/>
      <w:lvlJc w:val="left"/>
      <w:pPr>
        <w:ind w:left="2880" w:hanging="360"/>
      </w:pPr>
      <w:rPr>
        <w:rFonts w:hint="default" w:ascii="Symbol" w:hAnsi="Symbol" w:eastAsia="Symbol" w:cs="Symbol"/>
      </w:rPr>
    </w:lvl>
    <w:lvl w:ilvl="4" w:tentative="0">
      <w:start w:val="1"/>
      <w:numFmt w:val="bullet"/>
      <w:lvlText w:val="o"/>
      <w:lvlJc w:val="left"/>
      <w:pPr>
        <w:ind w:left="3600" w:hanging="360"/>
      </w:pPr>
      <w:rPr>
        <w:rFonts w:hint="default" w:ascii="Courier New" w:hAnsi="Courier New" w:eastAsia="Courier New" w:cs="Courier New"/>
      </w:rPr>
    </w:lvl>
    <w:lvl w:ilvl="5" w:tentative="0">
      <w:start w:val="1"/>
      <w:numFmt w:val="bullet"/>
      <w:lvlText w:val="§"/>
      <w:lvlJc w:val="left"/>
      <w:pPr>
        <w:ind w:left="4320" w:hanging="360"/>
      </w:pPr>
      <w:rPr>
        <w:rFonts w:hint="default" w:ascii="Wingdings" w:hAnsi="Wingdings" w:eastAsia="Wingdings" w:cs="Wingdings"/>
      </w:rPr>
    </w:lvl>
    <w:lvl w:ilvl="6" w:tentative="0">
      <w:start w:val="1"/>
      <w:numFmt w:val="bullet"/>
      <w:lvlText w:val="·"/>
      <w:lvlJc w:val="left"/>
      <w:pPr>
        <w:ind w:left="5040" w:hanging="360"/>
      </w:pPr>
      <w:rPr>
        <w:rFonts w:hint="default" w:ascii="Symbol" w:hAnsi="Symbol" w:eastAsia="Symbol" w:cs="Symbol"/>
      </w:rPr>
    </w:lvl>
    <w:lvl w:ilvl="7" w:tentative="0">
      <w:start w:val="1"/>
      <w:numFmt w:val="bullet"/>
      <w:lvlText w:val="o"/>
      <w:lvlJc w:val="left"/>
      <w:pPr>
        <w:ind w:left="5760" w:hanging="360"/>
      </w:pPr>
      <w:rPr>
        <w:rFonts w:hint="default" w:ascii="Courier New" w:hAnsi="Courier New" w:eastAsia="Courier New" w:cs="Courier New"/>
      </w:rPr>
    </w:lvl>
    <w:lvl w:ilvl="8" w:tentative="0">
      <w:start w:val="1"/>
      <w:numFmt w:val="bullet"/>
      <w:lvlText w:val="§"/>
      <w:lvlJc w:val="left"/>
      <w:pPr>
        <w:ind w:left="6480" w:hanging="360"/>
      </w:pPr>
      <w:rPr>
        <w:rFonts w:hint="default" w:ascii="Wingdings" w:hAnsi="Wingdings" w:eastAsia="Wingdings" w:cs="Wingdings"/>
      </w:rPr>
    </w:lvl>
  </w:abstractNum>
  <w:abstractNum w:abstractNumId="19">
    <w:nsid w:val="59ADCABA"/>
    <w:multiLevelType w:val="multilevel"/>
    <w:tmpl w:val="59ADCABA"/>
    <w:lvl w:ilvl="0" w:tentative="0">
      <w:start w:val="1"/>
      <w:numFmt w:val="decimal"/>
      <w:lvlText w:val="%1)"/>
      <w:lvlJc w:val="left"/>
      <w:pPr>
        <w:ind w:left="425" w:hanging="425"/>
      </w:pPr>
      <w:rPr>
        <w:rFonts w:hint="default"/>
      </w:rPr>
    </w:lvl>
    <w:lvl w:ilvl="1" w:tentative="0">
      <w:start w:val="1"/>
      <w:numFmt w:val="bullet"/>
      <w:lvlText w:val="o"/>
      <w:lvlJc w:val="left"/>
      <w:pPr>
        <w:ind w:left="1440" w:hanging="360"/>
      </w:pPr>
      <w:rPr>
        <w:rFonts w:hint="default" w:ascii="Courier New" w:hAnsi="Courier New" w:eastAsia="Courier New" w:cs="Courier New"/>
      </w:rPr>
    </w:lvl>
    <w:lvl w:ilvl="2" w:tentative="0">
      <w:start w:val="1"/>
      <w:numFmt w:val="bullet"/>
      <w:lvlText w:val="§"/>
      <w:lvlJc w:val="left"/>
      <w:pPr>
        <w:ind w:left="2160" w:hanging="360"/>
      </w:pPr>
      <w:rPr>
        <w:rFonts w:hint="default" w:ascii="Wingdings" w:hAnsi="Wingdings" w:eastAsia="Wingdings" w:cs="Wingdings"/>
      </w:rPr>
    </w:lvl>
    <w:lvl w:ilvl="3" w:tentative="0">
      <w:start w:val="1"/>
      <w:numFmt w:val="bullet"/>
      <w:lvlText w:val="·"/>
      <w:lvlJc w:val="left"/>
      <w:pPr>
        <w:ind w:left="2880" w:hanging="360"/>
      </w:pPr>
      <w:rPr>
        <w:rFonts w:hint="default" w:ascii="Symbol" w:hAnsi="Symbol" w:eastAsia="Symbol" w:cs="Symbol"/>
      </w:rPr>
    </w:lvl>
    <w:lvl w:ilvl="4" w:tentative="0">
      <w:start w:val="1"/>
      <w:numFmt w:val="bullet"/>
      <w:lvlText w:val="o"/>
      <w:lvlJc w:val="left"/>
      <w:pPr>
        <w:ind w:left="3600" w:hanging="360"/>
      </w:pPr>
      <w:rPr>
        <w:rFonts w:hint="default" w:ascii="Courier New" w:hAnsi="Courier New" w:eastAsia="Courier New" w:cs="Courier New"/>
      </w:rPr>
    </w:lvl>
    <w:lvl w:ilvl="5" w:tentative="0">
      <w:start w:val="1"/>
      <w:numFmt w:val="bullet"/>
      <w:lvlText w:val="§"/>
      <w:lvlJc w:val="left"/>
      <w:pPr>
        <w:ind w:left="4320" w:hanging="360"/>
      </w:pPr>
      <w:rPr>
        <w:rFonts w:hint="default" w:ascii="Wingdings" w:hAnsi="Wingdings" w:eastAsia="Wingdings" w:cs="Wingdings"/>
      </w:rPr>
    </w:lvl>
    <w:lvl w:ilvl="6" w:tentative="0">
      <w:start w:val="1"/>
      <w:numFmt w:val="bullet"/>
      <w:lvlText w:val="·"/>
      <w:lvlJc w:val="left"/>
      <w:pPr>
        <w:ind w:left="5040" w:hanging="360"/>
      </w:pPr>
      <w:rPr>
        <w:rFonts w:hint="default" w:ascii="Symbol" w:hAnsi="Symbol" w:eastAsia="Symbol" w:cs="Symbol"/>
      </w:rPr>
    </w:lvl>
    <w:lvl w:ilvl="7" w:tentative="0">
      <w:start w:val="1"/>
      <w:numFmt w:val="bullet"/>
      <w:lvlText w:val="o"/>
      <w:lvlJc w:val="left"/>
      <w:pPr>
        <w:ind w:left="5760" w:hanging="360"/>
      </w:pPr>
      <w:rPr>
        <w:rFonts w:hint="default" w:ascii="Courier New" w:hAnsi="Courier New" w:eastAsia="Courier New" w:cs="Courier New"/>
      </w:rPr>
    </w:lvl>
    <w:lvl w:ilvl="8" w:tentative="0">
      <w:start w:val="1"/>
      <w:numFmt w:val="bullet"/>
      <w:lvlText w:val="§"/>
      <w:lvlJc w:val="left"/>
      <w:pPr>
        <w:ind w:left="6480" w:hanging="360"/>
      </w:pPr>
      <w:rPr>
        <w:rFonts w:hint="default" w:ascii="Wingdings" w:hAnsi="Wingdings" w:eastAsia="Wingdings" w:cs="Wingdings"/>
      </w:rPr>
    </w:lvl>
  </w:abstractNum>
  <w:abstractNum w:abstractNumId="20">
    <w:nsid w:val="5A241D34"/>
    <w:multiLevelType w:val="multilevel"/>
    <w:tmpl w:val="5A241D34"/>
    <w:lvl w:ilvl="0" w:tentative="0">
      <w:start w:val="1"/>
      <w:numFmt w:val="decimal"/>
      <w:lvlText w:val="%1)"/>
      <w:lvlJc w:val="left"/>
      <w:pPr>
        <w:ind w:left="845" w:hanging="420"/>
      </w:pPr>
      <w:rPr>
        <w:rFonts w:hint="eastAsia" w:ascii="宋体" w:hAnsi="宋体" w:eastAsia="宋体"/>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21">
    <w:nsid w:val="60382F6E"/>
    <w:multiLevelType w:val="multilevel"/>
    <w:tmpl w:val="60382F6E"/>
    <w:lvl w:ilvl="0" w:tentative="0">
      <w:start w:val="7"/>
      <w:numFmt w:val="decimal"/>
      <w:suff w:val="space"/>
      <w:lvlText w:val="%1."/>
      <w:lvlJc w:val="left"/>
    </w:lvl>
    <w:lvl w:ilvl="1" w:tentative="0">
      <w:start w:val="1"/>
      <w:numFmt w:val="bullet"/>
      <w:lvlText w:val="o"/>
      <w:lvlJc w:val="left"/>
      <w:pPr>
        <w:ind w:left="1440" w:hanging="360"/>
      </w:pPr>
      <w:rPr>
        <w:rFonts w:hint="default" w:ascii="Courier New" w:hAnsi="Courier New" w:eastAsia="Courier New" w:cs="Courier New"/>
      </w:rPr>
    </w:lvl>
    <w:lvl w:ilvl="2" w:tentative="0">
      <w:start w:val="1"/>
      <w:numFmt w:val="bullet"/>
      <w:lvlText w:val="§"/>
      <w:lvlJc w:val="left"/>
      <w:pPr>
        <w:ind w:left="2160" w:hanging="360"/>
      </w:pPr>
      <w:rPr>
        <w:rFonts w:hint="default" w:ascii="Wingdings" w:hAnsi="Wingdings" w:eastAsia="Wingdings" w:cs="Wingdings"/>
      </w:rPr>
    </w:lvl>
    <w:lvl w:ilvl="3" w:tentative="0">
      <w:start w:val="1"/>
      <w:numFmt w:val="bullet"/>
      <w:lvlText w:val="·"/>
      <w:lvlJc w:val="left"/>
      <w:pPr>
        <w:ind w:left="2880" w:hanging="360"/>
      </w:pPr>
      <w:rPr>
        <w:rFonts w:hint="default" w:ascii="Symbol" w:hAnsi="Symbol" w:eastAsia="Symbol" w:cs="Symbol"/>
      </w:rPr>
    </w:lvl>
    <w:lvl w:ilvl="4" w:tentative="0">
      <w:start w:val="1"/>
      <w:numFmt w:val="bullet"/>
      <w:lvlText w:val="o"/>
      <w:lvlJc w:val="left"/>
      <w:pPr>
        <w:ind w:left="3600" w:hanging="360"/>
      </w:pPr>
      <w:rPr>
        <w:rFonts w:hint="default" w:ascii="Courier New" w:hAnsi="Courier New" w:eastAsia="Courier New" w:cs="Courier New"/>
      </w:rPr>
    </w:lvl>
    <w:lvl w:ilvl="5" w:tentative="0">
      <w:start w:val="1"/>
      <w:numFmt w:val="bullet"/>
      <w:lvlText w:val="§"/>
      <w:lvlJc w:val="left"/>
      <w:pPr>
        <w:ind w:left="4320" w:hanging="360"/>
      </w:pPr>
      <w:rPr>
        <w:rFonts w:hint="default" w:ascii="Wingdings" w:hAnsi="Wingdings" w:eastAsia="Wingdings" w:cs="Wingdings"/>
      </w:rPr>
    </w:lvl>
    <w:lvl w:ilvl="6" w:tentative="0">
      <w:start w:val="1"/>
      <w:numFmt w:val="bullet"/>
      <w:lvlText w:val="·"/>
      <w:lvlJc w:val="left"/>
      <w:pPr>
        <w:ind w:left="5040" w:hanging="360"/>
      </w:pPr>
      <w:rPr>
        <w:rFonts w:hint="default" w:ascii="Symbol" w:hAnsi="Symbol" w:eastAsia="Symbol" w:cs="Symbol"/>
      </w:rPr>
    </w:lvl>
    <w:lvl w:ilvl="7" w:tentative="0">
      <w:start w:val="1"/>
      <w:numFmt w:val="bullet"/>
      <w:lvlText w:val="o"/>
      <w:lvlJc w:val="left"/>
      <w:pPr>
        <w:ind w:left="5760" w:hanging="360"/>
      </w:pPr>
      <w:rPr>
        <w:rFonts w:hint="default" w:ascii="Courier New" w:hAnsi="Courier New" w:eastAsia="Courier New" w:cs="Courier New"/>
      </w:rPr>
    </w:lvl>
    <w:lvl w:ilvl="8" w:tentative="0">
      <w:start w:val="1"/>
      <w:numFmt w:val="bullet"/>
      <w:lvlText w:val="§"/>
      <w:lvlJc w:val="left"/>
      <w:pPr>
        <w:ind w:left="6480" w:hanging="360"/>
      </w:pPr>
      <w:rPr>
        <w:rFonts w:hint="default" w:ascii="Wingdings" w:hAnsi="Wingdings" w:eastAsia="Wingdings" w:cs="Wingdings"/>
      </w:rPr>
    </w:lvl>
  </w:abstractNum>
  <w:abstractNum w:abstractNumId="22">
    <w:nsid w:val="72183CF9"/>
    <w:multiLevelType w:val="multilevel"/>
    <w:tmpl w:val="72183CF9"/>
    <w:lvl w:ilvl="0" w:tentative="0">
      <w:start w:val="1"/>
      <w:numFmt w:val="decimal"/>
      <w:lvlText w:val="%1)"/>
      <w:lvlJc w:val="left"/>
      <w:pPr>
        <w:ind w:left="845" w:hanging="420"/>
      </w:pPr>
      <w:rPr>
        <w:rFonts w:hint="eastAsia" w:ascii="宋体" w:hAnsi="宋体" w:eastAsia="宋体"/>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num w:numId="1">
    <w:abstractNumId w:val="9"/>
  </w:num>
  <w:num w:numId="2">
    <w:abstractNumId w:val="5"/>
  </w:num>
  <w:num w:numId="3">
    <w:abstractNumId w:val="19"/>
  </w:num>
  <w:num w:numId="4">
    <w:abstractNumId w:val="3"/>
  </w:num>
  <w:num w:numId="5">
    <w:abstractNumId w:val="2"/>
  </w:num>
  <w:num w:numId="6">
    <w:abstractNumId w:val="11"/>
  </w:num>
  <w:num w:numId="7">
    <w:abstractNumId w:val="14"/>
  </w:num>
  <w:num w:numId="8">
    <w:abstractNumId w:val="22"/>
  </w:num>
  <w:num w:numId="9">
    <w:abstractNumId w:val="10"/>
  </w:num>
  <w:num w:numId="10">
    <w:abstractNumId w:val="0"/>
  </w:num>
  <w:num w:numId="11">
    <w:abstractNumId w:val="15"/>
  </w:num>
  <w:num w:numId="12">
    <w:abstractNumId w:val="20"/>
  </w:num>
  <w:num w:numId="13">
    <w:abstractNumId w:val="4"/>
  </w:num>
  <w:num w:numId="14">
    <w:abstractNumId w:val="18"/>
  </w:num>
  <w:num w:numId="15">
    <w:abstractNumId w:val="8"/>
  </w:num>
  <w:num w:numId="16">
    <w:abstractNumId w:val="13"/>
  </w:num>
  <w:num w:numId="17">
    <w:abstractNumId w:val="7"/>
  </w:num>
  <w:num w:numId="18">
    <w:abstractNumId w:val="6"/>
  </w:num>
  <w:num w:numId="19">
    <w:abstractNumId w:val="1"/>
  </w:num>
  <w:num w:numId="20">
    <w:abstractNumId w:val="17"/>
  </w:num>
  <w:num w:numId="21">
    <w:abstractNumId w:val="21"/>
  </w:num>
  <w:num w:numId="22">
    <w:abstractNumId w:val="12"/>
  </w:num>
  <w:num w:numId="2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val="" w:percent="100"/>
  <w:documentProtection w:enforcement="0"/>
  <w:defaultTabStop w:val="420"/>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29001D9"/>
    <w:rsid w:val="06C45FD6"/>
    <w:rsid w:val="22A65B0A"/>
    <w:rsid w:val="36FA234B"/>
    <w:rsid w:val="589407FE"/>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qFormat="1" w:uiPriority="99" w:name="footnote text"/>
    <w:lsdException w:uiPriority="99"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qFormat="1" w:uiPriority="99" w:semiHidden="0" w:name="table of figures"/>
    <w:lsdException w:uiPriority="99" w:name="envelope address"/>
    <w:lsdException w:uiPriority="99" w:name="envelope return"/>
    <w:lsdException w:qFormat="1" w:uiPriority="99" w:semiHidden="0" w:name="footnote reference"/>
    <w:lsdException w:uiPriority="99" w:name="annotation reference"/>
    <w:lsdException w:uiPriority="99" w:name="line number"/>
    <w:lsdException w:uiPriority="99" w:name="page number"/>
    <w:lsdException w:qFormat="1" w:uiPriority="99" w:name="endnote reference"/>
    <w:lsdException w:qFormat="1" w:uiPriority="99" w:name="endnote text"/>
    <w:lsdException w:uiPriority="99" w:name="table of authorities"/>
    <w:lsdException w:uiPriority="99" w:name="macro"/>
    <w:lsdException w:qFormat="1" w:unhideWhenUsed="0" w:uiPriority="99" w:semiHidden="0"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0" w:semiHidden="0" w:name="Strong"/>
    <w:lsdException w:qFormat="1" w:unhideWhenUsed="0" w:uiPriority="20" w:semiHidden="0" w:name="Emphasis"/>
    <w:lsdException w:qFormat="1" w:unhideWhenUsed="0" w:uiPriority="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after="160" w:line="278" w:lineRule="auto"/>
      <w:jc w:val="both"/>
    </w:pPr>
    <w:rPr>
      <w:rFonts w:hint="default" w:ascii="Times New Roman" w:hAnsi="Times New Roman" w:eastAsia="宋体" w:cs="Times New Roman"/>
      <w:sz w:val="21"/>
      <w:szCs w:val="24"/>
      <w:lang w:val="en-US" w:eastAsia="zh-CN" w:bidi="ar-SA"/>
    </w:rPr>
  </w:style>
  <w:style w:type="paragraph" w:styleId="4">
    <w:name w:val="heading 1"/>
    <w:basedOn w:val="1"/>
    <w:next w:val="1"/>
    <w:link w:val="248"/>
    <w:qFormat/>
    <w:uiPriority w:val="9"/>
    <w:pPr>
      <w:keepNext/>
      <w:keepLines/>
      <w:spacing w:before="480" w:after="200"/>
      <w:outlineLvl w:val="0"/>
    </w:pPr>
    <w:rPr>
      <w:rFonts w:ascii="Arial" w:hAnsi="Arial" w:eastAsia="Arial" w:cs="Arial"/>
      <w:sz w:val="40"/>
      <w:szCs w:val="40"/>
    </w:rPr>
  </w:style>
  <w:style w:type="paragraph" w:styleId="5">
    <w:name w:val="heading 2"/>
    <w:basedOn w:val="1"/>
    <w:next w:val="1"/>
    <w:link w:val="68"/>
    <w:unhideWhenUsed/>
    <w:qFormat/>
    <w:uiPriority w:val="9"/>
    <w:pPr>
      <w:keepNext/>
      <w:keepLines/>
      <w:spacing w:before="360" w:after="200"/>
      <w:outlineLvl w:val="1"/>
    </w:pPr>
    <w:rPr>
      <w:rFonts w:ascii="Arial" w:hAnsi="Arial" w:eastAsia="Arial" w:cs="Arial"/>
      <w:sz w:val="34"/>
    </w:rPr>
  </w:style>
  <w:style w:type="paragraph" w:styleId="6">
    <w:name w:val="heading 3"/>
    <w:basedOn w:val="1"/>
    <w:next w:val="1"/>
    <w:link w:val="250"/>
    <w:unhideWhenUsed/>
    <w:qFormat/>
    <w:uiPriority w:val="9"/>
    <w:pPr>
      <w:keepNext/>
      <w:keepLines/>
      <w:spacing w:before="320" w:after="200"/>
      <w:outlineLvl w:val="2"/>
    </w:pPr>
    <w:rPr>
      <w:rFonts w:ascii="Arial" w:hAnsi="Arial" w:eastAsia="Arial" w:cs="Arial"/>
      <w:sz w:val="30"/>
      <w:szCs w:val="30"/>
    </w:rPr>
  </w:style>
  <w:style w:type="paragraph" w:styleId="7">
    <w:name w:val="heading 4"/>
    <w:basedOn w:val="1"/>
    <w:next w:val="1"/>
    <w:link w:val="251"/>
    <w:unhideWhenUsed/>
    <w:qFormat/>
    <w:uiPriority w:val="9"/>
    <w:pPr>
      <w:keepNext/>
      <w:keepLines/>
      <w:spacing w:before="320" w:after="200"/>
      <w:outlineLvl w:val="3"/>
    </w:pPr>
    <w:rPr>
      <w:rFonts w:ascii="Arial" w:hAnsi="Arial" w:eastAsia="Arial" w:cs="Arial"/>
      <w:b/>
      <w:bCs/>
      <w:sz w:val="26"/>
      <w:szCs w:val="26"/>
    </w:rPr>
  </w:style>
  <w:style w:type="paragraph" w:styleId="8">
    <w:name w:val="heading 5"/>
    <w:basedOn w:val="1"/>
    <w:next w:val="1"/>
    <w:link w:val="252"/>
    <w:unhideWhenUsed/>
    <w:qFormat/>
    <w:uiPriority w:val="9"/>
    <w:pPr>
      <w:keepNext/>
      <w:keepLines/>
      <w:spacing w:before="320" w:after="200"/>
      <w:outlineLvl w:val="4"/>
    </w:pPr>
    <w:rPr>
      <w:rFonts w:ascii="Arial" w:hAnsi="Arial" w:eastAsia="Arial" w:cs="Arial"/>
      <w:b/>
      <w:bCs/>
      <w:sz w:val="24"/>
    </w:rPr>
  </w:style>
  <w:style w:type="paragraph" w:styleId="9">
    <w:name w:val="heading 6"/>
    <w:basedOn w:val="1"/>
    <w:next w:val="1"/>
    <w:link w:val="253"/>
    <w:unhideWhenUsed/>
    <w:qFormat/>
    <w:uiPriority w:val="9"/>
    <w:pPr>
      <w:keepNext/>
      <w:keepLines/>
      <w:spacing w:before="320" w:after="200"/>
      <w:outlineLvl w:val="5"/>
    </w:pPr>
    <w:rPr>
      <w:rFonts w:ascii="Arial" w:hAnsi="Arial" w:eastAsia="Arial" w:cs="Arial"/>
      <w:b/>
      <w:bCs/>
      <w:sz w:val="22"/>
      <w:szCs w:val="22"/>
    </w:rPr>
  </w:style>
  <w:style w:type="paragraph" w:styleId="10">
    <w:name w:val="heading 7"/>
    <w:basedOn w:val="1"/>
    <w:next w:val="1"/>
    <w:link w:val="254"/>
    <w:unhideWhenUsed/>
    <w:qFormat/>
    <w:uiPriority w:val="9"/>
    <w:pPr>
      <w:keepNext/>
      <w:keepLines/>
      <w:spacing w:before="320" w:after="200"/>
      <w:outlineLvl w:val="6"/>
    </w:pPr>
    <w:rPr>
      <w:rFonts w:ascii="Arial" w:hAnsi="Arial" w:eastAsia="Arial" w:cs="Arial"/>
      <w:b/>
      <w:bCs/>
      <w:i/>
      <w:iCs/>
      <w:sz w:val="22"/>
      <w:szCs w:val="22"/>
    </w:rPr>
  </w:style>
  <w:style w:type="paragraph" w:styleId="11">
    <w:name w:val="heading 8"/>
    <w:basedOn w:val="1"/>
    <w:next w:val="1"/>
    <w:link w:val="255"/>
    <w:unhideWhenUsed/>
    <w:qFormat/>
    <w:uiPriority w:val="9"/>
    <w:pPr>
      <w:keepNext/>
      <w:keepLines/>
      <w:spacing w:before="320" w:after="200"/>
      <w:outlineLvl w:val="7"/>
    </w:pPr>
    <w:rPr>
      <w:rFonts w:ascii="Arial" w:hAnsi="Arial" w:eastAsia="Arial" w:cs="Arial"/>
      <w:i/>
      <w:iCs/>
      <w:sz w:val="22"/>
      <w:szCs w:val="22"/>
    </w:rPr>
  </w:style>
  <w:style w:type="paragraph" w:styleId="12">
    <w:name w:val="heading 9"/>
    <w:basedOn w:val="1"/>
    <w:next w:val="1"/>
    <w:link w:val="256"/>
    <w:unhideWhenUsed/>
    <w:qFormat/>
    <w:uiPriority w:val="9"/>
    <w:pPr>
      <w:keepNext/>
      <w:keepLines/>
      <w:spacing w:before="320" w:after="200"/>
      <w:outlineLvl w:val="8"/>
    </w:pPr>
    <w:rPr>
      <w:rFonts w:ascii="Arial" w:hAnsi="Arial" w:eastAsia="Arial" w:cs="Arial"/>
      <w:i/>
      <w:iCs/>
      <w:sz w:val="21"/>
      <w:szCs w:val="21"/>
    </w:rPr>
  </w:style>
  <w:style w:type="character" w:default="1" w:styleId="39">
    <w:name w:val="Default Paragraph Font"/>
    <w:semiHidden/>
    <w:unhideWhenUsed/>
    <w:qFormat/>
    <w:uiPriority w:val="1"/>
  </w:style>
  <w:style w:type="table" w:default="1" w:styleId="37">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qFormat/>
    <w:uiPriority w:val="0"/>
    <w:pPr>
      <w:spacing w:line="312" w:lineRule="atLeast"/>
      <w:ind w:firstLine="420"/>
    </w:pPr>
    <w:rPr>
      <w:sz w:val="20"/>
      <w:szCs w:val="20"/>
    </w:rPr>
  </w:style>
  <w:style w:type="paragraph" w:styleId="3">
    <w:name w:val="Body Text"/>
    <w:basedOn w:val="1"/>
    <w:qFormat/>
    <w:uiPriority w:val="1"/>
    <w:pPr>
      <w:spacing w:after="120"/>
    </w:pPr>
  </w:style>
  <w:style w:type="paragraph" w:styleId="13">
    <w:name w:val="toc 7"/>
    <w:basedOn w:val="1"/>
    <w:next w:val="1"/>
    <w:unhideWhenUsed/>
    <w:qFormat/>
    <w:uiPriority w:val="39"/>
    <w:pPr>
      <w:spacing w:after="57"/>
      <w:ind w:left="1701"/>
    </w:pPr>
  </w:style>
  <w:style w:type="paragraph" w:styleId="14">
    <w:name w:val="Normal Indent"/>
    <w:basedOn w:val="1"/>
    <w:qFormat/>
    <w:uiPriority w:val="0"/>
    <w:pPr>
      <w:spacing w:after="120" w:line="400" w:lineRule="exact"/>
      <w:ind w:firstLine="420"/>
    </w:pPr>
    <w:rPr>
      <w:sz w:val="28"/>
      <w:szCs w:val="20"/>
      <w:lang w:val="zh-CN"/>
    </w:rPr>
  </w:style>
  <w:style w:type="paragraph" w:styleId="15">
    <w:name w:val="caption"/>
    <w:basedOn w:val="1"/>
    <w:next w:val="1"/>
    <w:semiHidden/>
    <w:unhideWhenUsed/>
    <w:qFormat/>
    <w:uiPriority w:val="35"/>
    <w:pPr>
      <w:spacing w:line="276" w:lineRule="auto"/>
    </w:pPr>
    <w:rPr>
      <w:b/>
      <w:bCs/>
      <w:color w:val="5B9BD5" w:themeColor="accent1"/>
      <w:sz w:val="18"/>
      <w:szCs w:val="18"/>
      <w14:textFill>
        <w14:solidFill>
          <w14:schemeClr w14:val="accent1"/>
        </w14:solidFill>
      </w14:textFill>
    </w:rPr>
  </w:style>
  <w:style w:type="paragraph" w:styleId="16">
    <w:name w:val="Document Map"/>
    <w:basedOn w:val="1"/>
    <w:semiHidden/>
    <w:qFormat/>
    <w:uiPriority w:val="0"/>
    <w:pPr>
      <w:shd w:val="clear" w:color="auto" w:fill="000080"/>
    </w:pPr>
  </w:style>
  <w:style w:type="paragraph" w:styleId="17">
    <w:name w:val="toa heading"/>
    <w:basedOn w:val="1"/>
    <w:next w:val="1"/>
    <w:qFormat/>
    <w:uiPriority w:val="99"/>
    <w:pPr>
      <w:spacing w:before="120" w:line="252" w:lineRule="auto"/>
    </w:pPr>
    <w:rPr>
      <w:rFonts w:ascii="Arial" w:hAnsi="Arial"/>
    </w:rPr>
  </w:style>
  <w:style w:type="paragraph" w:styleId="18">
    <w:name w:val="toc 5"/>
    <w:basedOn w:val="1"/>
    <w:next w:val="1"/>
    <w:unhideWhenUsed/>
    <w:qFormat/>
    <w:uiPriority w:val="39"/>
    <w:pPr>
      <w:spacing w:after="57"/>
      <w:ind w:left="1134"/>
    </w:pPr>
  </w:style>
  <w:style w:type="paragraph" w:styleId="19">
    <w:name w:val="toc 3"/>
    <w:basedOn w:val="1"/>
    <w:next w:val="1"/>
    <w:unhideWhenUsed/>
    <w:qFormat/>
    <w:uiPriority w:val="39"/>
    <w:pPr>
      <w:spacing w:after="57"/>
      <w:ind w:left="567"/>
    </w:pPr>
  </w:style>
  <w:style w:type="paragraph" w:styleId="20">
    <w:name w:val="Plain Text"/>
    <w:basedOn w:val="1"/>
    <w:qFormat/>
    <w:uiPriority w:val="0"/>
    <w:pPr>
      <w:spacing w:line="360" w:lineRule="atLeast"/>
    </w:pPr>
    <w:rPr>
      <w:rFonts w:ascii="宋体" w:hAnsi="Courier New"/>
      <w:sz w:val="21"/>
      <w:szCs w:val="21"/>
    </w:rPr>
  </w:style>
  <w:style w:type="paragraph" w:styleId="21">
    <w:name w:val="toc 8"/>
    <w:basedOn w:val="1"/>
    <w:next w:val="1"/>
    <w:unhideWhenUsed/>
    <w:qFormat/>
    <w:uiPriority w:val="39"/>
    <w:pPr>
      <w:spacing w:after="57"/>
      <w:ind w:left="1984"/>
    </w:pPr>
  </w:style>
  <w:style w:type="paragraph" w:styleId="22">
    <w:name w:val="Date"/>
    <w:basedOn w:val="1"/>
    <w:next w:val="1"/>
    <w:qFormat/>
    <w:uiPriority w:val="0"/>
    <w:pPr>
      <w:spacing w:line="410" w:lineRule="atLeast"/>
    </w:pPr>
    <w:rPr>
      <w:rFonts w:ascii="宋体"/>
      <w:sz w:val="24"/>
      <w:szCs w:val="20"/>
    </w:rPr>
  </w:style>
  <w:style w:type="paragraph" w:styleId="23">
    <w:name w:val="endnote text"/>
    <w:basedOn w:val="1"/>
    <w:semiHidden/>
    <w:unhideWhenUsed/>
    <w:qFormat/>
    <w:uiPriority w:val="99"/>
    <w:rPr>
      <w:sz w:val="20"/>
    </w:rPr>
  </w:style>
  <w:style w:type="paragraph" w:styleId="24">
    <w:name w:val="Balloon Text"/>
    <w:basedOn w:val="1"/>
    <w:semiHidden/>
    <w:qFormat/>
    <w:uiPriority w:val="0"/>
    <w:rPr>
      <w:sz w:val="18"/>
      <w:szCs w:val="18"/>
    </w:rPr>
  </w:style>
  <w:style w:type="paragraph" w:styleId="25">
    <w:name w:val="footer"/>
    <w:basedOn w:val="1"/>
    <w:qFormat/>
    <w:uiPriority w:val="99"/>
    <w:pPr>
      <w:tabs>
        <w:tab w:val="center" w:pos="4153"/>
        <w:tab w:val="right" w:pos="8306"/>
      </w:tabs>
      <w:jc w:val="left"/>
    </w:pPr>
    <w:rPr>
      <w:sz w:val="18"/>
      <w:szCs w:val="18"/>
    </w:rPr>
  </w:style>
  <w:style w:type="paragraph" w:styleId="26">
    <w:name w:val="header"/>
    <w:basedOn w:val="1"/>
    <w:qFormat/>
    <w:uiPriority w:val="0"/>
    <w:pPr>
      <w:pBdr>
        <w:bottom w:val="single" w:color="auto" w:sz="6" w:space="1"/>
      </w:pBdr>
      <w:tabs>
        <w:tab w:val="center" w:pos="4153"/>
        <w:tab w:val="right" w:pos="8306"/>
      </w:tabs>
      <w:jc w:val="center"/>
    </w:pPr>
    <w:rPr>
      <w:sz w:val="18"/>
      <w:szCs w:val="18"/>
    </w:rPr>
  </w:style>
  <w:style w:type="paragraph" w:styleId="27">
    <w:name w:val="toc 1"/>
    <w:basedOn w:val="1"/>
    <w:next w:val="1"/>
    <w:unhideWhenUsed/>
    <w:qFormat/>
    <w:uiPriority w:val="39"/>
    <w:pPr>
      <w:spacing w:after="57"/>
    </w:pPr>
  </w:style>
  <w:style w:type="paragraph" w:styleId="28">
    <w:name w:val="toc 4"/>
    <w:basedOn w:val="1"/>
    <w:next w:val="1"/>
    <w:unhideWhenUsed/>
    <w:qFormat/>
    <w:uiPriority w:val="39"/>
    <w:pPr>
      <w:spacing w:after="57"/>
      <w:ind w:left="850"/>
    </w:pPr>
  </w:style>
  <w:style w:type="paragraph" w:styleId="29">
    <w:name w:val="Subtitle"/>
    <w:basedOn w:val="1"/>
    <w:next w:val="1"/>
    <w:qFormat/>
    <w:uiPriority w:val="11"/>
    <w:pPr>
      <w:spacing w:before="200" w:after="200"/>
    </w:pPr>
    <w:rPr>
      <w:sz w:val="24"/>
    </w:rPr>
  </w:style>
  <w:style w:type="paragraph" w:styleId="30">
    <w:name w:val="footnote text"/>
    <w:basedOn w:val="1"/>
    <w:semiHidden/>
    <w:unhideWhenUsed/>
    <w:qFormat/>
    <w:uiPriority w:val="99"/>
    <w:pPr>
      <w:spacing w:after="40"/>
    </w:pPr>
    <w:rPr>
      <w:sz w:val="18"/>
    </w:rPr>
  </w:style>
  <w:style w:type="paragraph" w:styleId="31">
    <w:name w:val="toc 6"/>
    <w:basedOn w:val="1"/>
    <w:next w:val="1"/>
    <w:unhideWhenUsed/>
    <w:qFormat/>
    <w:uiPriority w:val="39"/>
    <w:pPr>
      <w:spacing w:after="57"/>
      <w:ind w:left="1417"/>
    </w:pPr>
  </w:style>
  <w:style w:type="paragraph" w:styleId="32">
    <w:name w:val="table of figures"/>
    <w:basedOn w:val="1"/>
    <w:next w:val="1"/>
    <w:unhideWhenUsed/>
    <w:qFormat/>
    <w:uiPriority w:val="99"/>
  </w:style>
  <w:style w:type="paragraph" w:styleId="33">
    <w:name w:val="toc 2"/>
    <w:basedOn w:val="1"/>
    <w:next w:val="1"/>
    <w:unhideWhenUsed/>
    <w:qFormat/>
    <w:uiPriority w:val="39"/>
    <w:pPr>
      <w:spacing w:after="57"/>
      <w:ind w:left="283"/>
    </w:pPr>
  </w:style>
  <w:style w:type="paragraph" w:styleId="34">
    <w:name w:val="toc 9"/>
    <w:basedOn w:val="1"/>
    <w:next w:val="1"/>
    <w:unhideWhenUsed/>
    <w:qFormat/>
    <w:uiPriority w:val="39"/>
    <w:pPr>
      <w:spacing w:after="57"/>
      <w:ind w:left="2268"/>
    </w:pPr>
  </w:style>
  <w:style w:type="paragraph" w:styleId="35">
    <w:name w:val="Normal (Web)"/>
    <w:basedOn w:val="1"/>
    <w:qFormat/>
    <w:uiPriority w:val="0"/>
    <w:rPr>
      <w:sz w:val="24"/>
    </w:rPr>
  </w:style>
  <w:style w:type="paragraph" w:styleId="36">
    <w:name w:val="Title"/>
    <w:basedOn w:val="1"/>
    <w:next w:val="1"/>
    <w:link w:val="392"/>
    <w:qFormat/>
    <w:uiPriority w:val="10"/>
    <w:pPr>
      <w:spacing w:before="300" w:after="200"/>
      <w:contextualSpacing/>
    </w:pPr>
    <w:rPr>
      <w:sz w:val="48"/>
      <w:szCs w:val="48"/>
    </w:rPr>
  </w:style>
  <w:style w:type="table" w:styleId="38">
    <w:name w:val="Table Grid"/>
    <w:basedOn w:val="37"/>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40">
    <w:name w:val="Strong"/>
    <w:basedOn w:val="39"/>
    <w:qFormat/>
    <w:uiPriority w:val="0"/>
    <w:rPr>
      <w:b/>
    </w:rPr>
  </w:style>
  <w:style w:type="character" w:styleId="41">
    <w:name w:val="endnote reference"/>
    <w:basedOn w:val="39"/>
    <w:semiHidden/>
    <w:unhideWhenUsed/>
    <w:qFormat/>
    <w:uiPriority w:val="99"/>
    <w:rPr>
      <w:vertAlign w:val="superscript"/>
    </w:rPr>
  </w:style>
  <w:style w:type="character" w:styleId="42">
    <w:name w:val="FollowedHyperlink"/>
    <w:basedOn w:val="39"/>
    <w:semiHidden/>
    <w:unhideWhenUsed/>
    <w:qFormat/>
    <w:uiPriority w:val="99"/>
    <w:rPr>
      <w:color w:val="800080"/>
      <w:u w:val="single"/>
    </w:rPr>
  </w:style>
  <w:style w:type="character" w:styleId="43">
    <w:name w:val="Hyperlink"/>
    <w:unhideWhenUsed/>
    <w:qFormat/>
    <w:uiPriority w:val="99"/>
    <w:rPr>
      <w:color w:val="0563C1" w:themeColor="hyperlink"/>
      <w:u w:val="single"/>
      <w14:textFill>
        <w14:solidFill>
          <w14:schemeClr w14:val="hlink"/>
        </w14:solidFill>
      </w14:textFill>
    </w:rPr>
  </w:style>
  <w:style w:type="character" w:styleId="44">
    <w:name w:val="footnote reference"/>
    <w:basedOn w:val="39"/>
    <w:unhideWhenUsed/>
    <w:qFormat/>
    <w:uiPriority w:val="99"/>
    <w:rPr>
      <w:vertAlign w:val="superscript"/>
    </w:rPr>
  </w:style>
  <w:style w:type="character" w:customStyle="1" w:styleId="45">
    <w:name w:val="Heading 2 Char"/>
    <w:basedOn w:val="39"/>
    <w:qFormat/>
    <w:uiPriority w:val="9"/>
    <w:rPr>
      <w:rFonts w:ascii="Arial" w:hAnsi="Arial" w:eastAsia="Arial" w:cs="Arial"/>
      <w:sz w:val="34"/>
    </w:rPr>
  </w:style>
  <w:style w:type="character" w:customStyle="1" w:styleId="46">
    <w:name w:val="Caption Char"/>
    <w:qFormat/>
    <w:uiPriority w:val="99"/>
  </w:style>
  <w:style w:type="table" w:customStyle="1" w:styleId="47">
    <w:name w:val="Plain Table 1"/>
    <w:basedOn w:val="37"/>
    <w:qFormat/>
    <w:uiPriority w:val="59"/>
    <w:pPr>
      <w:spacing w:after="0" w:line="240" w:lineRule="auto"/>
    </w:pPr>
    <w:tblPr>
      <w:tblBorders>
        <w:top w:val="single" w:color="AEAEAE" w:themeColor="text1" w:themeTint="50" w:sz="4" w:space="0"/>
        <w:left w:val="single" w:color="AEAEAE" w:themeColor="text1" w:themeTint="50" w:sz="4" w:space="0"/>
        <w:bottom w:val="single" w:color="AEAEAE" w:themeColor="text1" w:themeTint="50" w:sz="4" w:space="0"/>
        <w:right w:val="single" w:color="AEAEAE" w:themeColor="text1" w:themeTint="50" w:sz="4" w:space="0"/>
        <w:insideH w:val="single" w:color="AEAEAE" w:themeColor="text1" w:themeTint="50" w:sz="4" w:space="0"/>
        <w:insideV w:val="single" w:color="AEAEAE" w:themeColor="text1" w:themeTint="50" w:sz="4" w:space="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cPr>
        <w:shd w:val="clear" w:color="F1F1F1" w:themeColor="text1" w:themeTint="0D" w:fill="F1F1F1" w:themeFill="text1" w:themeFillTint="0D"/>
      </w:tcPr>
    </w:tblStylePr>
    <w:tblStylePr w:type="band1Horz">
      <w:tcPr>
        <w:shd w:val="clear" w:color="F1F1F1" w:themeColor="text1" w:themeTint="0D" w:fill="F1F1F1" w:themeFill="text1" w:themeFillTint="0D"/>
      </w:tcPr>
    </w:tblStylePr>
  </w:style>
  <w:style w:type="table" w:customStyle="1" w:styleId="48">
    <w:name w:val="Plain Table 2"/>
    <w:basedOn w:val="37"/>
    <w:qFormat/>
    <w:uiPriority w:val="59"/>
    <w:pPr>
      <w:spacing w:after="0" w:line="240" w:lineRule="auto"/>
    </w:pPr>
    <w:tblPr>
      <w:tblBorders>
        <w:top w:val="single" w:color="000000" w:themeColor="text1" w:sz="4" w:space="0"/>
        <w:left w:val="none" w:color="000000" w:themeColor="text1" w:sz="4" w:space="0"/>
        <w:bottom w:val="single" w:color="000000" w:themeColor="text1" w:sz="4" w:space="0"/>
        <w:right w:val="none" w:color="000000" w:themeColor="text1" w:sz="4" w:space="0"/>
      </w:tblBorders>
      <w:tblCellMar>
        <w:top w:w="0" w:type="dxa"/>
        <w:left w:w="108" w:type="dxa"/>
        <w:bottom w:w="0" w:type="dxa"/>
        <w:right w:w="108" w:type="dxa"/>
      </w:tblCellMar>
    </w:tbl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band1Horz">
      <w:tcPr>
        <w:tcBorders>
          <w:top w:val="single" w:color="000000" w:themeColor="text1" w:sz="4" w:space="0"/>
          <w:bottom w:val="single" w:color="000000" w:themeColor="text1" w:sz="4" w:space="0"/>
        </w:tcBorders>
      </w:tcPr>
    </w:tblStylePr>
  </w:style>
  <w:style w:type="table" w:customStyle="1" w:styleId="49">
    <w:name w:val="Plain Table 3"/>
    <w:basedOn w:val="37"/>
    <w:qFormat/>
    <w:uiPriority w:val="99"/>
    <w:pPr>
      <w:spacing w:after="0" w:line="240" w:lineRule="auto"/>
    </w:pPr>
    <w:tblPr/>
    <w:tblStylePr w:type="firstRow">
      <w:rPr>
        <w:b/>
        <w:caps/>
        <w:color w:val="404040"/>
      </w:rPr>
      <w:tcPr>
        <w:tcBorders>
          <w:top w:val="nil"/>
          <w:left w:val="nil"/>
          <w:bottom w:val="single" w:color="404040" w:sz="4" w:space="0"/>
          <w:right w:val="nil"/>
        </w:tcBorders>
      </w:tcPr>
    </w:tblStylePr>
    <w:tblStylePr w:type="lastRow">
      <w:rPr>
        <w:b/>
        <w:caps/>
        <w:color w:val="404040"/>
      </w:rPr>
    </w:tblStylePr>
    <w:tblStylePr w:type="firstCol">
      <w:rPr>
        <w:b/>
        <w:caps/>
        <w:color w:val="404040"/>
      </w:rPr>
      <w:tcPr>
        <w:tcBorders>
          <w:top w:val="nil"/>
          <w:left w:val="nil"/>
          <w:bottom w:val="nil"/>
          <w:right w:val="single" w:color="404040" w:sz="4" w:space="0"/>
        </w:tcBorders>
      </w:tcPr>
    </w:tblStylePr>
    <w:tblStylePr w:type="lastCol">
      <w:rPr>
        <w:b/>
        <w:caps/>
        <w:color w:val="404040"/>
      </w:rPr>
    </w:tblStylePr>
    <w:tblStylePr w:type="band1Vert">
      <w:rPr>
        <w:rFonts w:ascii="Arial" w:hAnsi="Arial"/>
        <w:color w:val="404040"/>
        <w:sz w:val="22"/>
      </w:rPr>
      <w:tcPr>
        <w:shd w:val="clear" w:color="F1F1F1" w:themeColor="text1" w:themeTint="0D" w:fill="F1F1F1" w:themeFill="text1" w:themeFillTint="0D"/>
      </w:tcPr>
    </w:tblStylePr>
    <w:tblStylePr w:type="band1Horz">
      <w:rPr>
        <w:rFonts w:ascii="Arial" w:hAnsi="Arial"/>
        <w:color w:val="404040"/>
        <w:sz w:val="22"/>
      </w:rPr>
      <w:tcPr>
        <w:shd w:val="clear" w:color="F1F1F1" w:themeColor="text1" w:themeTint="0D" w:fill="F1F1F1" w:themeFill="text1" w:themeFillTint="0D"/>
      </w:tcPr>
    </w:tblStylePr>
  </w:style>
  <w:style w:type="table" w:customStyle="1" w:styleId="50">
    <w:name w:val="Plain Table 4"/>
    <w:basedOn w:val="37"/>
    <w:qFormat/>
    <w:uiPriority w:val="99"/>
    <w:pPr>
      <w:spacing w:after="0" w:line="240" w:lineRule="auto"/>
    </w:pP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F1F1F1" w:themeColor="text1" w:themeTint="0D" w:fill="F1F1F1" w:themeFill="text1" w:themeFillTint="0D"/>
      </w:tcPr>
    </w:tblStylePr>
    <w:tblStylePr w:type="band1Horz">
      <w:rPr>
        <w:rFonts w:ascii="Arial" w:hAnsi="Arial"/>
        <w:color w:val="404040"/>
        <w:sz w:val="22"/>
      </w:rPr>
      <w:tcPr>
        <w:shd w:val="clear" w:color="F1F1F1" w:themeColor="text1" w:themeTint="0D" w:fill="F1F1F1" w:themeFill="text1" w:themeFillTint="0D"/>
      </w:tcPr>
    </w:tblStylePr>
  </w:style>
  <w:style w:type="table" w:customStyle="1" w:styleId="51">
    <w:name w:val="Plain Table 5"/>
    <w:basedOn w:val="37"/>
    <w:qFormat/>
    <w:uiPriority w:val="99"/>
    <w:pPr>
      <w:spacing w:after="0" w:line="240" w:lineRule="auto"/>
    </w:pPr>
    <w:tblPr/>
    <w:tblStylePr w:type="firstRow">
      <w:rPr>
        <w:i/>
        <w:color w:val="404040"/>
      </w:rPr>
      <w:tcPr>
        <w:tcBorders>
          <w:left w:val="nil"/>
          <w:bottom w:val="single" w:color="404040" w:sz="4" w:space="0"/>
          <w:right w:val="nil"/>
        </w:tcBorders>
        <w:shd w:val="clear" w:color="FFFFFF" w:fill="auto"/>
      </w:tcPr>
    </w:tblStylePr>
    <w:tblStylePr w:type="lastRow">
      <w:rPr>
        <w:i/>
        <w:color w:val="404040"/>
      </w:rPr>
      <w:tcPr>
        <w:tcBorders>
          <w:top w:val="single" w:color="404040" w:sz="4" w:space="0"/>
          <w:left w:val="nil"/>
          <w:right w:val="nil"/>
        </w:tcBorders>
        <w:shd w:val="clear" w:color="FFFFFF" w:fill="auto"/>
      </w:tcPr>
    </w:tblStylePr>
    <w:tblStylePr w:type="firstCol">
      <w:pPr>
        <w:jc w:val="right"/>
      </w:pPr>
      <w:rPr>
        <w:i/>
        <w:color w:val="404040"/>
      </w:rPr>
      <w:tcPr>
        <w:tcBorders>
          <w:right w:val="single" w:color="404040" w:sz="4" w:space="0"/>
        </w:tcBorders>
        <w:shd w:val="clear" w:color="FFFFFF" w:fill="auto"/>
      </w:tcPr>
    </w:tblStylePr>
    <w:tblStylePr w:type="lastCol">
      <w:rPr>
        <w:i/>
        <w:color w:val="404040"/>
      </w:rPr>
      <w:tcPr>
        <w:tcBorders>
          <w:left w:val="single" w:color="404040" w:sz="4" w:space="0"/>
        </w:tcBorders>
        <w:shd w:val="clear" w:color="FFFFFF" w:fill="auto"/>
      </w:tcPr>
    </w:tblStylePr>
    <w:tblStylePr w:type="band1Vert">
      <w:rPr>
        <w:rFonts w:ascii="Arial" w:hAnsi="Arial"/>
        <w:color w:val="404040"/>
        <w:sz w:val="22"/>
      </w:rPr>
      <w:tcPr>
        <w:shd w:val="clear" w:color="F1F1F1" w:themeColor="text1" w:themeTint="0D" w:fill="F1F1F1" w:themeFill="text1" w:themeFillTint="0D"/>
      </w:tcPr>
    </w:tblStylePr>
    <w:tblStylePr w:type="band1Horz">
      <w:rPr>
        <w:rFonts w:ascii="Arial" w:hAnsi="Arial"/>
        <w:color w:val="404040"/>
        <w:sz w:val="22"/>
      </w:rPr>
      <w:tcPr>
        <w:shd w:val="clear" w:color="F1F1F1" w:themeColor="text1" w:themeTint="0D" w:fill="F1F1F1" w:themeFill="text1" w:themeFillTint="0D"/>
      </w:tcPr>
    </w:tblStylePr>
  </w:style>
  <w:style w:type="table" w:customStyle="1" w:styleId="52">
    <w:name w:val="Grid Table 1 Light"/>
    <w:basedOn w:val="37"/>
    <w:qFormat/>
    <w:uiPriority w:val="99"/>
    <w:pPr>
      <w:spacing w:after="0" w:line="240" w:lineRule="auto"/>
    </w:pPr>
    <w:tblPr>
      <w:tblBorders>
        <w:top w:val="single" w:color="979797" w:themeColor="text1" w:themeTint="67" w:sz="4" w:space="0"/>
        <w:left w:val="single" w:color="979797" w:themeColor="text1" w:themeTint="67" w:sz="4" w:space="0"/>
        <w:bottom w:val="single" w:color="979797" w:themeColor="text1" w:themeTint="67" w:sz="4" w:space="0"/>
        <w:right w:val="single" w:color="979797" w:themeColor="text1" w:themeTint="67" w:sz="4" w:space="0"/>
        <w:insideH w:val="single" w:color="979797" w:themeColor="text1" w:themeTint="67" w:sz="4" w:space="0"/>
        <w:insideV w:val="single" w:color="979797" w:themeColor="text1" w:themeTint="67" w:sz="4" w:space="0"/>
      </w:tblBorders>
    </w:tblPr>
    <w:tblStylePr w:type="firstRow">
      <w:rPr>
        <w:b/>
        <w:color w:val="404040"/>
      </w:rPr>
      <w:tcPr>
        <w:tcBorders>
          <w:bottom w:val="single" w:color="696969" w:themeColor="text1"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979797" w:themeColor="text1" w:themeTint="67" w:sz="4" w:space="0"/>
          <w:left w:val="single" w:color="979797" w:themeColor="text1" w:themeTint="67" w:sz="4" w:space="0"/>
          <w:bottom w:val="single" w:color="979797" w:themeColor="text1" w:themeTint="67" w:sz="4" w:space="0"/>
          <w:right w:val="single" w:color="979797" w:themeColor="text1" w:themeTint="67" w:sz="4" w:space="0"/>
        </w:tcBorders>
      </w:tcPr>
    </w:tblStylePr>
  </w:style>
  <w:style w:type="table" w:customStyle="1" w:styleId="53">
    <w:name w:val="Grid Table 2"/>
    <w:basedOn w:val="37"/>
    <w:qFormat/>
    <w:uiPriority w:val="99"/>
    <w:pPr>
      <w:spacing w:after="0" w:line="240" w:lineRule="auto"/>
    </w:pPr>
    <w:tblPr>
      <w:tblBorders>
        <w:bottom w:val="single" w:color="696969" w:themeColor="text1" w:themeTint="95" w:sz="4" w:space="0"/>
        <w:insideH w:val="single" w:color="696969" w:themeColor="text1" w:themeTint="95" w:sz="4" w:space="0"/>
        <w:insideV w:val="single" w:color="696969" w:themeColor="text1" w:themeTint="95" w:sz="4" w:space="0"/>
      </w:tblBorders>
    </w:tblPr>
    <w:tblStylePr w:type="firstRow">
      <w:rPr>
        <w:b/>
        <w:color w:val="404040"/>
      </w:rPr>
      <w:tcPr>
        <w:tcBorders>
          <w:top w:val="nil"/>
          <w:left w:val="nil"/>
          <w:bottom w:val="single" w:color="696969" w:themeColor="text1" w:themeTint="95" w:sz="12" w:space="0"/>
          <w:right w:val="nil"/>
        </w:tcBorders>
        <w:shd w:val="clear" w:color="FFFFFF" w:fill="auto"/>
      </w:tcPr>
    </w:tblStylePr>
    <w:tblStylePr w:type="lastRow">
      <w:rPr>
        <w:b/>
        <w:color w:val="404040"/>
      </w:rPr>
      <w:tcPr>
        <w:tcBorders>
          <w:top w:val="single" w:color="696969" w:themeColor="text1" w:themeTint="95"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CACACA" w:themeColor="text1" w:themeTint="34" w:fill="CACACA" w:themeFill="text1" w:themeFillTint="34"/>
      </w:tcPr>
    </w:tblStylePr>
    <w:tblStylePr w:type="band1Horz">
      <w:rPr>
        <w:rFonts w:ascii="Arial" w:hAnsi="Arial"/>
        <w:color w:val="404040"/>
        <w:sz w:val="22"/>
      </w:rPr>
      <w:tcPr>
        <w:shd w:val="clear" w:color="CACACA" w:themeColor="text1" w:themeTint="34" w:fill="CACACA" w:themeFill="text1" w:themeFillTint="34"/>
      </w:tcPr>
    </w:tblStylePr>
  </w:style>
  <w:style w:type="table" w:customStyle="1" w:styleId="54">
    <w:name w:val="Grid Table 3"/>
    <w:basedOn w:val="37"/>
    <w:qFormat/>
    <w:uiPriority w:val="99"/>
    <w:pPr>
      <w:spacing w:after="0" w:line="240" w:lineRule="auto"/>
    </w:pPr>
    <w:tblPr>
      <w:tblBorders>
        <w:bottom w:val="single" w:color="696969" w:themeColor="text1" w:themeTint="95" w:sz="4" w:space="0"/>
        <w:insideH w:val="single" w:color="696969" w:themeColor="text1" w:themeTint="95" w:sz="4" w:space="0"/>
        <w:insideV w:val="single" w:color="696969" w:themeColor="text1" w:themeTint="95"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CACACA" w:themeColor="text1" w:themeTint="34" w:fill="CACACA" w:themeFill="text1" w:themeFillTint="34"/>
      </w:tcPr>
    </w:tblStylePr>
    <w:tblStylePr w:type="band1Horz">
      <w:rPr>
        <w:rFonts w:ascii="Arial" w:hAnsi="Arial"/>
        <w:color w:val="404040"/>
        <w:sz w:val="22"/>
      </w:rPr>
      <w:tcPr>
        <w:shd w:val="clear" w:color="CACACA" w:themeColor="text1" w:themeTint="34" w:fill="CACACA" w:themeFill="text1" w:themeFillTint="34"/>
      </w:tcPr>
    </w:tblStylePr>
  </w:style>
  <w:style w:type="table" w:customStyle="1" w:styleId="55">
    <w:name w:val="Grid Table 4"/>
    <w:basedOn w:val="37"/>
    <w:qFormat/>
    <w:uiPriority w:val="59"/>
    <w:pPr>
      <w:spacing w:after="0" w:line="240" w:lineRule="auto"/>
    </w:pPr>
    <w:tblPr>
      <w:tblBorders>
        <w:top w:val="single" w:color="6E6E6E" w:themeColor="text1" w:themeTint="90" w:sz="4" w:space="0"/>
        <w:left w:val="single" w:color="6E6E6E" w:themeColor="text1" w:themeTint="90" w:sz="4" w:space="0"/>
        <w:bottom w:val="single" w:color="6E6E6E" w:themeColor="text1" w:themeTint="90" w:sz="4" w:space="0"/>
        <w:right w:val="single" w:color="6E6E6E" w:themeColor="text1" w:themeTint="90" w:sz="4" w:space="0"/>
        <w:insideH w:val="single" w:color="6E6E6E" w:themeColor="text1" w:themeTint="90" w:sz="4" w:space="0"/>
        <w:insideV w:val="single" w:color="6E6E6E" w:themeColor="text1" w:themeTint="90" w:sz="4" w:space="0"/>
      </w:tblBorders>
    </w:tblPr>
    <w:tblStylePr w:type="firstRow">
      <w:rPr>
        <w:rFonts w:ascii="Arial" w:hAnsi="Arial"/>
        <w:b/>
        <w:color w:val="FFFFFF"/>
        <w:sz w:val="22"/>
      </w:rPr>
      <w:tcPr>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000000" w:themeColor="text1" w:fill="000000" w:themeFill="text1"/>
      </w:tcPr>
    </w:tblStylePr>
    <w:tblStylePr w:type="lastRow">
      <w:rPr>
        <w:b/>
        <w:color w:val="404040"/>
      </w:rPr>
      <w:tcPr>
        <w:tcBorders>
          <w:top w:val="single" w:color="000000" w:themeColor="text1"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CACACA" w:themeColor="text1" w:themeTint="34" w:fill="CACACA" w:themeFill="text1" w:themeFillTint="34"/>
      </w:tcPr>
    </w:tblStylePr>
    <w:tblStylePr w:type="band1Horz">
      <w:rPr>
        <w:rFonts w:ascii="Arial" w:hAnsi="Arial"/>
        <w:color w:val="404040"/>
        <w:sz w:val="22"/>
      </w:rPr>
      <w:tcPr>
        <w:shd w:val="clear" w:color="CACACA" w:themeColor="text1" w:themeTint="34" w:fill="CACACA" w:themeFill="text1" w:themeFillTint="34"/>
      </w:tcPr>
    </w:tblStylePr>
  </w:style>
  <w:style w:type="table" w:customStyle="1" w:styleId="56">
    <w:name w:val="Grid Table 5 Dark"/>
    <w:basedOn w:val="37"/>
    <w:qFormat/>
    <w:uiPriority w:val="99"/>
    <w:pPr>
      <w:spacing w:after="0" w:line="240" w:lineRule="auto"/>
    </w:pPr>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000000" w:themeColor="text1" w:fill="000000" w:themeFill="text1"/>
      </w:tcPr>
    </w:tblStylePr>
    <w:tblStylePr w:type="lastRow">
      <w:rPr>
        <w:rFonts w:ascii="Arial" w:hAnsi="Arial"/>
        <w:b/>
        <w:color w:val="FFFFFF"/>
        <w:sz w:val="22"/>
      </w:rPr>
      <w:tcPr>
        <w:tcBorders>
          <w:top w:val="single" w:color="FFFFFF" w:themeColor="light1" w:sz="4" w:space="0"/>
        </w:tcBorders>
        <w:shd w:val="clear" w:color="000000" w:themeColor="text1" w:fill="000000" w:themeFill="text1"/>
      </w:tcPr>
    </w:tblStylePr>
    <w:tblStylePr w:type="firstCol">
      <w:rPr>
        <w:rFonts w:ascii="Arial" w:hAnsi="Arial"/>
        <w:b/>
        <w:color w:val="FFFFFF"/>
        <w:sz w:val="22"/>
      </w:rPr>
      <w:tcPr>
        <w:shd w:val="clear" w:color="000000" w:themeColor="text1" w:fill="000000" w:themeFill="text1"/>
      </w:tcPr>
    </w:tblStylePr>
    <w:tblStylePr w:type="lastCol">
      <w:rPr>
        <w:rFonts w:ascii="Arial" w:hAnsi="Arial"/>
        <w:b/>
        <w:color w:val="FFFFFF"/>
        <w:sz w:val="22"/>
      </w:rPr>
      <w:tcPr>
        <w:shd w:val="clear" w:color="000000" w:themeColor="text1" w:fill="000000" w:themeFill="text1"/>
      </w:tcPr>
    </w:tblStylePr>
    <w:tblStylePr w:type="band1Vert">
      <w:tcPr>
        <w:shd w:val="clear" w:color="898989" w:themeColor="text1" w:themeTint="75" w:fill="898989" w:themeFill="text1" w:themeFillTint="75"/>
      </w:tcPr>
    </w:tblStylePr>
    <w:tblStylePr w:type="band1Horz">
      <w:tcPr>
        <w:shd w:val="clear" w:color="898989" w:themeColor="text1" w:themeTint="75" w:fill="898989" w:themeFill="text1" w:themeFillTint="75"/>
      </w:tcPr>
    </w:tblStylePr>
  </w:style>
  <w:style w:type="table" w:customStyle="1" w:styleId="57">
    <w:name w:val="Grid Table 6 Colorful"/>
    <w:basedOn w:val="37"/>
    <w:qFormat/>
    <w:uiPriority w:val="99"/>
    <w:pPr>
      <w:spacing w:after="0" w:line="240" w:lineRule="auto"/>
    </w:pPr>
    <w:tblPr>
      <w:tblBorders>
        <w:top w:val="single" w:color="7E7E7E" w:themeColor="text1" w:themeTint="80" w:sz="4" w:space="0"/>
        <w:left w:val="single" w:color="7E7E7E" w:themeColor="text1" w:themeTint="80" w:sz="4" w:space="0"/>
        <w:bottom w:val="single" w:color="7E7E7E" w:themeColor="text1" w:themeTint="80" w:sz="4" w:space="0"/>
        <w:right w:val="single" w:color="7E7E7E" w:themeColor="text1" w:themeTint="80" w:sz="4" w:space="0"/>
        <w:insideH w:val="single" w:color="7E7E7E" w:themeColor="text1" w:themeTint="80" w:sz="4" w:space="0"/>
        <w:insideV w:val="single" w:color="7E7E7E" w:themeColor="text1" w:themeTint="80" w:sz="4" w:space="0"/>
      </w:tblBorders>
    </w:tblPr>
    <w:tblStylePr w:type="firstRow">
      <w:rPr>
        <w:b/>
        <w:color w:val="808080" w:themeColor="text1" w:themeTint="80"/>
        <w14:textFill>
          <w14:solidFill>
            <w14:schemeClr w14:val="tx1">
              <w14:lumMod w14:val="50000"/>
              <w14:lumOff w14:val="50000"/>
            </w14:schemeClr>
          </w14:solidFill>
        </w14:textFill>
      </w:rPr>
      <w:tcPr>
        <w:tcBorders>
          <w:bottom w:val="single" w:color="7E7E7E" w:themeColor="text1" w:themeTint="80" w:sz="12" w:space="0"/>
        </w:tcBorders>
      </w:tcPr>
    </w:tblStylePr>
    <w:tblStylePr w:type="lastRow">
      <w:rPr>
        <w:b/>
        <w:color w:val="808080" w:themeColor="text1" w:themeTint="80"/>
        <w14:textFill>
          <w14:solidFill>
            <w14:schemeClr w14:val="tx1">
              <w14:lumMod w14:val="50000"/>
              <w14:lumOff w14:val="50000"/>
            </w14:schemeClr>
          </w14:solidFill>
        </w14:textFill>
      </w:rPr>
    </w:tblStylePr>
    <w:tblStylePr w:type="firstCol">
      <w:rPr>
        <w:b/>
        <w:color w:val="808080" w:themeColor="text1" w:themeTint="80"/>
        <w14:textFill>
          <w14:solidFill>
            <w14:schemeClr w14:val="tx1">
              <w14:lumMod w14:val="50000"/>
              <w14:lumOff w14:val="50000"/>
            </w14:schemeClr>
          </w14:solidFill>
        </w14:textFill>
      </w:rPr>
    </w:tblStylePr>
    <w:tblStylePr w:type="lastCol">
      <w:rPr>
        <w:b/>
        <w:color w:val="808080" w:themeColor="text1" w:themeTint="80"/>
        <w14:textFill>
          <w14:solidFill>
            <w14:schemeClr w14:val="tx1">
              <w14:lumMod w14:val="50000"/>
              <w14:lumOff w14:val="50000"/>
            </w14:schemeClr>
          </w14:solidFill>
        </w14:textFill>
      </w:rPr>
    </w:tblStylePr>
    <w:tblStylePr w:type="band1Vert">
      <w:tcPr>
        <w:shd w:val="clear" w:color="CACACA" w:themeColor="text1" w:themeTint="34" w:fill="CACACA" w:themeFill="text1" w:themeFillTint="34"/>
      </w:tcPr>
    </w:tblStylePr>
    <w:tblStylePr w:type="band1Horz">
      <w:rPr>
        <w:rFonts w:ascii="Arial" w:hAnsi="Arial"/>
        <w:color w:val="808080" w:themeColor="text1" w:themeTint="80"/>
        <w:sz w:val="22"/>
        <w14:textFill>
          <w14:solidFill>
            <w14:schemeClr w14:val="tx1">
              <w14:lumMod w14:val="50000"/>
              <w14:lumOff w14:val="50000"/>
            </w14:schemeClr>
          </w14:solidFill>
        </w14:textFill>
      </w:rPr>
      <w:tcPr>
        <w:shd w:val="clear" w:color="CACACA" w:themeColor="text1" w:themeTint="34" w:fill="CACACA" w:themeFill="text1" w:themeFillTint="34"/>
      </w:tcPr>
    </w:tblStylePr>
    <w:tblStylePr w:type="band2Horz">
      <w:rPr>
        <w:rFonts w:ascii="Arial" w:hAnsi="Arial"/>
        <w:color w:val="808080" w:themeColor="text1" w:themeTint="80"/>
        <w:sz w:val="22"/>
        <w14:textFill>
          <w14:solidFill>
            <w14:schemeClr w14:val="tx1">
              <w14:lumMod w14:val="50000"/>
              <w14:lumOff w14:val="50000"/>
            </w14:schemeClr>
          </w14:solidFill>
        </w14:textFill>
      </w:rPr>
    </w:tblStylePr>
  </w:style>
  <w:style w:type="table" w:customStyle="1" w:styleId="58">
    <w:name w:val="Grid Table 7 Colorful"/>
    <w:basedOn w:val="37"/>
    <w:qFormat/>
    <w:uiPriority w:val="99"/>
    <w:pPr>
      <w:spacing w:after="0" w:line="240" w:lineRule="auto"/>
    </w:pPr>
    <w:tblPr>
      <w:tblBorders>
        <w:bottom w:val="single" w:color="7E7E7E" w:themeColor="text1" w:themeTint="80" w:sz="4" w:space="0"/>
        <w:right w:val="single" w:color="7E7E7E" w:themeColor="text1" w:themeTint="80" w:sz="4" w:space="0"/>
        <w:insideH w:val="single" w:color="7E7E7E" w:themeColor="text1" w:themeTint="80" w:sz="4" w:space="0"/>
        <w:insideV w:val="single" w:color="7E7E7E" w:themeColor="text1" w:themeTint="80" w:sz="4" w:space="0"/>
      </w:tblBorders>
    </w:tblPr>
    <w:tblStylePr w:type="firstRow">
      <w:rPr>
        <w:rFonts w:ascii="Arial" w:hAnsi="Arial"/>
        <w:b/>
        <w:color w:val="808080" w:themeColor="text1" w:themeTint="80"/>
        <w:sz w:val="22"/>
        <w14:textFill>
          <w14:solidFill>
            <w14:schemeClr w14:val="tx1">
              <w14:lumMod w14:val="50000"/>
              <w14:lumOff w14:val="50000"/>
            </w14:schemeClr>
          </w14:solidFill>
        </w14:textFill>
      </w:rPr>
      <w:tcPr>
        <w:tcBorders>
          <w:top w:val="nil"/>
          <w:left w:val="nil"/>
          <w:bottom w:val="single" w:color="7E7E7E" w:themeColor="text1" w:themeTint="80" w:sz="4" w:space="0"/>
          <w:right w:val="nil"/>
        </w:tcBorders>
        <w:shd w:val="clear" w:color="FFFFFF" w:themeColor="light1" w:fill="FFFFFF" w:themeFill="light1"/>
      </w:tcPr>
    </w:tblStylePr>
    <w:tblStylePr w:type="lastRow">
      <w:rPr>
        <w:rFonts w:ascii="Arial" w:hAnsi="Arial"/>
        <w:b/>
        <w:color w:val="808080" w:themeColor="text1" w:themeTint="80"/>
        <w:sz w:val="22"/>
        <w14:textFill>
          <w14:solidFill>
            <w14:schemeClr w14:val="tx1">
              <w14:lumMod w14:val="50000"/>
              <w14:lumOff w14:val="50000"/>
            </w14:schemeClr>
          </w14:solidFill>
        </w14:textFill>
      </w:rPr>
      <w:tcPr>
        <w:tcBorders>
          <w:top w:val="single" w:color="7E7E7E" w:themeColor="text1" w:themeTint="80" w:sz="4" w:space="0"/>
          <w:left w:val="nil"/>
          <w:bottom w:val="nil"/>
          <w:right w:val="nil"/>
        </w:tcBorders>
        <w:shd w:val="clear" w:color="FFFFFF" w:themeColor="light1" w:fill="FFFFFF" w:themeFill="light1"/>
      </w:tcPr>
    </w:tblStylePr>
    <w:tblStylePr w:type="firstCol">
      <w:pPr>
        <w:jc w:val="right"/>
      </w:pPr>
      <w:rPr>
        <w:rFonts w:ascii="Arial" w:hAnsi="Arial"/>
        <w:i/>
        <w:color w:val="808080" w:themeColor="text1" w:themeTint="80"/>
        <w:sz w:val="22"/>
        <w14:textFill>
          <w14:solidFill>
            <w14:schemeClr w14:val="tx1">
              <w14:lumMod w14:val="50000"/>
              <w14:lumOff w14:val="50000"/>
            </w14:schemeClr>
          </w14:solidFill>
        </w14:textFill>
      </w:rPr>
      <w:tcPr>
        <w:tcBorders>
          <w:top w:val="nil"/>
          <w:left w:val="nil"/>
          <w:bottom w:val="nil"/>
          <w:right w:val="single" w:color="7E7E7E" w:themeColor="text1" w:themeTint="80" w:sz="4" w:space="0"/>
        </w:tcBorders>
        <w:shd w:val="clear" w:color="FFFFFF" w:fill="auto"/>
      </w:tcPr>
    </w:tblStylePr>
    <w:tblStylePr w:type="lastCol">
      <w:rPr>
        <w:rFonts w:ascii="Arial" w:hAnsi="Arial"/>
        <w:i/>
        <w:color w:val="808080" w:themeColor="text1" w:themeTint="80"/>
        <w:sz w:val="22"/>
        <w14:textFill>
          <w14:solidFill>
            <w14:schemeClr w14:val="tx1">
              <w14:lumMod w14:val="50000"/>
              <w14:lumOff w14:val="50000"/>
            </w14:schemeClr>
          </w14:solidFill>
        </w14:textFill>
      </w:rPr>
      <w:tcPr>
        <w:tcBorders>
          <w:top w:val="nil"/>
          <w:left w:val="single" w:color="7E7E7E" w:themeColor="text1" w:themeTint="80" w:sz="4" w:space="0"/>
          <w:bottom w:val="nil"/>
          <w:right w:val="nil"/>
        </w:tcBorders>
        <w:shd w:val="clear" w:color="FFFFFF" w:fill="auto"/>
      </w:tcPr>
    </w:tblStylePr>
    <w:tblStylePr w:type="band1Vert">
      <w:tcPr>
        <w:shd w:val="clear" w:color="F1F1F1" w:themeColor="text1" w:themeTint="0D" w:fill="F1F1F1" w:themeFill="text1" w:themeFillTint="0D"/>
      </w:tcPr>
    </w:tblStylePr>
    <w:tblStylePr w:type="band1Horz">
      <w:rPr>
        <w:rFonts w:ascii="Arial" w:hAnsi="Arial"/>
        <w:color w:val="808080" w:themeColor="text1" w:themeTint="80"/>
        <w:sz w:val="22"/>
        <w14:textFill>
          <w14:solidFill>
            <w14:schemeClr w14:val="tx1">
              <w14:lumMod w14:val="50000"/>
              <w14:lumOff w14:val="50000"/>
            </w14:schemeClr>
          </w14:solidFill>
        </w14:textFill>
      </w:rPr>
      <w:tcPr>
        <w:shd w:val="clear" w:color="F1F1F1" w:themeColor="text1" w:themeTint="0D" w:fill="F1F1F1" w:themeFill="text1" w:themeFillTint="0D"/>
      </w:tcPr>
    </w:tblStylePr>
    <w:tblStylePr w:type="band2Horz">
      <w:rPr>
        <w:rFonts w:ascii="Arial" w:hAnsi="Arial"/>
        <w:color w:val="808080" w:themeColor="text1" w:themeTint="80"/>
        <w:sz w:val="22"/>
        <w14:textFill>
          <w14:solidFill>
            <w14:schemeClr w14:val="tx1">
              <w14:lumMod w14:val="50000"/>
              <w14:lumOff w14:val="50000"/>
            </w14:schemeClr>
          </w14:solidFill>
        </w14:textFill>
      </w:rPr>
    </w:tblStylePr>
  </w:style>
  <w:style w:type="table" w:customStyle="1" w:styleId="59">
    <w:name w:val="List Table 1 Light"/>
    <w:basedOn w:val="37"/>
    <w:qFormat/>
    <w:uiPriority w:val="99"/>
    <w:pPr>
      <w:spacing w:after="0" w:line="240" w:lineRule="auto"/>
    </w:pPr>
    <w:tblPr/>
    <w:tblStylePr w:type="firstRow">
      <w:rPr>
        <w:b/>
        <w:color w:val="404040"/>
      </w:rPr>
      <w:tcPr>
        <w:tcBorders>
          <w:top w:val="nil"/>
          <w:left w:val="nil"/>
          <w:bottom w:val="single" w:color="000000" w:themeColor="text1" w:sz="4" w:space="0"/>
          <w:right w:val="nil"/>
        </w:tcBorders>
      </w:tcPr>
    </w:tblStylePr>
    <w:tblStylePr w:type="lastRow">
      <w:rPr>
        <w:b/>
        <w:color w:val="404040"/>
      </w:rPr>
      <w:tcPr>
        <w:tcBorders>
          <w:top w:val="single" w:color="000000" w:themeColor="text1" w:sz="4" w:space="0"/>
          <w:left w:val="nil"/>
          <w:bottom w:val="nil"/>
          <w:right w:val="nil"/>
        </w:tcBorders>
      </w:tcPr>
    </w:tblStylePr>
    <w:tblStylePr w:type="firstCol">
      <w:rPr>
        <w:b/>
        <w:color w:val="404040"/>
      </w:rPr>
    </w:tblStylePr>
    <w:tblStylePr w:type="lastCol">
      <w:rPr>
        <w:b/>
        <w:color w:val="404040"/>
      </w:rPr>
    </w:tblStylePr>
    <w:tblStylePr w:type="band1Vert">
      <w:tcPr>
        <w:shd w:val="clear" w:color="BEBEBE" w:themeColor="text1" w:themeTint="40" w:fill="BEBEBE" w:themeFill="text1" w:themeFillTint="40"/>
      </w:tcPr>
    </w:tblStylePr>
    <w:tblStylePr w:type="band1Horz">
      <w:tcPr>
        <w:shd w:val="clear" w:color="BEBEBE" w:themeColor="text1" w:themeTint="40" w:fill="BEBEBE" w:themeFill="text1" w:themeFillTint="40"/>
      </w:tcPr>
    </w:tblStylePr>
  </w:style>
  <w:style w:type="table" w:customStyle="1" w:styleId="60">
    <w:name w:val="List Table 2"/>
    <w:basedOn w:val="37"/>
    <w:qFormat/>
    <w:uiPriority w:val="99"/>
    <w:pPr>
      <w:spacing w:after="0" w:line="240" w:lineRule="auto"/>
    </w:pPr>
    <w:tblPr>
      <w:tblBorders>
        <w:top w:val="single" w:color="6E6E6E" w:themeColor="text1" w:themeTint="90" w:sz="4" w:space="0"/>
        <w:bottom w:val="single" w:color="6E6E6E" w:themeColor="text1" w:themeTint="90" w:sz="4" w:space="0"/>
        <w:insideH w:val="single" w:color="6E6E6E" w:themeColor="text1" w:themeTint="90" w:sz="4" w:space="0"/>
      </w:tblBorders>
    </w:tblPr>
    <w:tblStylePr w:type="firstRow">
      <w:rPr>
        <w:rFonts w:ascii="Arial" w:hAnsi="Arial"/>
        <w:b/>
        <w:color w:val="404040"/>
        <w:sz w:val="22"/>
      </w:rPr>
      <w:tcPr>
        <w:tcBorders>
          <w:top w:val="single" w:color="6E6E6E" w:themeColor="text1" w:themeTint="90" w:sz="4" w:space="0"/>
          <w:left w:val="nil"/>
          <w:bottom w:val="single" w:color="6E6E6E" w:themeColor="text1" w:themeTint="90" w:sz="4" w:space="0"/>
          <w:right w:val="nil"/>
        </w:tcBorders>
      </w:tcPr>
    </w:tblStylePr>
    <w:tblStylePr w:type="lastRow">
      <w:rPr>
        <w:rFonts w:ascii="Arial" w:hAnsi="Arial"/>
        <w:b/>
        <w:color w:val="404040"/>
        <w:sz w:val="22"/>
      </w:rPr>
      <w:tcPr>
        <w:tcBorders>
          <w:top w:val="single" w:color="6E6E6E" w:themeColor="text1" w:themeTint="90" w:sz="4" w:space="0"/>
          <w:left w:val="nil"/>
          <w:bottom w:val="single" w:color="6E6E6E" w:themeColor="text1"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BEBEBE" w:themeColor="text1" w:themeTint="40" w:fill="BEBEBE" w:themeFill="text1" w:themeFillTint="40"/>
      </w:tcPr>
    </w:tblStylePr>
    <w:tblStylePr w:type="band1Horz">
      <w:rPr>
        <w:rFonts w:ascii="Arial" w:hAnsi="Arial"/>
        <w:color w:val="404040"/>
        <w:sz w:val="22"/>
      </w:rPr>
      <w:tcPr>
        <w:shd w:val="clear" w:color="BEBEBE" w:themeColor="text1" w:themeTint="40" w:fill="BEBEBE" w:themeFill="text1" w:themeFillTint="40"/>
      </w:tcPr>
    </w:tblStylePr>
  </w:style>
  <w:style w:type="table" w:customStyle="1" w:styleId="61">
    <w:name w:val="List Table 3"/>
    <w:basedOn w:val="37"/>
    <w:qFormat/>
    <w:uiPriority w:val="99"/>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firstRow">
      <w:rPr>
        <w:rFonts w:ascii="Arial" w:hAnsi="Arial"/>
        <w:b/>
        <w:color w:val="FFFFFF"/>
        <w:sz w:val="22"/>
      </w:r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band1Horz">
      <w:rPr>
        <w:rFonts w:ascii="Arial" w:hAnsi="Arial"/>
        <w:color w:val="404040"/>
        <w:sz w:val="22"/>
      </w:rPr>
      <w:tcPr>
        <w:tcBorders>
          <w:top w:val="single" w:color="000000" w:themeColor="text1" w:sz="4" w:space="0"/>
          <w:bottom w:val="single" w:color="000000" w:themeColor="text1" w:sz="4" w:space="0"/>
        </w:tcBorders>
      </w:tcPr>
    </w:tblStylePr>
  </w:style>
  <w:style w:type="table" w:customStyle="1" w:styleId="62">
    <w:name w:val="List Table 4"/>
    <w:basedOn w:val="37"/>
    <w:qFormat/>
    <w:uiPriority w:val="99"/>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firstRow">
      <w:rPr>
        <w:rFonts w:ascii="Arial" w:hAnsi="Arial"/>
        <w:b/>
        <w:color w:val="FFFFFF"/>
        <w:sz w:val="22"/>
      </w:r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BEBEBE" w:themeColor="text1" w:themeTint="40" w:fill="BEBEBE" w:themeFill="text1" w:themeFillTint="40"/>
      </w:tcPr>
    </w:tblStylePr>
    <w:tblStylePr w:type="band1Horz">
      <w:rPr>
        <w:rFonts w:ascii="Arial" w:hAnsi="Arial"/>
        <w:color w:val="404040"/>
        <w:sz w:val="22"/>
      </w:rPr>
      <w:tcPr>
        <w:shd w:val="clear" w:color="BEBEBE" w:themeColor="text1" w:themeTint="40" w:fill="BEBEBE" w:themeFill="text1" w:themeFillTint="40"/>
      </w:tcPr>
    </w:tblStylePr>
  </w:style>
  <w:style w:type="table" w:customStyle="1" w:styleId="63">
    <w:name w:val="List Table 5 Dark"/>
    <w:basedOn w:val="37"/>
    <w:qFormat/>
    <w:uiPriority w:val="99"/>
    <w:pPr>
      <w:spacing w:after="0" w:line="240" w:lineRule="auto"/>
    </w:pPr>
    <w:tblPr>
      <w:tblBorders>
        <w:top w:val="single" w:color="7E7E7E" w:themeColor="text1" w:themeTint="80" w:sz="32" w:space="0"/>
        <w:left w:val="single" w:color="7E7E7E" w:themeColor="text1" w:themeTint="80" w:sz="32" w:space="0"/>
        <w:bottom w:val="single" w:color="7E7E7E" w:themeColor="text1" w:themeTint="80" w:sz="32" w:space="0"/>
        <w:right w:val="single" w:color="7E7E7E" w:themeColor="text1" w:themeTint="80" w:sz="32" w:space="0"/>
      </w:tblBorders>
    </w:tblPr>
    <w:tblStylePr w:type="firstRow">
      <w:rPr>
        <w:rFonts w:ascii="Arial" w:hAnsi="Arial"/>
        <w:b/>
        <w:color w:val="FFFFFF" w:themeColor="light1"/>
        <w:sz w:val="22"/>
        <w14:textFill>
          <w14:solidFill>
            <w14:schemeClr w14:val="lt1"/>
          </w14:solidFill>
        </w14:textFill>
      </w:rPr>
      <w:tcPr>
        <w:tcBorders>
          <w:top w:val="single" w:color="7E7E7E" w:themeColor="text1" w:themeTint="80" w:sz="32" w:space="0"/>
          <w:bottom w:val="single" w:color="FFFFFF" w:themeColor="light1" w:sz="12" w:space="0"/>
        </w:tcBorders>
        <w:shd w:val="clear" w:color="7E7E7E" w:themeColor="text1" w:themeTint="80" w:fill="7E7E7E" w:themeFill="text1" w:themeFillTint="80"/>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7E7E7E" w:themeColor="text1" w:themeTint="80" w:sz="32" w:space="0"/>
          <w:right w:val="single" w:color="FFFFFF" w:themeColor="light1" w:sz="4" w:space="0"/>
        </w:tcBorders>
      </w:tcPr>
    </w:tblStylePr>
    <w:tblStylePr w:type="lastCol">
      <w:tcPr>
        <w:tcBorders>
          <w:left w:val="single" w:color="FFFFFF" w:themeColor="light1" w:sz="4" w:space="0"/>
          <w:right w:val="single" w:color="7E7E7E" w:themeColor="text1" w:themeTint="80" w:sz="32" w:space="0"/>
        </w:tcBorders>
      </w:tcPr>
    </w:tblStylePr>
    <w:tblStylePr w:type="band1Vert">
      <w:tcPr>
        <w:tcBorders>
          <w:left w:val="single" w:color="FFFFFF" w:themeColor="light1" w:sz="4" w:space="0"/>
          <w:right w:val="single" w:color="FFFFFF" w:themeColor="light1" w:sz="4" w:space="0"/>
        </w:tcBorders>
        <w:shd w:val="clear" w:color="7E7E7E" w:themeColor="text1" w:themeTint="80" w:fill="7E7E7E" w:themeFill="text1" w:themeFillTint="80"/>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7E7E7E" w:themeColor="text1" w:themeTint="80" w:fill="7E7E7E" w:themeFill="text1" w:themeFillTint="80"/>
      </w:tcPr>
    </w:tblStylePr>
    <w:tblStylePr w:type="band2Horz">
      <w:tcPr>
        <w:tcBorders>
          <w:top w:val="single" w:color="FFFFFF" w:themeColor="light1" w:sz="4" w:space="0"/>
          <w:bottom w:val="single" w:color="FFFFFF" w:themeColor="light1" w:sz="4" w:space="0"/>
        </w:tcBorders>
        <w:shd w:val="clear" w:color="7E7E7E" w:themeColor="text1" w:themeTint="80" w:fill="7E7E7E" w:themeFill="text1" w:themeFillTint="80"/>
      </w:tcPr>
    </w:tblStylePr>
  </w:style>
  <w:style w:type="table" w:customStyle="1" w:styleId="64">
    <w:name w:val="List Table 6 Colorful"/>
    <w:basedOn w:val="37"/>
    <w:qFormat/>
    <w:uiPriority w:val="99"/>
    <w:pPr>
      <w:spacing w:after="0" w:line="240" w:lineRule="auto"/>
    </w:pPr>
    <w:tblPr>
      <w:tblBorders>
        <w:top w:val="single" w:color="7E7E7E" w:themeColor="text1" w:themeTint="80" w:sz="4" w:space="0"/>
        <w:bottom w:val="single" w:color="7E7E7E" w:themeColor="text1" w:themeTint="80" w:sz="4" w:space="0"/>
      </w:tblBorders>
    </w:tblPr>
    <w:tblStylePr w:type="firstRow">
      <w:rPr>
        <w:b/>
        <w:color w:val="000000" w:themeColor="text1"/>
        <w14:textFill>
          <w14:solidFill>
            <w14:schemeClr w14:val="tx1"/>
          </w14:solidFill>
        </w14:textFill>
      </w:rPr>
      <w:tcPr>
        <w:tcBorders>
          <w:bottom w:val="single" w:color="7E7E7E" w:themeColor="text1" w:themeTint="80" w:sz="4" w:space="0"/>
        </w:tcBorders>
      </w:tcPr>
    </w:tblStylePr>
    <w:tblStylePr w:type="lastRow">
      <w:rPr>
        <w:b/>
        <w:color w:val="000000" w:themeColor="text1"/>
        <w14:textFill>
          <w14:solidFill>
            <w14:schemeClr w14:val="tx1"/>
          </w14:solidFill>
        </w14:textFill>
      </w:rPr>
      <w:tcPr>
        <w:tcBorders>
          <w:top w:val="single" w:color="7E7E7E" w:themeColor="text1" w:themeTint="80" w:sz="4" w:space="0"/>
        </w:tcBorders>
      </w:tcPr>
    </w:tblStylePr>
    <w:tblStylePr w:type="firstCol">
      <w:rPr>
        <w:b/>
        <w:color w:val="000000" w:themeColor="text1"/>
        <w14:textFill>
          <w14:solidFill>
            <w14:schemeClr w14:val="tx1"/>
          </w14:solidFill>
        </w14:textFill>
      </w:rPr>
    </w:tblStylePr>
    <w:tblStylePr w:type="lastCol">
      <w:rPr>
        <w:b/>
        <w:color w:val="000000" w:themeColor="text1"/>
        <w14:textFill>
          <w14:solidFill>
            <w14:schemeClr w14:val="tx1"/>
          </w14:solidFill>
        </w14:textFill>
      </w:rPr>
    </w:tblStylePr>
    <w:tblStylePr w:type="band1Vert">
      <w:tcPr>
        <w:shd w:val="clear" w:color="BEBEBE" w:themeColor="text1" w:themeTint="40" w:fill="BEBEBE" w:themeFill="text1" w:themeFillTint="40"/>
      </w:tcPr>
    </w:tblStylePr>
    <w:tblStylePr w:type="band1Horz">
      <w:rPr>
        <w:rFonts w:ascii="Arial" w:hAnsi="Arial"/>
        <w:color w:val="000000" w:themeColor="text1"/>
        <w:sz w:val="22"/>
        <w14:textFill>
          <w14:solidFill>
            <w14:schemeClr w14:val="tx1"/>
          </w14:solidFill>
        </w14:textFill>
      </w:rPr>
      <w:tcPr>
        <w:shd w:val="clear" w:color="BEBEBE" w:themeColor="text1" w:themeTint="40" w:fill="BEBEBE" w:themeFill="text1" w:themeFillTint="40"/>
      </w:tcPr>
    </w:tblStylePr>
    <w:tblStylePr w:type="band2Horz">
      <w:rPr>
        <w:rFonts w:ascii="Arial" w:hAnsi="Arial"/>
        <w:color w:val="000000" w:themeColor="text1"/>
        <w:sz w:val="22"/>
        <w14:textFill>
          <w14:solidFill>
            <w14:schemeClr w14:val="tx1"/>
          </w14:solidFill>
        </w14:textFill>
      </w:rPr>
    </w:tblStylePr>
  </w:style>
  <w:style w:type="table" w:customStyle="1" w:styleId="65">
    <w:name w:val="List Table 7 Colorful"/>
    <w:basedOn w:val="37"/>
    <w:qFormat/>
    <w:uiPriority w:val="99"/>
    <w:pPr>
      <w:spacing w:after="0" w:line="240" w:lineRule="auto"/>
    </w:pPr>
    <w:tblPr>
      <w:tblBorders>
        <w:right w:val="single" w:color="7E7E7E" w:themeColor="text1" w:themeTint="80" w:sz="4" w:space="0"/>
      </w:tblBorders>
    </w:tblPr>
    <w:tblStylePr w:type="firstRow">
      <w:rPr>
        <w:rFonts w:ascii="Arial" w:hAnsi="Arial"/>
        <w:i/>
        <w:color w:val="808080" w:themeColor="text1" w:themeTint="80"/>
        <w:sz w:val="22"/>
        <w14:textFill>
          <w14:solidFill>
            <w14:schemeClr w14:val="tx1">
              <w14:lumMod w14:val="50000"/>
              <w14:lumOff w14:val="50000"/>
            </w14:schemeClr>
          </w14:solidFill>
        </w14:textFill>
      </w:rPr>
      <w:tcPr>
        <w:tcBorders>
          <w:top w:val="nil"/>
          <w:left w:val="nil"/>
          <w:bottom w:val="single" w:color="7E7E7E" w:themeColor="text1" w:themeTint="80" w:sz="4" w:space="0"/>
          <w:right w:val="nil"/>
        </w:tcBorders>
        <w:shd w:val="clear" w:color="FFFFFF" w:themeColor="light1" w:fill="FFFFFF" w:themeFill="light1"/>
      </w:tcPr>
    </w:tblStylePr>
    <w:tblStylePr w:type="lastRow">
      <w:rPr>
        <w:rFonts w:ascii="Arial" w:hAnsi="Arial"/>
        <w:i/>
        <w:color w:val="808080" w:themeColor="text1" w:themeTint="80"/>
        <w:sz w:val="22"/>
        <w14:textFill>
          <w14:solidFill>
            <w14:schemeClr w14:val="tx1">
              <w14:lumMod w14:val="50000"/>
              <w14:lumOff w14:val="50000"/>
            </w14:schemeClr>
          </w14:solidFill>
        </w14:textFill>
      </w:rPr>
      <w:tcPr>
        <w:tcBorders>
          <w:top w:val="single" w:color="7E7E7E" w:themeColor="text1" w:themeTint="80" w:sz="4" w:space="0"/>
          <w:left w:val="nil"/>
          <w:bottom w:val="nil"/>
          <w:right w:val="nil"/>
        </w:tcBorders>
        <w:shd w:val="clear" w:color="FFFFFF" w:themeColor="light1" w:fill="FFFFFF" w:themeFill="light1"/>
      </w:tcPr>
    </w:tblStylePr>
    <w:tblStylePr w:type="firstCol">
      <w:pPr>
        <w:jc w:val="right"/>
      </w:pPr>
      <w:rPr>
        <w:rFonts w:ascii="Arial" w:hAnsi="Arial"/>
        <w:i/>
        <w:color w:val="808080" w:themeColor="text1" w:themeTint="80"/>
        <w:sz w:val="22"/>
        <w14:textFill>
          <w14:solidFill>
            <w14:schemeClr w14:val="tx1">
              <w14:lumMod w14:val="50000"/>
              <w14:lumOff w14:val="50000"/>
            </w14:schemeClr>
          </w14:solidFill>
        </w14:textFill>
      </w:rPr>
      <w:tcPr>
        <w:tcBorders>
          <w:top w:val="nil"/>
          <w:left w:val="nil"/>
          <w:bottom w:val="nil"/>
          <w:right w:val="single" w:color="7E7E7E" w:themeColor="text1" w:themeTint="80" w:sz="4" w:space="0"/>
        </w:tcBorders>
        <w:shd w:val="clear" w:color="FFFFFF" w:fill="auto"/>
      </w:tcPr>
    </w:tblStylePr>
    <w:tblStylePr w:type="lastCol">
      <w:rPr>
        <w:rFonts w:ascii="Arial" w:hAnsi="Arial"/>
        <w:i/>
        <w:color w:val="808080" w:themeColor="text1" w:themeTint="80"/>
        <w:sz w:val="22"/>
        <w14:textFill>
          <w14:solidFill>
            <w14:schemeClr w14:val="tx1">
              <w14:lumMod w14:val="50000"/>
              <w14:lumOff w14:val="50000"/>
            </w14:schemeClr>
          </w14:solidFill>
        </w14:textFill>
      </w:rPr>
      <w:tcPr>
        <w:tcBorders>
          <w:top w:val="nil"/>
          <w:left w:val="single" w:color="7E7E7E" w:themeColor="text1" w:themeTint="80" w:sz="4" w:space="0"/>
          <w:bottom w:val="nil"/>
          <w:right w:val="nil"/>
        </w:tcBorders>
        <w:shd w:val="clear" w:color="FFFFFF" w:fill="auto"/>
      </w:tcPr>
    </w:tblStylePr>
    <w:tblStylePr w:type="band1Vert">
      <w:tcPr>
        <w:shd w:val="clear" w:color="BEBEBE" w:themeColor="text1" w:themeTint="40" w:fill="BEBEBE" w:themeFill="text1" w:themeFillTint="40"/>
      </w:tcPr>
    </w:tblStylePr>
    <w:tblStylePr w:type="band1Horz">
      <w:rPr>
        <w:rFonts w:ascii="Arial" w:hAnsi="Arial"/>
        <w:color w:val="808080" w:themeColor="text1" w:themeTint="80"/>
        <w:sz w:val="22"/>
        <w14:textFill>
          <w14:solidFill>
            <w14:schemeClr w14:val="tx1">
              <w14:lumMod w14:val="50000"/>
              <w14:lumOff w14:val="50000"/>
            </w14:schemeClr>
          </w14:solidFill>
        </w14:textFill>
      </w:rPr>
      <w:tcPr>
        <w:shd w:val="clear" w:color="BEBEBE" w:themeColor="text1" w:themeTint="40" w:fill="BEBEBE" w:themeFill="text1" w:themeFillTint="40"/>
      </w:tcPr>
    </w:tblStylePr>
    <w:tblStylePr w:type="band2Horz">
      <w:rPr>
        <w:rFonts w:ascii="Arial" w:hAnsi="Arial"/>
        <w:color w:val="808080" w:themeColor="text1" w:themeTint="80"/>
        <w:sz w:val="22"/>
        <w14:textFill>
          <w14:solidFill>
            <w14:schemeClr w14:val="tx1">
              <w14:lumMod w14:val="50000"/>
              <w14:lumOff w14:val="50000"/>
            </w14:schemeClr>
          </w14:solidFill>
        </w14:textFill>
      </w:rPr>
    </w:tblStylePr>
  </w:style>
  <w:style w:type="paragraph" w:customStyle="1" w:styleId="66">
    <w:name w:val="TOC Heading"/>
    <w:unhideWhenUsed/>
    <w:qFormat/>
    <w:uiPriority w:val="39"/>
    <w:rPr>
      <w:rFonts w:hint="default" w:ascii="Times New Roman" w:hAnsi="Times New Roman" w:eastAsia="宋体" w:cs="Times New Roman"/>
    </w:rPr>
  </w:style>
  <w:style w:type="character" w:customStyle="1" w:styleId="67">
    <w:name w:val="Heading 1 Char"/>
    <w:basedOn w:val="39"/>
    <w:qFormat/>
    <w:uiPriority w:val="9"/>
    <w:rPr>
      <w:rFonts w:ascii="Arial" w:hAnsi="Arial" w:eastAsia="Arial" w:cs="Arial"/>
      <w:sz w:val="40"/>
      <w:szCs w:val="40"/>
    </w:rPr>
  </w:style>
  <w:style w:type="character" w:customStyle="1" w:styleId="68">
    <w:name w:val="标题 2 字符1"/>
    <w:basedOn w:val="39"/>
    <w:link w:val="5"/>
    <w:qFormat/>
    <w:uiPriority w:val="9"/>
    <w:rPr>
      <w:rFonts w:ascii="Arial" w:hAnsi="Arial" w:eastAsia="Arial" w:cs="Arial"/>
      <w:sz w:val="34"/>
    </w:rPr>
  </w:style>
  <w:style w:type="character" w:customStyle="1" w:styleId="69">
    <w:name w:val="Heading 3 Char"/>
    <w:basedOn w:val="39"/>
    <w:qFormat/>
    <w:uiPriority w:val="9"/>
    <w:rPr>
      <w:rFonts w:ascii="Arial" w:hAnsi="Arial" w:eastAsia="Arial" w:cs="Arial"/>
      <w:sz w:val="30"/>
      <w:szCs w:val="30"/>
    </w:rPr>
  </w:style>
  <w:style w:type="character" w:customStyle="1" w:styleId="70">
    <w:name w:val="Heading 4 Char"/>
    <w:basedOn w:val="39"/>
    <w:qFormat/>
    <w:uiPriority w:val="9"/>
    <w:rPr>
      <w:rFonts w:ascii="Arial" w:hAnsi="Arial" w:eastAsia="Arial" w:cs="Arial"/>
      <w:b/>
      <w:bCs/>
      <w:sz w:val="26"/>
      <w:szCs w:val="26"/>
    </w:rPr>
  </w:style>
  <w:style w:type="character" w:customStyle="1" w:styleId="71">
    <w:name w:val="Heading 5 Char"/>
    <w:basedOn w:val="39"/>
    <w:qFormat/>
    <w:uiPriority w:val="9"/>
    <w:rPr>
      <w:rFonts w:ascii="Arial" w:hAnsi="Arial" w:eastAsia="Arial" w:cs="Arial"/>
      <w:b/>
      <w:bCs/>
      <w:sz w:val="24"/>
      <w:szCs w:val="24"/>
    </w:rPr>
  </w:style>
  <w:style w:type="character" w:customStyle="1" w:styleId="72">
    <w:name w:val="Heading 6 Char"/>
    <w:basedOn w:val="39"/>
    <w:qFormat/>
    <w:uiPriority w:val="9"/>
    <w:rPr>
      <w:rFonts w:ascii="Arial" w:hAnsi="Arial" w:eastAsia="Arial" w:cs="Arial"/>
      <w:b/>
      <w:bCs/>
      <w:sz w:val="22"/>
      <w:szCs w:val="22"/>
    </w:rPr>
  </w:style>
  <w:style w:type="character" w:customStyle="1" w:styleId="73">
    <w:name w:val="Heading 7 Char"/>
    <w:basedOn w:val="39"/>
    <w:qFormat/>
    <w:uiPriority w:val="9"/>
    <w:rPr>
      <w:rFonts w:ascii="Arial" w:hAnsi="Arial" w:eastAsia="Arial" w:cs="Arial"/>
      <w:b/>
      <w:bCs/>
      <w:i/>
      <w:iCs/>
      <w:sz w:val="22"/>
      <w:szCs w:val="22"/>
    </w:rPr>
  </w:style>
  <w:style w:type="character" w:customStyle="1" w:styleId="74">
    <w:name w:val="Heading 8 Char"/>
    <w:basedOn w:val="39"/>
    <w:qFormat/>
    <w:uiPriority w:val="9"/>
    <w:rPr>
      <w:rFonts w:ascii="Arial" w:hAnsi="Arial" w:eastAsia="Arial" w:cs="Arial"/>
      <w:i/>
      <w:iCs/>
      <w:sz w:val="22"/>
      <w:szCs w:val="22"/>
    </w:rPr>
  </w:style>
  <w:style w:type="character" w:customStyle="1" w:styleId="75">
    <w:name w:val="Heading 9 Char"/>
    <w:basedOn w:val="39"/>
    <w:qFormat/>
    <w:uiPriority w:val="9"/>
    <w:rPr>
      <w:rFonts w:ascii="Arial" w:hAnsi="Arial" w:eastAsia="Arial" w:cs="Arial"/>
      <w:i/>
      <w:iCs/>
      <w:sz w:val="21"/>
      <w:szCs w:val="21"/>
    </w:rPr>
  </w:style>
  <w:style w:type="paragraph" w:styleId="76">
    <w:name w:val="List Paragraph"/>
    <w:basedOn w:val="1"/>
    <w:qFormat/>
    <w:uiPriority w:val="34"/>
    <w:pPr>
      <w:ind w:left="720"/>
      <w:contextualSpacing/>
    </w:pPr>
  </w:style>
  <w:style w:type="paragraph" w:styleId="77">
    <w:name w:val="No Spacing"/>
    <w:qFormat/>
    <w:uiPriority w:val="1"/>
    <w:pPr>
      <w:spacing w:after="160" w:line="278" w:lineRule="auto"/>
    </w:pPr>
    <w:rPr>
      <w:rFonts w:hint="default" w:ascii="Times New Roman" w:hAnsi="Times New Roman" w:eastAsia="宋体" w:cs="Times New Roman"/>
      <w:lang w:val="en-US" w:eastAsia="zh-CN" w:bidi="ar-SA"/>
    </w:rPr>
  </w:style>
  <w:style w:type="character" w:customStyle="1" w:styleId="78">
    <w:name w:val="Title Char"/>
    <w:basedOn w:val="39"/>
    <w:qFormat/>
    <w:uiPriority w:val="10"/>
    <w:rPr>
      <w:sz w:val="48"/>
      <w:szCs w:val="48"/>
    </w:rPr>
  </w:style>
  <w:style w:type="character" w:customStyle="1" w:styleId="79">
    <w:name w:val="Subtitle Char"/>
    <w:basedOn w:val="39"/>
    <w:qFormat/>
    <w:uiPriority w:val="11"/>
    <w:rPr>
      <w:sz w:val="24"/>
      <w:szCs w:val="24"/>
    </w:rPr>
  </w:style>
  <w:style w:type="paragraph" w:styleId="80">
    <w:name w:val="Quote"/>
    <w:basedOn w:val="1"/>
    <w:next w:val="1"/>
    <w:qFormat/>
    <w:uiPriority w:val="29"/>
    <w:pPr>
      <w:ind w:left="720" w:right="720"/>
    </w:pPr>
    <w:rPr>
      <w:i/>
    </w:rPr>
  </w:style>
  <w:style w:type="character" w:customStyle="1" w:styleId="81">
    <w:name w:val="Quote Char"/>
    <w:qFormat/>
    <w:uiPriority w:val="29"/>
    <w:rPr>
      <w:i/>
    </w:rPr>
  </w:style>
  <w:style w:type="paragraph" w:styleId="82">
    <w:name w:val="Intense Quote"/>
    <w:basedOn w:val="1"/>
    <w:next w:val="1"/>
    <w:link w:val="87"/>
    <w:qFormat/>
    <w:uiPriority w:val="30"/>
    <w:pPr>
      <w:pBdr>
        <w:top w:val="single" w:color="FFFFFF" w:sz="4" w:space="5"/>
        <w:left w:val="single" w:color="FFFFFF" w:sz="4" w:space="10"/>
        <w:bottom w:val="single" w:color="FFFFFF" w:sz="4" w:space="5"/>
        <w:right w:val="single" w:color="FFFFFF" w:sz="4" w:space="10"/>
      </w:pBdr>
      <w:shd w:val="clear" w:color="auto" w:fill="F2F2F2"/>
      <w:ind w:left="720" w:right="720"/>
    </w:pPr>
    <w:rPr>
      <w:i/>
    </w:rPr>
  </w:style>
  <w:style w:type="character" w:customStyle="1" w:styleId="83">
    <w:name w:val="Intense Quote Char"/>
    <w:qFormat/>
    <w:uiPriority w:val="30"/>
    <w:rPr>
      <w:i/>
    </w:rPr>
  </w:style>
  <w:style w:type="character" w:customStyle="1" w:styleId="84">
    <w:name w:val="Header Char"/>
    <w:basedOn w:val="39"/>
    <w:qFormat/>
    <w:uiPriority w:val="99"/>
  </w:style>
  <w:style w:type="character" w:customStyle="1" w:styleId="85">
    <w:name w:val="Footer Char"/>
    <w:basedOn w:val="39"/>
    <w:qFormat/>
    <w:uiPriority w:val="99"/>
  </w:style>
  <w:style w:type="paragraph" w:customStyle="1" w:styleId="86">
    <w:name w:val="Caption0"/>
    <w:next w:val="1"/>
    <w:semiHidden/>
    <w:unhideWhenUsed/>
    <w:qFormat/>
    <w:uiPriority w:val="35"/>
    <w:pPr>
      <w:spacing w:after="160" w:line="276" w:lineRule="auto"/>
    </w:pPr>
    <w:rPr>
      <w:rFonts w:hint="default" w:ascii="Times New Roman" w:hAnsi="Times New Roman" w:eastAsia="宋体" w:cs="Times New Roman"/>
      <w:b/>
      <w:bCs/>
      <w:color w:val="5B9BD5"/>
      <w:sz w:val="18"/>
      <w:szCs w:val="18"/>
      <w:lang w:val="en-US" w:eastAsia="zh-CN" w:bidi="ar-SA"/>
    </w:rPr>
  </w:style>
  <w:style w:type="character" w:customStyle="1" w:styleId="87">
    <w:name w:val="明显引用 字符1"/>
    <w:link w:val="82"/>
    <w:qFormat/>
    <w:uiPriority w:val="99"/>
  </w:style>
  <w:style w:type="table" w:customStyle="1" w:styleId="88">
    <w:name w:val="Table Grid Light"/>
    <w:basedOn w:val="37"/>
    <w:qFormat/>
    <w:uiPriority w:val="59"/>
    <w:tblPr>
      <w:tblBorders>
        <w:top w:val="single" w:color="AEAEAE" w:themeColor="text1" w:themeTint="50" w:sz="4" w:space="0"/>
        <w:left w:val="single" w:color="AEAEAE" w:themeColor="text1" w:themeTint="50" w:sz="4" w:space="0"/>
        <w:bottom w:val="single" w:color="AEAEAE" w:themeColor="text1" w:themeTint="50" w:sz="4" w:space="0"/>
        <w:right w:val="single" w:color="AEAEAE" w:themeColor="text1" w:themeTint="50" w:sz="4" w:space="0"/>
        <w:insideH w:val="single" w:color="AEAEAE" w:themeColor="text1" w:themeTint="50" w:sz="4" w:space="0"/>
        <w:insideV w:val="single" w:color="AEAEAE" w:themeColor="text1" w:themeTint="50" w:sz="4" w:space="0"/>
      </w:tblBorders>
    </w:tblPr>
  </w:style>
  <w:style w:type="table" w:customStyle="1" w:styleId="89">
    <w:name w:val="无格式表格 11"/>
    <w:basedOn w:val="37"/>
    <w:qFormat/>
    <w:uiPriority w:val="59"/>
    <w:tblPr>
      <w:tblBorders>
        <w:top w:val="single" w:color="AEAEAE" w:themeColor="text1" w:themeTint="50" w:sz="4" w:space="0"/>
        <w:left w:val="single" w:color="AEAEAE" w:themeColor="text1" w:themeTint="50" w:sz="4" w:space="0"/>
        <w:bottom w:val="single" w:color="AEAEAE" w:themeColor="text1" w:themeTint="50" w:sz="4" w:space="0"/>
        <w:right w:val="single" w:color="AEAEAE" w:themeColor="text1" w:themeTint="50" w:sz="4" w:space="0"/>
        <w:insideH w:val="single" w:color="AEAEAE" w:themeColor="text1" w:themeTint="50" w:sz="4" w:space="0"/>
        <w:insideV w:val="single" w:color="AEAEAE" w:themeColor="text1" w:themeTint="50" w:sz="4" w:space="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cPr>
        <w:shd w:val="clear" w:color="F2F2F2" w:fill="F2F2F2"/>
      </w:tcPr>
    </w:tblStylePr>
    <w:tblStylePr w:type="band1Horz">
      <w:tcPr>
        <w:shd w:val="clear" w:color="F2F2F2" w:fill="F2F2F2"/>
      </w:tcPr>
    </w:tblStylePr>
  </w:style>
  <w:style w:type="table" w:customStyle="1" w:styleId="90">
    <w:name w:val="无格式表格 21"/>
    <w:basedOn w:val="37"/>
    <w:qFormat/>
    <w:uiPriority w:val="59"/>
    <w:tblPr>
      <w:tblBorders>
        <w:top w:val="single" w:color="000000" w:themeColor="text1" w:sz="4" w:space="0"/>
        <w:left w:val="none" w:color="000000" w:themeColor="text1" w:sz="0" w:space="0"/>
        <w:bottom w:val="single" w:color="000000" w:themeColor="text1" w:sz="4" w:space="0"/>
        <w:right w:val="none" w:color="000000" w:themeColor="text1" w:sz="0" w:space="0"/>
      </w:tblBorders>
    </w:tbl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band1Horz">
      <w:tcPr>
        <w:tcBorders>
          <w:top w:val="single" w:color="000000" w:themeColor="text1" w:sz="4" w:space="0"/>
          <w:bottom w:val="single" w:color="000000" w:themeColor="text1" w:sz="4" w:space="0"/>
        </w:tcBorders>
      </w:tcPr>
    </w:tblStylePr>
  </w:style>
  <w:style w:type="table" w:customStyle="1" w:styleId="91">
    <w:name w:val="无格式表格 31"/>
    <w:basedOn w:val="37"/>
    <w:qFormat/>
    <w:uiPriority w:val="99"/>
    <w:tblStylePr w:type="firstRow">
      <w:rPr>
        <w:b/>
        <w:caps/>
        <w:color w:val="404040"/>
      </w:rPr>
      <w:tcPr>
        <w:tcBorders>
          <w:top w:val="nil"/>
          <w:left w:val="nil"/>
          <w:bottom w:val="single" w:color="404040" w:sz="4" w:space="0"/>
          <w:right w:val="nil"/>
        </w:tcBorders>
      </w:tcPr>
    </w:tblStylePr>
    <w:tblStylePr w:type="lastRow">
      <w:rPr>
        <w:b/>
        <w:caps/>
        <w:color w:val="404040"/>
      </w:rPr>
    </w:tblStylePr>
    <w:tblStylePr w:type="firstCol">
      <w:rPr>
        <w:b/>
        <w:caps/>
        <w:color w:val="404040"/>
      </w:rPr>
      <w:tcPr>
        <w:tcBorders>
          <w:top w:val="nil"/>
          <w:left w:val="nil"/>
          <w:bottom w:val="nil"/>
          <w:right w:val="single" w:color="404040" w:sz="4" w:space="0"/>
        </w:tcBorders>
      </w:tcPr>
    </w:tblStylePr>
    <w:tblStylePr w:type="lastCol">
      <w:rPr>
        <w:b/>
        <w:caps/>
        <w:color w:val="404040"/>
      </w:rPr>
    </w:tblStylePr>
    <w:tblStylePr w:type="band1Vert">
      <w:rPr>
        <w:rFonts w:ascii="Arial" w:hAnsi="Arial"/>
        <w:color w:val="404040"/>
        <w:sz w:val="22"/>
      </w:rPr>
      <w:tcPr>
        <w:shd w:val="clear" w:color="F2F2F2" w:fill="F2F2F2"/>
      </w:tcPr>
    </w:tblStylePr>
    <w:tblStylePr w:type="band1Horz">
      <w:rPr>
        <w:rFonts w:ascii="Arial" w:hAnsi="Arial"/>
        <w:color w:val="404040"/>
        <w:sz w:val="22"/>
      </w:rPr>
      <w:tcPr>
        <w:shd w:val="clear" w:color="F2F2F2" w:fill="F2F2F2"/>
      </w:tcPr>
    </w:tblStylePr>
  </w:style>
  <w:style w:type="table" w:customStyle="1" w:styleId="92">
    <w:name w:val="无格式表格 41"/>
    <w:basedOn w:val="37"/>
    <w:qFormat/>
    <w:uiPriority w:val="99"/>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F2F2F2" w:fill="F2F2F2"/>
      </w:tcPr>
    </w:tblStylePr>
    <w:tblStylePr w:type="band1Horz">
      <w:rPr>
        <w:rFonts w:ascii="Arial" w:hAnsi="Arial"/>
        <w:color w:val="404040"/>
        <w:sz w:val="22"/>
      </w:rPr>
      <w:tcPr>
        <w:shd w:val="clear" w:color="F2F2F2" w:fill="F2F2F2"/>
      </w:tcPr>
    </w:tblStylePr>
  </w:style>
  <w:style w:type="table" w:customStyle="1" w:styleId="93">
    <w:name w:val="无格式表格 51"/>
    <w:basedOn w:val="37"/>
    <w:qFormat/>
    <w:uiPriority w:val="99"/>
    <w:tblStylePr w:type="firstRow">
      <w:rPr>
        <w:i/>
        <w:color w:val="404040"/>
      </w:rPr>
      <w:tcPr>
        <w:tcBorders>
          <w:left w:val="nil"/>
          <w:bottom w:val="single" w:color="404040" w:sz="4" w:space="0"/>
          <w:right w:val="nil"/>
        </w:tcBorders>
        <w:shd w:val="clear" w:color="FFFFFF" w:fill="auto"/>
      </w:tcPr>
    </w:tblStylePr>
    <w:tblStylePr w:type="lastRow">
      <w:rPr>
        <w:i/>
        <w:color w:val="404040"/>
      </w:rPr>
      <w:tcPr>
        <w:tcBorders>
          <w:top w:val="single" w:color="404040" w:sz="4" w:space="0"/>
          <w:left w:val="nil"/>
          <w:right w:val="nil"/>
        </w:tcBorders>
        <w:shd w:val="clear" w:color="FFFFFF" w:fill="auto"/>
      </w:tcPr>
    </w:tblStylePr>
    <w:tblStylePr w:type="firstCol">
      <w:pPr>
        <w:jc w:val="right"/>
      </w:pPr>
      <w:rPr>
        <w:i/>
        <w:color w:val="404040"/>
      </w:rPr>
      <w:tcPr>
        <w:tcBorders>
          <w:right w:val="single" w:color="404040" w:sz="4" w:space="0"/>
        </w:tcBorders>
        <w:shd w:val="clear" w:color="FFFFFF" w:fill="auto"/>
      </w:tcPr>
    </w:tblStylePr>
    <w:tblStylePr w:type="lastCol">
      <w:rPr>
        <w:i/>
        <w:color w:val="404040"/>
      </w:rPr>
      <w:tcPr>
        <w:tcBorders>
          <w:left w:val="single" w:color="404040" w:sz="4" w:space="0"/>
        </w:tcBorders>
        <w:shd w:val="clear" w:color="FFFFFF" w:fill="auto"/>
      </w:tcPr>
    </w:tblStylePr>
    <w:tblStylePr w:type="band1Vert">
      <w:rPr>
        <w:rFonts w:ascii="Arial" w:hAnsi="Arial"/>
        <w:color w:val="404040"/>
        <w:sz w:val="22"/>
      </w:rPr>
      <w:tcPr>
        <w:shd w:val="clear" w:color="F2F2F2" w:fill="F2F2F2"/>
      </w:tcPr>
    </w:tblStylePr>
    <w:tblStylePr w:type="band1Horz">
      <w:rPr>
        <w:rFonts w:ascii="Arial" w:hAnsi="Arial"/>
        <w:color w:val="404040"/>
        <w:sz w:val="22"/>
      </w:rPr>
      <w:tcPr>
        <w:shd w:val="clear" w:color="F2F2F2" w:fill="F2F2F2"/>
      </w:tcPr>
    </w:tblStylePr>
  </w:style>
  <w:style w:type="table" w:customStyle="1" w:styleId="94">
    <w:name w:val="网格表 1 浅色1"/>
    <w:basedOn w:val="37"/>
    <w:qFormat/>
    <w:uiPriority w:val="99"/>
    <w:tblPr>
      <w:tblBorders>
        <w:top w:val="single" w:color="979797" w:themeColor="text1" w:themeTint="67" w:sz="4" w:space="0"/>
        <w:left w:val="single" w:color="979797" w:themeColor="text1" w:themeTint="67" w:sz="4" w:space="0"/>
        <w:bottom w:val="single" w:color="979797" w:themeColor="text1" w:themeTint="67" w:sz="4" w:space="0"/>
        <w:right w:val="single" w:color="979797" w:themeColor="text1" w:themeTint="67" w:sz="4" w:space="0"/>
        <w:insideH w:val="single" w:color="979797" w:themeColor="text1" w:themeTint="67" w:sz="4" w:space="0"/>
        <w:insideV w:val="single" w:color="979797" w:themeColor="text1" w:themeTint="67" w:sz="4" w:space="0"/>
      </w:tblBorders>
    </w:tblPr>
    <w:tblStylePr w:type="firstRow">
      <w:rPr>
        <w:b/>
        <w:color w:val="404040"/>
      </w:rPr>
      <w:tcPr>
        <w:tcBorders>
          <w:bottom w:val="single" w:color="696969" w:themeColor="text1"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979797" w:themeColor="text1" w:themeTint="67" w:sz="4" w:space="0"/>
          <w:left w:val="single" w:color="979797" w:themeColor="text1" w:themeTint="67" w:sz="4" w:space="0"/>
          <w:bottom w:val="single" w:color="979797" w:themeColor="text1" w:themeTint="67" w:sz="4" w:space="0"/>
          <w:right w:val="single" w:color="979797" w:themeColor="text1" w:themeTint="67" w:sz="4" w:space="0"/>
        </w:tcBorders>
      </w:tcPr>
    </w:tblStylePr>
  </w:style>
  <w:style w:type="table" w:customStyle="1" w:styleId="95">
    <w:name w:val="Grid Table 1 Light - Accent 1"/>
    <w:basedOn w:val="37"/>
    <w:qFormat/>
    <w:uiPriority w:val="99"/>
    <w:tblPr>
      <w:tblBorders>
        <w:top w:val="single" w:color="BCD6EE" w:themeColor="accent1" w:themeTint="67" w:sz="4" w:space="0"/>
        <w:left w:val="single" w:color="BCD6EE" w:themeColor="accent1" w:themeTint="67" w:sz="4" w:space="0"/>
        <w:bottom w:val="single" w:color="BCD6EE" w:themeColor="accent1" w:themeTint="67" w:sz="4" w:space="0"/>
        <w:right w:val="single" w:color="BCD6EE" w:themeColor="accent1" w:themeTint="67" w:sz="4" w:space="0"/>
        <w:insideH w:val="single" w:color="BCD6EE" w:themeColor="accent1" w:themeTint="67" w:sz="4" w:space="0"/>
        <w:insideV w:val="single" w:color="BCD6EE" w:themeColor="accent1" w:themeTint="67" w:sz="4" w:space="0"/>
      </w:tblBorders>
    </w:tblPr>
    <w:tblStylePr w:type="firstRow">
      <w:rPr>
        <w:b/>
        <w:color w:val="404040"/>
      </w:rPr>
      <w:tcPr>
        <w:tcBorders>
          <w:bottom w:val="single" w:color="9FC4E6" w:themeColor="accent1"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BCD6EE" w:themeColor="accent1" w:themeTint="67" w:sz="4" w:space="0"/>
          <w:left w:val="single" w:color="BCD6EE" w:themeColor="accent1" w:themeTint="67" w:sz="4" w:space="0"/>
          <w:bottom w:val="single" w:color="BCD6EE" w:themeColor="accent1" w:themeTint="67" w:sz="4" w:space="0"/>
          <w:right w:val="single" w:color="BCD6EE" w:themeColor="accent1" w:themeTint="67" w:sz="4" w:space="0"/>
        </w:tcBorders>
      </w:tcPr>
    </w:tblStylePr>
  </w:style>
  <w:style w:type="table" w:customStyle="1" w:styleId="96">
    <w:name w:val="Grid Table 1 Light - Accent 2"/>
    <w:basedOn w:val="37"/>
    <w:qFormat/>
    <w:uiPriority w:val="99"/>
    <w:tblPr>
      <w:tblBorders>
        <w:top w:val="single" w:color="F7CAAB" w:themeColor="accent2" w:themeTint="67" w:sz="4" w:space="0"/>
        <w:left w:val="single" w:color="F7CAAB" w:themeColor="accent2" w:themeTint="67" w:sz="4" w:space="0"/>
        <w:bottom w:val="single" w:color="F7CAAB" w:themeColor="accent2" w:themeTint="67" w:sz="4" w:space="0"/>
        <w:right w:val="single" w:color="F7CAAB" w:themeColor="accent2" w:themeTint="67" w:sz="4" w:space="0"/>
        <w:insideH w:val="single" w:color="F7CAAB" w:themeColor="accent2" w:themeTint="67" w:sz="4" w:space="0"/>
        <w:insideV w:val="single" w:color="F7CAAB" w:themeColor="accent2" w:themeTint="67" w:sz="4" w:space="0"/>
      </w:tblBorders>
    </w:tblPr>
    <w:tblStylePr w:type="firstRow">
      <w:rPr>
        <w:b/>
        <w:color w:val="404040"/>
      </w:rPr>
      <w:tcPr>
        <w:tcBorders>
          <w:bottom w:val="single" w:color="F4B386" w:themeColor="accent2"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F7CAAB" w:themeColor="accent2" w:themeTint="67" w:sz="4" w:space="0"/>
          <w:left w:val="single" w:color="F7CAAB" w:themeColor="accent2" w:themeTint="67" w:sz="4" w:space="0"/>
          <w:bottom w:val="single" w:color="F7CAAB" w:themeColor="accent2" w:themeTint="67" w:sz="4" w:space="0"/>
          <w:right w:val="single" w:color="F7CAAB" w:themeColor="accent2" w:themeTint="67" w:sz="4" w:space="0"/>
        </w:tcBorders>
      </w:tcPr>
    </w:tblStylePr>
  </w:style>
  <w:style w:type="table" w:customStyle="1" w:styleId="97">
    <w:name w:val="Grid Table 1 Light - Accent 3"/>
    <w:basedOn w:val="37"/>
    <w:qFormat/>
    <w:uiPriority w:val="99"/>
    <w:tblPr>
      <w:tblBorders>
        <w:top w:val="single" w:color="DADADA" w:themeColor="accent3" w:themeTint="67" w:sz="4" w:space="0"/>
        <w:left w:val="single" w:color="DADADA" w:themeColor="accent3" w:themeTint="67" w:sz="4" w:space="0"/>
        <w:bottom w:val="single" w:color="DADADA" w:themeColor="accent3" w:themeTint="67" w:sz="4" w:space="0"/>
        <w:right w:val="single" w:color="DADADA" w:themeColor="accent3" w:themeTint="67" w:sz="4" w:space="0"/>
        <w:insideH w:val="single" w:color="DADADA" w:themeColor="accent3" w:themeTint="67" w:sz="4" w:space="0"/>
        <w:insideV w:val="single" w:color="DADADA" w:themeColor="accent3" w:themeTint="67" w:sz="4" w:space="0"/>
      </w:tblBorders>
    </w:tblPr>
    <w:tblStylePr w:type="firstRow">
      <w:rPr>
        <w:b/>
        <w:color w:val="404040"/>
      </w:rPr>
      <w:tcPr>
        <w:tcBorders>
          <w:bottom w:val="single" w:color="CACACA" w:themeColor="accent3"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DADADA" w:themeColor="accent3" w:themeTint="67" w:sz="4" w:space="0"/>
          <w:left w:val="single" w:color="DADADA" w:themeColor="accent3" w:themeTint="67" w:sz="4" w:space="0"/>
          <w:bottom w:val="single" w:color="DADADA" w:themeColor="accent3" w:themeTint="67" w:sz="4" w:space="0"/>
          <w:right w:val="single" w:color="DADADA" w:themeColor="accent3" w:themeTint="67" w:sz="4" w:space="0"/>
        </w:tcBorders>
      </w:tcPr>
    </w:tblStylePr>
  </w:style>
  <w:style w:type="table" w:customStyle="1" w:styleId="98">
    <w:name w:val="Grid Table 1 Light - Accent 4"/>
    <w:basedOn w:val="37"/>
    <w:qFormat/>
    <w:uiPriority w:val="99"/>
    <w:tblPr>
      <w:tblBorders>
        <w:top w:val="single" w:color="FFE597" w:themeColor="accent4" w:themeTint="67" w:sz="4" w:space="0"/>
        <w:left w:val="single" w:color="FFE597" w:themeColor="accent4" w:themeTint="67" w:sz="4" w:space="0"/>
        <w:bottom w:val="single" w:color="FFE597" w:themeColor="accent4" w:themeTint="67" w:sz="4" w:space="0"/>
        <w:right w:val="single" w:color="FFE597" w:themeColor="accent4" w:themeTint="67" w:sz="4" w:space="0"/>
        <w:insideH w:val="single" w:color="FFE597" w:themeColor="accent4" w:themeTint="67" w:sz="4" w:space="0"/>
        <w:insideV w:val="single" w:color="FFE597" w:themeColor="accent4" w:themeTint="67" w:sz="4" w:space="0"/>
      </w:tblBorders>
    </w:tblPr>
    <w:tblStylePr w:type="firstRow">
      <w:rPr>
        <w:b/>
        <w:color w:val="404040"/>
      </w:rPr>
      <w:tcPr>
        <w:tcBorders>
          <w:bottom w:val="single" w:color="FFDA69" w:themeColor="accent4"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FFE597" w:themeColor="accent4" w:themeTint="67" w:sz="4" w:space="0"/>
          <w:left w:val="single" w:color="FFE597" w:themeColor="accent4" w:themeTint="67" w:sz="4" w:space="0"/>
          <w:bottom w:val="single" w:color="FFE597" w:themeColor="accent4" w:themeTint="67" w:sz="4" w:space="0"/>
          <w:right w:val="single" w:color="FFE597" w:themeColor="accent4" w:themeTint="67" w:sz="4" w:space="0"/>
        </w:tcBorders>
      </w:tcPr>
    </w:tblStylePr>
  </w:style>
  <w:style w:type="table" w:customStyle="1" w:styleId="99">
    <w:name w:val="Grid Table 1 Light - Accent 5"/>
    <w:basedOn w:val="37"/>
    <w:qFormat/>
    <w:uiPriority w:val="99"/>
    <w:tblPr>
      <w:tblBorders>
        <w:top w:val="single" w:color="B3C6E7" w:themeColor="accent5" w:themeTint="67" w:sz="4" w:space="0"/>
        <w:left w:val="single" w:color="B3C6E7" w:themeColor="accent5" w:themeTint="67" w:sz="4" w:space="0"/>
        <w:bottom w:val="single" w:color="B3C6E7" w:themeColor="accent5" w:themeTint="67" w:sz="4" w:space="0"/>
        <w:right w:val="single" w:color="B3C6E7" w:themeColor="accent5" w:themeTint="67" w:sz="4" w:space="0"/>
        <w:insideH w:val="single" w:color="B3C6E7" w:themeColor="accent5" w:themeTint="67" w:sz="4" w:space="0"/>
        <w:insideV w:val="single" w:color="B3C6E7" w:themeColor="accent5" w:themeTint="67" w:sz="4" w:space="0"/>
      </w:tblBorders>
    </w:tblPr>
    <w:tblStylePr w:type="firstRow">
      <w:rPr>
        <w:b/>
        <w:color w:val="404040"/>
      </w:rPr>
      <w:tcPr>
        <w:tcBorders>
          <w:bottom w:val="single" w:color="91ACDC" w:themeColor="accent5"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B3C6E7" w:themeColor="accent5" w:themeTint="67" w:sz="4" w:space="0"/>
          <w:left w:val="single" w:color="B3C6E7" w:themeColor="accent5" w:themeTint="67" w:sz="4" w:space="0"/>
          <w:bottom w:val="single" w:color="B3C6E7" w:themeColor="accent5" w:themeTint="67" w:sz="4" w:space="0"/>
          <w:right w:val="single" w:color="B3C6E7" w:themeColor="accent5" w:themeTint="67" w:sz="4" w:space="0"/>
        </w:tcBorders>
      </w:tcPr>
    </w:tblStylePr>
  </w:style>
  <w:style w:type="table" w:customStyle="1" w:styleId="100">
    <w:name w:val="Grid Table 1 Light - Accent 6"/>
    <w:basedOn w:val="37"/>
    <w:qFormat/>
    <w:uiPriority w:val="99"/>
    <w:tblPr>
      <w:tblBorders>
        <w:top w:val="single" w:color="C4DFB2" w:themeColor="accent6" w:themeTint="67" w:sz="4" w:space="0"/>
        <w:left w:val="single" w:color="C4DFB2" w:themeColor="accent6" w:themeTint="67" w:sz="4" w:space="0"/>
        <w:bottom w:val="single" w:color="C4DFB2" w:themeColor="accent6" w:themeTint="67" w:sz="4" w:space="0"/>
        <w:right w:val="single" w:color="C4DFB2" w:themeColor="accent6" w:themeTint="67" w:sz="4" w:space="0"/>
        <w:insideH w:val="single" w:color="C4DFB2" w:themeColor="accent6" w:themeTint="67" w:sz="4" w:space="0"/>
        <w:insideV w:val="single" w:color="C4DFB2" w:themeColor="accent6" w:themeTint="67" w:sz="4" w:space="0"/>
      </w:tblBorders>
    </w:tblPr>
    <w:tblStylePr w:type="firstRow">
      <w:rPr>
        <w:b/>
        <w:color w:val="404040"/>
      </w:rPr>
      <w:tcPr>
        <w:tcBorders>
          <w:bottom w:val="single" w:color="AAD190" w:themeColor="accent6"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C4DFB2" w:themeColor="accent6" w:themeTint="67" w:sz="4" w:space="0"/>
          <w:left w:val="single" w:color="C4DFB2" w:themeColor="accent6" w:themeTint="67" w:sz="4" w:space="0"/>
          <w:bottom w:val="single" w:color="C4DFB2" w:themeColor="accent6" w:themeTint="67" w:sz="4" w:space="0"/>
          <w:right w:val="single" w:color="C4DFB2" w:themeColor="accent6" w:themeTint="67" w:sz="4" w:space="0"/>
        </w:tcBorders>
      </w:tcPr>
    </w:tblStylePr>
  </w:style>
  <w:style w:type="table" w:customStyle="1" w:styleId="101">
    <w:name w:val="网格表 21"/>
    <w:basedOn w:val="37"/>
    <w:qFormat/>
    <w:uiPriority w:val="99"/>
    <w:tblPr>
      <w:tblBorders>
        <w:bottom w:val="single" w:color="696969" w:themeColor="text1" w:themeTint="95" w:sz="4" w:space="0"/>
        <w:insideH w:val="single" w:color="696969" w:themeColor="text1" w:themeTint="95" w:sz="4" w:space="0"/>
        <w:insideV w:val="single" w:color="696969" w:themeColor="text1" w:themeTint="95" w:sz="4" w:space="0"/>
      </w:tblBorders>
    </w:tblPr>
    <w:tblStylePr w:type="firstRow">
      <w:rPr>
        <w:b/>
        <w:color w:val="404040"/>
      </w:rPr>
      <w:tcPr>
        <w:tcBorders>
          <w:top w:val="nil"/>
          <w:left w:val="nil"/>
          <w:bottom w:val="single" w:color="696969" w:themeColor="text1" w:themeTint="95" w:sz="12" w:space="0"/>
          <w:right w:val="nil"/>
        </w:tcBorders>
        <w:shd w:val="clear" w:color="FFFFFF" w:fill="auto"/>
      </w:tcPr>
    </w:tblStylePr>
    <w:tblStylePr w:type="lastRow">
      <w:rPr>
        <w:b/>
        <w:color w:val="404040"/>
      </w:rPr>
      <w:tcPr>
        <w:tcBorders>
          <w:top w:val="single" w:color="696969" w:themeColor="text1" w:themeTint="95"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CBCBCB" w:fill="CBCBCB"/>
      </w:tcPr>
    </w:tblStylePr>
    <w:tblStylePr w:type="band1Horz">
      <w:rPr>
        <w:rFonts w:ascii="Arial" w:hAnsi="Arial"/>
        <w:color w:val="404040"/>
        <w:sz w:val="22"/>
      </w:rPr>
      <w:tcPr>
        <w:shd w:val="clear" w:color="CBCBCB" w:fill="CBCBCB"/>
      </w:tcPr>
    </w:tblStylePr>
  </w:style>
  <w:style w:type="table" w:customStyle="1" w:styleId="102">
    <w:name w:val="Grid Table 2 - Accent 1"/>
    <w:basedOn w:val="37"/>
    <w:qFormat/>
    <w:uiPriority w:val="99"/>
    <w:tblPr>
      <w:tblBorders>
        <w:bottom w:val="single" w:color="68A3D8" w:themeColor="accent1" w:themeTint="EA" w:sz="4" w:space="0"/>
        <w:insideH w:val="single" w:color="68A3D8" w:themeColor="accent1" w:themeTint="EA" w:sz="4" w:space="0"/>
        <w:insideV w:val="single" w:color="68A3D8" w:themeColor="accent1" w:themeTint="EA" w:sz="4" w:space="0"/>
      </w:tblBorders>
    </w:tblPr>
    <w:tblStylePr w:type="firstRow">
      <w:rPr>
        <w:b/>
        <w:color w:val="404040"/>
      </w:rPr>
      <w:tcPr>
        <w:tcBorders>
          <w:top w:val="nil"/>
          <w:left w:val="nil"/>
          <w:bottom w:val="single" w:color="68A3D8" w:themeColor="accent1" w:themeTint="EA" w:sz="12" w:space="0"/>
          <w:right w:val="nil"/>
        </w:tcBorders>
        <w:shd w:val="clear" w:color="FFFFFF" w:fill="auto"/>
      </w:tcPr>
    </w:tblStylePr>
    <w:tblStylePr w:type="lastRow">
      <w:rPr>
        <w:b/>
        <w:color w:val="404040"/>
      </w:rPr>
      <w:tcPr>
        <w:tcBorders>
          <w:top w:val="single" w:color="68A3D8" w:themeColor="accent1" w:themeTint="EA"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03">
    <w:name w:val="Grid Table 2 - Accent 2"/>
    <w:basedOn w:val="37"/>
    <w:qFormat/>
    <w:uiPriority w:val="99"/>
    <w:tblPr>
      <w:tblBorders>
        <w:bottom w:val="single" w:color="F4B285" w:themeColor="accent2" w:themeTint="97" w:sz="4" w:space="0"/>
        <w:insideH w:val="single" w:color="F4B285" w:themeColor="accent2" w:themeTint="97" w:sz="4" w:space="0"/>
        <w:insideV w:val="single" w:color="F4B285" w:themeColor="accent2" w:themeTint="97" w:sz="4" w:space="0"/>
      </w:tblBorders>
    </w:tblPr>
    <w:tblStylePr w:type="firstRow">
      <w:rPr>
        <w:b/>
        <w:color w:val="404040"/>
      </w:rPr>
      <w:tcPr>
        <w:tcBorders>
          <w:top w:val="nil"/>
          <w:left w:val="nil"/>
          <w:bottom w:val="single" w:color="F4B285" w:themeColor="accent2" w:themeTint="97" w:sz="12" w:space="0"/>
          <w:right w:val="nil"/>
        </w:tcBorders>
        <w:shd w:val="clear" w:color="FFFFFF" w:fill="auto"/>
      </w:tcPr>
    </w:tblStylePr>
    <w:tblStylePr w:type="lastRow">
      <w:rPr>
        <w:b/>
        <w:color w:val="404040"/>
      </w:rPr>
      <w:tcPr>
        <w:tcBorders>
          <w:top w:val="single" w:color="F4B285" w:themeColor="accent2" w:themeTint="97"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04">
    <w:name w:val="Grid Table 2 - Accent 3"/>
    <w:basedOn w:val="37"/>
    <w:qFormat/>
    <w:uiPriority w:val="99"/>
    <w:tblPr>
      <w:tblBorders>
        <w:bottom w:val="single" w:color="A5A5A5" w:themeColor="accent3" w:themeTint="FE" w:sz="4" w:space="0"/>
        <w:insideH w:val="single" w:color="A5A5A5" w:themeColor="accent3" w:themeTint="FE" w:sz="4" w:space="0"/>
        <w:insideV w:val="single" w:color="A5A5A5" w:themeColor="accent3" w:themeTint="FE" w:sz="4" w:space="0"/>
      </w:tblBorders>
    </w:tblPr>
    <w:tblStylePr w:type="firstRow">
      <w:rPr>
        <w:b/>
        <w:color w:val="404040"/>
      </w:rPr>
      <w:tcPr>
        <w:tcBorders>
          <w:top w:val="nil"/>
          <w:left w:val="nil"/>
          <w:bottom w:val="single" w:color="A5A5A5" w:themeColor="accent3" w:themeTint="FE" w:sz="12" w:space="0"/>
          <w:right w:val="nil"/>
        </w:tcBorders>
        <w:shd w:val="clear" w:color="FFFFFF" w:fill="auto"/>
      </w:tcPr>
    </w:tblStylePr>
    <w:tblStylePr w:type="lastRow">
      <w:rPr>
        <w:b/>
        <w:color w:val="404040"/>
      </w:rPr>
      <w:tcPr>
        <w:tcBorders>
          <w:top w:val="single" w:color="A5A5A5" w:themeColor="accent3" w:themeTint="FE"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05">
    <w:name w:val="Grid Table 2 - Accent 4"/>
    <w:basedOn w:val="37"/>
    <w:qFormat/>
    <w:uiPriority w:val="99"/>
    <w:tblPr>
      <w:tblBorders>
        <w:bottom w:val="single" w:color="FFD864" w:themeColor="accent4" w:themeTint="9A" w:sz="4" w:space="0"/>
        <w:insideH w:val="single" w:color="FFD864" w:themeColor="accent4" w:themeTint="9A" w:sz="4" w:space="0"/>
        <w:insideV w:val="single" w:color="FFD864" w:themeColor="accent4" w:themeTint="9A" w:sz="4" w:space="0"/>
      </w:tblBorders>
    </w:tblPr>
    <w:tblStylePr w:type="firstRow">
      <w:rPr>
        <w:b/>
        <w:color w:val="404040"/>
      </w:rPr>
      <w:tcPr>
        <w:tcBorders>
          <w:top w:val="nil"/>
          <w:left w:val="nil"/>
          <w:bottom w:val="single" w:color="FFD864" w:themeColor="accent4" w:themeTint="9A" w:sz="12" w:space="0"/>
          <w:right w:val="nil"/>
        </w:tcBorders>
        <w:shd w:val="clear" w:color="FFFFFF" w:fill="auto"/>
      </w:tcPr>
    </w:tblStylePr>
    <w:tblStylePr w:type="lastRow">
      <w:rPr>
        <w:b/>
        <w:color w:val="404040"/>
      </w:rPr>
      <w:tcPr>
        <w:tcBorders>
          <w:top w:val="single" w:color="FFD864" w:themeColor="accent4" w:themeTint="9A"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06">
    <w:name w:val="Grid Table 2 - Accent 5"/>
    <w:basedOn w:val="37"/>
    <w:qFormat/>
    <w:uiPriority w:val="99"/>
    <w:tblPr>
      <w:tblBorders>
        <w:bottom w:val="single" w:color="4472C4" w:themeColor="accent5" w:sz="4" w:space="0"/>
        <w:insideH w:val="single" w:color="4472C4" w:themeColor="accent5" w:sz="4" w:space="0"/>
        <w:insideV w:val="single" w:color="4472C4" w:themeColor="accent5" w:sz="4" w:space="0"/>
      </w:tblBorders>
    </w:tblPr>
    <w:tblStylePr w:type="firstRow">
      <w:rPr>
        <w:b/>
        <w:color w:val="404040"/>
      </w:rPr>
      <w:tcPr>
        <w:tcBorders>
          <w:top w:val="nil"/>
          <w:left w:val="nil"/>
          <w:bottom w:val="single" w:color="4472C4" w:themeColor="accent5" w:sz="12" w:space="0"/>
          <w:right w:val="nil"/>
        </w:tcBorders>
        <w:shd w:val="clear" w:color="FFFFFF" w:fill="auto"/>
      </w:tcPr>
    </w:tblStylePr>
    <w:tblStylePr w:type="lastRow">
      <w:rPr>
        <w:b/>
        <w:color w:val="404040"/>
      </w:rPr>
      <w:tcPr>
        <w:tcBorders>
          <w:top w:val="single" w:color="4472C4" w:themeColor="accent5"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07">
    <w:name w:val="Grid Table 2 - Accent 6"/>
    <w:basedOn w:val="37"/>
    <w:qFormat/>
    <w:uiPriority w:val="99"/>
    <w:tblPr>
      <w:tblBorders>
        <w:bottom w:val="single" w:color="70AD47" w:themeColor="accent6" w:sz="4" w:space="0"/>
        <w:insideH w:val="single" w:color="70AD47" w:themeColor="accent6" w:sz="4" w:space="0"/>
        <w:insideV w:val="single" w:color="70AD47" w:themeColor="accent6" w:sz="4" w:space="0"/>
      </w:tblBorders>
    </w:tblPr>
    <w:tblStylePr w:type="firstRow">
      <w:rPr>
        <w:b/>
        <w:color w:val="404040"/>
      </w:rPr>
      <w:tcPr>
        <w:tcBorders>
          <w:top w:val="nil"/>
          <w:left w:val="nil"/>
          <w:bottom w:val="single" w:color="70AD47" w:themeColor="accent6" w:sz="12" w:space="0"/>
          <w:right w:val="nil"/>
        </w:tcBorders>
        <w:shd w:val="clear" w:color="FFFFFF" w:fill="auto"/>
      </w:tcPr>
    </w:tblStylePr>
    <w:tblStylePr w:type="lastRow">
      <w:rPr>
        <w:b/>
        <w:color w:val="404040"/>
      </w:rPr>
      <w:tcPr>
        <w:tcBorders>
          <w:top w:val="single" w:color="70AD47" w:themeColor="accent6"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08">
    <w:name w:val="网格表 31"/>
    <w:basedOn w:val="37"/>
    <w:qFormat/>
    <w:uiPriority w:val="99"/>
    <w:tblPr>
      <w:tblBorders>
        <w:bottom w:val="single" w:color="696969" w:themeColor="text1" w:themeTint="95" w:sz="4" w:space="0"/>
        <w:insideH w:val="single" w:color="696969" w:themeColor="text1" w:themeTint="95" w:sz="4" w:space="0"/>
        <w:insideV w:val="single" w:color="696969" w:themeColor="text1" w:themeTint="95"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CBCBCB" w:fill="CBCBCB"/>
      </w:tcPr>
    </w:tblStylePr>
    <w:tblStylePr w:type="band1Horz">
      <w:rPr>
        <w:rFonts w:ascii="Arial" w:hAnsi="Arial"/>
        <w:color w:val="404040"/>
        <w:sz w:val="22"/>
      </w:rPr>
      <w:tcPr>
        <w:shd w:val="clear" w:color="CBCBCB" w:fill="CBCBCB"/>
      </w:tcPr>
    </w:tblStylePr>
  </w:style>
  <w:style w:type="table" w:customStyle="1" w:styleId="109">
    <w:name w:val="Grid Table 3 - Accent 1"/>
    <w:basedOn w:val="37"/>
    <w:qFormat/>
    <w:uiPriority w:val="99"/>
    <w:tblPr>
      <w:tblBorders>
        <w:bottom w:val="single" w:color="68A3D8" w:themeColor="accent1" w:themeTint="EA" w:sz="4" w:space="0"/>
        <w:insideH w:val="single" w:color="68A3D8" w:themeColor="accent1" w:themeTint="EA" w:sz="4" w:space="0"/>
        <w:insideV w:val="single" w:color="68A3D8" w:themeColor="accent1" w:themeTint="EA"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10">
    <w:name w:val="Grid Table 3 - Accent 2"/>
    <w:basedOn w:val="37"/>
    <w:qFormat/>
    <w:uiPriority w:val="99"/>
    <w:tblPr>
      <w:tblBorders>
        <w:bottom w:val="single" w:color="F4B285" w:themeColor="accent2" w:themeTint="97" w:sz="4" w:space="0"/>
        <w:insideH w:val="single" w:color="F4B285" w:themeColor="accent2" w:themeTint="97" w:sz="4" w:space="0"/>
        <w:insideV w:val="single" w:color="F4B285" w:themeColor="accent2" w:themeTint="97"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11">
    <w:name w:val="Grid Table 3 - Accent 3"/>
    <w:basedOn w:val="37"/>
    <w:qFormat/>
    <w:uiPriority w:val="99"/>
    <w:tblPr>
      <w:tblBorders>
        <w:bottom w:val="single" w:color="A5A5A5" w:themeColor="accent3" w:themeTint="FE" w:sz="4" w:space="0"/>
        <w:insideH w:val="single" w:color="A5A5A5" w:themeColor="accent3" w:themeTint="FE" w:sz="4" w:space="0"/>
        <w:insideV w:val="single" w:color="A5A5A5" w:themeColor="accent3" w:themeTint="FE"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12">
    <w:name w:val="Grid Table 3 - Accent 4"/>
    <w:basedOn w:val="37"/>
    <w:qFormat/>
    <w:uiPriority w:val="99"/>
    <w:tblPr>
      <w:tblBorders>
        <w:bottom w:val="single" w:color="FFD864" w:themeColor="accent4" w:themeTint="9A" w:sz="4" w:space="0"/>
        <w:insideH w:val="single" w:color="FFD864" w:themeColor="accent4" w:themeTint="9A" w:sz="4" w:space="0"/>
        <w:insideV w:val="single" w:color="FFD864" w:themeColor="accent4" w:themeTint="9A"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13">
    <w:name w:val="Grid Table 3 - Accent 5"/>
    <w:basedOn w:val="37"/>
    <w:qFormat/>
    <w:uiPriority w:val="99"/>
    <w:tblPr>
      <w:tblBorders>
        <w:bottom w:val="single" w:color="4472C4" w:themeColor="accent5" w:sz="4" w:space="0"/>
        <w:insideH w:val="single" w:color="4472C4" w:themeColor="accent5" w:sz="4" w:space="0"/>
        <w:insideV w:val="single" w:color="4472C4" w:themeColor="accent5"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14">
    <w:name w:val="Grid Table 3 - Accent 6"/>
    <w:basedOn w:val="37"/>
    <w:qFormat/>
    <w:uiPriority w:val="99"/>
    <w:tblPr>
      <w:tblBorders>
        <w:bottom w:val="single" w:color="70AD47" w:themeColor="accent6" w:sz="4" w:space="0"/>
        <w:insideH w:val="single" w:color="70AD47" w:themeColor="accent6" w:sz="4" w:space="0"/>
        <w:insideV w:val="single" w:color="70AD47" w:themeColor="accent6"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15">
    <w:name w:val="网格表 41"/>
    <w:basedOn w:val="37"/>
    <w:qFormat/>
    <w:uiPriority w:val="59"/>
    <w:tblPr>
      <w:tblBorders>
        <w:top w:val="single" w:color="6E6E6E" w:themeColor="text1" w:themeTint="90" w:sz="4" w:space="0"/>
        <w:left w:val="single" w:color="6E6E6E" w:themeColor="text1" w:themeTint="90" w:sz="4" w:space="0"/>
        <w:bottom w:val="single" w:color="6E6E6E" w:themeColor="text1" w:themeTint="90" w:sz="4" w:space="0"/>
        <w:right w:val="single" w:color="6E6E6E" w:themeColor="text1" w:themeTint="90" w:sz="4" w:space="0"/>
        <w:insideH w:val="single" w:color="6E6E6E" w:themeColor="text1" w:themeTint="90" w:sz="4" w:space="0"/>
        <w:insideV w:val="single" w:color="6E6E6E" w:themeColor="text1" w:themeTint="90" w:sz="4" w:space="0"/>
      </w:tblBorders>
    </w:tblPr>
    <w:tblStylePr w:type="firstRow">
      <w:rPr>
        <w:rFonts w:ascii="Arial" w:hAnsi="Arial"/>
        <w:b/>
        <w:color w:val="FFFFFF"/>
        <w:sz w:val="22"/>
      </w:rPr>
      <w:tcPr>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000000" w:fill="000000"/>
      </w:tcPr>
    </w:tblStylePr>
    <w:tblStylePr w:type="lastRow">
      <w:rPr>
        <w:b/>
        <w:color w:val="404040"/>
      </w:rPr>
      <w:tcPr>
        <w:tcBorders>
          <w:top w:val="single" w:color="000000" w:themeColor="text1"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CBCBCB" w:fill="CBCBCB"/>
      </w:tcPr>
    </w:tblStylePr>
    <w:tblStylePr w:type="band1Horz">
      <w:rPr>
        <w:rFonts w:ascii="Arial" w:hAnsi="Arial"/>
        <w:color w:val="404040"/>
        <w:sz w:val="22"/>
      </w:rPr>
      <w:tcPr>
        <w:shd w:val="clear" w:color="CBCBCB" w:fill="CBCBCB"/>
      </w:tcPr>
    </w:tblStylePr>
  </w:style>
  <w:style w:type="table" w:customStyle="1" w:styleId="116">
    <w:name w:val="Grid Table 4 - Accent 1"/>
    <w:basedOn w:val="37"/>
    <w:qFormat/>
    <w:uiPriority w:val="59"/>
    <w:tblPr>
      <w:tblBorders>
        <w:top w:val="single" w:color="A2C6E7" w:themeColor="accent1" w:themeTint="90" w:sz="4" w:space="0"/>
        <w:left w:val="single" w:color="A2C6E7" w:themeColor="accent1" w:themeTint="90" w:sz="4" w:space="0"/>
        <w:bottom w:val="single" w:color="A2C6E7" w:themeColor="accent1" w:themeTint="90" w:sz="4" w:space="0"/>
        <w:right w:val="single" w:color="A2C6E7" w:themeColor="accent1" w:themeTint="90" w:sz="4" w:space="0"/>
        <w:insideH w:val="single" w:color="A2C6E7" w:themeColor="accent1" w:themeTint="90" w:sz="4" w:space="0"/>
        <w:insideV w:val="single" w:color="A2C6E7" w:themeColor="accent1" w:themeTint="90" w:sz="4" w:space="0"/>
      </w:tblBorders>
    </w:tblPr>
    <w:tblStylePr w:type="firstRow">
      <w:rPr>
        <w:rFonts w:ascii="Arial" w:hAnsi="Arial"/>
        <w:b/>
        <w:color w:val="FFFFFF"/>
        <w:sz w:val="22"/>
      </w:rPr>
      <w:tcPr>
        <w:tcBorders>
          <w:top w:val="single" w:color="68A3D8" w:themeColor="accent1" w:themeTint="EA" w:sz="4" w:space="0"/>
          <w:left w:val="single" w:color="68A3D8" w:themeColor="accent1" w:themeTint="EA" w:sz="4" w:space="0"/>
          <w:bottom w:val="single" w:color="68A3D8" w:themeColor="accent1" w:themeTint="EA" w:sz="4" w:space="0"/>
          <w:right w:val="single" w:color="68A3D8" w:themeColor="accent1" w:themeTint="EA" w:sz="4" w:space="0"/>
        </w:tcBorders>
        <w:shd w:val="clear" w:color="FFFFFF" w:fill="auto"/>
      </w:tcPr>
    </w:tblStylePr>
    <w:tblStylePr w:type="lastRow">
      <w:rPr>
        <w:b/>
        <w:color w:val="404040"/>
      </w:rPr>
      <w:tcPr>
        <w:tcBorders>
          <w:top w:val="single" w:color="68A3D8" w:themeColor="accent1" w:themeTint="EA"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17">
    <w:name w:val="Grid Table 4 - Accent 2"/>
    <w:basedOn w:val="37"/>
    <w:qFormat/>
    <w:uiPriority w:val="59"/>
    <w:tblPr>
      <w:tblBorders>
        <w:top w:val="single" w:color="F4B58A" w:themeColor="accent2" w:themeTint="90" w:sz="4" w:space="0"/>
        <w:left w:val="single" w:color="F4B58A" w:themeColor="accent2" w:themeTint="90" w:sz="4" w:space="0"/>
        <w:bottom w:val="single" w:color="F4B58A" w:themeColor="accent2" w:themeTint="90" w:sz="4" w:space="0"/>
        <w:right w:val="single" w:color="F4B58A" w:themeColor="accent2" w:themeTint="90" w:sz="4" w:space="0"/>
        <w:insideH w:val="single" w:color="F4B58A" w:themeColor="accent2" w:themeTint="90" w:sz="4" w:space="0"/>
        <w:insideV w:val="single" w:color="F4B58A" w:themeColor="accent2" w:themeTint="90" w:sz="4" w:space="0"/>
      </w:tblBorders>
    </w:tblPr>
    <w:tblStylePr w:type="firstRow">
      <w:rPr>
        <w:rFonts w:ascii="Arial" w:hAnsi="Arial"/>
        <w:b/>
        <w:color w:val="FFFFFF"/>
        <w:sz w:val="22"/>
      </w:rPr>
      <w:tcPr>
        <w:tcBorders>
          <w:top w:val="single" w:color="F4B285" w:themeColor="accent2" w:themeTint="97" w:sz="4" w:space="0"/>
          <w:left w:val="single" w:color="F4B285" w:themeColor="accent2" w:themeTint="97" w:sz="4" w:space="0"/>
          <w:bottom w:val="single" w:color="F4B285" w:themeColor="accent2" w:themeTint="97" w:sz="4" w:space="0"/>
          <w:right w:val="single" w:color="F4B285" w:themeColor="accent2" w:themeTint="97" w:sz="4" w:space="0"/>
        </w:tcBorders>
        <w:shd w:val="clear" w:color="FFFFFF" w:fill="auto"/>
      </w:tcPr>
    </w:tblStylePr>
    <w:tblStylePr w:type="lastRow">
      <w:rPr>
        <w:b/>
        <w:color w:val="404040"/>
      </w:rPr>
      <w:tcPr>
        <w:tcBorders>
          <w:top w:val="single" w:color="F4B285" w:themeColor="accent2" w:themeTint="97"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18">
    <w:name w:val="Grid Table 4 - Accent 3"/>
    <w:basedOn w:val="37"/>
    <w:qFormat/>
    <w:uiPriority w:val="59"/>
    <w:tblPr>
      <w:tblBorders>
        <w:top w:val="single" w:color="CCCCCC" w:themeColor="accent3" w:themeTint="90" w:sz="4" w:space="0"/>
        <w:left w:val="single" w:color="CCCCCC" w:themeColor="accent3" w:themeTint="90" w:sz="4" w:space="0"/>
        <w:bottom w:val="single" w:color="CCCCCC" w:themeColor="accent3" w:themeTint="90" w:sz="4" w:space="0"/>
        <w:right w:val="single" w:color="CCCCCC" w:themeColor="accent3" w:themeTint="90" w:sz="4" w:space="0"/>
        <w:insideH w:val="single" w:color="CCCCCC" w:themeColor="accent3" w:themeTint="90" w:sz="4" w:space="0"/>
        <w:insideV w:val="single" w:color="CCCCCC" w:themeColor="accent3" w:themeTint="90" w:sz="4" w:space="0"/>
      </w:tblBorders>
    </w:tblPr>
    <w:tblStylePr w:type="firstRow">
      <w:rPr>
        <w:rFonts w:ascii="Arial" w:hAnsi="Arial"/>
        <w:b/>
        <w:color w:val="FFFFFF"/>
        <w:sz w:val="22"/>
      </w:rPr>
      <w:tcPr>
        <w:tcBorders>
          <w:top w:val="single" w:color="A5A5A5" w:themeColor="accent3" w:themeTint="FE" w:sz="4" w:space="0"/>
          <w:left w:val="single" w:color="A5A5A5" w:themeColor="accent3" w:themeTint="FE" w:sz="4" w:space="0"/>
          <w:bottom w:val="single" w:color="A5A5A5" w:themeColor="accent3" w:themeTint="FE" w:sz="4" w:space="0"/>
          <w:right w:val="single" w:color="A5A5A5" w:themeColor="accent3" w:themeTint="FE" w:sz="4" w:space="0"/>
        </w:tcBorders>
        <w:shd w:val="clear" w:color="FFFFFF" w:fill="auto"/>
      </w:tcPr>
    </w:tblStylePr>
    <w:tblStylePr w:type="lastRow">
      <w:rPr>
        <w:b/>
        <w:color w:val="404040"/>
      </w:rPr>
      <w:tcPr>
        <w:tcBorders>
          <w:top w:val="single" w:color="A5A5A5" w:themeColor="accent3" w:themeTint="FE"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19">
    <w:name w:val="Grid Table 4 - Accent 4"/>
    <w:basedOn w:val="37"/>
    <w:qFormat/>
    <w:uiPriority w:val="59"/>
    <w:tblPr>
      <w:tblBorders>
        <w:top w:val="single" w:color="FFDB6E" w:themeColor="accent4" w:themeTint="90" w:sz="4" w:space="0"/>
        <w:left w:val="single" w:color="FFDB6E" w:themeColor="accent4" w:themeTint="90" w:sz="4" w:space="0"/>
        <w:bottom w:val="single" w:color="FFDB6E" w:themeColor="accent4" w:themeTint="90" w:sz="4" w:space="0"/>
        <w:right w:val="single" w:color="FFDB6E" w:themeColor="accent4" w:themeTint="90" w:sz="4" w:space="0"/>
        <w:insideH w:val="single" w:color="FFDB6E" w:themeColor="accent4" w:themeTint="90" w:sz="4" w:space="0"/>
        <w:insideV w:val="single" w:color="FFDB6E" w:themeColor="accent4" w:themeTint="90" w:sz="4" w:space="0"/>
      </w:tblBorders>
    </w:tblPr>
    <w:tblStylePr w:type="firstRow">
      <w:rPr>
        <w:rFonts w:ascii="Arial" w:hAnsi="Arial"/>
        <w:b/>
        <w:color w:val="FFFFFF"/>
        <w:sz w:val="22"/>
      </w:rPr>
      <w:tcPr>
        <w:tcBorders>
          <w:top w:val="single" w:color="FFD864" w:themeColor="accent4" w:themeTint="9A" w:sz="4" w:space="0"/>
          <w:left w:val="single" w:color="FFD864" w:themeColor="accent4" w:themeTint="9A" w:sz="4" w:space="0"/>
          <w:bottom w:val="single" w:color="FFD864" w:themeColor="accent4" w:themeTint="9A" w:sz="4" w:space="0"/>
          <w:right w:val="single" w:color="FFD864" w:themeColor="accent4" w:themeTint="9A" w:sz="4" w:space="0"/>
        </w:tcBorders>
        <w:shd w:val="clear" w:color="FFFFFF" w:fill="auto"/>
      </w:tcPr>
    </w:tblStylePr>
    <w:tblStylePr w:type="lastRow">
      <w:rPr>
        <w:b/>
        <w:color w:val="404040"/>
      </w:rPr>
      <w:tcPr>
        <w:tcBorders>
          <w:top w:val="single" w:color="FFD864" w:themeColor="accent4" w:themeTint="9A"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20">
    <w:name w:val="Grid Table 4 - Accent 5"/>
    <w:basedOn w:val="37"/>
    <w:qFormat/>
    <w:uiPriority w:val="59"/>
    <w:tblPr>
      <w:tblBorders>
        <w:top w:val="single" w:color="95AFDD" w:themeColor="accent5" w:themeTint="90" w:sz="4" w:space="0"/>
        <w:left w:val="single" w:color="95AFDD" w:themeColor="accent5" w:themeTint="90" w:sz="4" w:space="0"/>
        <w:bottom w:val="single" w:color="95AFDD" w:themeColor="accent5" w:themeTint="90" w:sz="4" w:space="0"/>
        <w:right w:val="single" w:color="95AFDD" w:themeColor="accent5" w:themeTint="90" w:sz="4" w:space="0"/>
        <w:insideH w:val="single" w:color="95AFDD" w:themeColor="accent5" w:themeTint="90" w:sz="4" w:space="0"/>
        <w:insideV w:val="single" w:color="95AFDD" w:themeColor="accent5" w:themeTint="90" w:sz="4" w:space="0"/>
      </w:tblBorders>
    </w:tblPr>
    <w:tblStylePr w:type="firstRow">
      <w:rPr>
        <w:rFonts w:ascii="Arial" w:hAnsi="Arial"/>
        <w:b/>
        <w:color w:val="FFFFFF"/>
        <w:sz w:val="22"/>
      </w:rPr>
      <w:tcPr>
        <w:tcBorders>
          <w:top w:val="single" w:color="4472C4" w:themeColor="accent5" w:sz="4" w:space="0"/>
          <w:left w:val="single" w:color="4472C4" w:themeColor="accent5" w:sz="4" w:space="0"/>
          <w:bottom w:val="single" w:color="4472C4" w:themeColor="accent5" w:sz="4" w:space="0"/>
          <w:right w:val="single" w:color="4472C4" w:themeColor="accent5" w:sz="4" w:space="0"/>
        </w:tcBorders>
        <w:shd w:val="clear" w:color="FFFFFF" w:fill="auto"/>
      </w:tcPr>
    </w:tblStylePr>
    <w:tblStylePr w:type="lastRow">
      <w:rPr>
        <w:b/>
        <w:color w:val="404040"/>
      </w:rPr>
      <w:tcPr>
        <w:tcBorders>
          <w:top w:val="single" w:color="4472C4" w:themeColor="accent5"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21">
    <w:name w:val="Grid Table 4 - Accent 6"/>
    <w:basedOn w:val="37"/>
    <w:qFormat/>
    <w:uiPriority w:val="59"/>
    <w:tblPr>
      <w:tblBorders>
        <w:top w:val="single" w:color="ADD394" w:themeColor="accent6" w:themeTint="90" w:sz="4" w:space="0"/>
        <w:left w:val="single" w:color="ADD394" w:themeColor="accent6" w:themeTint="90" w:sz="4" w:space="0"/>
        <w:bottom w:val="single" w:color="ADD394" w:themeColor="accent6" w:themeTint="90" w:sz="4" w:space="0"/>
        <w:right w:val="single" w:color="ADD394" w:themeColor="accent6" w:themeTint="90" w:sz="4" w:space="0"/>
        <w:insideH w:val="single" w:color="ADD394" w:themeColor="accent6" w:themeTint="90" w:sz="4" w:space="0"/>
        <w:insideV w:val="single" w:color="ADD394" w:themeColor="accent6" w:themeTint="90" w:sz="4" w:space="0"/>
      </w:tblBorders>
    </w:tblPr>
    <w:tblStylePr w:type="firstRow">
      <w:rPr>
        <w:rFonts w:ascii="Arial" w:hAnsi="Arial"/>
        <w:b/>
        <w:color w:val="FFFFFF"/>
        <w:sz w:val="22"/>
      </w:rPr>
      <w:tcPr>
        <w:tcBorders>
          <w:top w:val="single" w:color="70AD47" w:themeColor="accent6" w:sz="4" w:space="0"/>
          <w:left w:val="single" w:color="70AD47" w:themeColor="accent6" w:sz="4" w:space="0"/>
          <w:bottom w:val="single" w:color="70AD47" w:themeColor="accent6" w:sz="4" w:space="0"/>
          <w:right w:val="single" w:color="70AD47" w:themeColor="accent6" w:sz="4" w:space="0"/>
        </w:tcBorders>
        <w:shd w:val="clear" w:color="FFFFFF" w:fill="auto"/>
      </w:tcPr>
    </w:tblStylePr>
    <w:tblStylePr w:type="lastRow">
      <w:rPr>
        <w:b/>
        <w:color w:val="404040"/>
      </w:rPr>
      <w:tcPr>
        <w:tcBorders>
          <w:top w:val="single" w:color="70AD47" w:themeColor="accent6"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22">
    <w:name w:val="网格表 5 深色1"/>
    <w:basedOn w:val="37"/>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000000" w:fill="000000"/>
      </w:tcPr>
    </w:tblStylePr>
    <w:tblStylePr w:type="lastRow">
      <w:rPr>
        <w:rFonts w:ascii="Arial" w:hAnsi="Arial"/>
        <w:b/>
        <w:color w:val="FFFFFF"/>
        <w:sz w:val="22"/>
      </w:rPr>
      <w:tcPr>
        <w:tcBorders>
          <w:top w:val="single" w:color="FFFFFF" w:themeColor="light1" w:sz="4" w:space="0"/>
        </w:tcBorders>
        <w:shd w:val="clear" w:color="000000" w:fill="000000"/>
      </w:tcPr>
    </w:tblStylePr>
    <w:tblStylePr w:type="firstCol">
      <w:rPr>
        <w:rFonts w:ascii="Arial" w:hAnsi="Arial"/>
        <w:b/>
        <w:color w:val="FFFFFF"/>
        <w:sz w:val="22"/>
      </w:rPr>
      <w:tcPr>
        <w:shd w:val="clear" w:color="000000" w:fill="000000"/>
      </w:tcPr>
    </w:tblStylePr>
    <w:tblStylePr w:type="lastCol">
      <w:rPr>
        <w:rFonts w:ascii="Arial" w:hAnsi="Arial"/>
        <w:b/>
        <w:color w:val="FFFFFF"/>
        <w:sz w:val="22"/>
      </w:rPr>
      <w:tcPr>
        <w:shd w:val="clear" w:color="000000" w:fill="000000"/>
      </w:tcPr>
    </w:tblStylePr>
    <w:tblStylePr w:type="band1Vert">
      <w:tcPr>
        <w:shd w:val="clear" w:color="8A8A8A" w:fill="8A8A8A"/>
      </w:tcPr>
    </w:tblStylePr>
    <w:tblStylePr w:type="band1Horz">
      <w:tcPr>
        <w:shd w:val="clear" w:color="8A8A8A" w:fill="8A8A8A"/>
      </w:tcPr>
    </w:tblStylePr>
  </w:style>
  <w:style w:type="table" w:customStyle="1" w:styleId="123">
    <w:name w:val="Grid Table 5 Dark- Accent 1"/>
    <w:basedOn w:val="37"/>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FFFFFF" w:fill="auto"/>
      </w:tcPr>
    </w:tblStylePr>
    <w:tblStylePr w:type="lastRow">
      <w:rPr>
        <w:rFonts w:ascii="Arial" w:hAnsi="Arial"/>
        <w:b/>
        <w:color w:val="FFFFFF"/>
        <w:sz w:val="22"/>
      </w:rPr>
      <w:tcPr>
        <w:tcBorders>
          <w:top w:val="single" w:color="FFFFFF" w:themeColor="light1" w:sz="4" w:space="0"/>
        </w:tcBorders>
        <w:shd w:val="clear" w:color="FFFFFF" w:fill="auto"/>
      </w:tcPr>
    </w:tblStylePr>
    <w:tblStylePr w:type="firstCol">
      <w:rPr>
        <w:rFonts w:ascii="Arial" w:hAnsi="Arial"/>
        <w:b/>
        <w:color w:val="FFFFFF"/>
        <w:sz w:val="22"/>
      </w:rPr>
      <w:tcPr>
        <w:shd w:val="clear" w:color="FFFFFF" w:fill="auto"/>
      </w:tcPr>
    </w:tblStylePr>
    <w:tblStylePr w:type="lastCol">
      <w:rPr>
        <w:rFonts w:ascii="Arial" w:hAnsi="Arial"/>
        <w:b/>
        <w:color w:val="FFFFFF"/>
        <w:sz w:val="22"/>
      </w:rPr>
      <w:tcPr>
        <w:shd w:val="clear" w:color="FFFFFF" w:fill="auto"/>
      </w:tcPr>
    </w:tblStylePr>
    <w:tblStylePr w:type="band1Vert">
      <w:tcPr>
        <w:shd w:val="clear" w:color="FFFFFF" w:fill="auto"/>
      </w:tcPr>
    </w:tblStylePr>
    <w:tblStylePr w:type="band1Horz">
      <w:tcPr>
        <w:shd w:val="clear" w:color="FFFFFF" w:fill="auto"/>
      </w:tcPr>
    </w:tblStylePr>
  </w:style>
  <w:style w:type="table" w:customStyle="1" w:styleId="124">
    <w:name w:val="Grid Table 5 Dark - Accent 2"/>
    <w:basedOn w:val="37"/>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FFFFFF" w:fill="auto"/>
      </w:tcPr>
    </w:tblStylePr>
    <w:tblStylePr w:type="lastRow">
      <w:rPr>
        <w:rFonts w:ascii="Arial" w:hAnsi="Arial"/>
        <w:b/>
        <w:color w:val="FFFFFF"/>
        <w:sz w:val="22"/>
      </w:rPr>
      <w:tcPr>
        <w:tcBorders>
          <w:top w:val="single" w:color="FFFFFF" w:themeColor="light1" w:sz="4" w:space="0"/>
        </w:tcBorders>
        <w:shd w:val="clear" w:color="FFFFFF" w:fill="auto"/>
      </w:tcPr>
    </w:tblStylePr>
    <w:tblStylePr w:type="firstCol">
      <w:rPr>
        <w:rFonts w:ascii="Arial" w:hAnsi="Arial"/>
        <w:b/>
        <w:color w:val="FFFFFF"/>
        <w:sz w:val="22"/>
      </w:rPr>
      <w:tcPr>
        <w:shd w:val="clear" w:color="FFFFFF" w:fill="auto"/>
      </w:tcPr>
    </w:tblStylePr>
    <w:tblStylePr w:type="lastCol">
      <w:rPr>
        <w:rFonts w:ascii="Arial" w:hAnsi="Arial"/>
        <w:b/>
        <w:color w:val="FFFFFF"/>
        <w:sz w:val="22"/>
      </w:rPr>
      <w:tcPr>
        <w:shd w:val="clear" w:color="FFFFFF" w:fill="auto"/>
      </w:tcPr>
    </w:tblStylePr>
    <w:tblStylePr w:type="band1Vert">
      <w:tcPr>
        <w:shd w:val="clear" w:color="FFFFFF" w:fill="auto"/>
      </w:tcPr>
    </w:tblStylePr>
    <w:tblStylePr w:type="band1Horz">
      <w:tcPr>
        <w:shd w:val="clear" w:color="FFFFFF" w:fill="auto"/>
      </w:tcPr>
    </w:tblStylePr>
  </w:style>
  <w:style w:type="table" w:customStyle="1" w:styleId="125">
    <w:name w:val="Grid Table 5 Dark - Accent 3"/>
    <w:basedOn w:val="37"/>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FFFFFF" w:fill="auto"/>
      </w:tcPr>
    </w:tblStylePr>
    <w:tblStylePr w:type="lastRow">
      <w:rPr>
        <w:rFonts w:ascii="Arial" w:hAnsi="Arial"/>
        <w:b/>
        <w:color w:val="FFFFFF"/>
        <w:sz w:val="22"/>
      </w:rPr>
      <w:tcPr>
        <w:tcBorders>
          <w:top w:val="single" w:color="FFFFFF" w:themeColor="light1" w:sz="4" w:space="0"/>
        </w:tcBorders>
        <w:shd w:val="clear" w:color="FFFFFF" w:fill="auto"/>
      </w:tcPr>
    </w:tblStylePr>
    <w:tblStylePr w:type="firstCol">
      <w:rPr>
        <w:rFonts w:ascii="Arial" w:hAnsi="Arial"/>
        <w:b/>
        <w:color w:val="FFFFFF"/>
        <w:sz w:val="22"/>
      </w:rPr>
      <w:tcPr>
        <w:shd w:val="clear" w:color="FFFFFF" w:fill="auto"/>
      </w:tcPr>
    </w:tblStylePr>
    <w:tblStylePr w:type="lastCol">
      <w:rPr>
        <w:rFonts w:ascii="Arial" w:hAnsi="Arial"/>
        <w:b/>
        <w:color w:val="FFFFFF"/>
        <w:sz w:val="22"/>
      </w:rPr>
      <w:tcPr>
        <w:shd w:val="clear" w:color="FFFFFF" w:fill="auto"/>
      </w:tcPr>
    </w:tblStylePr>
    <w:tblStylePr w:type="band1Vert">
      <w:tcPr>
        <w:shd w:val="clear" w:color="FFFFFF" w:fill="auto"/>
      </w:tcPr>
    </w:tblStylePr>
    <w:tblStylePr w:type="band1Horz">
      <w:tcPr>
        <w:shd w:val="clear" w:color="FFFFFF" w:fill="auto"/>
      </w:tcPr>
    </w:tblStylePr>
  </w:style>
  <w:style w:type="table" w:customStyle="1" w:styleId="126">
    <w:name w:val="Grid Table 5 Dark- Accent 4"/>
    <w:basedOn w:val="37"/>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FFFFFF" w:fill="auto"/>
      </w:tcPr>
    </w:tblStylePr>
    <w:tblStylePr w:type="lastRow">
      <w:rPr>
        <w:rFonts w:ascii="Arial" w:hAnsi="Arial"/>
        <w:b/>
        <w:color w:val="FFFFFF"/>
        <w:sz w:val="22"/>
      </w:rPr>
      <w:tcPr>
        <w:tcBorders>
          <w:top w:val="single" w:color="FFFFFF" w:themeColor="light1" w:sz="4" w:space="0"/>
        </w:tcBorders>
        <w:shd w:val="clear" w:color="FFFFFF" w:fill="auto"/>
      </w:tcPr>
    </w:tblStylePr>
    <w:tblStylePr w:type="firstCol">
      <w:rPr>
        <w:rFonts w:ascii="Arial" w:hAnsi="Arial"/>
        <w:b/>
        <w:color w:val="FFFFFF"/>
        <w:sz w:val="22"/>
      </w:rPr>
      <w:tcPr>
        <w:shd w:val="clear" w:color="FFFFFF" w:fill="auto"/>
      </w:tcPr>
    </w:tblStylePr>
    <w:tblStylePr w:type="lastCol">
      <w:rPr>
        <w:rFonts w:ascii="Arial" w:hAnsi="Arial"/>
        <w:b/>
        <w:color w:val="FFFFFF"/>
        <w:sz w:val="22"/>
      </w:rPr>
      <w:tcPr>
        <w:shd w:val="clear" w:color="FFFFFF" w:fill="auto"/>
      </w:tcPr>
    </w:tblStylePr>
    <w:tblStylePr w:type="band1Vert">
      <w:tcPr>
        <w:shd w:val="clear" w:color="FFFFFF" w:fill="auto"/>
      </w:tcPr>
    </w:tblStylePr>
    <w:tblStylePr w:type="band1Horz">
      <w:tcPr>
        <w:shd w:val="clear" w:color="FFFFFF" w:fill="auto"/>
      </w:tcPr>
    </w:tblStylePr>
  </w:style>
  <w:style w:type="table" w:customStyle="1" w:styleId="127">
    <w:name w:val="Grid Table 5 Dark - Accent 5"/>
    <w:basedOn w:val="37"/>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FFFFFF" w:fill="auto"/>
      </w:tcPr>
    </w:tblStylePr>
    <w:tblStylePr w:type="lastRow">
      <w:rPr>
        <w:rFonts w:ascii="Arial" w:hAnsi="Arial"/>
        <w:b/>
        <w:color w:val="FFFFFF"/>
        <w:sz w:val="22"/>
      </w:rPr>
      <w:tcPr>
        <w:tcBorders>
          <w:top w:val="single" w:color="FFFFFF" w:themeColor="light1" w:sz="4" w:space="0"/>
        </w:tcBorders>
        <w:shd w:val="clear" w:color="FFFFFF" w:fill="auto"/>
      </w:tcPr>
    </w:tblStylePr>
    <w:tblStylePr w:type="firstCol">
      <w:rPr>
        <w:rFonts w:ascii="Arial" w:hAnsi="Arial"/>
        <w:b/>
        <w:color w:val="FFFFFF"/>
        <w:sz w:val="22"/>
      </w:rPr>
      <w:tcPr>
        <w:shd w:val="clear" w:color="FFFFFF" w:fill="auto"/>
      </w:tcPr>
    </w:tblStylePr>
    <w:tblStylePr w:type="lastCol">
      <w:rPr>
        <w:rFonts w:ascii="Arial" w:hAnsi="Arial"/>
        <w:b/>
        <w:color w:val="FFFFFF"/>
        <w:sz w:val="22"/>
      </w:rPr>
      <w:tcPr>
        <w:shd w:val="clear" w:color="FFFFFF" w:fill="auto"/>
      </w:tcPr>
    </w:tblStylePr>
    <w:tblStylePr w:type="band1Vert">
      <w:tcPr>
        <w:shd w:val="clear" w:color="FFFFFF" w:fill="auto"/>
      </w:tcPr>
    </w:tblStylePr>
    <w:tblStylePr w:type="band1Horz">
      <w:tcPr>
        <w:shd w:val="clear" w:color="FFFFFF" w:fill="auto"/>
      </w:tcPr>
    </w:tblStylePr>
  </w:style>
  <w:style w:type="table" w:customStyle="1" w:styleId="128">
    <w:name w:val="Grid Table 5 Dark - Accent 6"/>
    <w:basedOn w:val="37"/>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FFFFFF" w:fill="auto"/>
      </w:tcPr>
    </w:tblStylePr>
    <w:tblStylePr w:type="lastRow">
      <w:rPr>
        <w:rFonts w:ascii="Arial" w:hAnsi="Arial"/>
        <w:b/>
        <w:color w:val="FFFFFF"/>
        <w:sz w:val="22"/>
      </w:rPr>
      <w:tcPr>
        <w:tcBorders>
          <w:top w:val="single" w:color="FFFFFF" w:themeColor="light1" w:sz="4" w:space="0"/>
        </w:tcBorders>
        <w:shd w:val="clear" w:color="FFFFFF" w:fill="auto"/>
      </w:tcPr>
    </w:tblStylePr>
    <w:tblStylePr w:type="firstCol">
      <w:rPr>
        <w:rFonts w:ascii="Arial" w:hAnsi="Arial"/>
        <w:b/>
        <w:color w:val="FFFFFF"/>
        <w:sz w:val="22"/>
      </w:rPr>
      <w:tcPr>
        <w:shd w:val="clear" w:color="FFFFFF" w:fill="auto"/>
      </w:tcPr>
    </w:tblStylePr>
    <w:tblStylePr w:type="lastCol">
      <w:rPr>
        <w:rFonts w:ascii="Arial" w:hAnsi="Arial"/>
        <w:b/>
        <w:color w:val="FFFFFF"/>
        <w:sz w:val="22"/>
      </w:rPr>
      <w:tcPr>
        <w:shd w:val="clear" w:color="FFFFFF" w:fill="auto"/>
      </w:tcPr>
    </w:tblStylePr>
    <w:tblStylePr w:type="band1Vert">
      <w:tcPr>
        <w:shd w:val="clear" w:color="FFFFFF" w:fill="auto"/>
      </w:tcPr>
    </w:tblStylePr>
    <w:tblStylePr w:type="band1Horz">
      <w:tcPr>
        <w:shd w:val="clear" w:color="FFFFFF" w:fill="auto"/>
      </w:tcPr>
    </w:tblStylePr>
  </w:style>
  <w:style w:type="table" w:customStyle="1" w:styleId="129">
    <w:name w:val="网格表 6 彩色1"/>
    <w:basedOn w:val="37"/>
    <w:qFormat/>
    <w:uiPriority w:val="99"/>
    <w:tblPr>
      <w:tblBorders>
        <w:top w:val="single" w:color="7E7E7E" w:themeColor="text1" w:themeTint="80" w:sz="4" w:space="0"/>
        <w:left w:val="single" w:color="7E7E7E" w:themeColor="text1" w:themeTint="80" w:sz="4" w:space="0"/>
        <w:bottom w:val="single" w:color="7E7E7E" w:themeColor="text1" w:themeTint="80" w:sz="4" w:space="0"/>
        <w:right w:val="single" w:color="7E7E7E" w:themeColor="text1" w:themeTint="80" w:sz="4" w:space="0"/>
        <w:insideH w:val="single" w:color="7E7E7E" w:themeColor="text1" w:themeTint="80" w:sz="4" w:space="0"/>
        <w:insideV w:val="single" w:color="7E7E7E" w:themeColor="text1" w:themeTint="80" w:sz="4" w:space="0"/>
      </w:tblBorders>
    </w:tblPr>
    <w:tblStylePr w:type="firstRow">
      <w:rPr>
        <w:b/>
        <w:color w:val="808080" w:themeColor="text1" w:themeTint="80"/>
        <w14:textFill>
          <w14:solidFill>
            <w14:schemeClr w14:val="tx1">
              <w14:lumMod w14:val="50000"/>
              <w14:lumOff w14:val="50000"/>
            </w14:schemeClr>
          </w14:solidFill>
        </w14:textFill>
      </w:rPr>
      <w:tcPr>
        <w:tcBorders>
          <w:bottom w:val="single" w:color="7E7E7E" w:themeColor="text1" w:themeTint="80" w:sz="12" w:space="0"/>
        </w:tcBorders>
      </w:tcPr>
    </w:tblStylePr>
    <w:tblStylePr w:type="lastRow">
      <w:rPr>
        <w:b/>
        <w:color w:val="808080" w:themeColor="text1" w:themeTint="80"/>
        <w14:textFill>
          <w14:solidFill>
            <w14:schemeClr w14:val="tx1">
              <w14:lumMod w14:val="50000"/>
              <w14:lumOff w14:val="50000"/>
            </w14:schemeClr>
          </w14:solidFill>
        </w14:textFill>
      </w:rPr>
    </w:tblStylePr>
    <w:tblStylePr w:type="firstCol">
      <w:rPr>
        <w:b/>
        <w:color w:val="808080" w:themeColor="text1" w:themeTint="80"/>
        <w14:textFill>
          <w14:solidFill>
            <w14:schemeClr w14:val="tx1">
              <w14:lumMod w14:val="50000"/>
              <w14:lumOff w14:val="50000"/>
            </w14:schemeClr>
          </w14:solidFill>
        </w14:textFill>
      </w:rPr>
    </w:tblStylePr>
    <w:tblStylePr w:type="lastCol">
      <w:rPr>
        <w:b/>
        <w:color w:val="808080" w:themeColor="text1" w:themeTint="80"/>
        <w14:textFill>
          <w14:solidFill>
            <w14:schemeClr w14:val="tx1">
              <w14:lumMod w14:val="50000"/>
              <w14:lumOff w14:val="50000"/>
            </w14:schemeClr>
          </w14:solidFill>
        </w14:textFill>
      </w:rPr>
    </w:tblStylePr>
    <w:tblStylePr w:type="band1Vert">
      <w:tcPr>
        <w:shd w:val="clear" w:color="CBCBCB" w:fill="CBCBCB"/>
      </w:tcPr>
    </w:tblStylePr>
    <w:tblStylePr w:type="band1Horz">
      <w:rPr>
        <w:rFonts w:ascii="Arial" w:hAnsi="Arial"/>
        <w:color w:val="808080" w:themeColor="text1" w:themeTint="80"/>
        <w:sz w:val="22"/>
        <w14:textFill>
          <w14:solidFill>
            <w14:schemeClr w14:val="tx1">
              <w14:lumMod w14:val="50000"/>
              <w14:lumOff w14:val="50000"/>
            </w14:schemeClr>
          </w14:solidFill>
        </w14:textFill>
      </w:rPr>
      <w:tcPr>
        <w:shd w:val="clear" w:color="CBCBCB" w:fill="CBCBCB"/>
      </w:tcPr>
    </w:tblStylePr>
    <w:tblStylePr w:type="band2Horz">
      <w:rPr>
        <w:rFonts w:ascii="Arial" w:hAnsi="Arial"/>
        <w:color w:val="808080" w:themeColor="text1" w:themeTint="80"/>
        <w:sz w:val="22"/>
        <w14:textFill>
          <w14:solidFill>
            <w14:schemeClr w14:val="tx1">
              <w14:lumMod w14:val="50000"/>
              <w14:lumOff w14:val="50000"/>
            </w14:schemeClr>
          </w14:solidFill>
        </w14:textFill>
      </w:rPr>
    </w:tblStylePr>
  </w:style>
  <w:style w:type="table" w:customStyle="1" w:styleId="130">
    <w:name w:val="Grid Table 6 Colorful - Accent 1"/>
    <w:basedOn w:val="37"/>
    <w:qFormat/>
    <w:uiPriority w:val="99"/>
    <w:tblPr>
      <w:tblBorders>
        <w:top w:val="single" w:color="ACCCE9" w:themeColor="accent1" w:themeTint="80" w:sz="4" w:space="0"/>
        <w:left w:val="single" w:color="ACCCE9" w:themeColor="accent1" w:themeTint="80" w:sz="4" w:space="0"/>
        <w:bottom w:val="single" w:color="ACCCE9" w:themeColor="accent1" w:themeTint="80" w:sz="4" w:space="0"/>
        <w:right w:val="single" w:color="ACCCE9" w:themeColor="accent1" w:themeTint="80" w:sz="4" w:space="0"/>
        <w:insideH w:val="single" w:color="ACCCE9" w:themeColor="accent1" w:themeTint="80" w:sz="4" w:space="0"/>
        <w:insideV w:val="single" w:color="ACCCE9" w:themeColor="accent1" w:themeTint="80" w:sz="4" w:space="0"/>
      </w:tblBorders>
    </w:tblPr>
    <w:tblStylePr w:type="firstRow">
      <w:rPr>
        <w:b/>
        <w:color w:val="ADCDEA" w:themeColor="accent1" w:themeTint="80"/>
        <w14:textFill>
          <w14:solidFill>
            <w14:schemeClr w14:val="accent1">
              <w14:lumMod w14:val="50000"/>
              <w14:lumOff w14:val="50000"/>
            </w14:schemeClr>
          </w14:solidFill>
        </w14:textFill>
      </w:rPr>
      <w:tcPr>
        <w:tcBorders>
          <w:bottom w:val="single" w:color="ACCCE9" w:themeColor="accent1" w:themeTint="80" w:sz="12" w:space="0"/>
        </w:tcBorders>
      </w:tcPr>
    </w:tblStylePr>
    <w:tblStylePr w:type="lastRow">
      <w:rPr>
        <w:b/>
        <w:color w:val="ADCDEA" w:themeColor="accent1" w:themeTint="80"/>
        <w14:textFill>
          <w14:solidFill>
            <w14:schemeClr w14:val="accent1">
              <w14:lumMod w14:val="50000"/>
              <w14:lumOff w14:val="50000"/>
            </w14:schemeClr>
          </w14:solidFill>
        </w14:textFill>
      </w:rPr>
    </w:tblStylePr>
    <w:tblStylePr w:type="firstCol">
      <w:rPr>
        <w:b/>
        <w:color w:val="ADCDEA" w:themeColor="accent1" w:themeTint="80"/>
        <w14:textFill>
          <w14:solidFill>
            <w14:schemeClr w14:val="accent1">
              <w14:lumMod w14:val="50000"/>
              <w14:lumOff w14:val="50000"/>
            </w14:schemeClr>
          </w14:solidFill>
        </w14:textFill>
      </w:rPr>
    </w:tblStylePr>
    <w:tblStylePr w:type="lastCol">
      <w:rPr>
        <w:b/>
        <w:color w:val="ADCDEA" w:themeColor="accent1" w:themeTint="80"/>
        <w14:textFill>
          <w14:solidFill>
            <w14:schemeClr w14:val="accent1">
              <w14:lumMod w14:val="50000"/>
              <w14:lumOff w14:val="50000"/>
            </w14:schemeClr>
          </w14:solidFill>
        </w14:textFill>
      </w:rPr>
    </w:tblStylePr>
    <w:tblStylePr w:type="band1Vert">
      <w:tcPr>
        <w:shd w:val="clear" w:color="FFFFFF" w:fill="auto"/>
      </w:tcPr>
    </w:tblStylePr>
    <w:tblStylePr w:type="band1Horz">
      <w:rPr>
        <w:rFonts w:ascii="Arial" w:hAnsi="Arial"/>
        <w:color w:val="ADCDEA" w:themeColor="accent1" w:themeTint="80"/>
        <w:sz w:val="22"/>
        <w14:textFill>
          <w14:solidFill>
            <w14:schemeClr w14:val="accent1">
              <w14:lumMod w14:val="50000"/>
              <w14:lumOff w14:val="50000"/>
            </w14:schemeClr>
          </w14:solidFill>
        </w14:textFill>
      </w:rPr>
      <w:tcPr>
        <w:shd w:val="clear" w:color="FFFFFF" w:fill="auto"/>
      </w:tcPr>
    </w:tblStylePr>
    <w:tblStylePr w:type="band2Horz">
      <w:rPr>
        <w:rFonts w:ascii="Arial" w:hAnsi="Arial"/>
        <w:color w:val="ADCDEA" w:themeColor="accent1" w:themeTint="80"/>
        <w:sz w:val="22"/>
        <w14:textFill>
          <w14:solidFill>
            <w14:schemeClr w14:val="accent1">
              <w14:lumMod w14:val="50000"/>
              <w14:lumOff w14:val="50000"/>
            </w14:schemeClr>
          </w14:solidFill>
        </w14:textFill>
      </w:rPr>
    </w:tblStylePr>
  </w:style>
  <w:style w:type="table" w:customStyle="1" w:styleId="131">
    <w:name w:val="Grid Table 6 Colorful - Accent 2"/>
    <w:basedOn w:val="37"/>
    <w:qFormat/>
    <w:uiPriority w:val="99"/>
    <w:tblPr>
      <w:tblBorders>
        <w:top w:val="single" w:color="F4B285" w:themeColor="accent2" w:themeTint="97" w:sz="4" w:space="0"/>
        <w:left w:val="single" w:color="F4B285" w:themeColor="accent2" w:themeTint="97" w:sz="4" w:space="0"/>
        <w:bottom w:val="single" w:color="F4B285" w:themeColor="accent2" w:themeTint="97" w:sz="4" w:space="0"/>
        <w:right w:val="single" w:color="F4B285" w:themeColor="accent2" w:themeTint="97" w:sz="4" w:space="0"/>
        <w:insideH w:val="single" w:color="F4B285" w:themeColor="accent2" w:themeTint="97" w:sz="4" w:space="0"/>
        <w:insideV w:val="single" w:color="F4B285" w:themeColor="accent2" w:themeTint="97" w:sz="4" w:space="0"/>
      </w:tblBorders>
    </w:tblPr>
    <w:tblStylePr w:type="firstRow">
      <w:rPr>
        <w:b/>
        <w:color w:val="F4B285" w:themeColor="accent2" w:themeTint="96"/>
        <w14:textFill>
          <w14:solidFill>
            <w14:schemeClr w14:val="accent2">
              <w14:lumMod w14:val="59000"/>
              <w14:lumOff w14:val="41000"/>
            </w14:schemeClr>
          </w14:solidFill>
        </w14:textFill>
      </w:rPr>
      <w:tcPr>
        <w:tcBorders>
          <w:bottom w:val="single" w:color="F4B285" w:themeColor="accent2" w:themeTint="97" w:sz="12" w:space="0"/>
        </w:tcBorders>
      </w:tcPr>
    </w:tblStylePr>
    <w:tblStylePr w:type="lastRow">
      <w:rPr>
        <w:b/>
        <w:color w:val="F4B285" w:themeColor="accent2" w:themeTint="96"/>
        <w14:textFill>
          <w14:solidFill>
            <w14:schemeClr w14:val="accent2">
              <w14:lumMod w14:val="59000"/>
              <w14:lumOff w14:val="41000"/>
            </w14:schemeClr>
          </w14:solidFill>
        </w14:textFill>
      </w:rPr>
    </w:tblStylePr>
    <w:tblStylePr w:type="firstCol">
      <w:rPr>
        <w:b/>
        <w:color w:val="F4B285" w:themeColor="accent2" w:themeTint="96"/>
        <w14:textFill>
          <w14:solidFill>
            <w14:schemeClr w14:val="accent2">
              <w14:lumMod w14:val="59000"/>
              <w14:lumOff w14:val="41000"/>
            </w14:schemeClr>
          </w14:solidFill>
        </w14:textFill>
      </w:rPr>
    </w:tblStylePr>
    <w:tblStylePr w:type="lastCol">
      <w:rPr>
        <w:b/>
        <w:color w:val="F4B285" w:themeColor="accent2" w:themeTint="96"/>
        <w14:textFill>
          <w14:solidFill>
            <w14:schemeClr w14:val="accent2">
              <w14:lumMod w14:val="59000"/>
              <w14:lumOff w14:val="41000"/>
            </w14:schemeClr>
          </w14:solidFill>
        </w14:textFill>
      </w:rPr>
    </w:tblStylePr>
    <w:tblStylePr w:type="band1Vert">
      <w:tcPr>
        <w:shd w:val="clear" w:color="FFFFFF" w:fill="auto"/>
      </w:tcPr>
    </w:tblStylePr>
    <w:tblStylePr w:type="band1Horz">
      <w:rPr>
        <w:rFonts w:ascii="Arial" w:hAnsi="Arial"/>
        <w:color w:val="F4B285" w:themeColor="accent2" w:themeTint="96"/>
        <w:sz w:val="22"/>
        <w14:textFill>
          <w14:solidFill>
            <w14:schemeClr w14:val="accent2">
              <w14:lumMod w14:val="59000"/>
              <w14:lumOff w14:val="41000"/>
            </w14:schemeClr>
          </w14:solidFill>
        </w14:textFill>
      </w:rPr>
      <w:tcPr>
        <w:shd w:val="clear" w:color="FFFFFF" w:fill="auto"/>
      </w:tcPr>
    </w:tblStylePr>
    <w:tblStylePr w:type="band2Horz">
      <w:rPr>
        <w:rFonts w:ascii="Arial" w:hAnsi="Arial"/>
        <w:color w:val="F4B285" w:themeColor="accent2" w:themeTint="96"/>
        <w:sz w:val="22"/>
        <w14:textFill>
          <w14:solidFill>
            <w14:schemeClr w14:val="accent2">
              <w14:lumMod w14:val="59000"/>
              <w14:lumOff w14:val="41000"/>
            </w14:schemeClr>
          </w14:solidFill>
        </w14:textFill>
      </w:rPr>
    </w:tblStylePr>
  </w:style>
  <w:style w:type="table" w:customStyle="1" w:styleId="132">
    <w:name w:val="Grid Table 6 Colorful - Accent 3"/>
    <w:basedOn w:val="37"/>
    <w:qFormat/>
    <w:uiPriority w:val="99"/>
    <w:tblPr>
      <w:tblBorders>
        <w:top w:val="single" w:color="A5A5A5" w:themeColor="accent3" w:themeTint="FE" w:sz="4" w:space="0"/>
        <w:left w:val="single" w:color="A5A5A5" w:themeColor="accent3" w:themeTint="FE" w:sz="4" w:space="0"/>
        <w:bottom w:val="single" w:color="A5A5A5" w:themeColor="accent3" w:themeTint="FE" w:sz="4" w:space="0"/>
        <w:right w:val="single" w:color="A5A5A5" w:themeColor="accent3" w:themeTint="FE" w:sz="4" w:space="0"/>
        <w:insideH w:val="single" w:color="A5A5A5" w:themeColor="accent3" w:themeTint="FE" w:sz="4" w:space="0"/>
        <w:insideV w:val="single" w:color="A5A5A5" w:themeColor="accent3" w:themeTint="FE" w:sz="4" w:space="0"/>
      </w:tblBorders>
    </w:tblPr>
    <w:tblStylePr w:type="firstRow">
      <w:rPr>
        <w:b/>
        <w:color w:val="A5A5A5" w:themeColor="accent3"/>
        <w14:textFill>
          <w14:solidFill>
            <w14:schemeClr w14:val="accent3"/>
          </w14:solidFill>
        </w14:textFill>
      </w:rPr>
      <w:tcPr>
        <w:tcBorders>
          <w:bottom w:val="single" w:color="A5A5A5" w:themeColor="accent3" w:themeTint="FE" w:sz="12" w:space="0"/>
        </w:tcBorders>
      </w:tcPr>
    </w:tblStylePr>
    <w:tblStylePr w:type="lastRow">
      <w:rPr>
        <w:b/>
        <w:color w:val="A5A5A5" w:themeColor="accent3"/>
        <w14:textFill>
          <w14:solidFill>
            <w14:schemeClr w14:val="accent3"/>
          </w14:solidFill>
        </w14:textFill>
      </w:rPr>
    </w:tblStylePr>
    <w:tblStylePr w:type="firstCol">
      <w:rPr>
        <w:b/>
        <w:color w:val="A5A5A5" w:themeColor="accent3"/>
        <w14:textFill>
          <w14:solidFill>
            <w14:schemeClr w14:val="accent3"/>
          </w14:solidFill>
        </w14:textFill>
      </w:rPr>
    </w:tblStylePr>
    <w:tblStylePr w:type="lastCol">
      <w:rPr>
        <w:b/>
        <w:color w:val="A5A5A5" w:themeColor="accent3"/>
        <w14:textFill>
          <w14:solidFill>
            <w14:schemeClr w14:val="accent3"/>
          </w14:solidFill>
        </w14:textFill>
      </w:rPr>
    </w:tblStylePr>
    <w:tblStylePr w:type="band1Vert">
      <w:tcPr>
        <w:shd w:val="clear" w:color="FFFFFF" w:fill="auto"/>
      </w:tcPr>
    </w:tblStylePr>
    <w:tblStylePr w:type="band1Horz">
      <w:rPr>
        <w:rFonts w:ascii="Arial" w:hAnsi="Arial"/>
        <w:color w:val="A5A5A5" w:themeColor="accent3"/>
        <w:sz w:val="22"/>
        <w14:textFill>
          <w14:solidFill>
            <w14:schemeClr w14:val="accent3"/>
          </w14:solidFill>
        </w14:textFill>
      </w:rPr>
      <w:tcPr>
        <w:shd w:val="clear" w:color="FFFFFF" w:fill="auto"/>
      </w:tcPr>
    </w:tblStylePr>
    <w:tblStylePr w:type="band2Horz">
      <w:rPr>
        <w:rFonts w:ascii="Arial" w:hAnsi="Arial"/>
        <w:color w:val="A5A5A5" w:themeColor="accent3"/>
        <w:sz w:val="22"/>
        <w14:textFill>
          <w14:solidFill>
            <w14:schemeClr w14:val="accent3"/>
          </w14:solidFill>
        </w14:textFill>
      </w:rPr>
    </w:tblStylePr>
  </w:style>
  <w:style w:type="table" w:customStyle="1" w:styleId="133">
    <w:name w:val="Grid Table 6 Colorful - Accent 4"/>
    <w:basedOn w:val="37"/>
    <w:qFormat/>
    <w:uiPriority w:val="99"/>
    <w:tblPr>
      <w:tblBorders>
        <w:top w:val="single" w:color="FFD864" w:themeColor="accent4" w:themeTint="9A" w:sz="4" w:space="0"/>
        <w:left w:val="single" w:color="FFD864" w:themeColor="accent4" w:themeTint="9A" w:sz="4" w:space="0"/>
        <w:bottom w:val="single" w:color="FFD864" w:themeColor="accent4" w:themeTint="9A" w:sz="4" w:space="0"/>
        <w:right w:val="single" w:color="FFD864" w:themeColor="accent4" w:themeTint="9A" w:sz="4" w:space="0"/>
        <w:insideH w:val="single" w:color="FFD864" w:themeColor="accent4" w:themeTint="9A" w:sz="4" w:space="0"/>
        <w:insideV w:val="single" w:color="FFD864" w:themeColor="accent4" w:themeTint="9A" w:sz="4" w:space="0"/>
      </w:tblBorders>
    </w:tblPr>
    <w:tblStylePr w:type="firstRow">
      <w:rPr>
        <w:b/>
        <w:color w:val="FFD966" w:themeColor="accent4" w:themeTint="99"/>
        <w14:textFill>
          <w14:solidFill>
            <w14:schemeClr w14:val="accent4">
              <w14:lumMod w14:val="60000"/>
              <w14:lumOff w14:val="40000"/>
            </w14:schemeClr>
          </w14:solidFill>
        </w14:textFill>
      </w:rPr>
      <w:tcPr>
        <w:tcBorders>
          <w:bottom w:val="single" w:color="FFD864" w:themeColor="accent4" w:themeTint="9A" w:sz="12" w:space="0"/>
        </w:tcBorders>
      </w:tcPr>
    </w:tblStylePr>
    <w:tblStylePr w:type="lastRow">
      <w:rPr>
        <w:b/>
        <w:color w:val="FFD966" w:themeColor="accent4" w:themeTint="99"/>
        <w14:textFill>
          <w14:solidFill>
            <w14:schemeClr w14:val="accent4">
              <w14:lumMod w14:val="60000"/>
              <w14:lumOff w14:val="40000"/>
            </w14:schemeClr>
          </w14:solidFill>
        </w14:textFill>
      </w:rPr>
    </w:tblStylePr>
    <w:tblStylePr w:type="firstCol">
      <w:rPr>
        <w:b/>
        <w:color w:val="FFD966" w:themeColor="accent4" w:themeTint="99"/>
        <w14:textFill>
          <w14:solidFill>
            <w14:schemeClr w14:val="accent4">
              <w14:lumMod w14:val="60000"/>
              <w14:lumOff w14:val="40000"/>
            </w14:schemeClr>
          </w14:solidFill>
        </w14:textFill>
      </w:rPr>
    </w:tblStylePr>
    <w:tblStylePr w:type="lastCol">
      <w:rPr>
        <w:b/>
        <w:color w:val="FFD966" w:themeColor="accent4" w:themeTint="99"/>
        <w14:textFill>
          <w14:solidFill>
            <w14:schemeClr w14:val="accent4">
              <w14:lumMod w14:val="60000"/>
              <w14:lumOff w14:val="40000"/>
            </w14:schemeClr>
          </w14:solidFill>
        </w14:textFill>
      </w:rPr>
    </w:tblStylePr>
    <w:tblStylePr w:type="band1Vert">
      <w:tcPr>
        <w:shd w:val="clear" w:color="FFFFFF" w:fill="auto"/>
      </w:tcPr>
    </w:tblStylePr>
    <w:tblStylePr w:type="band1Horz">
      <w:rPr>
        <w:rFonts w:ascii="Arial" w:hAnsi="Arial"/>
        <w:color w:val="FFD966" w:themeColor="accent4" w:themeTint="99"/>
        <w:sz w:val="22"/>
        <w14:textFill>
          <w14:solidFill>
            <w14:schemeClr w14:val="accent4">
              <w14:lumMod w14:val="60000"/>
              <w14:lumOff w14:val="40000"/>
            </w14:schemeClr>
          </w14:solidFill>
        </w14:textFill>
      </w:rPr>
      <w:tcPr>
        <w:shd w:val="clear" w:color="FFFFFF" w:fill="auto"/>
      </w:tcPr>
    </w:tblStylePr>
    <w:tblStylePr w:type="band2Horz">
      <w:rPr>
        <w:rFonts w:ascii="Arial" w:hAnsi="Arial"/>
        <w:color w:val="FFD966" w:themeColor="accent4" w:themeTint="99"/>
        <w:sz w:val="22"/>
        <w14:textFill>
          <w14:solidFill>
            <w14:schemeClr w14:val="accent4">
              <w14:lumMod w14:val="60000"/>
              <w14:lumOff w14:val="40000"/>
            </w14:schemeClr>
          </w14:solidFill>
        </w14:textFill>
      </w:rPr>
    </w:tblStylePr>
  </w:style>
  <w:style w:type="table" w:customStyle="1" w:styleId="134">
    <w:name w:val="Grid Table 6 Colorful - Accent 5"/>
    <w:basedOn w:val="37"/>
    <w:qFormat/>
    <w:uiPriority w:val="99"/>
    <w:tblPr>
      <w:tblBorders>
        <w:top w:val="single" w:color="4472C4" w:themeColor="accent5" w:sz="4" w:space="0"/>
        <w:left w:val="single" w:color="4472C4" w:themeColor="accent5" w:sz="4" w:space="0"/>
        <w:bottom w:val="single" w:color="4472C4" w:themeColor="accent5" w:sz="4" w:space="0"/>
        <w:right w:val="single" w:color="4472C4" w:themeColor="accent5" w:sz="4" w:space="0"/>
        <w:insideH w:val="single" w:color="4472C4" w:themeColor="accent5" w:sz="4" w:space="0"/>
        <w:insideV w:val="single" w:color="4472C4" w:themeColor="accent5" w:sz="4" w:space="0"/>
      </w:tblBorders>
    </w:tblPr>
    <w:tblStylePr w:type="firstRow">
      <w:rPr>
        <w:b/>
        <w:color w:val="254174" w:themeColor="accent5" w:themeShade="94"/>
      </w:rPr>
      <w:tcPr>
        <w:tcBorders>
          <w:bottom w:val="single" w:color="4472C4" w:themeColor="accent5" w:sz="12" w:space="0"/>
        </w:tcBorders>
      </w:tcPr>
    </w:tblStylePr>
    <w:tblStylePr w:type="lastRow">
      <w:rPr>
        <w:b/>
        <w:color w:val="254174" w:themeColor="accent5" w:themeShade="94"/>
      </w:rPr>
    </w:tblStylePr>
    <w:tblStylePr w:type="firstCol">
      <w:rPr>
        <w:b/>
        <w:color w:val="254174" w:themeColor="accent5" w:themeShade="94"/>
      </w:rPr>
    </w:tblStylePr>
    <w:tblStylePr w:type="lastCol">
      <w:rPr>
        <w:b/>
        <w:color w:val="254174" w:themeColor="accent5" w:themeShade="94"/>
      </w:rPr>
    </w:tblStylePr>
    <w:tblStylePr w:type="band1Vert">
      <w:tcPr>
        <w:shd w:val="clear" w:color="FFFFFF" w:fill="auto"/>
      </w:tcPr>
    </w:tblStylePr>
    <w:tblStylePr w:type="band1Horz">
      <w:rPr>
        <w:rFonts w:ascii="Arial" w:hAnsi="Arial"/>
        <w:color w:val="254174" w:themeColor="accent5" w:themeShade="94"/>
        <w:sz w:val="22"/>
      </w:rPr>
      <w:tcPr>
        <w:shd w:val="clear" w:color="FFFFFF" w:fill="auto"/>
      </w:tcPr>
    </w:tblStylePr>
    <w:tblStylePr w:type="band2Horz">
      <w:rPr>
        <w:rFonts w:ascii="Arial" w:hAnsi="Arial"/>
        <w:color w:val="254174" w:themeColor="accent5" w:themeShade="94"/>
        <w:sz w:val="22"/>
      </w:rPr>
    </w:tblStylePr>
  </w:style>
  <w:style w:type="table" w:customStyle="1" w:styleId="135">
    <w:name w:val="Grid Table 6 Colorful - Accent 6"/>
    <w:basedOn w:val="37"/>
    <w:qFormat/>
    <w:uiPriority w:val="99"/>
    <w:tblPr>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Pr>
    <w:tblStylePr w:type="firstRow">
      <w:rPr>
        <w:b/>
        <w:color w:val="254174" w:themeColor="accent5" w:themeShade="94"/>
      </w:rPr>
      <w:tcPr>
        <w:tcBorders>
          <w:bottom w:val="single" w:color="70AD47" w:themeColor="accent6" w:sz="12" w:space="0"/>
        </w:tcBorders>
      </w:tcPr>
    </w:tblStylePr>
    <w:tblStylePr w:type="lastRow">
      <w:rPr>
        <w:b/>
        <w:color w:val="254174" w:themeColor="accent5" w:themeShade="94"/>
      </w:rPr>
    </w:tblStylePr>
    <w:tblStylePr w:type="firstCol">
      <w:rPr>
        <w:b/>
        <w:color w:val="254174" w:themeColor="accent5" w:themeShade="94"/>
      </w:rPr>
    </w:tblStylePr>
    <w:tblStylePr w:type="lastCol">
      <w:rPr>
        <w:b/>
        <w:color w:val="254174" w:themeColor="accent5" w:themeShade="94"/>
      </w:rPr>
    </w:tblStylePr>
    <w:tblStylePr w:type="band1Vert">
      <w:tcPr>
        <w:shd w:val="clear" w:color="FFFFFF" w:fill="auto"/>
      </w:tcPr>
    </w:tblStylePr>
    <w:tblStylePr w:type="band1Horz">
      <w:rPr>
        <w:rFonts w:ascii="Arial" w:hAnsi="Arial"/>
        <w:color w:val="254174" w:themeColor="accent5" w:themeShade="94"/>
        <w:sz w:val="22"/>
      </w:rPr>
      <w:tcPr>
        <w:shd w:val="clear" w:color="FFFFFF" w:fill="auto"/>
      </w:tcPr>
    </w:tblStylePr>
    <w:tblStylePr w:type="band2Horz">
      <w:rPr>
        <w:rFonts w:ascii="Arial" w:hAnsi="Arial"/>
        <w:color w:val="254174" w:themeColor="accent5" w:themeShade="94"/>
        <w:sz w:val="22"/>
      </w:rPr>
    </w:tblStylePr>
  </w:style>
  <w:style w:type="table" w:customStyle="1" w:styleId="136">
    <w:name w:val="网格表 7 彩色1"/>
    <w:basedOn w:val="37"/>
    <w:qFormat/>
    <w:uiPriority w:val="99"/>
    <w:tblPr>
      <w:tblBorders>
        <w:bottom w:val="single" w:color="7E7E7E" w:themeColor="text1" w:themeTint="80" w:sz="4" w:space="0"/>
        <w:right w:val="single" w:color="7E7E7E" w:themeColor="text1" w:themeTint="80" w:sz="4" w:space="0"/>
        <w:insideH w:val="single" w:color="7E7E7E" w:themeColor="text1" w:themeTint="80" w:sz="4" w:space="0"/>
        <w:insideV w:val="single" w:color="7E7E7E" w:themeColor="text1" w:themeTint="80" w:sz="4" w:space="0"/>
      </w:tblBorders>
    </w:tblPr>
    <w:tblStylePr w:type="firstRow">
      <w:rPr>
        <w:rFonts w:ascii="Arial" w:hAnsi="Arial"/>
        <w:b/>
        <w:color w:val="808080" w:themeColor="text1" w:themeTint="80"/>
        <w:sz w:val="22"/>
        <w14:textFill>
          <w14:solidFill>
            <w14:schemeClr w14:val="tx1">
              <w14:lumMod w14:val="50000"/>
              <w14:lumOff w14:val="50000"/>
            </w14:schemeClr>
          </w14:solidFill>
        </w14:textFill>
      </w:rPr>
      <w:tcPr>
        <w:tcBorders>
          <w:top w:val="nil"/>
          <w:left w:val="nil"/>
          <w:bottom w:val="single" w:color="7E7E7E" w:themeColor="text1" w:themeTint="80" w:sz="4" w:space="0"/>
          <w:right w:val="nil"/>
        </w:tcBorders>
        <w:shd w:val="clear" w:color="FFFFFF" w:fill="FFFFFF"/>
      </w:tcPr>
    </w:tblStylePr>
    <w:tblStylePr w:type="lastRow">
      <w:rPr>
        <w:rFonts w:ascii="Arial" w:hAnsi="Arial"/>
        <w:b/>
        <w:color w:val="808080" w:themeColor="text1" w:themeTint="80"/>
        <w:sz w:val="22"/>
        <w14:textFill>
          <w14:solidFill>
            <w14:schemeClr w14:val="tx1">
              <w14:lumMod w14:val="50000"/>
              <w14:lumOff w14:val="50000"/>
            </w14:schemeClr>
          </w14:solidFill>
        </w14:textFill>
      </w:rPr>
      <w:tcPr>
        <w:tcBorders>
          <w:top w:val="single" w:color="7E7E7E" w:themeColor="text1" w:themeTint="80" w:sz="4" w:space="0"/>
          <w:left w:val="nil"/>
          <w:bottom w:val="nil"/>
          <w:right w:val="nil"/>
        </w:tcBorders>
        <w:shd w:val="clear" w:color="FFFFFF" w:fill="FFFFFF"/>
      </w:tcPr>
    </w:tblStylePr>
    <w:tblStylePr w:type="firstCol">
      <w:pPr>
        <w:jc w:val="right"/>
      </w:pPr>
      <w:rPr>
        <w:rFonts w:ascii="Arial" w:hAnsi="Arial"/>
        <w:i/>
        <w:color w:val="808080" w:themeColor="text1" w:themeTint="80"/>
        <w:sz w:val="22"/>
        <w14:textFill>
          <w14:solidFill>
            <w14:schemeClr w14:val="tx1">
              <w14:lumMod w14:val="50000"/>
              <w14:lumOff w14:val="50000"/>
            </w14:schemeClr>
          </w14:solidFill>
        </w14:textFill>
      </w:rPr>
      <w:tcPr>
        <w:tcBorders>
          <w:top w:val="nil"/>
          <w:left w:val="nil"/>
          <w:bottom w:val="nil"/>
          <w:right w:val="single" w:color="7E7E7E" w:themeColor="text1" w:themeTint="80" w:sz="4" w:space="0"/>
        </w:tcBorders>
        <w:shd w:val="clear" w:color="FFFFFF" w:fill="auto"/>
      </w:tcPr>
    </w:tblStylePr>
    <w:tblStylePr w:type="lastCol">
      <w:rPr>
        <w:rFonts w:ascii="Arial" w:hAnsi="Arial"/>
        <w:i/>
        <w:color w:val="808080" w:themeColor="text1" w:themeTint="80"/>
        <w:sz w:val="22"/>
        <w14:textFill>
          <w14:solidFill>
            <w14:schemeClr w14:val="tx1">
              <w14:lumMod w14:val="50000"/>
              <w14:lumOff w14:val="50000"/>
            </w14:schemeClr>
          </w14:solidFill>
        </w14:textFill>
      </w:rPr>
      <w:tcPr>
        <w:tcBorders>
          <w:top w:val="nil"/>
          <w:left w:val="single" w:color="7E7E7E" w:themeColor="text1" w:themeTint="80" w:sz="4" w:space="0"/>
          <w:bottom w:val="nil"/>
          <w:right w:val="nil"/>
        </w:tcBorders>
        <w:shd w:val="clear" w:color="FFFFFF" w:fill="auto"/>
      </w:tcPr>
    </w:tblStylePr>
    <w:tblStylePr w:type="band1Vert">
      <w:tcPr>
        <w:shd w:val="clear" w:color="F2F2F2" w:fill="F2F2F2"/>
      </w:tcPr>
    </w:tblStylePr>
    <w:tblStylePr w:type="band1Horz">
      <w:rPr>
        <w:rFonts w:ascii="Arial" w:hAnsi="Arial"/>
        <w:color w:val="808080" w:themeColor="text1" w:themeTint="80"/>
        <w:sz w:val="22"/>
        <w14:textFill>
          <w14:solidFill>
            <w14:schemeClr w14:val="tx1">
              <w14:lumMod w14:val="50000"/>
              <w14:lumOff w14:val="50000"/>
            </w14:schemeClr>
          </w14:solidFill>
        </w14:textFill>
      </w:rPr>
      <w:tcPr>
        <w:shd w:val="clear" w:color="F2F2F2" w:fill="F2F2F2"/>
      </w:tcPr>
    </w:tblStylePr>
    <w:tblStylePr w:type="band2Horz">
      <w:rPr>
        <w:rFonts w:ascii="Arial" w:hAnsi="Arial"/>
        <w:color w:val="808080" w:themeColor="text1" w:themeTint="80"/>
        <w:sz w:val="22"/>
        <w14:textFill>
          <w14:solidFill>
            <w14:schemeClr w14:val="tx1">
              <w14:lumMod w14:val="50000"/>
              <w14:lumOff w14:val="50000"/>
            </w14:schemeClr>
          </w14:solidFill>
        </w14:textFill>
      </w:rPr>
    </w:tblStylePr>
  </w:style>
  <w:style w:type="table" w:customStyle="1" w:styleId="137">
    <w:name w:val="Grid Table 7 Colorful - Accent 1"/>
    <w:basedOn w:val="37"/>
    <w:qFormat/>
    <w:uiPriority w:val="99"/>
    <w:tblPr>
      <w:tblBorders>
        <w:bottom w:val="single" w:color="ACCCE9" w:themeColor="accent1" w:themeTint="80" w:sz="4" w:space="0"/>
        <w:right w:val="single" w:color="ACCCE9" w:themeColor="accent1" w:themeTint="80" w:sz="4" w:space="0"/>
        <w:insideH w:val="single" w:color="ACCCE9" w:themeColor="accent1" w:themeTint="80" w:sz="4" w:space="0"/>
        <w:insideV w:val="single" w:color="ACCCE9" w:themeColor="accent1" w:themeTint="80" w:sz="4" w:space="0"/>
      </w:tblBorders>
    </w:tblPr>
    <w:tblStylePr w:type="firstRow">
      <w:rPr>
        <w:rFonts w:ascii="Arial" w:hAnsi="Arial"/>
        <w:b/>
        <w:color w:val="ADCDEA" w:themeColor="accent1" w:themeTint="80"/>
        <w:sz w:val="22"/>
        <w14:textFill>
          <w14:solidFill>
            <w14:schemeClr w14:val="accent1">
              <w14:lumMod w14:val="50000"/>
              <w14:lumOff w14:val="50000"/>
            </w14:schemeClr>
          </w14:solidFill>
        </w14:textFill>
      </w:rPr>
      <w:tcPr>
        <w:tcBorders>
          <w:top w:val="nil"/>
          <w:left w:val="nil"/>
          <w:bottom w:val="single" w:color="ACCCE9" w:themeColor="accent1" w:themeTint="80" w:sz="4" w:space="0"/>
          <w:right w:val="nil"/>
        </w:tcBorders>
        <w:shd w:val="clear" w:color="FFFFFF" w:fill="auto"/>
      </w:tcPr>
    </w:tblStylePr>
    <w:tblStylePr w:type="lastRow">
      <w:rPr>
        <w:rFonts w:ascii="Arial" w:hAnsi="Arial"/>
        <w:b/>
        <w:color w:val="ADCDEA" w:themeColor="accent1" w:themeTint="80"/>
        <w:sz w:val="22"/>
        <w14:textFill>
          <w14:solidFill>
            <w14:schemeClr w14:val="accent1">
              <w14:lumMod w14:val="50000"/>
              <w14:lumOff w14:val="50000"/>
            </w14:schemeClr>
          </w14:solidFill>
        </w14:textFill>
      </w:rPr>
      <w:tcPr>
        <w:tcBorders>
          <w:top w:val="single" w:color="ACCCE9" w:themeColor="accent1" w:themeTint="80" w:sz="4" w:space="0"/>
          <w:left w:val="nil"/>
          <w:bottom w:val="nil"/>
          <w:right w:val="nil"/>
        </w:tcBorders>
        <w:shd w:val="clear" w:color="FFFFFF" w:fill="auto"/>
      </w:tcPr>
    </w:tblStylePr>
    <w:tblStylePr w:type="firstCol">
      <w:pPr>
        <w:jc w:val="right"/>
      </w:pPr>
      <w:rPr>
        <w:rFonts w:ascii="Arial" w:hAnsi="Arial"/>
        <w:i/>
        <w:color w:val="ADCDEA" w:themeColor="accent1" w:themeTint="80"/>
        <w:sz w:val="22"/>
        <w14:textFill>
          <w14:solidFill>
            <w14:schemeClr w14:val="accent1">
              <w14:lumMod w14:val="50000"/>
              <w14:lumOff w14:val="50000"/>
            </w14:schemeClr>
          </w14:solidFill>
        </w14:textFill>
      </w:rPr>
      <w:tcPr>
        <w:tcBorders>
          <w:top w:val="nil"/>
          <w:left w:val="nil"/>
          <w:bottom w:val="nil"/>
          <w:right w:val="single" w:color="ACCCE9" w:themeColor="accent1" w:themeTint="80" w:sz="4" w:space="0"/>
        </w:tcBorders>
        <w:shd w:val="clear" w:color="FFFFFF" w:fill="auto"/>
      </w:tcPr>
    </w:tblStylePr>
    <w:tblStylePr w:type="lastCol">
      <w:rPr>
        <w:rFonts w:ascii="Arial" w:hAnsi="Arial"/>
        <w:i/>
        <w:color w:val="ADCDEA" w:themeColor="accent1" w:themeTint="80"/>
        <w:sz w:val="22"/>
        <w14:textFill>
          <w14:solidFill>
            <w14:schemeClr w14:val="accent1">
              <w14:lumMod w14:val="50000"/>
              <w14:lumOff w14:val="50000"/>
            </w14:schemeClr>
          </w14:solidFill>
        </w14:textFill>
      </w:rPr>
      <w:tcPr>
        <w:tcBorders>
          <w:top w:val="nil"/>
          <w:left w:val="single" w:color="ACCCE9" w:themeColor="accent1" w:themeTint="80" w:sz="4" w:space="0"/>
          <w:bottom w:val="nil"/>
          <w:right w:val="nil"/>
        </w:tcBorders>
        <w:shd w:val="clear" w:color="FFFFFF" w:fill="auto"/>
      </w:tcPr>
    </w:tblStylePr>
    <w:tblStylePr w:type="band1Vert">
      <w:tcPr>
        <w:shd w:val="clear" w:color="FFFFFF" w:fill="auto"/>
      </w:tcPr>
    </w:tblStylePr>
    <w:tblStylePr w:type="band1Horz">
      <w:rPr>
        <w:rFonts w:ascii="Arial" w:hAnsi="Arial"/>
        <w:color w:val="ADCDEA" w:themeColor="accent1" w:themeTint="80"/>
        <w:sz w:val="22"/>
        <w14:textFill>
          <w14:solidFill>
            <w14:schemeClr w14:val="accent1">
              <w14:lumMod w14:val="50000"/>
              <w14:lumOff w14:val="50000"/>
            </w14:schemeClr>
          </w14:solidFill>
        </w14:textFill>
      </w:rPr>
      <w:tcPr>
        <w:shd w:val="clear" w:color="FFFFFF" w:fill="auto"/>
      </w:tcPr>
    </w:tblStylePr>
    <w:tblStylePr w:type="band2Horz">
      <w:rPr>
        <w:rFonts w:ascii="Arial" w:hAnsi="Arial"/>
        <w:color w:val="ADCDEA" w:themeColor="accent1" w:themeTint="80"/>
        <w:sz w:val="22"/>
        <w14:textFill>
          <w14:solidFill>
            <w14:schemeClr w14:val="accent1">
              <w14:lumMod w14:val="50000"/>
              <w14:lumOff w14:val="50000"/>
            </w14:schemeClr>
          </w14:solidFill>
        </w14:textFill>
      </w:rPr>
    </w:tblStylePr>
  </w:style>
  <w:style w:type="table" w:customStyle="1" w:styleId="138">
    <w:name w:val="Grid Table 7 Colorful - Accent 2"/>
    <w:basedOn w:val="37"/>
    <w:qFormat/>
    <w:uiPriority w:val="99"/>
    <w:tblPr>
      <w:tblBorders>
        <w:bottom w:val="single" w:color="F4B285" w:themeColor="accent2" w:themeTint="97" w:sz="4" w:space="0"/>
        <w:right w:val="single" w:color="F4B285" w:themeColor="accent2" w:themeTint="97" w:sz="4" w:space="0"/>
        <w:insideH w:val="single" w:color="F4B285" w:themeColor="accent2" w:themeTint="97" w:sz="4" w:space="0"/>
        <w:insideV w:val="single" w:color="F4B285" w:themeColor="accent2" w:themeTint="97" w:sz="4" w:space="0"/>
      </w:tblBorders>
    </w:tblPr>
    <w:tblStylePr w:type="firstRow">
      <w:rPr>
        <w:rFonts w:ascii="Arial" w:hAnsi="Arial"/>
        <w:b/>
        <w:color w:val="F4B285" w:themeColor="accent2" w:themeTint="96"/>
        <w:sz w:val="22"/>
        <w14:textFill>
          <w14:solidFill>
            <w14:schemeClr w14:val="accent2">
              <w14:lumMod w14:val="59000"/>
              <w14:lumOff w14:val="41000"/>
            </w14:schemeClr>
          </w14:solidFill>
        </w14:textFill>
      </w:rPr>
      <w:tcPr>
        <w:tcBorders>
          <w:top w:val="nil"/>
          <w:left w:val="nil"/>
          <w:bottom w:val="single" w:color="F4B285" w:themeColor="accent2" w:themeTint="97" w:sz="4" w:space="0"/>
          <w:right w:val="nil"/>
        </w:tcBorders>
        <w:shd w:val="clear" w:color="FFFFFF" w:fill="auto"/>
      </w:tcPr>
    </w:tblStylePr>
    <w:tblStylePr w:type="lastRow">
      <w:rPr>
        <w:rFonts w:ascii="Arial" w:hAnsi="Arial"/>
        <w:b/>
        <w:color w:val="F4B285" w:themeColor="accent2" w:themeTint="96"/>
        <w:sz w:val="22"/>
        <w14:textFill>
          <w14:solidFill>
            <w14:schemeClr w14:val="accent2">
              <w14:lumMod w14:val="59000"/>
              <w14:lumOff w14:val="41000"/>
            </w14:schemeClr>
          </w14:solidFill>
        </w14:textFill>
      </w:rPr>
      <w:tcPr>
        <w:tcBorders>
          <w:top w:val="single" w:color="F4B285" w:themeColor="accent2" w:themeTint="97" w:sz="4" w:space="0"/>
          <w:left w:val="nil"/>
          <w:bottom w:val="nil"/>
          <w:right w:val="nil"/>
        </w:tcBorders>
        <w:shd w:val="clear" w:color="FFFFFF" w:fill="auto"/>
      </w:tcPr>
    </w:tblStylePr>
    <w:tblStylePr w:type="firstCol">
      <w:pPr>
        <w:jc w:val="right"/>
      </w:pPr>
      <w:rPr>
        <w:rFonts w:ascii="Arial" w:hAnsi="Arial"/>
        <w:i/>
        <w:color w:val="F4B285" w:themeColor="accent2" w:themeTint="96"/>
        <w:sz w:val="22"/>
        <w14:textFill>
          <w14:solidFill>
            <w14:schemeClr w14:val="accent2">
              <w14:lumMod w14:val="59000"/>
              <w14:lumOff w14:val="41000"/>
            </w14:schemeClr>
          </w14:solidFill>
        </w14:textFill>
      </w:rPr>
      <w:tcPr>
        <w:tcBorders>
          <w:top w:val="nil"/>
          <w:left w:val="nil"/>
          <w:bottom w:val="nil"/>
          <w:right w:val="single" w:color="F4B285" w:themeColor="accent2" w:themeTint="97" w:sz="4" w:space="0"/>
        </w:tcBorders>
        <w:shd w:val="clear" w:color="FFFFFF" w:fill="auto"/>
      </w:tcPr>
    </w:tblStylePr>
    <w:tblStylePr w:type="lastCol">
      <w:rPr>
        <w:rFonts w:ascii="Arial" w:hAnsi="Arial"/>
        <w:i/>
        <w:color w:val="F4B285" w:themeColor="accent2" w:themeTint="96"/>
        <w:sz w:val="22"/>
        <w14:textFill>
          <w14:solidFill>
            <w14:schemeClr w14:val="accent2">
              <w14:lumMod w14:val="59000"/>
              <w14:lumOff w14:val="41000"/>
            </w14:schemeClr>
          </w14:solidFill>
        </w14:textFill>
      </w:rPr>
      <w:tcPr>
        <w:tcBorders>
          <w:top w:val="nil"/>
          <w:left w:val="single" w:color="F4B285" w:themeColor="accent2" w:themeTint="97" w:sz="4" w:space="0"/>
          <w:bottom w:val="nil"/>
          <w:right w:val="nil"/>
        </w:tcBorders>
        <w:shd w:val="clear" w:color="FFFFFF" w:fill="auto"/>
      </w:tcPr>
    </w:tblStylePr>
    <w:tblStylePr w:type="band1Vert">
      <w:tcPr>
        <w:shd w:val="clear" w:color="FFFFFF" w:fill="auto"/>
      </w:tcPr>
    </w:tblStylePr>
    <w:tblStylePr w:type="band1Horz">
      <w:rPr>
        <w:rFonts w:ascii="Arial" w:hAnsi="Arial"/>
        <w:color w:val="F4B285" w:themeColor="accent2" w:themeTint="96"/>
        <w:sz w:val="22"/>
        <w14:textFill>
          <w14:solidFill>
            <w14:schemeClr w14:val="accent2">
              <w14:lumMod w14:val="59000"/>
              <w14:lumOff w14:val="41000"/>
            </w14:schemeClr>
          </w14:solidFill>
        </w14:textFill>
      </w:rPr>
      <w:tcPr>
        <w:shd w:val="clear" w:color="FFFFFF" w:fill="auto"/>
      </w:tcPr>
    </w:tblStylePr>
    <w:tblStylePr w:type="band2Horz">
      <w:rPr>
        <w:rFonts w:ascii="Arial" w:hAnsi="Arial"/>
        <w:color w:val="F4B285" w:themeColor="accent2" w:themeTint="96"/>
        <w:sz w:val="22"/>
        <w14:textFill>
          <w14:solidFill>
            <w14:schemeClr w14:val="accent2">
              <w14:lumMod w14:val="59000"/>
              <w14:lumOff w14:val="41000"/>
            </w14:schemeClr>
          </w14:solidFill>
        </w14:textFill>
      </w:rPr>
    </w:tblStylePr>
  </w:style>
  <w:style w:type="table" w:customStyle="1" w:styleId="139">
    <w:name w:val="Grid Table 7 Colorful - Accent 3"/>
    <w:basedOn w:val="37"/>
    <w:qFormat/>
    <w:uiPriority w:val="99"/>
    <w:tblPr>
      <w:tblBorders>
        <w:bottom w:val="single" w:color="A5A5A5" w:themeColor="accent3" w:themeTint="FE" w:sz="4" w:space="0"/>
        <w:right w:val="single" w:color="A5A5A5" w:themeColor="accent3" w:themeTint="FE" w:sz="4" w:space="0"/>
        <w:insideH w:val="single" w:color="A5A5A5" w:themeColor="accent3" w:themeTint="FE" w:sz="4" w:space="0"/>
        <w:insideV w:val="single" w:color="A5A5A5" w:themeColor="accent3" w:themeTint="FE" w:sz="4" w:space="0"/>
      </w:tblBorders>
    </w:tblPr>
    <w:tblStylePr w:type="firstRow">
      <w:rPr>
        <w:rFonts w:ascii="Arial" w:hAnsi="Arial"/>
        <w:b/>
        <w:color w:val="A5A5A5" w:themeColor="accent3"/>
        <w:sz w:val="22"/>
        <w14:textFill>
          <w14:solidFill>
            <w14:schemeClr w14:val="accent3"/>
          </w14:solidFill>
        </w14:textFill>
      </w:rPr>
      <w:tcPr>
        <w:tcBorders>
          <w:top w:val="nil"/>
          <w:left w:val="nil"/>
          <w:bottom w:val="single" w:color="A5A5A5" w:themeColor="accent3" w:themeTint="FE" w:sz="4" w:space="0"/>
          <w:right w:val="nil"/>
        </w:tcBorders>
        <w:shd w:val="clear" w:color="FFFFFF" w:fill="auto"/>
      </w:tcPr>
    </w:tblStylePr>
    <w:tblStylePr w:type="lastRow">
      <w:rPr>
        <w:rFonts w:ascii="Arial" w:hAnsi="Arial"/>
        <w:b/>
        <w:color w:val="A5A5A5" w:themeColor="accent3"/>
        <w:sz w:val="22"/>
        <w14:textFill>
          <w14:solidFill>
            <w14:schemeClr w14:val="accent3"/>
          </w14:solidFill>
        </w14:textFill>
      </w:rPr>
      <w:tcPr>
        <w:tcBorders>
          <w:top w:val="single" w:color="A5A5A5" w:themeColor="accent3" w:themeTint="FE" w:sz="4" w:space="0"/>
          <w:left w:val="nil"/>
          <w:bottom w:val="nil"/>
          <w:right w:val="nil"/>
        </w:tcBorders>
        <w:shd w:val="clear" w:color="FFFFFF" w:fill="auto"/>
      </w:tcPr>
    </w:tblStylePr>
    <w:tblStylePr w:type="firstCol">
      <w:pPr>
        <w:jc w:val="right"/>
      </w:pPr>
      <w:rPr>
        <w:rFonts w:ascii="Arial" w:hAnsi="Arial"/>
        <w:i/>
        <w:color w:val="A5A5A5" w:themeColor="accent3"/>
        <w:sz w:val="22"/>
        <w14:textFill>
          <w14:solidFill>
            <w14:schemeClr w14:val="accent3"/>
          </w14:solidFill>
        </w14:textFill>
      </w:rPr>
      <w:tcPr>
        <w:tcBorders>
          <w:top w:val="nil"/>
          <w:left w:val="nil"/>
          <w:bottom w:val="nil"/>
          <w:right w:val="single" w:color="A5A5A5" w:themeColor="accent3" w:themeTint="FE" w:sz="4" w:space="0"/>
        </w:tcBorders>
        <w:shd w:val="clear" w:color="FFFFFF" w:fill="auto"/>
      </w:tcPr>
    </w:tblStylePr>
    <w:tblStylePr w:type="lastCol">
      <w:rPr>
        <w:rFonts w:ascii="Arial" w:hAnsi="Arial"/>
        <w:i/>
        <w:color w:val="A5A5A5" w:themeColor="accent3"/>
        <w:sz w:val="22"/>
        <w14:textFill>
          <w14:solidFill>
            <w14:schemeClr w14:val="accent3"/>
          </w14:solidFill>
        </w14:textFill>
      </w:rPr>
      <w:tcPr>
        <w:tcBorders>
          <w:top w:val="nil"/>
          <w:left w:val="single" w:color="A5A5A5" w:themeColor="accent3" w:themeTint="FE" w:sz="4" w:space="0"/>
          <w:bottom w:val="nil"/>
          <w:right w:val="nil"/>
        </w:tcBorders>
        <w:shd w:val="clear" w:color="FFFFFF" w:fill="auto"/>
      </w:tcPr>
    </w:tblStylePr>
    <w:tblStylePr w:type="band1Vert">
      <w:tcPr>
        <w:shd w:val="clear" w:color="FFFFFF" w:fill="auto"/>
      </w:tcPr>
    </w:tblStylePr>
    <w:tblStylePr w:type="band1Horz">
      <w:rPr>
        <w:rFonts w:ascii="Arial" w:hAnsi="Arial"/>
        <w:color w:val="A5A5A5" w:themeColor="accent3"/>
        <w:sz w:val="22"/>
        <w14:textFill>
          <w14:solidFill>
            <w14:schemeClr w14:val="accent3"/>
          </w14:solidFill>
        </w14:textFill>
      </w:rPr>
      <w:tcPr>
        <w:shd w:val="clear" w:color="FFFFFF" w:fill="auto"/>
      </w:tcPr>
    </w:tblStylePr>
    <w:tblStylePr w:type="band2Horz">
      <w:rPr>
        <w:rFonts w:ascii="Arial" w:hAnsi="Arial"/>
        <w:color w:val="A5A5A5" w:themeColor="accent3"/>
        <w:sz w:val="22"/>
        <w14:textFill>
          <w14:solidFill>
            <w14:schemeClr w14:val="accent3"/>
          </w14:solidFill>
        </w14:textFill>
      </w:rPr>
    </w:tblStylePr>
  </w:style>
  <w:style w:type="table" w:customStyle="1" w:styleId="140">
    <w:name w:val="Grid Table 7 Colorful - Accent 4"/>
    <w:basedOn w:val="37"/>
    <w:qFormat/>
    <w:uiPriority w:val="99"/>
    <w:tblPr>
      <w:tblBorders>
        <w:bottom w:val="single" w:color="FFD864" w:themeColor="accent4" w:themeTint="9A" w:sz="4" w:space="0"/>
        <w:right w:val="single" w:color="FFD864" w:themeColor="accent4" w:themeTint="9A" w:sz="4" w:space="0"/>
        <w:insideH w:val="single" w:color="FFD864" w:themeColor="accent4" w:themeTint="9A" w:sz="4" w:space="0"/>
        <w:insideV w:val="single" w:color="FFD864" w:themeColor="accent4" w:themeTint="9A" w:sz="4" w:space="0"/>
      </w:tblBorders>
    </w:tblPr>
    <w:tblStylePr w:type="firstRow">
      <w:rPr>
        <w:rFonts w:ascii="Arial" w:hAnsi="Arial"/>
        <w:b/>
        <w:color w:val="FFD966" w:themeColor="accent4" w:themeTint="99"/>
        <w:sz w:val="22"/>
        <w14:textFill>
          <w14:solidFill>
            <w14:schemeClr w14:val="accent4">
              <w14:lumMod w14:val="60000"/>
              <w14:lumOff w14:val="40000"/>
            </w14:schemeClr>
          </w14:solidFill>
        </w14:textFill>
      </w:rPr>
      <w:tcPr>
        <w:tcBorders>
          <w:top w:val="nil"/>
          <w:left w:val="nil"/>
          <w:bottom w:val="single" w:color="FFD864" w:themeColor="accent4" w:themeTint="9A" w:sz="4" w:space="0"/>
          <w:right w:val="nil"/>
        </w:tcBorders>
        <w:shd w:val="clear" w:color="FFFFFF" w:fill="auto"/>
      </w:tcPr>
    </w:tblStylePr>
    <w:tblStylePr w:type="lastRow">
      <w:rPr>
        <w:rFonts w:ascii="Arial" w:hAnsi="Arial"/>
        <w:b/>
        <w:color w:val="FFD966" w:themeColor="accent4" w:themeTint="99"/>
        <w:sz w:val="22"/>
        <w14:textFill>
          <w14:solidFill>
            <w14:schemeClr w14:val="accent4">
              <w14:lumMod w14:val="60000"/>
              <w14:lumOff w14:val="40000"/>
            </w14:schemeClr>
          </w14:solidFill>
        </w14:textFill>
      </w:rPr>
      <w:tcPr>
        <w:tcBorders>
          <w:top w:val="single" w:color="FFD864" w:themeColor="accent4" w:themeTint="9A" w:sz="4" w:space="0"/>
          <w:left w:val="nil"/>
          <w:bottom w:val="nil"/>
          <w:right w:val="nil"/>
        </w:tcBorders>
        <w:shd w:val="clear" w:color="FFFFFF" w:fill="auto"/>
      </w:tcPr>
    </w:tblStylePr>
    <w:tblStylePr w:type="firstCol">
      <w:pPr>
        <w:jc w:val="right"/>
      </w:pPr>
      <w:rPr>
        <w:rFonts w:ascii="Arial" w:hAnsi="Arial"/>
        <w:i/>
        <w:color w:val="FFD966" w:themeColor="accent4" w:themeTint="99"/>
        <w:sz w:val="22"/>
        <w14:textFill>
          <w14:solidFill>
            <w14:schemeClr w14:val="accent4">
              <w14:lumMod w14:val="60000"/>
              <w14:lumOff w14:val="40000"/>
            </w14:schemeClr>
          </w14:solidFill>
        </w14:textFill>
      </w:rPr>
      <w:tcPr>
        <w:tcBorders>
          <w:top w:val="nil"/>
          <w:left w:val="nil"/>
          <w:bottom w:val="nil"/>
          <w:right w:val="single" w:color="FFD864" w:themeColor="accent4" w:themeTint="9A" w:sz="4" w:space="0"/>
        </w:tcBorders>
        <w:shd w:val="clear" w:color="FFFFFF" w:fill="auto"/>
      </w:tcPr>
    </w:tblStylePr>
    <w:tblStylePr w:type="lastCol">
      <w:rPr>
        <w:rFonts w:ascii="Arial" w:hAnsi="Arial"/>
        <w:i/>
        <w:color w:val="FFD966" w:themeColor="accent4" w:themeTint="99"/>
        <w:sz w:val="22"/>
        <w14:textFill>
          <w14:solidFill>
            <w14:schemeClr w14:val="accent4">
              <w14:lumMod w14:val="60000"/>
              <w14:lumOff w14:val="40000"/>
            </w14:schemeClr>
          </w14:solidFill>
        </w14:textFill>
      </w:rPr>
      <w:tcPr>
        <w:tcBorders>
          <w:top w:val="nil"/>
          <w:left w:val="single" w:color="FFD864" w:themeColor="accent4" w:themeTint="9A" w:sz="4" w:space="0"/>
          <w:bottom w:val="nil"/>
          <w:right w:val="nil"/>
        </w:tcBorders>
        <w:shd w:val="clear" w:color="FFFFFF" w:fill="auto"/>
      </w:tcPr>
    </w:tblStylePr>
    <w:tblStylePr w:type="band1Vert">
      <w:tcPr>
        <w:shd w:val="clear" w:color="FFFFFF" w:fill="auto"/>
      </w:tcPr>
    </w:tblStylePr>
    <w:tblStylePr w:type="band1Horz">
      <w:rPr>
        <w:rFonts w:ascii="Arial" w:hAnsi="Arial"/>
        <w:color w:val="FFD966" w:themeColor="accent4" w:themeTint="99"/>
        <w:sz w:val="22"/>
        <w14:textFill>
          <w14:solidFill>
            <w14:schemeClr w14:val="accent4">
              <w14:lumMod w14:val="60000"/>
              <w14:lumOff w14:val="40000"/>
            </w14:schemeClr>
          </w14:solidFill>
        </w14:textFill>
      </w:rPr>
      <w:tcPr>
        <w:shd w:val="clear" w:color="FFFFFF" w:fill="auto"/>
      </w:tcPr>
    </w:tblStylePr>
    <w:tblStylePr w:type="band2Horz">
      <w:rPr>
        <w:rFonts w:ascii="Arial" w:hAnsi="Arial"/>
        <w:color w:val="FFD966" w:themeColor="accent4" w:themeTint="99"/>
        <w:sz w:val="22"/>
        <w14:textFill>
          <w14:solidFill>
            <w14:schemeClr w14:val="accent4">
              <w14:lumMod w14:val="60000"/>
              <w14:lumOff w14:val="40000"/>
            </w14:schemeClr>
          </w14:solidFill>
        </w14:textFill>
      </w:rPr>
    </w:tblStylePr>
  </w:style>
  <w:style w:type="table" w:customStyle="1" w:styleId="141">
    <w:name w:val="Grid Table 7 Colorful - Accent 5"/>
    <w:basedOn w:val="37"/>
    <w:qFormat/>
    <w:uiPriority w:val="99"/>
    <w:tblPr>
      <w:tblBorders>
        <w:bottom w:val="single" w:color="95AFDD" w:themeColor="accent5" w:themeTint="90" w:sz="4" w:space="0"/>
        <w:right w:val="single" w:color="95AFDD" w:themeColor="accent5" w:themeTint="90" w:sz="4" w:space="0"/>
        <w:insideH w:val="single" w:color="95AFDD" w:themeColor="accent5" w:themeTint="90" w:sz="4" w:space="0"/>
        <w:insideV w:val="single" w:color="95AFDD" w:themeColor="accent5" w:themeTint="90" w:sz="4" w:space="0"/>
      </w:tblBorders>
    </w:tblPr>
    <w:tblStylePr w:type="firstRow">
      <w:rPr>
        <w:rFonts w:ascii="Arial" w:hAnsi="Arial"/>
        <w:b/>
        <w:color w:val="254174" w:themeColor="accent5" w:themeShade="94"/>
        <w:sz w:val="22"/>
      </w:rPr>
      <w:tcPr>
        <w:tcBorders>
          <w:top w:val="nil"/>
          <w:left w:val="nil"/>
          <w:bottom w:val="single" w:color="95AFDD" w:themeColor="accent5" w:themeTint="90" w:sz="4" w:space="0"/>
          <w:right w:val="nil"/>
        </w:tcBorders>
        <w:shd w:val="clear" w:color="FFFFFF" w:fill="auto"/>
      </w:tcPr>
    </w:tblStylePr>
    <w:tblStylePr w:type="lastRow">
      <w:rPr>
        <w:rFonts w:ascii="Arial" w:hAnsi="Arial"/>
        <w:b/>
        <w:color w:val="254174" w:themeColor="accent5" w:themeShade="94"/>
        <w:sz w:val="22"/>
      </w:rPr>
      <w:tcPr>
        <w:tcBorders>
          <w:top w:val="single" w:color="95AFDD" w:themeColor="accent5" w:themeTint="90" w:sz="4" w:space="0"/>
          <w:left w:val="nil"/>
          <w:bottom w:val="nil"/>
          <w:right w:val="nil"/>
        </w:tcBorders>
        <w:shd w:val="clear" w:color="FFFFFF" w:fill="auto"/>
      </w:tcPr>
    </w:tblStylePr>
    <w:tblStylePr w:type="firstCol">
      <w:pPr>
        <w:jc w:val="right"/>
      </w:pPr>
      <w:rPr>
        <w:rFonts w:ascii="Arial" w:hAnsi="Arial"/>
        <w:i/>
        <w:color w:val="254174" w:themeColor="accent5" w:themeShade="94"/>
        <w:sz w:val="22"/>
      </w:rPr>
      <w:tcPr>
        <w:tcBorders>
          <w:top w:val="nil"/>
          <w:left w:val="nil"/>
          <w:bottom w:val="nil"/>
          <w:right w:val="single" w:color="95AFDD" w:themeColor="accent5" w:themeTint="90" w:sz="4" w:space="0"/>
        </w:tcBorders>
        <w:shd w:val="clear" w:color="FFFFFF" w:fill="auto"/>
      </w:tcPr>
    </w:tblStylePr>
    <w:tblStylePr w:type="lastCol">
      <w:rPr>
        <w:rFonts w:ascii="Arial" w:hAnsi="Arial"/>
        <w:i/>
        <w:color w:val="254174" w:themeColor="accent5" w:themeShade="94"/>
        <w:sz w:val="22"/>
      </w:rPr>
      <w:tcPr>
        <w:tcBorders>
          <w:top w:val="nil"/>
          <w:left w:val="single" w:color="95AFDD" w:themeColor="accent5" w:themeTint="90" w:sz="4" w:space="0"/>
          <w:bottom w:val="nil"/>
          <w:right w:val="nil"/>
        </w:tcBorders>
        <w:shd w:val="clear" w:color="FFFFFF" w:fill="auto"/>
      </w:tcPr>
    </w:tblStylePr>
    <w:tblStylePr w:type="band1Vert">
      <w:tcPr>
        <w:shd w:val="clear" w:color="FFFFFF" w:fill="auto"/>
      </w:tcPr>
    </w:tblStylePr>
    <w:tblStylePr w:type="band1Horz">
      <w:rPr>
        <w:rFonts w:ascii="Arial" w:hAnsi="Arial"/>
        <w:color w:val="254174" w:themeColor="accent5" w:themeShade="94"/>
        <w:sz w:val="22"/>
      </w:rPr>
      <w:tcPr>
        <w:shd w:val="clear" w:color="FFFFFF" w:fill="auto"/>
      </w:tcPr>
    </w:tblStylePr>
    <w:tblStylePr w:type="band2Horz">
      <w:rPr>
        <w:rFonts w:ascii="Arial" w:hAnsi="Arial"/>
        <w:color w:val="254174" w:themeColor="accent5" w:themeShade="94"/>
        <w:sz w:val="22"/>
      </w:rPr>
    </w:tblStylePr>
  </w:style>
  <w:style w:type="table" w:customStyle="1" w:styleId="142">
    <w:name w:val="Grid Table 7 Colorful - Accent 6"/>
    <w:basedOn w:val="37"/>
    <w:qFormat/>
    <w:uiPriority w:val="99"/>
    <w:tblPr>
      <w:tblBorders>
        <w:bottom w:val="single" w:color="ADD394" w:themeColor="accent6" w:themeTint="90" w:sz="4" w:space="0"/>
        <w:right w:val="single" w:color="ADD394" w:themeColor="accent6" w:themeTint="90" w:sz="4" w:space="0"/>
        <w:insideH w:val="single" w:color="ADD394" w:themeColor="accent6" w:themeTint="90" w:sz="4" w:space="0"/>
        <w:insideV w:val="single" w:color="ADD394" w:themeColor="accent6" w:themeTint="90" w:sz="4" w:space="0"/>
      </w:tblBorders>
    </w:tblPr>
    <w:tblStylePr w:type="firstRow">
      <w:rPr>
        <w:rFonts w:ascii="Arial" w:hAnsi="Arial"/>
        <w:b/>
        <w:color w:val="416429" w:themeColor="accent6" w:themeShade="94"/>
        <w:sz w:val="22"/>
      </w:rPr>
      <w:tcPr>
        <w:tcBorders>
          <w:top w:val="nil"/>
          <w:left w:val="nil"/>
          <w:bottom w:val="single" w:color="ADD394" w:themeColor="accent6" w:themeTint="90" w:sz="4" w:space="0"/>
          <w:right w:val="nil"/>
        </w:tcBorders>
        <w:shd w:val="clear" w:color="FFFFFF" w:fill="auto"/>
      </w:tcPr>
    </w:tblStylePr>
    <w:tblStylePr w:type="lastRow">
      <w:rPr>
        <w:rFonts w:ascii="Arial" w:hAnsi="Arial"/>
        <w:b/>
        <w:color w:val="416429" w:themeColor="accent6" w:themeShade="94"/>
        <w:sz w:val="22"/>
      </w:rPr>
      <w:tcPr>
        <w:tcBorders>
          <w:top w:val="single" w:color="ADD394" w:themeColor="accent6" w:themeTint="90" w:sz="4" w:space="0"/>
          <w:left w:val="nil"/>
          <w:bottom w:val="nil"/>
          <w:right w:val="nil"/>
        </w:tcBorders>
        <w:shd w:val="clear" w:color="FFFFFF" w:fill="auto"/>
      </w:tcPr>
    </w:tblStylePr>
    <w:tblStylePr w:type="firstCol">
      <w:pPr>
        <w:jc w:val="right"/>
      </w:pPr>
      <w:rPr>
        <w:rFonts w:ascii="Arial" w:hAnsi="Arial"/>
        <w:i/>
        <w:color w:val="416429" w:themeColor="accent6" w:themeShade="94"/>
        <w:sz w:val="22"/>
      </w:rPr>
      <w:tcPr>
        <w:tcBorders>
          <w:top w:val="nil"/>
          <w:left w:val="nil"/>
          <w:bottom w:val="nil"/>
          <w:right w:val="single" w:color="ADD394" w:themeColor="accent6" w:themeTint="90" w:sz="4" w:space="0"/>
        </w:tcBorders>
        <w:shd w:val="clear" w:color="FFFFFF" w:fill="auto"/>
      </w:tcPr>
    </w:tblStylePr>
    <w:tblStylePr w:type="lastCol">
      <w:rPr>
        <w:rFonts w:ascii="Arial" w:hAnsi="Arial"/>
        <w:i/>
        <w:color w:val="416429" w:themeColor="accent6" w:themeShade="94"/>
        <w:sz w:val="22"/>
      </w:rPr>
      <w:tcPr>
        <w:tcBorders>
          <w:top w:val="nil"/>
          <w:left w:val="single" w:color="ADD394" w:themeColor="accent6" w:themeTint="90" w:sz="4" w:space="0"/>
          <w:bottom w:val="nil"/>
          <w:right w:val="nil"/>
        </w:tcBorders>
        <w:shd w:val="clear" w:color="FFFFFF" w:fill="auto"/>
      </w:tcPr>
    </w:tblStylePr>
    <w:tblStylePr w:type="band1Vert">
      <w:tcPr>
        <w:shd w:val="clear" w:color="FFFFFF" w:fill="auto"/>
      </w:tcPr>
    </w:tblStylePr>
    <w:tblStylePr w:type="band1Horz">
      <w:rPr>
        <w:rFonts w:ascii="Arial" w:hAnsi="Arial"/>
        <w:color w:val="416429" w:themeColor="accent6" w:themeShade="94"/>
        <w:sz w:val="22"/>
      </w:rPr>
      <w:tcPr>
        <w:shd w:val="clear" w:color="FFFFFF" w:fill="auto"/>
      </w:tcPr>
    </w:tblStylePr>
    <w:tblStylePr w:type="band2Horz">
      <w:rPr>
        <w:rFonts w:ascii="Arial" w:hAnsi="Arial"/>
        <w:color w:val="416429" w:themeColor="accent6" w:themeShade="94"/>
        <w:sz w:val="22"/>
      </w:rPr>
    </w:tblStylePr>
  </w:style>
  <w:style w:type="table" w:customStyle="1" w:styleId="143">
    <w:name w:val="清单表 1 浅色1"/>
    <w:basedOn w:val="37"/>
    <w:qFormat/>
    <w:uiPriority w:val="99"/>
    <w:tblStylePr w:type="firstRow">
      <w:rPr>
        <w:b/>
        <w:color w:val="404040"/>
      </w:rPr>
      <w:tcPr>
        <w:tcBorders>
          <w:top w:val="nil"/>
          <w:left w:val="nil"/>
          <w:bottom w:val="single" w:color="000000" w:themeColor="text1" w:sz="4" w:space="0"/>
          <w:right w:val="nil"/>
        </w:tcBorders>
      </w:tcPr>
    </w:tblStylePr>
    <w:tblStylePr w:type="lastRow">
      <w:rPr>
        <w:b/>
        <w:color w:val="404040"/>
      </w:rPr>
      <w:tcPr>
        <w:tcBorders>
          <w:top w:val="single" w:color="000000" w:themeColor="text1" w:sz="4" w:space="0"/>
          <w:left w:val="nil"/>
          <w:bottom w:val="nil"/>
          <w:right w:val="nil"/>
        </w:tcBorders>
      </w:tcPr>
    </w:tblStylePr>
    <w:tblStylePr w:type="firstCol">
      <w:rPr>
        <w:b/>
        <w:color w:val="404040"/>
      </w:rPr>
    </w:tblStylePr>
    <w:tblStylePr w:type="lastCol">
      <w:rPr>
        <w:b/>
        <w:color w:val="404040"/>
      </w:rPr>
    </w:tblStylePr>
    <w:tblStylePr w:type="band1Vert">
      <w:tcPr>
        <w:shd w:val="clear" w:color="BFBFBF" w:fill="BFBFBF"/>
      </w:tcPr>
    </w:tblStylePr>
    <w:tblStylePr w:type="band1Horz">
      <w:tcPr>
        <w:shd w:val="clear" w:color="BFBFBF" w:fill="BFBFBF"/>
      </w:tcPr>
    </w:tblStylePr>
  </w:style>
  <w:style w:type="table" w:customStyle="1" w:styleId="144">
    <w:name w:val="List Table 1 Light - Accent 1"/>
    <w:basedOn w:val="37"/>
    <w:qFormat/>
    <w:uiPriority w:val="99"/>
    <w:tblStylePr w:type="firstRow">
      <w:rPr>
        <w:b/>
        <w:color w:val="404040"/>
      </w:rPr>
      <w:tcPr>
        <w:tcBorders>
          <w:top w:val="nil"/>
          <w:left w:val="nil"/>
          <w:bottom w:val="single" w:color="5B9BD5" w:themeColor="accent1" w:sz="4" w:space="0"/>
          <w:right w:val="nil"/>
        </w:tcBorders>
      </w:tcPr>
    </w:tblStylePr>
    <w:tblStylePr w:type="lastRow">
      <w:rPr>
        <w:b/>
        <w:color w:val="404040"/>
      </w:rPr>
      <w:tcPr>
        <w:tcBorders>
          <w:top w:val="single" w:color="5B9BD5" w:themeColor="accent1" w:sz="4" w:space="0"/>
          <w:left w:val="nil"/>
          <w:bottom w:val="nil"/>
          <w:right w:val="nil"/>
        </w:tcBorders>
      </w:tcPr>
    </w:tblStylePr>
    <w:tblStylePr w:type="firstCol">
      <w:rPr>
        <w:b/>
        <w:color w:val="404040"/>
      </w:rPr>
    </w:tblStylePr>
    <w:tblStylePr w:type="lastCol">
      <w:rPr>
        <w:b/>
        <w:color w:val="404040"/>
      </w:rPr>
    </w:tblStylePr>
    <w:tblStylePr w:type="band1Vert">
      <w:tcPr>
        <w:shd w:val="clear" w:color="FFFFFF" w:fill="auto"/>
      </w:tcPr>
    </w:tblStylePr>
    <w:tblStylePr w:type="band1Horz">
      <w:tcPr>
        <w:shd w:val="clear" w:color="FFFFFF" w:fill="auto"/>
      </w:tcPr>
    </w:tblStylePr>
  </w:style>
  <w:style w:type="table" w:customStyle="1" w:styleId="145">
    <w:name w:val="List Table 1 Light - Accent 2"/>
    <w:basedOn w:val="37"/>
    <w:qFormat/>
    <w:uiPriority w:val="99"/>
    <w:tblStylePr w:type="firstRow">
      <w:rPr>
        <w:b/>
        <w:color w:val="404040"/>
      </w:rPr>
      <w:tcPr>
        <w:tcBorders>
          <w:top w:val="nil"/>
          <w:left w:val="nil"/>
          <w:bottom w:val="single" w:color="ED7D31" w:themeColor="accent2" w:sz="4" w:space="0"/>
          <w:right w:val="nil"/>
        </w:tcBorders>
      </w:tcPr>
    </w:tblStylePr>
    <w:tblStylePr w:type="lastRow">
      <w:rPr>
        <w:b/>
        <w:color w:val="404040"/>
      </w:rPr>
      <w:tcPr>
        <w:tcBorders>
          <w:top w:val="single" w:color="ED7D31" w:themeColor="accent2" w:sz="4" w:space="0"/>
          <w:left w:val="nil"/>
          <w:bottom w:val="nil"/>
          <w:right w:val="nil"/>
        </w:tcBorders>
      </w:tcPr>
    </w:tblStylePr>
    <w:tblStylePr w:type="firstCol">
      <w:rPr>
        <w:b/>
        <w:color w:val="404040"/>
      </w:rPr>
    </w:tblStylePr>
    <w:tblStylePr w:type="lastCol">
      <w:rPr>
        <w:b/>
        <w:color w:val="404040"/>
      </w:rPr>
    </w:tblStylePr>
    <w:tblStylePr w:type="band1Vert">
      <w:tcPr>
        <w:shd w:val="clear" w:color="FFFFFF" w:fill="auto"/>
      </w:tcPr>
    </w:tblStylePr>
    <w:tblStylePr w:type="band1Horz">
      <w:tcPr>
        <w:shd w:val="clear" w:color="FFFFFF" w:fill="auto"/>
      </w:tcPr>
    </w:tblStylePr>
  </w:style>
  <w:style w:type="table" w:customStyle="1" w:styleId="146">
    <w:name w:val="List Table 1 Light - Accent 3"/>
    <w:basedOn w:val="37"/>
    <w:qFormat/>
    <w:uiPriority w:val="99"/>
    <w:tblStylePr w:type="firstRow">
      <w:rPr>
        <w:b/>
        <w:color w:val="404040"/>
      </w:rPr>
      <w:tcPr>
        <w:tcBorders>
          <w:top w:val="nil"/>
          <w:left w:val="nil"/>
          <w:bottom w:val="single" w:color="A5A5A5" w:themeColor="accent3" w:sz="4" w:space="0"/>
          <w:right w:val="nil"/>
        </w:tcBorders>
      </w:tcPr>
    </w:tblStylePr>
    <w:tblStylePr w:type="lastRow">
      <w:rPr>
        <w:b/>
        <w:color w:val="404040"/>
      </w:rPr>
      <w:tcPr>
        <w:tcBorders>
          <w:top w:val="single" w:color="A5A5A5" w:themeColor="accent3" w:sz="4" w:space="0"/>
          <w:left w:val="nil"/>
          <w:bottom w:val="nil"/>
          <w:right w:val="nil"/>
        </w:tcBorders>
      </w:tcPr>
    </w:tblStylePr>
    <w:tblStylePr w:type="firstCol">
      <w:rPr>
        <w:b/>
        <w:color w:val="404040"/>
      </w:rPr>
    </w:tblStylePr>
    <w:tblStylePr w:type="lastCol">
      <w:rPr>
        <w:b/>
        <w:color w:val="404040"/>
      </w:rPr>
    </w:tblStylePr>
    <w:tblStylePr w:type="band1Vert">
      <w:tcPr>
        <w:shd w:val="clear" w:color="FFFFFF" w:fill="auto"/>
      </w:tcPr>
    </w:tblStylePr>
    <w:tblStylePr w:type="band1Horz">
      <w:tcPr>
        <w:shd w:val="clear" w:color="FFFFFF" w:fill="auto"/>
      </w:tcPr>
    </w:tblStylePr>
  </w:style>
  <w:style w:type="table" w:customStyle="1" w:styleId="147">
    <w:name w:val="List Table 1 Light - Accent 4"/>
    <w:basedOn w:val="37"/>
    <w:qFormat/>
    <w:uiPriority w:val="99"/>
    <w:tblStylePr w:type="firstRow">
      <w:rPr>
        <w:b/>
        <w:color w:val="404040"/>
      </w:rPr>
      <w:tcPr>
        <w:tcBorders>
          <w:top w:val="nil"/>
          <w:left w:val="nil"/>
          <w:bottom w:val="single" w:color="FFC000" w:themeColor="accent4" w:sz="4" w:space="0"/>
          <w:right w:val="nil"/>
        </w:tcBorders>
      </w:tcPr>
    </w:tblStylePr>
    <w:tblStylePr w:type="lastRow">
      <w:rPr>
        <w:b/>
        <w:color w:val="404040"/>
      </w:rPr>
      <w:tcPr>
        <w:tcBorders>
          <w:top w:val="single" w:color="FFC000" w:themeColor="accent4" w:sz="4" w:space="0"/>
          <w:left w:val="nil"/>
          <w:bottom w:val="nil"/>
          <w:right w:val="nil"/>
        </w:tcBorders>
      </w:tcPr>
    </w:tblStylePr>
    <w:tblStylePr w:type="firstCol">
      <w:rPr>
        <w:b/>
        <w:color w:val="404040"/>
      </w:rPr>
    </w:tblStylePr>
    <w:tblStylePr w:type="lastCol">
      <w:rPr>
        <w:b/>
        <w:color w:val="404040"/>
      </w:rPr>
    </w:tblStylePr>
    <w:tblStylePr w:type="band1Vert">
      <w:tcPr>
        <w:shd w:val="clear" w:color="FFFFFF" w:fill="auto"/>
      </w:tcPr>
    </w:tblStylePr>
    <w:tblStylePr w:type="band1Horz">
      <w:tcPr>
        <w:shd w:val="clear" w:color="FFFFFF" w:fill="auto"/>
      </w:tcPr>
    </w:tblStylePr>
  </w:style>
  <w:style w:type="table" w:customStyle="1" w:styleId="148">
    <w:name w:val="List Table 1 Light - Accent 5"/>
    <w:basedOn w:val="37"/>
    <w:qFormat/>
    <w:uiPriority w:val="99"/>
    <w:tblStylePr w:type="firstRow">
      <w:rPr>
        <w:b/>
        <w:color w:val="404040"/>
      </w:rPr>
      <w:tcPr>
        <w:tcBorders>
          <w:top w:val="nil"/>
          <w:left w:val="nil"/>
          <w:bottom w:val="single" w:color="4472C4" w:themeColor="accent5" w:sz="4" w:space="0"/>
          <w:right w:val="nil"/>
        </w:tcBorders>
      </w:tcPr>
    </w:tblStylePr>
    <w:tblStylePr w:type="lastRow">
      <w:rPr>
        <w:b/>
        <w:color w:val="404040"/>
      </w:rPr>
      <w:tcPr>
        <w:tcBorders>
          <w:top w:val="single" w:color="4472C4" w:themeColor="accent5" w:sz="4" w:space="0"/>
          <w:left w:val="nil"/>
          <w:bottom w:val="nil"/>
          <w:right w:val="nil"/>
        </w:tcBorders>
      </w:tcPr>
    </w:tblStylePr>
    <w:tblStylePr w:type="firstCol">
      <w:rPr>
        <w:b/>
        <w:color w:val="404040"/>
      </w:rPr>
    </w:tblStylePr>
    <w:tblStylePr w:type="lastCol">
      <w:rPr>
        <w:b/>
        <w:color w:val="404040"/>
      </w:rPr>
    </w:tblStylePr>
    <w:tblStylePr w:type="band1Vert">
      <w:tcPr>
        <w:shd w:val="clear" w:color="FFFFFF" w:fill="auto"/>
      </w:tcPr>
    </w:tblStylePr>
    <w:tblStylePr w:type="band1Horz">
      <w:tcPr>
        <w:shd w:val="clear" w:color="FFFFFF" w:fill="auto"/>
      </w:tcPr>
    </w:tblStylePr>
  </w:style>
  <w:style w:type="table" w:customStyle="1" w:styleId="149">
    <w:name w:val="List Table 1 Light - Accent 6"/>
    <w:basedOn w:val="37"/>
    <w:qFormat/>
    <w:uiPriority w:val="99"/>
    <w:tblStylePr w:type="firstRow">
      <w:rPr>
        <w:b/>
        <w:color w:val="404040"/>
      </w:rPr>
      <w:tcPr>
        <w:tcBorders>
          <w:top w:val="nil"/>
          <w:left w:val="nil"/>
          <w:bottom w:val="single" w:color="70AD47" w:themeColor="accent6" w:sz="4" w:space="0"/>
          <w:right w:val="nil"/>
        </w:tcBorders>
      </w:tcPr>
    </w:tblStylePr>
    <w:tblStylePr w:type="lastRow">
      <w:rPr>
        <w:b/>
        <w:color w:val="404040"/>
      </w:rPr>
      <w:tcPr>
        <w:tcBorders>
          <w:top w:val="single" w:color="70AD47" w:themeColor="accent6" w:sz="4" w:space="0"/>
          <w:left w:val="nil"/>
          <w:bottom w:val="nil"/>
          <w:right w:val="nil"/>
        </w:tcBorders>
      </w:tcPr>
    </w:tblStylePr>
    <w:tblStylePr w:type="firstCol">
      <w:rPr>
        <w:b/>
        <w:color w:val="404040"/>
      </w:rPr>
    </w:tblStylePr>
    <w:tblStylePr w:type="lastCol">
      <w:rPr>
        <w:b/>
        <w:color w:val="404040"/>
      </w:rPr>
    </w:tblStylePr>
    <w:tblStylePr w:type="band1Vert">
      <w:tcPr>
        <w:shd w:val="clear" w:color="FFFFFF" w:fill="auto"/>
      </w:tcPr>
    </w:tblStylePr>
    <w:tblStylePr w:type="band1Horz">
      <w:tcPr>
        <w:shd w:val="clear" w:color="FFFFFF" w:fill="auto"/>
      </w:tcPr>
    </w:tblStylePr>
  </w:style>
  <w:style w:type="table" w:customStyle="1" w:styleId="150">
    <w:name w:val="清单表 21"/>
    <w:basedOn w:val="37"/>
    <w:qFormat/>
    <w:uiPriority w:val="99"/>
    <w:tblPr>
      <w:tblBorders>
        <w:top w:val="single" w:color="6E6E6E" w:themeColor="text1" w:themeTint="90" w:sz="4" w:space="0"/>
        <w:bottom w:val="single" w:color="6E6E6E" w:themeColor="text1" w:themeTint="90" w:sz="4" w:space="0"/>
        <w:insideH w:val="single" w:color="6E6E6E" w:themeColor="text1" w:themeTint="90" w:sz="4" w:space="0"/>
      </w:tblBorders>
    </w:tblPr>
    <w:tblStylePr w:type="firstRow">
      <w:rPr>
        <w:rFonts w:ascii="Arial" w:hAnsi="Arial"/>
        <w:b/>
        <w:color w:val="404040"/>
        <w:sz w:val="22"/>
      </w:rPr>
      <w:tcPr>
        <w:tcBorders>
          <w:top w:val="single" w:color="6E6E6E" w:themeColor="text1" w:themeTint="90" w:sz="4" w:space="0"/>
          <w:left w:val="nil"/>
          <w:bottom w:val="single" w:color="6E6E6E" w:themeColor="text1" w:themeTint="90" w:sz="4" w:space="0"/>
          <w:right w:val="nil"/>
        </w:tcBorders>
      </w:tcPr>
    </w:tblStylePr>
    <w:tblStylePr w:type="lastRow">
      <w:rPr>
        <w:rFonts w:ascii="Arial" w:hAnsi="Arial"/>
        <w:b/>
        <w:color w:val="404040"/>
        <w:sz w:val="22"/>
      </w:rPr>
      <w:tcPr>
        <w:tcBorders>
          <w:top w:val="single" w:color="6E6E6E" w:themeColor="text1" w:themeTint="90" w:sz="4" w:space="0"/>
          <w:left w:val="nil"/>
          <w:bottom w:val="single" w:color="6E6E6E" w:themeColor="text1"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BFBFBF" w:fill="BFBFBF"/>
      </w:tcPr>
    </w:tblStylePr>
    <w:tblStylePr w:type="band1Horz">
      <w:rPr>
        <w:rFonts w:ascii="Arial" w:hAnsi="Arial"/>
        <w:color w:val="404040"/>
        <w:sz w:val="22"/>
      </w:rPr>
      <w:tcPr>
        <w:shd w:val="clear" w:color="BFBFBF" w:fill="BFBFBF"/>
      </w:tcPr>
    </w:tblStylePr>
  </w:style>
  <w:style w:type="table" w:customStyle="1" w:styleId="151">
    <w:name w:val="List Table 2 - Accent 1"/>
    <w:basedOn w:val="37"/>
    <w:qFormat/>
    <w:uiPriority w:val="99"/>
    <w:tblPr>
      <w:tblBorders>
        <w:top w:val="single" w:color="A2C6E7" w:themeColor="accent1" w:themeTint="90" w:sz="4" w:space="0"/>
        <w:bottom w:val="single" w:color="A2C6E7" w:themeColor="accent1" w:themeTint="90" w:sz="4" w:space="0"/>
        <w:insideH w:val="single" w:color="A2C6E7" w:themeColor="accent1" w:themeTint="90" w:sz="4" w:space="0"/>
      </w:tblBorders>
    </w:tblPr>
    <w:tblStylePr w:type="firstRow">
      <w:rPr>
        <w:rFonts w:ascii="Arial" w:hAnsi="Arial"/>
        <w:b/>
        <w:color w:val="404040"/>
        <w:sz w:val="22"/>
      </w:rPr>
      <w:tcPr>
        <w:tcBorders>
          <w:top w:val="single" w:color="A2C6E7" w:themeColor="accent1" w:themeTint="90" w:sz="4" w:space="0"/>
          <w:left w:val="nil"/>
          <w:bottom w:val="single" w:color="A2C6E7" w:themeColor="accent1" w:themeTint="90" w:sz="4" w:space="0"/>
          <w:right w:val="nil"/>
        </w:tcBorders>
      </w:tcPr>
    </w:tblStylePr>
    <w:tblStylePr w:type="lastRow">
      <w:rPr>
        <w:rFonts w:ascii="Arial" w:hAnsi="Arial"/>
        <w:b/>
        <w:color w:val="404040"/>
        <w:sz w:val="22"/>
      </w:rPr>
      <w:tcPr>
        <w:tcBorders>
          <w:top w:val="single" w:color="A2C6E7" w:themeColor="accent1" w:themeTint="90" w:sz="4" w:space="0"/>
          <w:left w:val="nil"/>
          <w:bottom w:val="single" w:color="A2C6E7" w:themeColor="accent1"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52">
    <w:name w:val="List Table 2 - Accent 2"/>
    <w:basedOn w:val="37"/>
    <w:qFormat/>
    <w:uiPriority w:val="99"/>
    <w:tblPr>
      <w:tblBorders>
        <w:top w:val="single" w:color="F4B58A" w:themeColor="accent2" w:themeTint="90" w:sz="4" w:space="0"/>
        <w:bottom w:val="single" w:color="F4B58A" w:themeColor="accent2" w:themeTint="90" w:sz="4" w:space="0"/>
        <w:insideH w:val="single" w:color="F4B58A" w:themeColor="accent2" w:themeTint="90" w:sz="4" w:space="0"/>
      </w:tblBorders>
    </w:tblPr>
    <w:tblStylePr w:type="firstRow">
      <w:rPr>
        <w:rFonts w:ascii="Arial" w:hAnsi="Arial"/>
        <w:b/>
        <w:color w:val="404040"/>
        <w:sz w:val="22"/>
      </w:rPr>
      <w:tcPr>
        <w:tcBorders>
          <w:top w:val="single" w:color="F4B58A" w:themeColor="accent2" w:themeTint="90" w:sz="4" w:space="0"/>
          <w:left w:val="nil"/>
          <w:bottom w:val="single" w:color="F4B58A" w:themeColor="accent2" w:themeTint="90" w:sz="4" w:space="0"/>
          <w:right w:val="nil"/>
        </w:tcBorders>
      </w:tcPr>
    </w:tblStylePr>
    <w:tblStylePr w:type="lastRow">
      <w:rPr>
        <w:rFonts w:ascii="Arial" w:hAnsi="Arial"/>
        <w:b/>
        <w:color w:val="404040"/>
        <w:sz w:val="22"/>
      </w:rPr>
      <w:tcPr>
        <w:tcBorders>
          <w:top w:val="single" w:color="F4B58A" w:themeColor="accent2" w:themeTint="90" w:sz="4" w:space="0"/>
          <w:left w:val="nil"/>
          <w:bottom w:val="single" w:color="F4B58A" w:themeColor="accent2"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53">
    <w:name w:val="List Table 2 - Accent 3"/>
    <w:basedOn w:val="37"/>
    <w:qFormat/>
    <w:uiPriority w:val="99"/>
    <w:tblPr>
      <w:tblBorders>
        <w:top w:val="single" w:color="CCCCCC" w:themeColor="accent3" w:themeTint="90" w:sz="4" w:space="0"/>
        <w:bottom w:val="single" w:color="CCCCCC" w:themeColor="accent3" w:themeTint="90" w:sz="4" w:space="0"/>
        <w:insideH w:val="single" w:color="CCCCCC" w:themeColor="accent3" w:themeTint="90" w:sz="4" w:space="0"/>
      </w:tblBorders>
    </w:tblPr>
    <w:tblStylePr w:type="firstRow">
      <w:rPr>
        <w:rFonts w:ascii="Arial" w:hAnsi="Arial"/>
        <w:b/>
        <w:color w:val="404040"/>
        <w:sz w:val="22"/>
      </w:rPr>
      <w:tcPr>
        <w:tcBorders>
          <w:top w:val="single" w:color="CCCCCC" w:themeColor="accent3" w:themeTint="90" w:sz="4" w:space="0"/>
          <w:left w:val="nil"/>
          <w:bottom w:val="single" w:color="CCCCCC" w:themeColor="accent3" w:themeTint="90" w:sz="4" w:space="0"/>
          <w:right w:val="nil"/>
        </w:tcBorders>
      </w:tcPr>
    </w:tblStylePr>
    <w:tblStylePr w:type="lastRow">
      <w:rPr>
        <w:rFonts w:ascii="Arial" w:hAnsi="Arial"/>
        <w:b/>
        <w:color w:val="404040"/>
        <w:sz w:val="22"/>
      </w:rPr>
      <w:tcPr>
        <w:tcBorders>
          <w:top w:val="single" w:color="CCCCCC" w:themeColor="accent3" w:themeTint="90" w:sz="4" w:space="0"/>
          <w:left w:val="nil"/>
          <w:bottom w:val="single" w:color="CCCCCC" w:themeColor="accent3"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54">
    <w:name w:val="List Table 2 - Accent 4"/>
    <w:basedOn w:val="37"/>
    <w:qFormat/>
    <w:uiPriority w:val="99"/>
    <w:tblPr>
      <w:tblBorders>
        <w:top w:val="single" w:color="FFDB6E" w:themeColor="accent4" w:themeTint="90" w:sz="4" w:space="0"/>
        <w:bottom w:val="single" w:color="FFDB6E" w:themeColor="accent4" w:themeTint="90" w:sz="4" w:space="0"/>
        <w:insideH w:val="single" w:color="FFDB6E" w:themeColor="accent4" w:themeTint="90" w:sz="4" w:space="0"/>
      </w:tblBorders>
    </w:tblPr>
    <w:tblStylePr w:type="firstRow">
      <w:rPr>
        <w:rFonts w:ascii="Arial" w:hAnsi="Arial"/>
        <w:b/>
        <w:color w:val="404040"/>
        <w:sz w:val="22"/>
      </w:rPr>
      <w:tcPr>
        <w:tcBorders>
          <w:top w:val="single" w:color="FFDB6E" w:themeColor="accent4" w:themeTint="90" w:sz="4" w:space="0"/>
          <w:left w:val="nil"/>
          <w:bottom w:val="single" w:color="FFDB6E" w:themeColor="accent4" w:themeTint="90" w:sz="4" w:space="0"/>
          <w:right w:val="nil"/>
        </w:tcBorders>
      </w:tcPr>
    </w:tblStylePr>
    <w:tblStylePr w:type="lastRow">
      <w:rPr>
        <w:rFonts w:ascii="Arial" w:hAnsi="Arial"/>
        <w:b/>
        <w:color w:val="404040"/>
        <w:sz w:val="22"/>
      </w:rPr>
      <w:tcPr>
        <w:tcBorders>
          <w:top w:val="single" w:color="FFDB6E" w:themeColor="accent4" w:themeTint="90" w:sz="4" w:space="0"/>
          <w:left w:val="nil"/>
          <w:bottom w:val="single" w:color="FFDB6E" w:themeColor="accent4"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55">
    <w:name w:val="List Table 2 - Accent 5"/>
    <w:basedOn w:val="37"/>
    <w:qFormat/>
    <w:uiPriority w:val="99"/>
    <w:tblPr>
      <w:tblBorders>
        <w:top w:val="single" w:color="95AFDD" w:themeColor="accent5" w:themeTint="90" w:sz="4" w:space="0"/>
        <w:bottom w:val="single" w:color="95AFDD" w:themeColor="accent5" w:themeTint="90" w:sz="4" w:space="0"/>
        <w:insideH w:val="single" w:color="95AFDD" w:themeColor="accent5" w:themeTint="90" w:sz="4" w:space="0"/>
      </w:tblBorders>
    </w:tblPr>
    <w:tblStylePr w:type="firstRow">
      <w:rPr>
        <w:rFonts w:ascii="Arial" w:hAnsi="Arial"/>
        <w:b/>
        <w:color w:val="404040"/>
        <w:sz w:val="22"/>
      </w:rPr>
      <w:tcPr>
        <w:tcBorders>
          <w:top w:val="single" w:color="95AFDD" w:themeColor="accent5" w:themeTint="90" w:sz="4" w:space="0"/>
          <w:left w:val="nil"/>
          <w:bottom w:val="single" w:color="95AFDD" w:themeColor="accent5" w:themeTint="90" w:sz="4" w:space="0"/>
          <w:right w:val="nil"/>
        </w:tcBorders>
      </w:tcPr>
    </w:tblStylePr>
    <w:tblStylePr w:type="lastRow">
      <w:rPr>
        <w:rFonts w:ascii="Arial" w:hAnsi="Arial"/>
        <w:b/>
        <w:color w:val="404040"/>
        <w:sz w:val="22"/>
      </w:rPr>
      <w:tcPr>
        <w:tcBorders>
          <w:top w:val="single" w:color="95AFDD" w:themeColor="accent5" w:themeTint="90" w:sz="4" w:space="0"/>
          <w:left w:val="nil"/>
          <w:bottom w:val="single" w:color="95AFDD" w:themeColor="accent5"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56">
    <w:name w:val="List Table 2 - Accent 6"/>
    <w:basedOn w:val="37"/>
    <w:qFormat/>
    <w:uiPriority w:val="99"/>
    <w:tblPr>
      <w:tblBorders>
        <w:top w:val="single" w:color="ADD394" w:themeColor="accent6" w:themeTint="90" w:sz="4" w:space="0"/>
        <w:bottom w:val="single" w:color="ADD394" w:themeColor="accent6" w:themeTint="90" w:sz="4" w:space="0"/>
        <w:insideH w:val="single" w:color="ADD394" w:themeColor="accent6" w:themeTint="90" w:sz="4" w:space="0"/>
      </w:tblBorders>
    </w:tblPr>
    <w:tblStylePr w:type="firstRow">
      <w:rPr>
        <w:rFonts w:ascii="Arial" w:hAnsi="Arial"/>
        <w:b/>
        <w:color w:val="404040"/>
        <w:sz w:val="22"/>
      </w:rPr>
      <w:tcPr>
        <w:tcBorders>
          <w:top w:val="single" w:color="ADD394" w:themeColor="accent6" w:themeTint="90" w:sz="4" w:space="0"/>
          <w:left w:val="nil"/>
          <w:bottom w:val="single" w:color="ADD394" w:themeColor="accent6" w:themeTint="90" w:sz="4" w:space="0"/>
          <w:right w:val="nil"/>
        </w:tcBorders>
      </w:tcPr>
    </w:tblStylePr>
    <w:tblStylePr w:type="lastRow">
      <w:rPr>
        <w:rFonts w:ascii="Arial" w:hAnsi="Arial"/>
        <w:b/>
        <w:color w:val="404040"/>
        <w:sz w:val="22"/>
      </w:rPr>
      <w:tcPr>
        <w:tcBorders>
          <w:top w:val="single" w:color="ADD394" w:themeColor="accent6" w:themeTint="90" w:sz="4" w:space="0"/>
          <w:left w:val="nil"/>
          <w:bottom w:val="single" w:color="ADD394" w:themeColor="accent6"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57">
    <w:name w:val="清单表 31"/>
    <w:basedOn w:val="37"/>
    <w:qFormat/>
    <w:uiPriority w:val="99"/>
    <w:tblPr>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firstRow">
      <w:rPr>
        <w:rFonts w:ascii="Arial" w:hAnsi="Arial"/>
        <w:b/>
        <w:color w:val="FFFFFF"/>
        <w:sz w:val="22"/>
      </w:r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band1Horz">
      <w:rPr>
        <w:rFonts w:ascii="Arial" w:hAnsi="Arial"/>
        <w:color w:val="404040"/>
        <w:sz w:val="22"/>
      </w:rPr>
      <w:tcPr>
        <w:tcBorders>
          <w:top w:val="single" w:color="000000" w:themeColor="text1" w:sz="4" w:space="0"/>
          <w:bottom w:val="single" w:color="000000" w:themeColor="text1" w:sz="4" w:space="0"/>
        </w:tcBorders>
      </w:tcPr>
    </w:tblStylePr>
  </w:style>
  <w:style w:type="table" w:customStyle="1" w:styleId="158">
    <w:name w:val="List Table 3 - Accent 1"/>
    <w:basedOn w:val="37"/>
    <w:qFormat/>
    <w:uiPriority w:val="99"/>
    <w:tblPr>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firstRow">
      <w:rPr>
        <w:rFonts w:ascii="Arial" w:hAnsi="Arial"/>
        <w:b/>
        <w:color w:val="FFFFFF"/>
        <w:sz w:val="22"/>
      </w:rPr>
      <w:tcPr>
        <w:shd w:val="clear" w:color="FFFFFF"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5B9BD5" w:themeColor="accent1" w:sz="4" w:space="0"/>
          <w:right w:val="single" w:color="5B9BD5" w:themeColor="accent1" w:sz="4" w:space="0"/>
        </w:tcBorders>
      </w:tcPr>
    </w:tblStylePr>
    <w:tblStylePr w:type="band1Horz">
      <w:rPr>
        <w:rFonts w:ascii="Arial" w:hAnsi="Arial"/>
        <w:color w:val="404040"/>
        <w:sz w:val="22"/>
      </w:rPr>
      <w:tcPr>
        <w:tcBorders>
          <w:top w:val="single" w:color="5B9BD5" w:themeColor="accent1" w:sz="4" w:space="0"/>
          <w:bottom w:val="single" w:color="5B9BD5" w:themeColor="accent1" w:sz="4" w:space="0"/>
        </w:tcBorders>
      </w:tcPr>
    </w:tblStylePr>
  </w:style>
  <w:style w:type="table" w:customStyle="1" w:styleId="159">
    <w:name w:val="List Table 3 - Accent 2"/>
    <w:basedOn w:val="37"/>
    <w:qFormat/>
    <w:uiPriority w:val="99"/>
    <w:tblPr>
      <w:tblBorders>
        <w:top w:val="single" w:color="F4B285" w:themeColor="accent2" w:themeTint="97" w:sz="4" w:space="0"/>
        <w:left w:val="single" w:color="F4B285" w:themeColor="accent2" w:themeTint="97" w:sz="4" w:space="0"/>
        <w:bottom w:val="single" w:color="F4B285" w:themeColor="accent2" w:themeTint="97" w:sz="4" w:space="0"/>
        <w:right w:val="single" w:color="F4B285" w:themeColor="accent2" w:themeTint="97" w:sz="4" w:space="0"/>
      </w:tblBorders>
    </w:tblPr>
    <w:tblStylePr w:type="firstRow">
      <w:rPr>
        <w:rFonts w:ascii="Arial" w:hAnsi="Arial"/>
        <w:b/>
        <w:color w:val="FFFFFF"/>
        <w:sz w:val="22"/>
      </w:rPr>
      <w:tcPr>
        <w:shd w:val="clear" w:color="FFFFFF"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F4B285" w:themeColor="accent2" w:themeTint="97" w:sz="4" w:space="0"/>
          <w:right w:val="single" w:color="F4B285" w:themeColor="accent2" w:themeTint="97" w:sz="4" w:space="0"/>
        </w:tcBorders>
      </w:tcPr>
    </w:tblStylePr>
    <w:tblStylePr w:type="band1Horz">
      <w:rPr>
        <w:rFonts w:ascii="Arial" w:hAnsi="Arial"/>
        <w:color w:val="404040"/>
        <w:sz w:val="22"/>
      </w:rPr>
      <w:tcPr>
        <w:tcBorders>
          <w:top w:val="single" w:color="F4B285" w:themeColor="accent2" w:themeTint="97" w:sz="4" w:space="0"/>
          <w:bottom w:val="single" w:color="F4B285" w:themeColor="accent2" w:themeTint="97" w:sz="4" w:space="0"/>
        </w:tcBorders>
      </w:tcPr>
    </w:tblStylePr>
  </w:style>
  <w:style w:type="table" w:customStyle="1" w:styleId="160">
    <w:name w:val="List Table 3 - Accent 3"/>
    <w:basedOn w:val="37"/>
    <w:qFormat/>
    <w:uiPriority w:val="99"/>
    <w:tblPr>
      <w:tblBorders>
        <w:top w:val="single" w:color="C9C9C9" w:themeColor="accent3" w:themeTint="98" w:sz="4" w:space="0"/>
        <w:left w:val="single" w:color="C9C9C9" w:themeColor="accent3" w:themeTint="98" w:sz="4" w:space="0"/>
        <w:bottom w:val="single" w:color="C9C9C9" w:themeColor="accent3" w:themeTint="98" w:sz="4" w:space="0"/>
        <w:right w:val="single" w:color="C9C9C9" w:themeColor="accent3" w:themeTint="98" w:sz="4" w:space="0"/>
      </w:tblBorders>
    </w:tblPr>
    <w:tblStylePr w:type="firstRow">
      <w:rPr>
        <w:rFonts w:ascii="Arial" w:hAnsi="Arial"/>
        <w:b/>
        <w:color w:val="FFFFFF"/>
        <w:sz w:val="22"/>
      </w:rPr>
      <w:tcPr>
        <w:shd w:val="clear" w:color="FFFFFF"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C9C9C9" w:themeColor="accent3" w:themeTint="98" w:sz="4" w:space="0"/>
          <w:right w:val="single" w:color="C9C9C9" w:themeColor="accent3" w:themeTint="98" w:sz="4" w:space="0"/>
        </w:tcBorders>
      </w:tcPr>
    </w:tblStylePr>
    <w:tblStylePr w:type="band1Horz">
      <w:rPr>
        <w:rFonts w:ascii="Arial" w:hAnsi="Arial"/>
        <w:color w:val="404040"/>
        <w:sz w:val="22"/>
      </w:rPr>
      <w:tcPr>
        <w:tcBorders>
          <w:top w:val="single" w:color="C9C9C9" w:themeColor="accent3" w:themeTint="98" w:sz="4" w:space="0"/>
          <w:bottom w:val="single" w:color="C9C9C9" w:themeColor="accent3" w:themeTint="98" w:sz="4" w:space="0"/>
        </w:tcBorders>
      </w:tcPr>
    </w:tblStylePr>
  </w:style>
  <w:style w:type="table" w:customStyle="1" w:styleId="161">
    <w:name w:val="List Table 3 - Accent 4"/>
    <w:basedOn w:val="37"/>
    <w:qFormat/>
    <w:uiPriority w:val="99"/>
    <w:tblPr>
      <w:tblBorders>
        <w:top w:val="single" w:color="FFD864" w:themeColor="accent4" w:themeTint="9A" w:sz="4" w:space="0"/>
        <w:left w:val="single" w:color="FFD864" w:themeColor="accent4" w:themeTint="9A" w:sz="4" w:space="0"/>
        <w:bottom w:val="single" w:color="FFD864" w:themeColor="accent4" w:themeTint="9A" w:sz="4" w:space="0"/>
        <w:right w:val="single" w:color="FFD864" w:themeColor="accent4" w:themeTint="9A" w:sz="4" w:space="0"/>
      </w:tblBorders>
    </w:tblPr>
    <w:tblStylePr w:type="firstRow">
      <w:rPr>
        <w:rFonts w:ascii="Arial" w:hAnsi="Arial"/>
        <w:b/>
        <w:color w:val="FFFFFF"/>
        <w:sz w:val="22"/>
      </w:rPr>
      <w:tcPr>
        <w:shd w:val="clear" w:color="FFFFFF"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FFD864" w:themeColor="accent4" w:themeTint="9A" w:sz="4" w:space="0"/>
          <w:right w:val="single" w:color="FFD864" w:themeColor="accent4" w:themeTint="9A" w:sz="4" w:space="0"/>
        </w:tcBorders>
      </w:tcPr>
    </w:tblStylePr>
    <w:tblStylePr w:type="band1Horz">
      <w:rPr>
        <w:rFonts w:ascii="Arial" w:hAnsi="Arial"/>
        <w:color w:val="404040"/>
        <w:sz w:val="22"/>
      </w:rPr>
      <w:tcPr>
        <w:tcBorders>
          <w:top w:val="single" w:color="FFD864" w:themeColor="accent4" w:themeTint="9A" w:sz="4" w:space="0"/>
          <w:bottom w:val="single" w:color="FFD864" w:themeColor="accent4" w:themeTint="9A" w:sz="4" w:space="0"/>
        </w:tcBorders>
      </w:tcPr>
    </w:tblStylePr>
  </w:style>
  <w:style w:type="table" w:customStyle="1" w:styleId="162">
    <w:name w:val="List Table 3 - Accent 5"/>
    <w:basedOn w:val="37"/>
    <w:qFormat/>
    <w:uiPriority w:val="99"/>
    <w:tblPr>
      <w:tblBorders>
        <w:top w:val="single" w:color="8EA9DB" w:themeColor="accent5" w:themeTint="9A" w:sz="4" w:space="0"/>
        <w:left w:val="single" w:color="8EA9DB" w:themeColor="accent5" w:themeTint="9A" w:sz="4" w:space="0"/>
        <w:bottom w:val="single" w:color="8EA9DB" w:themeColor="accent5" w:themeTint="9A" w:sz="4" w:space="0"/>
        <w:right w:val="single" w:color="8EA9DB" w:themeColor="accent5" w:themeTint="9A" w:sz="4" w:space="0"/>
      </w:tblBorders>
    </w:tblPr>
    <w:tblStylePr w:type="firstRow">
      <w:rPr>
        <w:rFonts w:ascii="Arial" w:hAnsi="Arial"/>
        <w:b/>
        <w:color w:val="FFFFFF"/>
        <w:sz w:val="22"/>
      </w:rPr>
      <w:tcPr>
        <w:shd w:val="clear" w:color="FFFFFF"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8EA9DB" w:themeColor="accent5" w:themeTint="9A" w:sz="4" w:space="0"/>
          <w:right w:val="single" w:color="8EA9DB" w:themeColor="accent5" w:themeTint="9A" w:sz="4" w:space="0"/>
        </w:tcBorders>
      </w:tcPr>
    </w:tblStylePr>
    <w:tblStylePr w:type="band1Horz">
      <w:rPr>
        <w:rFonts w:ascii="Arial" w:hAnsi="Arial"/>
        <w:color w:val="404040"/>
        <w:sz w:val="22"/>
      </w:rPr>
      <w:tcPr>
        <w:tcBorders>
          <w:top w:val="single" w:color="8EA9DB" w:themeColor="accent5" w:themeTint="9A" w:sz="4" w:space="0"/>
          <w:bottom w:val="single" w:color="8EA9DB" w:themeColor="accent5" w:themeTint="9A" w:sz="4" w:space="0"/>
        </w:tcBorders>
      </w:tcPr>
    </w:tblStylePr>
  </w:style>
  <w:style w:type="table" w:customStyle="1" w:styleId="163">
    <w:name w:val="List Table 3 - Accent 6"/>
    <w:basedOn w:val="37"/>
    <w:qFormat/>
    <w:uiPriority w:val="99"/>
    <w:tblPr>
      <w:tblBorders>
        <w:top w:val="single" w:color="A9D08E" w:themeColor="accent6" w:themeTint="98" w:sz="4" w:space="0"/>
        <w:left w:val="single" w:color="A9D08E" w:themeColor="accent6" w:themeTint="98" w:sz="4" w:space="0"/>
        <w:bottom w:val="single" w:color="A9D08E" w:themeColor="accent6" w:themeTint="98" w:sz="4" w:space="0"/>
        <w:right w:val="single" w:color="A9D08E" w:themeColor="accent6" w:themeTint="98" w:sz="4" w:space="0"/>
      </w:tblBorders>
    </w:tblPr>
    <w:tblStylePr w:type="firstRow">
      <w:rPr>
        <w:rFonts w:ascii="Arial" w:hAnsi="Arial"/>
        <w:b/>
        <w:color w:val="FFFFFF"/>
        <w:sz w:val="22"/>
      </w:rPr>
      <w:tcPr>
        <w:shd w:val="clear" w:color="FFFFFF"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A9D08E" w:themeColor="accent6" w:themeTint="98" w:sz="4" w:space="0"/>
          <w:right w:val="single" w:color="A9D08E" w:themeColor="accent6" w:themeTint="98" w:sz="4" w:space="0"/>
        </w:tcBorders>
      </w:tcPr>
    </w:tblStylePr>
    <w:tblStylePr w:type="band1Horz">
      <w:rPr>
        <w:rFonts w:ascii="Arial" w:hAnsi="Arial"/>
        <w:color w:val="404040"/>
        <w:sz w:val="22"/>
      </w:rPr>
      <w:tcPr>
        <w:tcBorders>
          <w:top w:val="single" w:color="A9D08E" w:themeColor="accent6" w:themeTint="98" w:sz="4" w:space="0"/>
          <w:bottom w:val="single" w:color="A9D08E" w:themeColor="accent6" w:themeTint="98" w:sz="4" w:space="0"/>
        </w:tcBorders>
      </w:tcPr>
    </w:tblStylePr>
  </w:style>
  <w:style w:type="table" w:customStyle="1" w:styleId="164">
    <w:name w:val="清单表 41"/>
    <w:basedOn w:val="37"/>
    <w:qFormat/>
    <w:uiPriority w:val="9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firstRow">
      <w:rPr>
        <w:rFonts w:ascii="Arial" w:hAnsi="Arial"/>
        <w:b/>
        <w:color w:val="FFFFFF"/>
        <w:sz w:val="22"/>
      </w:r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BFBFBF" w:fill="BFBFBF"/>
      </w:tcPr>
    </w:tblStylePr>
    <w:tblStylePr w:type="band1Horz">
      <w:rPr>
        <w:rFonts w:ascii="Arial" w:hAnsi="Arial"/>
        <w:color w:val="404040"/>
        <w:sz w:val="22"/>
      </w:rPr>
      <w:tcPr>
        <w:shd w:val="clear" w:color="BFBFBF" w:fill="BFBFBF"/>
      </w:tcPr>
    </w:tblStylePr>
  </w:style>
  <w:style w:type="table" w:customStyle="1" w:styleId="165">
    <w:name w:val="List Table 4 - Accent 1"/>
    <w:basedOn w:val="37"/>
    <w:qFormat/>
    <w:uiPriority w:val="99"/>
    <w:tblPr>
      <w:tblBorders>
        <w:top w:val="single" w:color="A2C6E7" w:themeColor="accent1" w:themeTint="90" w:sz="4" w:space="0"/>
        <w:left w:val="single" w:color="A2C6E7" w:themeColor="accent1" w:themeTint="90" w:sz="4" w:space="0"/>
        <w:bottom w:val="single" w:color="A2C6E7" w:themeColor="accent1" w:themeTint="90" w:sz="4" w:space="0"/>
        <w:right w:val="single" w:color="A2C6E7" w:themeColor="accent1" w:themeTint="90" w:sz="4" w:space="0"/>
        <w:insideH w:val="single" w:color="A2C6E7" w:themeColor="accent1" w:themeTint="90" w:sz="4" w:space="0"/>
      </w:tblBorders>
    </w:tblPr>
    <w:tblStylePr w:type="firstRow">
      <w:rPr>
        <w:rFonts w:ascii="Arial" w:hAnsi="Arial"/>
        <w:b/>
        <w:color w:val="FFFFFF"/>
        <w:sz w:val="22"/>
      </w:rPr>
      <w:tcPr>
        <w:shd w:val="clear" w:color="FFFFFF"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66">
    <w:name w:val="List Table 4 - Accent 2"/>
    <w:basedOn w:val="37"/>
    <w:qFormat/>
    <w:uiPriority w:val="99"/>
    <w:tblPr>
      <w:tblBorders>
        <w:top w:val="single" w:color="F4B58A" w:themeColor="accent2" w:themeTint="90" w:sz="4" w:space="0"/>
        <w:left w:val="single" w:color="F4B58A" w:themeColor="accent2" w:themeTint="90" w:sz="4" w:space="0"/>
        <w:bottom w:val="single" w:color="F4B58A" w:themeColor="accent2" w:themeTint="90" w:sz="4" w:space="0"/>
        <w:right w:val="single" w:color="F4B58A" w:themeColor="accent2" w:themeTint="90" w:sz="4" w:space="0"/>
        <w:insideH w:val="single" w:color="F4B58A" w:themeColor="accent2" w:themeTint="90" w:sz="4" w:space="0"/>
      </w:tblBorders>
    </w:tblPr>
    <w:tblStylePr w:type="firstRow">
      <w:rPr>
        <w:rFonts w:ascii="Arial" w:hAnsi="Arial"/>
        <w:b/>
        <w:color w:val="FFFFFF"/>
        <w:sz w:val="22"/>
      </w:rPr>
      <w:tcPr>
        <w:shd w:val="clear" w:color="FFFFFF"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67">
    <w:name w:val="List Table 4 - Accent 3"/>
    <w:basedOn w:val="37"/>
    <w:qFormat/>
    <w:uiPriority w:val="99"/>
    <w:tblPr>
      <w:tblBorders>
        <w:top w:val="single" w:color="CCCCCC" w:themeColor="accent3" w:themeTint="90" w:sz="4" w:space="0"/>
        <w:left w:val="single" w:color="CCCCCC" w:themeColor="accent3" w:themeTint="90" w:sz="4" w:space="0"/>
        <w:bottom w:val="single" w:color="CCCCCC" w:themeColor="accent3" w:themeTint="90" w:sz="4" w:space="0"/>
        <w:right w:val="single" w:color="CCCCCC" w:themeColor="accent3" w:themeTint="90" w:sz="4" w:space="0"/>
        <w:insideH w:val="single" w:color="CCCCCC" w:themeColor="accent3" w:themeTint="90" w:sz="4" w:space="0"/>
      </w:tblBorders>
    </w:tblPr>
    <w:tblStylePr w:type="firstRow">
      <w:rPr>
        <w:rFonts w:ascii="Arial" w:hAnsi="Arial"/>
        <w:b/>
        <w:color w:val="FFFFFF"/>
        <w:sz w:val="22"/>
      </w:rPr>
      <w:tcPr>
        <w:shd w:val="clear" w:color="FFFFFF"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68">
    <w:name w:val="List Table 4 - Accent 4"/>
    <w:basedOn w:val="37"/>
    <w:qFormat/>
    <w:uiPriority w:val="99"/>
    <w:tblPr>
      <w:tblBorders>
        <w:top w:val="single" w:color="FFDB6E" w:themeColor="accent4" w:themeTint="90" w:sz="4" w:space="0"/>
        <w:left w:val="single" w:color="FFDB6E" w:themeColor="accent4" w:themeTint="90" w:sz="4" w:space="0"/>
        <w:bottom w:val="single" w:color="FFDB6E" w:themeColor="accent4" w:themeTint="90" w:sz="4" w:space="0"/>
        <w:right w:val="single" w:color="FFDB6E" w:themeColor="accent4" w:themeTint="90" w:sz="4" w:space="0"/>
        <w:insideH w:val="single" w:color="FFDB6E" w:themeColor="accent4" w:themeTint="90" w:sz="4" w:space="0"/>
      </w:tblBorders>
    </w:tblPr>
    <w:tblStylePr w:type="firstRow">
      <w:rPr>
        <w:rFonts w:ascii="Arial" w:hAnsi="Arial"/>
        <w:b/>
        <w:color w:val="FFFFFF"/>
        <w:sz w:val="22"/>
      </w:rPr>
      <w:tcPr>
        <w:shd w:val="clear" w:color="FFFFFF"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69">
    <w:name w:val="List Table 4 - Accent 5"/>
    <w:basedOn w:val="37"/>
    <w:qFormat/>
    <w:uiPriority w:val="99"/>
    <w:tblPr>
      <w:tblBorders>
        <w:top w:val="single" w:color="95AFDD" w:themeColor="accent5" w:themeTint="90" w:sz="4" w:space="0"/>
        <w:left w:val="single" w:color="95AFDD" w:themeColor="accent5" w:themeTint="90" w:sz="4" w:space="0"/>
        <w:bottom w:val="single" w:color="95AFDD" w:themeColor="accent5" w:themeTint="90" w:sz="4" w:space="0"/>
        <w:right w:val="single" w:color="95AFDD" w:themeColor="accent5" w:themeTint="90" w:sz="4" w:space="0"/>
        <w:insideH w:val="single" w:color="95AFDD" w:themeColor="accent5" w:themeTint="90" w:sz="4" w:space="0"/>
      </w:tblBorders>
    </w:tblPr>
    <w:tblStylePr w:type="firstRow">
      <w:rPr>
        <w:rFonts w:ascii="Arial" w:hAnsi="Arial"/>
        <w:b/>
        <w:color w:val="FFFFFF"/>
        <w:sz w:val="22"/>
      </w:rPr>
      <w:tcPr>
        <w:shd w:val="clear" w:color="FFFFFF"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70">
    <w:name w:val="List Table 4 - Accent 6"/>
    <w:basedOn w:val="37"/>
    <w:qFormat/>
    <w:uiPriority w:val="99"/>
    <w:tblPr>
      <w:tblBorders>
        <w:top w:val="single" w:color="ADD394" w:themeColor="accent6" w:themeTint="90" w:sz="4" w:space="0"/>
        <w:left w:val="single" w:color="ADD394" w:themeColor="accent6" w:themeTint="90" w:sz="4" w:space="0"/>
        <w:bottom w:val="single" w:color="ADD394" w:themeColor="accent6" w:themeTint="90" w:sz="4" w:space="0"/>
        <w:right w:val="single" w:color="ADD394" w:themeColor="accent6" w:themeTint="90" w:sz="4" w:space="0"/>
        <w:insideH w:val="single" w:color="ADD394" w:themeColor="accent6" w:themeTint="90" w:sz="4" w:space="0"/>
      </w:tblBorders>
    </w:tblPr>
    <w:tblStylePr w:type="firstRow">
      <w:rPr>
        <w:rFonts w:ascii="Arial" w:hAnsi="Arial"/>
        <w:b/>
        <w:color w:val="FFFFFF"/>
        <w:sz w:val="22"/>
      </w:rPr>
      <w:tcPr>
        <w:shd w:val="clear" w:color="FFFFFF"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FFFFFF" w:fill="auto"/>
      </w:tcPr>
    </w:tblStylePr>
    <w:tblStylePr w:type="band1Horz">
      <w:rPr>
        <w:rFonts w:ascii="Arial" w:hAnsi="Arial"/>
        <w:color w:val="404040"/>
        <w:sz w:val="22"/>
      </w:rPr>
      <w:tcPr>
        <w:shd w:val="clear" w:color="FFFFFF" w:fill="auto"/>
      </w:tcPr>
    </w:tblStylePr>
  </w:style>
  <w:style w:type="table" w:customStyle="1" w:styleId="171">
    <w:name w:val="清单表 5 深色1"/>
    <w:basedOn w:val="37"/>
    <w:qFormat/>
    <w:uiPriority w:val="99"/>
    <w:tblPr>
      <w:tblBorders>
        <w:top w:val="single" w:color="7E7E7E" w:themeColor="text1" w:themeTint="80" w:sz="32" w:space="0"/>
        <w:left w:val="single" w:color="7E7E7E" w:themeColor="text1" w:themeTint="80" w:sz="32" w:space="0"/>
        <w:bottom w:val="single" w:color="7E7E7E" w:themeColor="text1" w:themeTint="80" w:sz="32" w:space="0"/>
        <w:right w:val="single" w:color="7E7E7E" w:themeColor="text1" w:themeTint="80" w:sz="32" w:space="0"/>
      </w:tblBorders>
    </w:tblPr>
    <w:tblStylePr w:type="firstRow">
      <w:rPr>
        <w:rFonts w:ascii="Arial" w:hAnsi="Arial"/>
        <w:b/>
        <w:color w:val="FFFFFF" w:themeColor="light1"/>
        <w:sz w:val="22"/>
        <w14:textFill>
          <w14:solidFill>
            <w14:schemeClr w14:val="lt1"/>
          </w14:solidFill>
        </w14:textFill>
      </w:rPr>
      <w:tcPr>
        <w:tcBorders>
          <w:top w:val="single" w:color="7E7E7E" w:themeColor="text1" w:themeTint="80" w:sz="32" w:space="0"/>
          <w:bottom w:val="single" w:color="FFFFFF" w:themeColor="light1" w:sz="12" w:space="0"/>
        </w:tcBorders>
        <w:shd w:val="clear" w:color="7F7F7F" w:fill="7F7F7F"/>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7E7E7E" w:themeColor="text1" w:themeTint="80" w:sz="32" w:space="0"/>
          <w:right w:val="single" w:color="FFFFFF" w:themeColor="light1" w:sz="4" w:space="0"/>
        </w:tcBorders>
      </w:tcPr>
    </w:tblStylePr>
    <w:tblStylePr w:type="lastCol">
      <w:tcPr>
        <w:tcBorders>
          <w:left w:val="single" w:color="FFFFFF" w:themeColor="light1" w:sz="4" w:space="0"/>
          <w:right w:val="single" w:color="7E7E7E" w:themeColor="text1" w:themeTint="80" w:sz="32" w:space="0"/>
        </w:tcBorders>
      </w:tcPr>
    </w:tblStylePr>
    <w:tblStylePr w:type="band1Vert">
      <w:tcPr>
        <w:tcBorders>
          <w:left w:val="single" w:color="FFFFFF" w:themeColor="light1" w:sz="4" w:space="0"/>
          <w:right w:val="single" w:color="FFFFFF" w:themeColor="light1" w:sz="4" w:space="0"/>
        </w:tcBorders>
        <w:shd w:val="clear" w:color="7F7F7F" w:fill="7F7F7F"/>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7F7F7F" w:fill="7F7F7F"/>
      </w:tcPr>
    </w:tblStylePr>
    <w:tblStylePr w:type="band2Horz">
      <w:tcPr>
        <w:tcBorders>
          <w:top w:val="single" w:color="FFFFFF" w:themeColor="light1" w:sz="4" w:space="0"/>
          <w:bottom w:val="single" w:color="FFFFFF" w:themeColor="light1" w:sz="4" w:space="0"/>
        </w:tcBorders>
        <w:shd w:val="clear" w:color="7F7F7F" w:fill="7F7F7F"/>
      </w:tcPr>
    </w:tblStylePr>
  </w:style>
  <w:style w:type="table" w:customStyle="1" w:styleId="172">
    <w:name w:val="List Table 5 Dark - Accent 1"/>
    <w:basedOn w:val="37"/>
    <w:qFormat/>
    <w:uiPriority w:val="99"/>
    <w:tblPr>
      <w:tblBorders>
        <w:top w:val="single" w:color="5B9BD5" w:themeColor="accent1" w:sz="32" w:space="0"/>
        <w:left w:val="single" w:color="5B9BD5" w:themeColor="accent1" w:sz="32" w:space="0"/>
        <w:bottom w:val="single" w:color="5B9BD5" w:themeColor="accent1" w:sz="32" w:space="0"/>
        <w:right w:val="single" w:color="5B9BD5" w:themeColor="accent1" w:sz="32" w:space="0"/>
      </w:tblBorders>
    </w:tblPr>
    <w:tblStylePr w:type="firstRow">
      <w:rPr>
        <w:rFonts w:ascii="Arial" w:hAnsi="Arial"/>
        <w:b/>
        <w:color w:val="FFFFFF" w:themeColor="light1"/>
        <w:sz w:val="22"/>
        <w14:textFill>
          <w14:solidFill>
            <w14:schemeClr w14:val="lt1"/>
          </w14:solidFill>
        </w14:textFill>
      </w:rPr>
      <w:tcPr>
        <w:tcBorders>
          <w:top w:val="single" w:color="5B9BD5" w:themeColor="accent1" w:sz="32" w:space="0"/>
          <w:bottom w:val="single" w:color="FFFFFF" w:themeColor="light1" w:sz="12" w:space="0"/>
        </w:tcBorders>
        <w:shd w:val="clear" w:color="FFFFFF" w:fill="auto"/>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5B9BD5" w:themeColor="accent1" w:sz="32" w:space="0"/>
          <w:right w:val="single" w:color="FFFFFF" w:themeColor="light1" w:sz="4" w:space="0"/>
        </w:tcBorders>
      </w:tcPr>
    </w:tblStylePr>
    <w:tblStylePr w:type="lastCol">
      <w:tcPr>
        <w:tcBorders>
          <w:left w:val="single" w:color="FFFFFF" w:themeColor="light1" w:sz="4" w:space="0"/>
          <w:right w:val="single" w:color="5B9BD5" w:themeColor="accent1" w:sz="32" w:space="0"/>
        </w:tcBorders>
      </w:tcPr>
    </w:tblStylePr>
    <w:tblStylePr w:type="band1Vert">
      <w:tcPr>
        <w:tcBorders>
          <w:left w:val="single" w:color="FFFFFF" w:themeColor="light1" w:sz="4" w:space="0"/>
          <w:right w:val="single" w:color="FFFFFF" w:themeColor="light1" w:sz="4" w:space="0"/>
        </w:tcBorders>
        <w:shd w:val="clear" w:color="FFFFFF" w:fill="auto"/>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FFFFFF" w:fill="auto"/>
      </w:tcPr>
    </w:tblStylePr>
    <w:tblStylePr w:type="band2Horz">
      <w:tcPr>
        <w:tcBorders>
          <w:top w:val="single" w:color="FFFFFF" w:themeColor="light1" w:sz="4" w:space="0"/>
          <w:bottom w:val="single" w:color="FFFFFF" w:themeColor="light1" w:sz="4" w:space="0"/>
        </w:tcBorders>
        <w:shd w:val="clear" w:color="FFFFFF" w:fill="auto"/>
      </w:tcPr>
    </w:tblStylePr>
  </w:style>
  <w:style w:type="table" w:customStyle="1" w:styleId="173">
    <w:name w:val="List Table 5 Dark - Accent 2"/>
    <w:basedOn w:val="37"/>
    <w:qFormat/>
    <w:uiPriority w:val="99"/>
    <w:tblPr>
      <w:tblBorders>
        <w:top w:val="single" w:color="F4B285" w:themeColor="accent2" w:themeTint="97" w:sz="32" w:space="0"/>
        <w:left w:val="single" w:color="F4B285" w:themeColor="accent2" w:themeTint="97" w:sz="32" w:space="0"/>
        <w:bottom w:val="single" w:color="F4B285" w:themeColor="accent2" w:themeTint="97" w:sz="32" w:space="0"/>
        <w:right w:val="single" w:color="F4B285" w:themeColor="accent2" w:themeTint="97" w:sz="32" w:space="0"/>
      </w:tblBorders>
    </w:tblPr>
    <w:tblStylePr w:type="firstRow">
      <w:rPr>
        <w:rFonts w:ascii="Arial" w:hAnsi="Arial"/>
        <w:b/>
        <w:color w:val="FFFFFF" w:themeColor="light1"/>
        <w:sz w:val="22"/>
        <w14:textFill>
          <w14:solidFill>
            <w14:schemeClr w14:val="lt1"/>
          </w14:solidFill>
        </w14:textFill>
      </w:rPr>
      <w:tcPr>
        <w:tcBorders>
          <w:top w:val="single" w:color="F4B285" w:themeColor="accent2" w:themeTint="97" w:sz="32" w:space="0"/>
          <w:bottom w:val="single" w:color="FFFFFF" w:themeColor="light1" w:sz="12" w:space="0"/>
        </w:tcBorders>
        <w:shd w:val="clear" w:color="FFFFFF" w:fill="auto"/>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F4B285" w:themeColor="accent2" w:themeTint="97" w:sz="32" w:space="0"/>
          <w:right w:val="single" w:color="FFFFFF" w:themeColor="light1" w:sz="4" w:space="0"/>
        </w:tcBorders>
      </w:tcPr>
    </w:tblStylePr>
    <w:tblStylePr w:type="lastCol">
      <w:tcPr>
        <w:tcBorders>
          <w:left w:val="single" w:color="FFFFFF" w:themeColor="light1" w:sz="4" w:space="0"/>
          <w:right w:val="single" w:color="F4B285" w:themeColor="accent2" w:themeTint="97" w:sz="32" w:space="0"/>
        </w:tcBorders>
      </w:tcPr>
    </w:tblStylePr>
    <w:tblStylePr w:type="band1Vert">
      <w:tcPr>
        <w:tcBorders>
          <w:left w:val="single" w:color="FFFFFF" w:themeColor="light1" w:sz="4" w:space="0"/>
          <w:right w:val="single" w:color="FFFFFF" w:themeColor="light1" w:sz="4" w:space="0"/>
        </w:tcBorders>
        <w:shd w:val="clear" w:color="FFFFFF" w:fill="auto"/>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FFFFFF" w:fill="auto"/>
      </w:tcPr>
    </w:tblStylePr>
    <w:tblStylePr w:type="band2Horz">
      <w:tcPr>
        <w:tcBorders>
          <w:top w:val="single" w:color="FFFFFF" w:themeColor="light1" w:sz="4" w:space="0"/>
          <w:bottom w:val="single" w:color="FFFFFF" w:themeColor="light1" w:sz="4" w:space="0"/>
        </w:tcBorders>
        <w:shd w:val="clear" w:color="FFFFFF" w:fill="auto"/>
      </w:tcPr>
    </w:tblStylePr>
  </w:style>
  <w:style w:type="table" w:customStyle="1" w:styleId="174">
    <w:name w:val="List Table 5 Dark - Accent 3"/>
    <w:basedOn w:val="37"/>
    <w:qFormat/>
    <w:uiPriority w:val="99"/>
    <w:tblPr>
      <w:tblBorders>
        <w:top w:val="single" w:color="C9C9C9" w:themeColor="accent3" w:themeTint="98" w:sz="32" w:space="0"/>
        <w:left w:val="single" w:color="C9C9C9" w:themeColor="accent3" w:themeTint="98" w:sz="32" w:space="0"/>
        <w:bottom w:val="single" w:color="C9C9C9" w:themeColor="accent3" w:themeTint="98" w:sz="32" w:space="0"/>
        <w:right w:val="single" w:color="C9C9C9" w:themeColor="accent3" w:themeTint="98" w:sz="32" w:space="0"/>
      </w:tblBorders>
    </w:tblPr>
    <w:tblStylePr w:type="firstRow">
      <w:rPr>
        <w:rFonts w:ascii="Arial" w:hAnsi="Arial"/>
        <w:b/>
        <w:color w:val="FFFFFF" w:themeColor="light1"/>
        <w:sz w:val="22"/>
        <w14:textFill>
          <w14:solidFill>
            <w14:schemeClr w14:val="lt1"/>
          </w14:solidFill>
        </w14:textFill>
      </w:rPr>
      <w:tcPr>
        <w:tcBorders>
          <w:top w:val="single" w:color="C9C9C9" w:themeColor="accent3" w:themeTint="98" w:sz="32" w:space="0"/>
          <w:bottom w:val="single" w:color="FFFFFF" w:themeColor="light1" w:sz="12" w:space="0"/>
        </w:tcBorders>
        <w:shd w:val="clear" w:color="FFFFFF" w:fill="auto"/>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C9C9C9" w:themeColor="accent3" w:themeTint="98" w:sz="32" w:space="0"/>
          <w:right w:val="single" w:color="FFFFFF" w:themeColor="light1" w:sz="4" w:space="0"/>
        </w:tcBorders>
      </w:tcPr>
    </w:tblStylePr>
    <w:tblStylePr w:type="lastCol">
      <w:tcPr>
        <w:tcBorders>
          <w:left w:val="single" w:color="FFFFFF" w:themeColor="light1" w:sz="4" w:space="0"/>
          <w:right w:val="single" w:color="C9C9C9" w:themeColor="accent3" w:themeTint="98" w:sz="32" w:space="0"/>
        </w:tcBorders>
      </w:tcPr>
    </w:tblStylePr>
    <w:tblStylePr w:type="band1Vert">
      <w:tcPr>
        <w:tcBorders>
          <w:left w:val="single" w:color="FFFFFF" w:themeColor="light1" w:sz="4" w:space="0"/>
          <w:right w:val="single" w:color="FFFFFF" w:themeColor="light1" w:sz="4" w:space="0"/>
        </w:tcBorders>
        <w:shd w:val="clear" w:color="FFFFFF" w:fill="auto"/>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FFFFFF" w:fill="auto"/>
      </w:tcPr>
    </w:tblStylePr>
    <w:tblStylePr w:type="band2Horz">
      <w:tcPr>
        <w:tcBorders>
          <w:top w:val="single" w:color="FFFFFF" w:themeColor="light1" w:sz="4" w:space="0"/>
          <w:bottom w:val="single" w:color="FFFFFF" w:themeColor="light1" w:sz="4" w:space="0"/>
        </w:tcBorders>
        <w:shd w:val="clear" w:color="FFFFFF" w:fill="auto"/>
      </w:tcPr>
    </w:tblStylePr>
  </w:style>
  <w:style w:type="table" w:customStyle="1" w:styleId="175">
    <w:name w:val="List Table 5 Dark - Accent 4"/>
    <w:basedOn w:val="37"/>
    <w:qFormat/>
    <w:uiPriority w:val="99"/>
    <w:tblPr>
      <w:tblBorders>
        <w:top w:val="single" w:color="FFD864" w:themeColor="accent4" w:themeTint="9A" w:sz="32" w:space="0"/>
        <w:left w:val="single" w:color="FFD864" w:themeColor="accent4" w:themeTint="9A" w:sz="32" w:space="0"/>
        <w:bottom w:val="single" w:color="FFD864" w:themeColor="accent4" w:themeTint="9A" w:sz="32" w:space="0"/>
        <w:right w:val="single" w:color="FFD864" w:themeColor="accent4" w:themeTint="9A" w:sz="32" w:space="0"/>
      </w:tblBorders>
    </w:tblPr>
    <w:tblStylePr w:type="firstRow">
      <w:rPr>
        <w:rFonts w:ascii="Arial" w:hAnsi="Arial"/>
        <w:b/>
        <w:color w:val="FFFFFF" w:themeColor="light1"/>
        <w:sz w:val="22"/>
        <w14:textFill>
          <w14:solidFill>
            <w14:schemeClr w14:val="lt1"/>
          </w14:solidFill>
        </w14:textFill>
      </w:rPr>
      <w:tcPr>
        <w:tcBorders>
          <w:top w:val="single" w:color="FFD864" w:themeColor="accent4" w:themeTint="9A" w:sz="32" w:space="0"/>
          <w:bottom w:val="single" w:color="FFFFFF" w:themeColor="light1" w:sz="12" w:space="0"/>
        </w:tcBorders>
        <w:shd w:val="clear" w:color="FFFFFF" w:fill="auto"/>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FFD864" w:themeColor="accent4" w:themeTint="9A" w:sz="32" w:space="0"/>
          <w:right w:val="single" w:color="FFFFFF" w:themeColor="light1" w:sz="4" w:space="0"/>
        </w:tcBorders>
      </w:tcPr>
    </w:tblStylePr>
    <w:tblStylePr w:type="lastCol">
      <w:tcPr>
        <w:tcBorders>
          <w:left w:val="single" w:color="FFFFFF" w:themeColor="light1" w:sz="4" w:space="0"/>
          <w:right w:val="single" w:color="FFD864" w:themeColor="accent4" w:themeTint="9A" w:sz="32" w:space="0"/>
        </w:tcBorders>
      </w:tcPr>
    </w:tblStylePr>
    <w:tblStylePr w:type="band1Vert">
      <w:tcPr>
        <w:tcBorders>
          <w:left w:val="single" w:color="FFFFFF" w:themeColor="light1" w:sz="4" w:space="0"/>
          <w:right w:val="single" w:color="FFFFFF" w:themeColor="light1" w:sz="4" w:space="0"/>
        </w:tcBorders>
        <w:shd w:val="clear" w:color="FFFFFF" w:fill="auto"/>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FFFFFF" w:fill="auto"/>
      </w:tcPr>
    </w:tblStylePr>
    <w:tblStylePr w:type="band2Horz">
      <w:tcPr>
        <w:tcBorders>
          <w:top w:val="single" w:color="FFFFFF" w:themeColor="light1" w:sz="4" w:space="0"/>
          <w:bottom w:val="single" w:color="FFFFFF" w:themeColor="light1" w:sz="4" w:space="0"/>
        </w:tcBorders>
        <w:shd w:val="clear" w:color="FFFFFF" w:fill="auto"/>
      </w:tcPr>
    </w:tblStylePr>
  </w:style>
  <w:style w:type="table" w:customStyle="1" w:styleId="176">
    <w:name w:val="List Table 5 Dark - Accent 5"/>
    <w:basedOn w:val="37"/>
    <w:qFormat/>
    <w:uiPriority w:val="99"/>
    <w:tblPr>
      <w:tblBorders>
        <w:top w:val="single" w:color="8EA9DB" w:themeColor="accent5" w:themeTint="9A" w:sz="32" w:space="0"/>
        <w:left w:val="single" w:color="8EA9DB" w:themeColor="accent5" w:themeTint="9A" w:sz="32" w:space="0"/>
        <w:bottom w:val="single" w:color="8EA9DB" w:themeColor="accent5" w:themeTint="9A" w:sz="32" w:space="0"/>
        <w:right w:val="single" w:color="8EA9DB" w:themeColor="accent5" w:themeTint="9A" w:sz="32" w:space="0"/>
      </w:tblBorders>
    </w:tblPr>
    <w:tblStylePr w:type="firstRow">
      <w:rPr>
        <w:rFonts w:ascii="Arial" w:hAnsi="Arial"/>
        <w:b/>
        <w:color w:val="FFFFFF" w:themeColor="light1"/>
        <w:sz w:val="22"/>
        <w14:textFill>
          <w14:solidFill>
            <w14:schemeClr w14:val="lt1"/>
          </w14:solidFill>
        </w14:textFill>
      </w:rPr>
      <w:tcPr>
        <w:tcBorders>
          <w:top w:val="single" w:color="8EA9DB" w:themeColor="accent5" w:themeTint="9A" w:sz="32" w:space="0"/>
          <w:bottom w:val="single" w:color="FFFFFF" w:themeColor="light1" w:sz="12" w:space="0"/>
        </w:tcBorders>
        <w:shd w:val="clear" w:color="FFFFFF" w:fill="auto"/>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8EA9DB" w:themeColor="accent5" w:themeTint="9A" w:sz="32" w:space="0"/>
          <w:right w:val="single" w:color="FFFFFF" w:themeColor="light1" w:sz="4" w:space="0"/>
        </w:tcBorders>
      </w:tcPr>
    </w:tblStylePr>
    <w:tblStylePr w:type="lastCol">
      <w:tcPr>
        <w:tcBorders>
          <w:left w:val="single" w:color="FFFFFF" w:themeColor="light1" w:sz="4" w:space="0"/>
          <w:right w:val="single" w:color="8EA9DB" w:themeColor="accent5" w:themeTint="9A" w:sz="32" w:space="0"/>
        </w:tcBorders>
      </w:tcPr>
    </w:tblStylePr>
    <w:tblStylePr w:type="band1Vert">
      <w:tcPr>
        <w:tcBorders>
          <w:left w:val="single" w:color="FFFFFF" w:themeColor="light1" w:sz="4" w:space="0"/>
          <w:right w:val="single" w:color="FFFFFF" w:themeColor="light1" w:sz="4" w:space="0"/>
        </w:tcBorders>
        <w:shd w:val="clear" w:color="FFFFFF" w:fill="auto"/>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FFFFFF" w:fill="auto"/>
      </w:tcPr>
    </w:tblStylePr>
    <w:tblStylePr w:type="band2Horz">
      <w:tcPr>
        <w:tcBorders>
          <w:top w:val="single" w:color="FFFFFF" w:themeColor="light1" w:sz="4" w:space="0"/>
          <w:bottom w:val="single" w:color="FFFFFF" w:themeColor="light1" w:sz="4" w:space="0"/>
        </w:tcBorders>
        <w:shd w:val="clear" w:color="FFFFFF" w:fill="auto"/>
      </w:tcPr>
    </w:tblStylePr>
  </w:style>
  <w:style w:type="table" w:customStyle="1" w:styleId="177">
    <w:name w:val="List Table 5 Dark - Accent 6"/>
    <w:basedOn w:val="37"/>
    <w:qFormat/>
    <w:uiPriority w:val="99"/>
    <w:tblPr>
      <w:tblBorders>
        <w:top w:val="single" w:color="A9D08E" w:themeColor="accent6" w:themeTint="98" w:sz="32" w:space="0"/>
        <w:left w:val="single" w:color="A9D08E" w:themeColor="accent6" w:themeTint="98" w:sz="32" w:space="0"/>
        <w:bottom w:val="single" w:color="A9D08E" w:themeColor="accent6" w:themeTint="98" w:sz="32" w:space="0"/>
        <w:right w:val="single" w:color="A9D08E" w:themeColor="accent6" w:themeTint="98" w:sz="32" w:space="0"/>
      </w:tblBorders>
    </w:tblPr>
    <w:tblStylePr w:type="firstRow">
      <w:rPr>
        <w:rFonts w:ascii="Arial" w:hAnsi="Arial"/>
        <w:b/>
        <w:color w:val="FFFFFF" w:themeColor="light1"/>
        <w:sz w:val="22"/>
        <w14:textFill>
          <w14:solidFill>
            <w14:schemeClr w14:val="lt1"/>
          </w14:solidFill>
        </w14:textFill>
      </w:rPr>
      <w:tcPr>
        <w:tcBorders>
          <w:top w:val="single" w:color="A9D08E" w:themeColor="accent6" w:themeTint="98" w:sz="32" w:space="0"/>
          <w:bottom w:val="single" w:color="FFFFFF" w:themeColor="light1" w:sz="12" w:space="0"/>
        </w:tcBorders>
        <w:shd w:val="clear" w:color="FFFFFF" w:fill="auto"/>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A9D08E" w:themeColor="accent6" w:themeTint="98" w:sz="32" w:space="0"/>
          <w:right w:val="single" w:color="FFFFFF" w:themeColor="light1" w:sz="4" w:space="0"/>
        </w:tcBorders>
      </w:tcPr>
    </w:tblStylePr>
    <w:tblStylePr w:type="lastCol">
      <w:tcPr>
        <w:tcBorders>
          <w:left w:val="single" w:color="FFFFFF" w:themeColor="light1" w:sz="4" w:space="0"/>
          <w:right w:val="single" w:color="A9D08E" w:themeColor="accent6" w:themeTint="98" w:sz="32" w:space="0"/>
        </w:tcBorders>
      </w:tcPr>
    </w:tblStylePr>
    <w:tblStylePr w:type="band1Vert">
      <w:tcPr>
        <w:tcBorders>
          <w:left w:val="single" w:color="FFFFFF" w:themeColor="light1" w:sz="4" w:space="0"/>
          <w:right w:val="single" w:color="FFFFFF" w:themeColor="light1" w:sz="4" w:space="0"/>
        </w:tcBorders>
        <w:shd w:val="clear" w:color="FFFFFF" w:fill="auto"/>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FFFFFF" w:fill="auto"/>
      </w:tcPr>
    </w:tblStylePr>
    <w:tblStylePr w:type="band2Horz">
      <w:tcPr>
        <w:tcBorders>
          <w:top w:val="single" w:color="FFFFFF" w:themeColor="light1" w:sz="4" w:space="0"/>
          <w:bottom w:val="single" w:color="FFFFFF" w:themeColor="light1" w:sz="4" w:space="0"/>
        </w:tcBorders>
        <w:shd w:val="clear" w:color="FFFFFF" w:fill="auto"/>
      </w:tcPr>
    </w:tblStylePr>
  </w:style>
  <w:style w:type="table" w:customStyle="1" w:styleId="178">
    <w:name w:val="清单表 6 彩色1"/>
    <w:basedOn w:val="37"/>
    <w:qFormat/>
    <w:uiPriority w:val="99"/>
    <w:tblPr>
      <w:tblBorders>
        <w:top w:val="single" w:color="7E7E7E" w:themeColor="text1" w:themeTint="80" w:sz="4" w:space="0"/>
        <w:bottom w:val="single" w:color="7E7E7E" w:themeColor="text1" w:themeTint="80" w:sz="4" w:space="0"/>
      </w:tblBorders>
    </w:tblPr>
    <w:tblStylePr w:type="firstRow">
      <w:rPr>
        <w:b/>
        <w:color w:val="000000" w:themeColor="text1"/>
        <w14:textFill>
          <w14:solidFill>
            <w14:schemeClr w14:val="tx1"/>
          </w14:solidFill>
        </w14:textFill>
      </w:rPr>
      <w:tcPr>
        <w:tcBorders>
          <w:bottom w:val="single" w:color="7E7E7E" w:themeColor="text1" w:themeTint="80" w:sz="4" w:space="0"/>
        </w:tcBorders>
      </w:tcPr>
    </w:tblStylePr>
    <w:tblStylePr w:type="lastRow">
      <w:rPr>
        <w:b/>
        <w:color w:val="000000" w:themeColor="text1"/>
        <w14:textFill>
          <w14:solidFill>
            <w14:schemeClr w14:val="tx1"/>
          </w14:solidFill>
        </w14:textFill>
      </w:rPr>
      <w:tcPr>
        <w:tcBorders>
          <w:top w:val="single" w:color="7E7E7E" w:themeColor="text1" w:themeTint="80" w:sz="4" w:space="0"/>
        </w:tcBorders>
      </w:tcPr>
    </w:tblStylePr>
    <w:tblStylePr w:type="firstCol">
      <w:rPr>
        <w:b/>
        <w:color w:val="000000" w:themeColor="text1"/>
        <w14:textFill>
          <w14:solidFill>
            <w14:schemeClr w14:val="tx1"/>
          </w14:solidFill>
        </w14:textFill>
      </w:rPr>
    </w:tblStylePr>
    <w:tblStylePr w:type="lastCol">
      <w:rPr>
        <w:b/>
        <w:color w:val="000000" w:themeColor="text1"/>
        <w14:textFill>
          <w14:solidFill>
            <w14:schemeClr w14:val="tx1"/>
          </w14:solidFill>
        </w14:textFill>
      </w:rPr>
    </w:tblStylePr>
    <w:tblStylePr w:type="band1Vert">
      <w:tcPr>
        <w:shd w:val="clear" w:color="BFBFBF" w:fill="BFBFBF"/>
      </w:tcPr>
    </w:tblStylePr>
    <w:tblStylePr w:type="band1Horz">
      <w:rPr>
        <w:rFonts w:ascii="Arial" w:hAnsi="Arial"/>
        <w:color w:val="000000" w:themeColor="text1"/>
        <w:sz w:val="22"/>
        <w14:textFill>
          <w14:solidFill>
            <w14:schemeClr w14:val="tx1"/>
          </w14:solidFill>
        </w14:textFill>
      </w:rPr>
      <w:tcPr>
        <w:shd w:val="clear" w:color="BFBFBF" w:fill="BFBFBF"/>
      </w:tcPr>
    </w:tblStylePr>
    <w:tblStylePr w:type="band2Horz">
      <w:rPr>
        <w:rFonts w:ascii="Arial" w:hAnsi="Arial"/>
        <w:color w:val="000000" w:themeColor="text1"/>
        <w:sz w:val="22"/>
        <w14:textFill>
          <w14:solidFill>
            <w14:schemeClr w14:val="tx1"/>
          </w14:solidFill>
        </w14:textFill>
      </w:rPr>
    </w:tblStylePr>
  </w:style>
  <w:style w:type="table" w:customStyle="1" w:styleId="179">
    <w:name w:val="List Table 6 Colorful - Accent 1"/>
    <w:basedOn w:val="37"/>
    <w:qFormat/>
    <w:uiPriority w:val="99"/>
    <w:tblPr>
      <w:tblBorders>
        <w:top w:val="single" w:color="5B9BD5" w:themeColor="accent1" w:sz="4" w:space="0"/>
        <w:bottom w:val="single" w:color="5B9BD5" w:themeColor="accent1" w:sz="4" w:space="0"/>
      </w:tblBorders>
    </w:tblPr>
    <w:tblStylePr w:type="firstRow">
      <w:rPr>
        <w:b/>
        <w:color w:val="245B8C" w:themeColor="accent1" w:themeShade="94"/>
      </w:rPr>
      <w:tcPr>
        <w:tcBorders>
          <w:bottom w:val="single" w:color="5B9BD5" w:themeColor="accent1" w:sz="4" w:space="0"/>
        </w:tcBorders>
      </w:tcPr>
    </w:tblStylePr>
    <w:tblStylePr w:type="lastRow">
      <w:rPr>
        <w:b/>
        <w:color w:val="245B8C" w:themeColor="accent1" w:themeShade="94"/>
      </w:rPr>
      <w:tcPr>
        <w:tcBorders>
          <w:top w:val="single" w:color="5B9BD5" w:themeColor="accent1" w:sz="4" w:space="0"/>
        </w:tcBorders>
      </w:tcPr>
    </w:tblStylePr>
    <w:tblStylePr w:type="firstCol">
      <w:rPr>
        <w:b/>
        <w:color w:val="245B8C" w:themeColor="accent1" w:themeShade="94"/>
      </w:rPr>
    </w:tblStylePr>
    <w:tblStylePr w:type="lastCol">
      <w:rPr>
        <w:b/>
        <w:color w:val="245B8C" w:themeColor="accent1" w:themeShade="94"/>
      </w:rPr>
    </w:tblStylePr>
    <w:tblStylePr w:type="band1Vert">
      <w:tcPr>
        <w:shd w:val="clear" w:color="FFFFFF" w:fill="auto"/>
      </w:tcPr>
    </w:tblStylePr>
    <w:tblStylePr w:type="band1Horz">
      <w:rPr>
        <w:rFonts w:ascii="Arial" w:hAnsi="Arial"/>
        <w:color w:val="245B8C" w:themeColor="accent1" w:themeShade="94"/>
        <w:sz w:val="22"/>
      </w:rPr>
      <w:tcPr>
        <w:shd w:val="clear" w:color="FFFFFF" w:fill="auto"/>
      </w:tcPr>
    </w:tblStylePr>
    <w:tblStylePr w:type="band2Horz">
      <w:rPr>
        <w:rFonts w:ascii="Arial" w:hAnsi="Arial"/>
        <w:color w:val="245B8C" w:themeColor="accent1" w:themeShade="94"/>
        <w:sz w:val="22"/>
      </w:rPr>
    </w:tblStylePr>
  </w:style>
  <w:style w:type="table" w:customStyle="1" w:styleId="180">
    <w:name w:val="List Table 6 Colorful - Accent 2"/>
    <w:basedOn w:val="37"/>
    <w:qFormat/>
    <w:uiPriority w:val="99"/>
    <w:tblPr>
      <w:tblBorders>
        <w:top w:val="single" w:color="F4B285" w:themeColor="accent2" w:themeTint="97" w:sz="4" w:space="0"/>
        <w:bottom w:val="single" w:color="F4B285" w:themeColor="accent2" w:themeTint="97" w:sz="4" w:space="0"/>
      </w:tblBorders>
    </w:tblPr>
    <w:tblStylePr w:type="firstRow">
      <w:rPr>
        <w:b/>
        <w:color w:val="F4B285" w:themeColor="accent2" w:themeTint="96"/>
        <w14:textFill>
          <w14:solidFill>
            <w14:schemeClr w14:val="accent2">
              <w14:lumMod w14:val="59000"/>
              <w14:lumOff w14:val="41000"/>
            </w14:schemeClr>
          </w14:solidFill>
        </w14:textFill>
      </w:rPr>
      <w:tcPr>
        <w:tcBorders>
          <w:bottom w:val="single" w:color="F4B285" w:themeColor="accent2" w:themeTint="97" w:sz="4" w:space="0"/>
        </w:tcBorders>
      </w:tcPr>
    </w:tblStylePr>
    <w:tblStylePr w:type="lastRow">
      <w:rPr>
        <w:b/>
        <w:color w:val="F4B285" w:themeColor="accent2" w:themeTint="96"/>
        <w14:textFill>
          <w14:solidFill>
            <w14:schemeClr w14:val="accent2">
              <w14:lumMod w14:val="59000"/>
              <w14:lumOff w14:val="41000"/>
            </w14:schemeClr>
          </w14:solidFill>
        </w14:textFill>
      </w:rPr>
      <w:tcPr>
        <w:tcBorders>
          <w:top w:val="single" w:color="F4B285" w:themeColor="accent2" w:themeTint="97" w:sz="4" w:space="0"/>
        </w:tcBorders>
      </w:tcPr>
    </w:tblStylePr>
    <w:tblStylePr w:type="firstCol">
      <w:rPr>
        <w:b/>
        <w:color w:val="F4B285" w:themeColor="accent2" w:themeTint="96"/>
        <w14:textFill>
          <w14:solidFill>
            <w14:schemeClr w14:val="accent2">
              <w14:lumMod w14:val="59000"/>
              <w14:lumOff w14:val="41000"/>
            </w14:schemeClr>
          </w14:solidFill>
        </w14:textFill>
      </w:rPr>
    </w:tblStylePr>
    <w:tblStylePr w:type="lastCol">
      <w:rPr>
        <w:b/>
        <w:color w:val="F4B285" w:themeColor="accent2" w:themeTint="96"/>
        <w14:textFill>
          <w14:solidFill>
            <w14:schemeClr w14:val="accent2">
              <w14:lumMod w14:val="59000"/>
              <w14:lumOff w14:val="41000"/>
            </w14:schemeClr>
          </w14:solidFill>
        </w14:textFill>
      </w:rPr>
    </w:tblStylePr>
    <w:tblStylePr w:type="band1Vert">
      <w:tcPr>
        <w:shd w:val="clear" w:color="FFFFFF" w:fill="auto"/>
      </w:tcPr>
    </w:tblStylePr>
    <w:tblStylePr w:type="band1Horz">
      <w:rPr>
        <w:rFonts w:ascii="Arial" w:hAnsi="Arial"/>
        <w:color w:val="F4B285" w:themeColor="accent2" w:themeTint="96"/>
        <w:sz w:val="22"/>
        <w14:textFill>
          <w14:solidFill>
            <w14:schemeClr w14:val="accent2">
              <w14:lumMod w14:val="59000"/>
              <w14:lumOff w14:val="41000"/>
            </w14:schemeClr>
          </w14:solidFill>
        </w14:textFill>
      </w:rPr>
      <w:tcPr>
        <w:shd w:val="clear" w:color="FFFFFF" w:fill="auto"/>
      </w:tcPr>
    </w:tblStylePr>
    <w:tblStylePr w:type="band2Horz">
      <w:rPr>
        <w:rFonts w:ascii="Arial" w:hAnsi="Arial"/>
        <w:color w:val="F4B285" w:themeColor="accent2" w:themeTint="96"/>
        <w:sz w:val="22"/>
        <w14:textFill>
          <w14:solidFill>
            <w14:schemeClr w14:val="accent2">
              <w14:lumMod w14:val="59000"/>
              <w14:lumOff w14:val="41000"/>
            </w14:schemeClr>
          </w14:solidFill>
        </w14:textFill>
      </w:rPr>
    </w:tblStylePr>
  </w:style>
  <w:style w:type="table" w:customStyle="1" w:styleId="181">
    <w:name w:val="List Table 6 Colorful - Accent 3"/>
    <w:basedOn w:val="37"/>
    <w:qFormat/>
    <w:uiPriority w:val="99"/>
    <w:tblPr>
      <w:tblBorders>
        <w:top w:val="single" w:color="C9C9C9" w:themeColor="accent3" w:themeTint="98" w:sz="4" w:space="0"/>
        <w:bottom w:val="single" w:color="C9C9C9" w:themeColor="accent3" w:themeTint="98" w:sz="4" w:space="0"/>
      </w:tblBorders>
    </w:tblPr>
    <w:tblStylePr w:type="firstRow">
      <w:rPr>
        <w:b/>
        <w:color w:val="C9C9C9" w:themeColor="accent3" w:themeTint="99"/>
        <w14:textFill>
          <w14:solidFill>
            <w14:schemeClr w14:val="accent3">
              <w14:lumMod w14:val="60000"/>
              <w14:lumOff w14:val="40000"/>
            </w14:schemeClr>
          </w14:solidFill>
        </w14:textFill>
      </w:rPr>
      <w:tcPr>
        <w:tcBorders>
          <w:bottom w:val="single" w:color="C9C9C9" w:themeColor="accent3" w:themeTint="98" w:sz="4" w:space="0"/>
        </w:tcBorders>
      </w:tcPr>
    </w:tblStylePr>
    <w:tblStylePr w:type="lastRow">
      <w:rPr>
        <w:b/>
        <w:color w:val="C9C9C9" w:themeColor="accent3" w:themeTint="99"/>
        <w14:textFill>
          <w14:solidFill>
            <w14:schemeClr w14:val="accent3">
              <w14:lumMod w14:val="60000"/>
              <w14:lumOff w14:val="40000"/>
            </w14:schemeClr>
          </w14:solidFill>
        </w14:textFill>
      </w:rPr>
      <w:tcPr>
        <w:tcBorders>
          <w:top w:val="single" w:color="C9C9C9" w:themeColor="accent3" w:themeTint="98" w:sz="4" w:space="0"/>
        </w:tcBorders>
      </w:tcPr>
    </w:tblStylePr>
    <w:tblStylePr w:type="firstCol">
      <w:rPr>
        <w:b/>
        <w:color w:val="C9C9C9" w:themeColor="accent3" w:themeTint="99"/>
        <w14:textFill>
          <w14:solidFill>
            <w14:schemeClr w14:val="accent3">
              <w14:lumMod w14:val="60000"/>
              <w14:lumOff w14:val="40000"/>
            </w14:schemeClr>
          </w14:solidFill>
        </w14:textFill>
      </w:rPr>
    </w:tblStylePr>
    <w:tblStylePr w:type="lastCol">
      <w:rPr>
        <w:b/>
        <w:color w:val="C9C9C9" w:themeColor="accent3" w:themeTint="99"/>
        <w14:textFill>
          <w14:solidFill>
            <w14:schemeClr w14:val="accent3">
              <w14:lumMod w14:val="60000"/>
              <w14:lumOff w14:val="40000"/>
            </w14:schemeClr>
          </w14:solidFill>
        </w14:textFill>
      </w:rPr>
    </w:tblStylePr>
    <w:tblStylePr w:type="band1Vert">
      <w:tcPr>
        <w:shd w:val="clear" w:color="FFFFFF" w:fill="auto"/>
      </w:tcPr>
    </w:tblStylePr>
    <w:tblStylePr w:type="band1Horz">
      <w:rPr>
        <w:rFonts w:ascii="Arial" w:hAnsi="Arial"/>
        <w:color w:val="C9C9C9" w:themeColor="accent3" w:themeTint="99"/>
        <w:sz w:val="22"/>
        <w14:textFill>
          <w14:solidFill>
            <w14:schemeClr w14:val="accent3">
              <w14:lumMod w14:val="60000"/>
              <w14:lumOff w14:val="40000"/>
            </w14:schemeClr>
          </w14:solidFill>
        </w14:textFill>
      </w:rPr>
      <w:tcPr>
        <w:shd w:val="clear" w:color="FFFFFF" w:fill="auto"/>
      </w:tcPr>
    </w:tblStylePr>
    <w:tblStylePr w:type="band2Horz">
      <w:rPr>
        <w:rFonts w:ascii="Arial" w:hAnsi="Arial"/>
        <w:color w:val="C9C9C9" w:themeColor="accent3" w:themeTint="99"/>
        <w:sz w:val="22"/>
        <w14:textFill>
          <w14:solidFill>
            <w14:schemeClr w14:val="accent3">
              <w14:lumMod w14:val="60000"/>
              <w14:lumOff w14:val="40000"/>
            </w14:schemeClr>
          </w14:solidFill>
        </w14:textFill>
      </w:rPr>
    </w:tblStylePr>
  </w:style>
  <w:style w:type="table" w:customStyle="1" w:styleId="182">
    <w:name w:val="List Table 6 Colorful - Accent 4"/>
    <w:basedOn w:val="37"/>
    <w:qFormat/>
    <w:uiPriority w:val="99"/>
    <w:tblPr>
      <w:tblBorders>
        <w:top w:val="single" w:color="FFD864" w:themeColor="accent4" w:themeTint="9A" w:sz="4" w:space="0"/>
        <w:bottom w:val="single" w:color="FFD864" w:themeColor="accent4" w:themeTint="9A" w:sz="4" w:space="0"/>
      </w:tblBorders>
    </w:tblPr>
    <w:tblStylePr w:type="firstRow">
      <w:rPr>
        <w:b/>
        <w:color w:val="FFD966" w:themeColor="accent4" w:themeTint="99"/>
        <w14:textFill>
          <w14:solidFill>
            <w14:schemeClr w14:val="accent4">
              <w14:lumMod w14:val="60000"/>
              <w14:lumOff w14:val="40000"/>
            </w14:schemeClr>
          </w14:solidFill>
        </w14:textFill>
      </w:rPr>
      <w:tcPr>
        <w:tcBorders>
          <w:bottom w:val="single" w:color="FFD864" w:themeColor="accent4" w:themeTint="9A" w:sz="4" w:space="0"/>
        </w:tcBorders>
      </w:tcPr>
    </w:tblStylePr>
    <w:tblStylePr w:type="lastRow">
      <w:rPr>
        <w:b/>
        <w:color w:val="FFD966" w:themeColor="accent4" w:themeTint="99"/>
        <w14:textFill>
          <w14:solidFill>
            <w14:schemeClr w14:val="accent4">
              <w14:lumMod w14:val="60000"/>
              <w14:lumOff w14:val="40000"/>
            </w14:schemeClr>
          </w14:solidFill>
        </w14:textFill>
      </w:rPr>
      <w:tcPr>
        <w:tcBorders>
          <w:top w:val="single" w:color="FFD864" w:themeColor="accent4" w:themeTint="9A" w:sz="4" w:space="0"/>
        </w:tcBorders>
      </w:tcPr>
    </w:tblStylePr>
    <w:tblStylePr w:type="firstCol">
      <w:rPr>
        <w:b/>
        <w:color w:val="FFD966" w:themeColor="accent4" w:themeTint="99"/>
        <w14:textFill>
          <w14:solidFill>
            <w14:schemeClr w14:val="accent4">
              <w14:lumMod w14:val="60000"/>
              <w14:lumOff w14:val="40000"/>
            </w14:schemeClr>
          </w14:solidFill>
        </w14:textFill>
      </w:rPr>
    </w:tblStylePr>
    <w:tblStylePr w:type="lastCol">
      <w:rPr>
        <w:b/>
        <w:color w:val="FFD966" w:themeColor="accent4" w:themeTint="99"/>
        <w14:textFill>
          <w14:solidFill>
            <w14:schemeClr w14:val="accent4">
              <w14:lumMod w14:val="60000"/>
              <w14:lumOff w14:val="40000"/>
            </w14:schemeClr>
          </w14:solidFill>
        </w14:textFill>
      </w:rPr>
    </w:tblStylePr>
    <w:tblStylePr w:type="band1Vert">
      <w:tcPr>
        <w:shd w:val="clear" w:color="FFFFFF" w:fill="auto"/>
      </w:tcPr>
    </w:tblStylePr>
    <w:tblStylePr w:type="band1Horz">
      <w:rPr>
        <w:rFonts w:ascii="Arial" w:hAnsi="Arial"/>
        <w:color w:val="FFD966" w:themeColor="accent4" w:themeTint="99"/>
        <w:sz w:val="22"/>
        <w14:textFill>
          <w14:solidFill>
            <w14:schemeClr w14:val="accent4">
              <w14:lumMod w14:val="60000"/>
              <w14:lumOff w14:val="40000"/>
            </w14:schemeClr>
          </w14:solidFill>
        </w14:textFill>
      </w:rPr>
      <w:tcPr>
        <w:shd w:val="clear" w:color="FFFFFF" w:fill="auto"/>
      </w:tcPr>
    </w:tblStylePr>
    <w:tblStylePr w:type="band2Horz">
      <w:rPr>
        <w:rFonts w:ascii="Arial" w:hAnsi="Arial"/>
        <w:color w:val="FFD966" w:themeColor="accent4" w:themeTint="99"/>
        <w:sz w:val="22"/>
        <w14:textFill>
          <w14:solidFill>
            <w14:schemeClr w14:val="accent4">
              <w14:lumMod w14:val="60000"/>
              <w14:lumOff w14:val="40000"/>
            </w14:schemeClr>
          </w14:solidFill>
        </w14:textFill>
      </w:rPr>
    </w:tblStylePr>
  </w:style>
  <w:style w:type="table" w:customStyle="1" w:styleId="183">
    <w:name w:val="List Table 6 Colorful - Accent 5"/>
    <w:basedOn w:val="37"/>
    <w:qFormat/>
    <w:uiPriority w:val="99"/>
    <w:tblPr>
      <w:tblBorders>
        <w:top w:val="single" w:color="8EA9DB" w:themeColor="accent5" w:themeTint="9A" w:sz="4" w:space="0"/>
        <w:bottom w:val="single" w:color="8EA9DB" w:themeColor="accent5" w:themeTint="9A" w:sz="4" w:space="0"/>
      </w:tblBorders>
    </w:tblPr>
    <w:tblStylePr w:type="firstRow">
      <w:rPr>
        <w:b/>
        <w:color w:val="8FAADC" w:themeColor="accent5" w:themeTint="99"/>
        <w14:textFill>
          <w14:solidFill>
            <w14:schemeClr w14:val="accent5">
              <w14:lumMod w14:val="60000"/>
              <w14:lumOff w14:val="40000"/>
            </w14:schemeClr>
          </w14:solidFill>
        </w14:textFill>
      </w:rPr>
      <w:tcPr>
        <w:tcBorders>
          <w:bottom w:val="single" w:color="8EA9DB" w:themeColor="accent5" w:themeTint="9A" w:sz="4" w:space="0"/>
        </w:tcBorders>
      </w:tcPr>
    </w:tblStylePr>
    <w:tblStylePr w:type="lastRow">
      <w:rPr>
        <w:b/>
        <w:color w:val="8FAADC" w:themeColor="accent5" w:themeTint="99"/>
        <w14:textFill>
          <w14:solidFill>
            <w14:schemeClr w14:val="accent5">
              <w14:lumMod w14:val="60000"/>
              <w14:lumOff w14:val="40000"/>
            </w14:schemeClr>
          </w14:solidFill>
        </w14:textFill>
      </w:rPr>
      <w:tcPr>
        <w:tcBorders>
          <w:top w:val="single" w:color="8EA9DB" w:themeColor="accent5" w:themeTint="9A" w:sz="4" w:space="0"/>
        </w:tcBorders>
      </w:tcPr>
    </w:tblStylePr>
    <w:tblStylePr w:type="firstCol">
      <w:rPr>
        <w:b/>
        <w:color w:val="8FAADC" w:themeColor="accent5" w:themeTint="99"/>
        <w14:textFill>
          <w14:solidFill>
            <w14:schemeClr w14:val="accent5">
              <w14:lumMod w14:val="60000"/>
              <w14:lumOff w14:val="40000"/>
            </w14:schemeClr>
          </w14:solidFill>
        </w14:textFill>
      </w:rPr>
    </w:tblStylePr>
    <w:tblStylePr w:type="lastCol">
      <w:rPr>
        <w:b/>
        <w:color w:val="8FAADC" w:themeColor="accent5" w:themeTint="99"/>
        <w14:textFill>
          <w14:solidFill>
            <w14:schemeClr w14:val="accent5">
              <w14:lumMod w14:val="60000"/>
              <w14:lumOff w14:val="40000"/>
            </w14:schemeClr>
          </w14:solidFill>
        </w14:textFill>
      </w:rPr>
    </w:tblStylePr>
    <w:tblStylePr w:type="band1Vert">
      <w:tcPr>
        <w:shd w:val="clear" w:color="FFFFFF" w:fill="auto"/>
      </w:tcPr>
    </w:tblStylePr>
    <w:tblStylePr w:type="band1Horz">
      <w:rPr>
        <w:rFonts w:ascii="Arial" w:hAnsi="Arial"/>
        <w:color w:val="8FAADC" w:themeColor="accent5" w:themeTint="99"/>
        <w:sz w:val="22"/>
        <w14:textFill>
          <w14:solidFill>
            <w14:schemeClr w14:val="accent5">
              <w14:lumMod w14:val="60000"/>
              <w14:lumOff w14:val="40000"/>
            </w14:schemeClr>
          </w14:solidFill>
        </w14:textFill>
      </w:rPr>
      <w:tcPr>
        <w:shd w:val="clear" w:color="FFFFFF" w:fill="auto"/>
      </w:tcPr>
    </w:tblStylePr>
    <w:tblStylePr w:type="band2Horz">
      <w:rPr>
        <w:rFonts w:ascii="Arial" w:hAnsi="Arial"/>
        <w:color w:val="8FAADC" w:themeColor="accent5" w:themeTint="99"/>
        <w:sz w:val="22"/>
        <w14:textFill>
          <w14:solidFill>
            <w14:schemeClr w14:val="accent5">
              <w14:lumMod w14:val="60000"/>
              <w14:lumOff w14:val="40000"/>
            </w14:schemeClr>
          </w14:solidFill>
        </w14:textFill>
      </w:rPr>
    </w:tblStylePr>
  </w:style>
  <w:style w:type="table" w:customStyle="1" w:styleId="184">
    <w:name w:val="List Table 6 Colorful - Accent 6"/>
    <w:basedOn w:val="37"/>
    <w:qFormat/>
    <w:uiPriority w:val="99"/>
    <w:tblPr>
      <w:tblBorders>
        <w:top w:val="single" w:color="A9D08E" w:themeColor="accent6" w:themeTint="98" w:sz="4" w:space="0"/>
        <w:bottom w:val="single" w:color="A9D08E" w:themeColor="accent6" w:themeTint="98" w:sz="4" w:space="0"/>
      </w:tblBorders>
    </w:tblPr>
    <w:tblStylePr w:type="firstRow">
      <w:rPr>
        <w:b/>
        <w:color w:val="A9D18E" w:themeColor="accent6" w:themeTint="99"/>
        <w14:textFill>
          <w14:solidFill>
            <w14:schemeClr w14:val="accent6">
              <w14:lumMod w14:val="60000"/>
              <w14:lumOff w14:val="40000"/>
            </w14:schemeClr>
          </w14:solidFill>
        </w14:textFill>
      </w:rPr>
      <w:tcPr>
        <w:tcBorders>
          <w:bottom w:val="single" w:color="A9D08E" w:themeColor="accent6" w:themeTint="98" w:sz="4" w:space="0"/>
        </w:tcBorders>
      </w:tcPr>
    </w:tblStylePr>
    <w:tblStylePr w:type="lastRow">
      <w:rPr>
        <w:b/>
        <w:color w:val="A9D18E" w:themeColor="accent6" w:themeTint="99"/>
        <w14:textFill>
          <w14:solidFill>
            <w14:schemeClr w14:val="accent6">
              <w14:lumMod w14:val="60000"/>
              <w14:lumOff w14:val="40000"/>
            </w14:schemeClr>
          </w14:solidFill>
        </w14:textFill>
      </w:rPr>
      <w:tcPr>
        <w:tcBorders>
          <w:top w:val="single" w:color="A9D08E" w:themeColor="accent6" w:themeTint="98" w:sz="4" w:space="0"/>
        </w:tcBorders>
      </w:tcPr>
    </w:tblStylePr>
    <w:tblStylePr w:type="firstCol">
      <w:rPr>
        <w:b/>
        <w:color w:val="A9D18E" w:themeColor="accent6" w:themeTint="99"/>
        <w14:textFill>
          <w14:solidFill>
            <w14:schemeClr w14:val="accent6">
              <w14:lumMod w14:val="60000"/>
              <w14:lumOff w14:val="40000"/>
            </w14:schemeClr>
          </w14:solidFill>
        </w14:textFill>
      </w:rPr>
    </w:tblStylePr>
    <w:tblStylePr w:type="lastCol">
      <w:rPr>
        <w:b/>
        <w:color w:val="A9D18E" w:themeColor="accent6" w:themeTint="99"/>
        <w14:textFill>
          <w14:solidFill>
            <w14:schemeClr w14:val="accent6">
              <w14:lumMod w14:val="60000"/>
              <w14:lumOff w14:val="40000"/>
            </w14:schemeClr>
          </w14:solidFill>
        </w14:textFill>
      </w:rPr>
    </w:tblStylePr>
    <w:tblStylePr w:type="band1Vert">
      <w:tcPr>
        <w:shd w:val="clear" w:color="FFFFFF" w:fill="auto"/>
      </w:tcPr>
    </w:tblStylePr>
    <w:tblStylePr w:type="band1Horz">
      <w:rPr>
        <w:rFonts w:ascii="Arial" w:hAnsi="Arial"/>
        <w:color w:val="A9D18E" w:themeColor="accent6" w:themeTint="99"/>
        <w:sz w:val="22"/>
        <w14:textFill>
          <w14:solidFill>
            <w14:schemeClr w14:val="accent6">
              <w14:lumMod w14:val="60000"/>
              <w14:lumOff w14:val="40000"/>
            </w14:schemeClr>
          </w14:solidFill>
        </w14:textFill>
      </w:rPr>
      <w:tcPr>
        <w:shd w:val="clear" w:color="FFFFFF" w:fill="auto"/>
      </w:tcPr>
    </w:tblStylePr>
    <w:tblStylePr w:type="band2Horz">
      <w:rPr>
        <w:rFonts w:ascii="Arial" w:hAnsi="Arial"/>
        <w:color w:val="A9D18E" w:themeColor="accent6" w:themeTint="99"/>
        <w:sz w:val="22"/>
        <w14:textFill>
          <w14:solidFill>
            <w14:schemeClr w14:val="accent6">
              <w14:lumMod w14:val="60000"/>
              <w14:lumOff w14:val="40000"/>
            </w14:schemeClr>
          </w14:solidFill>
        </w14:textFill>
      </w:rPr>
    </w:tblStylePr>
  </w:style>
  <w:style w:type="table" w:customStyle="1" w:styleId="185">
    <w:name w:val="清单表 7 彩色1"/>
    <w:basedOn w:val="37"/>
    <w:qFormat/>
    <w:uiPriority w:val="99"/>
    <w:tblPr>
      <w:tblBorders>
        <w:right w:val="single" w:color="7E7E7E" w:themeColor="text1" w:themeTint="80" w:sz="4" w:space="0"/>
      </w:tblBorders>
    </w:tblPr>
    <w:tblStylePr w:type="firstRow">
      <w:rPr>
        <w:rFonts w:ascii="Arial" w:hAnsi="Arial"/>
        <w:i/>
        <w:color w:val="808080" w:themeColor="text1" w:themeTint="80"/>
        <w:sz w:val="22"/>
        <w14:textFill>
          <w14:solidFill>
            <w14:schemeClr w14:val="tx1">
              <w14:lumMod w14:val="50000"/>
              <w14:lumOff w14:val="50000"/>
            </w14:schemeClr>
          </w14:solidFill>
        </w14:textFill>
      </w:rPr>
      <w:tcPr>
        <w:tcBorders>
          <w:top w:val="nil"/>
          <w:left w:val="nil"/>
          <w:bottom w:val="single" w:color="7E7E7E" w:themeColor="text1" w:themeTint="80" w:sz="4" w:space="0"/>
          <w:right w:val="nil"/>
        </w:tcBorders>
        <w:shd w:val="clear" w:color="FFFFFF" w:fill="FFFFFF"/>
      </w:tcPr>
    </w:tblStylePr>
    <w:tblStylePr w:type="lastRow">
      <w:rPr>
        <w:rFonts w:ascii="Arial" w:hAnsi="Arial"/>
        <w:i/>
        <w:color w:val="808080" w:themeColor="text1" w:themeTint="80"/>
        <w:sz w:val="22"/>
        <w14:textFill>
          <w14:solidFill>
            <w14:schemeClr w14:val="tx1">
              <w14:lumMod w14:val="50000"/>
              <w14:lumOff w14:val="50000"/>
            </w14:schemeClr>
          </w14:solidFill>
        </w14:textFill>
      </w:rPr>
      <w:tcPr>
        <w:tcBorders>
          <w:top w:val="single" w:color="7E7E7E" w:themeColor="text1" w:themeTint="80" w:sz="4" w:space="0"/>
          <w:left w:val="nil"/>
          <w:bottom w:val="nil"/>
          <w:right w:val="nil"/>
        </w:tcBorders>
        <w:shd w:val="clear" w:color="FFFFFF" w:fill="FFFFFF"/>
      </w:tcPr>
    </w:tblStylePr>
    <w:tblStylePr w:type="firstCol">
      <w:pPr>
        <w:jc w:val="right"/>
      </w:pPr>
      <w:rPr>
        <w:rFonts w:ascii="Arial" w:hAnsi="Arial"/>
        <w:i/>
        <w:color w:val="808080" w:themeColor="text1" w:themeTint="80"/>
        <w:sz w:val="22"/>
        <w14:textFill>
          <w14:solidFill>
            <w14:schemeClr w14:val="tx1">
              <w14:lumMod w14:val="50000"/>
              <w14:lumOff w14:val="50000"/>
            </w14:schemeClr>
          </w14:solidFill>
        </w14:textFill>
      </w:rPr>
      <w:tcPr>
        <w:tcBorders>
          <w:top w:val="nil"/>
          <w:left w:val="nil"/>
          <w:bottom w:val="nil"/>
          <w:right w:val="single" w:color="7E7E7E" w:themeColor="text1" w:themeTint="80" w:sz="4" w:space="0"/>
        </w:tcBorders>
        <w:shd w:val="clear" w:color="FFFFFF" w:fill="auto"/>
      </w:tcPr>
    </w:tblStylePr>
    <w:tblStylePr w:type="lastCol">
      <w:rPr>
        <w:rFonts w:ascii="Arial" w:hAnsi="Arial"/>
        <w:i/>
        <w:color w:val="808080" w:themeColor="text1" w:themeTint="80"/>
        <w:sz w:val="22"/>
        <w14:textFill>
          <w14:solidFill>
            <w14:schemeClr w14:val="tx1">
              <w14:lumMod w14:val="50000"/>
              <w14:lumOff w14:val="50000"/>
            </w14:schemeClr>
          </w14:solidFill>
        </w14:textFill>
      </w:rPr>
      <w:tcPr>
        <w:tcBorders>
          <w:top w:val="nil"/>
          <w:left w:val="single" w:color="7E7E7E" w:themeColor="text1" w:themeTint="80" w:sz="4" w:space="0"/>
          <w:bottom w:val="nil"/>
          <w:right w:val="nil"/>
        </w:tcBorders>
        <w:shd w:val="clear" w:color="FFFFFF" w:fill="auto"/>
      </w:tcPr>
    </w:tblStylePr>
    <w:tblStylePr w:type="band1Vert">
      <w:tcPr>
        <w:shd w:val="clear" w:color="BFBFBF" w:fill="BFBFBF"/>
      </w:tcPr>
    </w:tblStylePr>
    <w:tblStylePr w:type="band1Horz">
      <w:rPr>
        <w:rFonts w:ascii="Arial" w:hAnsi="Arial"/>
        <w:color w:val="808080" w:themeColor="text1" w:themeTint="80"/>
        <w:sz w:val="22"/>
        <w14:textFill>
          <w14:solidFill>
            <w14:schemeClr w14:val="tx1">
              <w14:lumMod w14:val="50000"/>
              <w14:lumOff w14:val="50000"/>
            </w14:schemeClr>
          </w14:solidFill>
        </w14:textFill>
      </w:rPr>
      <w:tcPr>
        <w:shd w:val="clear" w:color="BFBFBF" w:fill="BFBFBF"/>
      </w:tcPr>
    </w:tblStylePr>
    <w:tblStylePr w:type="band2Horz">
      <w:rPr>
        <w:rFonts w:ascii="Arial" w:hAnsi="Arial"/>
        <w:color w:val="808080" w:themeColor="text1" w:themeTint="80"/>
        <w:sz w:val="22"/>
        <w14:textFill>
          <w14:solidFill>
            <w14:schemeClr w14:val="tx1">
              <w14:lumMod w14:val="50000"/>
              <w14:lumOff w14:val="50000"/>
            </w14:schemeClr>
          </w14:solidFill>
        </w14:textFill>
      </w:rPr>
    </w:tblStylePr>
  </w:style>
  <w:style w:type="table" w:customStyle="1" w:styleId="186">
    <w:name w:val="List Table 7 Colorful - Accent 1"/>
    <w:basedOn w:val="37"/>
    <w:qFormat/>
    <w:uiPriority w:val="99"/>
    <w:tblPr>
      <w:tblBorders>
        <w:right w:val="single" w:color="5B9BD5" w:themeColor="accent1" w:sz="4" w:space="0"/>
      </w:tblBorders>
    </w:tblPr>
    <w:tblStylePr w:type="firstRow">
      <w:rPr>
        <w:rFonts w:ascii="Arial" w:hAnsi="Arial"/>
        <w:i/>
        <w:color w:val="245B8C" w:themeColor="accent1" w:themeShade="94"/>
        <w:sz w:val="22"/>
      </w:rPr>
      <w:tcPr>
        <w:tcBorders>
          <w:top w:val="nil"/>
          <w:left w:val="nil"/>
          <w:bottom w:val="single" w:color="5B9BD5" w:themeColor="accent1" w:sz="4" w:space="0"/>
          <w:right w:val="nil"/>
        </w:tcBorders>
        <w:shd w:val="clear" w:color="FFFFFF" w:fill="auto"/>
      </w:tcPr>
    </w:tblStylePr>
    <w:tblStylePr w:type="lastRow">
      <w:rPr>
        <w:rFonts w:ascii="Arial" w:hAnsi="Arial"/>
        <w:i/>
        <w:color w:val="245B8C" w:themeColor="accent1" w:themeShade="94"/>
        <w:sz w:val="22"/>
      </w:rPr>
      <w:tcPr>
        <w:tcBorders>
          <w:top w:val="single" w:color="5B9BD5" w:themeColor="accent1" w:sz="4" w:space="0"/>
          <w:left w:val="nil"/>
          <w:bottom w:val="nil"/>
          <w:right w:val="nil"/>
        </w:tcBorders>
        <w:shd w:val="clear" w:color="FFFFFF" w:fill="auto"/>
      </w:tcPr>
    </w:tblStylePr>
    <w:tblStylePr w:type="firstCol">
      <w:pPr>
        <w:jc w:val="right"/>
      </w:pPr>
      <w:rPr>
        <w:rFonts w:ascii="Arial" w:hAnsi="Arial"/>
        <w:i/>
        <w:color w:val="245B8C" w:themeColor="accent1" w:themeShade="94"/>
        <w:sz w:val="22"/>
      </w:rPr>
      <w:tcPr>
        <w:tcBorders>
          <w:top w:val="nil"/>
          <w:left w:val="nil"/>
          <w:bottom w:val="nil"/>
          <w:right w:val="single" w:color="5B9BD5" w:themeColor="accent1" w:sz="4" w:space="0"/>
        </w:tcBorders>
        <w:shd w:val="clear" w:color="FFFFFF" w:fill="auto"/>
      </w:tcPr>
    </w:tblStylePr>
    <w:tblStylePr w:type="lastCol">
      <w:rPr>
        <w:rFonts w:ascii="Arial" w:hAnsi="Arial"/>
        <w:i/>
        <w:color w:val="245B8C" w:themeColor="accent1" w:themeShade="94"/>
        <w:sz w:val="22"/>
      </w:rPr>
      <w:tcPr>
        <w:tcBorders>
          <w:top w:val="nil"/>
          <w:left w:val="single" w:color="5B9BD5" w:themeColor="accent1" w:sz="4" w:space="0"/>
          <w:bottom w:val="nil"/>
          <w:right w:val="nil"/>
        </w:tcBorders>
        <w:shd w:val="clear" w:color="FFFFFF" w:fill="auto"/>
      </w:tcPr>
    </w:tblStylePr>
    <w:tblStylePr w:type="band1Vert">
      <w:tcPr>
        <w:shd w:val="clear" w:color="FFFFFF" w:fill="auto"/>
      </w:tcPr>
    </w:tblStylePr>
    <w:tblStylePr w:type="band1Horz">
      <w:rPr>
        <w:rFonts w:ascii="Arial" w:hAnsi="Arial"/>
        <w:color w:val="245B8C" w:themeColor="accent1" w:themeShade="94"/>
        <w:sz w:val="22"/>
      </w:rPr>
      <w:tcPr>
        <w:shd w:val="clear" w:color="FFFFFF" w:fill="auto"/>
      </w:tcPr>
    </w:tblStylePr>
    <w:tblStylePr w:type="band2Horz">
      <w:rPr>
        <w:rFonts w:ascii="Arial" w:hAnsi="Arial"/>
        <w:color w:val="245B8C" w:themeColor="accent1" w:themeShade="94"/>
        <w:sz w:val="22"/>
      </w:rPr>
    </w:tblStylePr>
  </w:style>
  <w:style w:type="table" w:customStyle="1" w:styleId="187">
    <w:name w:val="List Table 7 Colorful - Accent 2"/>
    <w:basedOn w:val="37"/>
    <w:qFormat/>
    <w:uiPriority w:val="99"/>
    <w:tblPr>
      <w:tblBorders>
        <w:right w:val="single" w:color="F4B285" w:themeColor="accent2" w:themeTint="97" w:sz="4" w:space="0"/>
      </w:tblBorders>
    </w:tblPr>
    <w:tblStylePr w:type="firstRow">
      <w:rPr>
        <w:rFonts w:ascii="Arial" w:hAnsi="Arial"/>
        <w:i/>
        <w:color w:val="F4B285" w:themeColor="accent2" w:themeTint="96"/>
        <w:sz w:val="22"/>
        <w14:textFill>
          <w14:solidFill>
            <w14:schemeClr w14:val="accent2">
              <w14:lumMod w14:val="59000"/>
              <w14:lumOff w14:val="41000"/>
            </w14:schemeClr>
          </w14:solidFill>
        </w14:textFill>
      </w:rPr>
      <w:tcPr>
        <w:tcBorders>
          <w:top w:val="nil"/>
          <w:left w:val="nil"/>
          <w:bottom w:val="single" w:color="F4B285" w:themeColor="accent2" w:themeTint="97" w:sz="4" w:space="0"/>
          <w:right w:val="nil"/>
        </w:tcBorders>
        <w:shd w:val="clear" w:color="FFFFFF" w:fill="auto"/>
      </w:tcPr>
    </w:tblStylePr>
    <w:tblStylePr w:type="lastRow">
      <w:rPr>
        <w:rFonts w:ascii="Arial" w:hAnsi="Arial"/>
        <w:i/>
        <w:color w:val="F4B285" w:themeColor="accent2" w:themeTint="96"/>
        <w:sz w:val="22"/>
        <w14:textFill>
          <w14:solidFill>
            <w14:schemeClr w14:val="accent2">
              <w14:lumMod w14:val="59000"/>
              <w14:lumOff w14:val="41000"/>
            </w14:schemeClr>
          </w14:solidFill>
        </w14:textFill>
      </w:rPr>
      <w:tcPr>
        <w:tcBorders>
          <w:top w:val="single" w:color="F4B285" w:themeColor="accent2" w:themeTint="97" w:sz="4" w:space="0"/>
          <w:left w:val="nil"/>
          <w:bottom w:val="nil"/>
          <w:right w:val="nil"/>
        </w:tcBorders>
        <w:shd w:val="clear" w:color="FFFFFF" w:fill="auto"/>
      </w:tcPr>
    </w:tblStylePr>
    <w:tblStylePr w:type="firstCol">
      <w:pPr>
        <w:jc w:val="right"/>
      </w:pPr>
      <w:rPr>
        <w:rFonts w:ascii="Arial" w:hAnsi="Arial"/>
        <w:i/>
        <w:color w:val="F4B285" w:themeColor="accent2" w:themeTint="96"/>
        <w:sz w:val="22"/>
        <w14:textFill>
          <w14:solidFill>
            <w14:schemeClr w14:val="accent2">
              <w14:lumMod w14:val="59000"/>
              <w14:lumOff w14:val="41000"/>
            </w14:schemeClr>
          </w14:solidFill>
        </w14:textFill>
      </w:rPr>
      <w:tcPr>
        <w:tcBorders>
          <w:top w:val="nil"/>
          <w:left w:val="nil"/>
          <w:bottom w:val="nil"/>
          <w:right w:val="single" w:color="F4B285" w:themeColor="accent2" w:themeTint="97" w:sz="4" w:space="0"/>
        </w:tcBorders>
        <w:shd w:val="clear" w:color="FFFFFF" w:fill="auto"/>
      </w:tcPr>
    </w:tblStylePr>
    <w:tblStylePr w:type="lastCol">
      <w:rPr>
        <w:rFonts w:ascii="Arial" w:hAnsi="Arial"/>
        <w:i/>
        <w:color w:val="F4B285" w:themeColor="accent2" w:themeTint="96"/>
        <w:sz w:val="22"/>
        <w14:textFill>
          <w14:solidFill>
            <w14:schemeClr w14:val="accent2">
              <w14:lumMod w14:val="59000"/>
              <w14:lumOff w14:val="41000"/>
            </w14:schemeClr>
          </w14:solidFill>
        </w14:textFill>
      </w:rPr>
      <w:tcPr>
        <w:tcBorders>
          <w:top w:val="nil"/>
          <w:left w:val="single" w:color="F4B285" w:themeColor="accent2" w:themeTint="97" w:sz="4" w:space="0"/>
          <w:bottom w:val="nil"/>
          <w:right w:val="nil"/>
        </w:tcBorders>
        <w:shd w:val="clear" w:color="FFFFFF" w:fill="auto"/>
      </w:tcPr>
    </w:tblStylePr>
    <w:tblStylePr w:type="band1Vert">
      <w:tcPr>
        <w:shd w:val="clear" w:color="FFFFFF" w:fill="auto"/>
      </w:tcPr>
    </w:tblStylePr>
    <w:tblStylePr w:type="band1Horz">
      <w:rPr>
        <w:rFonts w:ascii="Arial" w:hAnsi="Arial"/>
        <w:color w:val="F4B285" w:themeColor="accent2" w:themeTint="96"/>
        <w:sz w:val="22"/>
        <w14:textFill>
          <w14:solidFill>
            <w14:schemeClr w14:val="accent2">
              <w14:lumMod w14:val="59000"/>
              <w14:lumOff w14:val="41000"/>
            </w14:schemeClr>
          </w14:solidFill>
        </w14:textFill>
      </w:rPr>
      <w:tcPr>
        <w:shd w:val="clear" w:color="FFFFFF" w:fill="auto"/>
      </w:tcPr>
    </w:tblStylePr>
    <w:tblStylePr w:type="band2Horz">
      <w:rPr>
        <w:rFonts w:ascii="Arial" w:hAnsi="Arial"/>
        <w:color w:val="F4B285" w:themeColor="accent2" w:themeTint="96"/>
        <w:sz w:val="22"/>
        <w14:textFill>
          <w14:solidFill>
            <w14:schemeClr w14:val="accent2">
              <w14:lumMod w14:val="59000"/>
              <w14:lumOff w14:val="41000"/>
            </w14:schemeClr>
          </w14:solidFill>
        </w14:textFill>
      </w:rPr>
    </w:tblStylePr>
  </w:style>
  <w:style w:type="table" w:customStyle="1" w:styleId="188">
    <w:name w:val="List Table 7 Colorful - Accent 3"/>
    <w:basedOn w:val="37"/>
    <w:qFormat/>
    <w:uiPriority w:val="99"/>
    <w:tblPr>
      <w:tblBorders>
        <w:right w:val="single" w:color="C9C9C9" w:themeColor="accent3" w:themeTint="98" w:sz="4" w:space="0"/>
      </w:tblBorders>
    </w:tblPr>
    <w:tblStylePr w:type="firstRow">
      <w:rPr>
        <w:rFonts w:ascii="Arial" w:hAnsi="Arial"/>
        <w:i/>
        <w:color w:val="C9C9C9" w:themeColor="accent3" w:themeTint="99"/>
        <w:sz w:val="22"/>
        <w14:textFill>
          <w14:solidFill>
            <w14:schemeClr w14:val="accent3">
              <w14:lumMod w14:val="60000"/>
              <w14:lumOff w14:val="40000"/>
            </w14:schemeClr>
          </w14:solidFill>
        </w14:textFill>
      </w:rPr>
      <w:tcPr>
        <w:tcBorders>
          <w:top w:val="nil"/>
          <w:left w:val="nil"/>
          <w:bottom w:val="single" w:color="C9C9C9" w:themeColor="accent3" w:themeTint="98" w:sz="4" w:space="0"/>
          <w:right w:val="nil"/>
        </w:tcBorders>
        <w:shd w:val="clear" w:color="FFFFFF" w:fill="auto"/>
      </w:tcPr>
    </w:tblStylePr>
    <w:tblStylePr w:type="lastRow">
      <w:rPr>
        <w:rFonts w:ascii="Arial" w:hAnsi="Arial"/>
        <w:i/>
        <w:color w:val="C9C9C9" w:themeColor="accent3" w:themeTint="99"/>
        <w:sz w:val="22"/>
        <w14:textFill>
          <w14:solidFill>
            <w14:schemeClr w14:val="accent3">
              <w14:lumMod w14:val="60000"/>
              <w14:lumOff w14:val="40000"/>
            </w14:schemeClr>
          </w14:solidFill>
        </w14:textFill>
      </w:rPr>
      <w:tcPr>
        <w:tcBorders>
          <w:top w:val="single" w:color="C9C9C9" w:themeColor="accent3" w:themeTint="98" w:sz="4" w:space="0"/>
          <w:left w:val="nil"/>
          <w:bottom w:val="nil"/>
          <w:right w:val="nil"/>
        </w:tcBorders>
        <w:shd w:val="clear" w:color="FFFFFF" w:fill="auto"/>
      </w:tcPr>
    </w:tblStylePr>
    <w:tblStylePr w:type="firstCol">
      <w:pPr>
        <w:jc w:val="right"/>
      </w:pPr>
      <w:rPr>
        <w:rFonts w:ascii="Arial" w:hAnsi="Arial"/>
        <w:i/>
        <w:color w:val="C9C9C9" w:themeColor="accent3" w:themeTint="99"/>
        <w:sz w:val="22"/>
        <w14:textFill>
          <w14:solidFill>
            <w14:schemeClr w14:val="accent3">
              <w14:lumMod w14:val="60000"/>
              <w14:lumOff w14:val="40000"/>
            </w14:schemeClr>
          </w14:solidFill>
        </w14:textFill>
      </w:rPr>
      <w:tcPr>
        <w:tcBorders>
          <w:top w:val="nil"/>
          <w:left w:val="nil"/>
          <w:bottom w:val="nil"/>
          <w:right w:val="single" w:color="C9C9C9" w:themeColor="accent3" w:themeTint="98" w:sz="4" w:space="0"/>
        </w:tcBorders>
        <w:shd w:val="clear" w:color="FFFFFF" w:fill="auto"/>
      </w:tcPr>
    </w:tblStylePr>
    <w:tblStylePr w:type="lastCol">
      <w:rPr>
        <w:rFonts w:ascii="Arial" w:hAnsi="Arial"/>
        <w:i/>
        <w:color w:val="C9C9C9" w:themeColor="accent3" w:themeTint="99"/>
        <w:sz w:val="22"/>
        <w14:textFill>
          <w14:solidFill>
            <w14:schemeClr w14:val="accent3">
              <w14:lumMod w14:val="60000"/>
              <w14:lumOff w14:val="40000"/>
            </w14:schemeClr>
          </w14:solidFill>
        </w14:textFill>
      </w:rPr>
      <w:tcPr>
        <w:tcBorders>
          <w:top w:val="nil"/>
          <w:left w:val="single" w:color="C9C9C9" w:themeColor="accent3" w:themeTint="98" w:sz="4" w:space="0"/>
          <w:bottom w:val="nil"/>
          <w:right w:val="nil"/>
        </w:tcBorders>
        <w:shd w:val="clear" w:color="FFFFFF" w:fill="auto"/>
      </w:tcPr>
    </w:tblStylePr>
    <w:tblStylePr w:type="band1Vert">
      <w:tcPr>
        <w:shd w:val="clear" w:color="FFFFFF" w:fill="auto"/>
      </w:tcPr>
    </w:tblStylePr>
    <w:tblStylePr w:type="band1Horz">
      <w:rPr>
        <w:rFonts w:ascii="Arial" w:hAnsi="Arial"/>
        <w:color w:val="C9C9C9" w:themeColor="accent3" w:themeTint="99"/>
        <w:sz w:val="22"/>
        <w14:textFill>
          <w14:solidFill>
            <w14:schemeClr w14:val="accent3">
              <w14:lumMod w14:val="60000"/>
              <w14:lumOff w14:val="40000"/>
            </w14:schemeClr>
          </w14:solidFill>
        </w14:textFill>
      </w:rPr>
      <w:tcPr>
        <w:shd w:val="clear" w:color="FFFFFF" w:fill="auto"/>
      </w:tcPr>
    </w:tblStylePr>
    <w:tblStylePr w:type="band2Horz">
      <w:rPr>
        <w:rFonts w:ascii="Arial" w:hAnsi="Arial"/>
        <w:color w:val="C9C9C9" w:themeColor="accent3" w:themeTint="99"/>
        <w:sz w:val="22"/>
        <w14:textFill>
          <w14:solidFill>
            <w14:schemeClr w14:val="accent3">
              <w14:lumMod w14:val="60000"/>
              <w14:lumOff w14:val="40000"/>
            </w14:schemeClr>
          </w14:solidFill>
        </w14:textFill>
      </w:rPr>
    </w:tblStylePr>
  </w:style>
  <w:style w:type="table" w:customStyle="1" w:styleId="189">
    <w:name w:val="List Table 7 Colorful - Accent 4"/>
    <w:basedOn w:val="37"/>
    <w:qFormat/>
    <w:uiPriority w:val="99"/>
    <w:tblPr>
      <w:tblBorders>
        <w:right w:val="single" w:color="FFD864" w:themeColor="accent4" w:themeTint="9A" w:sz="4" w:space="0"/>
      </w:tblBorders>
    </w:tblPr>
    <w:tblStylePr w:type="firstRow">
      <w:rPr>
        <w:rFonts w:ascii="Arial" w:hAnsi="Arial"/>
        <w:i/>
        <w:color w:val="FFD966" w:themeColor="accent4" w:themeTint="99"/>
        <w:sz w:val="22"/>
        <w14:textFill>
          <w14:solidFill>
            <w14:schemeClr w14:val="accent4">
              <w14:lumMod w14:val="60000"/>
              <w14:lumOff w14:val="40000"/>
            </w14:schemeClr>
          </w14:solidFill>
        </w14:textFill>
      </w:rPr>
      <w:tcPr>
        <w:tcBorders>
          <w:top w:val="nil"/>
          <w:left w:val="nil"/>
          <w:bottom w:val="single" w:color="FFD864" w:themeColor="accent4" w:themeTint="9A" w:sz="4" w:space="0"/>
          <w:right w:val="nil"/>
        </w:tcBorders>
        <w:shd w:val="clear" w:color="FFFFFF" w:fill="auto"/>
      </w:tcPr>
    </w:tblStylePr>
    <w:tblStylePr w:type="lastRow">
      <w:rPr>
        <w:rFonts w:ascii="Arial" w:hAnsi="Arial"/>
        <w:i/>
        <w:color w:val="FFD966" w:themeColor="accent4" w:themeTint="99"/>
        <w:sz w:val="22"/>
        <w14:textFill>
          <w14:solidFill>
            <w14:schemeClr w14:val="accent4">
              <w14:lumMod w14:val="60000"/>
              <w14:lumOff w14:val="40000"/>
            </w14:schemeClr>
          </w14:solidFill>
        </w14:textFill>
      </w:rPr>
      <w:tcPr>
        <w:tcBorders>
          <w:top w:val="single" w:color="FFD864" w:themeColor="accent4" w:themeTint="9A" w:sz="4" w:space="0"/>
          <w:left w:val="nil"/>
          <w:bottom w:val="nil"/>
          <w:right w:val="nil"/>
        </w:tcBorders>
        <w:shd w:val="clear" w:color="FFFFFF" w:fill="auto"/>
      </w:tcPr>
    </w:tblStylePr>
    <w:tblStylePr w:type="firstCol">
      <w:pPr>
        <w:jc w:val="right"/>
      </w:pPr>
      <w:rPr>
        <w:rFonts w:ascii="Arial" w:hAnsi="Arial"/>
        <w:i/>
        <w:color w:val="FFD966" w:themeColor="accent4" w:themeTint="99"/>
        <w:sz w:val="22"/>
        <w14:textFill>
          <w14:solidFill>
            <w14:schemeClr w14:val="accent4">
              <w14:lumMod w14:val="60000"/>
              <w14:lumOff w14:val="40000"/>
            </w14:schemeClr>
          </w14:solidFill>
        </w14:textFill>
      </w:rPr>
      <w:tcPr>
        <w:tcBorders>
          <w:top w:val="nil"/>
          <w:left w:val="nil"/>
          <w:bottom w:val="nil"/>
          <w:right w:val="single" w:color="FFD864" w:themeColor="accent4" w:themeTint="9A" w:sz="4" w:space="0"/>
        </w:tcBorders>
        <w:shd w:val="clear" w:color="FFFFFF" w:fill="auto"/>
      </w:tcPr>
    </w:tblStylePr>
    <w:tblStylePr w:type="lastCol">
      <w:rPr>
        <w:rFonts w:ascii="Arial" w:hAnsi="Arial"/>
        <w:i/>
        <w:color w:val="FFD966" w:themeColor="accent4" w:themeTint="99"/>
        <w:sz w:val="22"/>
        <w14:textFill>
          <w14:solidFill>
            <w14:schemeClr w14:val="accent4">
              <w14:lumMod w14:val="60000"/>
              <w14:lumOff w14:val="40000"/>
            </w14:schemeClr>
          </w14:solidFill>
        </w14:textFill>
      </w:rPr>
      <w:tcPr>
        <w:tcBorders>
          <w:top w:val="nil"/>
          <w:left w:val="single" w:color="FFD864" w:themeColor="accent4" w:themeTint="9A" w:sz="4" w:space="0"/>
          <w:bottom w:val="nil"/>
          <w:right w:val="nil"/>
        </w:tcBorders>
        <w:shd w:val="clear" w:color="FFFFFF" w:fill="auto"/>
      </w:tcPr>
    </w:tblStylePr>
    <w:tblStylePr w:type="band1Vert">
      <w:tcPr>
        <w:shd w:val="clear" w:color="FFFFFF" w:fill="auto"/>
      </w:tcPr>
    </w:tblStylePr>
    <w:tblStylePr w:type="band1Horz">
      <w:rPr>
        <w:rFonts w:ascii="Arial" w:hAnsi="Arial"/>
        <w:color w:val="FFD966" w:themeColor="accent4" w:themeTint="99"/>
        <w:sz w:val="22"/>
        <w14:textFill>
          <w14:solidFill>
            <w14:schemeClr w14:val="accent4">
              <w14:lumMod w14:val="60000"/>
              <w14:lumOff w14:val="40000"/>
            </w14:schemeClr>
          </w14:solidFill>
        </w14:textFill>
      </w:rPr>
      <w:tcPr>
        <w:shd w:val="clear" w:color="FFFFFF" w:fill="auto"/>
      </w:tcPr>
    </w:tblStylePr>
    <w:tblStylePr w:type="band2Horz">
      <w:rPr>
        <w:rFonts w:ascii="Arial" w:hAnsi="Arial"/>
        <w:color w:val="FFD966" w:themeColor="accent4" w:themeTint="99"/>
        <w:sz w:val="22"/>
        <w14:textFill>
          <w14:solidFill>
            <w14:schemeClr w14:val="accent4">
              <w14:lumMod w14:val="60000"/>
              <w14:lumOff w14:val="40000"/>
            </w14:schemeClr>
          </w14:solidFill>
        </w14:textFill>
      </w:rPr>
    </w:tblStylePr>
  </w:style>
  <w:style w:type="table" w:customStyle="1" w:styleId="190">
    <w:name w:val="List Table 7 Colorful - Accent 5"/>
    <w:basedOn w:val="37"/>
    <w:qFormat/>
    <w:uiPriority w:val="99"/>
    <w:tblPr>
      <w:tblBorders>
        <w:right w:val="single" w:color="8EA9DB" w:themeColor="accent5" w:themeTint="9A" w:sz="4" w:space="0"/>
      </w:tblBorders>
    </w:tblPr>
    <w:tblStylePr w:type="firstRow">
      <w:rPr>
        <w:rFonts w:ascii="Arial" w:hAnsi="Arial"/>
        <w:i/>
        <w:color w:val="8FAADC" w:themeColor="accent5" w:themeTint="99"/>
        <w:sz w:val="22"/>
        <w14:textFill>
          <w14:solidFill>
            <w14:schemeClr w14:val="accent5">
              <w14:lumMod w14:val="60000"/>
              <w14:lumOff w14:val="40000"/>
            </w14:schemeClr>
          </w14:solidFill>
        </w14:textFill>
      </w:rPr>
      <w:tcPr>
        <w:tcBorders>
          <w:top w:val="nil"/>
          <w:left w:val="nil"/>
          <w:bottom w:val="single" w:color="8EA9DB" w:themeColor="accent5" w:themeTint="9A" w:sz="4" w:space="0"/>
          <w:right w:val="nil"/>
        </w:tcBorders>
        <w:shd w:val="clear" w:color="FFFFFF" w:fill="auto"/>
      </w:tcPr>
    </w:tblStylePr>
    <w:tblStylePr w:type="lastRow">
      <w:rPr>
        <w:rFonts w:ascii="Arial" w:hAnsi="Arial"/>
        <w:i/>
        <w:color w:val="8FAADC" w:themeColor="accent5" w:themeTint="99"/>
        <w:sz w:val="22"/>
        <w14:textFill>
          <w14:solidFill>
            <w14:schemeClr w14:val="accent5">
              <w14:lumMod w14:val="60000"/>
              <w14:lumOff w14:val="40000"/>
            </w14:schemeClr>
          </w14:solidFill>
        </w14:textFill>
      </w:rPr>
      <w:tcPr>
        <w:tcBorders>
          <w:top w:val="single" w:color="8EA9DB" w:themeColor="accent5" w:themeTint="9A" w:sz="4" w:space="0"/>
          <w:left w:val="nil"/>
          <w:bottom w:val="nil"/>
          <w:right w:val="nil"/>
        </w:tcBorders>
        <w:shd w:val="clear" w:color="FFFFFF" w:fill="auto"/>
      </w:tcPr>
    </w:tblStylePr>
    <w:tblStylePr w:type="firstCol">
      <w:pPr>
        <w:jc w:val="right"/>
      </w:pPr>
      <w:rPr>
        <w:rFonts w:ascii="Arial" w:hAnsi="Arial"/>
        <w:i/>
        <w:color w:val="8FAADC" w:themeColor="accent5" w:themeTint="99"/>
        <w:sz w:val="22"/>
        <w14:textFill>
          <w14:solidFill>
            <w14:schemeClr w14:val="accent5">
              <w14:lumMod w14:val="60000"/>
              <w14:lumOff w14:val="40000"/>
            </w14:schemeClr>
          </w14:solidFill>
        </w14:textFill>
      </w:rPr>
      <w:tcPr>
        <w:tcBorders>
          <w:top w:val="nil"/>
          <w:left w:val="nil"/>
          <w:bottom w:val="nil"/>
          <w:right w:val="single" w:color="8EA9DB" w:themeColor="accent5" w:themeTint="9A" w:sz="4" w:space="0"/>
        </w:tcBorders>
        <w:shd w:val="clear" w:color="FFFFFF" w:fill="auto"/>
      </w:tcPr>
    </w:tblStylePr>
    <w:tblStylePr w:type="lastCol">
      <w:rPr>
        <w:rFonts w:ascii="Arial" w:hAnsi="Arial"/>
        <w:i/>
        <w:color w:val="8FAADC" w:themeColor="accent5" w:themeTint="99"/>
        <w:sz w:val="22"/>
        <w14:textFill>
          <w14:solidFill>
            <w14:schemeClr w14:val="accent5">
              <w14:lumMod w14:val="60000"/>
              <w14:lumOff w14:val="40000"/>
            </w14:schemeClr>
          </w14:solidFill>
        </w14:textFill>
      </w:rPr>
      <w:tcPr>
        <w:tcBorders>
          <w:top w:val="nil"/>
          <w:left w:val="single" w:color="8EA9DB" w:themeColor="accent5" w:themeTint="9A" w:sz="4" w:space="0"/>
          <w:bottom w:val="nil"/>
          <w:right w:val="nil"/>
        </w:tcBorders>
        <w:shd w:val="clear" w:color="FFFFFF" w:fill="auto"/>
      </w:tcPr>
    </w:tblStylePr>
    <w:tblStylePr w:type="band1Vert">
      <w:tcPr>
        <w:shd w:val="clear" w:color="FFFFFF" w:fill="auto"/>
      </w:tcPr>
    </w:tblStylePr>
    <w:tblStylePr w:type="band1Horz">
      <w:rPr>
        <w:rFonts w:ascii="Arial" w:hAnsi="Arial"/>
        <w:color w:val="8FAADC" w:themeColor="accent5" w:themeTint="99"/>
        <w:sz w:val="22"/>
        <w14:textFill>
          <w14:solidFill>
            <w14:schemeClr w14:val="accent5">
              <w14:lumMod w14:val="60000"/>
              <w14:lumOff w14:val="40000"/>
            </w14:schemeClr>
          </w14:solidFill>
        </w14:textFill>
      </w:rPr>
      <w:tcPr>
        <w:shd w:val="clear" w:color="FFFFFF" w:fill="auto"/>
      </w:tcPr>
    </w:tblStylePr>
    <w:tblStylePr w:type="band2Horz">
      <w:rPr>
        <w:rFonts w:ascii="Arial" w:hAnsi="Arial"/>
        <w:color w:val="8FAADC" w:themeColor="accent5" w:themeTint="99"/>
        <w:sz w:val="22"/>
        <w14:textFill>
          <w14:solidFill>
            <w14:schemeClr w14:val="accent5">
              <w14:lumMod w14:val="60000"/>
              <w14:lumOff w14:val="40000"/>
            </w14:schemeClr>
          </w14:solidFill>
        </w14:textFill>
      </w:rPr>
    </w:tblStylePr>
  </w:style>
  <w:style w:type="table" w:customStyle="1" w:styleId="191">
    <w:name w:val="List Table 7 Colorful - Accent 6"/>
    <w:basedOn w:val="37"/>
    <w:qFormat/>
    <w:uiPriority w:val="99"/>
    <w:tblPr>
      <w:tblBorders>
        <w:right w:val="single" w:color="A9D08E" w:themeColor="accent6" w:themeTint="98" w:sz="4" w:space="0"/>
      </w:tblBorders>
    </w:tblPr>
    <w:tblStylePr w:type="firstRow">
      <w:rPr>
        <w:rFonts w:ascii="Arial" w:hAnsi="Arial"/>
        <w:i/>
        <w:color w:val="A9D18E" w:themeColor="accent6" w:themeTint="99"/>
        <w:sz w:val="22"/>
        <w14:textFill>
          <w14:solidFill>
            <w14:schemeClr w14:val="accent6">
              <w14:lumMod w14:val="60000"/>
              <w14:lumOff w14:val="40000"/>
            </w14:schemeClr>
          </w14:solidFill>
        </w14:textFill>
      </w:rPr>
      <w:tcPr>
        <w:tcBorders>
          <w:top w:val="nil"/>
          <w:left w:val="nil"/>
          <w:bottom w:val="single" w:color="A9D08E" w:themeColor="accent6" w:themeTint="98" w:sz="4" w:space="0"/>
          <w:right w:val="nil"/>
        </w:tcBorders>
        <w:shd w:val="clear" w:color="FFFFFF" w:fill="auto"/>
      </w:tcPr>
    </w:tblStylePr>
    <w:tblStylePr w:type="lastRow">
      <w:rPr>
        <w:rFonts w:ascii="Arial" w:hAnsi="Arial"/>
        <w:i/>
        <w:color w:val="A9D18E" w:themeColor="accent6" w:themeTint="99"/>
        <w:sz w:val="22"/>
        <w14:textFill>
          <w14:solidFill>
            <w14:schemeClr w14:val="accent6">
              <w14:lumMod w14:val="60000"/>
              <w14:lumOff w14:val="40000"/>
            </w14:schemeClr>
          </w14:solidFill>
        </w14:textFill>
      </w:rPr>
      <w:tcPr>
        <w:tcBorders>
          <w:top w:val="single" w:color="A9D08E" w:themeColor="accent6" w:themeTint="98" w:sz="4" w:space="0"/>
          <w:left w:val="nil"/>
          <w:bottom w:val="nil"/>
          <w:right w:val="nil"/>
        </w:tcBorders>
        <w:shd w:val="clear" w:color="FFFFFF" w:fill="auto"/>
      </w:tcPr>
    </w:tblStylePr>
    <w:tblStylePr w:type="firstCol">
      <w:pPr>
        <w:jc w:val="right"/>
      </w:pPr>
      <w:rPr>
        <w:rFonts w:ascii="Arial" w:hAnsi="Arial"/>
        <w:i/>
        <w:color w:val="A9D18E" w:themeColor="accent6" w:themeTint="99"/>
        <w:sz w:val="22"/>
        <w14:textFill>
          <w14:solidFill>
            <w14:schemeClr w14:val="accent6">
              <w14:lumMod w14:val="60000"/>
              <w14:lumOff w14:val="40000"/>
            </w14:schemeClr>
          </w14:solidFill>
        </w14:textFill>
      </w:rPr>
      <w:tcPr>
        <w:tcBorders>
          <w:top w:val="nil"/>
          <w:left w:val="nil"/>
          <w:bottom w:val="nil"/>
          <w:right w:val="single" w:color="A9D08E" w:themeColor="accent6" w:themeTint="98" w:sz="4" w:space="0"/>
        </w:tcBorders>
        <w:shd w:val="clear" w:color="FFFFFF" w:fill="auto"/>
      </w:tcPr>
    </w:tblStylePr>
    <w:tblStylePr w:type="lastCol">
      <w:rPr>
        <w:rFonts w:ascii="Arial" w:hAnsi="Arial"/>
        <w:i/>
        <w:color w:val="A9D18E" w:themeColor="accent6" w:themeTint="99"/>
        <w:sz w:val="22"/>
        <w14:textFill>
          <w14:solidFill>
            <w14:schemeClr w14:val="accent6">
              <w14:lumMod w14:val="60000"/>
              <w14:lumOff w14:val="40000"/>
            </w14:schemeClr>
          </w14:solidFill>
        </w14:textFill>
      </w:rPr>
      <w:tcPr>
        <w:tcBorders>
          <w:top w:val="nil"/>
          <w:left w:val="single" w:color="A9D08E" w:themeColor="accent6" w:themeTint="98" w:sz="4" w:space="0"/>
          <w:bottom w:val="nil"/>
          <w:right w:val="nil"/>
        </w:tcBorders>
        <w:shd w:val="clear" w:color="FFFFFF" w:fill="auto"/>
      </w:tcPr>
    </w:tblStylePr>
    <w:tblStylePr w:type="band1Vert">
      <w:tcPr>
        <w:shd w:val="clear" w:color="FFFFFF" w:fill="auto"/>
      </w:tcPr>
    </w:tblStylePr>
    <w:tblStylePr w:type="band1Horz">
      <w:rPr>
        <w:rFonts w:ascii="Arial" w:hAnsi="Arial"/>
        <w:color w:val="A9D18E" w:themeColor="accent6" w:themeTint="99"/>
        <w:sz w:val="22"/>
        <w14:textFill>
          <w14:solidFill>
            <w14:schemeClr w14:val="accent6">
              <w14:lumMod w14:val="60000"/>
              <w14:lumOff w14:val="40000"/>
            </w14:schemeClr>
          </w14:solidFill>
        </w14:textFill>
      </w:rPr>
      <w:tcPr>
        <w:shd w:val="clear" w:color="FFFFFF" w:fill="auto"/>
      </w:tcPr>
    </w:tblStylePr>
    <w:tblStylePr w:type="band2Horz">
      <w:rPr>
        <w:rFonts w:ascii="Arial" w:hAnsi="Arial"/>
        <w:color w:val="A9D18E" w:themeColor="accent6" w:themeTint="99"/>
        <w:sz w:val="22"/>
        <w14:textFill>
          <w14:solidFill>
            <w14:schemeClr w14:val="accent6">
              <w14:lumMod w14:val="60000"/>
              <w14:lumOff w14:val="40000"/>
            </w14:schemeClr>
          </w14:solidFill>
        </w14:textFill>
      </w:rPr>
    </w:tblStylePr>
  </w:style>
  <w:style w:type="table" w:customStyle="1" w:styleId="192">
    <w:name w:val="Lined - Accent"/>
    <w:basedOn w:val="37"/>
    <w:qFormat/>
    <w:uiPriority w:val="99"/>
    <w:rPr>
      <w:color w:val="404040"/>
    </w:rPr>
    <w:tblStylePr w:type="firstRow">
      <w:rPr>
        <w:rFonts w:ascii="Arial" w:hAnsi="Arial"/>
        <w:color w:val="F2F2F2"/>
        <w:sz w:val="22"/>
      </w:rPr>
      <w:tcPr>
        <w:shd w:val="clear" w:color="FFFFFF" w:fill="auto"/>
      </w:tcPr>
    </w:tblStylePr>
    <w:tblStylePr w:type="lastRow">
      <w:rPr>
        <w:rFonts w:ascii="Arial" w:hAnsi="Arial"/>
        <w:color w:val="F2F2F2"/>
        <w:sz w:val="22"/>
      </w:rPr>
      <w:tcPr>
        <w:shd w:val="clear" w:color="FFFFFF" w:fill="auto"/>
      </w:tcPr>
    </w:tblStylePr>
    <w:tblStylePr w:type="firstCol">
      <w:rPr>
        <w:rFonts w:ascii="Arial" w:hAnsi="Arial"/>
        <w:color w:val="F2F2F2"/>
        <w:sz w:val="22"/>
      </w:rPr>
      <w:tcPr>
        <w:shd w:val="clear" w:color="FFFFFF" w:fill="auto"/>
      </w:tcPr>
    </w:tblStylePr>
    <w:tblStylePr w:type="lastCol">
      <w:rPr>
        <w:rFonts w:ascii="Arial" w:hAnsi="Arial"/>
        <w:color w:val="F2F2F2"/>
        <w:sz w:val="22"/>
      </w:rPr>
      <w:tcPr>
        <w:shd w:val="clear" w:color="FFFFFF" w:fill="auto"/>
      </w:tcPr>
    </w:tblStylePr>
    <w:tblStylePr w:type="band1Vert">
      <w:rPr>
        <w:rFonts w:ascii="Arial" w:hAnsi="Arial"/>
        <w:color w:val="404040"/>
        <w:sz w:val="22"/>
      </w:rPr>
    </w:tblStylePr>
    <w:tblStylePr w:type="band2Vert">
      <w:rPr>
        <w:rFonts w:ascii="Arial" w:hAnsi="Arial"/>
        <w:color w:val="404040"/>
        <w:sz w:val="22"/>
      </w:rPr>
      <w:tcPr>
        <w:shd w:val="clear" w:color="FFFFFF" w:fill="auto"/>
      </w:tcPr>
    </w:tblStylePr>
    <w:tblStylePr w:type="band1Horz">
      <w:rPr>
        <w:rFonts w:ascii="Arial" w:hAnsi="Arial"/>
        <w:color w:val="404040"/>
        <w:sz w:val="22"/>
      </w:rPr>
    </w:tblStylePr>
    <w:tblStylePr w:type="band2Horz">
      <w:rPr>
        <w:rFonts w:ascii="Arial" w:hAnsi="Arial"/>
        <w:color w:val="404040"/>
        <w:sz w:val="22"/>
      </w:rPr>
      <w:tcPr>
        <w:shd w:val="clear" w:color="FFFFFF" w:fill="auto"/>
      </w:tcPr>
    </w:tblStylePr>
  </w:style>
  <w:style w:type="table" w:customStyle="1" w:styleId="193">
    <w:name w:val="Lined - Accent 1"/>
    <w:basedOn w:val="37"/>
    <w:qFormat/>
    <w:uiPriority w:val="99"/>
    <w:rPr>
      <w:color w:val="404040"/>
    </w:rPr>
    <w:tblStylePr w:type="firstRow">
      <w:rPr>
        <w:rFonts w:ascii="Arial" w:hAnsi="Arial"/>
        <w:color w:val="F2F2F2"/>
        <w:sz w:val="22"/>
      </w:rPr>
      <w:tcPr>
        <w:shd w:val="clear" w:color="FFFFFF" w:fill="auto"/>
      </w:tcPr>
    </w:tblStylePr>
    <w:tblStylePr w:type="lastRow">
      <w:rPr>
        <w:rFonts w:ascii="Arial" w:hAnsi="Arial"/>
        <w:color w:val="F2F2F2"/>
        <w:sz w:val="22"/>
      </w:rPr>
      <w:tcPr>
        <w:shd w:val="clear" w:color="FFFFFF" w:fill="auto"/>
      </w:tcPr>
    </w:tblStylePr>
    <w:tblStylePr w:type="firstCol">
      <w:rPr>
        <w:rFonts w:ascii="Arial" w:hAnsi="Arial"/>
        <w:color w:val="F2F2F2"/>
        <w:sz w:val="22"/>
      </w:rPr>
      <w:tcPr>
        <w:shd w:val="clear" w:color="FFFFFF" w:fill="auto"/>
      </w:tcPr>
    </w:tblStylePr>
    <w:tblStylePr w:type="lastCol">
      <w:rPr>
        <w:rFonts w:ascii="Arial" w:hAnsi="Arial"/>
        <w:color w:val="F2F2F2"/>
        <w:sz w:val="22"/>
      </w:rPr>
      <w:tcPr>
        <w:shd w:val="clear" w:color="FFFFFF" w:fill="auto"/>
      </w:tcPr>
    </w:tblStylePr>
    <w:tblStylePr w:type="band1Vert">
      <w:rPr>
        <w:rFonts w:ascii="Arial" w:hAnsi="Arial"/>
        <w:color w:val="404040"/>
        <w:sz w:val="22"/>
      </w:rPr>
    </w:tblStylePr>
    <w:tblStylePr w:type="band2Vert">
      <w:rPr>
        <w:rFonts w:ascii="Arial" w:hAnsi="Arial"/>
        <w:color w:val="404040"/>
        <w:sz w:val="22"/>
      </w:rPr>
      <w:tcPr>
        <w:shd w:val="clear" w:color="FFFFFF" w:fill="auto"/>
      </w:tcPr>
    </w:tblStylePr>
    <w:tblStylePr w:type="band1Horz">
      <w:rPr>
        <w:rFonts w:ascii="Arial" w:hAnsi="Arial"/>
        <w:color w:val="404040"/>
        <w:sz w:val="22"/>
      </w:rPr>
    </w:tblStylePr>
    <w:tblStylePr w:type="band2Horz">
      <w:rPr>
        <w:rFonts w:ascii="Arial" w:hAnsi="Arial"/>
        <w:color w:val="404040"/>
        <w:sz w:val="22"/>
      </w:rPr>
      <w:tcPr>
        <w:shd w:val="clear" w:color="FFFFFF" w:fill="auto"/>
      </w:tcPr>
    </w:tblStylePr>
  </w:style>
  <w:style w:type="table" w:customStyle="1" w:styleId="194">
    <w:name w:val="Lined - Accent 2"/>
    <w:basedOn w:val="37"/>
    <w:qFormat/>
    <w:uiPriority w:val="99"/>
    <w:rPr>
      <w:color w:val="404040"/>
    </w:rPr>
    <w:tblStylePr w:type="firstRow">
      <w:rPr>
        <w:rFonts w:ascii="Arial" w:hAnsi="Arial"/>
        <w:color w:val="F2F2F2"/>
        <w:sz w:val="22"/>
      </w:rPr>
      <w:tcPr>
        <w:shd w:val="clear" w:color="FFFFFF" w:fill="auto"/>
      </w:tcPr>
    </w:tblStylePr>
    <w:tblStylePr w:type="lastRow">
      <w:rPr>
        <w:rFonts w:ascii="Arial" w:hAnsi="Arial"/>
        <w:color w:val="F2F2F2"/>
        <w:sz w:val="22"/>
      </w:rPr>
      <w:tcPr>
        <w:shd w:val="clear" w:color="FFFFFF" w:fill="auto"/>
      </w:tcPr>
    </w:tblStylePr>
    <w:tblStylePr w:type="firstCol">
      <w:rPr>
        <w:rFonts w:ascii="Arial" w:hAnsi="Arial"/>
        <w:color w:val="F2F2F2"/>
        <w:sz w:val="22"/>
      </w:rPr>
      <w:tcPr>
        <w:shd w:val="clear" w:color="FFFFFF" w:fill="auto"/>
      </w:tcPr>
    </w:tblStylePr>
    <w:tblStylePr w:type="lastCol">
      <w:rPr>
        <w:rFonts w:ascii="Arial" w:hAnsi="Arial"/>
        <w:color w:val="F2F2F2"/>
        <w:sz w:val="22"/>
      </w:rPr>
      <w:tcPr>
        <w:shd w:val="clear" w:color="FFFFFF" w:fill="auto"/>
      </w:tcPr>
    </w:tblStylePr>
    <w:tblStylePr w:type="band1Vert">
      <w:rPr>
        <w:rFonts w:ascii="Arial" w:hAnsi="Arial"/>
        <w:color w:val="404040"/>
        <w:sz w:val="22"/>
      </w:rPr>
    </w:tblStylePr>
    <w:tblStylePr w:type="band2Vert">
      <w:rPr>
        <w:rFonts w:ascii="Arial" w:hAnsi="Arial"/>
        <w:color w:val="404040"/>
        <w:sz w:val="22"/>
      </w:rPr>
      <w:tcPr>
        <w:shd w:val="clear" w:color="FFFFFF" w:fill="auto"/>
      </w:tcPr>
    </w:tblStylePr>
    <w:tblStylePr w:type="band1Horz">
      <w:rPr>
        <w:rFonts w:ascii="Arial" w:hAnsi="Arial"/>
        <w:color w:val="404040"/>
        <w:sz w:val="22"/>
      </w:rPr>
    </w:tblStylePr>
    <w:tblStylePr w:type="band2Horz">
      <w:rPr>
        <w:rFonts w:ascii="Arial" w:hAnsi="Arial"/>
        <w:color w:val="404040"/>
        <w:sz w:val="22"/>
      </w:rPr>
      <w:tcPr>
        <w:shd w:val="clear" w:color="FFFFFF" w:fill="auto"/>
      </w:tcPr>
    </w:tblStylePr>
  </w:style>
  <w:style w:type="table" w:customStyle="1" w:styleId="195">
    <w:name w:val="Lined - Accent 3"/>
    <w:basedOn w:val="37"/>
    <w:qFormat/>
    <w:uiPriority w:val="99"/>
    <w:rPr>
      <w:color w:val="404040"/>
    </w:rPr>
    <w:tblStylePr w:type="firstRow">
      <w:rPr>
        <w:rFonts w:ascii="Arial" w:hAnsi="Arial"/>
        <w:color w:val="F2F2F2"/>
        <w:sz w:val="22"/>
      </w:rPr>
      <w:tcPr>
        <w:shd w:val="clear" w:color="FFFFFF" w:fill="auto"/>
      </w:tcPr>
    </w:tblStylePr>
    <w:tblStylePr w:type="lastRow">
      <w:rPr>
        <w:rFonts w:ascii="Arial" w:hAnsi="Arial"/>
        <w:color w:val="F2F2F2"/>
        <w:sz w:val="22"/>
      </w:rPr>
      <w:tcPr>
        <w:shd w:val="clear" w:color="FFFFFF" w:fill="auto"/>
      </w:tcPr>
    </w:tblStylePr>
    <w:tblStylePr w:type="firstCol">
      <w:rPr>
        <w:rFonts w:ascii="Arial" w:hAnsi="Arial"/>
        <w:color w:val="F2F2F2"/>
        <w:sz w:val="22"/>
      </w:rPr>
      <w:tcPr>
        <w:shd w:val="clear" w:color="FFFFFF" w:fill="auto"/>
      </w:tcPr>
    </w:tblStylePr>
    <w:tblStylePr w:type="lastCol">
      <w:rPr>
        <w:rFonts w:ascii="Arial" w:hAnsi="Arial"/>
        <w:color w:val="F2F2F2"/>
        <w:sz w:val="22"/>
      </w:rPr>
      <w:tcPr>
        <w:shd w:val="clear" w:color="FFFFFF" w:fill="auto"/>
      </w:tcPr>
    </w:tblStylePr>
    <w:tblStylePr w:type="band1Vert">
      <w:rPr>
        <w:rFonts w:ascii="Arial" w:hAnsi="Arial"/>
        <w:color w:val="404040"/>
        <w:sz w:val="22"/>
      </w:rPr>
    </w:tblStylePr>
    <w:tblStylePr w:type="band2Vert">
      <w:rPr>
        <w:rFonts w:ascii="Arial" w:hAnsi="Arial"/>
        <w:color w:val="404040"/>
        <w:sz w:val="22"/>
      </w:rPr>
      <w:tcPr>
        <w:shd w:val="clear" w:color="FFFFFF" w:fill="auto"/>
      </w:tcPr>
    </w:tblStylePr>
    <w:tblStylePr w:type="band1Horz">
      <w:rPr>
        <w:rFonts w:ascii="Arial" w:hAnsi="Arial"/>
        <w:color w:val="404040"/>
        <w:sz w:val="22"/>
      </w:rPr>
    </w:tblStylePr>
    <w:tblStylePr w:type="band2Horz">
      <w:rPr>
        <w:rFonts w:ascii="Arial" w:hAnsi="Arial"/>
        <w:color w:val="404040"/>
        <w:sz w:val="22"/>
      </w:rPr>
      <w:tcPr>
        <w:shd w:val="clear" w:color="FFFFFF" w:fill="auto"/>
      </w:tcPr>
    </w:tblStylePr>
  </w:style>
  <w:style w:type="table" w:customStyle="1" w:styleId="196">
    <w:name w:val="Lined - Accent 4"/>
    <w:basedOn w:val="37"/>
    <w:qFormat/>
    <w:uiPriority w:val="99"/>
    <w:rPr>
      <w:color w:val="404040"/>
    </w:rPr>
    <w:tblStylePr w:type="firstRow">
      <w:rPr>
        <w:rFonts w:ascii="Arial" w:hAnsi="Arial"/>
        <w:color w:val="F2F2F2"/>
        <w:sz w:val="22"/>
      </w:rPr>
      <w:tcPr>
        <w:shd w:val="clear" w:color="FFFFFF" w:fill="auto"/>
      </w:tcPr>
    </w:tblStylePr>
    <w:tblStylePr w:type="lastRow">
      <w:rPr>
        <w:rFonts w:ascii="Arial" w:hAnsi="Arial"/>
        <w:color w:val="F2F2F2"/>
        <w:sz w:val="22"/>
      </w:rPr>
      <w:tcPr>
        <w:shd w:val="clear" w:color="FFFFFF" w:fill="auto"/>
      </w:tcPr>
    </w:tblStylePr>
    <w:tblStylePr w:type="firstCol">
      <w:rPr>
        <w:rFonts w:ascii="Arial" w:hAnsi="Arial"/>
        <w:color w:val="F2F2F2"/>
        <w:sz w:val="22"/>
      </w:rPr>
      <w:tcPr>
        <w:shd w:val="clear" w:color="FFFFFF" w:fill="auto"/>
      </w:tcPr>
    </w:tblStylePr>
    <w:tblStylePr w:type="lastCol">
      <w:rPr>
        <w:rFonts w:ascii="Arial" w:hAnsi="Arial"/>
        <w:color w:val="F2F2F2"/>
        <w:sz w:val="22"/>
      </w:rPr>
      <w:tcPr>
        <w:shd w:val="clear" w:color="FFFFFF" w:fill="auto"/>
      </w:tcPr>
    </w:tblStylePr>
    <w:tblStylePr w:type="band1Vert">
      <w:rPr>
        <w:rFonts w:ascii="Arial" w:hAnsi="Arial"/>
        <w:color w:val="404040"/>
        <w:sz w:val="22"/>
      </w:rPr>
    </w:tblStylePr>
    <w:tblStylePr w:type="band2Vert">
      <w:rPr>
        <w:rFonts w:ascii="Arial" w:hAnsi="Arial"/>
        <w:color w:val="404040"/>
        <w:sz w:val="22"/>
      </w:rPr>
      <w:tcPr>
        <w:shd w:val="clear" w:color="FFFFFF" w:fill="auto"/>
      </w:tcPr>
    </w:tblStylePr>
    <w:tblStylePr w:type="band1Horz">
      <w:rPr>
        <w:rFonts w:ascii="Arial" w:hAnsi="Arial"/>
        <w:color w:val="404040"/>
        <w:sz w:val="22"/>
      </w:rPr>
    </w:tblStylePr>
    <w:tblStylePr w:type="band2Horz">
      <w:rPr>
        <w:rFonts w:ascii="Arial" w:hAnsi="Arial"/>
        <w:color w:val="404040"/>
        <w:sz w:val="22"/>
      </w:rPr>
      <w:tcPr>
        <w:shd w:val="clear" w:color="FFFFFF" w:fill="auto"/>
      </w:tcPr>
    </w:tblStylePr>
  </w:style>
  <w:style w:type="table" w:customStyle="1" w:styleId="197">
    <w:name w:val="Lined - Accent 5"/>
    <w:basedOn w:val="37"/>
    <w:qFormat/>
    <w:uiPriority w:val="99"/>
    <w:rPr>
      <w:color w:val="404040"/>
    </w:rPr>
    <w:tblStylePr w:type="firstRow">
      <w:rPr>
        <w:rFonts w:ascii="Arial" w:hAnsi="Arial"/>
        <w:color w:val="F2F2F2"/>
        <w:sz w:val="22"/>
      </w:rPr>
      <w:tcPr>
        <w:shd w:val="clear" w:color="FFFFFF" w:fill="auto"/>
      </w:tcPr>
    </w:tblStylePr>
    <w:tblStylePr w:type="lastRow">
      <w:rPr>
        <w:rFonts w:ascii="Arial" w:hAnsi="Arial"/>
        <w:color w:val="F2F2F2"/>
        <w:sz w:val="22"/>
      </w:rPr>
      <w:tcPr>
        <w:shd w:val="clear" w:color="FFFFFF" w:fill="auto"/>
      </w:tcPr>
    </w:tblStylePr>
    <w:tblStylePr w:type="firstCol">
      <w:rPr>
        <w:rFonts w:ascii="Arial" w:hAnsi="Arial"/>
        <w:color w:val="F2F2F2"/>
        <w:sz w:val="22"/>
      </w:rPr>
      <w:tcPr>
        <w:shd w:val="clear" w:color="FFFFFF" w:fill="auto"/>
      </w:tcPr>
    </w:tblStylePr>
    <w:tblStylePr w:type="lastCol">
      <w:rPr>
        <w:rFonts w:ascii="Arial" w:hAnsi="Arial"/>
        <w:color w:val="F2F2F2"/>
        <w:sz w:val="22"/>
      </w:rPr>
      <w:tcPr>
        <w:shd w:val="clear" w:color="FFFFFF" w:fill="auto"/>
      </w:tcPr>
    </w:tblStylePr>
    <w:tblStylePr w:type="band1Vert">
      <w:rPr>
        <w:rFonts w:ascii="Arial" w:hAnsi="Arial"/>
        <w:color w:val="404040"/>
        <w:sz w:val="22"/>
      </w:rPr>
    </w:tblStylePr>
    <w:tblStylePr w:type="band2Vert">
      <w:rPr>
        <w:rFonts w:ascii="Arial" w:hAnsi="Arial"/>
        <w:color w:val="404040"/>
        <w:sz w:val="22"/>
      </w:rPr>
      <w:tcPr>
        <w:shd w:val="clear" w:color="FFFFFF" w:fill="auto"/>
      </w:tcPr>
    </w:tblStylePr>
    <w:tblStylePr w:type="band1Horz">
      <w:rPr>
        <w:rFonts w:ascii="Arial" w:hAnsi="Arial"/>
        <w:color w:val="404040"/>
        <w:sz w:val="22"/>
      </w:rPr>
    </w:tblStylePr>
    <w:tblStylePr w:type="band2Horz">
      <w:rPr>
        <w:rFonts w:ascii="Arial" w:hAnsi="Arial"/>
        <w:color w:val="404040"/>
        <w:sz w:val="22"/>
      </w:rPr>
      <w:tcPr>
        <w:shd w:val="clear" w:color="FFFFFF" w:fill="auto"/>
      </w:tcPr>
    </w:tblStylePr>
  </w:style>
  <w:style w:type="table" w:customStyle="1" w:styleId="198">
    <w:name w:val="Lined - Accent 6"/>
    <w:basedOn w:val="37"/>
    <w:qFormat/>
    <w:uiPriority w:val="99"/>
    <w:rPr>
      <w:color w:val="404040"/>
    </w:rPr>
    <w:tblStylePr w:type="firstRow">
      <w:rPr>
        <w:rFonts w:ascii="Arial" w:hAnsi="Arial"/>
        <w:color w:val="F2F2F2"/>
        <w:sz w:val="22"/>
      </w:rPr>
      <w:tcPr>
        <w:shd w:val="clear" w:color="FFFFFF" w:fill="auto"/>
      </w:tcPr>
    </w:tblStylePr>
    <w:tblStylePr w:type="lastRow">
      <w:rPr>
        <w:rFonts w:ascii="Arial" w:hAnsi="Arial"/>
        <w:color w:val="F2F2F2"/>
        <w:sz w:val="22"/>
      </w:rPr>
      <w:tcPr>
        <w:shd w:val="clear" w:color="FFFFFF" w:fill="auto"/>
      </w:tcPr>
    </w:tblStylePr>
    <w:tblStylePr w:type="firstCol">
      <w:rPr>
        <w:rFonts w:ascii="Arial" w:hAnsi="Arial"/>
        <w:color w:val="F2F2F2"/>
        <w:sz w:val="22"/>
      </w:rPr>
      <w:tcPr>
        <w:shd w:val="clear" w:color="FFFFFF" w:fill="auto"/>
      </w:tcPr>
    </w:tblStylePr>
    <w:tblStylePr w:type="lastCol">
      <w:rPr>
        <w:rFonts w:ascii="Arial" w:hAnsi="Arial"/>
        <w:color w:val="F2F2F2"/>
        <w:sz w:val="22"/>
      </w:rPr>
      <w:tcPr>
        <w:shd w:val="clear" w:color="FFFFFF" w:fill="auto"/>
      </w:tcPr>
    </w:tblStylePr>
    <w:tblStylePr w:type="band1Vert">
      <w:rPr>
        <w:rFonts w:ascii="Arial" w:hAnsi="Arial"/>
        <w:color w:val="404040"/>
        <w:sz w:val="22"/>
      </w:rPr>
    </w:tblStylePr>
    <w:tblStylePr w:type="band2Vert">
      <w:rPr>
        <w:rFonts w:ascii="Arial" w:hAnsi="Arial"/>
        <w:color w:val="404040"/>
        <w:sz w:val="22"/>
      </w:rPr>
      <w:tcPr>
        <w:shd w:val="clear" w:color="FFFFFF" w:fill="auto"/>
      </w:tcPr>
    </w:tblStylePr>
    <w:tblStylePr w:type="band1Horz">
      <w:rPr>
        <w:rFonts w:ascii="Arial" w:hAnsi="Arial"/>
        <w:color w:val="404040"/>
        <w:sz w:val="22"/>
      </w:rPr>
    </w:tblStylePr>
    <w:tblStylePr w:type="band2Horz">
      <w:rPr>
        <w:rFonts w:ascii="Arial" w:hAnsi="Arial"/>
        <w:color w:val="404040"/>
        <w:sz w:val="22"/>
      </w:rPr>
      <w:tcPr>
        <w:shd w:val="clear" w:color="FFFFFF" w:fill="auto"/>
      </w:tcPr>
    </w:tblStylePr>
  </w:style>
  <w:style w:type="table" w:customStyle="1" w:styleId="199">
    <w:name w:val="Bordered &amp; Lined - Accent"/>
    <w:basedOn w:val="37"/>
    <w:qFormat/>
    <w:uiPriority w:val="99"/>
    <w:rPr>
      <w:color w:val="404040"/>
    </w:rPr>
    <w:tblPr>
      <w:tblBorders>
        <w:top w:val="single" w:color="585858" w:themeColor="text1" w:themeTint="A6" w:sz="4" w:space="0"/>
        <w:left w:val="single" w:color="585858" w:themeColor="text1" w:themeTint="A6" w:sz="4" w:space="0"/>
        <w:bottom w:val="single" w:color="585858" w:themeColor="text1" w:themeTint="A6" w:sz="4" w:space="0"/>
        <w:right w:val="single" w:color="585858" w:themeColor="text1" w:themeTint="A6" w:sz="4" w:space="0"/>
        <w:insideH w:val="single" w:color="585858" w:themeColor="text1" w:themeTint="A6" w:sz="4" w:space="0"/>
        <w:insideV w:val="single" w:color="585858" w:themeColor="text1" w:themeTint="A6" w:sz="4" w:space="0"/>
      </w:tblBorders>
    </w:tblPr>
    <w:tblStylePr w:type="firstRow">
      <w:rPr>
        <w:rFonts w:ascii="Arial" w:hAnsi="Arial"/>
        <w:color w:val="F2F2F2"/>
        <w:sz w:val="22"/>
      </w:rPr>
      <w:tcPr>
        <w:shd w:val="clear" w:color="FFFFFF" w:fill="auto"/>
      </w:tcPr>
    </w:tblStylePr>
    <w:tblStylePr w:type="lastRow">
      <w:rPr>
        <w:rFonts w:ascii="Arial" w:hAnsi="Arial"/>
        <w:color w:val="F2F2F2"/>
        <w:sz w:val="22"/>
      </w:rPr>
      <w:tcPr>
        <w:shd w:val="clear" w:color="FFFFFF" w:fill="auto"/>
      </w:tcPr>
    </w:tblStylePr>
    <w:tblStylePr w:type="firstCol">
      <w:rPr>
        <w:rFonts w:ascii="Arial" w:hAnsi="Arial"/>
        <w:color w:val="F2F2F2"/>
        <w:sz w:val="22"/>
      </w:rPr>
      <w:tcPr>
        <w:shd w:val="clear" w:color="FFFFFF" w:fill="auto"/>
      </w:tcPr>
    </w:tblStylePr>
    <w:tblStylePr w:type="lastCol">
      <w:rPr>
        <w:rFonts w:ascii="Arial" w:hAnsi="Arial"/>
        <w:color w:val="F2F2F2"/>
        <w:sz w:val="22"/>
      </w:rPr>
      <w:tcPr>
        <w:shd w:val="clear" w:color="FFFFFF" w:fill="auto"/>
      </w:tcPr>
    </w:tblStylePr>
    <w:tblStylePr w:type="band1Vert">
      <w:rPr>
        <w:rFonts w:ascii="Arial" w:hAnsi="Arial"/>
        <w:color w:val="404040"/>
        <w:sz w:val="22"/>
      </w:rPr>
    </w:tblStylePr>
    <w:tblStylePr w:type="band2Vert">
      <w:rPr>
        <w:rFonts w:ascii="Arial" w:hAnsi="Arial"/>
        <w:color w:val="404040"/>
        <w:sz w:val="22"/>
      </w:rPr>
      <w:tcPr>
        <w:shd w:val="clear" w:color="FFFFFF" w:fill="auto"/>
      </w:tcPr>
    </w:tblStylePr>
    <w:tblStylePr w:type="band1Horz">
      <w:rPr>
        <w:rFonts w:ascii="Arial" w:hAnsi="Arial"/>
        <w:color w:val="404040"/>
        <w:sz w:val="22"/>
      </w:rPr>
    </w:tblStylePr>
    <w:tblStylePr w:type="band2Horz">
      <w:rPr>
        <w:rFonts w:ascii="Arial" w:hAnsi="Arial"/>
        <w:color w:val="404040"/>
        <w:sz w:val="22"/>
      </w:rPr>
      <w:tcPr>
        <w:shd w:val="clear" w:color="FFFFFF" w:fill="auto"/>
      </w:tcPr>
    </w:tblStylePr>
  </w:style>
  <w:style w:type="table" w:customStyle="1" w:styleId="200">
    <w:name w:val="Bordered &amp; Lined - Accent 1"/>
    <w:basedOn w:val="37"/>
    <w:qFormat/>
    <w:uiPriority w:val="99"/>
    <w:rPr>
      <w:color w:val="404040"/>
    </w:rPr>
    <w:tblPr>
      <w:tblBorders>
        <w:top w:val="single" w:color="245B8D" w:themeColor="accent1" w:themeShade="95" w:sz="4" w:space="0"/>
        <w:left w:val="single" w:color="245B8D" w:themeColor="accent1" w:themeShade="95" w:sz="4" w:space="0"/>
        <w:bottom w:val="single" w:color="245B8D" w:themeColor="accent1" w:themeShade="95" w:sz="4" w:space="0"/>
        <w:right w:val="single" w:color="245B8D" w:themeColor="accent1" w:themeShade="95" w:sz="4" w:space="0"/>
        <w:insideH w:val="single" w:color="245B8D" w:themeColor="accent1" w:themeShade="95" w:sz="4" w:space="0"/>
        <w:insideV w:val="single" w:color="245B8D" w:themeColor="accent1" w:themeShade="95" w:sz="4" w:space="0"/>
      </w:tblBorders>
    </w:tblPr>
    <w:tblStylePr w:type="firstRow">
      <w:rPr>
        <w:rFonts w:ascii="Arial" w:hAnsi="Arial"/>
        <w:color w:val="F2F2F2"/>
        <w:sz w:val="22"/>
      </w:rPr>
      <w:tcPr>
        <w:shd w:val="clear" w:color="FFFFFF" w:fill="auto"/>
      </w:tcPr>
    </w:tblStylePr>
    <w:tblStylePr w:type="lastRow">
      <w:rPr>
        <w:rFonts w:ascii="Arial" w:hAnsi="Arial"/>
        <w:color w:val="F2F2F2"/>
        <w:sz w:val="22"/>
      </w:rPr>
      <w:tcPr>
        <w:shd w:val="clear" w:color="FFFFFF" w:fill="auto"/>
      </w:tcPr>
    </w:tblStylePr>
    <w:tblStylePr w:type="firstCol">
      <w:rPr>
        <w:rFonts w:ascii="Arial" w:hAnsi="Arial"/>
        <w:color w:val="F2F2F2"/>
        <w:sz w:val="22"/>
      </w:rPr>
      <w:tcPr>
        <w:shd w:val="clear" w:color="FFFFFF" w:fill="auto"/>
      </w:tcPr>
    </w:tblStylePr>
    <w:tblStylePr w:type="lastCol">
      <w:rPr>
        <w:rFonts w:ascii="Arial" w:hAnsi="Arial"/>
        <w:color w:val="F2F2F2"/>
        <w:sz w:val="22"/>
      </w:rPr>
      <w:tcPr>
        <w:shd w:val="clear" w:color="FFFFFF" w:fill="auto"/>
      </w:tcPr>
    </w:tblStylePr>
    <w:tblStylePr w:type="band1Vert">
      <w:rPr>
        <w:rFonts w:ascii="Arial" w:hAnsi="Arial"/>
        <w:color w:val="404040"/>
        <w:sz w:val="22"/>
      </w:rPr>
    </w:tblStylePr>
    <w:tblStylePr w:type="band2Vert">
      <w:rPr>
        <w:rFonts w:ascii="Arial" w:hAnsi="Arial"/>
        <w:color w:val="404040"/>
        <w:sz w:val="22"/>
      </w:rPr>
      <w:tcPr>
        <w:shd w:val="clear" w:color="FFFFFF" w:fill="auto"/>
      </w:tcPr>
    </w:tblStylePr>
    <w:tblStylePr w:type="band1Horz">
      <w:rPr>
        <w:rFonts w:ascii="Arial" w:hAnsi="Arial"/>
        <w:color w:val="404040"/>
        <w:sz w:val="22"/>
      </w:rPr>
    </w:tblStylePr>
    <w:tblStylePr w:type="band2Horz">
      <w:rPr>
        <w:rFonts w:ascii="Arial" w:hAnsi="Arial"/>
        <w:color w:val="404040"/>
        <w:sz w:val="22"/>
      </w:rPr>
      <w:tcPr>
        <w:shd w:val="clear" w:color="FFFFFF" w:fill="auto"/>
      </w:tcPr>
    </w:tblStylePr>
  </w:style>
  <w:style w:type="table" w:customStyle="1" w:styleId="201">
    <w:name w:val="Bordered &amp; Lined - Accent 2"/>
    <w:basedOn w:val="37"/>
    <w:qFormat/>
    <w:uiPriority w:val="99"/>
    <w:rPr>
      <w:color w:val="404040"/>
    </w:rPr>
    <w:tblPr>
      <w:tblBorders>
        <w:top w:val="single" w:color="99460D" w:themeColor="accent2" w:themeShade="95" w:sz="4" w:space="0"/>
        <w:left w:val="single" w:color="99460D" w:themeColor="accent2" w:themeShade="95" w:sz="4" w:space="0"/>
        <w:bottom w:val="single" w:color="99460D" w:themeColor="accent2" w:themeShade="95" w:sz="4" w:space="0"/>
        <w:right w:val="single" w:color="99460D" w:themeColor="accent2" w:themeShade="95" w:sz="4" w:space="0"/>
        <w:insideH w:val="single" w:color="99460D" w:themeColor="accent2" w:themeShade="95" w:sz="4" w:space="0"/>
        <w:insideV w:val="single" w:color="99460D" w:themeColor="accent2" w:themeShade="95" w:sz="4" w:space="0"/>
      </w:tblBorders>
    </w:tblPr>
    <w:tblStylePr w:type="firstRow">
      <w:rPr>
        <w:rFonts w:ascii="Arial" w:hAnsi="Arial"/>
        <w:color w:val="F2F2F2"/>
        <w:sz w:val="22"/>
      </w:rPr>
      <w:tcPr>
        <w:shd w:val="clear" w:color="FFFFFF" w:fill="auto"/>
      </w:tcPr>
    </w:tblStylePr>
    <w:tblStylePr w:type="lastRow">
      <w:rPr>
        <w:rFonts w:ascii="Arial" w:hAnsi="Arial"/>
        <w:color w:val="F2F2F2"/>
        <w:sz w:val="22"/>
      </w:rPr>
      <w:tcPr>
        <w:shd w:val="clear" w:color="FFFFFF" w:fill="auto"/>
      </w:tcPr>
    </w:tblStylePr>
    <w:tblStylePr w:type="firstCol">
      <w:rPr>
        <w:rFonts w:ascii="Arial" w:hAnsi="Arial"/>
        <w:color w:val="F2F2F2"/>
        <w:sz w:val="22"/>
      </w:rPr>
      <w:tcPr>
        <w:shd w:val="clear" w:color="FFFFFF" w:fill="auto"/>
      </w:tcPr>
    </w:tblStylePr>
    <w:tblStylePr w:type="lastCol">
      <w:rPr>
        <w:rFonts w:ascii="Arial" w:hAnsi="Arial"/>
        <w:color w:val="F2F2F2"/>
        <w:sz w:val="22"/>
      </w:rPr>
      <w:tcPr>
        <w:shd w:val="clear" w:color="FFFFFF" w:fill="auto"/>
      </w:tcPr>
    </w:tblStylePr>
    <w:tblStylePr w:type="band1Vert">
      <w:rPr>
        <w:rFonts w:ascii="Arial" w:hAnsi="Arial"/>
        <w:color w:val="404040"/>
        <w:sz w:val="22"/>
      </w:rPr>
    </w:tblStylePr>
    <w:tblStylePr w:type="band2Vert">
      <w:rPr>
        <w:rFonts w:ascii="Arial" w:hAnsi="Arial"/>
        <w:color w:val="404040"/>
        <w:sz w:val="22"/>
      </w:rPr>
      <w:tcPr>
        <w:shd w:val="clear" w:color="FFFFFF" w:fill="auto"/>
      </w:tcPr>
    </w:tblStylePr>
    <w:tblStylePr w:type="band1Horz">
      <w:rPr>
        <w:rFonts w:ascii="Arial" w:hAnsi="Arial"/>
        <w:color w:val="404040"/>
        <w:sz w:val="22"/>
      </w:rPr>
    </w:tblStylePr>
    <w:tblStylePr w:type="band2Horz">
      <w:rPr>
        <w:rFonts w:ascii="Arial" w:hAnsi="Arial"/>
        <w:color w:val="404040"/>
        <w:sz w:val="22"/>
      </w:rPr>
      <w:tcPr>
        <w:shd w:val="clear" w:color="FFFFFF" w:fill="auto"/>
      </w:tcPr>
    </w:tblStylePr>
  </w:style>
  <w:style w:type="table" w:customStyle="1" w:styleId="202">
    <w:name w:val="Bordered &amp; Lined - Accent 3"/>
    <w:basedOn w:val="37"/>
    <w:qFormat/>
    <w:uiPriority w:val="99"/>
    <w:rPr>
      <w:color w:val="404040"/>
    </w:rPr>
    <w:tblPr>
      <w:tblBorders>
        <w:top w:val="single" w:color="606060" w:themeColor="accent3" w:themeShade="95" w:sz="4" w:space="0"/>
        <w:left w:val="single" w:color="606060" w:themeColor="accent3" w:themeShade="95" w:sz="4" w:space="0"/>
        <w:bottom w:val="single" w:color="606060" w:themeColor="accent3" w:themeShade="95" w:sz="4" w:space="0"/>
        <w:right w:val="single" w:color="606060" w:themeColor="accent3" w:themeShade="95" w:sz="4" w:space="0"/>
        <w:insideH w:val="single" w:color="606060" w:themeColor="accent3" w:themeShade="95" w:sz="4" w:space="0"/>
        <w:insideV w:val="single" w:color="606060" w:themeColor="accent3" w:themeShade="95" w:sz="4" w:space="0"/>
      </w:tblBorders>
    </w:tblPr>
    <w:tblStylePr w:type="firstRow">
      <w:rPr>
        <w:rFonts w:ascii="Arial" w:hAnsi="Arial"/>
        <w:color w:val="F2F2F2"/>
        <w:sz w:val="22"/>
      </w:rPr>
      <w:tcPr>
        <w:shd w:val="clear" w:color="FFFFFF" w:fill="auto"/>
      </w:tcPr>
    </w:tblStylePr>
    <w:tblStylePr w:type="lastRow">
      <w:rPr>
        <w:rFonts w:ascii="Arial" w:hAnsi="Arial"/>
        <w:color w:val="F2F2F2"/>
        <w:sz w:val="22"/>
      </w:rPr>
      <w:tcPr>
        <w:shd w:val="clear" w:color="FFFFFF" w:fill="auto"/>
      </w:tcPr>
    </w:tblStylePr>
    <w:tblStylePr w:type="firstCol">
      <w:rPr>
        <w:rFonts w:ascii="Arial" w:hAnsi="Arial"/>
        <w:color w:val="F2F2F2"/>
        <w:sz w:val="22"/>
      </w:rPr>
      <w:tcPr>
        <w:shd w:val="clear" w:color="FFFFFF" w:fill="auto"/>
      </w:tcPr>
    </w:tblStylePr>
    <w:tblStylePr w:type="lastCol">
      <w:rPr>
        <w:rFonts w:ascii="Arial" w:hAnsi="Arial"/>
        <w:color w:val="F2F2F2"/>
        <w:sz w:val="22"/>
      </w:rPr>
      <w:tcPr>
        <w:shd w:val="clear" w:color="FFFFFF" w:fill="auto"/>
      </w:tcPr>
    </w:tblStylePr>
    <w:tblStylePr w:type="band1Vert">
      <w:rPr>
        <w:rFonts w:ascii="Arial" w:hAnsi="Arial"/>
        <w:color w:val="404040"/>
        <w:sz w:val="22"/>
      </w:rPr>
    </w:tblStylePr>
    <w:tblStylePr w:type="band2Vert">
      <w:rPr>
        <w:rFonts w:ascii="Arial" w:hAnsi="Arial"/>
        <w:color w:val="404040"/>
        <w:sz w:val="22"/>
      </w:rPr>
      <w:tcPr>
        <w:shd w:val="clear" w:color="FFFFFF" w:fill="auto"/>
      </w:tcPr>
    </w:tblStylePr>
    <w:tblStylePr w:type="band1Horz">
      <w:rPr>
        <w:rFonts w:ascii="Arial" w:hAnsi="Arial"/>
        <w:color w:val="404040"/>
        <w:sz w:val="22"/>
      </w:rPr>
    </w:tblStylePr>
    <w:tblStylePr w:type="band2Horz">
      <w:rPr>
        <w:rFonts w:ascii="Arial" w:hAnsi="Arial"/>
        <w:color w:val="404040"/>
        <w:sz w:val="22"/>
      </w:rPr>
      <w:tcPr>
        <w:shd w:val="clear" w:color="FFFFFF" w:fill="auto"/>
      </w:tcPr>
    </w:tblStylePr>
  </w:style>
  <w:style w:type="table" w:customStyle="1" w:styleId="203">
    <w:name w:val="Bordered &amp; Lined - Accent 4"/>
    <w:basedOn w:val="37"/>
    <w:qFormat/>
    <w:uiPriority w:val="99"/>
    <w:rPr>
      <w:color w:val="404040"/>
    </w:rPr>
    <w:tblPr>
      <w:tblBorders>
        <w:top w:val="single" w:color="947000" w:themeColor="accent4" w:themeShade="95" w:sz="4" w:space="0"/>
        <w:left w:val="single" w:color="947000" w:themeColor="accent4" w:themeShade="95" w:sz="4" w:space="0"/>
        <w:bottom w:val="single" w:color="947000" w:themeColor="accent4" w:themeShade="95" w:sz="4" w:space="0"/>
        <w:right w:val="single" w:color="947000" w:themeColor="accent4" w:themeShade="95" w:sz="4" w:space="0"/>
        <w:insideH w:val="single" w:color="947000" w:themeColor="accent4" w:themeShade="95" w:sz="4" w:space="0"/>
        <w:insideV w:val="single" w:color="947000" w:themeColor="accent4" w:themeShade="95" w:sz="4" w:space="0"/>
      </w:tblBorders>
    </w:tblPr>
    <w:tblStylePr w:type="firstRow">
      <w:rPr>
        <w:rFonts w:ascii="Arial" w:hAnsi="Arial"/>
        <w:color w:val="F2F2F2"/>
        <w:sz w:val="22"/>
      </w:rPr>
      <w:tcPr>
        <w:shd w:val="clear" w:color="FFFFFF" w:fill="auto"/>
      </w:tcPr>
    </w:tblStylePr>
    <w:tblStylePr w:type="lastRow">
      <w:rPr>
        <w:rFonts w:ascii="Arial" w:hAnsi="Arial"/>
        <w:color w:val="F2F2F2"/>
        <w:sz w:val="22"/>
      </w:rPr>
      <w:tcPr>
        <w:shd w:val="clear" w:color="FFFFFF" w:fill="auto"/>
      </w:tcPr>
    </w:tblStylePr>
    <w:tblStylePr w:type="firstCol">
      <w:rPr>
        <w:rFonts w:ascii="Arial" w:hAnsi="Arial"/>
        <w:color w:val="F2F2F2"/>
        <w:sz w:val="22"/>
      </w:rPr>
      <w:tcPr>
        <w:shd w:val="clear" w:color="FFFFFF" w:fill="auto"/>
      </w:tcPr>
    </w:tblStylePr>
    <w:tblStylePr w:type="lastCol">
      <w:rPr>
        <w:rFonts w:ascii="Arial" w:hAnsi="Arial"/>
        <w:color w:val="F2F2F2"/>
        <w:sz w:val="22"/>
      </w:rPr>
      <w:tcPr>
        <w:shd w:val="clear" w:color="FFFFFF" w:fill="auto"/>
      </w:tcPr>
    </w:tblStylePr>
    <w:tblStylePr w:type="band1Vert">
      <w:rPr>
        <w:rFonts w:ascii="Arial" w:hAnsi="Arial"/>
        <w:color w:val="404040"/>
        <w:sz w:val="22"/>
      </w:rPr>
    </w:tblStylePr>
    <w:tblStylePr w:type="band2Vert">
      <w:rPr>
        <w:rFonts w:ascii="Arial" w:hAnsi="Arial"/>
        <w:color w:val="404040"/>
        <w:sz w:val="22"/>
      </w:rPr>
      <w:tcPr>
        <w:shd w:val="clear" w:color="FFFFFF" w:fill="auto"/>
      </w:tcPr>
    </w:tblStylePr>
    <w:tblStylePr w:type="band1Horz">
      <w:rPr>
        <w:rFonts w:ascii="Arial" w:hAnsi="Arial"/>
        <w:color w:val="404040"/>
        <w:sz w:val="22"/>
      </w:rPr>
    </w:tblStylePr>
    <w:tblStylePr w:type="band2Horz">
      <w:rPr>
        <w:rFonts w:ascii="Arial" w:hAnsi="Arial"/>
        <w:color w:val="404040"/>
        <w:sz w:val="22"/>
      </w:rPr>
      <w:tcPr>
        <w:shd w:val="clear" w:color="FFFFFF" w:fill="auto"/>
      </w:tcPr>
    </w:tblStylePr>
  </w:style>
  <w:style w:type="table" w:customStyle="1" w:styleId="204">
    <w:name w:val="Bordered &amp; Lined - Accent 5"/>
    <w:basedOn w:val="37"/>
    <w:qFormat/>
    <w:uiPriority w:val="99"/>
    <w:rPr>
      <w:color w:val="404040"/>
    </w:rPr>
    <w:tblPr>
      <w:tblBorders>
        <w:top w:val="single" w:color="244175" w:themeColor="accent5" w:themeShade="95" w:sz="4" w:space="0"/>
        <w:left w:val="single" w:color="244175" w:themeColor="accent5" w:themeShade="95" w:sz="4" w:space="0"/>
        <w:bottom w:val="single" w:color="244175" w:themeColor="accent5" w:themeShade="95" w:sz="4" w:space="0"/>
        <w:right w:val="single" w:color="244175" w:themeColor="accent5" w:themeShade="95" w:sz="4" w:space="0"/>
        <w:insideH w:val="single" w:color="244175" w:themeColor="accent5" w:themeShade="95" w:sz="4" w:space="0"/>
        <w:insideV w:val="single" w:color="244175" w:themeColor="accent5" w:themeShade="95" w:sz="4" w:space="0"/>
      </w:tblBorders>
    </w:tblPr>
    <w:tblStylePr w:type="firstRow">
      <w:rPr>
        <w:rFonts w:ascii="Arial" w:hAnsi="Arial"/>
        <w:color w:val="F2F2F2"/>
        <w:sz w:val="22"/>
      </w:rPr>
      <w:tcPr>
        <w:shd w:val="clear" w:color="FFFFFF" w:fill="auto"/>
      </w:tcPr>
    </w:tblStylePr>
    <w:tblStylePr w:type="lastRow">
      <w:rPr>
        <w:rFonts w:ascii="Arial" w:hAnsi="Arial"/>
        <w:color w:val="F2F2F2"/>
        <w:sz w:val="22"/>
      </w:rPr>
      <w:tcPr>
        <w:shd w:val="clear" w:color="FFFFFF" w:fill="auto"/>
      </w:tcPr>
    </w:tblStylePr>
    <w:tblStylePr w:type="firstCol">
      <w:rPr>
        <w:rFonts w:ascii="Arial" w:hAnsi="Arial"/>
        <w:color w:val="F2F2F2"/>
        <w:sz w:val="22"/>
      </w:rPr>
      <w:tcPr>
        <w:shd w:val="clear" w:color="FFFFFF" w:fill="auto"/>
      </w:tcPr>
    </w:tblStylePr>
    <w:tblStylePr w:type="lastCol">
      <w:rPr>
        <w:rFonts w:ascii="Arial" w:hAnsi="Arial"/>
        <w:color w:val="F2F2F2"/>
        <w:sz w:val="22"/>
      </w:rPr>
      <w:tcPr>
        <w:shd w:val="clear" w:color="FFFFFF" w:fill="auto"/>
      </w:tcPr>
    </w:tblStylePr>
    <w:tblStylePr w:type="band1Vert">
      <w:rPr>
        <w:rFonts w:ascii="Arial" w:hAnsi="Arial"/>
        <w:color w:val="404040"/>
        <w:sz w:val="22"/>
      </w:rPr>
    </w:tblStylePr>
    <w:tblStylePr w:type="band2Vert">
      <w:rPr>
        <w:rFonts w:ascii="Arial" w:hAnsi="Arial"/>
        <w:color w:val="404040"/>
        <w:sz w:val="22"/>
      </w:rPr>
      <w:tcPr>
        <w:shd w:val="clear" w:color="FFFFFF" w:fill="auto"/>
      </w:tcPr>
    </w:tblStylePr>
    <w:tblStylePr w:type="band1Horz">
      <w:rPr>
        <w:rFonts w:ascii="Arial" w:hAnsi="Arial"/>
        <w:color w:val="404040"/>
        <w:sz w:val="22"/>
      </w:rPr>
    </w:tblStylePr>
    <w:tblStylePr w:type="band2Horz">
      <w:rPr>
        <w:rFonts w:ascii="Arial" w:hAnsi="Arial"/>
        <w:color w:val="404040"/>
        <w:sz w:val="22"/>
      </w:rPr>
      <w:tcPr>
        <w:shd w:val="clear" w:color="FFFFFF" w:fill="auto"/>
      </w:tcPr>
    </w:tblStylePr>
  </w:style>
  <w:style w:type="table" w:customStyle="1" w:styleId="205">
    <w:name w:val="Bordered &amp; Lined - Accent 6"/>
    <w:basedOn w:val="37"/>
    <w:qFormat/>
    <w:uiPriority w:val="99"/>
    <w:rPr>
      <w:color w:val="404040"/>
    </w:rPr>
    <w:tblPr>
      <w:tblBorders>
        <w:top w:val="single" w:color="416529" w:themeColor="accent6" w:themeShade="95" w:sz="4" w:space="0"/>
        <w:left w:val="single" w:color="416529" w:themeColor="accent6" w:themeShade="95" w:sz="4" w:space="0"/>
        <w:bottom w:val="single" w:color="416529" w:themeColor="accent6" w:themeShade="95" w:sz="4" w:space="0"/>
        <w:right w:val="single" w:color="416529" w:themeColor="accent6" w:themeShade="95" w:sz="4" w:space="0"/>
        <w:insideH w:val="single" w:color="416529" w:themeColor="accent6" w:themeShade="95" w:sz="4" w:space="0"/>
        <w:insideV w:val="single" w:color="416529" w:themeColor="accent6" w:themeShade="95" w:sz="4" w:space="0"/>
      </w:tblBorders>
    </w:tblPr>
    <w:tblStylePr w:type="firstRow">
      <w:rPr>
        <w:rFonts w:ascii="Arial" w:hAnsi="Arial"/>
        <w:color w:val="F2F2F2"/>
        <w:sz w:val="22"/>
      </w:rPr>
      <w:tcPr>
        <w:shd w:val="clear" w:color="FFFFFF" w:fill="auto"/>
      </w:tcPr>
    </w:tblStylePr>
    <w:tblStylePr w:type="lastRow">
      <w:rPr>
        <w:rFonts w:ascii="Arial" w:hAnsi="Arial"/>
        <w:color w:val="F2F2F2"/>
        <w:sz w:val="22"/>
      </w:rPr>
      <w:tcPr>
        <w:shd w:val="clear" w:color="FFFFFF" w:fill="auto"/>
      </w:tcPr>
    </w:tblStylePr>
    <w:tblStylePr w:type="firstCol">
      <w:rPr>
        <w:rFonts w:ascii="Arial" w:hAnsi="Arial"/>
        <w:color w:val="F2F2F2"/>
        <w:sz w:val="22"/>
      </w:rPr>
      <w:tcPr>
        <w:shd w:val="clear" w:color="FFFFFF" w:fill="auto"/>
      </w:tcPr>
    </w:tblStylePr>
    <w:tblStylePr w:type="lastCol">
      <w:rPr>
        <w:rFonts w:ascii="Arial" w:hAnsi="Arial"/>
        <w:color w:val="F2F2F2"/>
        <w:sz w:val="22"/>
      </w:rPr>
      <w:tcPr>
        <w:shd w:val="clear" w:color="FFFFFF" w:fill="auto"/>
      </w:tcPr>
    </w:tblStylePr>
    <w:tblStylePr w:type="band1Vert">
      <w:rPr>
        <w:rFonts w:ascii="Arial" w:hAnsi="Arial"/>
        <w:color w:val="404040"/>
        <w:sz w:val="22"/>
      </w:rPr>
    </w:tblStylePr>
    <w:tblStylePr w:type="band2Vert">
      <w:rPr>
        <w:rFonts w:ascii="Arial" w:hAnsi="Arial"/>
        <w:color w:val="404040"/>
        <w:sz w:val="22"/>
      </w:rPr>
      <w:tcPr>
        <w:shd w:val="clear" w:color="FFFFFF" w:fill="auto"/>
      </w:tcPr>
    </w:tblStylePr>
    <w:tblStylePr w:type="band1Horz">
      <w:rPr>
        <w:rFonts w:ascii="Arial" w:hAnsi="Arial"/>
        <w:color w:val="404040"/>
        <w:sz w:val="22"/>
      </w:rPr>
    </w:tblStylePr>
    <w:tblStylePr w:type="band2Horz">
      <w:rPr>
        <w:rFonts w:ascii="Arial" w:hAnsi="Arial"/>
        <w:color w:val="404040"/>
        <w:sz w:val="22"/>
      </w:rPr>
      <w:tcPr>
        <w:shd w:val="clear" w:color="FFFFFF" w:fill="auto"/>
      </w:tcPr>
    </w:tblStylePr>
  </w:style>
  <w:style w:type="table" w:customStyle="1" w:styleId="206">
    <w:name w:val="Bordered"/>
    <w:basedOn w:val="37"/>
    <w:qFormat/>
    <w:uiPriority w:val="99"/>
    <w:tblPr>
      <w:tblBorders>
        <w:top w:val="single" w:color="D8D8D8" w:themeColor="text1" w:themeTint="26" w:sz="4" w:space="0"/>
        <w:left w:val="single" w:color="D8D8D8" w:themeColor="text1" w:themeTint="26" w:sz="4" w:space="0"/>
        <w:bottom w:val="single" w:color="D8D8D8" w:themeColor="text1" w:themeTint="26" w:sz="4" w:space="0"/>
        <w:right w:val="single" w:color="D8D8D8" w:themeColor="text1" w:themeTint="26" w:sz="4" w:space="0"/>
        <w:insideH w:val="single" w:color="D8D8D8" w:themeColor="text1" w:themeTint="26" w:sz="4" w:space="0"/>
        <w:insideV w:val="single" w:color="D8D8D8" w:themeColor="text1" w:themeTint="26" w:sz="4" w:space="0"/>
      </w:tblBorders>
    </w:tblPr>
    <w:tblStylePr w:type="firstRow">
      <w:rPr>
        <w:rFonts w:ascii="Arial" w:hAnsi="Arial"/>
        <w:color w:val="404040"/>
        <w:sz w:val="22"/>
      </w:rPr>
      <w:tcPr>
        <w:tcBorders>
          <w:bottom w:val="single" w:color="7E7E7E" w:themeColor="text1" w:themeTint="80" w:sz="12" w:space="0"/>
        </w:tcBorders>
      </w:tcPr>
    </w:tblStylePr>
    <w:tblStylePr w:type="lastRow">
      <w:rPr>
        <w:rFonts w:ascii="Arial" w:hAnsi="Arial"/>
        <w:color w:val="404040"/>
        <w:sz w:val="22"/>
      </w:rPr>
      <w:tcPr>
        <w:tcBorders>
          <w:top w:val="single" w:color="7E7E7E" w:themeColor="text1" w:themeTint="80"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7E7E7E" w:themeColor="text1" w:themeTint="80" w:sz="12" w:space="0"/>
        </w:tcBorders>
      </w:tcPr>
    </w:tblStylePr>
    <w:tblStylePr w:type="band1Horz">
      <w:rPr>
        <w:rFonts w:ascii="Arial" w:hAnsi="Arial"/>
        <w:color w:val="404040"/>
        <w:sz w:val="22"/>
      </w:rPr>
      <w:tcPr>
        <w:tcBorders>
          <w:top w:val="single" w:color="D8D8D8" w:themeColor="text1" w:themeTint="26" w:sz="4" w:space="0"/>
          <w:left w:val="single" w:color="D8D8D8" w:themeColor="text1" w:themeTint="26" w:sz="4" w:space="0"/>
          <w:bottom w:val="single" w:color="D8D8D8" w:themeColor="text1" w:themeTint="26" w:sz="4" w:space="0"/>
          <w:right w:val="single" w:color="D8D8D8" w:themeColor="text1" w:themeTint="26" w:sz="4" w:space="0"/>
        </w:tcBorders>
      </w:tcPr>
    </w:tblStylePr>
  </w:style>
  <w:style w:type="table" w:customStyle="1" w:styleId="207">
    <w:name w:val="Bordered - Accent 1"/>
    <w:basedOn w:val="37"/>
    <w:qFormat/>
    <w:uiPriority w:val="99"/>
    <w:tblPr>
      <w:tblBorders>
        <w:top w:val="single" w:color="BCD6EE" w:themeColor="accent1" w:themeTint="67" w:sz="4" w:space="0"/>
        <w:left w:val="single" w:color="BCD6EE" w:themeColor="accent1" w:themeTint="67" w:sz="4" w:space="0"/>
        <w:bottom w:val="single" w:color="BCD6EE" w:themeColor="accent1" w:themeTint="67" w:sz="4" w:space="0"/>
        <w:right w:val="single" w:color="BCD6EE" w:themeColor="accent1" w:themeTint="67" w:sz="4" w:space="0"/>
        <w:insideH w:val="single" w:color="BCD6EE" w:themeColor="accent1" w:themeTint="67" w:sz="4" w:space="0"/>
        <w:insideV w:val="single" w:color="BCD6EE" w:themeColor="accent1" w:themeTint="67" w:sz="4" w:space="0"/>
      </w:tblBorders>
    </w:tblPr>
    <w:tblStylePr w:type="firstRow">
      <w:rPr>
        <w:rFonts w:ascii="Arial" w:hAnsi="Arial"/>
        <w:color w:val="404040"/>
        <w:sz w:val="22"/>
      </w:rPr>
      <w:tcPr>
        <w:tcBorders>
          <w:bottom w:val="single" w:color="5B9BD5" w:themeColor="accent1" w:sz="12" w:space="0"/>
        </w:tcBorders>
      </w:tcPr>
    </w:tblStylePr>
    <w:tblStylePr w:type="lastRow">
      <w:rPr>
        <w:rFonts w:ascii="Arial" w:hAnsi="Arial"/>
        <w:color w:val="404040"/>
        <w:sz w:val="22"/>
      </w:rPr>
      <w:tcPr>
        <w:tcBorders>
          <w:top w:val="single" w:color="5B9BD5" w:themeColor="accent1"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5B9BD5" w:themeColor="accent1" w:sz="12" w:space="0"/>
        </w:tcBorders>
      </w:tcPr>
    </w:tblStylePr>
    <w:tblStylePr w:type="band1Horz">
      <w:rPr>
        <w:rFonts w:ascii="Arial" w:hAnsi="Arial"/>
        <w:color w:val="404040"/>
        <w:sz w:val="22"/>
      </w:rPr>
      <w:tcPr>
        <w:tcBorders>
          <w:top w:val="single" w:color="BCD6EE" w:themeColor="accent1" w:themeTint="67" w:sz="4" w:space="0"/>
          <w:left w:val="single" w:color="BCD6EE" w:themeColor="accent1" w:themeTint="67" w:sz="4" w:space="0"/>
          <w:bottom w:val="single" w:color="BCD6EE" w:themeColor="accent1" w:themeTint="67" w:sz="4" w:space="0"/>
          <w:right w:val="single" w:color="BCD6EE" w:themeColor="accent1" w:themeTint="67" w:sz="4" w:space="0"/>
        </w:tcBorders>
      </w:tcPr>
    </w:tblStylePr>
  </w:style>
  <w:style w:type="table" w:customStyle="1" w:styleId="208">
    <w:name w:val="Bordered - Accent 2"/>
    <w:basedOn w:val="37"/>
    <w:qFormat/>
    <w:uiPriority w:val="99"/>
    <w:tblPr>
      <w:tblBorders>
        <w:top w:val="single" w:color="F7CAAB" w:themeColor="accent2" w:themeTint="67" w:sz="4" w:space="0"/>
        <w:left w:val="single" w:color="F7CAAB" w:themeColor="accent2" w:themeTint="67" w:sz="4" w:space="0"/>
        <w:bottom w:val="single" w:color="F7CAAB" w:themeColor="accent2" w:themeTint="67" w:sz="4" w:space="0"/>
        <w:right w:val="single" w:color="F7CAAB" w:themeColor="accent2" w:themeTint="67" w:sz="4" w:space="0"/>
        <w:insideH w:val="single" w:color="F7CAAB" w:themeColor="accent2" w:themeTint="67" w:sz="4" w:space="0"/>
        <w:insideV w:val="single" w:color="F7CAAB" w:themeColor="accent2" w:themeTint="67" w:sz="4" w:space="0"/>
      </w:tblBorders>
    </w:tblPr>
    <w:tblStylePr w:type="firstRow">
      <w:rPr>
        <w:rFonts w:ascii="Arial" w:hAnsi="Arial"/>
        <w:color w:val="404040"/>
        <w:sz w:val="22"/>
      </w:rPr>
      <w:tcPr>
        <w:tcBorders>
          <w:bottom w:val="single" w:color="F4B285" w:themeColor="accent2" w:themeTint="97" w:sz="12" w:space="0"/>
        </w:tcBorders>
      </w:tcPr>
    </w:tblStylePr>
    <w:tblStylePr w:type="lastRow">
      <w:rPr>
        <w:rFonts w:ascii="Arial" w:hAnsi="Arial"/>
        <w:color w:val="404040"/>
        <w:sz w:val="22"/>
      </w:rPr>
      <w:tcPr>
        <w:tcBorders>
          <w:top w:val="single" w:color="F4B285" w:themeColor="accent2" w:themeTint="97"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F4B285" w:themeColor="accent2" w:themeTint="97" w:sz="12" w:space="0"/>
        </w:tcBorders>
      </w:tcPr>
    </w:tblStylePr>
    <w:tblStylePr w:type="band1Horz">
      <w:rPr>
        <w:rFonts w:ascii="Arial" w:hAnsi="Arial"/>
        <w:color w:val="404040"/>
        <w:sz w:val="22"/>
      </w:rPr>
      <w:tcPr>
        <w:tcBorders>
          <w:top w:val="single" w:color="F7CAAB" w:themeColor="accent2" w:themeTint="67" w:sz="4" w:space="0"/>
          <w:left w:val="single" w:color="F7CAAB" w:themeColor="accent2" w:themeTint="67" w:sz="4" w:space="0"/>
          <w:bottom w:val="single" w:color="F7CAAB" w:themeColor="accent2" w:themeTint="67" w:sz="4" w:space="0"/>
          <w:right w:val="single" w:color="F7CAAB" w:themeColor="accent2" w:themeTint="67" w:sz="4" w:space="0"/>
        </w:tcBorders>
      </w:tcPr>
    </w:tblStylePr>
  </w:style>
  <w:style w:type="table" w:customStyle="1" w:styleId="209">
    <w:name w:val="Bordered - Accent 3"/>
    <w:basedOn w:val="37"/>
    <w:qFormat/>
    <w:uiPriority w:val="99"/>
    <w:tblPr>
      <w:tblBorders>
        <w:top w:val="single" w:color="DADADA" w:themeColor="accent3" w:themeTint="67" w:sz="4" w:space="0"/>
        <w:left w:val="single" w:color="DADADA" w:themeColor="accent3" w:themeTint="67" w:sz="4" w:space="0"/>
        <w:bottom w:val="single" w:color="DADADA" w:themeColor="accent3" w:themeTint="67" w:sz="4" w:space="0"/>
        <w:right w:val="single" w:color="DADADA" w:themeColor="accent3" w:themeTint="67" w:sz="4" w:space="0"/>
        <w:insideH w:val="single" w:color="DADADA" w:themeColor="accent3" w:themeTint="67" w:sz="4" w:space="0"/>
        <w:insideV w:val="single" w:color="DADADA" w:themeColor="accent3" w:themeTint="67" w:sz="4" w:space="0"/>
      </w:tblBorders>
    </w:tblPr>
    <w:tblStylePr w:type="firstRow">
      <w:rPr>
        <w:rFonts w:ascii="Arial" w:hAnsi="Arial"/>
        <w:color w:val="404040"/>
        <w:sz w:val="22"/>
      </w:rPr>
      <w:tcPr>
        <w:tcBorders>
          <w:bottom w:val="single" w:color="C9C9C9" w:themeColor="accent3" w:themeTint="98" w:sz="12" w:space="0"/>
        </w:tcBorders>
      </w:tcPr>
    </w:tblStylePr>
    <w:tblStylePr w:type="lastRow">
      <w:rPr>
        <w:rFonts w:ascii="Arial" w:hAnsi="Arial"/>
        <w:color w:val="404040"/>
        <w:sz w:val="22"/>
      </w:rPr>
      <w:tcPr>
        <w:tcBorders>
          <w:top w:val="single" w:color="C9C9C9" w:themeColor="accent3" w:themeTint="98"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C9C9C9" w:themeColor="accent3" w:themeTint="98" w:sz="12" w:space="0"/>
        </w:tcBorders>
      </w:tcPr>
    </w:tblStylePr>
    <w:tblStylePr w:type="band1Horz">
      <w:rPr>
        <w:rFonts w:ascii="Arial" w:hAnsi="Arial"/>
        <w:color w:val="404040"/>
        <w:sz w:val="22"/>
      </w:rPr>
      <w:tcPr>
        <w:tcBorders>
          <w:top w:val="single" w:color="DADADA" w:themeColor="accent3" w:themeTint="67" w:sz="4" w:space="0"/>
          <w:left w:val="single" w:color="DADADA" w:themeColor="accent3" w:themeTint="67" w:sz="4" w:space="0"/>
          <w:bottom w:val="single" w:color="DADADA" w:themeColor="accent3" w:themeTint="67" w:sz="4" w:space="0"/>
          <w:right w:val="single" w:color="DADADA" w:themeColor="accent3" w:themeTint="67" w:sz="4" w:space="0"/>
        </w:tcBorders>
      </w:tcPr>
    </w:tblStylePr>
  </w:style>
  <w:style w:type="table" w:customStyle="1" w:styleId="210">
    <w:name w:val="Bordered - Accent 4"/>
    <w:basedOn w:val="37"/>
    <w:qFormat/>
    <w:uiPriority w:val="99"/>
    <w:tblPr>
      <w:tblBorders>
        <w:top w:val="single" w:color="FFE597" w:themeColor="accent4" w:themeTint="67" w:sz="4" w:space="0"/>
        <w:left w:val="single" w:color="FFE597" w:themeColor="accent4" w:themeTint="67" w:sz="4" w:space="0"/>
        <w:bottom w:val="single" w:color="FFE597" w:themeColor="accent4" w:themeTint="67" w:sz="4" w:space="0"/>
        <w:right w:val="single" w:color="FFE597" w:themeColor="accent4" w:themeTint="67" w:sz="4" w:space="0"/>
        <w:insideH w:val="single" w:color="FFE597" w:themeColor="accent4" w:themeTint="67" w:sz="4" w:space="0"/>
        <w:insideV w:val="single" w:color="FFE597" w:themeColor="accent4" w:themeTint="67" w:sz="4" w:space="0"/>
      </w:tblBorders>
    </w:tblPr>
    <w:tblStylePr w:type="firstRow">
      <w:rPr>
        <w:rFonts w:ascii="Arial" w:hAnsi="Arial"/>
        <w:color w:val="404040"/>
        <w:sz w:val="22"/>
      </w:rPr>
      <w:tcPr>
        <w:tcBorders>
          <w:bottom w:val="single" w:color="FFD864" w:themeColor="accent4" w:themeTint="9A" w:sz="12" w:space="0"/>
        </w:tcBorders>
      </w:tcPr>
    </w:tblStylePr>
    <w:tblStylePr w:type="lastRow">
      <w:rPr>
        <w:rFonts w:ascii="Arial" w:hAnsi="Arial"/>
        <w:color w:val="404040"/>
        <w:sz w:val="22"/>
      </w:rPr>
      <w:tcPr>
        <w:tcBorders>
          <w:top w:val="single" w:color="FFD864" w:themeColor="accent4" w:themeTint="9A"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FFD864" w:themeColor="accent4" w:themeTint="9A" w:sz="12" w:space="0"/>
        </w:tcBorders>
      </w:tcPr>
    </w:tblStylePr>
    <w:tblStylePr w:type="band1Horz">
      <w:rPr>
        <w:rFonts w:ascii="Arial" w:hAnsi="Arial"/>
        <w:color w:val="404040"/>
        <w:sz w:val="22"/>
      </w:rPr>
      <w:tcPr>
        <w:tcBorders>
          <w:top w:val="single" w:color="FFE597" w:themeColor="accent4" w:themeTint="67" w:sz="4" w:space="0"/>
          <w:left w:val="single" w:color="FFE597" w:themeColor="accent4" w:themeTint="67" w:sz="4" w:space="0"/>
          <w:bottom w:val="single" w:color="FFE597" w:themeColor="accent4" w:themeTint="67" w:sz="4" w:space="0"/>
          <w:right w:val="single" w:color="FFE597" w:themeColor="accent4" w:themeTint="67" w:sz="4" w:space="0"/>
        </w:tcBorders>
      </w:tcPr>
    </w:tblStylePr>
  </w:style>
  <w:style w:type="table" w:customStyle="1" w:styleId="211">
    <w:name w:val="Bordered - Accent 5"/>
    <w:basedOn w:val="37"/>
    <w:qFormat/>
    <w:uiPriority w:val="99"/>
    <w:tblPr>
      <w:tblBorders>
        <w:top w:val="single" w:color="B3C6E7" w:themeColor="accent5" w:themeTint="67" w:sz="4" w:space="0"/>
        <w:left w:val="single" w:color="B3C6E7" w:themeColor="accent5" w:themeTint="67" w:sz="4" w:space="0"/>
        <w:bottom w:val="single" w:color="B3C6E7" w:themeColor="accent5" w:themeTint="67" w:sz="4" w:space="0"/>
        <w:right w:val="single" w:color="B3C6E7" w:themeColor="accent5" w:themeTint="67" w:sz="4" w:space="0"/>
        <w:insideH w:val="single" w:color="B3C6E7" w:themeColor="accent5" w:themeTint="67" w:sz="4" w:space="0"/>
        <w:insideV w:val="single" w:color="B3C6E7" w:themeColor="accent5" w:themeTint="67" w:sz="4" w:space="0"/>
      </w:tblBorders>
    </w:tblPr>
    <w:tblStylePr w:type="firstRow">
      <w:rPr>
        <w:rFonts w:ascii="Arial" w:hAnsi="Arial"/>
        <w:color w:val="404040"/>
        <w:sz w:val="22"/>
      </w:rPr>
      <w:tcPr>
        <w:tcBorders>
          <w:bottom w:val="single" w:color="8EA9DB" w:themeColor="accent5" w:themeTint="9A" w:sz="12" w:space="0"/>
        </w:tcBorders>
      </w:tcPr>
    </w:tblStylePr>
    <w:tblStylePr w:type="lastRow">
      <w:rPr>
        <w:rFonts w:ascii="Arial" w:hAnsi="Arial"/>
        <w:color w:val="404040"/>
        <w:sz w:val="22"/>
      </w:rPr>
      <w:tcPr>
        <w:tcBorders>
          <w:top w:val="single" w:color="8EA9DB" w:themeColor="accent5" w:themeTint="9A"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8EA9DB" w:themeColor="accent5" w:themeTint="9A" w:sz="12" w:space="0"/>
        </w:tcBorders>
      </w:tcPr>
    </w:tblStylePr>
    <w:tblStylePr w:type="band1Horz">
      <w:rPr>
        <w:rFonts w:ascii="Arial" w:hAnsi="Arial"/>
        <w:color w:val="404040"/>
        <w:sz w:val="22"/>
      </w:rPr>
      <w:tcPr>
        <w:tcBorders>
          <w:top w:val="single" w:color="B3C6E7" w:themeColor="accent5" w:themeTint="67" w:sz="4" w:space="0"/>
          <w:left w:val="single" w:color="B3C6E7" w:themeColor="accent5" w:themeTint="67" w:sz="4" w:space="0"/>
          <w:bottom w:val="single" w:color="B3C6E7" w:themeColor="accent5" w:themeTint="67" w:sz="4" w:space="0"/>
          <w:right w:val="single" w:color="B3C6E7" w:themeColor="accent5" w:themeTint="67" w:sz="4" w:space="0"/>
        </w:tcBorders>
      </w:tcPr>
    </w:tblStylePr>
  </w:style>
  <w:style w:type="table" w:customStyle="1" w:styleId="212">
    <w:name w:val="Bordered - Accent 6"/>
    <w:basedOn w:val="37"/>
    <w:qFormat/>
    <w:uiPriority w:val="99"/>
    <w:tblPr>
      <w:tblBorders>
        <w:top w:val="single" w:color="C4DFB2" w:themeColor="accent6" w:themeTint="67" w:sz="4" w:space="0"/>
        <w:left w:val="single" w:color="C4DFB2" w:themeColor="accent6" w:themeTint="67" w:sz="4" w:space="0"/>
        <w:bottom w:val="single" w:color="C4DFB2" w:themeColor="accent6" w:themeTint="67" w:sz="4" w:space="0"/>
        <w:right w:val="single" w:color="C4DFB2" w:themeColor="accent6" w:themeTint="67" w:sz="4" w:space="0"/>
        <w:insideH w:val="single" w:color="C4DFB2" w:themeColor="accent6" w:themeTint="67" w:sz="4" w:space="0"/>
        <w:insideV w:val="single" w:color="C4DFB2" w:themeColor="accent6" w:themeTint="67" w:sz="4" w:space="0"/>
      </w:tblBorders>
    </w:tblPr>
    <w:tblStylePr w:type="firstRow">
      <w:rPr>
        <w:rFonts w:ascii="Arial" w:hAnsi="Arial"/>
        <w:color w:val="404040"/>
        <w:sz w:val="22"/>
      </w:rPr>
      <w:tcPr>
        <w:tcBorders>
          <w:bottom w:val="single" w:color="A9D08E" w:themeColor="accent6" w:themeTint="98" w:sz="12" w:space="0"/>
        </w:tcBorders>
      </w:tcPr>
    </w:tblStylePr>
    <w:tblStylePr w:type="lastRow">
      <w:rPr>
        <w:rFonts w:ascii="Arial" w:hAnsi="Arial"/>
        <w:color w:val="404040"/>
        <w:sz w:val="22"/>
      </w:rPr>
      <w:tcPr>
        <w:tcBorders>
          <w:top w:val="single" w:color="A9D08E" w:themeColor="accent6" w:themeTint="98"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A9D08E" w:themeColor="accent6" w:themeTint="98" w:sz="12" w:space="0"/>
        </w:tcBorders>
      </w:tcPr>
    </w:tblStylePr>
    <w:tblStylePr w:type="band1Horz">
      <w:rPr>
        <w:rFonts w:ascii="Arial" w:hAnsi="Arial"/>
        <w:color w:val="404040"/>
        <w:sz w:val="22"/>
      </w:rPr>
      <w:tcPr>
        <w:tcBorders>
          <w:top w:val="single" w:color="C4DFB2" w:themeColor="accent6" w:themeTint="67" w:sz="4" w:space="0"/>
          <w:left w:val="single" w:color="C4DFB2" w:themeColor="accent6" w:themeTint="67" w:sz="4" w:space="0"/>
          <w:bottom w:val="single" w:color="C4DFB2" w:themeColor="accent6" w:themeTint="67" w:sz="4" w:space="0"/>
          <w:right w:val="single" w:color="C4DFB2" w:themeColor="accent6" w:themeTint="67" w:sz="4" w:space="0"/>
        </w:tcBorders>
      </w:tcPr>
    </w:tblStylePr>
  </w:style>
  <w:style w:type="character" w:customStyle="1" w:styleId="213">
    <w:name w:val="Footnote Text Char"/>
    <w:qFormat/>
    <w:uiPriority w:val="99"/>
    <w:rPr>
      <w:sz w:val="18"/>
    </w:rPr>
  </w:style>
  <w:style w:type="character" w:customStyle="1" w:styleId="214">
    <w:name w:val="Endnote Text Char"/>
    <w:qFormat/>
    <w:uiPriority w:val="99"/>
    <w:rPr>
      <w:sz w:val="20"/>
    </w:rPr>
  </w:style>
  <w:style w:type="paragraph" w:customStyle="1" w:styleId="215">
    <w:name w:val="TOC 标题1"/>
    <w:unhideWhenUsed/>
    <w:qFormat/>
    <w:uiPriority w:val="39"/>
    <w:pPr>
      <w:spacing w:after="160" w:line="278" w:lineRule="auto"/>
    </w:pPr>
    <w:rPr>
      <w:rFonts w:hint="default" w:ascii="Times New Roman" w:hAnsi="Times New Roman" w:eastAsia="宋体" w:cs="Times New Roman"/>
      <w:lang w:val="en-US" w:eastAsia="zh-CN" w:bidi="ar-SA"/>
    </w:rPr>
  </w:style>
  <w:style w:type="paragraph" w:customStyle="1" w:styleId="216">
    <w:name w:val="Normal0"/>
    <w:qFormat/>
    <w:uiPriority w:val="0"/>
    <w:pPr>
      <w:widowControl w:val="0"/>
      <w:spacing w:after="160" w:line="278" w:lineRule="auto"/>
      <w:jc w:val="both"/>
    </w:pPr>
    <w:rPr>
      <w:rFonts w:hint="default" w:ascii="Times New Roman" w:hAnsi="Times New Roman" w:eastAsia="宋体" w:cs="Times New Roman"/>
      <w:sz w:val="21"/>
      <w:szCs w:val="24"/>
      <w:lang w:val="en-US" w:eastAsia="zh-CN" w:bidi="ar-SA"/>
    </w:rPr>
  </w:style>
  <w:style w:type="paragraph" w:customStyle="1" w:styleId="217">
    <w:name w:val="Heading10"/>
    <w:basedOn w:val="1"/>
    <w:next w:val="1"/>
    <w:qFormat/>
    <w:uiPriority w:val="9"/>
    <w:pPr>
      <w:keepNext/>
      <w:keepLines/>
      <w:spacing w:before="480" w:after="200"/>
      <w:outlineLvl w:val="0"/>
    </w:pPr>
    <w:rPr>
      <w:rFonts w:ascii="Arial" w:hAnsi="Arial" w:eastAsia="Arial" w:cs="Arial"/>
      <w:sz w:val="40"/>
      <w:szCs w:val="40"/>
    </w:rPr>
  </w:style>
  <w:style w:type="paragraph" w:customStyle="1" w:styleId="218">
    <w:name w:val="Heading20"/>
    <w:basedOn w:val="1"/>
    <w:next w:val="1"/>
    <w:qFormat/>
    <w:uiPriority w:val="0"/>
    <w:pPr>
      <w:keepNext/>
      <w:keepLines/>
      <w:spacing w:before="260" w:after="260" w:line="416" w:lineRule="atLeast"/>
      <w:jc w:val="left"/>
      <w:outlineLvl w:val="1"/>
    </w:pPr>
    <w:rPr>
      <w:rFonts w:ascii="宋体" w:hAnsi="Arial"/>
      <w:b/>
      <w:sz w:val="28"/>
      <w:szCs w:val="20"/>
    </w:rPr>
  </w:style>
  <w:style w:type="paragraph" w:customStyle="1" w:styleId="219">
    <w:name w:val="Heading30"/>
    <w:basedOn w:val="1"/>
    <w:next w:val="1"/>
    <w:unhideWhenUsed/>
    <w:qFormat/>
    <w:uiPriority w:val="9"/>
    <w:pPr>
      <w:keepNext/>
      <w:keepLines/>
      <w:spacing w:before="320" w:after="200"/>
      <w:outlineLvl w:val="2"/>
    </w:pPr>
    <w:rPr>
      <w:rFonts w:ascii="Arial" w:hAnsi="Arial" w:eastAsia="Arial" w:cs="Arial"/>
      <w:sz w:val="30"/>
      <w:szCs w:val="30"/>
    </w:rPr>
  </w:style>
  <w:style w:type="paragraph" w:customStyle="1" w:styleId="220">
    <w:name w:val="Heading40"/>
    <w:basedOn w:val="1"/>
    <w:next w:val="1"/>
    <w:unhideWhenUsed/>
    <w:qFormat/>
    <w:uiPriority w:val="9"/>
    <w:pPr>
      <w:keepNext/>
      <w:keepLines/>
      <w:spacing w:before="320" w:after="200"/>
      <w:outlineLvl w:val="3"/>
    </w:pPr>
    <w:rPr>
      <w:rFonts w:ascii="Arial" w:hAnsi="Arial" w:eastAsia="Arial" w:cs="Arial"/>
      <w:b/>
      <w:bCs/>
      <w:sz w:val="26"/>
      <w:szCs w:val="26"/>
    </w:rPr>
  </w:style>
  <w:style w:type="paragraph" w:customStyle="1" w:styleId="221">
    <w:name w:val="Heading50"/>
    <w:basedOn w:val="1"/>
    <w:next w:val="1"/>
    <w:unhideWhenUsed/>
    <w:qFormat/>
    <w:uiPriority w:val="9"/>
    <w:pPr>
      <w:keepNext/>
      <w:keepLines/>
      <w:spacing w:before="320" w:after="200"/>
      <w:outlineLvl w:val="4"/>
    </w:pPr>
    <w:rPr>
      <w:rFonts w:ascii="Arial" w:hAnsi="Arial" w:eastAsia="Arial" w:cs="Arial"/>
      <w:b/>
      <w:bCs/>
      <w:sz w:val="24"/>
    </w:rPr>
  </w:style>
  <w:style w:type="paragraph" w:customStyle="1" w:styleId="222">
    <w:name w:val="Heading60"/>
    <w:basedOn w:val="1"/>
    <w:next w:val="1"/>
    <w:unhideWhenUsed/>
    <w:qFormat/>
    <w:uiPriority w:val="9"/>
    <w:pPr>
      <w:keepNext/>
      <w:keepLines/>
      <w:spacing w:before="320" w:after="200"/>
      <w:outlineLvl w:val="5"/>
    </w:pPr>
    <w:rPr>
      <w:rFonts w:ascii="Arial" w:hAnsi="Arial" w:eastAsia="Arial" w:cs="Arial"/>
      <w:b/>
      <w:bCs/>
      <w:sz w:val="22"/>
      <w:szCs w:val="22"/>
    </w:rPr>
  </w:style>
  <w:style w:type="paragraph" w:customStyle="1" w:styleId="223">
    <w:name w:val="Heading70"/>
    <w:basedOn w:val="1"/>
    <w:next w:val="1"/>
    <w:unhideWhenUsed/>
    <w:qFormat/>
    <w:uiPriority w:val="9"/>
    <w:pPr>
      <w:keepNext/>
      <w:keepLines/>
      <w:spacing w:before="320" w:after="200"/>
      <w:outlineLvl w:val="6"/>
    </w:pPr>
    <w:rPr>
      <w:rFonts w:ascii="Arial" w:hAnsi="Arial" w:eastAsia="Arial" w:cs="Arial"/>
      <w:b/>
      <w:bCs/>
      <w:i/>
      <w:iCs/>
      <w:sz w:val="22"/>
      <w:szCs w:val="22"/>
    </w:rPr>
  </w:style>
  <w:style w:type="paragraph" w:customStyle="1" w:styleId="224">
    <w:name w:val="Heading80"/>
    <w:basedOn w:val="1"/>
    <w:next w:val="1"/>
    <w:unhideWhenUsed/>
    <w:qFormat/>
    <w:uiPriority w:val="9"/>
    <w:pPr>
      <w:keepNext/>
      <w:keepLines/>
      <w:spacing w:before="320" w:after="200"/>
      <w:outlineLvl w:val="7"/>
    </w:pPr>
    <w:rPr>
      <w:rFonts w:ascii="Arial" w:hAnsi="Arial" w:eastAsia="Arial" w:cs="Arial"/>
      <w:i/>
      <w:iCs/>
      <w:sz w:val="22"/>
      <w:szCs w:val="22"/>
    </w:rPr>
  </w:style>
  <w:style w:type="paragraph" w:customStyle="1" w:styleId="225">
    <w:name w:val="Heading90"/>
    <w:basedOn w:val="1"/>
    <w:next w:val="1"/>
    <w:unhideWhenUsed/>
    <w:qFormat/>
    <w:uiPriority w:val="9"/>
    <w:pPr>
      <w:keepNext/>
      <w:keepLines/>
      <w:spacing w:before="320" w:after="200"/>
      <w:outlineLvl w:val="8"/>
    </w:pPr>
    <w:rPr>
      <w:rFonts w:ascii="Arial" w:hAnsi="Arial" w:eastAsia="Arial" w:cs="Arial"/>
      <w:i/>
      <w:iCs/>
      <w:sz w:val="21"/>
      <w:szCs w:val="21"/>
    </w:rPr>
  </w:style>
  <w:style w:type="character" w:customStyle="1" w:styleId="226">
    <w:name w:val="DefaultParagraphFont0"/>
    <w:semiHidden/>
    <w:unhideWhenUsed/>
    <w:qFormat/>
    <w:uiPriority w:val="1"/>
  </w:style>
  <w:style w:type="table" w:customStyle="1" w:styleId="227">
    <w:name w:val="TableNormal0"/>
    <w:semiHidden/>
    <w:unhideWhenUsed/>
    <w:qFormat/>
    <w:uiPriority w:val="99"/>
    <w:tblPr>
      <w:tblCellMar>
        <w:top w:w="0" w:type="dxa"/>
        <w:left w:w="108" w:type="dxa"/>
        <w:bottom w:w="0" w:type="dxa"/>
        <w:right w:w="108" w:type="dxa"/>
      </w:tblCellMar>
    </w:tblPr>
  </w:style>
  <w:style w:type="paragraph" w:customStyle="1" w:styleId="228">
    <w:name w:val="TOC70"/>
    <w:basedOn w:val="1"/>
    <w:next w:val="1"/>
    <w:unhideWhenUsed/>
    <w:qFormat/>
    <w:uiPriority w:val="39"/>
    <w:pPr>
      <w:spacing w:after="57"/>
      <w:ind w:left="1701"/>
    </w:pPr>
  </w:style>
  <w:style w:type="paragraph" w:customStyle="1" w:styleId="229">
    <w:name w:val="TOC50"/>
    <w:basedOn w:val="1"/>
    <w:next w:val="1"/>
    <w:unhideWhenUsed/>
    <w:qFormat/>
    <w:uiPriority w:val="39"/>
    <w:pPr>
      <w:spacing w:after="57"/>
      <w:ind w:left="1134"/>
    </w:pPr>
  </w:style>
  <w:style w:type="paragraph" w:customStyle="1" w:styleId="230">
    <w:name w:val="TOC30"/>
    <w:basedOn w:val="1"/>
    <w:next w:val="1"/>
    <w:unhideWhenUsed/>
    <w:qFormat/>
    <w:uiPriority w:val="39"/>
    <w:pPr>
      <w:spacing w:after="57"/>
      <w:ind w:left="567"/>
    </w:pPr>
  </w:style>
  <w:style w:type="paragraph" w:customStyle="1" w:styleId="231">
    <w:name w:val="TOC80"/>
    <w:basedOn w:val="1"/>
    <w:next w:val="1"/>
    <w:unhideWhenUsed/>
    <w:qFormat/>
    <w:uiPriority w:val="39"/>
    <w:pPr>
      <w:spacing w:after="57"/>
      <w:ind w:left="1984"/>
    </w:pPr>
  </w:style>
  <w:style w:type="paragraph" w:customStyle="1" w:styleId="232">
    <w:name w:val="EndnoteText0"/>
    <w:basedOn w:val="1"/>
    <w:semiHidden/>
    <w:unhideWhenUsed/>
    <w:qFormat/>
    <w:uiPriority w:val="99"/>
    <w:rPr>
      <w:sz w:val="20"/>
    </w:rPr>
  </w:style>
  <w:style w:type="paragraph" w:customStyle="1" w:styleId="233">
    <w:name w:val="Footer0"/>
    <w:basedOn w:val="1"/>
    <w:qFormat/>
    <w:uiPriority w:val="0"/>
    <w:pPr>
      <w:tabs>
        <w:tab w:val="center" w:pos="4153"/>
        <w:tab w:val="right" w:pos="8306"/>
      </w:tabs>
      <w:jc w:val="left"/>
    </w:pPr>
    <w:rPr>
      <w:sz w:val="18"/>
      <w:szCs w:val="18"/>
    </w:rPr>
  </w:style>
  <w:style w:type="paragraph" w:customStyle="1" w:styleId="234">
    <w:name w:val="Header0"/>
    <w:basedOn w:val="1"/>
    <w:qFormat/>
    <w:uiPriority w:val="99"/>
    <w:pPr>
      <w:pBdr>
        <w:bottom w:val="single" w:color="auto" w:sz="6" w:space="1"/>
      </w:pBdr>
      <w:tabs>
        <w:tab w:val="center" w:pos="4153"/>
        <w:tab w:val="right" w:pos="8306"/>
      </w:tabs>
      <w:jc w:val="center"/>
    </w:pPr>
    <w:rPr>
      <w:sz w:val="18"/>
      <w:szCs w:val="18"/>
    </w:rPr>
  </w:style>
  <w:style w:type="paragraph" w:customStyle="1" w:styleId="235">
    <w:name w:val="TOC10"/>
    <w:basedOn w:val="1"/>
    <w:next w:val="1"/>
    <w:qFormat/>
    <w:uiPriority w:val="0"/>
  </w:style>
  <w:style w:type="paragraph" w:customStyle="1" w:styleId="236">
    <w:name w:val="TOC40"/>
    <w:basedOn w:val="1"/>
    <w:next w:val="1"/>
    <w:unhideWhenUsed/>
    <w:qFormat/>
    <w:uiPriority w:val="39"/>
    <w:pPr>
      <w:spacing w:after="57"/>
      <w:ind w:left="850"/>
    </w:pPr>
  </w:style>
  <w:style w:type="paragraph" w:customStyle="1" w:styleId="237">
    <w:name w:val="Subtitle0"/>
    <w:basedOn w:val="1"/>
    <w:next w:val="1"/>
    <w:qFormat/>
    <w:uiPriority w:val="11"/>
    <w:pPr>
      <w:spacing w:before="200" w:after="200"/>
    </w:pPr>
    <w:rPr>
      <w:sz w:val="24"/>
    </w:rPr>
  </w:style>
  <w:style w:type="paragraph" w:customStyle="1" w:styleId="238">
    <w:name w:val="FootnoteText0"/>
    <w:basedOn w:val="1"/>
    <w:semiHidden/>
    <w:unhideWhenUsed/>
    <w:qFormat/>
    <w:uiPriority w:val="99"/>
    <w:pPr>
      <w:spacing w:after="40"/>
    </w:pPr>
    <w:rPr>
      <w:sz w:val="18"/>
    </w:rPr>
  </w:style>
  <w:style w:type="paragraph" w:customStyle="1" w:styleId="239">
    <w:name w:val="TOC60"/>
    <w:basedOn w:val="1"/>
    <w:next w:val="1"/>
    <w:unhideWhenUsed/>
    <w:qFormat/>
    <w:uiPriority w:val="39"/>
    <w:pPr>
      <w:spacing w:after="57"/>
      <w:ind w:left="1417"/>
    </w:pPr>
  </w:style>
  <w:style w:type="paragraph" w:customStyle="1" w:styleId="240">
    <w:name w:val="TableofFigures0"/>
    <w:basedOn w:val="1"/>
    <w:next w:val="1"/>
    <w:unhideWhenUsed/>
    <w:qFormat/>
    <w:uiPriority w:val="99"/>
  </w:style>
  <w:style w:type="paragraph" w:customStyle="1" w:styleId="241">
    <w:name w:val="TOC20"/>
    <w:basedOn w:val="1"/>
    <w:next w:val="1"/>
    <w:unhideWhenUsed/>
    <w:qFormat/>
    <w:uiPriority w:val="39"/>
    <w:pPr>
      <w:spacing w:after="57"/>
      <w:ind w:left="283"/>
    </w:pPr>
  </w:style>
  <w:style w:type="paragraph" w:customStyle="1" w:styleId="242">
    <w:name w:val="TOC90"/>
    <w:basedOn w:val="1"/>
    <w:next w:val="1"/>
    <w:unhideWhenUsed/>
    <w:qFormat/>
    <w:uiPriority w:val="39"/>
    <w:pPr>
      <w:spacing w:after="57"/>
      <w:ind w:left="2268"/>
    </w:pPr>
  </w:style>
  <w:style w:type="paragraph" w:customStyle="1" w:styleId="243">
    <w:name w:val="Title0"/>
    <w:basedOn w:val="1"/>
    <w:next w:val="1"/>
    <w:qFormat/>
    <w:uiPriority w:val="10"/>
    <w:pPr>
      <w:spacing w:before="300" w:after="200"/>
      <w:contextualSpacing/>
    </w:pPr>
    <w:rPr>
      <w:sz w:val="48"/>
      <w:szCs w:val="48"/>
    </w:rPr>
  </w:style>
  <w:style w:type="table" w:customStyle="1" w:styleId="244">
    <w:name w:val="TableGrid0"/>
    <w:basedOn w:val="37"/>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customStyle="1" w:styleId="245">
    <w:name w:val="EndnoteReference0"/>
    <w:basedOn w:val="39"/>
    <w:semiHidden/>
    <w:unhideWhenUsed/>
    <w:qFormat/>
    <w:uiPriority w:val="99"/>
    <w:rPr>
      <w:vertAlign w:val="superscript"/>
    </w:rPr>
  </w:style>
  <w:style w:type="character" w:customStyle="1" w:styleId="246">
    <w:name w:val="Hyperlink0"/>
    <w:unhideWhenUsed/>
    <w:qFormat/>
    <w:uiPriority w:val="99"/>
    <w:rPr>
      <w:color w:val="0563C1" w:themeColor="hyperlink"/>
      <w:u w:val="single"/>
      <w14:textFill>
        <w14:solidFill>
          <w14:schemeClr w14:val="hlink"/>
        </w14:solidFill>
      </w14:textFill>
    </w:rPr>
  </w:style>
  <w:style w:type="character" w:customStyle="1" w:styleId="247">
    <w:name w:val="FootnoteReference0"/>
    <w:basedOn w:val="39"/>
    <w:unhideWhenUsed/>
    <w:qFormat/>
    <w:uiPriority w:val="99"/>
    <w:rPr>
      <w:vertAlign w:val="superscript"/>
    </w:rPr>
  </w:style>
  <w:style w:type="character" w:customStyle="1" w:styleId="248">
    <w:name w:val="标题 1 字符"/>
    <w:basedOn w:val="39"/>
    <w:link w:val="4"/>
    <w:qFormat/>
    <w:uiPriority w:val="9"/>
    <w:rPr>
      <w:rFonts w:ascii="Arial" w:hAnsi="Arial" w:eastAsia="Arial" w:cs="Arial"/>
      <w:sz w:val="40"/>
      <w:szCs w:val="40"/>
    </w:rPr>
  </w:style>
  <w:style w:type="character" w:customStyle="1" w:styleId="249">
    <w:name w:val="Heading2Char0"/>
    <w:basedOn w:val="39"/>
    <w:qFormat/>
    <w:uiPriority w:val="9"/>
    <w:rPr>
      <w:rFonts w:ascii="Arial" w:hAnsi="Arial" w:eastAsia="Arial" w:cs="Arial"/>
      <w:sz w:val="34"/>
    </w:rPr>
  </w:style>
  <w:style w:type="character" w:customStyle="1" w:styleId="250">
    <w:name w:val="标题 3 字符1"/>
    <w:basedOn w:val="39"/>
    <w:link w:val="6"/>
    <w:qFormat/>
    <w:uiPriority w:val="9"/>
    <w:rPr>
      <w:rFonts w:ascii="Arial" w:hAnsi="Arial" w:eastAsia="Arial" w:cs="Arial"/>
      <w:sz w:val="30"/>
      <w:szCs w:val="30"/>
    </w:rPr>
  </w:style>
  <w:style w:type="character" w:customStyle="1" w:styleId="251">
    <w:name w:val="标题 4 字符1"/>
    <w:basedOn w:val="39"/>
    <w:link w:val="7"/>
    <w:qFormat/>
    <w:uiPriority w:val="9"/>
    <w:rPr>
      <w:rFonts w:ascii="Arial" w:hAnsi="Arial" w:eastAsia="Arial" w:cs="Arial"/>
      <w:b/>
      <w:bCs/>
      <w:sz w:val="26"/>
      <w:szCs w:val="26"/>
    </w:rPr>
  </w:style>
  <w:style w:type="character" w:customStyle="1" w:styleId="252">
    <w:name w:val="标题 5 字符1"/>
    <w:basedOn w:val="39"/>
    <w:link w:val="8"/>
    <w:qFormat/>
    <w:uiPriority w:val="9"/>
    <w:rPr>
      <w:rFonts w:ascii="Arial" w:hAnsi="Arial" w:eastAsia="Arial" w:cs="Arial"/>
      <w:b/>
      <w:bCs/>
      <w:sz w:val="24"/>
      <w:szCs w:val="24"/>
    </w:rPr>
  </w:style>
  <w:style w:type="character" w:customStyle="1" w:styleId="253">
    <w:name w:val="标题 6 字符1"/>
    <w:basedOn w:val="39"/>
    <w:link w:val="9"/>
    <w:qFormat/>
    <w:uiPriority w:val="9"/>
    <w:rPr>
      <w:rFonts w:ascii="Arial" w:hAnsi="Arial" w:eastAsia="Arial" w:cs="Arial"/>
      <w:b/>
      <w:bCs/>
      <w:sz w:val="22"/>
      <w:szCs w:val="22"/>
    </w:rPr>
  </w:style>
  <w:style w:type="character" w:customStyle="1" w:styleId="254">
    <w:name w:val="标题 7 字符1"/>
    <w:basedOn w:val="39"/>
    <w:link w:val="10"/>
    <w:qFormat/>
    <w:uiPriority w:val="9"/>
    <w:rPr>
      <w:rFonts w:ascii="Arial" w:hAnsi="Arial" w:eastAsia="Arial" w:cs="Arial"/>
      <w:b/>
      <w:bCs/>
      <w:i/>
      <w:iCs/>
      <w:sz w:val="22"/>
      <w:szCs w:val="22"/>
    </w:rPr>
  </w:style>
  <w:style w:type="character" w:customStyle="1" w:styleId="255">
    <w:name w:val="标题 8 字符1"/>
    <w:basedOn w:val="39"/>
    <w:link w:val="11"/>
    <w:qFormat/>
    <w:uiPriority w:val="9"/>
    <w:rPr>
      <w:rFonts w:ascii="Arial" w:hAnsi="Arial" w:eastAsia="Arial" w:cs="Arial"/>
      <w:i/>
      <w:iCs/>
      <w:sz w:val="22"/>
      <w:szCs w:val="22"/>
    </w:rPr>
  </w:style>
  <w:style w:type="character" w:customStyle="1" w:styleId="256">
    <w:name w:val="标题 9 字符1"/>
    <w:basedOn w:val="39"/>
    <w:link w:val="12"/>
    <w:qFormat/>
    <w:uiPriority w:val="9"/>
    <w:rPr>
      <w:rFonts w:ascii="Arial" w:hAnsi="Arial" w:eastAsia="Arial" w:cs="Arial"/>
      <w:i/>
      <w:iCs/>
      <w:sz w:val="21"/>
      <w:szCs w:val="21"/>
    </w:rPr>
  </w:style>
  <w:style w:type="paragraph" w:customStyle="1" w:styleId="257">
    <w:name w:val="NoSpacing0"/>
    <w:qFormat/>
    <w:uiPriority w:val="1"/>
    <w:pPr>
      <w:spacing w:after="160" w:line="278" w:lineRule="auto"/>
    </w:pPr>
    <w:rPr>
      <w:rFonts w:hint="default" w:ascii="Times New Roman" w:hAnsi="Times New Roman" w:eastAsia="宋体" w:cs="Times New Roman"/>
      <w:lang w:val="en-US" w:eastAsia="zh-CN" w:bidi="ar-SA"/>
    </w:rPr>
  </w:style>
  <w:style w:type="character" w:customStyle="1" w:styleId="258">
    <w:name w:val="TitleChar0"/>
    <w:basedOn w:val="39"/>
    <w:qFormat/>
    <w:uiPriority w:val="10"/>
    <w:rPr>
      <w:sz w:val="48"/>
      <w:szCs w:val="48"/>
    </w:rPr>
  </w:style>
  <w:style w:type="character" w:customStyle="1" w:styleId="259">
    <w:name w:val="SubtitleChar0"/>
    <w:basedOn w:val="39"/>
    <w:qFormat/>
    <w:uiPriority w:val="11"/>
    <w:rPr>
      <w:sz w:val="24"/>
      <w:szCs w:val="24"/>
    </w:rPr>
  </w:style>
  <w:style w:type="paragraph" w:customStyle="1" w:styleId="260">
    <w:name w:val="Quote0"/>
    <w:basedOn w:val="1"/>
    <w:next w:val="1"/>
    <w:qFormat/>
    <w:uiPriority w:val="29"/>
    <w:pPr>
      <w:ind w:left="720" w:right="720"/>
    </w:pPr>
    <w:rPr>
      <w:i/>
    </w:rPr>
  </w:style>
  <w:style w:type="character" w:customStyle="1" w:styleId="261">
    <w:name w:val="QuoteChar0"/>
    <w:qFormat/>
    <w:uiPriority w:val="29"/>
    <w:rPr>
      <w:i/>
    </w:rPr>
  </w:style>
  <w:style w:type="paragraph" w:customStyle="1" w:styleId="262">
    <w:name w:val="IntenseQuote0"/>
    <w:basedOn w:val="1"/>
    <w:next w:val="1"/>
    <w:qFormat/>
    <w:uiPriority w:val="30"/>
    <w:pPr>
      <w:pBdr>
        <w:top w:val="single" w:color="FFFFFF" w:sz="4" w:space="5"/>
        <w:left w:val="single" w:color="FFFFFF" w:sz="4" w:space="10"/>
        <w:bottom w:val="single" w:color="FFFFFF" w:sz="4" w:space="5"/>
        <w:right w:val="single" w:color="FFFFFF" w:sz="4" w:space="10"/>
      </w:pBdr>
      <w:shd w:val="clear" w:color="auto" w:fill="F2F2F2"/>
      <w:ind w:left="720" w:right="720"/>
    </w:pPr>
    <w:rPr>
      <w:i/>
    </w:rPr>
  </w:style>
  <w:style w:type="character" w:customStyle="1" w:styleId="263">
    <w:name w:val="IntenseQuoteChar0"/>
    <w:qFormat/>
    <w:uiPriority w:val="30"/>
    <w:rPr>
      <w:i/>
    </w:rPr>
  </w:style>
  <w:style w:type="character" w:customStyle="1" w:styleId="264">
    <w:name w:val="HeaderChar0"/>
    <w:basedOn w:val="39"/>
    <w:qFormat/>
    <w:uiPriority w:val="99"/>
  </w:style>
  <w:style w:type="character" w:customStyle="1" w:styleId="265">
    <w:name w:val="FooterChar0"/>
    <w:basedOn w:val="39"/>
    <w:qFormat/>
    <w:uiPriority w:val="99"/>
  </w:style>
  <w:style w:type="character" w:customStyle="1" w:styleId="266">
    <w:name w:val="CaptionChar0"/>
    <w:qFormat/>
    <w:uiPriority w:val="99"/>
  </w:style>
  <w:style w:type="table" w:customStyle="1" w:styleId="267">
    <w:name w:val="TableGridLight0"/>
    <w:basedOn w:val="37"/>
    <w:qFormat/>
    <w:uiPriority w:val="59"/>
    <w:tblPr>
      <w:tblBorders>
        <w:top w:val="single" w:color="AEAEAE" w:themeColor="text1" w:themeTint="50" w:sz="4" w:space="0"/>
        <w:left w:val="single" w:color="AEAEAE" w:themeColor="text1" w:themeTint="50" w:sz="4" w:space="0"/>
        <w:bottom w:val="single" w:color="AEAEAE" w:themeColor="text1" w:themeTint="50" w:sz="4" w:space="0"/>
        <w:right w:val="single" w:color="AEAEAE" w:themeColor="text1" w:themeTint="50" w:sz="4" w:space="0"/>
        <w:insideH w:val="single" w:color="AEAEAE" w:themeColor="text1" w:themeTint="50" w:sz="4" w:space="0"/>
        <w:insideV w:val="single" w:color="AEAEAE" w:themeColor="text1" w:themeTint="50" w:sz="4" w:space="0"/>
      </w:tblBorders>
    </w:tblPr>
  </w:style>
  <w:style w:type="table" w:customStyle="1" w:styleId="268">
    <w:name w:val="PlainTable10"/>
    <w:basedOn w:val="37"/>
    <w:qFormat/>
    <w:uiPriority w:val="59"/>
    <w:tblPr>
      <w:tblBorders>
        <w:top w:val="single" w:color="AEAEAE" w:themeColor="text1" w:themeTint="50" w:sz="4" w:space="0"/>
        <w:left w:val="single" w:color="AEAEAE" w:themeColor="text1" w:themeTint="50" w:sz="4" w:space="0"/>
        <w:bottom w:val="single" w:color="AEAEAE" w:themeColor="text1" w:themeTint="50" w:sz="4" w:space="0"/>
        <w:right w:val="single" w:color="AEAEAE" w:themeColor="text1" w:themeTint="50" w:sz="4" w:space="0"/>
        <w:insideH w:val="single" w:color="AEAEAE" w:themeColor="text1" w:themeTint="50" w:sz="4" w:space="0"/>
        <w:insideV w:val="single" w:color="AEAEAE" w:themeColor="text1" w:themeTint="50" w:sz="4" w:space="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cPr>
        <w:shd w:val="clear" w:color="F1F1F1" w:fill="F1F1F1"/>
      </w:tcPr>
    </w:tblStylePr>
    <w:tblStylePr w:type="band1Horz">
      <w:tcPr>
        <w:shd w:val="clear" w:color="F1F1F1" w:fill="F1F1F1"/>
      </w:tcPr>
    </w:tblStylePr>
  </w:style>
  <w:style w:type="table" w:customStyle="1" w:styleId="269">
    <w:name w:val="PlainTable20"/>
    <w:basedOn w:val="37"/>
    <w:qFormat/>
    <w:uiPriority w:val="59"/>
    <w:tblPr>
      <w:tblBorders>
        <w:top w:val="single" w:color="000000" w:themeColor="text1" w:sz="4" w:space="0"/>
        <w:left w:val="none" w:color="000000" w:themeColor="text1" w:sz="0" w:space="0"/>
        <w:bottom w:val="single" w:color="000000" w:themeColor="text1" w:sz="4" w:space="0"/>
        <w:right w:val="none" w:color="000000" w:themeColor="text1" w:sz="0" w:space="0"/>
      </w:tblBorders>
    </w:tbl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band1Horz">
      <w:tcPr>
        <w:tcBorders>
          <w:top w:val="single" w:color="000000" w:themeColor="text1" w:sz="4" w:space="0"/>
          <w:bottom w:val="single" w:color="000000" w:themeColor="text1" w:sz="4" w:space="0"/>
        </w:tcBorders>
      </w:tcPr>
    </w:tblStylePr>
  </w:style>
  <w:style w:type="table" w:customStyle="1" w:styleId="270">
    <w:name w:val="PlainTable30"/>
    <w:basedOn w:val="37"/>
    <w:qFormat/>
    <w:uiPriority w:val="99"/>
    <w:tblStylePr w:type="firstRow">
      <w:rPr>
        <w:b/>
        <w:caps/>
        <w:color w:val="404040"/>
      </w:rPr>
      <w:tcPr>
        <w:tcBorders>
          <w:top w:val="nil"/>
          <w:left w:val="nil"/>
          <w:bottom w:val="single" w:color="404040" w:sz="4" w:space="0"/>
          <w:right w:val="nil"/>
        </w:tcBorders>
      </w:tcPr>
    </w:tblStylePr>
    <w:tblStylePr w:type="lastRow">
      <w:rPr>
        <w:b/>
        <w:caps/>
        <w:color w:val="404040"/>
      </w:rPr>
    </w:tblStylePr>
    <w:tblStylePr w:type="firstCol">
      <w:rPr>
        <w:b/>
        <w:caps/>
        <w:color w:val="404040"/>
      </w:rPr>
      <w:tcPr>
        <w:tcBorders>
          <w:top w:val="nil"/>
          <w:left w:val="nil"/>
          <w:bottom w:val="nil"/>
          <w:right w:val="single" w:color="404040" w:sz="4" w:space="0"/>
        </w:tcBorders>
      </w:tcPr>
    </w:tblStylePr>
    <w:tblStylePr w:type="lastCol">
      <w:rPr>
        <w:b/>
        <w:caps/>
        <w:color w:val="404040"/>
      </w:rPr>
    </w:tblStylePr>
    <w:tblStylePr w:type="band1Vert">
      <w:rPr>
        <w:rFonts w:ascii="Arial" w:hAnsi="Arial"/>
        <w:color w:val="404040"/>
        <w:sz w:val="22"/>
      </w:rPr>
      <w:tcPr>
        <w:shd w:val="clear" w:color="F1F1F1" w:fill="F1F1F1"/>
      </w:tcPr>
    </w:tblStylePr>
    <w:tblStylePr w:type="band1Horz">
      <w:rPr>
        <w:rFonts w:ascii="Arial" w:hAnsi="Arial"/>
        <w:color w:val="404040"/>
        <w:sz w:val="22"/>
      </w:rPr>
      <w:tcPr>
        <w:shd w:val="clear" w:color="F1F1F1" w:fill="F1F1F1"/>
      </w:tcPr>
    </w:tblStylePr>
  </w:style>
  <w:style w:type="table" w:customStyle="1" w:styleId="271">
    <w:name w:val="PlainTable40"/>
    <w:basedOn w:val="37"/>
    <w:qFormat/>
    <w:uiPriority w:val="99"/>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F1F1F1" w:fill="F1F1F1"/>
      </w:tcPr>
    </w:tblStylePr>
    <w:tblStylePr w:type="band1Horz">
      <w:rPr>
        <w:rFonts w:ascii="Arial" w:hAnsi="Arial"/>
        <w:color w:val="404040"/>
        <w:sz w:val="22"/>
      </w:rPr>
      <w:tcPr>
        <w:shd w:val="clear" w:color="F1F1F1" w:fill="F1F1F1"/>
      </w:tcPr>
    </w:tblStylePr>
  </w:style>
  <w:style w:type="table" w:customStyle="1" w:styleId="272">
    <w:name w:val="PlainTable50"/>
    <w:basedOn w:val="37"/>
    <w:qFormat/>
    <w:uiPriority w:val="99"/>
    <w:tblStylePr w:type="firstRow">
      <w:rPr>
        <w:i/>
        <w:color w:val="404040"/>
      </w:rPr>
      <w:tcPr>
        <w:tcBorders>
          <w:left w:val="nil"/>
          <w:bottom w:val="single" w:color="404040" w:sz="4" w:space="0"/>
          <w:right w:val="nil"/>
        </w:tcBorders>
        <w:shd w:val="clear" w:color="FFFFFF" w:fill="auto"/>
      </w:tcPr>
    </w:tblStylePr>
    <w:tblStylePr w:type="lastRow">
      <w:rPr>
        <w:i/>
        <w:color w:val="404040"/>
      </w:rPr>
      <w:tcPr>
        <w:tcBorders>
          <w:top w:val="single" w:color="404040" w:sz="4" w:space="0"/>
          <w:left w:val="nil"/>
          <w:right w:val="nil"/>
        </w:tcBorders>
        <w:shd w:val="clear" w:color="FFFFFF" w:fill="auto"/>
      </w:tcPr>
    </w:tblStylePr>
    <w:tblStylePr w:type="firstCol">
      <w:pPr>
        <w:jc w:val="right"/>
      </w:pPr>
      <w:rPr>
        <w:i/>
        <w:color w:val="404040"/>
      </w:rPr>
      <w:tcPr>
        <w:tcBorders>
          <w:right w:val="single" w:color="404040" w:sz="4" w:space="0"/>
        </w:tcBorders>
        <w:shd w:val="clear" w:color="FFFFFF" w:fill="auto"/>
      </w:tcPr>
    </w:tblStylePr>
    <w:tblStylePr w:type="lastCol">
      <w:rPr>
        <w:i/>
        <w:color w:val="404040"/>
      </w:rPr>
      <w:tcPr>
        <w:tcBorders>
          <w:left w:val="single" w:color="404040" w:sz="4" w:space="0"/>
        </w:tcBorders>
        <w:shd w:val="clear" w:color="FFFFFF" w:fill="auto"/>
      </w:tcPr>
    </w:tblStylePr>
    <w:tblStylePr w:type="band1Vert">
      <w:rPr>
        <w:rFonts w:ascii="Arial" w:hAnsi="Arial"/>
        <w:color w:val="404040"/>
        <w:sz w:val="22"/>
      </w:rPr>
      <w:tcPr>
        <w:shd w:val="clear" w:color="F1F1F1" w:fill="F1F1F1"/>
      </w:tcPr>
    </w:tblStylePr>
    <w:tblStylePr w:type="band1Horz">
      <w:rPr>
        <w:rFonts w:ascii="Arial" w:hAnsi="Arial"/>
        <w:color w:val="404040"/>
        <w:sz w:val="22"/>
      </w:rPr>
      <w:tcPr>
        <w:shd w:val="clear" w:color="F1F1F1" w:fill="F1F1F1"/>
      </w:tcPr>
    </w:tblStylePr>
  </w:style>
  <w:style w:type="table" w:customStyle="1" w:styleId="273">
    <w:name w:val="GridTable1Light0"/>
    <w:basedOn w:val="37"/>
    <w:qFormat/>
    <w:uiPriority w:val="99"/>
    <w:tblPr>
      <w:tblBorders>
        <w:top w:val="single" w:color="979797" w:themeColor="text1" w:themeTint="67" w:sz="4" w:space="0"/>
        <w:left w:val="single" w:color="979797" w:themeColor="text1" w:themeTint="67" w:sz="4" w:space="0"/>
        <w:bottom w:val="single" w:color="979797" w:themeColor="text1" w:themeTint="67" w:sz="4" w:space="0"/>
        <w:right w:val="single" w:color="979797" w:themeColor="text1" w:themeTint="67" w:sz="4" w:space="0"/>
        <w:insideH w:val="single" w:color="979797" w:themeColor="text1" w:themeTint="67" w:sz="4" w:space="0"/>
        <w:insideV w:val="single" w:color="979797" w:themeColor="text1" w:themeTint="67" w:sz="4" w:space="0"/>
      </w:tblBorders>
    </w:tblPr>
    <w:tblStylePr w:type="firstRow">
      <w:rPr>
        <w:b/>
        <w:color w:val="404040"/>
      </w:rPr>
      <w:tcPr>
        <w:tcBorders>
          <w:bottom w:val="single" w:color="696969" w:themeColor="text1"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979797" w:themeColor="text1" w:themeTint="67" w:sz="4" w:space="0"/>
          <w:left w:val="single" w:color="979797" w:themeColor="text1" w:themeTint="67" w:sz="4" w:space="0"/>
          <w:bottom w:val="single" w:color="979797" w:themeColor="text1" w:themeTint="67" w:sz="4" w:space="0"/>
          <w:right w:val="single" w:color="979797" w:themeColor="text1" w:themeTint="67" w:sz="4" w:space="0"/>
        </w:tcBorders>
      </w:tcPr>
    </w:tblStylePr>
  </w:style>
  <w:style w:type="table" w:customStyle="1" w:styleId="274">
    <w:name w:val="GridTable1Light-Accent10"/>
    <w:basedOn w:val="37"/>
    <w:qFormat/>
    <w:uiPriority w:val="99"/>
    <w:tblPr>
      <w:tblBorders>
        <w:top w:val="single" w:color="BCD6EE" w:themeColor="accent1" w:themeTint="67" w:sz="4" w:space="0"/>
        <w:left w:val="single" w:color="BCD6EE" w:themeColor="accent1" w:themeTint="67" w:sz="4" w:space="0"/>
        <w:bottom w:val="single" w:color="BCD6EE" w:themeColor="accent1" w:themeTint="67" w:sz="4" w:space="0"/>
        <w:right w:val="single" w:color="BCD6EE" w:themeColor="accent1" w:themeTint="67" w:sz="4" w:space="0"/>
        <w:insideH w:val="single" w:color="BCD6EE" w:themeColor="accent1" w:themeTint="67" w:sz="4" w:space="0"/>
        <w:insideV w:val="single" w:color="BCD6EE" w:themeColor="accent1" w:themeTint="67" w:sz="4" w:space="0"/>
      </w:tblBorders>
    </w:tblPr>
    <w:tblStylePr w:type="firstRow">
      <w:rPr>
        <w:b/>
        <w:color w:val="404040"/>
      </w:rPr>
      <w:tcPr>
        <w:tcBorders>
          <w:bottom w:val="single" w:color="9FC4E6" w:themeColor="accent1"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BCD6EE" w:themeColor="accent1" w:themeTint="67" w:sz="4" w:space="0"/>
          <w:left w:val="single" w:color="BCD6EE" w:themeColor="accent1" w:themeTint="67" w:sz="4" w:space="0"/>
          <w:bottom w:val="single" w:color="BCD6EE" w:themeColor="accent1" w:themeTint="67" w:sz="4" w:space="0"/>
          <w:right w:val="single" w:color="BCD6EE" w:themeColor="accent1" w:themeTint="67" w:sz="4" w:space="0"/>
        </w:tcBorders>
      </w:tcPr>
    </w:tblStylePr>
  </w:style>
  <w:style w:type="table" w:customStyle="1" w:styleId="275">
    <w:name w:val="GridTable1Light-Accent20"/>
    <w:basedOn w:val="37"/>
    <w:qFormat/>
    <w:uiPriority w:val="99"/>
    <w:tblPr>
      <w:tblBorders>
        <w:top w:val="single" w:color="F7CAAB" w:themeColor="accent2" w:themeTint="67" w:sz="4" w:space="0"/>
        <w:left w:val="single" w:color="F7CAAB" w:themeColor="accent2" w:themeTint="67" w:sz="4" w:space="0"/>
        <w:bottom w:val="single" w:color="F7CAAB" w:themeColor="accent2" w:themeTint="67" w:sz="4" w:space="0"/>
        <w:right w:val="single" w:color="F7CAAB" w:themeColor="accent2" w:themeTint="67" w:sz="4" w:space="0"/>
        <w:insideH w:val="single" w:color="F7CAAB" w:themeColor="accent2" w:themeTint="67" w:sz="4" w:space="0"/>
        <w:insideV w:val="single" w:color="F7CAAB" w:themeColor="accent2" w:themeTint="67" w:sz="4" w:space="0"/>
      </w:tblBorders>
    </w:tblPr>
    <w:tblStylePr w:type="firstRow">
      <w:rPr>
        <w:b/>
        <w:color w:val="404040"/>
      </w:rPr>
      <w:tcPr>
        <w:tcBorders>
          <w:bottom w:val="single" w:color="F4B386" w:themeColor="accent2"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F7CAAB" w:themeColor="accent2" w:themeTint="67" w:sz="4" w:space="0"/>
          <w:left w:val="single" w:color="F7CAAB" w:themeColor="accent2" w:themeTint="67" w:sz="4" w:space="0"/>
          <w:bottom w:val="single" w:color="F7CAAB" w:themeColor="accent2" w:themeTint="67" w:sz="4" w:space="0"/>
          <w:right w:val="single" w:color="F7CAAB" w:themeColor="accent2" w:themeTint="67" w:sz="4" w:space="0"/>
        </w:tcBorders>
      </w:tcPr>
    </w:tblStylePr>
  </w:style>
  <w:style w:type="table" w:customStyle="1" w:styleId="276">
    <w:name w:val="GridTable1Light-Accent30"/>
    <w:basedOn w:val="37"/>
    <w:qFormat/>
    <w:uiPriority w:val="99"/>
    <w:tblPr>
      <w:tblBorders>
        <w:top w:val="single" w:color="DADADA" w:themeColor="accent3" w:themeTint="67" w:sz="4" w:space="0"/>
        <w:left w:val="single" w:color="DADADA" w:themeColor="accent3" w:themeTint="67" w:sz="4" w:space="0"/>
        <w:bottom w:val="single" w:color="DADADA" w:themeColor="accent3" w:themeTint="67" w:sz="4" w:space="0"/>
        <w:right w:val="single" w:color="DADADA" w:themeColor="accent3" w:themeTint="67" w:sz="4" w:space="0"/>
        <w:insideH w:val="single" w:color="DADADA" w:themeColor="accent3" w:themeTint="67" w:sz="4" w:space="0"/>
        <w:insideV w:val="single" w:color="DADADA" w:themeColor="accent3" w:themeTint="67" w:sz="4" w:space="0"/>
      </w:tblBorders>
    </w:tblPr>
    <w:tblStylePr w:type="firstRow">
      <w:rPr>
        <w:b/>
        <w:color w:val="404040"/>
      </w:rPr>
      <w:tcPr>
        <w:tcBorders>
          <w:bottom w:val="single" w:color="CACACA" w:themeColor="accent3"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DADADA" w:themeColor="accent3" w:themeTint="67" w:sz="4" w:space="0"/>
          <w:left w:val="single" w:color="DADADA" w:themeColor="accent3" w:themeTint="67" w:sz="4" w:space="0"/>
          <w:bottom w:val="single" w:color="DADADA" w:themeColor="accent3" w:themeTint="67" w:sz="4" w:space="0"/>
          <w:right w:val="single" w:color="DADADA" w:themeColor="accent3" w:themeTint="67" w:sz="4" w:space="0"/>
        </w:tcBorders>
      </w:tcPr>
    </w:tblStylePr>
  </w:style>
  <w:style w:type="table" w:customStyle="1" w:styleId="277">
    <w:name w:val="GridTable1Light-Accent40"/>
    <w:basedOn w:val="37"/>
    <w:qFormat/>
    <w:uiPriority w:val="99"/>
    <w:tblPr>
      <w:tblBorders>
        <w:top w:val="single" w:color="FFE597" w:themeColor="accent4" w:themeTint="67" w:sz="4" w:space="0"/>
        <w:left w:val="single" w:color="FFE597" w:themeColor="accent4" w:themeTint="67" w:sz="4" w:space="0"/>
        <w:bottom w:val="single" w:color="FFE597" w:themeColor="accent4" w:themeTint="67" w:sz="4" w:space="0"/>
        <w:right w:val="single" w:color="FFE597" w:themeColor="accent4" w:themeTint="67" w:sz="4" w:space="0"/>
        <w:insideH w:val="single" w:color="FFE597" w:themeColor="accent4" w:themeTint="67" w:sz="4" w:space="0"/>
        <w:insideV w:val="single" w:color="FFE597" w:themeColor="accent4" w:themeTint="67" w:sz="4" w:space="0"/>
      </w:tblBorders>
    </w:tblPr>
    <w:tblStylePr w:type="firstRow">
      <w:rPr>
        <w:b/>
        <w:color w:val="404040"/>
      </w:rPr>
      <w:tcPr>
        <w:tcBorders>
          <w:bottom w:val="single" w:color="FFDA69" w:themeColor="accent4"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FFE597" w:themeColor="accent4" w:themeTint="67" w:sz="4" w:space="0"/>
          <w:left w:val="single" w:color="FFE597" w:themeColor="accent4" w:themeTint="67" w:sz="4" w:space="0"/>
          <w:bottom w:val="single" w:color="FFE597" w:themeColor="accent4" w:themeTint="67" w:sz="4" w:space="0"/>
          <w:right w:val="single" w:color="FFE597" w:themeColor="accent4" w:themeTint="67" w:sz="4" w:space="0"/>
        </w:tcBorders>
      </w:tcPr>
    </w:tblStylePr>
  </w:style>
  <w:style w:type="table" w:customStyle="1" w:styleId="278">
    <w:name w:val="GridTable1Light-Accent50"/>
    <w:basedOn w:val="37"/>
    <w:qFormat/>
    <w:uiPriority w:val="99"/>
    <w:tblPr>
      <w:tblBorders>
        <w:top w:val="single" w:color="B3C6E7" w:themeColor="accent5" w:themeTint="67" w:sz="4" w:space="0"/>
        <w:left w:val="single" w:color="B3C6E7" w:themeColor="accent5" w:themeTint="67" w:sz="4" w:space="0"/>
        <w:bottom w:val="single" w:color="B3C6E7" w:themeColor="accent5" w:themeTint="67" w:sz="4" w:space="0"/>
        <w:right w:val="single" w:color="B3C6E7" w:themeColor="accent5" w:themeTint="67" w:sz="4" w:space="0"/>
        <w:insideH w:val="single" w:color="B3C6E7" w:themeColor="accent5" w:themeTint="67" w:sz="4" w:space="0"/>
        <w:insideV w:val="single" w:color="B3C6E7" w:themeColor="accent5" w:themeTint="67" w:sz="4" w:space="0"/>
      </w:tblBorders>
    </w:tblPr>
    <w:tblStylePr w:type="firstRow">
      <w:rPr>
        <w:b/>
        <w:color w:val="404040"/>
      </w:rPr>
      <w:tcPr>
        <w:tcBorders>
          <w:bottom w:val="single" w:color="91ACDC" w:themeColor="accent5"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B3C6E7" w:themeColor="accent5" w:themeTint="67" w:sz="4" w:space="0"/>
          <w:left w:val="single" w:color="B3C6E7" w:themeColor="accent5" w:themeTint="67" w:sz="4" w:space="0"/>
          <w:bottom w:val="single" w:color="B3C6E7" w:themeColor="accent5" w:themeTint="67" w:sz="4" w:space="0"/>
          <w:right w:val="single" w:color="B3C6E7" w:themeColor="accent5" w:themeTint="67" w:sz="4" w:space="0"/>
        </w:tcBorders>
      </w:tcPr>
    </w:tblStylePr>
  </w:style>
  <w:style w:type="table" w:customStyle="1" w:styleId="279">
    <w:name w:val="GridTable1Light-Accent60"/>
    <w:basedOn w:val="37"/>
    <w:qFormat/>
    <w:uiPriority w:val="99"/>
    <w:tblPr>
      <w:tblBorders>
        <w:top w:val="single" w:color="C4DFB2" w:themeColor="accent6" w:themeTint="67" w:sz="4" w:space="0"/>
        <w:left w:val="single" w:color="C4DFB2" w:themeColor="accent6" w:themeTint="67" w:sz="4" w:space="0"/>
        <w:bottom w:val="single" w:color="C4DFB2" w:themeColor="accent6" w:themeTint="67" w:sz="4" w:space="0"/>
        <w:right w:val="single" w:color="C4DFB2" w:themeColor="accent6" w:themeTint="67" w:sz="4" w:space="0"/>
        <w:insideH w:val="single" w:color="C4DFB2" w:themeColor="accent6" w:themeTint="67" w:sz="4" w:space="0"/>
        <w:insideV w:val="single" w:color="C4DFB2" w:themeColor="accent6" w:themeTint="67" w:sz="4" w:space="0"/>
      </w:tblBorders>
    </w:tblPr>
    <w:tblStylePr w:type="firstRow">
      <w:rPr>
        <w:b/>
        <w:color w:val="404040"/>
      </w:rPr>
      <w:tcPr>
        <w:tcBorders>
          <w:bottom w:val="single" w:color="AAD190" w:themeColor="accent6"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cPr>
        <w:tcBorders>
          <w:top w:val="single" w:color="C4DFB2" w:themeColor="accent6" w:themeTint="67" w:sz="4" w:space="0"/>
          <w:left w:val="single" w:color="C4DFB2" w:themeColor="accent6" w:themeTint="67" w:sz="4" w:space="0"/>
          <w:bottom w:val="single" w:color="C4DFB2" w:themeColor="accent6" w:themeTint="67" w:sz="4" w:space="0"/>
          <w:right w:val="single" w:color="C4DFB2" w:themeColor="accent6" w:themeTint="67" w:sz="4" w:space="0"/>
        </w:tcBorders>
      </w:tcPr>
    </w:tblStylePr>
  </w:style>
  <w:style w:type="table" w:customStyle="1" w:styleId="280">
    <w:name w:val="GridTable20"/>
    <w:basedOn w:val="37"/>
    <w:qFormat/>
    <w:uiPriority w:val="99"/>
    <w:tblPr>
      <w:tblBorders>
        <w:bottom w:val="single" w:color="696969" w:themeColor="text1" w:themeTint="95" w:sz="4" w:space="0"/>
        <w:insideH w:val="single" w:color="696969" w:themeColor="text1" w:themeTint="95" w:sz="4" w:space="0"/>
        <w:insideV w:val="single" w:color="696969" w:themeColor="text1" w:themeTint="95" w:sz="4" w:space="0"/>
      </w:tblBorders>
    </w:tblPr>
    <w:tblStylePr w:type="firstRow">
      <w:rPr>
        <w:b/>
        <w:color w:val="404040"/>
      </w:rPr>
      <w:tcPr>
        <w:tcBorders>
          <w:top w:val="nil"/>
          <w:left w:val="nil"/>
          <w:bottom w:val="single" w:color="696969" w:themeColor="text1" w:themeTint="95" w:sz="12" w:space="0"/>
          <w:right w:val="nil"/>
        </w:tcBorders>
        <w:shd w:val="clear" w:color="FFFFFF" w:fill="auto"/>
      </w:tcPr>
    </w:tblStylePr>
    <w:tblStylePr w:type="lastRow">
      <w:rPr>
        <w:b/>
        <w:color w:val="404040"/>
      </w:rPr>
      <w:tcPr>
        <w:tcBorders>
          <w:top w:val="single" w:color="696969" w:themeColor="text1" w:themeTint="95"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CACACA" w:fill="CACACA"/>
      </w:tcPr>
    </w:tblStylePr>
    <w:tblStylePr w:type="band1Horz">
      <w:rPr>
        <w:rFonts w:ascii="Arial" w:hAnsi="Arial"/>
        <w:color w:val="404040"/>
        <w:sz w:val="22"/>
      </w:rPr>
      <w:tcPr>
        <w:shd w:val="clear" w:color="CACACA" w:fill="CACACA"/>
      </w:tcPr>
    </w:tblStylePr>
  </w:style>
  <w:style w:type="table" w:customStyle="1" w:styleId="281">
    <w:name w:val="GridTable2-Accent10"/>
    <w:basedOn w:val="37"/>
    <w:qFormat/>
    <w:uiPriority w:val="99"/>
    <w:tblPr>
      <w:tblBorders>
        <w:bottom w:val="single" w:color="68A3D8" w:themeColor="accent1" w:themeTint="EA" w:sz="4" w:space="0"/>
        <w:insideH w:val="single" w:color="68A3D8" w:themeColor="accent1" w:themeTint="EA" w:sz="4" w:space="0"/>
        <w:insideV w:val="single" w:color="68A3D8" w:themeColor="accent1" w:themeTint="EA" w:sz="4" w:space="0"/>
      </w:tblBorders>
    </w:tblPr>
    <w:tblStylePr w:type="firstRow">
      <w:rPr>
        <w:b/>
        <w:color w:val="404040"/>
      </w:rPr>
      <w:tcPr>
        <w:tcBorders>
          <w:top w:val="nil"/>
          <w:left w:val="nil"/>
          <w:bottom w:val="single" w:color="68A3D8" w:themeColor="accent1" w:themeTint="EA" w:sz="12" w:space="0"/>
          <w:right w:val="nil"/>
        </w:tcBorders>
        <w:shd w:val="clear" w:color="FFFFFF" w:fill="auto"/>
      </w:tcPr>
    </w:tblStylePr>
    <w:tblStylePr w:type="lastRow">
      <w:rPr>
        <w:b/>
        <w:color w:val="404040"/>
      </w:rPr>
      <w:tcPr>
        <w:tcBorders>
          <w:top w:val="single" w:color="68A3D8" w:themeColor="accent1" w:themeTint="EA"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DBE5F1" w:fill="DBE5F1"/>
      </w:tcPr>
    </w:tblStylePr>
    <w:tblStylePr w:type="band1Horz">
      <w:rPr>
        <w:rFonts w:ascii="Arial" w:hAnsi="Arial"/>
        <w:color w:val="404040"/>
        <w:sz w:val="22"/>
      </w:rPr>
      <w:tcPr>
        <w:shd w:val="clear" w:color="DBE5F1" w:fill="DBE5F1"/>
      </w:tcPr>
    </w:tblStylePr>
  </w:style>
  <w:style w:type="table" w:customStyle="1" w:styleId="282">
    <w:name w:val="GridTable2-Accent20"/>
    <w:basedOn w:val="37"/>
    <w:qFormat/>
    <w:uiPriority w:val="99"/>
    <w:tblPr>
      <w:tblBorders>
        <w:bottom w:val="single" w:color="F4B285" w:themeColor="accent2" w:themeTint="97" w:sz="4" w:space="0"/>
        <w:insideH w:val="single" w:color="F4B285" w:themeColor="accent2" w:themeTint="97" w:sz="4" w:space="0"/>
        <w:insideV w:val="single" w:color="F4B285" w:themeColor="accent2" w:themeTint="97" w:sz="4" w:space="0"/>
      </w:tblBorders>
    </w:tblPr>
    <w:tblStylePr w:type="firstRow">
      <w:rPr>
        <w:b/>
        <w:color w:val="404040"/>
      </w:rPr>
      <w:tcPr>
        <w:tcBorders>
          <w:top w:val="nil"/>
          <w:left w:val="nil"/>
          <w:bottom w:val="single" w:color="F4B285" w:themeColor="accent2" w:themeTint="97" w:sz="12" w:space="0"/>
          <w:right w:val="nil"/>
        </w:tcBorders>
        <w:shd w:val="clear" w:color="FFFFFF" w:fill="auto"/>
      </w:tcPr>
    </w:tblStylePr>
    <w:tblStylePr w:type="lastRow">
      <w:rPr>
        <w:b/>
        <w:color w:val="404040"/>
      </w:rPr>
      <w:tcPr>
        <w:tcBorders>
          <w:top w:val="single" w:color="F4B285" w:themeColor="accent2" w:themeTint="97"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2DCDC" w:fill="F2DCDC"/>
      </w:tcPr>
    </w:tblStylePr>
    <w:tblStylePr w:type="band1Horz">
      <w:rPr>
        <w:rFonts w:ascii="Arial" w:hAnsi="Arial"/>
        <w:color w:val="404040"/>
        <w:sz w:val="22"/>
      </w:rPr>
      <w:tcPr>
        <w:shd w:val="clear" w:color="F2DCDC" w:fill="F2DCDC"/>
      </w:tcPr>
    </w:tblStylePr>
  </w:style>
  <w:style w:type="table" w:customStyle="1" w:styleId="283">
    <w:name w:val="GridTable2-Accent30"/>
    <w:basedOn w:val="37"/>
    <w:qFormat/>
    <w:uiPriority w:val="99"/>
    <w:tblPr>
      <w:tblBorders>
        <w:bottom w:val="single" w:color="A5A5A5" w:themeColor="accent3" w:themeTint="FE" w:sz="4" w:space="0"/>
        <w:insideH w:val="single" w:color="A5A5A5" w:themeColor="accent3" w:themeTint="FE" w:sz="4" w:space="0"/>
        <w:insideV w:val="single" w:color="A5A5A5" w:themeColor="accent3" w:themeTint="FE" w:sz="4" w:space="0"/>
      </w:tblBorders>
    </w:tblPr>
    <w:tblStylePr w:type="firstRow">
      <w:rPr>
        <w:b/>
        <w:color w:val="404040"/>
      </w:rPr>
      <w:tcPr>
        <w:tcBorders>
          <w:top w:val="nil"/>
          <w:left w:val="nil"/>
          <w:bottom w:val="single" w:color="A5A5A5" w:themeColor="accent3" w:themeTint="FE" w:sz="12" w:space="0"/>
          <w:right w:val="nil"/>
        </w:tcBorders>
        <w:shd w:val="clear" w:color="FFFFFF" w:fill="auto"/>
      </w:tcPr>
    </w:tblStylePr>
    <w:tblStylePr w:type="lastRow">
      <w:rPr>
        <w:b/>
        <w:color w:val="404040"/>
      </w:rPr>
      <w:tcPr>
        <w:tcBorders>
          <w:top w:val="single" w:color="A5A5A5" w:themeColor="accent3" w:themeTint="FE"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EAF1DD" w:fill="EAF1DD"/>
      </w:tcPr>
    </w:tblStylePr>
    <w:tblStylePr w:type="band1Horz">
      <w:rPr>
        <w:rFonts w:ascii="Arial" w:hAnsi="Arial"/>
        <w:color w:val="404040"/>
        <w:sz w:val="22"/>
      </w:rPr>
      <w:tcPr>
        <w:shd w:val="clear" w:color="EAF1DD" w:fill="EAF1DD"/>
      </w:tcPr>
    </w:tblStylePr>
  </w:style>
  <w:style w:type="table" w:customStyle="1" w:styleId="284">
    <w:name w:val="GridTable2-Accent40"/>
    <w:basedOn w:val="37"/>
    <w:qFormat/>
    <w:uiPriority w:val="99"/>
    <w:tblPr>
      <w:tblBorders>
        <w:bottom w:val="single" w:color="FFD864" w:themeColor="accent4" w:themeTint="9A" w:sz="4" w:space="0"/>
        <w:insideH w:val="single" w:color="FFD864" w:themeColor="accent4" w:themeTint="9A" w:sz="4" w:space="0"/>
        <w:insideV w:val="single" w:color="FFD864" w:themeColor="accent4" w:themeTint="9A" w:sz="4" w:space="0"/>
      </w:tblBorders>
    </w:tblPr>
    <w:tblStylePr w:type="firstRow">
      <w:rPr>
        <w:b/>
        <w:color w:val="404040"/>
      </w:rPr>
      <w:tcPr>
        <w:tcBorders>
          <w:top w:val="nil"/>
          <w:left w:val="nil"/>
          <w:bottom w:val="single" w:color="FFD864" w:themeColor="accent4" w:themeTint="9A" w:sz="12" w:space="0"/>
          <w:right w:val="nil"/>
        </w:tcBorders>
        <w:shd w:val="clear" w:color="FFFFFF" w:fill="auto"/>
      </w:tcPr>
    </w:tblStylePr>
    <w:tblStylePr w:type="lastRow">
      <w:rPr>
        <w:b/>
        <w:color w:val="404040"/>
      </w:rPr>
      <w:tcPr>
        <w:tcBorders>
          <w:top w:val="single" w:color="FFD864" w:themeColor="accent4" w:themeTint="9A"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E5DFEC" w:fill="E5DFEC"/>
      </w:tcPr>
    </w:tblStylePr>
    <w:tblStylePr w:type="band1Horz">
      <w:rPr>
        <w:rFonts w:ascii="Arial" w:hAnsi="Arial"/>
        <w:color w:val="404040"/>
        <w:sz w:val="22"/>
      </w:rPr>
      <w:tcPr>
        <w:shd w:val="clear" w:color="E5DFEC" w:fill="E5DFEC"/>
      </w:tcPr>
    </w:tblStylePr>
  </w:style>
  <w:style w:type="table" w:customStyle="1" w:styleId="285">
    <w:name w:val="GridTable2-Accent50"/>
    <w:basedOn w:val="37"/>
    <w:qFormat/>
    <w:uiPriority w:val="99"/>
    <w:tblPr>
      <w:tblBorders>
        <w:bottom w:val="single" w:color="4472C4" w:themeColor="accent5" w:sz="4" w:space="0"/>
        <w:insideH w:val="single" w:color="4472C4" w:themeColor="accent5" w:sz="4" w:space="0"/>
        <w:insideV w:val="single" w:color="4472C4" w:themeColor="accent5" w:sz="4" w:space="0"/>
      </w:tblBorders>
    </w:tblPr>
    <w:tblStylePr w:type="firstRow">
      <w:rPr>
        <w:b/>
        <w:color w:val="404040"/>
      </w:rPr>
      <w:tcPr>
        <w:tcBorders>
          <w:top w:val="nil"/>
          <w:left w:val="nil"/>
          <w:bottom w:val="single" w:color="4472C4" w:themeColor="accent5" w:sz="12" w:space="0"/>
          <w:right w:val="nil"/>
        </w:tcBorders>
        <w:shd w:val="clear" w:color="FFFFFF" w:fill="auto"/>
      </w:tcPr>
    </w:tblStylePr>
    <w:tblStylePr w:type="lastRow">
      <w:rPr>
        <w:b/>
        <w:color w:val="404040"/>
      </w:rPr>
      <w:tcPr>
        <w:tcBorders>
          <w:top w:val="single" w:color="4472C4" w:themeColor="accent5"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DAEEF3" w:fill="DAEEF3"/>
      </w:tcPr>
    </w:tblStylePr>
    <w:tblStylePr w:type="band1Horz">
      <w:rPr>
        <w:rFonts w:ascii="Arial" w:hAnsi="Arial"/>
        <w:color w:val="404040"/>
        <w:sz w:val="22"/>
      </w:rPr>
      <w:tcPr>
        <w:shd w:val="clear" w:color="DAEEF3" w:fill="DAEEF3"/>
      </w:tcPr>
    </w:tblStylePr>
  </w:style>
  <w:style w:type="table" w:customStyle="1" w:styleId="286">
    <w:name w:val="GridTable2-Accent60"/>
    <w:basedOn w:val="37"/>
    <w:qFormat/>
    <w:uiPriority w:val="99"/>
    <w:tblPr>
      <w:tblBorders>
        <w:bottom w:val="single" w:color="70AD47" w:themeColor="accent6" w:sz="4" w:space="0"/>
        <w:insideH w:val="single" w:color="70AD47" w:themeColor="accent6" w:sz="4" w:space="0"/>
        <w:insideV w:val="single" w:color="70AD47" w:themeColor="accent6" w:sz="4" w:space="0"/>
      </w:tblBorders>
    </w:tblPr>
    <w:tblStylePr w:type="firstRow">
      <w:rPr>
        <w:b/>
        <w:color w:val="404040"/>
      </w:rPr>
      <w:tcPr>
        <w:tcBorders>
          <w:top w:val="nil"/>
          <w:left w:val="nil"/>
          <w:bottom w:val="single" w:color="70AD47" w:themeColor="accent6" w:sz="12" w:space="0"/>
          <w:right w:val="nil"/>
        </w:tcBorders>
        <w:shd w:val="clear" w:color="FFFFFF" w:fill="auto"/>
      </w:tcPr>
    </w:tblStylePr>
    <w:tblStylePr w:type="lastRow">
      <w:rPr>
        <w:b/>
        <w:color w:val="404040"/>
      </w:rPr>
      <w:tcPr>
        <w:tcBorders>
          <w:top w:val="single" w:color="70AD47" w:themeColor="accent6" w:sz="4" w:space="0"/>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DE9D9" w:fill="FDE9D9"/>
      </w:tcPr>
    </w:tblStylePr>
    <w:tblStylePr w:type="band1Horz">
      <w:rPr>
        <w:rFonts w:ascii="Arial" w:hAnsi="Arial"/>
        <w:color w:val="404040"/>
        <w:sz w:val="22"/>
      </w:rPr>
      <w:tcPr>
        <w:shd w:val="clear" w:color="FDE9D9" w:fill="FDE9D9"/>
      </w:tcPr>
    </w:tblStylePr>
  </w:style>
  <w:style w:type="table" w:customStyle="1" w:styleId="287">
    <w:name w:val="GridTable30"/>
    <w:basedOn w:val="37"/>
    <w:qFormat/>
    <w:uiPriority w:val="99"/>
    <w:tblPr>
      <w:tblBorders>
        <w:bottom w:val="single" w:color="696969" w:themeColor="text1" w:themeTint="95" w:sz="4" w:space="0"/>
        <w:insideH w:val="single" w:color="696969" w:themeColor="text1" w:themeTint="95" w:sz="4" w:space="0"/>
        <w:insideV w:val="single" w:color="696969" w:themeColor="text1" w:themeTint="95"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CACACA" w:fill="CACACA"/>
      </w:tcPr>
    </w:tblStylePr>
    <w:tblStylePr w:type="band1Horz">
      <w:rPr>
        <w:rFonts w:ascii="Arial" w:hAnsi="Arial"/>
        <w:color w:val="404040"/>
        <w:sz w:val="22"/>
      </w:rPr>
      <w:tcPr>
        <w:shd w:val="clear" w:color="CACACA" w:fill="CACACA"/>
      </w:tcPr>
    </w:tblStylePr>
  </w:style>
  <w:style w:type="table" w:customStyle="1" w:styleId="288">
    <w:name w:val="GridTable3-Accent10"/>
    <w:basedOn w:val="37"/>
    <w:qFormat/>
    <w:uiPriority w:val="99"/>
    <w:tblPr>
      <w:tblBorders>
        <w:bottom w:val="single" w:color="68A3D8" w:themeColor="accent1" w:themeTint="EA" w:sz="4" w:space="0"/>
        <w:insideH w:val="single" w:color="68A3D8" w:themeColor="accent1" w:themeTint="EA" w:sz="4" w:space="0"/>
        <w:insideV w:val="single" w:color="68A3D8" w:themeColor="accent1" w:themeTint="EA"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DBE5F1" w:fill="DBE5F1"/>
      </w:tcPr>
    </w:tblStylePr>
    <w:tblStylePr w:type="band1Horz">
      <w:rPr>
        <w:rFonts w:ascii="Arial" w:hAnsi="Arial"/>
        <w:color w:val="404040"/>
        <w:sz w:val="22"/>
      </w:rPr>
      <w:tcPr>
        <w:shd w:val="clear" w:color="DBE5F1" w:fill="DBE5F1"/>
      </w:tcPr>
    </w:tblStylePr>
  </w:style>
  <w:style w:type="table" w:customStyle="1" w:styleId="289">
    <w:name w:val="GridTable3-Accent20"/>
    <w:basedOn w:val="37"/>
    <w:qFormat/>
    <w:uiPriority w:val="99"/>
    <w:tblPr>
      <w:tblBorders>
        <w:bottom w:val="single" w:color="F4B285" w:themeColor="accent2" w:themeTint="97" w:sz="4" w:space="0"/>
        <w:insideH w:val="single" w:color="F4B285" w:themeColor="accent2" w:themeTint="97" w:sz="4" w:space="0"/>
        <w:insideV w:val="single" w:color="F4B285" w:themeColor="accent2" w:themeTint="97"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F2DCDC" w:fill="F2DCDC"/>
      </w:tcPr>
    </w:tblStylePr>
    <w:tblStylePr w:type="band1Horz">
      <w:rPr>
        <w:rFonts w:ascii="Arial" w:hAnsi="Arial"/>
        <w:color w:val="404040"/>
        <w:sz w:val="22"/>
      </w:rPr>
      <w:tcPr>
        <w:shd w:val="clear" w:color="F2DCDC" w:fill="F2DCDC"/>
      </w:tcPr>
    </w:tblStylePr>
  </w:style>
  <w:style w:type="table" w:customStyle="1" w:styleId="290">
    <w:name w:val="GridTable3-Accent30"/>
    <w:basedOn w:val="37"/>
    <w:qFormat/>
    <w:uiPriority w:val="99"/>
    <w:tblPr>
      <w:tblBorders>
        <w:bottom w:val="single" w:color="A5A5A5" w:themeColor="accent3" w:themeTint="FE" w:sz="4" w:space="0"/>
        <w:insideH w:val="single" w:color="A5A5A5" w:themeColor="accent3" w:themeTint="FE" w:sz="4" w:space="0"/>
        <w:insideV w:val="single" w:color="A5A5A5" w:themeColor="accent3" w:themeTint="FE"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EAF1DD" w:fill="EAF1DD"/>
      </w:tcPr>
    </w:tblStylePr>
    <w:tblStylePr w:type="band1Horz">
      <w:rPr>
        <w:rFonts w:ascii="Arial" w:hAnsi="Arial"/>
        <w:color w:val="404040"/>
        <w:sz w:val="22"/>
      </w:rPr>
      <w:tcPr>
        <w:shd w:val="clear" w:color="EAF1DD" w:fill="EAF1DD"/>
      </w:tcPr>
    </w:tblStylePr>
  </w:style>
  <w:style w:type="table" w:customStyle="1" w:styleId="291">
    <w:name w:val="GridTable3-Accent40"/>
    <w:basedOn w:val="37"/>
    <w:qFormat/>
    <w:uiPriority w:val="99"/>
    <w:tblPr>
      <w:tblBorders>
        <w:bottom w:val="single" w:color="FFD864" w:themeColor="accent4" w:themeTint="9A" w:sz="4" w:space="0"/>
        <w:insideH w:val="single" w:color="FFD864" w:themeColor="accent4" w:themeTint="9A" w:sz="4" w:space="0"/>
        <w:insideV w:val="single" w:color="FFD864" w:themeColor="accent4" w:themeTint="9A"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E5DFEC" w:fill="E5DFEC"/>
      </w:tcPr>
    </w:tblStylePr>
    <w:tblStylePr w:type="band1Horz">
      <w:rPr>
        <w:rFonts w:ascii="Arial" w:hAnsi="Arial"/>
        <w:color w:val="404040"/>
        <w:sz w:val="22"/>
      </w:rPr>
      <w:tcPr>
        <w:shd w:val="clear" w:color="E5DFEC" w:fill="E5DFEC"/>
      </w:tcPr>
    </w:tblStylePr>
  </w:style>
  <w:style w:type="table" w:customStyle="1" w:styleId="292">
    <w:name w:val="GridTable3-Accent50"/>
    <w:basedOn w:val="37"/>
    <w:qFormat/>
    <w:uiPriority w:val="99"/>
    <w:tblPr>
      <w:tblBorders>
        <w:bottom w:val="single" w:color="4472C4" w:themeColor="accent5" w:sz="4" w:space="0"/>
        <w:insideH w:val="single" w:color="4472C4" w:themeColor="accent5" w:sz="4" w:space="0"/>
        <w:insideV w:val="single" w:color="4472C4" w:themeColor="accent5"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DAEEF3" w:fill="DAEEF3"/>
      </w:tcPr>
    </w:tblStylePr>
    <w:tblStylePr w:type="band1Horz">
      <w:rPr>
        <w:rFonts w:ascii="Arial" w:hAnsi="Arial"/>
        <w:color w:val="404040"/>
        <w:sz w:val="22"/>
      </w:rPr>
      <w:tcPr>
        <w:shd w:val="clear" w:color="DAEEF3" w:fill="DAEEF3"/>
      </w:tcPr>
    </w:tblStylePr>
  </w:style>
  <w:style w:type="table" w:customStyle="1" w:styleId="293">
    <w:name w:val="GridTable3-Accent60"/>
    <w:basedOn w:val="37"/>
    <w:qFormat/>
    <w:uiPriority w:val="99"/>
    <w:tblPr>
      <w:tblBorders>
        <w:bottom w:val="single" w:color="70AD47" w:themeColor="accent6" w:sz="4" w:space="0"/>
        <w:insideH w:val="single" w:color="70AD47" w:themeColor="accent6" w:sz="4" w:space="0"/>
        <w:insideV w:val="single" w:color="70AD47" w:themeColor="accent6" w:sz="4" w:space="0"/>
      </w:tblBorders>
    </w:tblPr>
    <w:tblStylePr w:type="firstRow">
      <w:rPr>
        <w:b/>
        <w:color w:val="404040"/>
      </w:rPr>
      <w:tcPr>
        <w:tcBorders>
          <w:top w:val="nil"/>
          <w:left w:val="nil"/>
          <w:bottom w:val="nil"/>
          <w:right w:val="nil"/>
        </w:tcBorders>
        <w:shd w:val="clear" w:color="FFFFFF" w:fill="auto"/>
      </w:tcPr>
    </w:tblStylePr>
    <w:tblStylePr w:type="lastRow">
      <w:rPr>
        <w:b/>
        <w:color w:val="404040"/>
      </w:rPr>
      <w:tcPr>
        <w:tcBorders>
          <w:top w:val="nil"/>
          <w:left w:val="nil"/>
          <w:bottom w:val="nil"/>
          <w:right w:val="nil"/>
        </w:tcBorders>
        <w:shd w:val="clear" w:color="FFFFFF" w:fill="auto"/>
      </w:tcPr>
    </w:tblStylePr>
    <w:tblStylePr w:type="firstCol">
      <w:pPr>
        <w:jc w:val="right"/>
      </w:pPr>
      <w:rPr>
        <w:i/>
        <w:color w:val="404040"/>
      </w:rPr>
      <w:tcPr>
        <w:tcBorders>
          <w:top w:val="nil"/>
          <w:left w:val="nil"/>
          <w:bottom w:val="nil"/>
          <w:right w:val="nil"/>
        </w:tcBorders>
        <w:shd w:val="clear" w:color="FFFFFF" w:fill="auto"/>
      </w:tcPr>
    </w:tblStylePr>
    <w:tblStylePr w:type="lastCol">
      <w:rPr>
        <w:i/>
        <w:color w:val="404040"/>
      </w:rPr>
      <w:tcPr>
        <w:tcBorders>
          <w:top w:val="nil"/>
          <w:left w:val="nil"/>
          <w:bottom w:val="nil"/>
          <w:right w:val="nil"/>
        </w:tcBorders>
        <w:shd w:val="clear" w:color="FFFFFF" w:fill="auto"/>
      </w:tcPr>
    </w:tblStylePr>
    <w:tblStylePr w:type="band1Vert">
      <w:rPr>
        <w:rFonts w:ascii="Arial" w:hAnsi="Arial"/>
        <w:color w:val="404040"/>
        <w:sz w:val="22"/>
      </w:rPr>
      <w:tcPr>
        <w:shd w:val="clear" w:color="FDE9D9" w:fill="FDE9D9"/>
      </w:tcPr>
    </w:tblStylePr>
    <w:tblStylePr w:type="band1Horz">
      <w:rPr>
        <w:rFonts w:ascii="Arial" w:hAnsi="Arial"/>
        <w:color w:val="404040"/>
        <w:sz w:val="22"/>
      </w:rPr>
      <w:tcPr>
        <w:shd w:val="clear" w:color="FDE9D9" w:fill="FDE9D9"/>
      </w:tcPr>
    </w:tblStylePr>
  </w:style>
  <w:style w:type="table" w:customStyle="1" w:styleId="294">
    <w:name w:val="GridTable40"/>
    <w:basedOn w:val="37"/>
    <w:qFormat/>
    <w:uiPriority w:val="59"/>
    <w:tblPr>
      <w:tblBorders>
        <w:top w:val="single" w:color="6E6E6E" w:themeColor="text1" w:themeTint="90" w:sz="4" w:space="0"/>
        <w:left w:val="single" w:color="6E6E6E" w:themeColor="text1" w:themeTint="90" w:sz="4" w:space="0"/>
        <w:bottom w:val="single" w:color="6E6E6E" w:themeColor="text1" w:themeTint="90" w:sz="4" w:space="0"/>
        <w:right w:val="single" w:color="6E6E6E" w:themeColor="text1" w:themeTint="90" w:sz="4" w:space="0"/>
        <w:insideH w:val="single" w:color="6E6E6E" w:themeColor="text1" w:themeTint="90" w:sz="4" w:space="0"/>
        <w:insideV w:val="single" w:color="6E6E6E" w:themeColor="text1" w:themeTint="90" w:sz="4" w:space="0"/>
      </w:tblBorders>
    </w:tblPr>
    <w:tblStylePr w:type="firstRow">
      <w:rPr>
        <w:rFonts w:ascii="Arial" w:hAnsi="Arial"/>
        <w:b/>
        <w:color w:val="FFFFFF"/>
        <w:sz w:val="22"/>
      </w:rPr>
      <w:tcPr>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000000" w:fill="000000"/>
      </w:tcPr>
    </w:tblStylePr>
    <w:tblStylePr w:type="lastRow">
      <w:rPr>
        <w:b/>
        <w:color w:val="404040"/>
      </w:rPr>
      <w:tcPr>
        <w:tcBorders>
          <w:top w:val="single" w:color="000000" w:themeColor="text1"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CACACA" w:fill="CACACA"/>
      </w:tcPr>
    </w:tblStylePr>
    <w:tblStylePr w:type="band1Horz">
      <w:rPr>
        <w:rFonts w:ascii="Arial" w:hAnsi="Arial"/>
        <w:color w:val="404040"/>
        <w:sz w:val="22"/>
      </w:rPr>
      <w:tcPr>
        <w:shd w:val="clear" w:color="CACACA" w:fill="CACACA"/>
      </w:tcPr>
    </w:tblStylePr>
  </w:style>
  <w:style w:type="table" w:customStyle="1" w:styleId="295">
    <w:name w:val="GridTable4-Accent10"/>
    <w:basedOn w:val="37"/>
    <w:qFormat/>
    <w:uiPriority w:val="59"/>
    <w:tblPr>
      <w:tblBorders>
        <w:top w:val="single" w:color="A2C6E7" w:themeColor="accent1" w:themeTint="90" w:sz="4" w:space="0"/>
        <w:left w:val="single" w:color="A2C6E7" w:themeColor="accent1" w:themeTint="90" w:sz="4" w:space="0"/>
        <w:bottom w:val="single" w:color="A2C6E7" w:themeColor="accent1" w:themeTint="90" w:sz="4" w:space="0"/>
        <w:right w:val="single" w:color="A2C6E7" w:themeColor="accent1" w:themeTint="90" w:sz="4" w:space="0"/>
        <w:insideH w:val="single" w:color="A2C6E7" w:themeColor="accent1" w:themeTint="90" w:sz="4" w:space="0"/>
        <w:insideV w:val="single" w:color="A2C6E7" w:themeColor="accent1" w:themeTint="90" w:sz="4" w:space="0"/>
      </w:tblBorders>
    </w:tblPr>
    <w:tblStylePr w:type="firstRow">
      <w:rPr>
        <w:rFonts w:ascii="Arial" w:hAnsi="Arial"/>
        <w:b/>
        <w:color w:val="FFFFFF"/>
        <w:sz w:val="22"/>
      </w:rPr>
      <w:tcPr>
        <w:tcBorders>
          <w:top w:val="single" w:color="68A3D8" w:themeColor="accent1" w:themeTint="EA" w:sz="4" w:space="0"/>
          <w:left w:val="single" w:color="68A3D8" w:themeColor="accent1" w:themeTint="EA" w:sz="4" w:space="0"/>
          <w:bottom w:val="single" w:color="68A3D8" w:themeColor="accent1" w:themeTint="EA" w:sz="4" w:space="0"/>
          <w:right w:val="single" w:color="68A3D8" w:themeColor="accent1" w:themeTint="EA" w:sz="4" w:space="0"/>
        </w:tcBorders>
        <w:shd w:val="clear" w:color="5D8BC2" w:fill="5D8BC2"/>
      </w:tcPr>
    </w:tblStylePr>
    <w:tblStylePr w:type="lastRow">
      <w:rPr>
        <w:b/>
        <w:color w:val="404040"/>
      </w:rPr>
      <w:tcPr>
        <w:tcBorders>
          <w:top w:val="single" w:color="68A3D8" w:themeColor="accent1" w:themeTint="EA"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DCE6F2" w:fill="DCE6F2"/>
      </w:tcPr>
    </w:tblStylePr>
    <w:tblStylePr w:type="band1Horz">
      <w:rPr>
        <w:rFonts w:ascii="Arial" w:hAnsi="Arial"/>
        <w:color w:val="404040"/>
        <w:sz w:val="22"/>
      </w:rPr>
      <w:tcPr>
        <w:shd w:val="clear" w:color="DCE6F2" w:fill="DCE6F2"/>
      </w:tcPr>
    </w:tblStylePr>
  </w:style>
  <w:style w:type="table" w:customStyle="1" w:styleId="296">
    <w:name w:val="GridTable4-Accent20"/>
    <w:basedOn w:val="37"/>
    <w:qFormat/>
    <w:uiPriority w:val="59"/>
    <w:tblPr>
      <w:tblBorders>
        <w:top w:val="single" w:color="F4B58A" w:themeColor="accent2" w:themeTint="90" w:sz="4" w:space="0"/>
        <w:left w:val="single" w:color="F4B58A" w:themeColor="accent2" w:themeTint="90" w:sz="4" w:space="0"/>
        <w:bottom w:val="single" w:color="F4B58A" w:themeColor="accent2" w:themeTint="90" w:sz="4" w:space="0"/>
        <w:right w:val="single" w:color="F4B58A" w:themeColor="accent2" w:themeTint="90" w:sz="4" w:space="0"/>
        <w:insideH w:val="single" w:color="F4B58A" w:themeColor="accent2" w:themeTint="90" w:sz="4" w:space="0"/>
        <w:insideV w:val="single" w:color="F4B58A" w:themeColor="accent2" w:themeTint="90" w:sz="4" w:space="0"/>
      </w:tblBorders>
    </w:tblPr>
    <w:tblStylePr w:type="firstRow">
      <w:rPr>
        <w:rFonts w:ascii="Arial" w:hAnsi="Arial"/>
        <w:b/>
        <w:color w:val="FFFFFF"/>
        <w:sz w:val="22"/>
      </w:rPr>
      <w:tcPr>
        <w:tcBorders>
          <w:top w:val="single" w:color="F4B285" w:themeColor="accent2" w:themeTint="97" w:sz="4" w:space="0"/>
          <w:left w:val="single" w:color="F4B285" w:themeColor="accent2" w:themeTint="97" w:sz="4" w:space="0"/>
          <w:bottom w:val="single" w:color="F4B285" w:themeColor="accent2" w:themeTint="97" w:sz="4" w:space="0"/>
          <w:right w:val="single" w:color="F4B285" w:themeColor="accent2" w:themeTint="97" w:sz="4" w:space="0"/>
        </w:tcBorders>
        <w:shd w:val="clear" w:color="D99795" w:fill="D99795"/>
      </w:tcPr>
    </w:tblStylePr>
    <w:tblStylePr w:type="lastRow">
      <w:rPr>
        <w:b/>
        <w:color w:val="404040"/>
      </w:rPr>
      <w:tcPr>
        <w:tcBorders>
          <w:top w:val="single" w:color="F4B285" w:themeColor="accent2" w:themeTint="97"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2DCDC" w:fill="F2DCDC"/>
      </w:tcPr>
    </w:tblStylePr>
    <w:tblStylePr w:type="band1Horz">
      <w:rPr>
        <w:rFonts w:ascii="Arial" w:hAnsi="Arial"/>
        <w:color w:val="404040"/>
        <w:sz w:val="22"/>
      </w:rPr>
      <w:tcPr>
        <w:shd w:val="clear" w:color="F2DCDC" w:fill="F2DCDC"/>
      </w:tcPr>
    </w:tblStylePr>
  </w:style>
  <w:style w:type="table" w:customStyle="1" w:styleId="297">
    <w:name w:val="GridTable4-Accent30"/>
    <w:basedOn w:val="37"/>
    <w:qFormat/>
    <w:uiPriority w:val="59"/>
    <w:tblPr>
      <w:tblBorders>
        <w:top w:val="single" w:color="CCCCCC" w:themeColor="accent3" w:themeTint="90" w:sz="4" w:space="0"/>
        <w:left w:val="single" w:color="CCCCCC" w:themeColor="accent3" w:themeTint="90" w:sz="4" w:space="0"/>
        <w:bottom w:val="single" w:color="CCCCCC" w:themeColor="accent3" w:themeTint="90" w:sz="4" w:space="0"/>
        <w:right w:val="single" w:color="CCCCCC" w:themeColor="accent3" w:themeTint="90" w:sz="4" w:space="0"/>
        <w:insideH w:val="single" w:color="CCCCCC" w:themeColor="accent3" w:themeTint="90" w:sz="4" w:space="0"/>
        <w:insideV w:val="single" w:color="CCCCCC" w:themeColor="accent3" w:themeTint="90" w:sz="4" w:space="0"/>
      </w:tblBorders>
    </w:tblPr>
    <w:tblStylePr w:type="firstRow">
      <w:rPr>
        <w:rFonts w:ascii="Arial" w:hAnsi="Arial"/>
        <w:b/>
        <w:color w:val="FFFFFF"/>
        <w:sz w:val="22"/>
      </w:rPr>
      <w:tcPr>
        <w:tcBorders>
          <w:top w:val="single" w:color="A5A5A5" w:themeColor="accent3" w:themeTint="FE" w:sz="4" w:space="0"/>
          <w:left w:val="single" w:color="A5A5A5" w:themeColor="accent3" w:themeTint="FE" w:sz="4" w:space="0"/>
          <w:bottom w:val="single" w:color="A5A5A5" w:themeColor="accent3" w:themeTint="FE" w:sz="4" w:space="0"/>
          <w:right w:val="single" w:color="A5A5A5" w:themeColor="accent3" w:themeTint="FE" w:sz="4" w:space="0"/>
        </w:tcBorders>
        <w:shd w:val="clear" w:color="9BBB59" w:fill="9BBB59"/>
      </w:tcPr>
    </w:tblStylePr>
    <w:tblStylePr w:type="lastRow">
      <w:rPr>
        <w:b/>
        <w:color w:val="404040"/>
      </w:rPr>
      <w:tcPr>
        <w:tcBorders>
          <w:top w:val="single" w:color="A5A5A5" w:themeColor="accent3" w:themeTint="FE"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EAF1DD" w:fill="EAF1DD"/>
      </w:tcPr>
    </w:tblStylePr>
    <w:tblStylePr w:type="band1Horz">
      <w:rPr>
        <w:rFonts w:ascii="Arial" w:hAnsi="Arial"/>
        <w:color w:val="404040"/>
        <w:sz w:val="22"/>
      </w:rPr>
      <w:tcPr>
        <w:shd w:val="clear" w:color="EAF1DD" w:fill="EAF1DD"/>
      </w:tcPr>
    </w:tblStylePr>
  </w:style>
  <w:style w:type="table" w:customStyle="1" w:styleId="298">
    <w:name w:val="GridTable4-Accent40"/>
    <w:basedOn w:val="37"/>
    <w:qFormat/>
    <w:uiPriority w:val="59"/>
    <w:tblPr>
      <w:tblBorders>
        <w:top w:val="single" w:color="FFDB6E" w:themeColor="accent4" w:themeTint="90" w:sz="4" w:space="0"/>
        <w:left w:val="single" w:color="FFDB6E" w:themeColor="accent4" w:themeTint="90" w:sz="4" w:space="0"/>
        <w:bottom w:val="single" w:color="FFDB6E" w:themeColor="accent4" w:themeTint="90" w:sz="4" w:space="0"/>
        <w:right w:val="single" w:color="FFDB6E" w:themeColor="accent4" w:themeTint="90" w:sz="4" w:space="0"/>
        <w:insideH w:val="single" w:color="FFDB6E" w:themeColor="accent4" w:themeTint="90" w:sz="4" w:space="0"/>
        <w:insideV w:val="single" w:color="FFDB6E" w:themeColor="accent4" w:themeTint="90" w:sz="4" w:space="0"/>
      </w:tblBorders>
    </w:tblPr>
    <w:tblStylePr w:type="firstRow">
      <w:rPr>
        <w:rFonts w:ascii="Arial" w:hAnsi="Arial"/>
        <w:b/>
        <w:color w:val="FFFFFF"/>
        <w:sz w:val="22"/>
      </w:rPr>
      <w:tcPr>
        <w:tcBorders>
          <w:top w:val="single" w:color="FFD864" w:themeColor="accent4" w:themeTint="9A" w:sz="4" w:space="0"/>
          <w:left w:val="single" w:color="FFD864" w:themeColor="accent4" w:themeTint="9A" w:sz="4" w:space="0"/>
          <w:bottom w:val="single" w:color="FFD864" w:themeColor="accent4" w:themeTint="9A" w:sz="4" w:space="0"/>
          <w:right w:val="single" w:color="FFD864" w:themeColor="accent4" w:themeTint="9A" w:sz="4" w:space="0"/>
        </w:tcBorders>
        <w:shd w:val="clear" w:color="B2A1C6" w:fill="B2A1C6"/>
      </w:tcPr>
    </w:tblStylePr>
    <w:tblStylePr w:type="lastRow">
      <w:rPr>
        <w:b/>
        <w:color w:val="404040"/>
      </w:rPr>
      <w:tcPr>
        <w:tcBorders>
          <w:top w:val="single" w:color="FFD864" w:themeColor="accent4" w:themeTint="9A"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E5DFEC" w:fill="E5DFEC"/>
      </w:tcPr>
    </w:tblStylePr>
    <w:tblStylePr w:type="band1Horz">
      <w:rPr>
        <w:rFonts w:ascii="Arial" w:hAnsi="Arial"/>
        <w:color w:val="404040"/>
        <w:sz w:val="22"/>
      </w:rPr>
      <w:tcPr>
        <w:shd w:val="clear" w:color="E5DFEC" w:fill="E5DFEC"/>
      </w:tcPr>
    </w:tblStylePr>
  </w:style>
  <w:style w:type="table" w:customStyle="1" w:styleId="299">
    <w:name w:val="GridTable4-Accent50"/>
    <w:basedOn w:val="37"/>
    <w:qFormat/>
    <w:uiPriority w:val="59"/>
    <w:tblPr>
      <w:tblBorders>
        <w:top w:val="single" w:color="95AFDD" w:themeColor="accent5" w:themeTint="90" w:sz="4" w:space="0"/>
        <w:left w:val="single" w:color="95AFDD" w:themeColor="accent5" w:themeTint="90" w:sz="4" w:space="0"/>
        <w:bottom w:val="single" w:color="95AFDD" w:themeColor="accent5" w:themeTint="90" w:sz="4" w:space="0"/>
        <w:right w:val="single" w:color="95AFDD" w:themeColor="accent5" w:themeTint="90" w:sz="4" w:space="0"/>
        <w:insideH w:val="single" w:color="95AFDD" w:themeColor="accent5" w:themeTint="90" w:sz="4" w:space="0"/>
        <w:insideV w:val="single" w:color="95AFDD" w:themeColor="accent5" w:themeTint="90" w:sz="4" w:space="0"/>
      </w:tblBorders>
    </w:tblPr>
    <w:tblStylePr w:type="firstRow">
      <w:rPr>
        <w:rFonts w:ascii="Arial" w:hAnsi="Arial"/>
        <w:b/>
        <w:color w:val="FFFFFF"/>
        <w:sz w:val="22"/>
      </w:rPr>
      <w:tcPr>
        <w:tcBorders>
          <w:top w:val="single" w:color="4472C4" w:themeColor="accent5" w:sz="4" w:space="0"/>
          <w:left w:val="single" w:color="4472C4" w:themeColor="accent5" w:sz="4" w:space="0"/>
          <w:bottom w:val="single" w:color="4472C4" w:themeColor="accent5" w:sz="4" w:space="0"/>
          <w:right w:val="single" w:color="4472C4" w:themeColor="accent5" w:sz="4" w:space="0"/>
        </w:tcBorders>
        <w:shd w:val="clear" w:color="4BACC6" w:fill="4BACC6"/>
      </w:tcPr>
    </w:tblStylePr>
    <w:tblStylePr w:type="lastRow">
      <w:rPr>
        <w:b/>
        <w:color w:val="404040"/>
      </w:rPr>
      <w:tcPr>
        <w:tcBorders>
          <w:top w:val="single" w:color="4472C4" w:themeColor="accent5"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DAEEF3" w:fill="DAEEF3"/>
      </w:tcPr>
    </w:tblStylePr>
    <w:tblStylePr w:type="band1Horz">
      <w:rPr>
        <w:rFonts w:ascii="Arial" w:hAnsi="Arial"/>
        <w:color w:val="404040"/>
        <w:sz w:val="22"/>
      </w:rPr>
      <w:tcPr>
        <w:shd w:val="clear" w:color="DAEEF3" w:fill="DAEEF3"/>
      </w:tcPr>
    </w:tblStylePr>
  </w:style>
  <w:style w:type="table" w:customStyle="1" w:styleId="300">
    <w:name w:val="GridTable4-Accent60"/>
    <w:basedOn w:val="37"/>
    <w:qFormat/>
    <w:uiPriority w:val="59"/>
    <w:tblPr>
      <w:tblBorders>
        <w:top w:val="single" w:color="ADD394" w:themeColor="accent6" w:themeTint="90" w:sz="4" w:space="0"/>
        <w:left w:val="single" w:color="ADD394" w:themeColor="accent6" w:themeTint="90" w:sz="4" w:space="0"/>
        <w:bottom w:val="single" w:color="ADD394" w:themeColor="accent6" w:themeTint="90" w:sz="4" w:space="0"/>
        <w:right w:val="single" w:color="ADD394" w:themeColor="accent6" w:themeTint="90" w:sz="4" w:space="0"/>
        <w:insideH w:val="single" w:color="ADD394" w:themeColor="accent6" w:themeTint="90" w:sz="4" w:space="0"/>
        <w:insideV w:val="single" w:color="ADD394" w:themeColor="accent6" w:themeTint="90" w:sz="4" w:space="0"/>
      </w:tblBorders>
    </w:tblPr>
    <w:tblStylePr w:type="firstRow">
      <w:rPr>
        <w:rFonts w:ascii="Arial" w:hAnsi="Arial"/>
        <w:b/>
        <w:color w:val="FFFFFF"/>
        <w:sz w:val="22"/>
      </w:rPr>
      <w:tcPr>
        <w:tcBorders>
          <w:top w:val="single" w:color="70AD47" w:themeColor="accent6" w:sz="4" w:space="0"/>
          <w:left w:val="single" w:color="70AD47" w:themeColor="accent6" w:sz="4" w:space="0"/>
          <w:bottom w:val="single" w:color="70AD47" w:themeColor="accent6" w:sz="4" w:space="0"/>
          <w:right w:val="single" w:color="70AD47" w:themeColor="accent6" w:sz="4" w:space="0"/>
        </w:tcBorders>
        <w:shd w:val="clear" w:color="F79646" w:fill="F79646"/>
      </w:tcPr>
    </w:tblStylePr>
    <w:tblStylePr w:type="lastRow">
      <w:rPr>
        <w:b/>
        <w:color w:val="404040"/>
      </w:rPr>
      <w:tcPr>
        <w:tcBorders>
          <w:top w:val="single" w:color="70AD47" w:themeColor="accent6"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cPr>
        <w:shd w:val="clear" w:color="FDE9D9" w:fill="FDE9D9"/>
      </w:tcPr>
    </w:tblStylePr>
    <w:tblStylePr w:type="band1Horz">
      <w:rPr>
        <w:rFonts w:ascii="Arial" w:hAnsi="Arial"/>
        <w:color w:val="404040"/>
        <w:sz w:val="22"/>
      </w:rPr>
      <w:tcPr>
        <w:shd w:val="clear" w:color="FDE9D9" w:fill="FDE9D9"/>
      </w:tcPr>
    </w:tblStylePr>
  </w:style>
  <w:style w:type="table" w:customStyle="1" w:styleId="301">
    <w:name w:val="GridTable5Dark0"/>
    <w:basedOn w:val="37"/>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000000" w:fill="000000"/>
      </w:tcPr>
    </w:tblStylePr>
    <w:tblStylePr w:type="lastRow">
      <w:rPr>
        <w:rFonts w:ascii="Arial" w:hAnsi="Arial"/>
        <w:b/>
        <w:color w:val="FFFFFF"/>
        <w:sz w:val="22"/>
      </w:rPr>
      <w:tcPr>
        <w:tcBorders>
          <w:top w:val="single" w:color="FFFFFF" w:themeColor="light1" w:sz="4" w:space="0"/>
        </w:tcBorders>
        <w:shd w:val="clear" w:color="000000" w:fill="000000"/>
      </w:tcPr>
    </w:tblStylePr>
    <w:tblStylePr w:type="firstCol">
      <w:rPr>
        <w:rFonts w:ascii="Arial" w:hAnsi="Arial"/>
        <w:b/>
        <w:color w:val="FFFFFF"/>
        <w:sz w:val="22"/>
      </w:rPr>
      <w:tcPr>
        <w:shd w:val="clear" w:color="000000" w:fill="000000"/>
      </w:tcPr>
    </w:tblStylePr>
    <w:tblStylePr w:type="lastCol">
      <w:rPr>
        <w:rFonts w:ascii="Arial" w:hAnsi="Arial"/>
        <w:b/>
        <w:color w:val="FFFFFF"/>
        <w:sz w:val="22"/>
      </w:rPr>
      <w:tcPr>
        <w:shd w:val="clear" w:color="000000" w:fill="000000"/>
      </w:tcPr>
    </w:tblStylePr>
    <w:tblStylePr w:type="band1Vert">
      <w:tcPr>
        <w:shd w:val="clear" w:color="898989" w:fill="898989"/>
      </w:tcPr>
    </w:tblStylePr>
    <w:tblStylePr w:type="band1Horz">
      <w:tcPr>
        <w:shd w:val="clear" w:color="898989" w:fill="898989"/>
      </w:tcPr>
    </w:tblStylePr>
  </w:style>
  <w:style w:type="table" w:customStyle="1" w:styleId="302">
    <w:name w:val="GridTable5Dark-Accent10"/>
    <w:basedOn w:val="37"/>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4F81BD" w:fill="4F81BD"/>
      </w:tcPr>
    </w:tblStylePr>
    <w:tblStylePr w:type="lastRow">
      <w:rPr>
        <w:rFonts w:ascii="Arial" w:hAnsi="Arial"/>
        <w:b/>
        <w:color w:val="FFFFFF"/>
        <w:sz w:val="22"/>
      </w:rPr>
      <w:tcPr>
        <w:tcBorders>
          <w:top w:val="single" w:color="FFFFFF" w:themeColor="light1" w:sz="4" w:space="0"/>
        </w:tcBorders>
        <w:shd w:val="clear" w:color="4F81BD" w:fill="4F81BD"/>
      </w:tcPr>
    </w:tblStylePr>
    <w:tblStylePr w:type="firstCol">
      <w:rPr>
        <w:rFonts w:ascii="Arial" w:hAnsi="Arial"/>
        <w:b/>
        <w:color w:val="FFFFFF"/>
        <w:sz w:val="22"/>
      </w:rPr>
      <w:tcPr>
        <w:shd w:val="clear" w:color="4F81BD" w:fill="4F81BD"/>
      </w:tcPr>
    </w:tblStylePr>
    <w:tblStylePr w:type="lastCol">
      <w:rPr>
        <w:rFonts w:ascii="Arial" w:hAnsi="Arial"/>
        <w:b/>
        <w:color w:val="FFFFFF"/>
        <w:sz w:val="22"/>
      </w:rPr>
      <w:tcPr>
        <w:shd w:val="clear" w:color="4F81BD" w:fill="4F81BD"/>
      </w:tcPr>
    </w:tblStylePr>
    <w:tblStylePr w:type="band1Vert">
      <w:tcPr>
        <w:shd w:val="clear" w:color="AEC5E0" w:fill="AEC5E0"/>
      </w:tcPr>
    </w:tblStylePr>
    <w:tblStylePr w:type="band1Horz">
      <w:tcPr>
        <w:shd w:val="clear" w:color="AEC5E0" w:fill="AEC5E0"/>
      </w:tcPr>
    </w:tblStylePr>
  </w:style>
  <w:style w:type="table" w:customStyle="1" w:styleId="303">
    <w:name w:val="GridTable5Dark-Accent20"/>
    <w:basedOn w:val="37"/>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C0504D" w:fill="C0504D"/>
      </w:tcPr>
    </w:tblStylePr>
    <w:tblStylePr w:type="lastRow">
      <w:rPr>
        <w:rFonts w:ascii="Arial" w:hAnsi="Arial"/>
        <w:b/>
        <w:color w:val="FFFFFF"/>
        <w:sz w:val="22"/>
      </w:rPr>
      <w:tcPr>
        <w:tcBorders>
          <w:top w:val="single" w:color="FFFFFF" w:themeColor="light1" w:sz="4" w:space="0"/>
        </w:tcBorders>
        <w:shd w:val="clear" w:color="C0504D" w:fill="C0504D"/>
      </w:tcPr>
    </w:tblStylePr>
    <w:tblStylePr w:type="firstCol">
      <w:rPr>
        <w:rFonts w:ascii="Arial" w:hAnsi="Arial"/>
        <w:b/>
        <w:color w:val="FFFFFF"/>
        <w:sz w:val="22"/>
      </w:rPr>
      <w:tcPr>
        <w:shd w:val="clear" w:color="C0504D" w:fill="C0504D"/>
      </w:tcPr>
    </w:tblStylePr>
    <w:tblStylePr w:type="lastCol">
      <w:rPr>
        <w:rFonts w:ascii="Arial" w:hAnsi="Arial"/>
        <w:b/>
        <w:color w:val="FFFFFF"/>
        <w:sz w:val="22"/>
      </w:rPr>
      <w:tcPr>
        <w:shd w:val="clear" w:color="C0504D" w:fill="C0504D"/>
      </w:tcPr>
    </w:tblStylePr>
    <w:tblStylePr w:type="band1Vert">
      <w:tcPr>
        <w:shd w:val="clear" w:color="E2AEAD" w:fill="E2AEAD"/>
      </w:tcPr>
    </w:tblStylePr>
    <w:tblStylePr w:type="band1Horz">
      <w:tcPr>
        <w:shd w:val="clear" w:color="E2AEAD" w:fill="E2AEAD"/>
      </w:tcPr>
    </w:tblStylePr>
  </w:style>
  <w:style w:type="table" w:customStyle="1" w:styleId="304">
    <w:name w:val="GridTable5Dark-Accent30"/>
    <w:basedOn w:val="37"/>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9BBB59" w:fill="9BBB59"/>
      </w:tcPr>
    </w:tblStylePr>
    <w:tblStylePr w:type="lastRow">
      <w:rPr>
        <w:rFonts w:ascii="Arial" w:hAnsi="Arial"/>
        <w:b/>
        <w:color w:val="FFFFFF"/>
        <w:sz w:val="22"/>
      </w:rPr>
      <w:tcPr>
        <w:tcBorders>
          <w:top w:val="single" w:color="FFFFFF" w:themeColor="light1" w:sz="4" w:space="0"/>
        </w:tcBorders>
        <w:shd w:val="clear" w:color="9BBB59" w:fill="9BBB59"/>
      </w:tcPr>
    </w:tblStylePr>
    <w:tblStylePr w:type="firstCol">
      <w:rPr>
        <w:rFonts w:ascii="Arial" w:hAnsi="Arial"/>
        <w:b/>
        <w:color w:val="FFFFFF"/>
        <w:sz w:val="22"/>
      </w:rPr>
      <w:tcPr>
        <w:shd w:val="clear" w:color="9BBB59" w:fill="9BBB59"/>
      </w:tcPr>
    </w:tblStylePr>
    <w:tblStylePr w:type="lastCol">
      <w:rPr>
        <w:rFonts w:ascii="Arial" w:hAnsi="Arial"/>
        <w:b/>
        <w:color w:val="FFFFFF"/>
        <w:sz w:val="22"/>
      </w:rPr>
      <w:tcPr>
        <w:shd w:val="clear" w:color="9BBB59" w:fill="9BBB59"/>
      </w:tcPr>
    </w:tblStylePr>
    <w:tblStylePr w:type="band1Vert">
      <w:tcPr>
        <w:shd w:val="clear" w:color="D1DFB2" w:fill="D1DFB2"/>
      </w:tcPr>
    </w:tblStylePr>
    <w:tblStylePr w:type="band1Horz">
      <w:tcPr>
        <w:shd w:val="clear" w:color="D1DFB2" w:fill="D1DFB2"/>
      </w:tcPr>
    </w:tblStylePr>
  </w:style>
  <w:style w:type="table" w:customStyle="1" w:styleId="305">
    <w:name w:val="GridTable5Dark-Accent40"/>
    <w:basedOn w:val="37"/>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8064A2" w:fill="8064A2"/>
      </w:tcPr>
    </w:tblStylePr>
    <w:tblStylePr w:type="lastRow">
      <w:rPr>
        <w:rFonts w:ascii="Arial" w:hAnsi="Arial"/>
        <w:b/>
        <w:color w:val="FFFFFF"/>
        <w:sz w:val="22"/>
      </w:rPr>
      <w:tcPr>
        <w:tcBorders>
          <w:top w:val="single" w:color="FFFFFF" w:themeColor="light1" w:sz="4" w:space="0"/>
        </w:tcBorders>
        <w:shd w:val="clear" w:color="8064A2" w:fill="8064A2"/>
      </w:tcPr>
    </w:tblStylePr>
    <w:tblStylePr w:type="firstCol">
      <w:rPr>
        <w:rFonts w:ascii="Arial" w:hAnsi="Arial"/>
        <w:b/>
        <w:color w:val="FFFFFF"/>
        <w:sz w:val="22"/>
      </w:rPr>
      <w:tcPr>
        <w:shd w:val="clear" w:color="8064A2" w:fill="8064A2"/>
      </w:tcPr>
    </w:tblStylePr>
    <w:tblStylePr w:type="lastCol">
      <w:rPr>
        <w:rFonts w:ascii="Arial" w:hAnsi="Arial"/>
        <w:b/>
        <w:color w:val="FFFFFF"/>
        <w:sz w:val="22"/>
      </w:rPr>
      <w:tcPr>
        <w:shd w:val="clear" w:color="8064A2" w:fill="8064A2"/>
      </w:tcPr>
    </w:tblStylePr>
    <w:tblStylePr w:type="band1Vert">
      <w:tcPr>
        <w:shd w:val="clear" w:color="C4B7D4" w:fill="C4B7D4"/>
      </w:tcPr>
    </w:tblStylePr>
    <w:tblStylePr w:type="band1Horz">
      <w:tcPr>
        <w:shd w:val="clear" w:color="C4B7D4" w:fill="C4B7D4"/>
      </w:tcPr>
    </w:tblStylePr>
  </w:style>
  <w:style w:type="table" w:customStyle="1" w:styleId="306">
    <w:name w:val="GridTable5Dark-Accent50"/>
    <w:basedOn w:val="37"/>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4BACC6" w:fill="4BACC6"/>
      </w:tcPr>
    </w:tblStylePr>
    <w:tblStylePr w:type="lastRow">
      <w:rPr>
        <w:rFonts w:ascii="Arial" w:hAnsi="Arial"/>
        <w:b/>
        <w:color w:val="FFFFFF"/>
        <w:sz w:val="22"/>
      </w:rPr>
      <w:tcPr>
        <w:tcBorders>
          <w:top w:val="single" w:color="FFFFFF" w:themeColor="light1" w:sz="4" w:space="0"/>
        </w:tcBorders>
        <w:shd w:val="clear" w:color="4BACC6" w:fill="4BACC6"/>
      </w:tcPr>
    </w:tblStylePr>
    <w:tblStylePr w:type="firstCol">
      <w:rPr>
        <w:rFonts w:ascii="Arial" w:hAnsi="Arial"/>
        <w:b/>
        <w:color w:val="FFFFFF"/>
        <w:sz w:val="22"/>
      </w:rPr>
      <w:tcPr>
        <w:shd w:val="clear" w:color="4BACC6" w:fill="4BACC6"/>
      </w:tcPr>
    </w:tblStylePr>
    <w:tblStylePr w:type="lastCol">
      <w:rPr>
        <w:rFonts w:ascii="Arial" w:hAnsi="Arial"/>
        <w:b/>
        <w:color w:val="FFFFFF"/>
        <w:sz w:val="22"/>
      </w:rPr>
      <w:tcPr>
        <w:shd w:val="clear" w:color="4BACC6" w:fill="4BACC6"/>
      </w:tcPr>
    </w:tblStylePr>
    <w:tblStylePr w:type="band1Vert">
      <w:tcPr>
        <w:shd w:val="clear" w:color="ACD8E4" w:fill="ACD8E4"/>
      </w:tcPr>
    </w:tblStylePr>
    <w:tblStylePr w:type="band1Horz">
      <w:tcPr>
        <w:shd w:val="clear" w:color="ACD8E4" w:fill="ACD8E4"/>
      </w:tcPr>
    </w:tblStylePr>
  </w:style>
  <w:style w:type="table" w:customStyle="1" w:styleId="307">
    <w:name w:val="GridTable5Dark-Accent60"/>
    <w:basedOn w:val="37"/>
    <w:qFormat/>
    <w:uiPriority w:val="99"/>
    <w:tblPr>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tblPr>
    <w:tblStylePr w:type="firstRow">
      <w:rPr>
        <w:rFonts w:ascii="Arial" w:hAnsi="Arial"/>
        <w:b/>
        <w:color w:val="FFFFFF"/>
        <w:sz w:val="22"/>
      </w:rPr>
      <w:tcPr>
        <w:shd w:val="clear" w:color="F79646" w:fill="F79646"/>
      </w:tcPr>
    </w:tblStylePr>
    <w:tblStylePr w:type="lastRow">
      <w:rPr>
        <w:rFonts w:ascii="Arial" w:hAnsi="Arial"/>
        <w:b/>
        <w:color w:val="FFFFFF"/>
        <w:sz w:val="22"/>
      </w:rPr>
      <w:tcPr>
        <w:tcBorders>
          <w:top w:val="single" w:color="FFFFFF" w:themeColor="light1" w:sz="4" w:space="0"/>
        </w:tcBorders>
        <w:shd w:val="clear" w:color="F79646" w:fill="F79646"/>
      </w:tcPr>
    </w:tblStylePr>
    <w:tblStylePr w:type="firstCol">
      <w:rPr>
        <w:rFonts w:ascii="Arial" w:hAnsi="Arial"/>
        <w:b/>
        <w:color w:val="FFFFFF"/>
        <w:sz w:val="22"/>
      </w:rPr>
      <w:tcPr>
        <w:shd w:val="clear" w:color="F79646" w:fill="F79646"/>
      </w:tcPr>
    </w:tblStylePr>
    <w:tblStylePr w:type="lastCol">
      <w:rPr>
        <w:rFonts w:ascii="Arial" w:hAnsi="Arial"/>
        <w:b/>
        <w:color w:val="FFFFFF"/>
        <w:sz w:val="22"/>
      </w:rPr>
      <w:tcPr>
        <w:shd w:val="clear" w:color="F79646" w:fill="F79646"/>
      </w:tcPr>
    </w:tblStylePr>
    <w:tblStylePr w:type="band1Vert">
      <w:tcPr>
        <w:shd w:val="clear" w:color="FBCEAA" w:fill="FBCEAA"/>
      </w:tcPr>
    </w:tblStylePr>
    <w:tblStylePr w:type="band1Horz">
      <w:tcPr>
        <w:shd w:val="clear" w:color="FBCEAA" w:fill="FBCEAA"/>
      </w:tcPr>
    </w:tblStylePr>
  </w:style>
  <w:style w:type="table" w:customStyle="1" w:styleId="308">
    <w:name w:val="GridTable6Colorful0"/>
    <w:basedOn w:val="37"/>
    <w:qFormat/>
    <w:uiPriority w:val="99"/>
    <w:tblPr>
      <w:tblBorders>
        <w:top w:val="single" w:color="7E7E7E" w:themeColor="text1" w:themeTint="80" w:sz="4" w:space="0"/>
        <w:left w:val="single" w:color="7E7E7E" w:themeColor="text1" w:themeTint="80" w:sz="4" w:space="0"/>
        <w:bottom w:val="single" w:color="7E7E7E" w:themeColor="text1" w:themeTint="80" w:sz="4" w:space="0"/>
        <w:right w:val="single" w:color="7E7E7E" w:themeColor="text1" w:themeTint="80" w:sz="4" w:space="0"/>
        <w:insideH w:val="single" w:color="7E7E7E" w:themeColor="text1" w:themeTint="80" w:sz="4" w:space="0"/>
        <w:insideV w:val="single" w:color="7E7E7E" w:themeColor="text1" w:themeTint="80" w:sz="4" w:space="0"/>
      </w:tblBorders>
    </w:tblPr>
    <w:tblStylePr w:type="firstRow">
      <w:rPr>
        <w:b/>
        <w:color w:val="808080" w:themeColor="text1" w:themeTint="80"/>
        <w14:textFill>
          <w14:solidFill>
            <w14:schemeClr w14:val="tx1">
              <w14:lumMod w14:val="50000"/>
              <w14:lumOff w14:val="50000"/>
            </w14:schemeClr>
          </w14:solidFill>
        </w14:textFill>
      </w:rPr>
      <w:tcPr>
        <w:tcBorders>
          <w:bottom w:val="single" w:color="7E7E7E" w:themeColor="text1" w:themeTint="80" w:sz="12" w:space="0"/>
        </w:tcBorders>
      </w:tcPr>
    </w:tblStylePr>
    <w:tblStylePr w:type="lastRow">
      <w:rPr>
        <w:b/>
        <w:color w:val="808080" w:themeColor="text1" w:themeTint="80"/>
        <w14:textFill>
          <w14:solidFill>
            <w14:schemeClr w14:val="tx1">
              <w14:lumMod w14:val="50000"/>
              <w14:lumOff w14:val="50000"/>
            </w14:schemeClr>
          </w14:solidFill>
        </w14:textFill>
      </w:rPr>
    </w:tblStylePr>
    <w:tblStylePr w:type="firstCol">
      <w:rPr>
        <w:b/>
        <w:color w:val="808080" w:themeColor="text1" w:themeTint="80"/>
        <w14:textFill>
          <w14:solidFill>
            <w14:schemeClr w14:val="tx1">
              <w14:lumMod w14:val="50000"/>
              <w14:lumOff w14:val="50000"/>
            </w14:schemeClr>
          </w14:solidFill>
        </w14:textFill>
      </w:rPr>
    </w:tblStylePr>
    <w:tblStylePr w:type="lastCol">
      <w:rPr>
        <w:b/>
        <w:color w:val="808080" w:themeColor="text1" w:themeTint="80"/>
        <w14:textFill>
          <w14:solidFill>
            <w14:schemeClr w14:val="tx1">
              <w14:lumMod w14:val="50000"/>
              <w14:lumOff w14:val="50000"/>
            </w14:schemeClr>
          </w14:solidFill>
        </w14:textFill>
      </w:rPr>
    </w:tblStylePr>
    <w:tblStylePr w:type="band1Vert">
      <w:tcPr>
        <w:shd w:val="clear" w:color="CACACA" w:fill="CACACA"/>
      </w:tcPr>
    </w:tblStylePr>
    <w:tblStylePr w:type="band1Horz">
      <w:rPr>
        <w:rFonts w:ascii="Arial" w:hAnsi="Arial"/>
        <w:color w:val="808080" w:themeColor="text1" w:themeTint="80"/>
        <w:sz w:val="22"/>
        <w14:textFill>
          <w14:solidFill>
            <w14:schemeClr w14:val="tx1">
              <w14:lumMod w14:val="50000"/>
              <w14:lumOff w14:val="50000"/>
            </w14:schemeClr>
          </w14:solidFill>
        </w14:textFill>
      </w:rPr>
      <w:tcPr>
        <w:shd w:val="clear" w:color="CACACA" w:fill="CACACA"/>
      </w:tcPr>
    </w:tblStylePr>
    <w:tblStylePr w:type="band2Horz">
      <w:rPr>
        <w:rFonts w:ascii="Arial" w:hAnsi="Arial"/>
        <w:color w:val="808080" w:themeColor="text1" w:themeTint="80"/>
        <w:sz w:val="22"/>
        <w14:textFill>
          <w14:solidFill>
            <w14:schemeClr w14:val="tx1">
              <w14:lumMod w14:val="50000"/>
              <w14:lumOff w14:val="50000"/>
            </w14:schemeClr>
          </w14:solidFill>
        </w14:textFill>
      </w:rPr>
    </w:tblStylePr>
  </w:style>
  <w:style w:type="table" w:customStyle="1" w:styleId="309">
    <w:name w:val="GridTable6Colorful-Accent10"/>
    <w:basedOn w:val="37"/>
    <w:qFormat/>
    <w:uiPriority w:val="99"/>
    <w:tblPr>
      <w:tblBorders>
        <w:top w:val="single" w:color="ACCCE9" w:themeColor="accent1" w:themeTint="80" w:sz="4" w:space="0"/>
        <w:left w:val="single" w:color="ACCCE9" w:themeColor="accent1" w:themeTint="80" w:sz="4" w:space="0"/>
        <w:bottom w:val="single" w:color="ACCCE9" w:themeColor="accent1" w:themeTint="80" w:sz="4" w:space="0"/>
        <w:right w:val="single" w:color="ACCCE9" w:themeColor="accent1" w:themeTint="80" w:sz="4" w:space="0"/>
        <w:insideH w:val="single" w:color="ACCCE9" w:themeColor="accent1" w:themeTint="80" w:sz="4" w:space="0"/>
        <w:insideV w:val="single" w:color="ACCCE9" w:themeColor="accent1" w:themeTint="80" w:sz="4" w:space="0"/>
      </w:tblBorders>
    </w:tblPr>
    <w:tblStylePr w:type="firstRow">
      <w:rPr>
        <w:b/>
        <w:color w:val="ADCDEA" w:themeColor="accent1" w:themeTint="80"/>
        <w14:textFill>
          <w14:solidFill>
            <w14:schemeClr w14:val="accent1">
              <w14:lumMod w14:val="50000"/>
              <w14:lumOff w14:val="50000"/>
            </w14:schemeClr>
          </w14:solidFill>
        </w14:textFill>
      </w:rPr>
      <w:tcPr>
        <w:tcBorders>
          <w:bottom w:val="single" w:color="ACCCE9" w:themeColor="accent1" w:themeTint="80" w:sz="12" w:space="0"/>
        </w:tcBorders>
      </w:tcPr>
    </w:tblStylePr>
    <w:tblStylePr w:type="lastRow">
      <w:rPr>
        <w:b/>
        <w:color w:val="ADCDEA" w:themeColor="accent1" w:themeTint="80"/>
        <w14:textFill>
          <w14:solidFill>
            <w14:schemeClr w14:val="accent1">
              <w14:lumMod w14:val="50000"/>
              <w14:lumOff w14:val="50000"/>
            </w14:schemeClr>
          </w14:solidFill>
        </w14:textFill>
      </w:rPr>
    </w:tblStylePr>
    <w:tblStylePr w:type="firstCol">
      <w:rPr>
        <w:b/>
        <w:color w:val="ADCDEA" w:themeColor="accent1" w:themeTint="80"/>
        <w14:textFill>
          <w14:solidFill>
            <w14:schemeClr w14:val="accent1">
              <w14:lumMod w14:val="50000"/>
              <w14:lumOff w14:val="50000"/>
            </w14:schemeClr>
          </w14:solidFill>
        </w14:textFill>
      </w:rPr>
    </w:tblStylePr>
    <w:tblStylePr w:type="lastCol">
      <w:rPr>
        <w:b/>
        <w:color w:val="ADCDEA" w:themeColor="accent1" w:themeTint="80"/>
        <w14:textFill>
          <w14:solidFill>
            <w14:schemeClr w14:val="accent1">
              <w14:lumMod w14:val="50000"/>
              <w14:lumOff w14:val="50000"/>
            </w14:schemeClr>
          </w14:solidFill>
        </w14:textFill>
      </w:rPr>
    </w:tblStylePr>
    <w:tblStylePr w:type="band1Vert">
      <w:tcPr>
        <w:shd w:val="clear" w:color="DBE5F1" w:fill="DBE5F1"/>
      </w:tcPr>
    </w:tblStylePr>
    <w:tblStylePr w:type="band1Horz">
      <w:rPr>
        <w:rFonts w:ascii="Arial" w:hAnsi="Arial"/>
        <w:color w:val="ADCDEA" w:themeColor="accent1" w:themeTint="80"/>
        <w:sz w:val="22"/>
        <w14:textFill>
          <w14:solidFill>
            <w14:schemeClr w14:val="accent1">
              <w14:lumMod w14:val="50000"/>
              <w14:lumOff w14:val="50000"/>
            </w14:schemeClr>
          </w14:solidFill>
        </w14:textFill>
      </w:rPr>
      <w:tcPr>
        <w:shd w:val="clear" w:color="DBE5F1" w:fill="DBE5F1"/>
      </w:tcPr>
    </w:tblStylePr>
    <w:tblStylePr w:type="band2Horz">
      <w:rPr>
        <w:rFonts w:ascii="Arial" w:hAnsi="Arial"/>
        <w:color w:val="ADCDEA" w:themeColor="accent1" w:themeTint="80"/>
        <w:sz w:val="22"/>
        <w14:textFill>
          <w14:solidFill>
            <w14:schemeClr w14:val="accent1">
              <w14:lumMod w14:val="50000"/>
              <w14:lumOff w14:val="50000"/>
            </w14:schemeClr>
          </w14:solidFill>
        </w14:textFill>
      </w:rPr>
    </w:tblStylePr>
  </w:style>
  <w:style w:type="table" w:customStyle="1" w:styleId="310">
    <w:name w:val="GridTable6Colorful-Accent20"/>
    <w:basedOn w:val="37"/>
    <w:qFormat/>
    <w:uiPriority w:val="99"/>
    <w:tblPr>
      <w:tblBorders>
        <w:top w:val="single" w:color="F4B285" w:themeColor="accent2" w:themeTint="97" w:sz="4" w:space="0"/>
        <w:left w:val="single" w:color="F4B285" w:themeColor="accent2" w:themeTint="97" w:sz="4" w:space="0"/>
        <w:bottom w:val="single" w:color="F4B285" w:themeColor="accent2" w:themeTint="97" w:sz="4" w:space="0"/>
        <w:right w:val="single" w:color="F4B285" w:themeColor="accent2" w:themeTint="97" w:sz="4" w:space="0"/>
        <w:insideH w:val="single" w:color="F4B285" w:themeColor="accent2" w:themeTint="97" w:sz="4" w:space="0"/>
        <w:insideV w:val="single" w:color="F4B285" w:themeColor="accent2" w:themeTint="97" w:sz="4" w:space="0"/>
      </w:tblBorders>
    </w:tblPr>
    <w:tblStylePr w:type="firstRow">
      <w:rPr>
        <w:b/>
        <w:color w:val="F4B285" w:themeColor="accent2" w:themeTint="96"/>
        <w14:textFill>
          <w14:solidFill>
            <w14:schemeClr w14:val="accent2">
              <w14:lumMod w14:val="59000"/>
              <w14:lumOff w14:val="41000"/>
            </w14:schemeClr>
          </w14:solidFill>
        </w14:textFill>
      </w:rPr>
      <w:tcPr>
        <w:tcBorders>
          <w:bottom w:val="single" w:color="F4B285" w:themeColor="accent2" w:themeTint="97" w:sz="12" w:space="0"/>
        </w:tcBorders>
      </w:tcPr>
    </w:tblStylePr>
    <w:tblStylePr w:type="lastRow">
      <w:rPr>
        <w:b/>
        <w:color w:val="F4B285" w:themeColor="accent2" w:themeTint="96"/>
        <w14:textFill>
          <w14:solidFill>
            <w14:schemeClr w14:val="accent2">
              <w14:lumMod w14:val="59000"/>
              <w14:lumOff w14:val="41000"/>
            </w14:schemeClr>
          </w14:solidFill>
        </w14:textFill>
      </w:rPr>
    </w:tblStylePr>
    <w:tblStylePr w:type="firstCol">
      <w:rPr>
        <w:b/>
        <w:color w:val="F4B285" w:themeColor="accent2" w:themeTint="96"/>
        <w14:textFill>
          <w14:solidFill>
            <w14:schemeClr w14:val="accent2">
              <w14:lumMod w14:val="59000"/>
              <w14:lumOff w14:val="41000"/>
            </w14:schemeClr>
          </w14:solidFill>
        </w14:textFill>
      </w:rPr>
    </w:tblStylePr>
    <w:tblStylePr w:type="lastCol">
      <w:rPr>
        <w:b/>
        <w:color w:val="F4B285" w:themeColor="accent2" w:themeTint="96"/>
        <w14:textFill>
          <w14:solidFill>
            <w14:schemeClr w14:val="accent2">
              <w14:lumMod w14:val="59000"/>
              <w14:lumOff w14:val="41000"/>
            </w14:schemeClr>
          </w14:solidFill>
        </w14:textFill>
      </w:rPr>
    </w:tblStylePr>
    <w:tblStylePr w:type="band1Vert">
      <w:tcPr>
        <w:shd w:val="clear" w:color="F2DCDC" w:fill="F2DCDC"/>
      </w:tcPr>
    </w:tblStylePr>
    <w:tblStylePr w:type="band1Horz">
      <w:rPr>
        <w:rFonts w:ascii="Arial" w:hAnsi="Arial"/>
        <w:color w:val="F4B285" w:themeColor="accent2" w:themeTint="96"/>
        <w:sz w:val="22"/>
        <w14:textFill>
          <w14:solidFill>
            <w14:schemeClr w14:val="accent2">
              <w14:lumMod w14:val="59000"/>
              <w14:lumOff w14:val="41000"/>
            </w14:schemeClr>
          </w14:solidFill>
        </w14:textFill>
      </w:rPr>
      <w:tcPr>
        <w:shd w:val="clear" w:color="F2DCDC" w:fill="F2DCDC"/>
      </w:tcPr>
    </w:tblStylePr>
    <w:tblStylePr w:type="band2Horz">
      <w:rPr>
        <w:rFonts w:ascii="Arial" w:hAnsi="Arial"/>
        <w:color w:val="F4B285" w:themeColor="accent2" w:themeTint="96"/>
        <w:sz w:val="22"/>
        <w14:textFill>
          <w14:solidFill>
            <w14:schemeClr w14:val="accent2">
              <w14:lumMod w14:val="59000"/>
              <w14:lumOff w14:val="41000"/>
            </w14:schemeClr>
          </w14:solidFill>
        </w14:textFill>
      </w:rPr>
    </w:tblStylePr>
  </w:style>
  <w:style w:type="table" w:customStyle="1" w:styleId="311">
    <w:name w:val="GridTable6Colorful-Accent30"/>
    <w:basedOn w:val="37"/>
    <w:qFormat/>
    <w:uiPriority w:val="99"/>
    <w:tblPr>
      <w:tblBorders>
        <w:top w:val="single" w:color="A5A5A5" w:themeColor="accent3" w:themeTint="FE" w:sz="4" w:space="0"/>
        <w:left w:val="single" w:color="A5A5A5" w:themeColor="accent3" w:themeTint="FE" w:sz="4" w:space="0"/>
        <w:bottom w:val="single" w:color="A5A5A5" w:themeColor="accent3" w:themeTint="FE" w:sz="4" w:space="0"/>
        <w:right w:val="single" w:color="A5A5A5" w:themeColor="accent3" w:themeTint="FE" w:sz="4" w:space="0"/>
        <w:insideH w:val="single" w:color="A5A5A5" w:themeColor="accent3" w:themeTint="FE" w:sz="4" w:space="0"/>
        <w:insideV w:val="single" w:color="A5A5A5" w:themeColor="accent3" w:themeTint="FE" w:sz="4" w:space="0"/>
      </w:tblBorders>
    </w:tblPr>
    <w:tblStylePr w:type="firstRow">
      <w:rPr>
        <w:b/>
        <w:color w:val="A5A5A5" w:themeColor="accent3"/>
        <w14:textFill>
          <w14:solidFill>
            <w14:schemeClr w14:val="accent3"/>
          </w14:solidFill>
        </w14:textFill>
      </w:rPr>
      <w:tcPr>
        <w:tcBorders>
          <w:bottom w:val="single" w:color="A5A5A5" w:themeColor="accent3" w:themeTint="FE" w:sz="12" w:space="0"/>
        </w:tcBorders>
      </w:tcPr>
    </w:tblStylePr>
    <w:tblStylePr w:type="lastRow">
      <w:rPr>
        <w:b/>
        <w:color w:val="A5A5A5" w:themeColor="accent3"/>
        <w14:textFill>
          <w14:solidFill>
            <w14:schemeClr w14:val="accent3"/>
          </w14:solidFill>
        </w14:textFill>
      </w:rPr>
    </w:tblStylePr>
    <w:tblStylePr w:type="firstCol">
      <w:rPr>
        <w:b/>
        <w:color w:val="A5A5A5" w:themeColor="accent3"/>
        <w14:textFill>
          <w14:solidFill>
            <w14:schemeClr w14:val="accent3"/>
          </w14:solidFill>
        </w14:textFill>
      </w:rPr>
    </w:tblStylePr>
    <w:tblStylePr w:type="lastCol">
      <w:rPr>
        <w:b/>
        <w:color w:val="A5A5A5" w:themeColor="accent3"/>
        <w14:textFill>
          <w14:solidFill>
            <w14:schemeClr w14:val="accent3"/>
          </w14:solidFill>
        </w14:textFill>
      </w:rPr>
    </w:tblStylePr>
    <w:tblStylePr w:type="band1Vert">
      <w:tcPr>
        <w:shd w:val="clear" w:color="EAF1DD" w:fill="EAF1DD"/>
      </w:tcPr>
    </w:tblStylePr>
    <w:tblStylePr w:type="band1Horz">
      <w:rPr>
        <w:rFonts w:ascii="Arial" w:hAnsi="Arial"/>
        <w:color w:val="A5A5A5" w:themeColor="accent3"/>
        <w:sz w:val="22"/>
        <w14:textFill>
          <w14:solidFill>
            <w14:schemeClr w14:val="accent3"/>
          </w14:solidFill>
        </w14:textFill>
      </w:rPr>
      <w:tcPr>
        <w:shd w:val="clear" w:color="EAF1DD" w:fill="EAF1DD"/>
      </w:tcPr>
    </w:tblStylePr>
    <w:tblStylePr w:type="band2Horz">
      <w:rPr>
        <w:rFonts w:ascii="Arial" w:hAnsi="Arial"/>
        <w:color w:val="A5A5A5" w:themeColor="accent3"/>
        <w:sz w:val="22"/>
        <w14:textFill>
          <w14:solidFill>
            <w14:schemeClr w14:val="accent3"/>
          </w14:solidFill>
        </w14:textFill>
      </w:rPr>
    </w:tblStylePr>
  </w:style>
  <w:style w:type="table" w:customStyle="1" w:styleId="312">
    <w:name w:val="GridTable6Colorful-Accent40"/>
    <w:basedOn w:val="37"/>
    <w:qFormat/>
    <w:uiPriority w:val="99"/>
    <w:tblPr>
      <w:tblBorders>
        <w:top w:val="single" w:color="FFD864" w:themeColor="accent4" w:themeTint="9A" w:sz="4" w:space="0"/>
        <w:left w:val="single" w:color="FFD864" w:themeColor="accent4" w:themeTint="9A" w:sz="4" w:space="0"/>
        <w:bottom w:val="single" w:color="FFD864" w:themeColor="accent4" w:themeTint="9A" w:sz="4" w:space="0"/>
        <w:right w:val="single" w:color="FFD864" w:themeColor="accent4" w:themeTint="9A" w:sz="4" w:space="0"/>
        <w:insideH w:val="single" w:color="FFD864" w:themeColor="accent4" w:themeTint="9A" w:sz="4" w:space="0"/>
        <w:insideV w:val="single" w:color="FFD864" w:themeColor="accent4" w:themeTint="9A" w:sz="4" w:space="0"/>
      </w:tblBorders>
    </w:tblPr>
    <w:tblStylePr w:type="firstRow">
      <w:rPr>
        <w:b/>
        <w:color w:val="FFD966" w:themeColor="accent4" w:themeTint="99"/>
        <w14:textFill>
          <w14:solidFill>
            <w14:schemeClr w14:val="accent4">
              <w14:lumMod w14:val="60000"/>
              <w14:lumOff w14:val="40000"/>
            </w14:schemeClr>
          </w14:solidFill>
        </w14:textFill>
      </w:rPr>
      <w:tcPr>
        <w:tcBorders>
          <w:bottom w:val="single" w:color="FFD864" w:themeColor="accent4" w:themeTint="9A" w:sz="12" w:space="0"/>
        </w:tcBorders>
      </w:tcPr>
    </w:tblStylePr>
    <w:tblStylePr w:type="lastRow">
      <w:rPr>
        <w:b/>
        <w:color w:val="FFD966" w:themeColor="accent4" w:themeTint="99"/>
        <w14:textFill>
          <w14:solidFill>
            <w14:schemeClr w14:val="accent4">
              <w14:lumMod w14:val="60000"/>
              <w14:lumOff w14:val="40000"/>
            </w14:schemeClr>
          </w14:solidFill>
        </w14:textFill>
      </w:rPr>
    </w:tblStylePr>
    <w:tblStylePr w:type="firstCol">
      <w:rPr>
        <w:b/>
        <w:color w:val="FFD966" w:themeColor="accent4" w:themeTint="99"/>
        <w14:textFill>
          <w14:solidFill>
            <w14:schemeClr w14:val="accent4">
              <w14:lumMod w14:val="60000"/>
              <w14:lumOff w14:val="40000"/>
            </w14:schemeClr>
          </w14:solidFill>
        </w14:textFill>
      </w:rPr>
    </w:tblStylePr>
    <w:tblStylePr w:type="lastCol">
      <w:rPr>
        <w:b/>
        <w:color w:val="FFD966" w:themeColor="accent4" w:themeTint="99"/>
        <w14:textFill>
          <w14:solidFill>
            <w14:schemeClr w14:val="accent4">
              <w14:lumMod w14:val="60000"/>
              <w14:lumOff w14:val="40000"/>
            </w14:schemeClr>
          </w14:solidFill>
        </w14:textFill>
      </w:rPr>
    </w:tblStylePr>
    <w:tblStylePr w:type="band1Vert">
      <w:tcPr>
        <w:shd w:val="clear" w:color="E5DFEC" w:fill="E5DFEC"/>
      </w:tcPr>
    </w:tblStylePr>
    <w:tblStylePr w:type="band1Horz">
      <w:rPr>
        <w:rFonts w:ascii="Arial" w:hAnsi="Arial"/>
        <w:color w:val="FFD966" w:themeColor="accent4" w:themeTint="99"/>
        <w:sz w:val="22"/>
        <w14:textFill>
          <w14:solidFill>
            <w14:schemeClr w14:val="accent4">
              <w14:lumMod w14:val="60000"/>
              <w14:lumOff w14:val="40000"/>
            </w14:schemeClr>
          </w14:solidFill>
        </w14:textFill>
      </w:rPr>
      <w:tcPr>
        <w:shd w:val="clear" w:color="E5DFEC" w:fill="E5DFEC"/>
      </w:tcPr>
    </w:tblStylePr>
    <w:tblStylePr w:type="band2Horz">
      <w:rPr>
        <w:rFonts w:ascii="Arial" w:hAnsi="Arial"/>
        <w:color w:val="FFD966" w:themeColor="accent4" w:themeTint="99"/>
        <w:sz w:val="22"/>
        <w14:textFill>
          <w14:solidFill>
            <w14:schemeClr w14:val="accent4">
              <w14:lumMod w14:val="60000"/>
              <w14:lumOff w14:val="40000"/>
            </w14:schemeClr>
          </w14:solidFill>
        </w14:textFill>
      </w:rPr>
    </w:tblStylePr>
  </w:style>
  <w:style w:type="table" w:customStyle="1" w:styleId="313">
    <w:name w:val="GridTable6Colorful-Accent50"/>
    <w:basedOn w:val="37"/>
    <w:qFormat/>
    <w:uiPriority w:val="99"/>
    <w:tblPr>
      <w:tblBorders>
        <w:top w:val="single" w:color="4472C4" w:themeColor="accent5" w:sz="4" w:space="0"/>
        <w:left w:val="single" w:color="4472C4" w:themeColor="accent5" w:sz="4" w:space="0"/>
        <w:bottom w:val="single" w:color="4472C4" w:themeColor="accent5" w:sz="4" w:space="0"/>
        <w:right w:val="single" w:color="4472C4" w:themeColor="accent5" w:sz="4" w:space="0"/>
        <w:insideH w:val="single" w:color="4472C4" w:themeColor="accent5" w:sz="4" w:space="0"/>
        <w:insideV w:val="single" w:color="4472C4" w:themeColor="accent5" w:sz="4" w:space="0"/>
      </w:tblBorders>
    </w:tblPr>
    <w:tblStylePr w:type="firstRow">
      <w:rPr>
        <w:b/>
        <w:color w:val="254174" w:themeColor="accent5" w:themeShade="94"/>
      </w:rPr>
      <w:tcPr>
        <w:tcBorders>
          <w:bottom w:val="single" w:color="4472C4" w:themeColor="accent5" w:sz="12" w:space="0"/>
        </w:tcBorders>
      </w:tcPr>
    </w:tblStylePr>
    <w:tblStylePr w:type="lastRow">
      <w:rPr>
        <w:b/>
        <w:color w:val="254174" w:themeColor="accent5" w:themeShade="94"/>
      </w:rPr>
    </w:tblStylePr>
    <w:tblStylePr w:type="firstCol">
      <w:rPr>
        <w:b/>
        <w:color w:val="254174" w:themeColor="accent5" w:themeShade="94"/>
      </w:rPr>
    </w:tblStylePr>
    <w:tblStylePr w:type="lastCol">
      <w:rPr>
        <w:b/>
        <w:color w:val="254174" w:themeColor="accent5" w:themeShade="94"/>
      </w:rPr>
    </w:tblStylePr>
    <w:tblStylePr w:type="band1Vert">
      <w:tcPr>
        <w:shd w:val="clear" w:color="DAEEF3" w:fill="DAEEF3"/>
      </w:tcPr>
    </w:tblStylePr>
    <w:tblStylePr w:type="band1Horz">
      <w:rPr>
        <w:rFonts w:ascii="Arial" w:hAnsi="Arial"/>
        <w:color w:val="254174" w:themeColor="accent5" w:themeShade="94"/>
        <w:sz w:val="22"/>
      </w:rPr>
      <w:tcPr>
        <w:shd w:val="clear" w:color="DAEEF3" w:fill="DAEEF3"/>
      </w:tcPr>
    </w:tblStylePr>
    <w:tblStylePr w:type="band2Horz">
      <w:rPr>
        <w:rFonts w:ascii="Arial" w:hAnsi="Arial"/>
        <w:color w:val="254174" w:themeColor="accent5" w:themeShade="94"/>
        <w:sz w:val="22"/>
      </w:rPr>
    </w:tblStylePr>
  </w:style>
  <w:style w:type="table" w:customStyle="1" w:styleId="314">
    <w:name w:val="GridTable6Colorful-Accent60"/>
    <w:basedOn w:val="37"/>
    <w:qFormat/>
    <w:uiPriority w:val="99"/>
    <w:tblPr>
      <w:tblBorders>
        <w:top w:val="single" w:color="70AD47" w:themeColor="accent6" w:sz="4" w:space="0"/>
        <w:left w:val="single" w:color="70AD47" w:themeColor="accent6" w:sz="4" w:space="0"/>
        <w:bottom w:val="single" w:color="70AD47" w:themeColor="accent6" w:sz="4" w:space="0"/>
        <w:right w:val="single" w:color="70AD47" w:themeColor="accent6" w:sz="4" w:space="0"/>
        <w:insideH w:val="single" w:color="70AD47" w:themeColor="accent6" w:sz="4" w:space="0"/>
        <w:insideV w:val="single" w:color="70AD47" w:themeColor="accent6" w:sz="4" w:space="0"/>
      </w:tblBorders>
    </w:tblPr>
    <w:tblStylePr w:type="firstRow">
      <w:rPr>
        <w:b/>
        <w:color w:val="254174" w:themeColor="accent5" w:themeShade="94"/>
      </w:rPr>
      <w:tcPr>
        <w:tcBorders>
          <w:bottom w:val="single" w:color="70AD47" w:themeColor="accent6" w:sz="12" w:space="0"/>
        </w:tcBorders>
      </w:tcPr>
    </w:tblStylePr>
    <w:tblStylePr w:type="lastRow">
      <w:rPr>
        <w:b/>
        <w:color w:val="254174" w:themeColor="accent5" w:themeShade="94"/>
      </w:rPr>
    </w:tblStylePr>
    <w:tblStylePr w:type="firstCol">
      <w:rPr>
        <w:b/>
        <w:color w:val="254174" w:themeColor="accent5" w:themeShade="94"/>
      </w:rPr>
    </w:tblStylePr>
    <w:tblStylePr w:type="lastCol">
      <w:rPr>
        <w:b/>
        <w:color w:val="254174" w:themeColor="accent5" w:themeShade="94"/>
      </w:rPr>
    </w:tblStylePr>
    <w:tblStylePr w:type="band1Vert">
      <w:tcPr>
        <w:shd w:val="clear" w:color="FDE9D9" w:fill="FDE9D9"/>
      </w:tcPr>
    </w:tblStylePr>
    <w:tblStylePr w:type="band1Horz">
      <w:rPr>
        <w:rFonts w:ascii="Arial" w:hAnsi="Arial"/>
        <w:color w:val="254174" w:themeColor="accent5" w:themeShade="94"/>
        <w:sz w:val="22"/>
      </w:rPr>
      <w:tcPr>
        <w:shd w:val="clear" w:color="FDE9D9" w:fill="FDE9D9"/>
      </w:tcPr>
    </w:tblStylePr>
    <w:tblStylePr w:type="band2Horz">
      <w:rPr>
        <w:rFonts w:ascii="Arial" w:hAnsi="Arial"/>
        <w:color w:val="254174" w:themeColor="accent5" w:themeShade="94"/>
        <w:sz w:val="22"/>
      </w:rPr>
    </w:tblStylePr>
  </w:style>
  <w:style w:type="table" w:customStyle="1" w:styleId="315">
    <w:name w:val="GridTable7Colorful0"/>
    <w:basedOn w:val="37"/>
    <w:qFormat/>
    <w:uiPriority w:val="99"/>
    <w:tblPr>
      <w:tblBorders>
        <w:bottom w:val="single" w:color="7E7E7E" w:themeColor="text1" w:themeTint="80" w:sz="4" w:space="0"/>
        <w:right w:val="single" w:color="7E7E7E" w:themeColor="text1" w:themeTint="80" w:sz="4" w:space="0"/>
        <w:insideH w:val="single" w:color="7E7E7E" w:themeColor="text1" w:themeTint="80" w:sz="4" w:space="0"/>
        <w:insideV w:val="single" w:color="7E7E7E" w:themeColor="text1" w:themeTint="80" w:sz="4" w:space="0"/>
      </w:tblBorders>
    </w:tblPr>
    <w:tblStylePr w:type="firstRow">
      <w:rPr>
        <w:rFonts w:ascii="Arial" w:hAnsi="Arial"/>
        <w:b/>
        <w:color w:val="808080" w:themeColor="text1" w:themeTint="80"/>
        <w:sz w:val="22"/>
        <w14:textFill>
          <w14:solidFill>
            <w14:schemeClr w14:val="tx1">
              <w14:lumMod w14:val="50000"/>
              <w14:lumOff w14:val="50000"/>
            </w14:schemeClr>
          </w14:solidFill>
        </w14:textFill>
      </w:rPr>
      <w:tcPr>
        <w:tcBorders>
          <w:top w:val="nil"/>
          <w:left w:val="nil"/>
          <w:bottom w:val="single" w:color="7E7E7E" w:themeColor="text1" w:themeTint="80" w:sz="4" w:space="0"/>
          <w:right w:val="nil"/>
        </w:tcBorders>
        <w:shd w:val="clear" w:color="FFFFFF" w:fill="FFFFFF"/>
      </w:tcPr>
    </w:tblStylePr>
    <w:tblStylePr w:type="lastRow">
      <w:rPr>
        <w:rFonts w:ascii="Arial" w:hAnsi="Arial"/>
        <w:b/>
        <w:color w:val="808080" w:themeColor="text1" w:themeTint="80"/>
        <w:sz w:val="22"/>
        <w14:textFill>
          <w14:solidFill>
            <w14:schemeClr w14:val="tx1">
              <w14:lumMod w14:val="50000"/>
              <w14:lumOff w14:val="50000"/>
            </w14:schemeClr>
          </w14:solidFill>
        </w14:textFill>
      </w:rPr>
      <w:tcPr>
        <w:tcBorders>
          <w:top w:val="single" w:color="7E7E7E" w:themeColor="text1" w:themeTint="80" w:sz="4" w:space="0"/>
          <w:left w:val="nil"/>
          <w:bottom w:val="nil"/>
          <w:right w:val="nil"/>
        </w:tcBorders>
        <w:shd w:val="clear" w:color="FFFFFF" w:fill="FFFFFF"/>
      </w:tcPr>
    </w:tblStylePr>
    <w:tblStylePr w:type="firstCol">
      <w:pPr>
        <w:jc w:val="right"/>
      </w:pPr>
      <w:rPr>
        <w:rFonts w:ascii="Arial" w:hAnsi="Arial"/>
        <w:i/>
        <w:color w:val="808080" w:themeColor="text1" w:themeTint="80"/>
        <w:sz w:val="22"/>
        <w14:textFill>
          <w14:solidFill>
            <w14:schemeClr w14:val="tx1">
              <w14:lumMod w14:val="50000"/>
              <w14:lumOff w14:val="50000"/>
            </w14:schemeClr>
          </w14:solidFill>
        </w14:textFill>
      </w:rPr>
      <w:tcPr>
        <w:tcBorders>
          <w:top w:val="nil"/>
          <w:left w:val="nil"/>
          <w:bottom w:val="nil"/>
          <w:right w:val="single" w:color="7E7E7E" w:themeColor="text1" w:themeTint="80" w:sz="4" w:space="0"/>
        </w:tcBorders>
        <w:shd w:val="clear" w:color="FFFFFF" w:fill="auto"/>
      </w:tcPr>
    </w:tblStylePr>
    <w:tblStylePr w:type="lastCol">
      <w:rPr>
        <w:rFonts w:ascii="Arial" w:hAnsi="Arial"/>
        <w:i/>
        <w:color w:val="808080" w:themeColor="text1" w:themeTint="80"/>
        <w:sz w:val="22"/>
        <w14:textFill>
          <w14:solidFill>
            <w14:schemeClr w14:val="tx1">
              <w14:lumMod w14:val="50000"/>
              <w14:lumOff w14:val="50000"/>
            </w14:schemeClr>
          </w14:solidFill>
        </w14:textFill>
      </w:rPr>
      <w:tcPr>
        <w:tcBorders>
          <w:top w:val="nil"/>
          <w:left w:val="single" w:color="7E7E7E" w:themeColor="text1" w:themeTint="80" w:sz="4" w:space="0"/>
          <w:bottom w:val="nil"/>
          <w:right w:val="nil"/>
        </w:tcBorders>
        <w:shd w:val="clear" w:color="FFFFFF" w:fill="auto"/>
      </w:tcPr>
    </w:tblStylePr>
    <w:tblStylePr w:type="band1Vert">
      <w:tcPr>
        <w:shd w:val="clear" w:color="F1F1F1" w:fill="F1F1F1"/>
      </w:tcPr>
    </w:tblStylePr>
    <w:tblStylePr w:type="band1Horz">
      <w:rPr>
        <w:rFonts w:ascii="Arial" w:hAnsi="Arial"/>
        <w:color w:val="808080" w:themeColor="text1" w:themeTint="80"/>
        <w:sz w:val="22"/>
        <w14:textFill>
          <w14:solidFill>
            <w14:schemeClr w14:val="tx1">
              <w14:lumMod w14:val="50000"/>
              <w14:lumOff w14:val="50000"/>
            </w14:schemeClr>
          </w14:solidFill>
        </w14:textFill>
      </w:rPr>
      <w:tcPr>
        <w:shd w:val="clear" w:color="F1F1F1" w:fill="F1F1F1"/>
      </w:tcPr>
    </w:tblStylePr>
    <w:tblStylePr w:type="band2Horz">
      <w:rPr>
        <w:rFonts w:ascii="Arial" w:hAnsi="Arial"/>
        <w:color w:val="808080" w:themeColor="text1" w:themeTint="80"/>
        <w:sz w:val="22"/>
        <w14:textFill>
          <w14:solidFill>
            <w14:schemeClr w14:val="tx1">
              <w14:lumMod w14:val="50000"/>
              <w14:lumOff w14:val="50000"/>
            </w14:schemeClr>
          </w14:solidFill>
        </w14:textFill>
      </w:rPr>
    </w:tblStylePr>
  </w:style>
  <w:style w:type="table" w:customStyle="1" w:styleId="316">
    <w:name w:val="GridTable7Colorful-Accent10"/>
    <w:basedOn w:val="37"/>
    <w:qFormat/>
    <w:uiPriority w:val="99"/>
    <w:tblPr>
      <w:tblBorders>
        <w:bottom w:val="single" w:color="ACCCE9" w:themeColor="accent1" w:themeTint="80" w:sz="4" w:space="0"/>
        <w:right w:val="single" w:color="ACCCE9" w:themeColor="accent1" w:themeTint="80" w:sz="4" w:space="0"/>
        <w:insideH w:val="single" w:color="ACCCE9" w:themeColor="accent1" w:themeTint="80" w:sz="4" w:space="0"/>
        <w:insideV w:val="single" w:color="ACCCE9" w:themeColor="accent1" w:themeTint="80" w:sz="4" w:space="0"/>
      </w:tblBorders>
    </w:tblPr>
    <w:tblStylePr w:type="firstRow">
      <w:rPr>
        <w:rFonts w:ascii="Arial" w:hAnsi="Arial"/>
        <w:b/>
        <w:color w:val="ADCDEA" w:themeColor="accent1" w:themeTint="80"/>
        <w:sz w:val="22"/>
        <w14:textFill>
          <w14:solidFill>
            <w14:schemeClr w14:val="accent1">
              <w14:lumMod w14:val="50000"/>
              <w14:lumOff w14:val="50000"/>
            </w14:schemeClr>
          </w14:solidFill>
        </w14:textFill>
      </w:rPr>
      <w:tcPr>
        <w:tcBorders>
          <w:top w:val="nil"/>
          <w:left w:val="nil"/>
          <w:bottom w:val="single" w:color="ACCCE9" w:themeColor="accent1" w:themeTint="80" w:sz="4" w:space="0"/>
          <w:right w:val="nil"/>
        </w:tcBorders>
        <w:shd w:val="clear" w:color="FFFFFF" w:fill="FFFFFF"/>
      </w:tcPr>
    </w:tblStylePr>
    <w:tblStylePr w:type="lastRow">
      <w:rPr>
        <w:rFonts w:ascii="Arial" w:hAnsi="Arial"/>
        <w:b/>
        <w:color w:val="ADCDEA" w:themeColor="accent1" w:themeTint="80"/>
        <w:sz w:val="22"/>
        <w14:textFill>
          <w14:solidFill>
            <w14:schemeClr w14:val="accent1">
              <w14:lumMod w14:val="50000"/>
              <w14:lumOff w14:val="50000"/>
            </w14:schemeClr>
          </w14:solidFill>
        </w14:textFill>
      </w:rPr>
      <w:tcPr>
        <w:tcBorders>
          <w:top w:val="single" w:color="ACCCE9" w:themeColor="accent1" w:themeTint="80" w:sz="4" w:space="0"/>
          <w:left w:val="nil"/>
          <w:bottom w:val="nil"/>
          <w:right w:val="nil"/>
        </w:tcBorders>
        <w:shd w:val="clear" w:color="FFFFFF" w:fill="FFFFFF"/>
      </w:tcPr>
    </w:tblStylePr>
    <w:tblStylePr w:type="firstCol">
      <w:pPr>
        <w:jc w:val="right"/>
      </w:pPr>
      <w:rPr>
        <w:rFonts w:ascii="Arial" w:hAnsi="Arial"/>
        <w:i/>
        <w:color w:val="ADCDEA" w:themeColor="accent1" w:themeTint="80"/>
        <w:sz w:val="22"/>
        <w14:textFill>
          <w14:solidFill>
            <w14:schemeClr w14:val="accent1">
              <w14:lumMod w14:val="50000"/>
              <w14:lumOff w14:val="50000"/>
            </w14:schemeClr>
          </w14:solidFill>
        </w14:textFill>
      </w:rPr>
      <w:tcPr>
        <w:tcBorders>
          <w:top w:val="nil"/>
          <w:left w:val="nil"/>
          <w:bottom w:val="nil"/>
          <w:right w:val="single" w:color="ACCCE9" w:themeColor="accent1" w:themeTint="80" w:sz="4" w:space="0"/>
        </w:tcBorders>
        <w:shd w:val="clear" w:color="FFFFFF" w:fill="auto"/>
      </w:tcPr>
    </w:tblStylePr>
    <w:tblStylePr w:type="lastCol">
      <w:rPr>
        <w:rFonts w:ascii="Arial" w:hAnsi="Arial"/>
        <w:i/>
        <w:color w:val="ADCDEA" w:themeColor="accent1" w:themeTint="80"/>
        <w:sz w:val="22"/>
        <w14:textFill>
          <w14:solidFill>
            <w14:schemeClr w14:val="accent1">
              <w14:lumMod w14:val="50000"/>
              <w14:lumOff w14:val="50000"/>
            </w14:schemeClr>
          </w14:solidFill>
        </w14:textFill>
      </w:rPr>
      <w:tcPr>
        <w:tcBorders>
          <w:top w:val="nil"/>
          <w:left w:val="single" w:color="ACCCE9" w:themeColor="accent1" w:themeTint="80" w:sz="4" w:space="0"/>
          <w:bottom w:val="nil"/>
          <w:right w:val="nil"/>
        </w:tcBorders>
        <w:shd w:val="clear" w:color="FFFFFF" w:fill="auto"/>
      </w:tcPr>
    </w:tblStylePr>
    <w:tblStylePr w:type="band1Vert">
      <w:tcPr>
        <w:shd w:val="clear" w:color="DBE5F1" w:fill="DBE5F1"/>
      </w:tcPr>
    </w:tblStylePr>
    <w:tblStylePr w:type="band1Horz">
      <w:rPr>
        <w:rFonts w:ascii="Arial" w:hAnsi="Arial"/>
        <w:color w:val="ADCDEA" w:themeColor="accent1" w:themeTint="80"/>
        <w:sz w:val="22"/>
        <w14:textFill>
          <w14:solidFill>
            <w14:schemeClr w14:val="accent1">
              <w14:lumMod w14:val="50000"/>
              <w14:lumOff w14:val="50000"/>
            </w14:schemeClr>
          </w14:solidFill>
        </w14:textFill>
      </w:rPr>
      <w:tcPr>
        <w:shd w:val="clear" w:color="DBE5F1" w:fill="DBE5F1"/>
      </w:tcPr>
    </w:tblStylePr>
    <w:tblStylePr w:type="band2Horz">
      <w:rPr>
        <w:rFonts w:ascii="Arial" w:hAnsi="Arial"/>
        <w:color w:val="ADCDEA" w:themeColor="accent1" w:themeTint="80"/>
        <w:sz w:val="22"/>
        <w14:textFill>
          <w14:solidFill>
            <w14:schemeClr w14:val="accent1">
              <w14:lumMod w14:val="50000"/>
              <w14:lumOff w14:val="50000"/>
            </w14:schemeClr>
          </w14:solidFill>
        </w14:textFill>
      </w:rPr>
    </w:tblStylePr>
  </w:style>
  <w:style w:type="table" w:customStyle="1" w:styleId="317">
    <w:name w:val="GridTable7Colorful-Accent20"/>
    <w:basedOn w:val="37"/>
    <w:qFormat/>
    <w:uiPriority w:val="99"/>
    <w:tblPr>
      <w:tblBorders>
        <w:bottom w:val="single" w:color="F4B285" w:themeColor="accent2" w:themeTint="97" w:sz="4" w:space="0"/>
        <w:right w:val="single" w:color="F4B285" w:themeColor="accent2" w:themeTint="97" w:sz="4" w:space="0"/>
        <w:insideH w:val="single" w:color="F4B285" w:themeColor="accent2" w:themeTint="97" w:sz="4" w:space="0"/>
        <w:insideV w:val="single" w:color="F4B285" w:themeColor="accent2" w:themeTint="97" w:sz="4" w:space="0"/>
      </w:tblBorders>
    </w:tblPr>
    <w:tblStylePr w:type="firstRow">
      <w:rPr>
        <w:rFonts w:ascii="Arial" w:hAnsi="Arial"/>
        <w:b/>
        <w:color w:val="F4B285" w:themeColor="accent2" w:themeTint="96"/>
        <w:sz w:val="22"/>
        <w14:textFill>
          <w14:solidFill>
            <w14:schemeClr w14:val="accent2">
              <w14:lumMod w14:val="59000"/>
              <w14:lumOff w14:val="41000"/>
            </w14:schemeClr>
          </w14:solidFill>
        </w14:textFill>
      </w:rPr>
      <w:tcPr>
        <w:tcBorders>
          <w:top w:val="nil"/>
          <w:left w:val="nil"/>
          <w:bottom w:val="single" w:color="F4B285" w:themeColor="accent2" w:themeTint="97" w:sz="4" w:space="0"/>
          <w:right w:val="nil"/>
        </w:tcBorders>
        <w:shd w:val="clear" w:color="FFFFFF" w:fill="FFFFFF"/>
      </w:tcPr>
    </w:tblStylePr>
    <w:tblStylePr w:type="lastRow">
      <w:rPr>
        <w:rFonts w:ascii="Arial" w:hAnsi="Arial"/>
        <w:b/>
        <w:color w:val="F4B285" w:themeColor="accent2" w:themeTint="96"/>
        <w:sz w:val="22"/>
        <w14:textFill>
          <w14:solidFill>
            <w14:schemeClr w14:val="accent2">
              <w14:lumMod w14:val="59000"/>
              <w14:lumOff w14:val="41000"/>
            </w14:schemeClr>
          </w14:solidFill>
        </w14:textFill>
      </w:rPr>
      <w:tcPr>
        <w:tcBorders>
          <w:top w:val="single" w:color="F4B285" w:themeColor="accent2" w:themeTint="97" w:sz="4" w:space="0"/>
          <w:left w:val="nil"/>
          <w:bottom w:val="nil"/>
          <w:right w:val="nil"/>
        </w:tcBorders>
        <w:shd w:val="clear" w:color="FFFFFF" w:fill="FFFFFF"/>
      </w:tcPr>
    </w:tblStylePr>
    <w:tblStylePr w:type="firstCol">
      <w:pPr>
        <w:jc w:val="right"/>
      </w:pPr>
      <w:rPr>
        <w:rFonts w:ascii="Arial" w:hAnsi="Arial"/>
        <w:i/>
        <w:color w:val="F4B285" w:themeColor="accent2" w:themeTint="96"/>
        <w:sz w:val="22"/>
        <w14:textFill>
          <w14:solidFill>
            <w14:schemeClr w14:val="accent2">
              <w14:lumMod w14:val="59000"/>
              <w14:lumOff w14:val="41000"/>
            </w14:schemeClr>
          </w14:solidFill>
        </w14:textFill>
      </w:rPr>
      <w:tcPr>
        <w:tcBorders>
          <w:top w:val="nil"/>
          <w:left w:val="nil"/>
          <w:bottom w:val="nil"/>
          <w:right w:val="single" w:color="F4B285" w:themeColor="accent2" w:themeTint="97" w:sz="4" w:space="0"/>
        </w:tcBorders>
        <w:shd w:val="clear" w:color="FFFFFF" w:fill="auto"/>
      </w:tcPr>
    </w:tblStylePr>
    <w:tblStylePr w:type="lastCol">
      <w:rPr>
        <w:rFonts w:ascii="Arial" w:hAnsi="Arial"/>
        <w:i/>
        <w:color w:val="F4B285" w:themeColor="accent2" w:themeTint="96"/>
        <w:sz w:val="22"/>
        <w14:textFill>
          <w14:solidFill>
            <w14:schemeClr w14:val="accent2">
              <w14:lumMod w14:val="59000"/>
              <w14:lumOff w14:val="41000"/>
            </w14:schemeClr>
          </w14:solidFill>
        </w14:textFill>
      </w:rPr>
      <w:tcPr>
        <w:tcBorders>
          <w:top w:val="nil"/>
          <w:left w:val="single" w:color="F4B285" w:themeColor="accent2" w:themeTint="97" w:sz="4" w:space="0"/>
          <w:bottom w:val="nil"/>
          <w:right w:val="nil"/>
        </w:tcBorders>
        <w:shd w:val="clear" w:color="FFFFFF" w:fill="auto"/>
      </w:tcPr>
    </w:tblStylePr>
    <w:tblStylePr w:type="band1Vert">
      <w:tcPr>
        <w:shd w:val="clear" w:color="F2DCDC" w:fill="F2DCDC"/>
      </w:tcPr>
    </w:tblStylePr>
    <w:tblStylePr w:type="band1Horz">
      <w:rPr>
        <w:rFonts w:ascii="Arial" w:hAnsi="Arial"/>
        <w:color w:val="F4B285" w:themeColor="accent2" w:themeTint="96"/>
        <w:sz w:val="22"/>
        <w14:textFill>
          <w14:solidFill>
            <w14:schemeClr w14:val="accent2">
              <w14:lumMod w14:val="59000"/>
              <w14:lumOff w14:val="41000"/>
            </w14:schemeClr>
          </w14:solidFill>
        </w14:textFill>
      </w:rPr>
      <w:tcPr>
        <w:shd w:val="clear" w:color="F2DCDC" w:fill="F2DCDC"/>
      </w:tcPr>
    </w:tblStylePr>
    <w:tblStylePr w:type="band2Horz">
      <w:rPr>
        <w:rFonts w:ascii="Arial" w:hAnsi="Arial"/>
        <w:color w:val="F4B285" w:themeColor="accent2" w:themeTint="96"/>
        <w:sz w:val="22"/>
        <w14:textFill>
          <w14:solidFill>
            <w14:schemeClr w14:val="accent2">
              <w14:lumMod w14:val="59000"/>
              <w14:lumOff w14:val="41000"/>
            </w14:schemeClr>
          </w14:solidFill>
        </w14:textFill>
      </w:rPr>
    </w:tblStylePr>
  </w:style>
  <w:style w:type="table" w:customStyle="1" w:styleId="318">
    <w:name w:val="GridTable7Colorful-Accent30"/>
    <w:basedOn w:val="37"/>
    <w:qFormat/>
    <w:uiPriority w:val="99"/>
    <w:tblPr>
      <w:tblBorders>
        <w:bottom w:val="single" w:color="A5A5A5" w:themeColor="accent3" w:themeTint="FE" w:sz="4" w:space="0"/>
        <w:right w:val="single" w:color="A5A5A5" w:themeColor="accent3" w:themeTint="FE" w:sz="4" w:space="0"/>
        <w:insideH w:val="single" w:color="A5A5A5" w:themeColor="accent3" w:themeTint="FE" w:sz="4" w:space="0"/>
        <w:insideV w:val="single" w:color="A5A5A5" w:themeColor="accent3" w:themeTint="FE" w:sz="4" w:space="0"/>
      </w:tblBorders>
    </w:tblPr>
    <w:tblStylePr w:type="firstRow">
      <w:rPr>
        <w:rFonts w:ascii="Arial" w:hAnsi="Arial"/>
        <w:b/>
        <w:color w:val="A5A5A5" w:themeColor="accent3"/>
        <w:sz w:val="22"/>
        <w14:textFill>
          <w14:solidFill>
            <w14:schemeClr w14:val="accent3"/>
          </w14:solidFill>
        </w14:textFill>
      </w:rPr>
      <w:tcPr>
        <w:tcBorders>
          <w:top w:val="nil"/>
          <w:left w:val="nil"/>
          <w:bottom w:val="single" w:color="A5A5A5" w:themeColor="accent3" w:themeTint="FE" w:sz="4" w:space="0"/>
          <w:right w:val="nil"/>
        </w:tcBorders>
        <w:shd w:val="clear" w:color="FFFFFF" w:fill="FFFFFF"/>
      </w:tcPr>
    </w:tblStylePr>
    <w:tblStylePr w:type="lastRow">
      <w:rPr>
        <w:rFonts w:ascii="Arial" w:hAnsi="Arial"/>
        <w:b/>
        <w:color w:val="A5A5A5" w:themeColor="accent3"/>
        <w:sz w:val="22"/>
        <w14:textFill>
          <w14:solidFill>
            <w14:schemeClr w14:val="accent3"/>
          </w14:solidFill>
        </w14:textFill>
      </w:rPr>
      <w:tcPr>
        <w:tcBorders>
          <w:top w:val="single" w:color="A5A5A5" w:themeColor="accent3" w:themeTint="FE" w:sz="4" w:space="0"/>
          <w:left w:val="nil"/>
          <w:bottom w:val="nil"/>
          <w:right w:val="nil"/>
        </w:tcBorders>
        <w:shd w:val="clear" w:color="FFFFFF" w:fill="FFFFFF"/>
      </w:tcPr>
    </w:tblStylePr>
    <w:tblStylePr w:type="firstCol">
      <w:pPr>
        <w:jc w:val="right"/>
      </w:pPr>
      <w:rPr>
        <w:rFonts w:ascii="Arial" w:hAnsi="Arial"/>
        <w:i/>
        <w:color w:val="A5A5A5" w:themeColor="accent3"/>
        <w:sz w:val="22"/>
        <w14:textFill>
          <w14:solidFill>
            <w14:schemeClr w14:val="accent3"/>
          </w14:solidFill>
        </w14:textFill>
      </w:rPr>
      <w:tcPr>
        <w:tcBorders>
          <w:top w:val="nil"/>
          <w:left w:val="nil"/>
          <w:bottom w:val="nil"/>
          <w:right w:val="single" w:color="A5A5A5" w:themeColor="accent3" w:themeTint="FE" w:sz="4" w:space="0"/>
        </w:tcBorders>
        <w:shd w:val="clear" w:color="FFFFFF" w:fill="auto"/>
      </w:tcPr>
    </w:tblStylePr>
    <w:tblStylePr w:type="lastCol">
      <w:rPr>
        <w:rFonts w:ascii="Arial" w:hAnsi="Arial"/>
        <w:i/>
        <w:color w:val="A5A5A5" w:themeColor="accent3"/>
        <w:sz w:val="22"/>
        <w14:textFill>
          <w14:solidFill>
            <w14:schemeClr w14:val="accent3"/>
          </w14:solidFill>
        </w14:textFill>
      </w:rPr>
      <w:tcPr>
        <w:tcBorders>
          <w:top w:val="nil"/>
          <w:left w:val="single" w:color="A5A5A5" w:themeColor="accent3" w:themeTint="FE" w:sz="4" w:space="0"/>
          <w:bottom w:val="nil"/>
          <w:right w:val="nil"/>
        </w:tcBorders>
        <w:shd w:val="clear" w:color="FFFFFF" w:fill="auto"/>
      </w:tcPr>
    </w:tblStylePr>
    <w:tblStylePr w:type="band1Vert">
      <w:tcPr>
        <w:shd w:val="clear" w:color="EAF1DD" w:fill="EAF1DD"/>
      </w:tcPr>
    </w:tblStylePr>
    <w:tblStylePr w:type="band1Horz">
      <w:rPr>
        <w:rFonts w:ascii="Arial" w:hAnsi="Arial"/>
        <w:color w:val="A5A5A5" w:themeColor="accent3"/>
        <w:sz w:val="22"/>
        <w14:textFill>
          <w14:solidFill>
            <w14:schemeClr w14:val="accent3"/>
          </w14:solidFill>
        </w14:textFill>
      </w:rPr>
      <w:tcPr>
        <w:shd w:val="clear" w:color="EAF1DD" w:fill="EAF1DD"/>
      </w:tcPr>
    </w:tblStylePr>
    <w:tblStylePr w:type="band2Horz">
      <w:rPr>
        <w:rFonts w:ascii="Arial" w:hAnsi="Arial"/>
        <w:color w:val="A5A5A5" w:themeColor="accent3"/>
        <w:sz w:val="22"/>
        <w14:textFill>
          <w14:solidFill>
            <w14:schemeClr w14:val="accent3"/>
          </w14:solidFill>
        </w14:textFill>
      </w:rPr>
    </w:tblStylePr>
  </w:style>
  <w:style w:type="table" w:customStyle="1" w:styleId="319">
    <w:name w:val="GridTable7Colorful-Accent40"/>
    <w:basedOn w:val="37"/>
    <w:qFormat/>
    <w:uiPriority w:val="99"/>
    <w:tblPr>
      <w:tblBorders>
        <w:bottom w:val="single" w:color="FFD864" w:themeColor="accent4" w:themeTint="9A" w:sz="4" w:space="0"/>
        <w:right w:val="single" w:color="FFD864" w:themeColor="accent4" w:themeTint="9A" w:sz="4" w:space="0"/>
        <w:insideH w:val="single" w:color="FFD864" w:themeColor="accent4" w:themeTint="9A" w:sz="4" w:space="0"/>
        <w:insideV w:val="single" w:color="FFD864" w:themeColor="accent4" w:themeTint="9A" w:sz="4" w:space="0"/>
      </w:tblBorders>
    </w:tblPr>
    <w:tblStylePr w:type="firstRow">
      <w:rPr>
        <w:rFonts w:ascii="Arial" w:hAnsi="Arial"/>
        <w:b/>
        <w:color w:val="FFD966" w:themeColor="accent4" w:themeTint="99"/>
        <w:sz w:val="22"/>
        <w14:textFill>
          <w14:solidFill>
            <w14:schemeClr w14:val="accent4">
              <w14:lumMod w14:val="60000"/>
              <w14:lumOff w14:val="40000"/>
            </w14:schemeClr>
          </w14:solidFill>
        </w14:textFill>
      </w:rPr>
      <w:tcPr>
        <w:tcBorders>
          <w:top w:val="nil"/>
          <w:left w:val="nil"/>
          <w:bottom w:val="single" w:color="FFD864" w:themeColor="accent4" w:themeTint="9A" w:sz="4" w:space="0"/>
          <w:right w:val="nil"/>
        </w:tcBorders>
        <w:shd w:val="clear" w:color="FFFFFF" w:fill="FFFFFF"/>
      </w:tcPr>
    </w:tblStylePr>
    <w:tblStylePr w:type="lastRow">
      <w:rPr>
        <w:rFonts w:ascii="Arial" w:hAnsi="Arial"/>
        <w:b/>
        <w:color w:val="FFD966" w:themeColor="accent4" w:themeTint="99"/>
        <w:sz w:val="22"/>
        <w14:textFill>
          <w14:solidFill>
            <w14:schemeClr w14:val="accent4">
              <w14:lumMod w14:val="60000"/>
              <w14:lumOff w14:val="40000"/>
            </w14:schemeClr>
          </w14:solidFill>
        </w14:textFill>
      </w:rPr>
      <w:tcPr>
        <w:tcBorders>
          <w:top w:val="single" w:color="FFD864" w:themeColor="accent4" w:themeTint="9A" w:sz="4" w:space="0"/>
          <w:left w:val="nil"/>
          <w:bottom w:val="nil"/>
          <w:right w:val="nil"/>
        </w:tcBorders>
        <w:shd w:val="clear" w:color="FFFFFF" w:fill="FFFFFF"/>
      </w:tcPr>
    </w:tblStylePr>
    <w:tblStylePr w:type="firstCol">
      <w:pPr>
        <w:jc w:val="right"/>
      </w:pPr>
      <w:rPr>
        <w:rFonts w:ascii="Arial" w:hAnsi="Arial"/>
        <w:i/>
        <w:color w:val="FFD966" w:themeColor="accent4" w:themeTint="99"/>
        <w:sz w:val="22"/>
        <w14:textFill>
          <w14:solidFill>
            <w14:schemeClr w14:val="accent4">
              <w14:lumMod w14:val="60000"/>
              <w14:lumOff w14:val="40000"/>
            </w14:schemeClr>
          </w14:solidFill>
        </w14:textFill>
      </w:rPr>
      <w:tcPr>
        <w:tcBorders>
          <w:top w:val="nil"/>
          <w:left w:val="nil"/>
          <w:bottom w:val="nil"/>
          <w:right w:val="single" w:color="FFD864" w:themeColor="accent4" w:themeTint="9A" w:sz="4" w:space="0"/>
        </w:tcBorders>
        <w:shd w:val="clear" w:color="FFFFFF" w:fill="auto"/>
      </w:tcPr>
    </w:tblStylePr>
    <w:tblStylePr w:type="lastCol">
      <w:rPr>
        <w:rFonts w:ascii="Arial" w:hAnsi="Arial"/>
        <w:i/>
        <w:color w:val="FFD966" w:themeColor="accent4" w:themeTint="99"/>
        <w:sz w:val="22"/>
        <w14:textFill>
          <w14:solidFill>
            <w14:schemeClr w14:val="accent4">
              <w14:lumMod w14:val="60000"/>
              <w14:lumOff w14:val="40000"/>
            </w14:schemeClr>
          </w14:solidFill>
        </w14:textFill>
      </w:rPr>
      <w:tcPr>
        <w:tcBorders>
          <w:top w:val="nil"/>
          <w:left w:val="single" w:color="FFD864" w:themeColor="accent4" w:themeTint="9A" w:sz="4" w:space="0"/>
          <w:bottom w:val="nil"/>
          <w:right w:val="nil"/>
        </w:tcBorders>
        <w:shd w:val="clear" w:color="FFFFFF" w:fill="auto"/>
      </w:tcPr>
    </w:tblStylePr>
    <w:tblStylePr w:type="band1Vert">
      <w:tcPr>
        <w:shd w:val="clear" w:color="E5DFEC" w:fill="E5DFEC"/>
      </w:tcPr>
    </w:tblStylePr>
    <w:tblStylePr w:type="band1Horz">
      <w:rPr>
        <w:rFonts w:ascii="Arial" w:hAnsi="Arial"/>
        <w:color w:val="FFD966" w:themeColor="accent4" w:themeTint="99"/>
        <w:sz w:val="22"/>
        <w14:textFill>
          <w14:solidFill>
            <w14:schemeClr w14:val="accent4">
              <w14:lumMod w14:val="60000"/>
              <w14:lumOff w14:val="40000"/>
            </w14:schemeClr>
          </w14:solidFill>
        </w14:textFill>
      </w:rPr>
      <w:tcPr>
        <w:shd w:val="clear" w:color="E5DFEC" w:fill="E5DFEC"/>
      </w:tcPr>
    </w:tblStylePr>
    <w:tblStylePr w:type="band2Horz">
      <w:rPr>
        <w:rFonts w:ascii="Arial" w:hAnsi="Arial"/>
        <w:color w:val="FFD966" w:themeColor="accent4" w:themeTint="99"/>
        <w:sz w:val="22"/>
        <w14:textFill>
          <w14:solidFill>
            <w14:schemeClr w14:val="accent4">
              <w14:lumMod w14:val="60000"/>
              <w14:lumOff w14:val="40000"/>
            </w14:schemeClr>
          </w14:solidFill>
        </w14:textFill>
      </w:rPr>
    </w:tblStylePr>
  </w:style>
  <w:style w:type="table" w:customStyle="1" w:styleId="320">
    <w:name w:val="GridTable7Colorful-Accent50"/>
    <w:basedOn w:val="37"/>
    <w:qFormat/>
    <w:uiPriority w:val="99"/>
    <w:tblPr>
      <w:tblBorders>
        <w:bottom w:val="single" w:color="95AFDD" w:themeColor="accent5" w:themeTint="90" w:sz="4" w:space="0"/>
        <w:right w:val="single" w:color="95AFDD" w:themeColor="accent5" w:themeTint="90" w:sz="4" w:space="0"/>
        <w:insideH w:val="single" w:color="95AFDD" w:themeColor="accent5" w:themeTint="90" w:sz="4" w:space="0"/>
        <w:insideV w:val="single" w:color="95AFDD" w:themeColor="accent5" w:themeTint="90" w:sz="4" w:space="0"/>
      </w:tblBorders>
    </w:tblPr>
    <w:tblStylePr w:type="firstRow">
      <w:rPr>
        <w:rFonts w:ascii="Arial" w:hAnsi="Arial"/>
        <w:b/>
        <w:color w:val="254174" w:themeColor="accent5" w:themeShade="94"/>
        <w:sz w:val="22"/>
      </w:rPr>
      <w:tcPr>
        <w:tcBorders>
          <w:top w:val="nil"/>
          <w:left w:val="nil"/>
          <w:bottom w:val="single" w:color="95AFDD" w:themeColor="accent5" w:themeTint="90" w:sz="4" w:space="0"/>
          <w:right w:val="nil"/>
        </w:tcBorders>
        <w:shd w:val="clear" w:color="FFFFFF" w:fill="FFFFFF"/>
      </w:tcPr>
    </w:tblStylePr>
    <w:tblStylePr w:type="lastRow">
      <w:rPr>
        <w:rFonts w:ascii="Arial" w:hAnsi="Arial"/>
        <w:b/>
        <w:color w:val="254174" w:themeColor="accent5" w:themeShade="94"/>
        <w:sz w:val="22"/>
      </w:rPr>
      <w:tcPr>
        <w:tcBorders>
          <w:top w:val="single" w:color="95AFDD" w:themeColor="accent5" w:themeTint="90" w:sz="4" w:space="0"/>
          <w:left w:val="nil"/>
          <w:bottom w:val="nil"/>
          <w:right w:val="nil"/>
        </w:tcBorders>
        <w:shd w:val="clear" w:color="FFFFFF" w:fill="FFFFFF"/>
      </w:tcPr>
    </w:tblStylePr>
    <w:tblStylePr w:type="firstCol">
      <w:pPr>
        <w:jc w:val="right"/>
      </w:pPr>
      <w:rPr>
        <w:rFonts w:ascii="Arial" w:hAnsi="Arial"/>
        <w:i/>
        <w:color w:val="254174" w:themeColor="accent5" w:themeShade="94"/>
        <w:sz w:val="22"/>
      </w:rPr>
      <w:tcPr>
        <w:tcBorders>
          <w:top w:val="nil"/>
          <w:left w:val="nil"/>
          <w:bottom w:val="nil"/>
          <w:right w:val="single" w:color="95AFDD" w:themeColor="accent5" w:themeTint="90" w:sz="4" w:space="0"/>
        </w:tcBorders>
        <w:shd w:val="clear" w:color="FFFFFF" w:fill="auto"/>
      </w:tcPr>
    </w:tblStylePr>
    <w:tblStylePr w:type="lastCol">
      <w:rPr>
        <w:rFonts w:ascii="Arial" w:hAnsi="Arial"/>
        <w:i/>
        <w:color w:val="254174" w:themeColor="accent5" w:themeShade="94"/>
        <w:sz w:val="22"/>
      </w:rPr>
      <w:tcPr>
        <w:tcBorders>
          <w:top w:val="nil"/>
          <w:left w:val="single" w:color="95AFDD" w:themeColor="accent5" w:themeTint="90" w:sz="4" w:space="0"/>
          <w:bottom w:val="nil"/>
          <w:right w:val="nil"/>
        </w:tcBorders>
        <w:shd w:val="clear" w:color="FFFFFF" w:fill="auto"/>
      </w:tcPr>
    </w:tblStylePr>
    <w:tblStylePr w:type="band1Vert">
      <w:tcPr>
        <w:shd w:val="clear" w:color="DAEEF3" w:fill="DAEEF3"/>
      </w:tcPr>
    </w:tblStylePr>
    <w:tblStylePr w:type="band1Horz">
      <w:rPr>
        <w:rFonts w:ascii="Arial" w:hAnsi="Arial"/>
        <w:color w:val="254174" w:themeColor="accent5" w:themeShade="94"/>
        <w:sz w:val="22"/>
      </w:rPr>
      <w:tcPr>
        <w:shd w:val="clear" w:color="DAEEF3" w:fill="DAEEF3"/>
      </w:tcPr>
    </w:tblStylePr>
    <w:tblStylePr w:type="band2Horz">
      <w:rPr>
        <w:rFonts w:ascii="Arial" w:hAnsi="Arial"/>
        <w:color w:val="254174" w:themeColor="accent5" w:themeShade="94"/>
        <w:sz w:val="22"/>
      </w:rPr>
    </w:tblStylePr>
  </w:style>
  <w:style w:type="table" w:customStyle="1" w:styleId="321">
    <w:name w:val="GridTable7Colorful-Accent60"/>
    <w:basedOn w:val="37"/>
    <w:qFormat/>
    <w:uiPriority w:val="99"/>
    <w:tblPr>
      <w:tblBorders>
        <w:bottom w:val="single" w:color="ADD394" w:themeColor="accent6" w:themeTint="90" w:sz="4" w:space="0"/>
        <w:right w:val="single" w:color="ADD394" w:themeColor="accent6" w:themeTint="90" w:sz="4" w:space="0"/>
        <w:insideH w:val="single" w:color="ADD394" w:themeColor="accent6" w:themeTint="90" w:sz="4" w:space="0"/>
        <w:insideV w:val="single" w:color="ADD394" w:themeColor="accent6" w:themeTint="90" w:sz="4" w:space="0"/>
      </w:tblBorders>
    </w:tblPr>
    <w:tblStylePr w:type="firstRow">
      <w:rPr>
        <w:rFonts w:ascii="Arial" w:hAnsi="Arial"/>
        <w:b/>
        <w:color w:val="416429" w:themeColor="accent6" w:themeShade="94"/>
        <w:sz w:val="22"/>
      </w:rPr>
      <w:tcPr>
        <w:tcBorders>
          <w:top w:val="nil"/>
          <w:left w:val="nil"/>
          <w:bottom w:val="single" w:color="ADD394" w:themeColor="accent6" w:themeTint="90" w:sz="4" w:space="0"/>
          <w:right w:val="nil"/>
        </w:tcBorders>
        <w:shd w:val="clear" w:color="FFFFFF" w:fill="FFFFFF"/>
      </w:tcPr>
    </w:tblStylePr>
    <w:tblStylePr w:type="lastRow">
      <w:rPr>
        <w:rFonts w:ascii="Arial" w:hAnsi="Arial"/>
        <w:b/>
        <w:color w:val="416429" w:themeColor="accent6" w:themeShade="94"/>
        <w:sz w:val="22"/>
      </w:rPr>
      <w:tcPr>
        <w:tcBorders>
          <w:top w:val="single" w:color="ADD394" w:themeColor="accent6" w:themeTint="90" w:sz="4" w:space="0"/>
          <w:left w:val="nil"/>
          <w:bottom w:val="nil"/>
          <w:right w:val="nil"/>
        </w:tcBorders>
        <w:shd w:val="clear" w:color="FFFFFF" w:fill="FFFFFF"/>
      </w:tcPr>
    </w:tblStylePr>
    <w:tblStylePr w:type="firstCol">
      <w:pPr>
        <w:jc w:val="right"/>
      </w:pPr>
      <w:rPr>
        <w:rFonts w:ascii="Arial" w:hAnsi="Arial"/>
        <w:i/>
        <w:color w:val="416429" w:themeColor="accent6" w:themeShade="94"/>
        <w:sz w:val="22"/>
      </w:rPr>
      <w:tcPr>
        <w:tcBorders>
          <w:top w:val="nil"/>
          <w:left w:val="nil"/>
          <w:bottom w:val="nil"/>
          <w:right w:val="single" w:color="ADD394" w:themeColor="accent6" w:themeTint="90" w:sz="4" w:space="0"/>
        </w:tcBorders>
        <w:shd w:val="clear" w:color="FFFFFF" w:fill="auto"/>
      </w:tcPr>
    </w:tblStylePr>
    <w:tblStylePr w:type="lastCol">
      <w:rPr>
        <w:rFonts w:ascii="Arial" w:hAnsi="Arial"/>
        <w:i/>
        <w:color w:val="416429" w:themeColor="accent6" w:themeShade="94"/>
        <w:sz w:val="22"/>
      </w:rPr>
      <w:tcPr>
        <w:tcBorders>
          <w:top w:val="nil"/>
          <w:left w:val="single" w:color="ADD394" w:themeColor="accent6" w:themeTint="90" w:sz="4" w:space="0"/>
          <w:bottom w:val="nil"/>
          <w:right w:val="nil"/>
        </w:tcBorders>
        <w:shd w:val="clear" w:color="FFFFFF" w:fill="auto"/>
      </w:tcPr>
    </w:tblStylePr>
    <w:tblStylePr w:type="band1Vert">
      <w:tcPr>
        <w:shd w:val="clear" w:color="FDE9D9" w:fill="FDE9D9"/>
      </w:tcPr>
    </w:tblStylePr>
    <w:tblStylePr w:type="band1Horz">
      <w:rPr>
        <w:rFonts w:ascii="Arial" w:hAnsi="Arial"/>
        <w:color w:val="416429" w:themeColor="accent6" w:themeShade="94"/>
        <w:sz w:val="22"/>
      </w:rPr>
      <w:tcPr>
        <w:shd w:val="clear" w:color="FDE9D9" w:fill="FDE9D9"/>
      </w:tcPr>
    </w:tblStylePr>
    <w:tblStylePr w:type="band2Horz">
      <w:rPr>
        <w:rFonts w:ascii="Arial" w:hAnsi="Arial"/>
        <w:color w:val="416429" w:themeColor="accent6" w:themeShade="94"/>
        <w:sz w:val="22"/>
      </w:rPr>
    </w:tblStylePr>
  </w:style>
  <w:style w:type="table" w:customStyle="1" w:styleId="322">
    <w:name w:val="ListTable1Light0"/>
    <w:basedOn w:val="37"/>
    <w:qFormat/>
    <w:uiPriority w:val="99"/>
    <w:tblStylePr w:type="firstRow">
      <w:rPr>
        <w:b/>
        <w:color w:val="404040"/>
      </w:rPr>
      <w:tcPr>
        <w:tcBorders>
          <w:top w:val="nil"/>
          <w:left w:val="nil"/>
          <w:bottom w:val="single" w:color="000000" w:themeColor="text1" w:sz="4" w:space="0"/>
          <w:right w:val="nil"/>
        </w:tcBorders>
      </w:tcPr>
    </w:tblStylePr>
    <w:tblStylePr w:type="lastRow">
      <w:rPr>
        <w:b/>
        <w:color w:val="404040"/>
      </w:rPr>
      <w:tcPr>
        <w:tcBorders>
          <w:top w:val="single" w:color="000000" w:themeColor="text1" w:sz="4" w:space="0"/>
          <w:left w:val="nil"/>
          <w:bottom w:val="nil"/>
          <w:right w:val="nil"/>
        </w:tcBorders>
      </w:tcPr>
    </w:tblStylePr>
    <w:tblStylePr w:type="firstCol">
      <w:rPr>
        <w:b/>
        <w:color w:val="404040"/>
      </w:rPr>
    </w:tblStylePr>
    <w:tblStylePr w:type="lastCol">
      <w:rPr>
        <w:b/>
        <w:color w:val="404040"/>
      </w:rPr>
    </w:tblStylePr>
    <w:tblStylePr w:type="band1Vert">
      <w:tcPr>
        <w:shd w:val="clear" w:color="BEBEBE" w:fill="BEBEBE"/>
      </w:tcPr>
    </w:tblStylePr>
    <w:tblStylePr w:type="band1Horz">
      <w:tcPr>
        <w:shd w:val="clear" w:color="BEBEBE" w:fill="BEBEBE"/>
      </w:tcPr>
    </w:tblStylePr>
  </w:style>
  <w:style w:type="table" w:customStyle="1" w:styleId="323">
    <w:name w:val="ListTable1Light-Accent10"/>
    <w:basedOn w:val="37"/>
    <w:qFormat/>
    <w:uiPriority w:val="99"/>
    <w:tblStylePr w:type="firstRow">
      <w:rPr>
        <w:b/>
        <w:color w:val="404040"/>
      </w:rPr>
      <w:tcPr>
        <w:tcBorders>
          <w:top w:val="nil"/>
          <w:left w:val="nil"/>
          <w:bottom w:val="single" w:color="5B9BD5" w:themeColor="accent1" w:sz="4" w:space="0"/>
          <w:right w:val="nil"/>
        </w:tcBorders>
      </w:tcPr>
    </w:tblStylePr>
    <w:tblStylePr w:type="lastRow">
      <w:rPr>
        <w:b/>
        <w:color w:val="404040"/>
      </w:rPr>
      <w:tcPr>
        <w:tcBorders>
          <w:top w:val="single" w:color="5B9BD5" w:themeColor="accent1" w:sz="4" w:space="0"/>
          <w:left w:val="nil"/>
          <w:bottom w:val="nil"/>
          <w:right w:val="nil"/>
        </w:tcBorders>
      </w:tcPr>
    </w:tblStylePr>
    <w:tblStylePr w:type="firstCol">
      <w:rPr>
        <w:b/>
        <w:color w:val="404040"/>
      </w:rPr>
    </w:tblStylePr>
    <w:tblStylePr w:type="lastCol">
      <w:rPr>
        <w:b/>
        <w:color w:val="404040"/>
      </w:rPr>
    </w:tblStylePr>
    <w:tblStylePr w:type="band1Vert">
      <w:tcPr>
        <w:shd w:val="clear" w:color="D2DFEE" w:fill="D2DFEE"/>
      </w:tcPr>
    </w:tblStylePr>
    <w:tblStylePr w:type="band1Horz">
      <w:tcPr>
        <w:shd w:val="clear" w:color="D2DFEE" w:fill="D2DFEE"/>
      </w:tcPr>
    </w:tblStylePr>
  </w:style>
  <w:style w:type="table" w:customStyle="1" w:styleId="324">
    <w:name w:val="ListTable1Light-Accent20"/>
    <w:basedOn w:val="37"/>
    <w:qFormat/>
    <w:uiPriority w:val="99"/>
    <w:tblStylePr w:type="firstRow">
      <w:rPr>
        <w:b/>
        <w:color w:val="404040"/>
      </w:rPr>
      <w:tcPr>
        <w:tcBorders>
          <w:top w:val="nil"/>
          <w:left w:val="nil"/>
          <w:bottom w:val="single" w:color="ED7D31" w:themeColor="accent2" w:sz="4" w:space="0"/>
          <w:right w:val="nil"/>
        </w:tcBorders>
      </w:tcPr>
    </w:tblStylePr>
    <w:tblStylePr w:type="lastRow">
      <w:rPr>
        <w:b/>
        <w:color w:val="404040"/>
      </w:rPr>
      <w:tcPr>
        <w:tcBorders>
          <w:top w:val="single" w:color="ED7D31" w:themeColor="accent2" w:sz="4" w:space="0"/>
          <w:left w:val="nil"/>
          <w:bottom w:val="nil"/>
          <w:right w:val="nil"/>
        </w:tcBorders>
      </w:tcPr>
    </w:tblStylePr>
    <w:tblStylePr w:type="firstCol">
      <w:rPr>
        <w:b/>
        <w:color w:val="404040"/>
      </w:rPr>
    </w:tblStylePr>
    <w:tblStylePr w:type="lastCol">
      <w:rPr>
        <w:b/>
        <w:color w:val="404040"/>
      </w:rPr>
    </w:tblStylePr>
    <w:tblStylePr w:type="band1Vert">
      <w:tcPr>
        <w:shd w:val="clear" w:color="EFD3D2" w:fill="EFD3D2"/>
      </w:tcPr>
    </w:tblStylePr>
    <w:tblStylePr w:type="band1Horz">
      <w:tcPr>
        <w:shd w:val="clear" w:color="EFD3D2" w:fill="EFD3D2"/>
      </w:tcPr>
    </w:tblStylePr>
  </w:style>
  <w:style w:type="table" w:customStyle="1" w:styleId="325">
    <w:name w:val="ListTable1Light-Accent30"/>
    <w:basedOn w:val="37"/>
    <w:qFormat/>
    <w:uiPriority w:val="99"/>
    <w:tblStylePr w:type="firstRow">
      <w:rPr>
        <w:b/>
        <w:color w:val="404040"/>
      </w:rPr>
      <w:tcPr>
        <w:tcBorders>
          <w:top w:val="nil"/>
          <w:left w:val="nil"/>
          <w:bottom w:val="single" w:color="A5A5A5" w:themeColor="accent3" w:sz="4" w:space="0"/>
          <w:right w:val="nil"/>
        </w:tcBorders>
      </w:tcPr>
    </w:tblStylePr>
    <w:tblStylePr w:type="lastRow">
      <w:rPr>
        <w:b/>
        <w:color w:val="404040"/>
      </w:rPr>
      <w:tcPr>
        <w:tcBorders>
          <w:top w:val="single" w:color="A5A5A5" w:themeColor="accent3" w:sz="4" w:space="0"/>
          <w:left w:val="nil"/>
          <w:bottom w:val="nil"/>
          <w:right w:val="nil"/>
        </w:tcBorders>
      </w:tcPr>
    </w:tblStylePr>
    <w:tblStylePr w:type="firstCol">
      <w:rPr>
        <w:b/>
        <w:color w:val="404040"/>
      </w:rPr>
    </w:tblStylePr>
    <w:tblStylePr w:type="lastCol">
      <w:rPr>
        <w:b/>
        <w:color w:val="404040"/>
      </w:rPr>
    </w:tblStylePr>
    <w:tblStylePr w:type="band1Vert">
      <w:tcPr>
        <w:shd w:val="clear" w:color="E5EDD5" w:fill="E5EDD5"/>
      </w:tcPr>
    </w:tblStylePr>
    <w:tblStylePr w:type="band1Horz">
      <w:tcPr>
        <w:shd w:val="clear" w:color="E5EDD5" w:fill="E5EDD5"/>
      </w:tcPr>
    </w:tblStylePr>
  </w:style>
  <w:style w:type="table" w:customStyle="1" w:styleId="326">
    <w:name w:val="ListTable1Light-Accent40"/>
    <w:basedOn w:val="37"/>
    <w:qFormat/>
    <w:uiPriority w:val="99"/>
    <w:tblStylePr w:type="firstRow">
      <w:rPr>
        <w:b/>
        <w:color w:val="404040"/>
      </w:rPr>
      <w:tcPr>
        <w:tcBorders>
          <w:top w:val="nil"/>
          <w:left w:val="nil"/>
          <w:bottom w:val="single" w:color="FFC000" w:themeColor="accent4" w:sz="4" w:space="0"/>
          <w:right w:val="nil"/>
        </w:tcBorders>
      </w:tcPr>
    </w:tblStylePr>
    <w:tblStylePr w:type="lastRow">
      <w:rPr>
        <w:b/>
        <w:color w:val="404040"/>
      </w:rPr>
      <w:tcPr>
        <w:tcBorders>
          <w:top w:val="single" w:color="FFC000" w:themeColor="accent4" w:sz="4" w:space="0"/>
          <w:left w:val="nil"/>
          <w:bottom w:val="nil"/>
          <w:right w:val="nil"/>
        </w:tcBorders>
      </w:tcPr>
    </w:tblStylePr>
    <w:tblStylePr w:type="firstCol">
      <w:rPr>
        <w:b/>
        <w:color w:val="404040"/>
      </w:rPr>
    </w:tblStylePr>
    <w:tblStylePr w:type="lastCol">
      <w:rPr>
        <w:b/>
        <w:color w:val="404040"/>
      </w:rPr>
    </w:tblStylePr>
    <w:tblStylePr w:type="band1Vert">
      <w:tcPr>
        <w:shd w:val="clear" w:color="DFD8E7" w:fill="DFD8E7"/>
      </w:tcPr>
    </w:tblStylePr>
    <w:tblStylePr w:type="band1Horz">
      <w:tcPr>
        <w:shd w:val="clear" w:color="DFD8E7" w:fill="DFD8E7"/>
      </w:tcPr>
    </w:tblStylePr>
  </w:style>
  <w:style w:type="table" w:customStyle="1" w:styleId="327">
    <w:name w:val="ListTable1Light-Accent50"/>
    <w:basedOn w:val="37"/>
    <w:qFormat/>
    <w:uiPriority w:val="99"/>
    <w:tblStylePr w:type="firstRow">
      <w:rPr>
        <w:b/>
        <w:color w:val="404040"/>
      </w:rPr>
      <w:tcPr>
        <w:tcBorders>
          <w:top w:val="nil"/>
          <w:left w:val="nil"/>
          <w:bottom w:val="single" w:color="4472C4" w:themeColor="accent5" w:sz="4" w:space="0"/>
          <w:right w:val="nil"/>
        </w:tcBorders>
      </w:tcPr>
    </w:tblStylePr>
    <w:tblStylePr w:type="lastRow">
      <w:rPr>
        <w:b/>
        <w:color w:val="404040"/>
      </w:rPr>
      <w:tcPr>
        <w:tcBorders>
          <w:top w:val="single" w:color="4472C4" w:themeColor="accent5" w:sz="4" w:space="0"/>
          <w:left w:val="nil"/>
          <w:bottom w:val="nil"/>
          <w:right w:val="nil"/>
        </w:tcBorders>
      </w:tcPr>
    </w:tblStylePr>
    <w:tblStylePr w:type="firstCol">
      <w:rPr>
        <w:b/>
        <w:color w:val="404040"/>
      </w:rPr>
    </w:tblStylePr>
    <w:tblStylePr w:type="lastCol">
      <w:rPr>
        <w:b/>
        <w:color w:val="404040"/>
      </w:rPr>
    </w:tblStylePr>
    <w:tblStylePr w:type="band1Vert">
      <w:tcPr>
        <w:shd w:val="clear" w:color="D1EAF0" w:fill="D1EAF0"/>
      </w:tcPr>
    </w:tblStylePr>
    <w:tblStylePr w:type="band1Horz">
      <w:tcPr>
        <w:shd w:val="clear" w:color="D1EAF0" w:fill="D1EAF0"/>
      </w:tcPr>
    </w:tblStylePr>
  </w:style>
  <w:style w:type="table" w:customStyle="1" w:styleId="328">
    <w:name w:val="ListTable1Light-Accent60"/>
    <w:basedOn w:val="37"/>
    <w:qFormat/>
    <w:uiPriority w:val="99"/>
    <w:tblStylePr w:type="firstRow">
      <w:rPr>
        <w:b/>
        <w:color w:val="404040"/>
      </w:rPr>
      <w:tcPr>
        <w:tcBorders>
          <w:top w:val="nil"/>
          <w:left w:val="nil"/>
          <w:bottom w:val="single" w:color="70AD47" w:themeColor="accent6" w:sz="4" w:space="0"/>
          <w:right w:val="nil"/>
        </w:tcBorders>
      </w:tcPr>
    </w:tblStylePr>
    <w:tblStylePr w:type="lastRow">
      <w:rPr>
        <w:b/>
        <w:color w:val="404040"/>
      </w:rPr>
      <w:tcPr>
        <w:tcBorders>
          <w:top w:val="single" w:color="70AD47" w:themeColor="accent6" w:sz="4" w:space="0"/>
          <w:left w:val="nil"/>
          <w:bottom w:val="nil"/>
          <w:right w:val="nil"/>
        </w:tcBorders>
      </w:tcPr>
    </w:tblStylePr>
    <w:tblStylePr w:type="firstCol">
      <w:rPr>
        <w:b/>
        <w:color w:val="404040"/>
      </w:rPr>
    </w:tblStylePr>
    <w:tblStylePr w:type="lastCol">
      <w:rPr>
        <w:b/>
        <w:color w:val="404040"/>
      </w:rPr>
    </w:tblStylePr>
    <w:tblStylePr w:type="band1Vert">
      <w:tcPr>
        <w:shd w:val="clear" w:color="FCE4D0" w:fill="FCE4D0"/>
      </w:tcPr>
    </w:tblStylePr>
    <w:tblStylePr w:type="band1Horz">
      <w:tcPr>
        <w:shd w:val="clear" w:color="FCE4D0" w:fill="FCE4D0"/>
      </w:tcPr>
    </w:tblStylePr>
  </w:style>
  <w:style w:type="table" w:customStyle="1" w:styleId="329">
    <w:name w:val="ListTable20"/>
    <w:basedOn w:val="37"/>
    <w:qFormat/>
    <w:uiPriority w:val="99"/>
    <w:tblPr>
      <w:tblBorders>
        <w:top w:val="single" w:color="6E6E6E" w:themeColor="text1" w:themeTint="90" w:sz="4" w:space="0"/>
        <w:bottom w:val="single" w:color="6E6E6E" w:themeColor="text1" w:themeTint="90" w:sz="4" w:space="0"/>
        <w:insideH w:val="single" w:color="6E6E6E" w:themeColor="text1" w:themeTint="90" w:sz="4" w:space="0"/>
      </w:tblBorders>
    </w:tblPr>
    <w:tblStylePr w:type="firstRow">
      <w:rPr>
        <w:rFonts w:ascii="Arial" w:hAnsi="Arial"/>
        <w:b/>
        <w:color w:val="404040"/>
        <w:sz w:val="22"/>
      </w:rPr>
      <w:tcPr>
        <w:tcBorders>
          <w:top w:val="single" w:color="6E6E6E" w:themeColor="text1" w:themeTint="90" w:sz="4" w:space="0"/>
          <w:left w:val="nil"/>
          <w:bottom w:val="single" w:color="6E6E6E" w:themeColor="text1" w:themeTint="90" w:sz="4" w:space="0"/>
          <w:right w:val="nil"/>
        </w:tcBorders>
      </w:tcPr>
    </w:tblStylePr>
    <w:tblStylePr w:type="lastRow">
      <w:rPr>
        <w:rFonts w:ascii="Arial" w:hAnsi="Arial"/>
        <w:b/>
        <w:color w:val="404040"/>
        <w:sz w:val="22"/>
      </w:rPr>
      <w:tcPr>
        <w:tcBorders>
          <w:top w:val="single" w:color="6E6E6E" w:themeColor="text1" w:themeTint="90" w:sz="4" w:space="0"/>
          <w:left w:val="nil"/>
          <w:bottom w:val="single" w:color="6E6E6E" w:themeColor="text1"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BEBEBE" w:fill="BEBEBE"/>
      </w:tcPr>
    </w:tblStylePr>
    <w:tblStylePr w:type="band1Horz">
      <w:rPr>
        <w:rFonts w:ascii="Arial" w:hAnsi="Arial"/>
        <w:color w:val="404040"/>
        <w:sz w:val="22"/>
      </w:rPr>
      <w:tcPr>
        <w:shd w:val="clear" w:color="BEBEBE" w:fill="BEBEBE"/>
      </w:tcPr>
    </w:tblStylePr>
  </w:style>
  <w:style w:type="table" w:customStyle="1" w:styleId="330">
    <w:name w:val="ListTable2-Accent10"/>
    <w:basedOn w:val="37"/>
    <w:qFormat/>
    <w:uiPriority w:val="99"/>
    <w:tblPr>
      <w:tblBorders>
        <w:top w:val="single" w:color="A2C6E7" w:themeColor="accent1" w:themeTint="90" w:sz="4" w:space="0"/>
        <w:bottom w:val="single" w:color="A2C6E7" w:themeColor="accent1" w:themeTint="90" w:sz="4" w:space="0"/>
        <w:insideH w:val="single" w:color="A2C6E7" w:themeColor="accent1" w:themeTint="90" w:sz="4" w:space="0"/>
      </w:tblBorders>
    </w:tblPr>
    <w:tblStylePr w:type="firstRow">
      <w:rPr>
        <w:rFonts w:ascii="Arial" w:hAnsi="Arial"/>
        <w:b/>
        <w:color w:val="404040"/>
        <w:sz w:val="22"/>
      </w:rPr>
      <w:tcPr>
        <w:tcBorders>
          <w:top w:val="single" w:color="A2C6E7" w:themeColor="accent1" w:themeTint="90" w:sz="4" w:space="0"/>
          <w:left w:val="nil"/>
          <w:bottom w:val="single" w:color="A2C6E7" w:themeColor="accent1" w:themeTint="90" w:sz="4" w:space="0"/>
          <w:right w:val="nil"/>
        </w:tcBorders>
      </w:tcPr>
    </w:tblStylePr>
    <w:tblStylePr w:type="lastRow">
      <w:rPr>
        <w:rFonts w:ascii="Arial" w:hAnsi="Arial"/>
        <w:b/>
        <w:color w:val="404040"/>
        <w:sz w:val="22"/>
      </w:rPr>
      <w:tcPr>
        <w:tcBorders>
          <w:top w:val="single" w:color="A2C6E7" w:themeColor="accent1" w:themeTint="90" w:sz="4" w:space="0"/>
          <w:left w:val="nil"/>
          <w:bottom w:val="single" w:color="A2C6E7" w:themeColor="accent1"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D2DFEE" w:fill="D2DFEE"/>
      </w:tcPr>
    </w:tblStylePr>
    <w:tblStylePr w:type="band1Horz">
      <w:rPr>
        <w:rFonts w:ascii="Arial" w:hAnsi="Arial"/>
        <w:color w:val="404040"/>
        <w:sz w:val="22"/>
      </w:rPr>
      <w:tcPr>
        <w:shd w:val="clear" w:color="D2DFEE" w:fill="D2DFEE"/>
      </w:tcPr>
    </w:tblStylePr>
  </w:style>
  <w:style w:type="table" w:customStyle="1" w:styleId="331">
    <w:name w:val="ListTable2-Accent20"/>
    <w:basedOn w:val="37"/>
    <w:qFormat/>
    <w:uiPriority w:val="99"/>
    <w:tblPr>
      <w:tblBorders>
        <w:top w:val="single" w:color="F4B58A" w:themeColor="accent2" w:themeTint="90" w:sz="4" w:space="0"/>
        <w:bottom w:val="single" w:color="F4B58A" w:themeColor="accent2" w:themeTint="90" w:sz="4" w:space="0"/>
        <w:insideH w:val="single" w:color="F4B58A" w:themeColor="accent2" w:themeTint="90" w:sz="4" w:space="0"/>
      </w:tblBorders>
    </w:tblPr>
    <w:tblStylePr w:type="firstRow">
      <w:rPr>
        <w:rFonts w:ascii="Arial" w:hAnsi="Arial"/>
        <w:b/>
        <w:color w:val="404040"/>
        <w:sz w:val="22"/>
      </w:rPr>
      <w:tcPr>
        <w:tcBorders>
          <w:top w:val="single" w:color="F4B58A" w:themeColor="accent2" w:themeTint="90" w:sz="4" w:space="0"/>
          <w:left w:val="nil"/>
          <w:bottom w:val="single" w:color="F4B58A" w:themeColor="accent2" w:themeTint="90" w:sz="4" w:space="0"/>
          <w:right w:val="nil"/>
        </w:tcBorders>
      </w:tcPr>
    </w:tblStylePr>
    <w:tblStylePr w:type="lastRow">
      <w:rPr>
        <w:rFonts w:ascii="Arial" w:hAnsi="Arial"/>
        <w:b/>
        <w:color w:val="404040"/>
        <w:sz w:val="22"/>
      </w:rPr>
      <w:tcPr>
        <w:tcBorders>
          <w:top w:val="single" w:color="F4B58A" w:themeColor="accent2" w:themeTint="90" w:sz="4" w:space="0"/>
          <w:left w:val="nil"/>
          <w:bottom w:val="single" w:color="F4B58A" w:themeColor="accent2"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EFD3D2" w:fill="EFD3D2"/>
      </w:tcPr>
    </w:tblStylePr>
    <w:tblStylePr w:type="band1Horz">
      <w:rPr>
        <w:rFonts w:ascii="Arial" w:hAnsi="Arial"/>
        <w:color w:val="404040"/>
        <w:sz w:val="22"/>
      </w:rPr>
      <w:tcPr>
        <w:shd w:val="clear" w:color="EFD3D2" w:fill="EFD3D2"/>
      </w:tcPr>
    </w:tblStylePr>
  </w:style>
  <w:style w:type="table" w:customStyle="1" w:styleId="332">
    <w:name w:val="ListTable2-Accent30"/>
    <w:basedOn w:val="37"/>
    <w:qFormat/>
    <w:uiPriority w:val="99"/>
    <w:tblPr>
      <w:tblBorders>
        <w:top w:val="single" w:color="CCCCCC" w:themeColor="accent3" w:themeTint="90" w:sz="4" w:space="0"/>
        <w:bottom w:val="single" w:color="CCCCCC" w:themeColor="accent3" w:themeTint="90" w:sz="4" w:space="0"/>
        <w:insideH w:val="single" w:color="CCCCCC" w:themeColor="accent3" w:themeTint="90" w:sz="4" w:space="0"/>
      </w:tblBorders>
    </w:tblPr>
    <w:tblStylePr w:type="firstRow">
      <w:rPr>
        <w:rFonts w:ascii="Arial" w:hAnsi="Arial"/>
        <w:b/>
        <w:color w:val="404040"/>
        <w:sz w:val="22"/>
      </w:rPr>
      <w:tcPr>
        <w:tcBorders>
          <w:top w:val="single" w:color="CCCCCC" w:themeColor="accent3" w:themeTint="90" w:sz="4" w:space="0"/>
          <w:left w:val="nil"/>
          <w:bottom w:val="single" w:color="CCCCCC" w:themeColor="accent3" w:themeTint="90" w:sz="4" w:space="0"/>
          <w:right w:val="nil"/>
        </w:tcBorders>
      </w:tcPr>
    </w:tblStylePr>
    <w:tblStylePr w:type="lastRow">
      <w:rPr>
        <w:rFonts w:ascii="Arial" w:hAnsi="Arial"/>
        <w:b/>
        <w:color w:val="404040"/>
        <w:sz w:val="22"/>
      </w:rPr>
      <w:tcPr>
        <w:tcBorders>
          <w:top w:val="single" w:color="CCCCCC" w:themeColor="accent3" w:themeTint="90" w:sz="4" w:space="0"/>
          <w:left w:val="nil"/>
          <w:bottom w:val="single" w:color="CCCCCC" w:themeColor="accent3"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E5EDD5" w:fill="E5EDD5"/>
      </w:tcPr>
    </w:tblStylePr>
    <w:tblStylePr w:type="band1Horz">
      <w:rPr>
        <w:rFonts w:ascii="Arial" w:hAnsi="Arial"/>
        <w:color w:val="404040"/>
        <w:sz w:val="22"/>
      </w:rPr>
      <w:tcPr>
        <w:shd w:val="clear" w:color="E5EDD5" w:fill="E5EDD5"/>
      </w:tcPr>
    </w:tblStylePr>
  </w:style>
  <w:style w:type="table" w:customStyle="1" w:styleId="333">
    <w:name w:val="ListTable2-Accent40"/>
    <w:basedOn w:val="37"/>
    <w:qFormat/>
    <w:uiPriority w:val="99"/>
    <w:tblPr>
      <w:tblBorders>
        <w:top w:val="single" w:color="FFDB6E" w:themeColor="accent4" w:themeTint="90" w:sz="4" w:space="0"/>
        <w:bottom w:val="single" w:color="FFDB6E" w:themeColor="accent4" w:themeTint="90" w:sz="4" w:space="0"/>
        <w:insideH w:val="single" w:color="FFDB6E" w:themeColor="accent4" w:themeTint="90" w:sz="4" w:space="0"/>
      </w:tblBorders>
    </w:tblPr>
    <w:tblStylePr w:type="firstRow">
      <w:rPr>
        <w:rFonts w:ascii="Arial" w:hAnsi="Arial"/>
        <w:b/>
        <w:color w:val="404040"/>
        <w:sz w:val="22"/>
      </w:rPr>
      <w:tcPr>
        <w:tcBorders>
          <w:top w:val="single" w:color="FFDB6E" w:themeColor="accent4" w:themeTint="90" w:sz="4" w:space="0"/>
          <w:left w:val="nil"/>
          <w:bottom w:val="single" w:color="FFDB6E" w:themeColor="accent4" w:themeTint="90" w:sz="4" w:space="0"/>
          <w:right w:val="nil"/>
        </w:tcBorders>
      </w:tcPr>
    </w:tblStylePr>
    <w:tblStylePr w:type="lastRow">
      <w:rPr>
        <w:rFonts w:ascii="Arial" w:hAnsi="Arial"/>
        <w:b/>
        <w:color w:val="404040"/>
        <w:sz w:val="22"/>
      </w:rPr>
      <w:tcPr>
        <w:tcBorders>
          <w:top w:val="single" w:color="FFDB6E" w:themeColor="accent4" w:themeTint="90" w:sz="4" w:space="0"/>
          <w:left w:val="nil"/>
          <w:bottom w:val="single" w:color="FFDB6E" w:themeColor="accent4"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DFD8E7" w:fill="DFD8E7"/>
      </w:tcPr>
    </w:tblStylePr>
    <w:tblStylePr w:type="band1Horz">
      <w:rPr>
        <w:rFonts w:ascii="Arial" w:hAnsi="Arial"/>
        <w:color w:val="404040"/>
        <w:sz w:val="22"/>
      </w:rPr>
      <w:tcPr>
        <w:shd w:val="clear" w:color="DFD8E7" w:fill="DFD8E7"/>
      </w:tcPr>
    </w:tblStylePr>
  </w:style>
  <w:style w:type="table" w:customStyle="1" w:styleId="334">
    <w:name w:val="ListTable2-Accent50"/>
    <w:basedOn w:val="37"/>
    <w:qFormat/>
    <w:uiPriority w:val="99"/>
    <w:tblPr>
      <w:tblBorders>
        <w:top w:val="single" w:color="95AFDD" w:themeColor="accent5" w:themeTint="90" w:sz="4" w:space="0"/>
        <w:bottom w:val="single" w:color="95AFDD" w:themeColor="accent5" w:themeTint="90" w:sz="4" w:space="0"/>
        <w:insideH w:val="single" w:color="95AFDD" w:themeColor="accent5" w:themeTint="90" w:sz="4" w:space="0"/>
      </w:tblBorders>
    </w:tblPr>
    <w:tblStylePr w:type="firstRow">
      <w:rPr>
        <w:rFonts w:ascii="Arial" w:hAnsi="Arial"/>
        <w:b/>
        <w:color w:val="404040"/>
        <w:sz w:val="22"/>
      </w:rPr>
      <w:tcPr>
        <w:tcBorders>
          <w:top w:val="single" w:color="95AFDD" w:themeColor="accent5" w:themeTint="90" w:sz="4" w:space="0"/>
          <w:left w:val="nil"/>
          <w:bottom w:val="single" w:color="95AFDD" w:themeColor="accent5" w:themeTint="90" w:sz="4" w:space="0"/>
          <w:right w:val="nil"/>
        </w:tcBorders>
      </w:tcPr>
    </w:tblStylePr>
    <w:tblStylePr w:type="lastRow">
      <w:rPr>
        <w:rFonts w:ascii="Arial" w:hAnsi="Arial"/>
        <w:b/>
        <w:color w:val="404040"/>
        <w:sz w:val="22"/>
      </w:rPr>
      <w:tcPr>
        <w:tcBorders>
          <w:top w:val="single" w:color="95AFDD" w:themeColor="accent5" w:themeTint="90" w:sz="4" w:space="0"/>
          <w:left w:val="nil"/>
          <w:bottom w:val="single" w:color="95AFDD" w:themeColor="accent5"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D1EAF0" w:fill="D1EAF0"/>
      </w:tcPr>
    </w:tblStylePr>
    <w:tblStylePr w:type="band1Horz">
      <w:rPr>
        <w:rFonts w:ascii="Arial" w:hAnsi="Arial"/>
        <w:color w:val="404040"/>
        <w:sz w:val="22"/>
      </w:rPr>
      <w:tcPr>
        <w:shd w:val="clear" w:color="D1EAF0" w:fill="D1EAF0"/>
      </w:tcPr>
    </w:tblStylePr>
  </w:style>
  <w:style w:type="table" w:customStyle="1" w:styleId="335">
    <w:name w:val="ListTable2-Accent60"/>
    <w:basedOn w:val="37"/>
    <w:qFormat/>
    <w:uiPriority w:val="99"/>
    <w:tblPr>
      <w:tblBorders>
        <w:top w:val="single" w:color="ADD394" w:themeColor="accent6" w:themeTint="90" w:sz="4" w:space="0"/>
        <w:bottom w:val="single" w:color="ADD394" w:themeColor="accent6" w:themeTint="90" w:sz="4" w:space="0"/>
        <w:insideH w:val="single" w:color="ADD394" w:themeColor="accent6" w:themeTint="90" w:sz="4" w:space="0"/>
      </w:tblBorders>
    </w:tblPr>
    <w:tblStylePr w:type="firstRow">
      <w:rPr>
        <w:rFonts w:ascii="Arial" w:hAnsi="Arial"/>
        <w:b/>
        <w:color w:val="404040"/>
        <w:sz w:val="22"/>
      </w:rPr>
      <w:tcPr>
        <w:tcBorders>
          <w:top w:val="single" w:color="ADD394" w:themeColor="accent6" w:themeTint="90" w:sz="4" w:space="0"/>
          <w:left w:val="nil"/>
          <w:bottom w:val="single" w:color="ADD394" w:themeColor="accent6" w:themeTint="90" w:sz="4" w:space="0"/>
          <w:right w:val="nil"/>
        </w:tcBorders>
      </w:tcPr>
    </w:tblStylePr>
    <w:tblStylePr w:type="lastRow">
      <w:rPr>
        <w:rFonts w:ascii="Arial" w:hAnsi="Arial"/>
        <w:b/>
        <w:color w:val="404040"/>
        <w:sz w:val="22"/>
      </w:rPr>
      <w:tcPr>
        <w:tcBorders>
          <w:top w:val="single" w:color="ADD394" w:themeColor="accent6" w:themeTint="90" w:sz="4" w:space="0"/>
          <w:left w:val="nil"/>
          <w:bottom w:val="single" w:color="ADD394" w:themeColor="accent6" w:themeTint="90" w:sz="4" w:space="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cPr>
        <w:shd w:val="clear" w:color="FCE4D0" w:fill="FCE4D0"/>
      </w:tcPr>
    </w:tblStylePr>
    <w:tblStylePr w:type="band1Horz">
      <w:rPr>
        <w:rFonts w:ascii="Arial" w:hAnsi="Arial"/>
        <w:color w:val="404040"/>
        <w:sz w:val="22"/>
      </w:rPr>
      <w:tcPr>
        <w:shd w:val="clear" w:color="FCE4D0" w:fill="FCE4D0"/>
      </w:tcPr>
    </w:tblStylePr>
  </w:style>
  <w:style w:type="table" w:customStyle="1" w:styleId="336">
    <w:name w:val="ListTable30"/>
    <w:basedOn w:val="37"/>
    <w:qFormat/>
    <w:uiPriority w:val="99"/>
    <w:tblPr>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firstRow">
      <w:rPr>
        <w:rFonts w:ascii="Arial" w:hAnsi="Arial"/>
        <w:b/>
        <w:color w:val="FFFFFF"/>
        <w:sz w:val="22"/>
      </w:r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band1Horz">
      <w:rPr>
        <w:rFonts w:ascii="Arial" w:hAnsi="Arial"/>
        <w:color w:val="404040"/>
        <w:sz w:val="22"/>
      </w:rPr>
      <w:tcPr>
        <w:tcBorders>
          <w:top w:val="single" w:color="000000" w:themeColor="text1" w:sz="4" w:space="0"/>
          <w:bottom w:val="single" w:color="000000" w:themeColor="text1" w:sz="4" w:space="0"/>
        </w:tcBorders>
      </w:tcPr>
    </w:tblStylePr>
  </w:style>
  <w:style w:type="table" w:customStyle="1" w:styleId="337">
    <w:name w:val="ListTable3-Accent10"/>
    <w:basedOn w:val="37"/>
    <w:qFormat/>
    <w:uiPriority w:val="99"/>
    <w:tblPr>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firstRow">
      <w:rPr>
        <w:rFonts w:ascii="Arial" w:hAnsi="Arial"/>
        <w:b/>
        <w:color w:val="FFFFFF"/>
        <w:sz w:val="22"/>
      </w:r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5B9BD5" w:themeColor="accent1" w:sz="4" w:space="0"/>
          <w:right w:val="single" w:color="5B9BD5" w:themeColor="accent1" w:sz="4" w:space="0"/>
        </w:tcBorders>
      </w:tcPr>
    </w:tblStylePr>
    <w:tblStylePr w:type="band1Horz">
      <w:rPr>
        <w:rFonts w:ascii="Arial" w:hAnsi="Arial"/>
        <w:color w:val="404040"/>
        <w:sz w:val="22"/>
      </w:rPr>
      <w:tcPr>
        <w:tcBorders>
          <w:top w:val="single" w:color="5B9BD5" w:themeColor="accent1" w:sz="4" w:space="0"/>
          <w:bottom w:val="single" w:color="5B9BD5" w:themeColor="accent1" w:sz="4" w:space="0"/>
        </w:tcBorders>
      </w:tcPr>
    </w:tblStylePr>
  </w:style>
  <w:style w:type="table" w:customStyle="1" w:styleId="338">
    <w:name w:val="ListTable3-Accent20"/>
    <w:basedOn w:val="37"/>
    <w:qFormat/>
    <w:uiPriority w:val="99"/>
    <w:tblPr>
      <w:tblBorders>
        <w:top w:val="single" w:color="F4B285" w:themeColor="accent2" w:themeTint="97" w:sz="4" w:space="0"/>
        <w:left w:val="single" w:color="F4B285" w:themeColor="accent2" w:themeTint="97" w:sz="4" w:space="0"/>
        <w:bottom w:val="single" w:color="F4B285" w:themeColor="accent2" w:themeTint="97" w:sz="4" w:space="0"/>
        <w:right w:val="single" w:color="F4B285" w:themeColor="accent2" w:themeTint="97" w:sz="4" w:space="0"/>
      </w:tblBorders>
    </w:tblPr>
    <w:tblStylePr w:type="firstRow">
      <w:rPr>
        <w:rFonts w:ascii="Arial" w:hAnsi="Arial"/>
        <w:b/>
        <w:color w:val="FFFFFF"/>
        <w:sz w:val="22"/>
      </w:rPr>
      <w:tcPr>
        <w:shd w:val="clear" w:color="D99795" w:fill="D997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F4B285" w:themeColor="accent2" w:themeTint="97" w:sz="4" w:space="0"/>
          <w:right w:val="single" w:color="F4B285" w:themeColor="accent2" w:themeTint="97" w:sz="4" w:space="0"/>
        </w:tcBorders>
      </w:tcPr>
    </w:tblStylePr>
    <w:tblStylePr w:type="band1Horz">
      <w:rPr>
        <w:rFonts w:ascii="Arial" w:hAnsi="Arial"/>
        <w:color w:val="404040"/>
        <w:sz w:val="22"/>
      </w:rPr>
      <w:tcPr>
        <w:tcBorders>
          <w:top w:val="single" w:color="F4B285" w:themeColor="accent2" w:themeTint="97" w:sz="4" w:space="0"/>
          <w:bottom w:val="single" w:color="F4B285" w:themeColor="accent2" w:themeTint="97" w:sz="4" w:space="0"/>
        </w:tcBorders>
      </w:tcPr>
    </w:tblStylePr>
  </w:style>
  <w:style w:type="table" w:customStyle="1" w:styleId="339">
    <w:name w:val="ListTable3-Accent30"/>
    <w:basedOn w:val="37"/>
    <w:qFormat/>
    <w:uiPriority w:val="99"/>
    <w:tblPr>
      <w:tblBorders>
        <w:top w:val="single" w:color="C9C9C9" w:themeColor="accent3" w:themeTint="98" w:sz="4" w:space="0"/>
        <w:left w:val="single" w:color="C9C9C9" w:themeColor="accent3" w:themeTint="98" w:sz="4" w:space="0"/>
        <w:bottom w:val="single" w:color="C9C9C9" w:themeColor="accent3" w:themeTint="98" w:sz="4" w:space="0"/>
        <w:right w:val="single" w:color="C9C9C9" w:themeColor="accent3" w:themeTint="98" w:sz="4" w:space="0"/>
      </w:tblBorders>
    </w:tblPr>
    <w:tblStylePr w:type="firstRow">
      <w:rPr>
        <w:rFonts w:ascii="Arial" w:hAnsi="Arial"/>
        <w:b/>
        <w:color w:val="FFFFFF"/>
        <w:sz w:val="22"/>
      </w:rPr>
      <w:tcPr>
        <w:shd w:val="clear" w:color="C3D69C" w:fill="C3D69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C9C9C9" w:themeColor="accent3" w:themeTint="98" w:sz="4" w:space="0"/>
          <w:right w:val="single" w:color="C9C9C9" w:themeColor="accent3" w:themeTint="98" w:sz="4" w:space="0"/>
        </w:tcBorders>
      </w:tcPr>
    </w:tblStylePr>
    <w:tblStylePr w:type="band1Horz">
      <w:rPr>
        <w:rFonts w:ascii="Arial" w:hAnsi="Arial"/>
        <w:color w:val="404040"/>
        <w:sz w:val="22"/>
      </w:rPr>
      <w:tcPr>
        <w:tcBorders>
          <w:top w:val="single" w:color="C9C9C9" w:themeColor="accent3" w:themeTint="98" w:sz="4" w:space="0"/>
          <w:bottom w:val="single" w:color="C9C9C9" w:themeColor="accent3" w:themeTint="98" w:sz="4" w:space="0"/>
        </w:tcBorders>
      </w:tcPr>
    </w:tblStylePr>
  </w:style>
  <w:style w:type="table" w:customStyle="1" w:styleId="340">
    <w:name w:val="ListTable3-Accent40"/>
    <w:basedOn w:val="37"/>
    <w:qFormat/>
    <w:uiPriority w:val="99"/>
    <w:tblPr>
      <w:tblBorders>
        <w:top w:val="single" w:color="FFD864" w:themeColor="accent4" w:themeTint="9A" w:sz="4" w:space="0"/>
        <w:left w:val="single" w:color="FFD864" w:themeColor="accent4" w:themeTint="9A" w:sz="4" w:space="0"/>
        <w:bottom w:val="single" w:color="FFD864" w:themeColor="accent4" w:themeTint="9A" w:sz="4" w:space="0"/>
        <w:right w:val="single" w:color="FFD864" w:themeColor="accent4" w:themeTint="9A" w:sz="4" w:space="0"/>
      </w:tblBorders>
    </w:tblPr>
    <w:tblStylePr w:type="firstRow">
      <w:rPr>
        <w:rFonts w:ascii="Arial" w:hAnsi="Arial"/>
        <w:b/>
        <w:color w:val="FFFFFF"/>
        <w:sz w:val="22"/>
      </w:r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FFD864" w:themeColor="accent4" w:themeTint="9A" w:sz="4" w:space="0"/>
          <w:right w:val="single" w:color="FFD864" w:themeColor="accent4" w:themeTint="9A" w:sz="4" w:space="0"/>
        </w:tcBorders>
      </w:tcPr>
    </w:tblStylePr>
    <w:tblStylePr w:type="band1Horz">
      <w:rPr>
        <w:rFonts w:ascii="Arial" w:hAnsi="Arial"/>
        <w:color w:val="404040"/>
        <w:sz w:val="22"/>
      </w:rPr>
      <w:tcPr>
        <w:tcBorders>
          <w:top w:val="single" w:color="FFD864" w:themeColor="accent4" w:themeTint="9A" w:sz="4" w:space="0"/>
          <w:bottom w:val="single" w:color="FFD864" w:themeColor="accent4" w:themeTint="9A" w:sz="4" w:space="0"/>
        </w:tcBorders>
      </w:tcPr>
    </w:tblStylePr>
  </w:style>
  <w:style w:type="table" w:customStyle="1" w:styleId="341">
    <w:name w:val="ListTable3-Accent50"/>
    <w:basedOn w:val="37"/>
    <w:qFormat/>
    <w:uiPriority w:val="99"/>
    <w:tblPr>
      <w:tblBorders>
        <w:top w:val="single" w:color="8EA9DB" w:themeColor="accent5" w:themeTint="9A" w:sz="4" w:space="0"/>
        <w:left w:val="single" w:color="8EA9DB" w:themeColor="accent5" w:themeTint="9A" w:sz="4" w:space="0"/>
        <w:bottom w:val="single" w:color="8EA9DB" w:themeColor="accent5" w:themeTint="9A" w:sz="4" w:space="0"/>
        <w:right w:val="single" w:color="8EA9DB" w:themeColor="accent5" w:themeTint="9A" w:sz="4" w:space="0"/>
      </w:tblBorders>
    </w:tblPr>
    <w:tblStylePr w:type="firstRow">
      <w:rPr>
        <w:rFonts w:ascii="Arial" w:hAnsi="Arial"/>
        <w:b/>
        <w:color w:val="FFFFFF"/>
        <w:sz w:val="22"/>
      </w:r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8EA9DB" w:themeColor="accent5" w:themeTint="9A" w:sz="4" w:space="0"/>
          <w:right w:val="single" w:color="8EA9DB" w:themeColor="accent5" w:themeTint="9A" w:sz="4" w:space="0"/>
        </w:tcBorders>
      </w:tcPr>
    </w:tblStylePr>
    <w:tblStylePr w:type="band1Horz">
      <w:rPr>
        <w:rFonts w:ascii="Arial" w:hAnsi="Arial"/>
        <w:color w:val="404040"/>
        <w:sz w:val="22"/>
      </w:rPr>
      <w:tcPr>
        <w:tcBorders>
          <w:top w:val="single" w:color="8EA9DB" w:themeColor="accent5" w:themeTint="9A" w:sz="4" w:space="0"/>
          <w:bottom w:val="single" w:color="8EA9DB" w:themeColor="accent5" w:themeTint="9A" w:sz="4" w:space="0"/>
        </w:tcBorders>
      </w:tcPr>
    </w:tblStylePr>
  </w:style>
  <w:style w:type="table" w:customStyle="1" w:styleId="342">
    <w:name w:val="ListTable3-Accent60"/>
    <w:basedOn w:val="37"/>
    <w:qFormat/>
    <w:uiPriority w:val="99"/>
    <w:tblPr>
      <w:tblBorders>
        <w:top w:val="single" w:color="A9D08E" w:themeColor="accent6" w:themeTint="98" w:sz="4" w:space="0"/>
        <w:left w:val="single" w:color="A9D08E" w:themeColor="accent6" w:themeTint="98" w:sz="4" w:space="0"/>
        <w:bottom w:val="single" w:color="A9D08E" w:themeColor="accent6" w:themeTint="98" w:sz="4" w:space="0"/>
        <w:right w:val="single" w:color="A9D08E" w:themeColor="accent6" w:themeTint="98" w:sz="4" w:space="0"/>
      </w:tblBorders>
    </w:tblPr>
    <w:tblStylePr w:type="firstRow">
      <w:rPr>
        <w:rFonts w:ascii="Arial" w:hAnsi="Arial"/>
        <w:b/>
        <w:color w:val="FFFFFF"/>
        <w:sz w:val="22"/>
      </w:r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tcBorders>
          <w:left w:val="single" w:color="A9D08E" w:themeColor="accent6" w:themeTint="98" w:sz="4" w:space="0"/>
          <w:right w:val="single" w:color="A9D08E" w:themeColor="accent6" w:themeTint="98" w:sz="4" w:space="0"/>
        </w:tcBorders>
      </w:tcPr>
    </w:tblStylePr>
    <w:tblStylePr w:type="band1Horz">
      <w:rPr>
        <w:rFonts w:ascii="Arial" w:hAnsi="Arial"/>
        <w:color w:val="404040"/>
        <w:sz w:val="22"/>
      </w:rPr>
      <w:tcPr>
        <w:tcBorders>
          <w:top w:val="single" w:color="A9D08E" w:themeColor="accent6" w:themeTint="98" w:sz="4" w:space="0"/>
          <w:bottom w:val="single" w:color="A9D08E" w:themeColor="accent6" w:themeTint="98" w:sz="4" w:space="0"/>
        </w:tcBorders>
      </w:tcPr>
    </w:tblStylePr>
  </w:style>
  <w:style w:type="table" w:customStyle="1" w:styleId="343">
    <w:name w:val="ListTable40"/>
    <w:basedOn w:val="37"/>
    <w:qFormat/>
    <w:uiPriority w:val="9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firstRow">
      <w:rPr>
        <w:rFonts w:ascii="Arial" w:hAnsi="Arial"/>
        <w:b/>
        <w:color w:val="FFFFFF"/>
        <w:sz w:val="22"/>
      </w:r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BEBEBE" w:fill="BEBEBE"/>
      </w:tcPr>
    </w:tblStylePr>
    <w:tblStylePr w:type="band1Horz">
      <w:rPr>
        <w:rFonts w:ascii="Arial" w:hAnsi="Arial"/>
        <w:color w:val="404040"/>
        <w:sz w:val="22"/>
      </w:rPr>
      <w:tcPr>
        <w:shd w:val="clear" w:color="BEBEBE" w:fill="BEBEBE"/>
      </w:tcPr>
    </w:tblStylePr>
  </w:style>
  <w:style w:type="table" w:customStyle="1" w:styleId="344">
    <w:name w:val="ListTable4-Accent10"/>
    <w:basedOn w:val="37"/>
    <w:qFormat/>
    <w:uiPriority w:val="99"/>
    <w:tblPr>
      <w:tblBorders>
        <w:top w:val="single" w:color="A2C6E7" w:themeColor="accent1" w:themeTint="90" w:sz="4" w:space="0"/>
        <w:left w:val="single" w:color="A2C6E7" w:themeColor="accent1" w:themeTint="90" w:sz="4" w:space="0"/>
        <w:bottom w:val="single" w:color="A2C6E7" w:themeColor="accent1" w:themeTint="90" w:sz="4" w:space="0"/>
        <w:right w:val="single" w:color="A2C6E7" w:themeColor="accent1" w:themeTint="90" w:sz="4" w:space="0"/>
        <w:insideH w:val="single" w:color="A2C6E7" w:themeColor="accent1" w:themeTint="90" w:sz="4" w:space="0"/>
      </w:tblBorders>
    </w:tblPr>
    <w:tblStylePr w:type="firstRow">
      <w:rPr>
        <w:rFonts w:ascii="Arial" w:hAnsi="Arial"/>
        <w:b/>
        <w:color w:val="FFFFFF"/>
        <w:sz w:val="22"/>
      </w:r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D2DFEE" w:fill="D2DFEE"/>
      </w:tcPr>
    </w:tblStylePr>
    <w:tblStylePr w:type="band1Horz">
      <w:rPr>
        <w:rFonts w:ascii="Arial" w:hAnsi="Arial"/>
        <w:color w:val="404040"/>
        <w:sz w:val="22"/>
      </w:rPr>
      <w:tcPr>
        <w:shd w:val="clear" w:color="D2DFEE" w:fill="D2DFEE"/>
      </w:tcPr>
    </w:tblStylePr>
  </w:style>
  <w:style w:type="table" w:customStyle="1" w:styleId="345">
    <w:name w:val="ListTable4-Accent20"/>
    <w:basedOn w:val="37"/>
    <w:qFormat/>
    <w:uiPriority w:val="99"/>
    <w:tblPr>
      <w:tblBorders>
        <w:top w:val="single" w:color="F4B58A" w:themeColor="accent2" w:themeTint="90" w:sz="4" w:space="0"/>
        <w:left w:val="single" w:color="F4B58A" w:themeColor="accent2" w:themeTint="90" w:sz="4" w:space="0"/>
        <w:bottom w:val="single" w:color="F4B58A" w:themeColor="accent2" w:themeTint="90" w:sz="4" w:space="0"/>
        <w:right w:val="single" w:color="F4B58A" w:themeColor="accent2" w:themeTint="90" w:sz="4" w:space="0"/>
        <w:insideH w:val="single" w:color="F4B58A" w:themeColor="accent2" w:themeTint="90" w:sz="4" w:space="0"/>
      </w:tblBorders>
    </w:tblPr>
    <w:tblStylePr w:type="firstRow">
      <w:rPr>
        <w:rFonts w:ascii="Arial" w:hAnsi="Arial"/>
        <w:b/>
        <w:color w:val="FFFFFF"/>
        <w:sz w:val="22"/>
      </w:r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EFD3D2" w:fill="EFD3D2"/>
      </w:tcPr>
    </w:tblStylePr>
    <w:tblStylePr w:type="band1Horz">
      <w:rPr>
        <w:rFonts w:ascii="Arial" w:hAnsi="Arial"/>
        <w:color w:val="404040"/>
        <w:sz w:val="22"/>
      </w:rPr>
      <w:tcPr>
        <w:shd w:val="clear" w:color="EFD3D2" w:fill="EFD3D2"/>
      </w:tcPr>
    </w:tblStylePr>
  </w:style>
  <w:style w:type="table" w:customStyle="1" w:styleId="346">
    <w:name w:val="ListTable4-Accent30"/>
    <w:basedOn w:val="37"/>
    <w:qFormat/>
    <w:uiPriority w:val="99"/>
    <w:tblPr>
      <w:tblBorders>
        <w:top w:val="single" w:color="CCCCCC" w:themeColor="accent3" w:themeTint="90" w:sz="4" w:space="0"/>
        <w:left w:val="single" w:color="CCCCCC" w:themeColor="accent3" w:themeTint="90" w:sz="4" w:space="0"/>
        <w:bottom w:val="single" w:color="CCCCCC" w:themeColor="accent3" w:themeTint="90" w:sz="4" w:space="0"/>
        <w:right w:val="single" w:color="CCCCCC" w:themeColor="accent3" w:themeTint="90" w:sz="4" w:space="0"/>
        <w:insideH w:val="single" w:color="CCCCCC" w:themeColor="accent3" w:themeTint="90" w:sz="4" w:space="0"/>
      </w:tblBorders>
    </w:tblPr>
    <w:tblStylePr w:type="firstRow">
      <w:rPr>
        <w:rFonts w:ascii="Arial" w:hAnsi="Arial"/>
        <w:b/>
        <w:color w:val="FFFFFF"/>
        <w:sz w:val="22"/>
      </w:r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E5EDD5" w:fill="E5EDD5"/>
      </w:tcPr>
    </w:tblStylePr>
    <w:tblStylePr w:type="band1Horz">
      <w:rPr>
        <w:rFonts w:ascii="Arial" w:hAnsi="Arial"/>
        <w:color w:val="404040"/>
        <w:sz w:val="22"/>
      </w:rPr>
      <w:tcPr>
        <w:shd w:val="clear" w:color="E5EDD5" w:fill="E5EDD5"/>
      </w:tcPr>
    </w:tblStylePr>
  </w:style>
  <w:style w:type="table" w:customStyle="1" w:styleId="347">
    <w:name w:val="ListTable4-Accent40"/>
    <w:basedOn w:val="37"/>
    <w:qFormat/>
    <w:uiPriority w:val="99"/>
    <w:tblPr>
      <w:tblBorders>
        <w:top w:val="single" w:color="FFDB6E" w:themeColor="accent4" w:themeTint="90" w:sz="4" w:space="0"/>
        <w:left w:val="single" w:color="FFDB6E" w:themeColor="accent4" w:themeTint="90" w:sz="4" w:space="0"/>
        <w:bottom w:val="single" w:color="FFDB6E" w:themeColor="accent4" w:themeTint="90" w:sz="4" w:space="0"/>
        <w:right w:val="single" w:color="FFDB6E" w:themeColor="accent4" w:themeTint="90" w:sz="4" w:space="0"/>
        <w:insideH w:val="single" w:color="FFDB6E" w:themeColor="accent4" w:themeTint="90" w:sz="4" w:space="0"/>
      </w:tblBorders>
    </w:tblPr>
    <w:tblStylePr w:type="firstRow">
      <w:rPr>
        <w:rFonts w:ascii="Arial" w:hAnsi="Arial"/>
        <w:b/>
        <w:color w:val="FFFFFF"/>
        <w:sz w:val="22"/>
      </w:r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DFD8E7" w:fill="DFD8E7"/>
      </w:tcPr>
    </w:tblStylePr>
    <w:tblStylePr w:type="band1Horz">
      <w:rPr>
        <w:rFonts w:ascii="Arial" w:hAnsi="Arial"/>
        <w:color w:val="404040"/>
        <w:sz w:val="22"/>
      </w:rPr>
      <w:tcPr>
        <w:shd w:val="clear" w:color="DFD8E7" w:fill="DFD8E7"/>
      </w:tcPr>
    </w:tblStylePr>
  </w:style>
  <w:style w:type="table" w:customStyle="1" w:styleId="348">
    <w:name w:val="ListTable4-Accent50"/>
    <w:basedOn w:val="37"/>
    <w:qFormat/>
    <w:uiPriority w:val="99"/>
    <w:tblPr>
      <w:tblBorders>
        <w:top w:val="single" w:color="95AFDD" w:themeColor="accent5" w:themeTint="90" w:sz="4" w:space="0"/>
        <w:left w:val="single" w:color="95AFDD" w:themeColor="accent5" w:themeTint="90" w:sz="4" w:space="0"/>
        <w:bottom w:val="single" w:color="95AFDD" w:themeColor="accent5" w:themeTint="90" w:sz="4" w:space="0"/>
        <w:right w:val="single" w:color="95AFDD" w:themeColor="accent5" w:themeTint="90" w:sz="4" w:space="0"/>
        <w:insideH w:val="single" w:color="95AFDD" w:themeColor="accent5" w:themeTint="90" w:sz="4" w:space="0"/>
      </w:tblBorders>
    </w:tblPr>
    <w:tblStylePr w:type="firstRow">
      <w:rPr>
        <w:rFonts w:ascii="Arial" w:hAnsi="Arial"/>
        <w:b/>
        <w:color w:val="FFFFFF"/>
        <w:sz w:val="22"/>
      </w:r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D1EAF0" w:fill="D1EAF0"/>
      </w:tcPr>
    </w:tblStylePr>
    <w:tblStylePr w:type="band1Horz">
      <w:rPr>
        <w:rFonts w:ascii="Arial" w:hAnsi="Arial"/>
        <w:color w:val="404040"/>
        <w:sz w:val="22"/>
      </w:rPr>
      <w:tcPr>
        <w:shd w:val="clear" w:color="D1EAF0" w:fill="D1EAF0"/>
      </w:tcPr>
    </w:tblStylePr>
  </w:style>
  <w:style w:type="table" w:customStyle="1" w:styleId="349">
    <w:name w:val="ListTable4-Accent60"/>
    <w:basedOn w:val="37"/>
    <w:qFormat/>
    <w:uiPriority w:val="99"/>
    <w:tblPr>
      <w:tblBorders>
        <w:top w:val="single" w:color="ADD394" w:themeColor="accent6" w:themeTint="90" w:sz="4" w:space="0"/>
        <w:left w:val="single" w:color="ADD394" w:themeColor="accent6" w:themeTint="90" w:sz="4" w:space="0"/>
        <w:bottom w:val="single" w:color="ADD394" w:themeColor="accent6" w:themeTint="90" w:sz="4" w:space="0"/>
        <w:right w:val="single" w:color="ADD394" w:themeColor="accent6" w:themeTint="90" w:sz="4" w:space="0"/>
        <w:insideH w:val="single" w:color="ADD394" w:themeColor="accent6" w:themeTint="90" w:sz="4" w:space="0"/>
      </w:tblBorders>
    </w:tblPr>
    <w:tblStylePr w:type="firstRow">
      <w:rPr>
        <w:rFonts w:ascii="Arial" w:hAnsi="Arial"/>
        <w:b/>
        <w:color w:val="FFFFFF"/>
        <w:sz w:val="22"/>
      </w:r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cPr>
        <w:shd w:val="clear" w:color="FCE4D0" w:fill="FCE4D0"/>
      </w:tcPr>
    </w:tblStylePr>
    <w:tblStylePr w:type="band1Horz">
      <w:rPr>
        <w:rFonts w:ascii="Arial" w:hAnsi="Arial"/>
        <w:color w:val="404040"/>
        <w:sz w:val="22"/>
      </w:rPr>
      <w:tcPr>
        <w:shd w:val="clear" w:color="FCE4D0" w:fill="FCE4D0"/>
      </w:tcPr>
    </w:tblStylePr>
  </w:style>
  <w:style w:type="table" w:customStyle="1" w:styleId="350">
    <w:name w:val="ListTable5Dark0"/>
    <w:basedOn w:val="37"/>
    <w:qFormat/>
    <w:uiPriority w:val="99"/>
    <w:tblPr>
      <w:tblBorders>
        <w:top w:val="single" w:color="7E7E7E" w:themeColor="text1" w:themeTint="80" w:sz="32" w:space="0"/>
        <w:left w:val="single" w:color="7E7E7E" w:themeColor="text1" w:themeTint="80" w:sz="32" w:space="0"/>
        <w:bottom w:val="single" w:color="7E7E7E" w:themeColor="text1" w:themeTint="80" w:sz="32" w:space="0"/>
        <w:right w:val="single" w:color="7E7E7E" w:themeColor="text1" w:themeTint="80" w:sz="32" w:space="0"/>
      </w:tblBorders>
    </w:tblPr>
    <w:tblStylePr w:type="firstRow">
      <w:rPr>
        <w:rFonts w:ascii="Arial" w:hAnsi="Arial"/>
        <w:b/>
        <w:color w:val="FFFFFF" w:themeColor="light1"/>
        <w:sz w:val="22"/>
        <w14:textFill>
          <w14:solidFill>
            <w14:schemeClr w14:val="lt1"/>
          </w14:solidFill>
        </w14:textFill>
      </w:rPr>
      <w:tcPr>
        <w:tcBorders>
          <w:top w:val="single" w:color="7E7E7E" w:themeColor="text1" w:themeTint="80" w:sz="32" w:space="0"/>
          <w:bottom w:val="single" w:color="FFFFFF" w:themeColor="light1" w:sz="12" w:space="0"/>
        </w:tcBorders>
        <w:shd w:val="clear" w:color="7E7E7E" w:fill="7E7E7E"/>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7E7E7E" w:themeColor="text1" w:themeTint="80" w:sz="32" w:space="0"/>
          <w:right w:val="single" w:color="FFFFFF" w:themeColor="light1" w:sz="4" w:space="0"/>
        </w:tcBorders>
      </w:tcPr>
    </w:tblStylePr>
    <w:tblStylePr w:type="lastCol">
      <w:tcPr>
        <w:tcBorders>
          <w:left w:val="single" w:color="FFFFFF" w:themeColor="light1" w:sz="4" w:space="0"/>
          <w:right w:val="single" w:color="7E7E7E" w:themeColor="text1" w:themeTint="80" w:sz="32" w:space="0"/>
        </w:tcBorders>
      </w:tcPr>
    </w:tblStylePr>
    <w:tblStylePr w:type="band1Vert">
      <w:tcPr>
        <w:tcBorders>
          <w:left w:val="single" w:color="FFFFFF" w:themeColor="light1" w:sz="4" w:space="0"/>
          <w:right w:val="single" w:color="FFFFFF" w:themeColor="light1" w:sz="4" w:space="0"/>
        </w:tcBorders>
        <w:shd w:val="clear" w:color="7E7E7E" w:fill="7E7E7E"/>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7E7E7E" w:fill="7E7E7E"/>
      </w:tcPr>
    </w:tblStylePr>
    <w:tblStylePr w:type="band2Horz">
      <w:tcPr>
        <w:tcBorders>
          <w:top w:val="single" w:color="FFFFFF" w:themeColor="light1" w:sz="4" w:space="0"/>
          <w:bottom w:val="single" w:color="FFFFFF" w:themeColor="light1" w:sz="4" w:space="0"/>
        </w:tcBorders>
        <w:shd w:val="clear" w:color="7E7E7E" w:fill="7E7E7E"/>
      </w:tcPr>
    </w:tblStylePr>
  </w:style>
  <w:style w:type="table" w:customStyle="1" w:styleId="351">
    <w:name w:val="ListTable5Dark-Accent10"/>
    <w:basedOn w:val="37"/>
    <w:qFormat/>
    <w:uiPriority w:val="99"/>
    <w:tblPr>
      <w:tblBorders>
        <w:top w:val="single" w:color="5B9BD5" w:themeColor="accent1" w:sz="32" w:space="0"/>
        <w:left w:val="single" w:color="5B9BD5" w:themeColor="accent1" w:sz="32" w:space="0"/>
        <w:bottom w:val="single" w:color="5B9BD5" w:themeColor="accent1" w:sz="32" w:space="0"/>
        <w:right w:val="single" w:color="5B9BD5" w:themeColor="accent1" w:sz="32" w:space="0"/>
      </w:tblBorders>
    </w:tblPr>
    <w:tblStylePr w:type="firstRow">
      <w:rPr>
        <w:rFonts w:ascii="Arial" w:hAnsi="Arial"/>
        <w:b/>
        <w:color w:val="FFFFFF" w:themeColor="light1"/>
        <w:sz w:val="22"/>
        <w14:textFill>
          <w14:solidFill>
            <w14:schemeClr w14:val="lt1"/>
          </w14:solidFill>
        </w14:textFill>
      </w:rPr>
      <w:tcPr>
        <w:tcBorders>
          <w:top w:val="single" w:color="5B9BD5" w:themeColor="accent1" w:sz="32" w:space="0"/>
          <w:bottom w:val="single" w:color="FFFFFF" w:themeColor="light1" w:sz="12" w:space="0"/>
        </w:tcBorders>
        <w:shd w:val="clear" w:color="4F81BD" w:fill="4F81BD"/>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5B9BD5" w:themeColor="accent1" w:sz="32" w:space="0"/>
          <w:right w:val="single" w:color="FFFFFF" w:themeColor="light1" w:sz="4" w:space="0"/>
        </w:tcBorders>
      </w:tcPr>
    </w:tblStylePr>
    <w:tblStylePr w:type="lastCol">
      <w:tcPr>
        <w:tcBorders>
          <w:left w:val="single" w:color="FFFFFF" w:themeColor="light1" w:sz="4" w:space="0"/>
          <w:right w:val="single" w:color="5B9BD5" w:themeColor="accent1" w:sz="32" w:space="0"/>
        </w:tcBorders>
      </w:tcPr>
    </w:tblStylePr>
    <w:tblStylePr w:type="band1Vert">
      <w:tcPr>
        <w:tcBorders>
          <w:left w:val="single" w:color="FFFFFF" w:themeColor="light1" w:sz="4" w:space="0"/>
          <w:right w:val="single" w:color="FFFFFF" w:themeColor="light1" w:sz="4" w:space="0"/>
        </w:tcBorders>
        <w:shd w:val="clear" w:color="4F81BD" w:fill="4F81BD"/>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4F81BD" w:fill="4F81BD"/>
      </w:tcPr>
    </w:tblStylePr>
    <w:tblStylePr w:type="band2Horz">
      <w:tcPr>
        <w:tcBorders>
          <w:top w:val="single" w:color="FFFFFF" w:themeColor="light1" w:sz="4" w:space="0"/>
          <w:bottom w:val="single" w:color="FFFFFF" w:themeColor="light1" w:sz="4" w:space="0"/>
        </w:tcBorders>
        <w:shd w:val="clear" w:color="4F81BD" w:fill="4F81BD"/>
      </w:tcPr>
    </w:tblStylePr>
  </w:style>
  <w:style w:type="table" w:customStyle="1" w:styleId="352">
    <w:name w:val="ListTable5Dark-Accent20"/>
    <w:basedOn w:val="37"/>
    <w:qFormat/>
    <w:uiPriority w:val="99"/>
    <w:tblPr>
      <w:tblBorders>
        <w:top w:val="single" w:color="F4B285" w:themeColor="accent2" w:themeTint="97" w:sz="32" w:space="0"/>
        <w:left w:val="single" w:color="F4B285" w:themeColor="accent2" w:themeTint="97" w:sz="32" w:space="0"/>
        <w:bottom w:val="single" w:color="F4B285" w:themeColor="accent2" w:themeTint="97" w:sz="32" w:space="0"/>
        <w:right w:val="single" w:color="F4B285" w:themeColor="accent2" w:themeTint="97" w:sz="32" w:space="0"/>
      </w:tblBorders>
    </w:tblPr>
    <w:tblStylePr w:type="firstRow">
      <w:rPr>
        <w:rFonts w:ascii="Arial" w:hAnsi="Arial"/>
        <w:b/>
        <w:color w:val="FFFFFF" w:themeColor="light1"/>
        <w:sz w:val="22"/>
        <w14:textFill>
          <w14:solidFill>
            <w14:schemeClr w14:val="lt1"/>
          </w14:solidFill>
        </w14:textFill>
      </w:rPr>
      <w:tcPr>
        <w:tcBorders>
          <w:top w:val="single" w:color="F4B285" w:themeColor="accent2" w:themeTint="97" w:sz="32" w:space="0"/>
          <w:bottom w:val="single" w:color="FFFFFF" w:themeColor="light1" w:sz="12" w:space="0"/>
        </w:tcBorders>
        <w:shd w:val="clear" w:color="D99795" w:fill="D99795"/>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F4B285" w:themeColor="accent2" w:themeTint="97" w:sz="32" w:space="0"/>
          <w:right w:val="single" w:color="FFFFFF" w:themeColor="light1" w:sz="4" w:space="0"/>
        </w:tcBorders>
      </w:tcPr>
    </w:tblStylePr>
    <w:tblStylePr w:type="lastCol">
      <w:tcPr>
        <w:tcBorders>
          <w:left w:val="single" w:color="FFFFFF" w:themeColor="light1" w:sz="4" w:space="0"/>
          <w:right w:val="single" w:color="F4B285" w:themeColor="accent2" w:themeTint="97" w:sz="32" w:space="0"/>
        </w:tcBorders>
      </w:tcPr>
    </w:tblStylePr>
    <w:tblStylePr w:type="band1Vert">
      <w:tcPr>
        <w:tcBorders>
          <w:left w:val="single" w:color="FFFFFF" w:themeColor="light1" w:sz="4" w:space="0"/>
          <w:right w:val="single" w:color="FFFFFF" w:themeColor="light1" w:sz="4" w:space="0"/>
        </w:tcBorders>
        <w:shd w:val="clear" w:color="D99795" w:fill="D99795"/>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D99795" w:fill="D99795"/>
      </w:tcPr>
    </w:tblStylePr>
    <w:tblStylePr w:type="band2Horz">
      <w:tcPr>
        <w:tcBorders>
          <w:top w:val="single" w:color="FFFFFF" w:themeColor="light1" w:sz="4" w:space="0"/>
          <w:bottom w:val="single" w:color="FFFFFF" w:themeColor="light1" w:sz="4" w:space="0"/>
        </w:tcBorders>
        <w:shd w:val="clear" w:color="D99795" w:fill="D99795"/>
      </w:tcPr>
    </w:tblStylePr>
  </w:style>
  <w:style w:type="table" w:customStyle="1" w:styleId="353">
    <w:name w:val="ListTable5Dark-Accent30"/>
    <w:basedOn w:val="37"/>
    <w:qFormat/>
    <w:uiPriority w:val="99"/>
    <w:tblPr>
      <w:tblBorders>
        <w:top w:val="single" w:color="C9C9C9" w:themeColor="accent3" w:themeTint="98" w:sz="32" w:space="0"/>
        <w:left w:val="single" w:color="C9C9C9" w:themeColor="accent3" w:themeTint="98" w:sz="32" w:space="0"/>
        <w:bottom w:val="single" w:color="C9C9C9" w:themeColor="accent3" w:themeTint="98" w:sz="32" w:space="0"/>
        <w:right w:val="single" w:color="C9C9C9" w:themeColor="accent3" w:themeTint="98" w:sz="32" w:space="0"/>
      </w:tblBorders>
    </w:tblPr>
    <w:tblStylePr w:type="firstRow">
      <w:rPr>
        <w:rFonts w:ascii="Arial" w:hAnsi="Arial"/>
        <w:b/>
        <w:color w:val="FFFFFF" w:themeColor="light1"/>
        <w:sz w:val="22"/>
        <w14:textFill>
          <w14:solidFill>
            <w14:schemeClr w14:val="lt1"/>
          </w14:solidFill>
        </w14:textFill>
      </w:rPr>
      <w:tcPr>
        <w:tcBorders>
          <w:top w:val="single" w:color="C9C9C9" w:themeColor="accent3" w:themeTint="98" w:sz="32" w:space="0"/>
          <w:bottom w:val="single" w:color="FFFFFF" w:themeColor="light1" w:sz="12" w:space="0"/>
        </w:tcBorders>
        <w:shd w:val="clear" w:color="C3D69C" w:fill="C3D69C"/>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C9C9C9" w:themeColor="accent3" w:themeTint="98" w:sz="32" w:space="0"/>
          <w:right w:val="single" w:color="FFFFFF" w:themeColor="light1" w:sz="4" w:space="0"/>
        </w:tcBorders>
      </w:tcPr>
    </w:tblStylePr>
    <w:tblStylePr w:type="lastCol">
      <w:tcPr>
        <w:tcBorders>
          <w:left w:val="single" w:color="FFFFFF" w:themeColor="light1" w:sz="4" w:space="0"/>
          <w:right w:val="single" w:color="C9C9C9" w:themeColor="accent3" w:themeTint="98" w:sz="32" w:space="0"/>
        </w:tcBorders>
      </w:tcPr>
    </w:tblStylePr>
    <w:tblStylePr w:type="band1Vert">
      <w:tcPr>
        <w:tcBorders>
          <w:left w:val="single" w:color="FFFFFF" w:themeColor="light1" w:sz="4" w:space="0"/>
          <w:right w:val="single" w:color="FFFFFF" w:themeColor="light1" w:sz="4" w:space="0"/>
        </w:tcBorders>
        <w:shd w:val="clear" w:color="C3D69C" w:fill="C3D69C"/>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C3D69C" w:fill="C3D69C"/>
      </w:tcPr>
    </w:tblStylePr>
    <w:tblStylePr w:type="band2Horz">
      <w:tcPr>
        <w:tcBorders>
          <w:top w:val="single" w:color="FFFFFF" w:themeColor="light1" w:sz="4" w:space="0"/>
          <w:bottom w:val="single" w:color="FFFFFF" w:themeColor="light1" w:sz="4" w:space="0"/>
        </w:tcBorders>
        <w:shd w:val="clear" w:color="C3D69C" w:fill="C3D69C"/>
      </w:tcPr>
    </w:tblStylePr>
  </w:style>
  <w:style w:type="table" w:customStyle="1" w:styleId="354">
    <w:name w:val="ListTable5Dark-Accent40"/>
    <w:basedOn w:val="37"/>
    <w:qFormat/>
    <w:uiPriority w:val="99"/>
    <w:tblPr>
      <w:tblBorders>
        <w:top w:val="single" w:color="FFD864" w:themeColor="accent4" w:themeTint="9A" w:sz="32" w:space="0"/>
        <w:left w:val="single" w:color="FFD864" w:themeColor="accent4" w:themeTint="9A" w:sz="32" w:space="0"/>
        <w:bottom w:val="single" w:color="FFD864" w:themeColor="accent4" w:themeTint="9A" w:sz="32" w:space="0"/>
        <w:right w:val="single" w:color="FFD864" w:themeColor="accent4" w:themeTint="9A" w:sz="32" w:space="0"/>
      </w:tblBorders>
    </w:tblPr>
    <w:tblStylePr w:type="firstRow">
      <w:rPr>
        <w:rFonts w:ascii="Arial" w:hAnsi="Arial"/>
        <w:b/>
        <w:color w:val="FFFFFF" w:themeColor="light1"/>
        <w:sz w:val="22"/>
        <w14:textFill>
          <w14:solidFill>
            <w14:schemeClr w14:val="lt1"/>
          </w14:solidFill>
        </w14:textFill>
      </w:rPr>
      <w:tcPr>
        <w:tcBorders>
          <w:top w:val="single" w:color="FFD864" w:themeColor="accent4" w:themeTint="9A" w:sz="32" w:space="0"/>
          <w:bottom w:val="single" w:color="FFFFFF" w:themeColor="light1" w:sz="12" w:space="0"/>
        </w:tcBorders>
        <w:shd w:val="clear" w:color="B2A1C6" w:fill="B2A1C6"/>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FFD864" w:themeColor="accent4" w:themeTint="9A" w:sz="32" w:space="0"/>
          <w:right w:val="single" w:color="FFFFFF" w:themeColor="light1" w:sz="4" w:space="0"/>
        </w:tcBorders>
      </w:tcPr>
    </w:tblStylePr>
    <w:tblStylePr w:type="lastCol">
      <w:tcPr>
        <w:tcBorders>
          <w:left w:val="single" w:color="FFFFFF" w:themeColor="light1" w:sz="4" w:space="0"/>
          <w:right w:val="single" w:color="FFD864" w:themeColor="accent4" w:themeTint="9A" w:sz="32" w:space="0"/>
        </w:tcBorders>
      </w:tcPr>
    </w:tblStylePr>
    <w:tblStylePr w:type="band1Vert">
      <w:tcPr>
        <w:tcBorders>
          <w:left w:val="single" w:color="FFFFFF" w:themeColor="light1" w:sz="4" w:space="0"/>
          <w:right w:val="single" w:color="FFFFFF" w:themeColor="light1" w:sz="4" w:space="0"/>
        </w:tcBorders>
        <w:shd w:val="clear" w:color="B2A1C6" w:fill="B2A1C6"/>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B2A1C6" w:fill="B2A1C6"/>
      </w:tcPr>
    </w:tblStylePr>
    <w:tblStylePr w:type="band2Horz">
      <w:tcPr>
        <w:tcBorders>
          <w:top w:val="single" w:color="FFFFFF" w:themeColor="light1" w:sz="4" w:space="0"/>
          <w:bottom w:val="single" w:color="FFFFFF" w:themeColor="light1" w:sz="4" w:space="0"/>
        </w:tcBorders>
        <w:shd w:val="clear" w:color="B2A1C6" w:fill="B2A1C6"/>
      </w:tcPr>
    </w:tblStylePr>
  </w:style>
  <w:style w:type="table" w:customStyle="1" w:styleId="355">
    <w:name w:val="ListTable5Dark-Accent50"/>
    <w:basedOn w:val="37"/>
    <w:qFormat/>
    <w:uiPriority w:val="99"/>
    <w:tblPr>
      <w:tblBorders>
        <w:top w:val="single" w:color="8EA9DB" w:themeColor="accent5" w:themeTint="9A" w:sz="32" w:space="0"/>
        <w:left w:val="single" w:color="8EA9DB" w:themeColor="accent5" w:themeTint="9A" w:sz="32" w:space="0"/>
        <w:bottom w:val="single" w:color="8EA9DB" w:themeColor="accent5" w:themeTint="9A" w:sz="32" w:space="0"/>
        <w:right w:val="single" w:color="8EA9DB" w:themeColor="accent5" w:themeTint="9A" w:sz="32" w:space="0"/>
      </w:tblBorders>
    </w:tblPr>
    <w:tblStylePr w:type="firstRow">
      <w:rPr>
        <w:rFonts w:ascii="Arial" w:hAnsi="Arial"/>
        <w:b/>
        <w:color w:val="FFFFFF" w:themeColor="light1"/>
        <w:sz w:val="22"/>
        <w14:textFill>
          <w14:solidFill>
            <w14:schemeClr w14:val="lt1"/>
          </w14:solidFill>
        </w14:textFill>
      </w:rPr>
      <w:tcPr>
        <w:tcBorders>
          <w:top w:val="single" w:color="8EA9DB" w:themeColor="accent5" w:themeTint="9A" w:sz="32" w:space="0"/>
          <w:bottom w:val="single" w:color="FFFFFF" w:themeColor="light1" w:sz="12" w:space="0"/>
        </w:tcBorders>
        <w:shd w:val="clear" w:color="92CCDC" w:fill="92CCDC"/>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8EA9DB" w:themeColor="accent5" w:themeTint="9A" w:sz="32" w:space="0"/>
          <w:right w:val="single" w:color="FFFFFF" w:themeColor="light1" w:sz="4" w:space="0"/>
        </w:tcBorders>
      </w:tcPr>
    </w:tblStylePr>
    <w:tblStylePr w:type="lastCol">
      <w:tcPr>
        <w:tcBorders>
          <w:left w:val="single" w:color="FFFFFF" w:themeColor="light1" w:sz="4" w:space="0"/>
          <w:right w:val="single" w:color="8EA9DB" w:themeColor="accent5" w:themeTint="9A" w:sz="32" w:space="0"/>
        </w:tcBorders>
      </w:tcPr>
    </w:tblStylePr>
    <w:tblStylePr w:type="band1Vert">
      <w:tcPr>
        <w:tcBorders>
          <w:left w:val="single" w:color="FFFFFF" w:themeColor="light1" w:sz="4" w:space="0"/>
          <w:right w:val="single" w:color="FFFFFF" w:themeColor="light1" w:sz="4" w:space="0"/>
        </w:tcBorders>
        <w:shd w:val="clear" w:color="92CCDC" w:fill="92CCDC"/>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92CCDC" w:fill="92CCDC"/>
      </w:tcPr>
    </w:tblStylePr>
    <w:tblStylePr w:type="band2Horz">
      <w:tcPr>
        <w:tcBorders>
          <w:top w:val="single" w:color="FFFFFF" w:themeColor="light1" w:sz="4" w:space="0"/>
          <w:bottom w:val="single" w:color="FFFFFF" w:themeColor="light1" w:sz="4" w:space="0"/>
        </w:tcBorders>
        <w:shd w:val="clear" w:color="92CCDC" w:fill="92CCDC"/>
      </w:tcPr>
    </w:tblStylePr>
  </w:style>
  <w:style w:type="table" w:customStyle="1" w:styleId="356">
    <w:name w:val="ListTable5Dark-Accent60"/>
    <w:basedOn w:val="37"/>
    <w:qFormat/>
    <w:uiPriority w:val="99"/>
    <w:tblPr>
      <w:tblBorders>
        <w:top w:val="single" w:color="A9D08E" w:themeColor="accent6" w:themeTint="98" w:sz="32" w:space="0"/>
        <w:left w:val="single" w:color="A9D08E" w:themeColor="accent6" w:themeTint="98" w:sz="32" w:space="0"/>
        <w:bottom w:val="single" w:color="A9D08E" w:themeColor="accent6" w:themeTint="98" w:sz="32" w:space="0"/>
        <w:right w:val="single" w:color="A9D08E" w:themeColor="accent6" w:themeTint="98" w:sz="32" w:space="0"/>
      </w:tblBorders>
    </w:tblPr>
    <w:tblStylePr w:type="firstRow">
      <w:rPr>
        <w:rFonts w:ascii="Arial" w:hAnsi="Arial"/>
        <w:b/>
        <w:color w:val="FFFFFF" w:themeColor="light1"/>
        <w:sz w:val="22"/>
        <w14:textFill>
          <w14:solidFill>
            <w14:schemeClr w14:val="lt1"/>
          </w14:solidFill>
        </w14:textFill>
      </w:rPr>
      <w:tcPr>
        <w:tcBorders>
          <w:top w:val="single" w:color="A9D08E" w:themeColor="accent6" w:themeTint="98" w:sz="32" w:space="0"/>
          <w:bottom w:val="single" w:color="FFFFFF" w:themeColor="light1" w:sz="12" w:space="0"/>
        </w:tcBorders>
        <w:shd w:val="clear" w:color="FAC090" w:fill="FAC090"/>
      </w:tcPr>
    </w:tblStylePr>
    <w:tblStylePr w:type="lastRow">
      <w:rPr>
        <w:rFonts w:ascii="Arial" w:hAnsi="Arial"/>
        <w:b/>
        <w:color w:val="FFFFFF" w:themeColor="light1"/>
        <w:sz w:val="22"/>
        <w14:textFill>
          <w14:solidFill>
            <w14:schemeClr w14:val="lt1"/>
          </w14:solidFill>
        </w14:textFill>
      </w:rPr>
    </w:tblStylePr>
    <w:tblStylePr w:type="firstCol">
      <w:rPr>
        <w:rFonts w:ascii="Arial" w:hAnsi="Arial"/>
        <w:b/>
        <w:color w:val="FFFFFF" w:themeColor="light1"/>
        <w:sz w:val="22"/>
        <w14:textFill>
          <w14:solidFill>
            <w14:schemeClr w14:val="lt1"/>
          </w14:solidFill>
        </w14:textFill>
      </w:rPr>
      <w:tcPr>
        <w:tcBorders>
          <w:left w:val="single" w:color="A9D08E" w:themeColor="accent6" w:themeTint="98" w:sz="32" w:space="0"/>
          <w:right w:val="single" w:color="FFFFFF" w:themeColor="light1" w:sz="4" w:space="0"/>
        </w:tcBorders>
      </w:tcPr>
    </w:tblStylePr>
    <w:tblStylePr w:type="lastCol">
      <w:tcPr>
        <w:tcBorders>
          <w:left w:val="single" w:color="FFFFFF" w:themeColor="light1" w:sz="4" w:space="0"/>
          <w:right w:val="single" w:color="A9D08E" w:themeColor="accent6" w:themeTint="98" w:sz="32" w:space="0"/>
        </w:tcBorders>
      </w:tcPr>
    </w:tblStylePr>
    <w:tblStylePr w:type="band1Vert">
      <w:tcPr>
        <w:tcBorders>
          <w:left w:val="single" w:color="FFFFFF" w:themeColor="light1" w:sz="4" w:space="0"/>
          <w:right w:val="single" w:color="FFFFFF" w:themeColor="light1" w:sz="4" w:space="0"/>
        </w:tcBorders>
        <w:shd w:val="clear" w:color="FAC090" w:fill="FAC090"/>
      </w:tcPr>
    </w:tblStylePr>
    <w:tblStylePr w:type="band2Vert">
      <w:tcPr>
        <w:tcBorders>
          <w:left w:val="single" w:color="FFFFFF" w:themeColor="light1" w:sz="4" w:space="0"/>
          <w:right w:val="single" w:color="FFFFFF" w:themeColor="light1" w:sz="4" w:space="0"/>
        </w:tcBorders>
      </w:tcPr>
    </w:tblStylePr>
    <w:tblStylePr w:type="band1Horz">
      <w:tcPr>
        <w:tcBorders>
          <w:top w:val="single" w:color="FFFFFF" w:themeColor="light1" w:sz="4" w:space="0"/>
          <w:bottom w:val="single" w:color="FFFFFF" w:themeColor="light1" w:sz="4" w:space="0"/>
        </w:tcBorders>
        <w:shd w:val="clear" w:color="FAC090" w:fill="FAC090"/>
      </w:tcPr>
    </w:tblStylePr>
    <w:tblStylePr w:type="band2Horz">
      <w:tcPr>
        <w:tcBorders>
          <w:top w:val="single" w:color="FFFFFF" w:themeColor="light1" w:sz="4" w:space="0"/>
          <w:bottom w:val="single" w:color="FFFFFF" w:themeColor="light1" w:sz="4" w:space="0"/>
        </w:tcBorders>
        <w:shd w:val="clear" w:color="FAC090" w:fill="FAC090"/>
      </w:tcPr>
    </w:tblStylePr>
  </w:style>
  <w:style w:type="table" w:customStyle="1" w:styleId="357">
    <w:name w:val="ListTable6Colorful0"/>
    <w:basedOn w:val="37"/>
    <w:qFormat/>
    <w:uiPriority w:val="99"/>
    <w:tblPr>
      <w:tblBorders>
        <w:top w:val="single" w:color="7E7E7E" w:themeColor="text1" w:themeTint="80" w:sz="4" w:space="0"/>
        <w:bottom w:val="single" w:color="7E7E7E" w:themeColor="text1" w:themeTint="80" w:sz="4" w:space="0"/>
      </w:tblBorders>
    </w:tblPr>
    <w:tblStylePr w:type="firstRow">
      <w:rPr>
        <w:b/>
        <w:color w:val="000000" w:themeColor="text1"/>
        <w14:textFill>
          <w14:solidFill>
            <w14:schemeClr w14:val="tx1"/>
          </w14:solidFill>
        </w14:textFill>
      </w:rPr>
      <w:tcPr>
        <w:tcBorders>
          <w:bottom w:val="single" w:color="7E7E7E" w:themeColor="text1" w:themeTint="80" w:sz="4" w:space="0"/>
        </w:tcBorders>
      </w:tcPr>
    </w:tblStylePr>
    <w:tblStylePr w:type="lastRow">
      <w:rPr>
        <w:b/>
        <w:color w:val="000000" w:themeColor="text1"/>
        <w14:textFill>
          <w14:solidFill>
            <w14:schemeClr w14:val="tx1"/>
          </w14:solidFill>
        </w14:textFill>
      </w:rPr>
      <w:tcPr>
        <w:tcBorders>
          <w:top w:val="single" w:color="7E7E7E" w:themeColor="text1" w:themeTint="80" w:sz="4" w:space="0"/>
        </w:tcBorders>
      </w:tcPr>
    </w:tblStylePr>
    <w:tblStylePr w:type="firstCol">
      <w:rPr>
        <w:b/>
        <w:color w:val="000000" w:themeColor="text1"/>
        <w14:textFill>
          <w14:solidFill>
            <w14:schemeClr w14:val="tx1"/>
          </w14:solidFill>
        </w14:textFill>
      </w:rPr>
    </w:tblStylePr>
    <w:tblStylePr w:type="lastCol">
      <w:rPr>
        <w:b/>
        <w:color w:val="000000" w:themeColor="text1"/>
        <w14:textFill>
          <w14:solidFill>
            <w14:schemeClr w14:val="tx1"/>
          </w14:solidFill>
        </w14:textFill>
      </w:rPr>
    </w:tblStylePr>
    <w:tblStylePr w:type="band1Vert">
      <w:tcPr>
        <w:shd w:val="clear" w:color="BEBEBE" w:fill="BEBEBE"/>
      </w:tcPr>
    </w:tblStylePr>
    <w:tblStylePr w:type="band1Horz">
      <w:rPr>
        <w:rFonts w:ascii="Arial" w:hAnsi="Arial"/>
        <w:color w:val="000000" w:themeColor="text1"/>
        <w:sz w:val="22"/>
        <w14:textFill>
          <w14:solidFill>
            <w14:schemeClr w14:val="tx1"/>
          </w14:solidFill>
        </w14:textFill>
      </w:rPr>
      <w:tcPr>
        <w:shd w:val="clear" w:color="BEBEBE" w:fill="BEBEBE"/>
      </w:tcPr>
    </w:tblStylePr>
    <w:tblStylePr w:type="band2Horz">
      <w:rPr>
        <w:rFonts w:ascii="Arial" w:hAnsi="Arial"/>
        <w:color w:val="000000" w:themeColor="text1"/>
        <w:sz w:val="22"/>
        <w14:textFill>
          <w14:solidFill>
            <w14:schemeClr w14:val="tx1"/>
          </w14:solidFill>
        </w14:textFill>
      </w:rPr>
    </w:tblStylePr>
  </w:style>
  <w:style w:type="table" w:customStyle="1" w:styleId="358">
    <w:name w:val="ListTable6Colorful-Accent10"/>
    <w:basedOn w:val="37"/>
    <w:qFormat/>
    <w:uiPriority w:val="99"/>
    <w:tblPr>
      <w:tblBorders>
        <w:top w:val="single" w:color="5B9BD5" w:themeColor="accent1" w:sz="4" w:space="0"/>
        <w:bottom w:val="single" w:color="5B9BD5" w:themeColor="accent1" w:sz="4" w:space="0"/>
      </w:tblBorders>
    </w:tblPr>
    <w:tblStylePr w:type="firstRow">
      <w:rPr>
        <w:b/>
        <w:color w:val="245B8C" w:themeColor="accent1" w:themeShade="94"/>
      </w:rPr>
      <w:tcPr>
        <w:tcBorders>
          <w:bottom w:val="single" w:color="5B9BD5" w:themeColor="accent1" w:sz="4" w:space="0"/>
        </w:tcBorders>
      </w:tcPr>
    </w:tblStylePr>
    <w:tblStylePr w:type="lastRow">
      <w:rPr>
        <w:b/>
        <w:color w:val="245B8C" w:themeColor="accent1" w:themeShade="94"/>
      </w:rPr>
      <w:tcPr>
        <w:tcBorders>
          <w:top w:val="single" w:color="5B9BD5" w:themeColor="accent1" w:sz="4" w:space="0"/>
        </w:tcBorders>
      </w:tcPr>
    </w:tblStylePr>
    <w:tblStylePr w:type="firstCol">
      <w:rPr>
        <w:b/>
        <w:color w:val="245B8C" w:themeColor="accent1" w:themeShade="94"/>
      </w:rPr>
    </w:tblStylePr>
    <w:tblStylePr w:type="lastCol">
      <w:rPr>
        <w:b/>
        <w:color w:val="245B8C" w:themeColor="accent1" w:themeShade="94"/>
      </w:rPr>
    </w:tblStylePr>
    <w:tblStylePr w:type="band1Vert">
      <w:tcPr>
        <w:shd w:val="clear" w:color="D2DFEE" w:fill="D2DFEE"/>
      </w:tcPr>
    </w:tblStylePr>
    <w:tblStylePr w:type="band1Horz">
      <w:rPr>
        <w:rFonts w:ascii="Arial" w:hAnsi="Arial"/>
        <w:color w:val="245B8C" w:themeColor="accent1" w:themeShade="94"/>
        <w:sz w:val="22"/>
      </w:rPr>
      <w:tcPr>
        <w:shd w:val="clear" w:color="D2DFEE" w:fill="D2DFEE"/>
      </w:tcPr>
    </w:tblStylePr>
    <w:tblStylePr w:type="band2Horz">
      <w:rPr>
        <w:rFonts w:ascii="Arial" w:hAnsi="Arial"/>
        <w:color w:val="245B8C" w:themeColor="accent1" w:themeShade="94"/>
        <w:sz w:val="22"/>
      </w:rPr>
    </w:tblStylePr>
  </w:style>
  <w:style w:type="table" w:customStyle="1" w:styleId="359">
    <w:name w:val="ListTable6Colorful-Accent20"/>
    <w:basedOn w:val="37"/>
    <w:qFormat/>
    <w:uiPriority w:val="99"/>
    <w:tblPr>
      <w:tblBorders>
        <w:top w:val="single" w:color="F4B285" w:themeColor="accent2" w:themeTint="97" w:sz="4" w:space="0"/>
        <w:bottom w:val="single" w:color="F4B285" w:themeColor="accent2" w:themeTint="97" w:sz="4" w:space="0"/>
      </w:tblBorders>
    </w:tblPr>
    <w:tblStylePr w:type="firstRow">
      <w:rPr>
        <w:b/>
        <w:color w:val="F4B285" w:themeColor="accent2" w:themeTint="96"/>
        <w14:textFill>
          <w14:solidFill>
            <w14:schemeClr w14:val="accent2">
              <w14:lumMod w14:val="59000"/>
              <w14:lumOff w14:val="41000"/>
            </w14:schemeClr>
          </w14:solidFill>
        </w14:textFill>
      </w:rPr>
      <w:tcPr>
        <w:tcBorders>
          <w:bottom w:val="single" w:color="F4B285" w:themeColor="accent2" w:themeTint="97" w:sz="4" w:space="0"/>
        </w:tcBorders>
      </w:tcPr>
    </w:tblStylePr>
    <w:tblStylePr w:type="lastRow">
      <w:rPr>
        <w:b/>
        <w:color w:val="F4B285" w:themeColor="accent2" w:themeTint="96"/>
        <w14:textFill>
          <w14:solidFill>
            <w14:schemeClr w14:val="accent2">
              <w14:lumMod w14:val="59000"/>
              <w14:lumOff w14:val="41000"/>
            </w14:schemeClr>
          </w14:solidFill>
        </w14:textFill>
      </w:rPr>
      <w:tcPr>
        <w:tcBorders>
          <w:top w:val="single" w:color="F4B285" w:themeColor="accent2" w:themeTint="97" w:sz="4" w:space="0"/>
        </w:tcBorders>
      </w:tcPr>
    </w:tblStylePr>
    <w:tblStylePr w:type="firstCol">
      <w:rPr>
        <w:b/>
        <w:color w:val="F4B285" w:themeColor="accent2" w:themeTint="96"/>
        <w14:textFill>
          <w14:solidFill>
            <w14:schemeClr w14:val="accent2">
              <w14:lumMod w14:val="59000"/>
              <w14:lumOff w14:val="41000"/>
            </w14:schemeClr>
          </w14:solidFill>
        </w14:textFill>
      </w:rPr>
    </w:tblStylePr>
    <w:tblStylePr w:type="lastCol">
      <w:rPr>
        <w:b/>
        <w:color w:val="F4B285" w:themeColor="accent2" w:themeTint="96"/>
        <w14:textFill>
          <w14:solidFill>
            <w14:schemeClr w14:val="accent2">
              <w14:lumMod w14:val="59000"/>
              <w14:lumOff w14:val="41000"/>
            </w14:schemeClr>
          </w14:solidFill>
        </w14:textFill>
      </w:rPr>
    </w:tblStylePr>
    <w:tblStylePr w:type="band1Vert">
      <w:tcPr>
        <w:shd w:val="clear" w:color="EFD3D2" w:fill="EFD3D2"/>
      </w:tcPr>
    </w:tblStylePr>
    <w:tblStylePr w:type="band1Horz">
      <w:rPr>
        <w:rFonts w:ascii="Arial" w:hAnsi="Arial"/>
        <w:color w:val="F4B285" w:themeColor="accent2" w:themeTint="96"/>
        <w:sz w:val="22"/>
        <w14:textFill>
          <w14:solidFill>
            <w14:schemeClr w14:val="accent2">
              <w14:lumMod w14:val="59000"/>
              <w14:lumOff w14:val="41000"/>
            </w14:schemeClr>
          </w14:solidFill>
        </w14:textFill>
      </w:rPr>
      <w:tcPr>
        <w:shd w:val="clear" w:color="EFD3D2" w:fill="EFD3D2"/>
      </w:tcPr>
    </w:tblStylePr>
    <w:tblStylePr w:type="band2Horz">
      <w:rPr>
        <w:rFonts w:ascii="Arial" w:hAnsi="Arial"/>
        <w:color w:val="F4B285" w:themeColor="accent2" w:themeTint="96"/>
        <w:sz w:val="22"/>
        <w14:textFill>
          <w14:solidFill>
            <w14:schemeClr w14:val="accent2">
              <w14:lumMod w14:val="59000"/>
              <w14:lumOff w14:val="41000"/>
            </w14:schemeClr>
          </w14:solidFill>
        </w14:textFill>
      </w:rPr>
    </w:tblStylePr>
  </w:style>
  <w:style w:type="table" w:customStyle="1" w:styleId="360">
    <w:name w:val="ListTable6Colorful-Accent30"/>
    <w:basedOn w:val="37"/>
    <w:qFormat/>
    <w:uiPriority w:val="99"/>
    <w:tblPr>
      <w:tblBorders>
        <w:top w:val="single" w:color="C9C9C9" w:themeColor="accent3" w:themeTint="98" w:sz="4" w:space="0"/>
        <w:bottom w:val="single" w:color="C9C9C9" w:themeColor="accent3" w:themeTint="98" w:sz="4" w:space="0"/>
      </w:tblBorders>
    </w:tblPr>
    <w:tblStylePr w:type="firstRow">
      <w:rPr>
        <w:b/>
        <w:color w:val="C9C9C9" w:themeColor="accent3" w:themeTint="99"/>
        <w14:textFill>
          <w14:solidFill>
            <w14:schemeClr w14:val="accent3">
              <w14:lumMod w14:val="60000"/>
              <w14:lumOff w14:val="40000"/>
            </w14:schemeClr>
          </w14:solidFill>
        </w14:textFill>
      </w:rPr>
      <w:tcPr>
        <w:tcBorders>
          <w:bottom w:val="single" w:color="C9C9C9" w:themeColor="accent3" w:themeTint="98" w:sz="4" w:space="0"/>
        </w:tcBorders>
      </w:tcPr>
    </w:tblStylePr>
    <w:tblStylePr w:type="lastRow">
      <w:rPr>
        <w:b/>
        <w:color w:val="C9C9C9" w:themeColor="accent3" w:themeTint="99"/>
        <w14:textFill>
          <w14:solidFill>
            <w14:schemeClr w14:val="accent3">
              <w14:lumMod w14:val="60000"/>
              <w14:lumOff w14:val="40000"/>
            </w14:schemeClr>
          </w14:solidFill>
        </w14:textFill>
      </w:rPr>
      <w:tcPr>
        <w:tcBorders>
          <w:top w:val="single" w:color="C9C9C9" w:themeColor="accent3" w:themeTint="98" w:sz="4" w:space="0"/>
        </w:tcBorders>
      </w:tcPr>
    </w:tblStylePr>
    <w:tblStylePr w:type="firstCol">
      <w:rPr>
        <w:b/>
        <w:color w:val="C9C9C9" w:themeColor="accent3" w:themeTint="99"/>
        <w14:textFill>
          <w14:solidFill>
            <w14:schemeClr w14:val="accent3">
              <w14:lumMod w14:val="60000"/>
              <w14:lumOff w14:val="40000"/>
            </w14:schemeClr>
          </w14:solidFill>
        </w14:textFill>
      </w:rPr>
    </w:tblStylePr>
    <w:tblStylePr w:type="lastCol">
      <w:rPr>
        <w:b/>
        <w:color w:val="C9C9C9" w:themeColor="accent3" w:themeTint="99"/>
        <w14:textFill>
          <w14:solidFill>
            <w14:schemeClr w14:val="accent3">
              <w14:lumMod w14:val="60000"/>
              <w14:lumOff w14:val="40000"/>
            </w14:schemeClr>
          </w14:solidFill>
        </w14:textFill>
      </w:rPr>
    </w:tblStylePr>
    <w:tblStylePr w:type="band1Vert">
      <w:tcPr>
        <w:shd w:val="clear" w:color="E5EDD5" w:fill="E5EDD5"/>
      </w:tcPr>
    </w:tblStylePr>
    <w:tblStylePr w:type="band1Horz">
      <w:rPr>
        <w:rFonts w:ascii="Arial" w:hAnsi="Arial"/>
        <w:color w:val="C9C9C9" w:themeColor="accent3" w:themeTint="99"/>
        <w:sz w:val="22"/>
        <w14:textFill>
          <w14:solidFill>
            <w14:schemeClr w14:val="accent3">
              <w14:lumMod w14:val="60000"/>
              <w14:lumOff w14:val="40000"/>
            </w14:schemeClr>
          </w14:solidFill>
        </w14:textFill>
      </w:rPr>
      <w:tcPr>
        <w:shd w:val="clear" w:color="E5EDD5" w:fill="E5EDD5"/>
      </w:tcPr>
    </w:tblStylePr>
    <w:tblStylePr w:type="band2Horz">
      <w:rPr>
        <w:rFonts w:ascii="Arial" w:hAnsi="Arial"/>
        <w:color w:val="C9C9C9" w:themeColor="accent3" w:themeTint="99"/>
        <w:sz w:val="22"/>
        <w14:textFill>
          <w14:solidFill>
            <w14:schemeClr w14:val="accent3">
              <w14:lumMod w14:val="60000"/>
              <w14:lumOff w14:val="40000"/>
            </w14:schemeClr>
          </w14:solidFill>
        </w14:textFill>
      </w:rPr>
    </w:tblStylePr>
  </w:style>
  <w:style w:type="table" w:customStyle="1" w:styleId="361">
    <w:name w:val="ListTable6Colorful-Accent40"/>
    <w:basedOn w:val="37"/>
    <w:qFormat/>
    <w:uiPriority w:val="99"/>
    <w:tblPr>
      <w:tblBorders>
        <w:top w:val="single" w:color="FFD864" w:themeColor="accent4" w:themeTint="9A" w:sz="4" w:space="0"/>
        <w:bottom w:val="single" w:color="FFD864" w:themeColor="accent4" w:themeTint="9A" w:sz="4" w:space="0"/>
      </w:tblBorders>
    </w:tblPr>
    <w:tblStylePr w:type="firstRow">
      <w:rPr>
        <w:b/>
        <w:color w:val="FFD966" w:themeColor="accent4" w:themeTint="99"/>
        <w14:textFill>
          <w14:solidFill>
            <w14:schemeClr w14:val="accent4">
              <w14:lumMod w14:val="60000"/>
              <w14:lumOff w14:val="40000"/>
            </w14:schemeClr>
          </w14:solidFill>
        </w14:textFill>
      </w:rPr>
      <w:tcPr>
        <w:tcBorders>
          <w:bottom w:val="single" w:color="FFD864" w:themeColor="accent4" w:themeTint="9A" w:sz="4" w:space="0"/>
        </w:tcBorders>
      </w:tcPr>
    </w:tblStylePr>
    <w:tblStylePr w:type="lastRow">
      <w:rPr>
        <w:b/>
        <w:color w:val="FFD966" w:themeColor="accent4" w:themeTint="99"/>
        <w14:textFill>
          <w14:solidFill>
            <w14:schemeClr w14:val="accent4">
              <w14:lumMod w14:val="60000"/>
              <w14:lumOff w14:val="40000"/>
            </w14:schemeClr>
          </w14:solidFill>
        </w14:textFill>
      </w:rPr>
      <w:tcPr>
        <w:tcBorders>
          <w:top w:val="single" w:color="FFD864" w:themeColor="accent4" w:themeTint="9A" w:sz="4" w:space="0"/>
        </w:tcBorders>
      </w:tcPr>
    </w:tblStylePr>
    <w:tblStylePr w:type="firstCol">
      <w:rPr>
        <w:b/>
        <w:color w:val="FFD966" w:themeColor="accent4" w:themeTint="99"/>
        <w14:textFill>
          <w14:solidFill>
            <w14:schemeClr w14:val="accent4">
              <w14:lumMod w14:val="60000"/>
              <w14:lumOff w14:val="40000"/>
            </w14:schemeClr>
          </w14:solidFill>
        </w14:textFill>
      </w:rPr>
    </w:tblStylePr>
    <w:tblStylePr w:type="lastCol">
      <w:rPr>
        <w:b/>
        <w:color w:val="FFD966" w:themeColor="accent4" w:themeTint="99"/>
        <w14:textFill>
          <w14:solidFill>
            <w14:schemeClr w14:val="accent4">
              <w14:lumMod w14:val="60000"/>
              <w14:lumOff w14:val="40000"/>
            </w14:schemeClr>
          </w14:solidFill>
        </w14:textFill>
      </w:rPr>
    </w:tblStylePr>
    <w:tblStylePr w:type="band1Vert">
      <w:tcPr>
        <w:shd w:val="clear" w:color="DFD8E7" w:fill="DFD8E7"/>
      </w:tcPr>
    </w:tblStylePr>
    <w:tblStylePr w:type="band1Horz">
      <w:rPr>
        <w:rFonts w:ascii="Arial" w:hAnsi="Arial"/>
        <w:color w:val="FFD966" w:themeColor="accent4" w:themeTint="99"/>
        <w:sz w:val="22"/>
        <w14:textFill>
          <w14:solidFill>
            <w14:schemeClr w14:val="accent4">
              <w14:lumMod w14:val="60000"/>
              <w14:lumOff w14:val="40000"/>
            </w14:schemeClr>
          </w14:solidFill>
        </w14:textFill>
      </w:rPr>
      <w:tcPr>
        <w:shd w:val="clear" w:color="DFD8E7" w:fill="DFD8E7"/>
      </w:tcPr>
    </w:tblStylePr>
    <w:tblStylePr w:type="band2Horz">
      <w:rPr>
        <w:rFonts w:ascii="Arial" w:hAnsi="Arial"/>
        <w:color w:val="FFD966" w:themeColor="accent4" w:themeTint="99"/>
        <w:sz w:val="22"/>
        <w14:textFill>
          <w14:solidFill>
            <w14:schemeClr w14:val="accent4">
              <w14:lumMod w14:val="60000"/>
              <w14:lumOff w14:val="40000"/>
            </w14:schemeClr>
          </w14:solidFill>
        </w14:textFill>
      </w:rPr>
    </w:tblStylePr>
  </w:style>
  <w:style w:type="table" w:customStyle="1" w:styleId="362">
    <w:name w:val="ListTable6Colorful-Accent50"/>
    <w:basedOn w:val="37"/>
    <w:qFormat/>
    <w:uiPriority w:val="99"/>
    <w:tblPr>
      <w:tblBorders>
        <w:top w:val="single" w:color="8EA9DB" w:themeColor="accent5" w:themeTint="9A" w:sz="4" w:space="0"/>
        <w:bottom w:val="single" w:color="8EA9DB" w:themeColor="accent5" w:themeTint="9A" w:sz="4" w:space="0"/>
      </w:tblBorders>
    </w:tblPr>
    <w:tblStylePr w:type="firstRow">
      <w:rPr>
        <w:b/>
        <w:color w:val="8FAADC" w:themeColor="accent5" w:themeTint="99"/>
        <w14:textFill>
          <w14:solidFill>
            <w14:schemeClr w14:val="accent5">
              <w14:lumMod w14:val="60000"/>
              <w14:lumOff w14:val="40000"/>
            </w14:schemeClr>
          </w14:solidFill>
        </w14:textFill>
      </w:rPr>
      <w:tcPr>
        <w:tcBorders>
          <w:bottom w:val="single" w:color="8EA9DB" w:themeColor="accent5" w:themeTint="9A" w:sz="4" w:space="0"/>
        </w:tcBorders>
      </w:tcPr>
    </w:tblStylePr>
    <w:tblStylePr w:type="lastRow">
      <w:rPr>
        <w:b/>
        <w:color w:val="8FAADC" w:themeColor="accent5" w:themeTint="99"/>
        <w14:textFill>
          <w14:solidFill>
            <w14:schemeClr w14:val="accent5">
              <w14:lumMod w14:val="60000"/>
              <w14:lumOff w14:val="40000"/>
            </w14:schemeClr>
          </w14:solidFill>
        </w14:textFill>
      </w:rPr>
      <w:tcPr>
        <w:tcBorders>
          <w:top w:val="single" w:color="8EA9DB" w:themeColor="accent5" w:themeTint="9A" w:sz="4" w:space="0"/>
        </w:tcBorders>
      </w:tcPr>
    </w:tblStylePr>
    <w:tblStylePr w:type="firstCol">
      <w:rPr>
        <w:b/>
        <w:color w:val="8FAADC" w:themeColor="accent5" w:themeTint="99"/>
        <w14:textFill>
          <w14:solidFill>
            <w14:schemeClr w14:val="accent5">
              <w14:lumMod w14:val="60000"/>
              <w14:lumOff w14:val="40000"/>
            </w14:schemeClr>
          </w14:solidFill>
        </w14:textFill>
      </w:rPr>
    </w:tblStylePr>
    <w:tblStylePr w:type="lastCol">
      <w:rPr>
        <w:b/>
        <w:color w:val="8FAADC" w:themeColor="accent5" w:themeTint="99"/>
        <w14:textFill>
          <w14:solidFill>
            <w14:schemeClr w14:val="accent5">
              <w14:lumMod w14:val="60000"/>
              <w14:lumOff w14:val="40000"/>
            </w14:schemeClr>
          </w14:solidFill>
        </w14:textFill>
      </w:rPr>
    </w:tblStylePr>
    <w:tblStylePr w:type="band1Vert">
      <w:tcPr>
        <w:shd w:val="clear" w:color="D1EAF0" w:fill="D1EAF0"/>
      </w:tcPr>
    </w:tblStylePr>
    <w:tblStylePr w:type="band1Horz">
      <w:rPr>
        <w:rFonts w:ascii="Arial" w:hAnsi="Arial"/>
        <w:color w:val="8FAADC" w:themeColor="accent5" w:themeTint="99"/>
        <w:sz w:val="22"/>
        <w14:textFill>
          <w14:solidFill>
            <w14:schemeClr w14:val="accent5">
              <w14:lumMod w14:val="60000"/>
              <w14:lumOff w14:val="40000"/>
            </w14:schemeClr>
          </w14:solidFill>
        </w14:textFill>
      </w:rPr>
      <w:tcPr>
        <w:shd w:val="clear" w:color="D1EAF0" w:fill="D1EAF0"/>
      </w:tcPr>
    </w:tblStylePr>
    <w:tblStylePr w:type="band2Horz">
      <w:rPr>
        <w:rFonts w:ascii="Arial" w:hAnsi="Arial"/>
        <w:color w:val="8FAADC" w:themeColor="accent5" w:themeTint="99"/>
        <w:sz w:val="22"/>
        <w14:textFill>
          <w14:solidFill>
            <w14:schemeClr w14:val="accent5">
              <w14:lumMod w14:val="60000"/>
              <w14:lumOff w14:val="40000"/>
            </w14:schemeClr>
          </w14:solidFill>
        </w14:textFill>
      </w:rPr>
    </w:tblStylePr>
  </w:style>
  <w:style w:type="table" w:customStyle="1" w:styleId="363">
    <w:name w:val="ListTable6Colorful-Accent60"/>
    <w:basedOn w:val="37"/>
    <w:qFormat/>
    <w:uiPriority w:val="99"/>
    <w:tblPr>
      <w:tblBorders>
        <w:top w:val="single" w:color="A9D08E" w:themeColor="accent6" w:themeTint="98" w:sz="4" w:space="0"/>
        <w:bottom w:val="single" w:color="A9D08E" w:themeColor="accent6" w:themeTint="98" w:sz="4" w:space="0"/>
      </w:tblBorders>
    </w:tblPr>
    <w:tblStylePr w:type="firstRow">
      <w:rPr>
        <w:b/>
        <w:color w:val="A9D18E" w:themeColor="accent6" w:themeTint="99"/>
        <w14:textFill>
          <w14:solidFill>
            <w14:schemeClr w14:val="accent6">
              <w14:lumMod w14:val="60000"/>
              <w14:lumOff w14:val="40000"/>
            </w14:schemeClr>
          </w14:solidFill>
        </w14:textFill>
      </w:rPr>
      <w:tcPr>
        <w:tcBorders>
          <w:bottom w:val="single" w:color="A9D08E" w:themeColor="accent6" w:themeTint="98" w:sz="4" w:space="0"/>
        </w:tcBorders>
      </w:tcPr>
    </w:tblStylePr>
    <w:tblStylePr w:type="lastRow">
      <w:rPr>
        <w:b/>
        <w:color w:val="A9D18E" w:themeColor="accent6" w:themeTint="99"/>
        <w14:textFill>
          <w14:solidFill>
            <w14:schemeClr w14:val="accent6">
              <w14:lumMod w14:val="60000"/>
              <w14:lumOff w14:val="40000"/>
            </w14:schemeClr>
          </w14:solidFill>
        </w14:textFill>
      </w:rPr>
      <w:tcPr>
        <w:tcBorders>
          <w:top w:val="single" w:color="A9D08E" w:themeColor="accent6" w:themeTint="98" w:sz="4" w:space="0"/>
        </w:tcBorders>
      </w:tcPr>
    </w:tblStylePr>
    <w:tblStylePr w:type="firstCol">
      <w:rPr>
        <w:b/>
        <w:color w:val="A9D18E" w:themeColor="accent6" w:themeTint="99"/>
        <w14:textFill>
          <w14:solidFill>
            <w14:schemeClr w14:val="accent6">
              <w14:lumMod w14:val="60000"/>
              <w14:lumOff w14:val="40000"/>
            </w14:schemeClr>
          </w14:solidFill>
        </w14:textFill>
      </w:rPr>
    </w:tblStylePr>
    <w:tblStylePr w:type="lastCol">
      <w:rPr>
        <w:b/>
        <w:color w:val="A9D18E" w:themeColor="accent6" w:themeTint="99"/>
        <w14:textFill>
          <w14:solidFill>
            <w14:schemeClr w14:val="accent6">
              <w14:lumMod w14:val="60000"/>
              <w14:lumOff w14:val="40000"/>
            </w14:schemeClr>
          </w14:solidFill>
        </w14:textFill>
      </w:rPr>
    </w:tblStylePr>
    <w:tblStylePr w:type="band1Vert">
      <w:tcPr>
        <w:shd w:val="clear" w:color="FCE4D0" w:fill="FCE4D0"/>
      </w:tcPr>
    </w:tblStylePr>
    <w:tblStylePr w:type="band1Horz">
      <w:rPr>
        <w:rFonts w:ascii="Arial" w:hAnsi="Arial"/>
        <w:color w:val="A9D18E" w:themeColor="accent6" w:themeTint="99"/>
        <w:sz w:val="22"/>
        <w14:textFill>
          <w14:solidFill>
            <w14:schemeClr w14:val="accent6">
              <w14:lumMod w14:val="60000"/>
              <w14:lumOff w14:val="40000"/>
            </w14:schemeClr>
          </w14:solidFill>
        </w14:textFill>
      </w:rPr>
      <w:tcPr>
        <w:shd w:val="clear" w:color="FCE4D0" w:fill="FCE4D0"/>
      </w:tcPr>
    </w:tblStylePr>
    <w:tblStylePr w:type="band2Horz">
      <w:rPr>
        <w:rFonts w:ascii="Arial" w:hAnsi="Arial"/>
        <w:color w:val="A9D18E" w:themeColor="accent6" w:themeTint="99"/>
        <w:sz w:val="22"/>
        <w14:textFill>
          <w14:solidFill>
            <w14:schemeClr w14:val="accent6">
              <w14:lumMod w14:val="60000"/>
              <w14:lumOff w14:val="40000"/>
            </w14:schemeClr>
          </w14:solidFill>
        </w14:textFill>
      </w:rPr>
    </w:tblStylePr>
  </w:style>
  <w:style w:type="table" w:customStyle="1" w:styleId="364">
    <w:name w:val="ListTable7Colorful0"/>
    <w:basedOn w:val="37"/>
    <w:qFormat/>
    <w:uiPriority w:val="99"/>
    <w:tblPr>
      <w:tblBorders>
        <w:right w:val="single" w:color="7E7E7E" w:themeColor="text1" w:themeTint="80" w:sz="4" w:space="0"/>
      </w:tblBorders>
    </w:tblPr>
    <w:tblStylePr w:type="firstRow">
      <w:rPr>
        <w:rFonts w:ascii="Arial" w:hAnsi="Arial"/>
        <w:i/>
        <w:color w:val="808080" w:themeColor="text1" w:themeTint="80"/>
        <w:sz w:val="22"/>
        <w14:textFill>
          <w14:solidFill>
            <w14:schemeClr w14:val="tx1">
              <w14:lumMod w14:val="50000"/>
              <w14:lumOff w14:val="50000"/>
            </w14:schemeClr>
          </w14:solidFill>
        </w14:textFill>
      </w:rPr>
      <w:tcPr>
        <w:tcBorders>
          <w:top w:val="nil"/>
          <w:left w:val="nil"/>
          <w:bottom w:val="single" w:color="7E7E7E" w:themeColor="text1" w:themeTint="80" w:sz="4" w:space="0"/>
          <w:right w:val="nil"/>
        </w:tcBorders>
        <w:shd w:val="clear" w:color="FFFFFF" w:fill="FFFFFF"/>
      </w:tcPr>
    </w:tblStylePr>
    <w:tblStylePr w:type="lastRow">
      <w:rPr>
        <w:rFonts w:ascii="Arial" w:hAnsi="Arial"/>
        <w:i/>
        <w:color w:val="808080" w:themeColor="text1" w:themeTint="80"/>
        <w:sz w:val="22"/>
        <w14:textFill>
          <w14:solidFill>
            <w14:schemeClr w14:val="tx1">
              <w14:lumMod w14:val="50000"/>
              <w14:lumOff w14:val="50000"/>
            </w14:schemeClr>
          </w14:solidFill>
        </w14:textFill>
      </w:rPr>
      <w:tcPr>
        <w:tcBorders>
          <w:top w:val="single" w:color="7E7E7E" w:themeColor="text1" w:themeTint="80" w:sz="4" w:space="0"/>
          <w:left w:val="nil"/>
          <w:bottom w:val="nil"/>
          <w:right w:val="nil"/>
        </w:tcBorders>
        <w:shd w:val="clear" w:color="FFFFFF" w:fill="FFFFFF"/>
      </w:tcPr>
    </w:tblStylePr>
    <w:tblStylePr w:type="firstCol">
      <w:pPr>
        <w:jc w:val="right"/>
      </w:pPr>
      <w:rPr>
        <w:rFonts w:ascii="Arial" w:hAnsi="Arial"/>
        <w:i/>
        <w:color w:val="808080" w:themeColor="text1" w:themeTint="80"/>
        <w:sz w:val="22"/>
        <w14:textFill>
          <w14:solidFill>
            <w14:schemeClr w14:val="tx1">
              <w14:lumMod w14:val="50000"/>
              <w14:lumOff w14:val="50000"/>
            </w14:schemeClr>
          </w14:solidFill>
        </w14:textFill>
      </w:rPr>
      <w:tcPr>
        <w:tcBorders>
          <w:top w:val="nil"/>
          <w:left w:val="nil"/>
          <w:bottom w:val="nil"/>
          <w:right w:val="single" w:color="7E7E7E" w:themeColor="text1" w:themeTint="80" w:sz="4" w:space="0"/>
        </w:tcBorders>
        <w:shd w:val="clear" w:color="FFFFFF" w:fill="auto"/>
      </w:tcPr>
    </w:tblStylePr>
    <w:tblStylePr w:type="lastCol">
      <w:rPr>
        <w:rFonts w:ascii="Arial" w:hAnsi="Arial"/>
        <w:i/>
        <w:color w:val="808080" w:themeColor="text1" w:themeTint="80"/>
        <w:sz w:val="22"/>
        <w14:textFill>
          <w14:solidFill>
            <w14:schemeClr w14:val="tx1">
              <w14:lumMod w14:val="50000"/>
              <w14:lumOff w14:val="50000"/>
            </w14:schemeClr>
          </w14:solidFill>
        </w14:textFill>
      </w:rPr>
      <w:tcPr>
        <w:tcBorders>
          <w:top w:val="nil"/>
          <w:left w:val="single" w:color="7E7E7E" w:themeColor="text1" w:themeTint="80" w:sz="4" w:space="0"/>
          <w:bottom w:val="nil"/>
          <w:right w:val="nil"/>
        </w:tcBorders>
        <w:shd w:val="clear" w:color="FFFFFF" w:fill="auto"/>
      </w:tcPr>
    </w:tblStylePr>
    <w:tblStylePr w:type="band1Vert">
      <w:tcPr>
        <w:shd w:val="clear" w:color="BEBEBE" w:fill="BEBEBE"/>
      </w:tcPr>
    </w:tblStylePr>
    <w:tblStylePr w:type="band1Horz">
      <w:rPr>
        <w:rFonts w:ascii="Arial" w:hAnsi="Arial"/>
        <w:color w:val="808080" w:themeColor="text1" w:themeTint="80"/>
        <w:sz w:val="22"/>
        <w14:textFill>
          <w14:solidFill>
            <w14:schemeClr w14:val="tx1">
              <w14:lumMod w14:val="50000"/>
              <w14:lumOff w14:val="50000"/>
            </w14:schemeClr>
          </w14:solidFill>
        </w14:textFill>
      </w:rPr>
      <w:tcPr>
        <w:shd w:val="clear" w:color="BEBEBE" w:fill="BEBEBE"/>
      </w:tcPr>
    </w:tblStylePr>
    <w:tblStylePr w:type="band2Horz">
      <w:rPr>
        <w:rFonts w:ascii="Arial" w:hAnsi="Arial"/>
        <w:color w:val="808080" w:themeColor="text1" w:themeTint="80"/>
        <w:sz w:val="22"/>
        <w14:textFill>
          <w14:solidFill>
            <w14:schemeClr w14:val="tx1">
              <w14:lumMod w14:val="50000"/>
              <w14:lumOff w14:val="50000"/>
            </w14:schemeClr>
          </w14:solidFill>
        </w14:textFill>
      </w:rPr>
    </w:tblStylePr>
  </w:style>
  <w:style w:type="table" w:customStyle="1" w:styleId="365">
    <w:name w:val="ListTable7Colorful-Accent10"/>
    <w:basedOn w:val="37"/>
    <w:qFormat/>
    <w:uiPriority w:val="99"/>
    <w:tblPr>
      <w:tblBorders>
        <w:right w:val="single" w:color="5B9BD5" w:themeColor="accent1" w:sz="4" w:space="0"/>
      </w:tblBorders>
    </w:tblPr>
    <w:tblStylePr w:type="firstRow">
      <w:rPr>
        <w:rFonts w:ascii="Arial" w:hAnsi="Arial"/>
        <w:i/>
        <w:color w:val="245B8C" w:themeColor="accent1" w:themeShade="94"/>
        <w:sz w:val="22"/>
      </w:rPr>
      <w:tcPr>
        <w:tcBorders>
          <w:top w:val="nil"/>
          <w:left w:val="nil"/>
          <w:bottom w:val="single" w:color="5B9BD5" w:themeColor="accent1" w:sz="4" w:space="0"/>
          <w:right w:val="nil"/>
        </w:tcBorders>
        <w:shd w:val="clear" w:color="FFFFFF" w:fill="FFFFFF"/>
      </w:tcPr>
    </w:tblStylePr>
    <w:tblStylePr w:type="lastRow">
      <w:rPr>
        <w:rFonts w:ascii="Arial" w:hAnsi="Arial"/>
        <w:i/>
        <w:color w:val="245B8C" w:themeColor="accent1" w:themeShade="94"/>
        <w:sz w:val="22"/>
      </w:rPr>
      <w:tcPr>
        <w:tcBorders>
          <w:top w:val="single" w:color="5B9BD5" w:themeColor="accent1" w:sz="4" w:space="0"/>
          <w:left w:val="nil"/>
          <w:bottom w:val="nil"/>
          <w:right w:val="nil"/>
        </w:tcBorders>
        <w:shd w:val="clear" w:color="FFFFFF" w:fill="FFFFFF"/>
      </w:tcPr>
    </w:tblStylePr>
    <w:tblStylePr w:type="firstCol">
      <w:pPr>
        <w:jc w:val="right"/>
      </w:pPr>
      <w:rPr>
        <w:rFonts w:ascii="Arial" w:hAnsi="Arial"/>
        <w:i/>
        <w:color w:val="245B8C" w:themeColor="accent1" w:themeShade="94"/>
        <w:sz w:val="22"/>
      </w:rPr>
      <w:tcPr>
        <w:tcBorders>
          <w:top w:val="nil"/>
          <w:left w:val="nil"/>
          <w:bottom w:val="nil"/>
          <w:right w:val="single" w:color="5B9BD5" w:themeColor="accent1" w:sz="4" w:space="0"/>
        </w:tcBorders>
        <w:shd w:val="clear" w:color="FFFFFF" w:fill="auto"/>
      </w:tcPr>
    </w:tblStylePr>
    <w:tblStylePr w:type="lastCol">
      <w:rPr>
        <w:rFonts w:ascii="Arial" w:hAnsi="Arial"/>
        <w:i/>
        <w:color w:val="245B8C" w:themeColor="accent1" w:themeShade="94"/>
        <w:sz w:val="22"/>
      </w:rPr>
      <w:tcPr>
        <w:tcBorders>
          <w:top w:val="nil"/>
          <w:left w:val="single" w:color="5B9BD5" w:themeColor="accent1" w:sz="4" w:space="0"/>
          <w:bottom w:val="nil"/>
          <w:right w:val="nil"/>
        </w:tcBorders>
        <w:shd w:val="clear" w:color="FFFFFF" w:fill="auto"/>
      </w:tcPr>
    </w:tblStylePr>
    <w:tblStylePr w:type="band1Vert">
      <w:tcPr>
        <w:shd w:val="clear" w:color="D2DFEE" w:fill="D2DFEE"/>
      </w:tcPr>
    </w:tblStylePr>
    <w:tblStylePr w:type="band1Horz">
      <w:rPr>
        <w:rFonts w:ascii="Arial" w:hAnsi="Arial"/>
        <w:color w:val="245B8C" w:themeColor="accent1" w:themeShade="94"/>
        <w:sz w:val="22"/>
      </w:rPr>
      <w:tcPr>
        <w:shd w:val="clear" w:color="D2DFEE" w:fill="D2DFEE"/>
      </w:tcPr>
    </w:tblStylePr>
    <w:tblStylePr w:type="band2Horz">
      <w:rPr>
        <w:rFonts w:ascii="Arial" w:hAnsi="Arial"/>
        <w:color w:val="245B8C" w:themeColor="accent1" w:themeShade="94"/>
        <w:sz w:val="22"/>
      </w:rPr>
    </w:tblStylePr>
  </w:style>
  <w:style w:type="table" w:customStyle="1" w:styleId="366">
    <w:name w:val="ListTable7Colorful-Accent20"/>
    <w:basedOn w:val="37"/>
    <w:qFormat/>
    <w:uiPriority w:val="99"/>
    <w:tblPr>
      <w:tblBorders>
        <w:right w:val="single" w:color="F4B285" w:themeColor="accent2" w:themeTint="97" w:sz="4" w:space="0"/>
      </w:tblBorders>
    </w:tblPr>
    <w:tblStylePr w:type="firstRow">
      <w:rPr>
        <w:rFonts w:ascii="Arial" w:hAnsi="Arial"/>
        <w:i/>
        <w:color w:val="F4B285" w:themeColor="accent2" w:themeTint="96"/>
        <w:sz w:val="22"/>
        <w14:textFill>
          <w14:solidFill>
            <w14:schemeClr w14:val="accent2">
              <w14:lumMod w14:val="59000"/>
              <w14:lumOff w14:val="41000"/>
            </w14:schemeClr>
          </w14:solidFill>
        </w14:textFill>
      </w:rPr>
      <w:tcPr>
        <w:tcBorders>
          <w:top w:val="nil"/>
          <w:left w:val="nil"/>
          <w:bottom w:val="single" w:color="F4B285" w:themeColor="accent2" w:themeTint="97" w:sz="4" w:space="0"/>
          <w:right w:val="nil"/>
        </w:tcBorders>
        <w:shd w:val="clear" w:color="FFFFFF" w:fill="FFFFFF"/>
      </w:tcPr>
    </w:tblStylePr>
    <w:tblStylePr w:type="lastRow">
      <w:rPr>
        <w:rFonts w:ascii="Arial" w:hAnsi="Arial"/>
        <w:i/>
        <w:color w:val="F4B285" w:themeColor="accent2" w:themeTint="96"/>
        <w:sz w:val="22"/>
        <w14:textFill>
          <w14:solidFill>
            <w14:schemeClr w14:val="accent2">
              <w14:lumMod w14:val="59000"/>
              <w14:lumOff w14:val="41000"/>
            </w14:schemeClr>
          </w14:solidFill>
        </w14:textFill>
      </w:rPr>
      <w:tcPr>
        <w:tcBorders>
          <w:top w:val="single" w:color="F4B285" w:themeColor="accent2" w:themeTint="97" w:sz="4" w:space="0"/>
          <w:left w:val="nil"/>
          <w:bottom w:val="nil"/>
          <w:right w:val="nil"/>
        </w:tcBorders>
        <w:shd w:val="clear" w:color="FFFFFF" w:fill="FFFFFF"/>
      </w:tcPr>
    </w:tblStylePr>
    <w:tblStylePr w:type="firstCol">
      <w:pPr>
        <w:jc w:val="right"/>
      </w:pPr>
      <w:rPr>
        <w:rFonts w:ascii="Arial" w:hAnsi="Arial"/>
        <w:i/>
        <w:color w:val="F4B285" w:themeColor="accent2" w:themeTint="96"/>
        <w:sz w:val="22"/>
        <w14:textFill>
          <w14:solidFill>
            <w14:schemeClr w14:val="accent2">
              <w14:lumMod w14:val="59000"/>
              <w14:lumOff w14:val="41000"/>
            </w14:schemeClr>
          </w14:solidFill>
        </w14:textFill>
      </w:rPr>
      <w:tcPr>
        <w:tcBorders>
          <w:top w:val="nil"/>
          <w:left w:val="nil"/>
          <w:bottom w:val="nil"/>
          <w:right w:val="single" w:color="F4B285" w:themeColor="accent2" w:themeTint="97" w:sz="4" w:space="0"/>
        </w:tcBorders>
        <w:shd w:val="clear" w:color="FFFFFF" w:fill="auto"/>
      </w:tcPr>
    </w:tblStylePr>
    <w:tblStylePr w:type="lastCol">
      <w:rPr>
        <w:rFonts w:ascii="Arial" w:hAnsi="Arial"/>
        <w:i/>
        <w:color w:val="F4B285" w:themeColor="accent2" w:themeTint="96"/>
        <w:sz w:val="22"/>
        <w14:textFill>
          <w14:solidFill>
            <w14:schemeClr w14:val="accent2">
              <w14:lumMod w14:val="59000"/>
              <w14:lumOff w14:val="41000"/>
            </w14:schemeClr>
          </w14:solidFill>
        </w14:textFill>
      </w:rPr>
      <w:tcPr>
        <w:tcBorders>
          <w:top w:val="nil"/>
          <w:left w:val="single" w:color="F4B285" w:themeColor="accent2" w:themeTint="97" w:sz="4" w:space="0"/>
          <w:bottom w:val="nil"/>
          <w:right w:val="nil"/>
        </w:tcBorders>
        <w:shd w:val="clear" w:color="FFFFFF" w:fill="auto"/>
      </w:tcPr>
    </w:tblStylePr>
    <w:tblStylePr w:type="band1Vert">
      <w:tcPr>
        <w:shd w:val="clear" w:color="EFD3D2" w:fill="EFD3D2"/>
      </w:tcPr>
    </w:tblStylePr>
    <w:tblStylePr w:type="band1Horz">
      <w:rPr>
        <w:rFonts w:ascii="Arial" w:hAnsi="Arial"/>
        <w:color w:val="F4B285" w:themeColor="accent2" w:themeTint="96"/>
        <w:sz w:val="22"/>
        <w14:textFill>
          <w14:solidFill>
            <w14:schemeClr w14:val="accent2">
              <w14:lumMod w14:val="59000"/>
              <w14:lumOff w14:val="41000"/>
            </w14:schemeClr>
          </w14:solidFill>
        </w14:textFill>
      </w:rPr>
      <w:tcPr>
        <w:shd w:val="clear" w:color="EFD3D2" w:fill="EFD3D2"/>
      </w:tcPr>
    </w:tblStylePr>
    <w:tblStylePr w:type="band2Horz">
      <w:rPr>
        <w:rFonts w:ascii="Arial" w:hAnsi="Arial"/>
        <w:color w:val="F4B285" w:themeColor="accent2" w:themeTint="96"/>
        <w:sz w:val="22"/>
        <w14:textFill>
          <w14:solidFill>
            <w14:schemeClr w14:val="accent2">
              <w14:lumMod w14:val="59000"/>
              <w14:lumOff w14:val="41000"/>
            </w14:schemeClr>
          </w14:solidFill>
        </w14:textFill>
      </w:rPr>
    </w:tblStylePr>
  </w:style>
  <w:style w:type="table" w:customStyle="1" w:styleId="367">
    <w:name w:val="ListTable7Colorful-Accent30"/>
    <w:basedOn w:val="37"/>
    <w:qFormat/>
    <w:uiPriority w:val="99"/>
    <w:tblPr>
      <w:tblBorders>
        <w:right w:val="single" w:color="C9C9C9" w:themeColor="accent3" w:themeTint="98" w:sz="4" w:space="0"/>
      </w:tblBorders>
    </w:tblPr>
    <w:tblStylePr w:type="firstRow">
      <w:rPr>
        <w:rFonts w:ascii="Arial" w:hAnsi="Arial"/>
        <w:i/>
        <w:color w:val="C9C9C9" w:themeColor="accent3" w:themeTint="99"/>
        <w:sz w:val="22"/>
        <w14:textFill>
          <w14:solidFill>
            <w14:schemeClr w14:val="accent3">
              <w14:lumMod w14:val="60000"/>
              <w14:lumOff w14:val="40000"/>
            </w14:schemeClr>
          </w14:solidFill>
        </w14:textFill>
      </w:rPr>
      <w:tcPr>
        <w:tcBorders>
          <w:top w:val="nil"/>
          <w:left w:val="nil"/>
          <w:bottom w:val="single" w:color="C9C9C9" w:themeColor="accent3" w:themeTint="98" w:sz="4" w:space="0"/>
          <w:right w:val="nil"/>
        </w:tcBorders>
        <w:shd w:val="clear" w:color="FFFFFF" w:fill="FFFFFF"/>
      </w:tcPr>
    </w:tblStylePr>
    <w:tblStylePr w:type="lastRow">
      <w:rPr>
        <w:rFonts w:ascii="Arial" w:hAnsi="Arial"/>
        <w:i/>
        <w:color w:val="C9C9C9" w:themeColor="accent3" w:themeTint="99"/>
        <w:sz w:val="22"/>
        <w14:textFill>
          <w14:solidFill>
            <w14:schemeClr w14:val="accent3">
              <w14:lumMod w14:val="60000"/>
              <w14:lumOff w14:val="40000"/>
            </w14:schemeClr>
          </w14:solidFill>
        </w14:textFill>
      </w:rPr>
      <w:tcPr>
        <w:tcBorders>
          <w:top w:val="single" w:color="C9C9C9" w:themeColor="accent3" w:themeTint="98" w:sz="4" w:space="0"/>
          <w:left w:val="nil"/>
          <w:bottom w:val="nil"/>
          <w:right w:val="nil"/>
        </w:tcBorders>
        <w:shd w:val="clear" w:color="FFFFFF" w:fill="FFFFFF"/>
      </w:tcPr>
    </w:tblStylePr>
    <w:tblStylePr w:type="firstCol">
      <w:pPr>
        <w:jc w:val="right"/>
      </w:pPr>
      <w:rPr>
        <w:rFonts w:ascii="Arial" w:hAnsi="Arial"/>
        <w:i/>
        <w:color w:val="C9C9C9" w:themeColor="accent3" w:themeTint="99"/>
        <w:sz w:val="22"/>
        <w14:textFill>
          <w14:solidFill>
            <w14:schemeClr w14:val="accent3">
              <w14:lumMod w14:val="60000"/>
              <w14:lumOff w14:val="40000"/>
            </w14:schemeClr>
          </w14:solidFill>
        </w14:textFill>
      </w:rPr>
      <w:tcPr>
        <w:tcBorders>
          <w:top w:val="nil"/>
          <w:left w:val="nil"/>
          <w:bottom w:val="nil"/>
          <w:right w:val="single" w:color="C9C9C9" w:themeColor="accent3" w:themeTint="98" w:sz="4" w:space="0"/>
        </w:tcBorders>
        <w:shd w:val="clear" w:color="FFFFFF" w:fill="auto"/>
      </w:tcPr>
    </w:tblStylePr>
    <w:tblStylePr w:type="lastCol">
      <w:rPr>
        <w:rFonts w:ascii="Arial" w:hAnsi="Arial"/>
        <w:i/>
        <w:color w:val="C9C9C9" w:themeColor="accent3" w:themeTint="99"/>
        <w:sz w:val="22"/>
        <w14:textFill>
          <w14:solidFill>
            <w14:schemeClr w14:val="accent3">
              <w14:lumMod w14:val="60000"/>
              <w14:lumOff w14:val="40000"/>
            </w14:schemeClr>
          </w14:solidFill>
        </w14:textFill>
      </w:rPr>
      <w:tcPr>
        <w:tcBorders>
          <w:top w:val="nil"/>
          <w:left w:val="single" w:color="C9C9C9" w:themeColor="accent3" w:themeTint="98" w:sz="4" w:space="0"/>
          <w:bottom w:val="nil"/>
          <w:right w:val="nil"/>
        </w:tcBorders>
        <w:shd w:val="clear" w:color="FFFFFF" w:fill="auto"/>
      </w:tcPr>
    </w:tblStylePr>
    <w:tblStylePr w:type="band1Vert">
      <w:tcPr>
        <w:shd w:val="clear" w:color="E5EDD5" w:fill="E5EDD5"/>
      </w:tcPr>
    </w:tblStylePr>
    <w:tblStylePr w:type="band1Horz">
      <w:rPr>
        <w:rFonts w:ascii="Arial" w:hAnsi="Arial"/>
        <w:color w:val="C9C9C9" w:themeColor="accent3" w:themeTint="99"/>
        <w:sz w:val="22"/>
        <w14:textFill>
          <w14:solidFill>
            <w14:schemeClr w14:val="accent3">
              <w14:lumMod w14:val="60000"/>
              <w14:lumOff w14:val="40000"/>
            </w14:schemeClr>
          </w14:solidFill>
        </w14:textFill>
      </w:rPr>
      <w:tcPr>
        <w:shd w:val="clear" w:color="E5EDD5" w:fill="E5EDD5"/>
      </w:tcPr>
    </w:tblStylePr>
    <w:tblStylePr w:type="band2Horz">
      <w:rPr>
        <w:rFonts w:ascii="Arial" w:hAnsi="Arial"/>
        <w:color w:val="C9C9C9" w:themeColor="accent3" w:themeTint="99"/>
        <w:sz w:val="22"/>
        <w14:textFill>
          <w14:solidFill>
            <w14:schemeClr w14:val="accent3">
              <w14:lumMod w14:val="60000"/>
              <w14:lumOff w14:val="40000"/>
            </w14:schemeClr>
          </w14:solidFill>
        </w14:textFill>
      </w:rPr>
    </w:tblStylePr>
  </w:style>
  <w:style w:type="table" w:customStyle="1" w:styleId="368">
    <w:name w:val="ListTable7Colorful-Accent40"/>
    <w:basedOn w:val="37"/>
    <w:qFormat/>
    <w:uiPriority w:val="99"/>
    <w:tblPr>
      <w:tblBorders>
        <w:right w:val="single" w:color="FFD864" w:themeColor="accent4" w:themeTint="9A" w:sz="4" w:space="0"/>
      </w:tblBorders>
    </w:tblPr>
    <w:tblStylePr w:type="firstRow">
      <w:rPr>
        <w:rFonts w:ascii="Arial" w:hAnsi="Arial"/>
        <w:i/>
        <w:color w:val="FFD966" w:themeColor="accent4" w:themeTint="99"/>
        <w:sz w:val="22"/>
        <w14:textFill>
          <w14:solidFill>
            <w14:schemeClr w14:val="accent4">
              <w14:lumMod w14:val="60000"/>
              <w14:lumOff w14:val="40000"/>
            </w14:schemeClr>
          </w14:solidFill>
        </w14:textFill>
      </w:rPr>
      <w:tcPr>
        <w:tcBorders>
          <w:top w:val="nil"/>
          <w:left w:val="nil"/>
          <w:bottom w:val="single" w:color="FFD864" w:themeColor="accent4" w:themeTint="9A" w:sz="4" w:space="0"/>
          <w:right w:val="nil"/>
        </w:tcBorders>
        <w:shd w:val="clear" w:color="FFFFFF" w:fill="FFFFFF"/>
      </w:tcPr>
    </w:tblStylePr>
    <w:tblStylePr w:type="lastRow">
      <w:rPr>
        <w:rFonts w:ascii="Arial" w:hAnsi="Arial"/>
        <w:i/>
        <w:color w:val="FFD966" w:themeColor="accent4" w:themeTint="99"/>
        <w:sz w:val="22"/>
        <w14:textFill>
          <w14:solidFill>
            <w14:schemeClr w14:val="accent4">
              <w14:lumMod w14:val="60000"/>
              <w14:lumOff w14:val="40000"/>
            </w14:schemeClr>
          </w14:solidFill>
        </w14:textFill>
      </w:rPr>
      <w:tcPr>
        <w:tcBorders>
          <w:top w:val="single" w:color="FFD864" w:themeColor="accent4" w:themeTint="9A" w:sz="4" w:space="0"/>
          <w:left w:val="nil"/>
          <w:bottom w:val="nil"/>
          <w:right w:val="nil"/>
        </w:tcBorders>
        <w:shd w:val="clear" w:color="FFFFFF" w:fill="FFFFFF"/>
      </w:tcPr>
    </w:tblStylePr>
    <w:tblStylePr w:type="firstCol">
      <w:pPr>
        <w:jc w:val="right"/>
      </w:pPr>
      <w:rPr>
        <w:rFonts w:ascii="Arial" w:hAnsi="Arial"/>
        <w:i/>
        <w:color w:val="FFD966" w:themeColor="accent4" w:themeTint="99"/>
        <w:sz w:val="22"/>
        <w14:textFill>
          <w14:solidFill>
            <w14:schemeClr w14:val="accent4">
              <w14:lumMod w14:val="60000"/>
              <w14:lumOff w14:val="40000"/>
            </w14:schemeClr>
          </w14:solidFill>
        </w14:textFill>
      </w:rPr>
      <w:tcPr>
        <w:tcBorders>
          <w:top w:val="nil"/>
          <w:left w:val="nil"/>
          <w:bottom w:val="nil"/>
          <w:right w:val="single" w:color="FFD864" w:themeColor="accent4" w:themeTint="9A" w:sz="4" w:space="0"/>
        </w:tcBorders>
        <w:shd w:val="clear" w:color="FFFFFF" w:fill="auto"/>
      </w:tcPr>
    </w:tblStylePr>
    <w:tblStylePr w:type="lastCol">
      <w:rPr>
        <w:rFonts w:ascii="Arial" w:hAnsi="Arial"/>
        <w:i/>
        <w:color w:val="FFD966" w:themeColor="accent4" w:themeTint="99"/>
        <w:sz w:val="22"/>
        <w14:textFill>
          <w14:solidFill>
            <w14:schemeClr w14:val="accent4">
              <w14:lumMod w14:val="60000"/>
              <w14:lumOff w14:val="40000"/>
            </w14:schemeClr>
          </w14:solidFill>
        </w14:textFill>
      </w:rPr>
      <w:tcPr>
        <w:tcBorders>
          <w:top w:val="nil"/>
          <w:left w:val="single" w:color="FFD864" w:themeColor="accent4" w:themeTint="9A" w:sz="4" w:space="0"/>
          <w:bottom w:val="nil"/>
          <w:right w:val="nil"/>
        </w:tcBorders>
        <w:shd w:val="clear" w:color="FFFFFF" w:fill="auto"/>
      </w:tcPr>
    </w:tblStylePr>
    <w:tblStylePr w:type="band1Vert">
      <w:tcPr>
        <w:shd w:val="clear" w:color="DFD8E7" w:fill="DFD8E7"/>
      </w:tcPr>
    </w:tblStylePr>
    <w:tblStylePr w:type="band1Horz">
      <w:rPr>
        <w:rFonts w:ascii="Arial" w:hAnsi="Arial"/>
        <w:color w:val="FFD966" w:themeColor="accent4" w:themeTint="99"/>
        <w:sz w:val="22"/>
        <w14:textFill>
          <w14:solidFill>
            <w14:schemeClr w14:val="accent4">
              <w14:lumMod w14:val="60000"/>
              <w14:lumOff w14:val="40000"/>
            </w14:schemeClr>
          </w14:solidFill>
        </w14:textFill>
      </w:rPr>
      <w:tcPr>
        <w:shd w:val="clear" w:color="DFD8E7" w:fill="DFD8E7"/>
      </w:tcPr>
    </w:tblStylePr>
    <w:tblStylePr w:type="band2Horz">
      <w:rPr>
        <w:rFonts w:ascii="Arial" w:hAnsi="Arial"/>
        <w:color w:val="FFD966" w:themeColor="accent4" w:themeTint="99"/>
        <w:sz w:val="22"/>
        <w14:textFill>
          <w14:solidFill>
            <w14:schemeClr w14:val="accent4">
              <w14:lumMod w14:val="60000"/>
              <w14:lumOff w14:val="40000"/>
            </w14:schemeClr>
          </w14:solidFill>
        </w14:textFill>
      </w:rPr>
    </w:tblStylePr>
  </w:style>
  <w:style w:type="table" w:customStyle="1" w:styleId="369">
    <w:name w:val="ListTable7Colorful-Accent50"/>
    <w:basedOn w:val="37"/>
    <w:qFormat/>
    <w:uiPriority w:val="99"/>
    <w:tblPr>
      <w:tblBorders>
        <w:right w:val="single" w:color="8EA9DB" w:themeColor="accent5" w:themeTint="9A" w:sz="4" w:space="0"/>
      </w:tblBorders>
    </w:tblPr>
    <w:tblStylePr w:type="firstRow">
      <w:rPr>
        <w:rFonts w:ascii="Arial" w:hAnsi="Arial"/>
        <w:i/>
        <w:color w:val="8FAADC" w:themeColor="accent5" w:themeTint="99"/>
        <w:sz w:val="22"/>
        <w14:textFill>
          <w14:solidFill>
            <w14:schemeClr w14:val="accent5">
              <w14:lumMod w14:val="60000"/>
              <w14:lumOff w14:val="40000"/>
            </w14:schemeClr>
          </w14:solidFill>
        </w14:textFill>
      </w:rPr>
      <w:tcPr>
        <w:tcBorders>
          <w:top w:val="nil"/>
          <w:left w:val="nil"/>
          <w:bottom w:val="single" w:color="8EA9DB" w:themeColor="accent5" w:themeTint="9A" w:sz="4" w:space="0"/>
          <w:right w:val="nil"/>
        </w:tcBorders>
        <w:shd w:val="clear" w:color="FFFFFF" w:fill="FFFFFF"/>
      </w:tcPr>
    </w:tblStylePr>
    <w:tblStylePr w:type="lastRow">
      <w:rPr>
        <w:rFonts w:ascii="Arial" w:hAnsi="Arial"/>
        <w:i/>
        <w:color w:val="8FAADC" w:themeColor="accent5" w:themeTint="99"/>
        <w:sz w:val="22"/>
        <w14:textFill>
          <w14:solidFill>
            <w14:schemeClr w14:val="accent5">
              <w14:lumMod w14:val="60000"/>
              <w14:lumOff w14:val="40000"/>
            </w14:schemeClr>
          </w14:solidFill>
        </w14:textFill>
      </w:rPr>
      <w:tcPr>
        <w:tcBorders>
          <w:top w:val="single" w:color="8EA9DB" w:themeColor="accent5" w:themeTint="9A" w:sz="4" w:space="0"/>
          <w:left w:val="nil"/>
          <w:bottom w:val="nil"/>
          <w:right w:val="nil"/>
        </w:tcBorders>
        <w:shd w:val="clear" w:color="FFFFFF" w:fill="FFFFFF"/>
      </w:tcPr>
    </w:tblStylePr>
    <w:tblStylePr w:type="firstCol">
      <w:pPr>
        <w:jc w:val="right"/>
      </w:pPr>
      <w:rPr>
        <w:rFonts w:ascii="Arial" w:hAnsi="Arial"/>
        <w:i/>
        <w:color w:val="8FAADC" w:themeColor="accent5" w:themeTint="99"/>
        <w:sz w:val="22"/>
        <w14:textFill>
          <w14:solidFill>
            <w14:schemeClr w14:val="accent5">
              <w14:lumMod w14:val="60000"/>
              <w14:lumOff w14:val="40000"/>
            </w14:schemeClr>
          </w14:solidFill>
        </w14:textFill>
      </w:rPr>
      <w:tcPr>
        <w:tcBorders>
          <w:top w:val="nil"/>
          <w:left w:val="nil"/>
          <w:bottom w:val="nil"/>
          <w:right w:val="single" w:color="8EA9DB" w:themeColor="accent5" w:themeTint="9A" w:sz="4" w:space="0"/>
        </w:tcBorders>
        <w:shd w:val="clear" w:color="FFFFFF" w:fill="auto"/>
      </w:tcPr>
    </w:tblStylePr>
    <w:tblStylePr w:type="lastCol">
      <w:rPr>
        <w:rFonts w:ascii="Arial" w:hAnsi="Arial"/>
        <w:i/>
        <w:color w:val="8FAADC" w:themeColor="accent5" w:themeTint="99"/>
        <w:sz w:val="22"/>
        <w14:textFill>
          <w14:solidFill>
            <w14:schemeClr w14:val="accent5">
              <w14:lumMod w14:val="60000"/>
              <w14:lumOff w14:val="40000"/>
            </w14:schemeClr>
          </w14:solidFill>
        </w14:textFill>
      </w:rPr>
      <w:tcPr>
        <w:tcBorders>
          <w:top w:val="nil"/>
          <w:left w:val="single" w:color="8EA9DB" w:themeColor="accent5" w:themeTint="9A" w:sz="4" w:space="0"/>
          <w:bottom w:val="nil"/>
          <w:right w:val="nil"/>
        </w:tcBorders>
        <w:shd w:val="clear" w:color="FFFFFF" w:fill="auto"/>
      </w:tcPr>
    </w:tblStylePr>
    <w:tblStylePr w:type="band1Vert">
      <w:tcPr>
        <w:shd w:val="clear" w:color="D1EAF0" w:fill="D1EAF0"/>
      </w:tcPr>
    </w:tblStylePr>
    <w:tblStylePr w:type="band1Horz">
      <w:rPr>
        <w:rFonts w:ascii="Arial" w:hAnsi="Arial"/>
        <w:color w:val="8FAADC" w:themeColor="accent5" w:themeTint="99"/>
        <w:sz w:val="22"/>
        <w14:textFill>
          <w14:solidFill>
            <w14:schemeClr w14:val="accent5">
              <w14:lumMod w14:val="60000"/>
              <w14:lumOff w14:val="40000"/>
            </w14:schemeClr>
          </w14:solidFill>
        </w14:textFill>
      </w:rPr>
      <w:tcPr>
        <w:shd w:val="clear" w:color="D1EAF0" w:fill="D1EAF0"/>
      </w:tcPr>
    </w:tblStylePr>
    <w:tblStylePr w:type="band2Horz">
      <w:rPr>
        <w:rFonts w:ascii="Arial" w:hAnsi="Arial"/>
        <w:color w:val="8FAADC" w:themeColor="accent5" w:themeTint="99"/>
        <w:sz w:val="22"/>
        <w14:textFill>
          <w14:solidFill>
            <w14:schemeClr w14:val="accent5">
              <w14:lumMod w14:val="60000"/>
              <w14:lumOff w14:val="40000"/>
            </w14:schemeClr>
          </w14:solidFill>
        </w14:textFill>
      </w:rPr>
    </w:tblStylePr>
  </w:style>
  <w:style w:type="table" w:customStyle="1" w:styleId="370">
    <w:name w:val="ListTable7Colorful-Accent60"/>
    <w:basedOn w:val="37"/>
    <w:qFormat/>
    <w:uiPriority w:val="99"/>
    <w:tblPr>
      <w:tblBorders>
        <w:right w:val="single" w:color="A9D08E" w:themeColor="accent6" w:themeTint="98" w:sz="4" w:space="0"/>
      </w:tblBorders>
    </w:tblPr>
    <w:tblStylePr w:type="firstRow">
      <w:rPr>
        <w:rFonts w:ascii="Arial" w:hAnsi="Arial"/>
        <w:i/>
        <w:color w:val="A9D18E" w:themeColor="accent6" w:themeTint="99"/>
        <w:sz w:val="22"/>
        <w14:textFill>
          <w14:solidFill>
            <w14:schemeClr w14:val="accent6">
              <w14:lumMod w14:val="60000"/>
              <w14:lumOff w14:val="40000"/>
            </w14:schemeClr>
          </w14:solidFill>
        </w14:textFill>
      </w:rPr>
      <w:tcPr>
        <w:tcBorders>
          <w:top w:val="nil"/>
          <w:left w:val="nil"/>
          <w:bottom w:val="single" w:color="A9D08E" w:themeColor="accent6" w:themeTint="98" w:sz="4" w:space="0"/>
          <w:right w:val="nil"/>
        </w:tcBorders>
        <w:shd w:val="clear" w:color="FFFFFF" w:fill="FFFFFF"/>
      </w:tcPr>
    </w:tblStylePr>
    <w:tblStylePr w:type="lastRow">
      <w:rPr>
        <w:rFonts w:ascii="Arial" w:hAnsi="Arial"/>
        <w:i/>
        <w:color w:val="A9D18E" w:themeColor="accent6" w:themeTint="99"/>
        <w:sz w:val="22"/>
        <w14:textFill>
          <w14:solidFill>
            <w14:schemeClr w14:val="accent6">
              <w14:lumMod w14:val="60000"/>
              <w14:lumOff w14:val="40000"/>
            </w14:schemeClr>
          </w14:solidFill>
        </w14:textFill>
      </w:rPr>
      <w:tcPr>
        <w:tcBorders>
          <w:top w:val="single" w:color="A9D08E" w:themeColor="accent6" w:themeTint="98" w:sz="4" w:space="0"/>
          <w:left w:val="nil"/>
          <w:bottom w:val="nil"/>
          <w:right w:val="nil"/>
        </w:tcBorders>
        <w:shd w:val="clear" w:color="FFFFFF" w:fill="FFFFFF"/>
      </w:tcPr>
    </w:tblStylePr>
    <w:tblStylePr w:type="firstCol">
      <w:pPr>
        <w:jc w:val="right"/>
      </w:pPr>
      <w:rPr>
        <w:rFonts w:ascii="Arial" w:hAnsi="Arial"/>
        <w:i/>
        <w:color w:val="A9D18E" w:themeColor="accent6" w:themeTint="99"/>
        <w:sz w:val="22"/>
        <w14:textFill>
          <w14:solidFill>
            <w14:schemeClr w14:val="accent6">
              <w14:lumMod w14:val="60000"/>
              <w14:lumOff w14:val="40000"/>
            </w14:schemeClr>
          </w14:solidFill>
        </w14:textFill>
      </w:rPr>
      <w:tcPr>
        <w:tcBorders>
          <w:top w:val="nil"/>
          <w:left w:val="nil"/>
          <w:bottom w:val="nil"/>
          <w:right w:val="single" w:color="A9D08E" w:themeColor="accent6" w:themeTint="98" w:sz="4" w:space="0"/>
        </w:tcBorders>
        <w:shd w:val="clear" w:color="FFFFFF" w:fill="auto"/>
      </w:tcPr>
    </w:tblStylePr>
    <w:tblStylePr w:type="lastCol">
      <w:rPr>
        <w:rFonts w:ascii="Arial" w:hAnsi="Arial"/>
        <w:i/>
        <w:color w:val="A9D18E" w:themeColor="accent6" w:themeTint="99"/>
        <w:sz w:val="22"/>
        <w14:textFill>
          <w14:solidFill>
            <w14:schemeClr w14:val="accent6">
              <w14:lumMod w14:val="60000"/>
              <w14:lumOff w14:val="40000"/>
            </w14:schemeClr>
          </w14:solidFill>
        </w14:textFill>
      </w:rPr>
      <w:tcPr>
        <w:tcBorders>
          <w:top w:val="nil"/>
          <w:left w:val="single" w:color="A9D08E" w:themeColor="accent6" w:themeTint="98" w:sz="4" w:space="0"/>
          <w:bottom w:val="nil"/>
          <w:right w:val="nil"/>
        </w:tcBorders>
        <w:shd w:val="clear" w:color="FFFFFF" w:fill="auto"/>
      </w:tcPr>
    </w:tblStylePr>
    <w:tblStylePr w:type="band1Vert">
      <w:tcPr>
        <w:shd w:val="clear" w:color="FCE4D0" w:fill="FCE4D0"/>
      </w:tcPr>
    </w:tblStylePr>
    <w:tblStylePr w:type="band1Horz">
      <w:rPr>
        <w:rFonts w:ascii="Arial" w:hAnsi="Arial"/>
        <w:color w:val="A9D18E" w:themeColor="accent6" w:themeTint="99"/>
        <w:sz w:val="22"/>
        <w14:textFill>
          <w14:solidFill>
            <w14:schemeClr w14:val="accent6">
              <w14:lumMod w14:val="60000"/>
              <w14:lumOff w14:val="40000"/>
            </w14:schemeClr>
          </w14:solidFill>
        </w14:textFill>
      </w:rPr>
      <w:tcPr>
        <w:shd w:val="clear" w:color="FCE4D0" w:fill="FCE4D0"/>
      </w:tcPr>
    </w:tblStylePr>
    <w:tblStylePr w:type="band2Horz">
      <w:rPr>
        <w:rFonts w:ascii="Arial" w:hAnsi="Arial"/>
        <w:color w:val="A9D18E" w:themeColor="accent6" w:themeTint="99"/>
        <w:sz w:val="22"/>
        <w14:textFill>
          <w14:solidFill>
            <w14:schemeClr w14:val="accent6">
              <w14:lumMod w14:val="60000"/>
              <w14:lumOff w14:val="40000"/>
            </w14:schemeClr>
          </w14:solidFill>
        </w14:textFill>
      </w:rPr>
    </w:tblStylePr>
  </w:style>
  <w:style w:type="table" w:customStyle="1" w:styleId="371">
    <w:name w:val="Lined-Accent0"/>
    <w:basedOn w:val="37"/>
    <w:qFormat/>
    <w:uiPriority w:val="99"/>
    <w:rPr>
      <w:color w:val="404040"/>
    </w:rPr>
    <w:tblStylePr w:type="firstRow">
      <w:rPr>
        <w:rFonts w:ascii="Arial" w:hAnsi="Arial"/>
        <w:color w:val="F2F2F2"/>
        <w:sz w:val="22"/>
      </w:rPr>
      <w:tcPr>
        <w:shd w:val="clear" w:color="7E7E7E" w:fill="7E7E7E"/>
      </w:tcPr>
    </w:tblStylePr>
    <w:tblStylePr w:type="lastRow">
      <w:rPr>
        <w:rFonts w:ascii="Arial" w:hAnsi="Arial"/>
        <w:color w:val="F2F2F2"/>
        <w:sz w:val="22"/>
      </w:rPr>
      <w:tcPr>
        <w:shd w:val="clear" w:color="7E7E7E" w:fill="7E7E7E"/>
      </w:tcPr>
    </w:tblStylePr>
    <w:tblStylePr w:type="firstCol">
      <w:rPr>
        <w:rFonts w:ascii="Arial" w:hAnsi="Arial"/>
        <w:color w:val="F2F2F2"/>
        <w:sz w:val="22"/>
      </w:rPr>
      <w:tcPr>
        <w:shd w:val="clear" w:color="7E7E7E" w:fill="7E7E7E"/>
      </w:tcPr>
    </w:tblStylePr>
    <w:tblStylePr w:type="lastCol">
      <w:rPr>
        <w:rFonts w:ascii="Arial" w:hAnsi="Arial"/>
        <w:color w:val="F2F2F2"/>
        <w:sz w:val="22"/>
      </w:rPr>
      <w:tcPr>
        <w:shd w:val="clear" w:color="7E7E7E" w:fill="7E7E7E"/>
      </w:tcPr>
    </w:tblStylePr>
    <w:tblStylePr w:type="band1Vert">
      <w:rPr>
        <w:rFonts w:ascii="Arial" w:hAnsi="Arial"/>
        <w:color w:val="404040"/>
        <w:sz w:val="22"/>
      </w:rPr>
    </w:tblStylePr>
    <w:tblStylePr w:type="band2Vert">
      <w:rPr>
        <w:rFonts w:ascii="Arial" w:hAnsi="Arial"/>
        <w:color w:val="404040"/>
        <w:sz w:val="22"/>
      </w:rPr>
      <w:tcPr>
        <w:shd w:val="clear" w:color="F1F1F1" w:fill="F1F1F1"/>
      </w:tcPr>
    </w:tblStylePr>
    <w:tblStylePr w:type="band1Horz">
      <w:rPr>
        <w:rFonts w:ascii="Arial" w:hAnsi="Arial"/>
        <w:color w:val="404040"/>
        <w:sz w:val="22"/>
      </w:rPr>
    </w:tblStylePr>
    <w:tblStylePr w:type="band2Horz">
      <w:rPr>
        <w:rFonts w:ascii="Arial" w:hAnsi="Arial"/>
        <w:color w:val="404040"/>
        <w:sz w:val="22"/>
      </w:rPr>
      <w:tcPr>
        <w:shd w:val="clear" w:color="F1F1F1" w:fill="F1F1F1"/>
      </w:tcPr>
    </w:tblStylePr>
  </w:style>
  <w:style w:type="table" w:customStyle="1" w:styleId="372">
    <w:name w:val="Lined-Accent10"/>
    <w:basedOn w:val="37"/>
    <w:qFormat/>
    <w:uiPriority w:val="99"/>
    <w:rPr>
      <w:color w:val="404040"/>
    </w:rPr>
    <w:tblStylePr w:type="firstRow">
      <w:rPr>
        <w:rFonts w:ascii="Arial" w:hAnsi="Arial"/>
        <w:color w:val="F2F2F2"/>
        <w:sz w:val="22"/>
      </w:rPr>
      <w:tcPr>
        <w:shd w:val="clear" w:color="5D8BC2" w:fill="5D8BC2"/>
      </w:tcPr>
    </w:tblStylePr>
    <w:tblStylePr w:type="lastRow">
      <w:rPr>
        <w:rFonts w:ascii="Arial" w:hAnsi="Arial"/>
        <w:color w:val="F2F2F2"/>
        <w:sz w:val="22"/>
      </w:rPr>
      <w:tcPr>
        <w:shd w:val="clear" w:color="5D8BC2" w:fill="5D8BC2"/>
      </w:tcPr>
    </w:tblStylePr>
    <w:tblStylePr w:type="firstCol">
      <w:rPr>
        <w:rFonts w:ascii="Arial" w:hAnsi="Arial"/>
        <w:color w:val="F2F2F2"/>
        <w:sz w:val="22"/>
      </w:rPr>
      <w:tcPr>
        <w:shd w:val="clear" w:color="5D8BC2" w:fill="5D8BC2"/>
      </w:tcPr>
    </w:tblStylePr>
    <w:tblStylePr w:type="lastCol">
      <w:rPr>
        <w:rFonts w:ascii="Arial" w:hAnsi="Arial"/>
        <w:color w:val="F2F2F2"/>
        <w:sz w:val="22"/>
      </w:rPr>
      <w:tcPr>
        <w:shd w:val="clear" w:color="5D8BC2" w:fill="5D8BC2"/>
      </w:tcPr>
    </w:tblStylePr>
    <w:tblStylePr w:type="band1Vert">
      <w:rPr>
        <w:rFonts w:ascii="Arial" w:hAnsi="Arial"/>
        <w:color w:val="404040"/>
        <w:sz w:val="22"/>
      </w:rPr>
    </w:tblStylePr>
    <w:tblStylePr w:type="band2Vert">
      <w:rPr>
        <w:rFonts w:ascii="Arial" w:hAnsi="Arial"/>
        <w:color w:val="404040"/>
        <w:sz w:val="22"/>
      </w:rPr>
      <w:tcPr>
        <w:shd w:val="clear" w:color="C7D7EA" w:fill="C7D7EA"/>
      </w:tcPr>
    </w:tblStylePr>
    <w:tblStylePr w:type="band1Horz">
      <w:rPr>
        <w:rFonts w:ascii="Arial" w:hAnsi="Arial"/>
        <w:color w:val="404040"/>
        <w:sz w:val="22"/>
      </w:rPr>
    </w:tblStylePr>
    <w:tblStylePr w:type="band2Horz">
      <w:rPr>
        <w:rFonts w:ascii="Arial" w:hAnsi="Arial"/>
        <w:color w:val="404040"/>
        <w:sz w:val="22"/>
      </w:rPr>
      <w:tcPr>
        <w:shd w:val="clear" w:color="C7D7EA" w:fill="C7D7EA"/>
      </w:tcPr>
    </w:tblStylePr>
  </w:style>
  <w:style w:type="table" w:customStyle="1" w:styleId="373">
    <w:name w:val="Lined-Accent20"/>
    <w:basedOn w:val="37"/>
    <w:qFormat/>
    <w:uiPriority w:val="99"/>
    <w:rPr>
      <w:color w:val="404040"/>
    </w:rPr>
    <w:tblStylePr w:type="firstRow">
      <w:rPr>
        <w:rFonts w:ascii="Arial" w:hAnsi="Arial"/>
        <w:color w:val="F2F2F2"/>
        <w:sz w:val="22"/>
      </w:rPr>
      <w:tcPr>
        <w:shd w:val="clear" w:color="D99795" w:fill="D99795"/>
      </w:tcPr>
    </w:tblStylePr>
    <w:tblStylePr w:type="lastRow">
      <w:rPr>
        <w:rFonts w:ascii="Arial" w:hAnsi="Arial"/>
        <w:color w:val="F2F2F2"/>
        <w:sz w:val="22"/>
      </w:rPr>
      <w:tcPr>
        <w:shd w:val="clear" w:color="D99795" w:fill="D99795"/>
      </w:tcPr>
    </w:tblStylePr>
    <w:tblStylePr w:type="firstCol">
      <w:rPr>
        <w:rFonts w:ascii="Arial" w:hAnsi="Arial"/>
        <w:color w:val="F2F2F2"/>
        <w:sz w:val="22"/>
      </w:rPr>
      <w:tcPr>
        <w:shd w:val="clear" w:color="D99795" w:fill="D99795"/>
      </w:tcPr>
    </w:tblStylePr>
    <w:tblStylePr w:type="lastCol">
      <w:rPr>
        <w:rFonts w:ascii="Arial" w:hAnsi="Arial"/>
        <w:color w:val="F2F2F2"/>
        <w:sz w:val="22"/>
      </w:rPr>
      <w:tcPr>
        <w:shd w:val="clear" w:color="D99795" w:fill="D99795"/>
      </w:tcPr>
    </w:tblStylePr>
    <w:tblStylePr w:type="band1Vert">
      <w:rPr>
        <w:rFonts w:ascii="Arial" w:hAnsi="Arial"/>
        <w:color w:val="404040"/>
        <w:sz w:val="22"/>
      </w:rPr>
    </w:tblStylePr>
    <w:tblStylePr w:type="band2Vert">
      <w:rPr>
        <w:rFonts w:ascii="Arial" w:hAnsi="Arial"/>
        <w:color w:val="404040"/>
        <w:sz w:val="22"/>
      </w:rPr>
      <w:tcPr>
        <w:shd w:val="clear" w:color="F2DCDC" w:fill="F2DCDC"/>
      </w:tcPr>
    </w:tblStylePr>
    <w:tblStylePr w:type="band1Horz">
      <w:rPr>
        <w:rFonts w:ascii="Arial" w:hAnsi="Arial"/>
        <w:color w:val="404040"/>
        <w:sz w:val="22"/>
      </w:rPr>
    </w:tblStylePr>
    <w:tblStylePr w:type="band2Horz">
      <w:rPr>
        <w:rFonts w:ascii="Arial" w:hAnsi="Arial"/>
        <w:color w:val="404040"/>
        <w:sz w:val="22"/>
      </w:rPr>
      <w:tcPr>
        <w:shd w:val="clear" w:color="F2DCDC" w:fill="F2DCDC"/>
      </w:tcPr>
    </w:tblStylePr>
  </w:style>
  <w:style w:type="table" w:customStyle="1" w:styleId="374">
    <w:name w:val="Lined-Accent30"/>
    <w:basedOn w:val="37"/>
    <w:qFormat/>
    <w:uiPriority w:val="99"/>
    <w:rPr>
      <w:color w:val="404040"/>
    </w:rPr>
    <w:tblStylePr w:type="firstRow">
      <w:rPr>
        <w:rFonts w:ascii="Arial" w:hAnsi="Arial"/>
        <w:color w:val="F2F2F2"/>
        <w:sz w:val="22"/>
      </w:rPr>
      <w:tcPr>
        <w:shd w:val="clear" w:color="9BBB59" w:fill="9BBB59"/>
      </w:tcPr>
    </w:tblStylePr>
    <w:tblStylePr w:type="lastRow">
      <w:rPr>
        <w:rFonts w:ascii="Arial" w:hAnsi="Arial"/>
        <w:color w:val="F2F2F2"/>
        <w:sz w:val="22"/>
      </w:rPr>
      <w:tcPr>
        <w:shd w:val="clear" w:color="9BBB59" w:fill="9BBB59"/>
      </w:tcPr>
    </w:tblStylePr>
    <w:tblStylePr w:type="firstCol">
      <w:rPr>
        <w:rFonts w:ascii="Arial" w:hAnsi="Arial"/>
        <w:color w:val="F2F2F2"/>
        <w:sz w:val="22"/>
      </w:rPr>
      <w:tcPr>
        <w:shd w:val="clear" w:color="9BBB59" w:fill="9BBB59"/>
      </w:tcPr>
    </w:tblStylePr>
    <w:tblStylePr w:type="lastCol">
      <w:rPr>
        <w:rFonts w:ascii="Arial" w:hAnsi="Arial"/>
        <w:color w:val="F2F2F2"/>
        <w:sz w:val="22"/>
      </w:rPr>
      <w:tcPr>
        <w:shd w:val="clear" w:color="9BBB59" w:fill="9BBB59"/>
      </w:tcPr>
    </w:tblStylePr>
    <w:tblStylePr w:type="band1Vert">
      <w:rPr>
        <w:rFonts w:ascii="Arial" w:hAnsi="Arial"/>
        <w:color w:val="404040"/>
        <w:sz w:val="22"/>
      </w:rPr>
    </w:tblStylePr>
    <w:tblStylePr w:type="band2Vert">
      <w:rPr>
        <w:rFonts w:ascii="Arial" w:hAnsi="Arial"/>
        <w:color w:val="404040"/>
        <w:sz w:val="22"/>
      </w:rPr>
      <w:tcPr>
        <w:shd w:val="clear" w:color="EAF1DD" w:fill="EAF1DD"/>
      </w:tcPr>
    </w:tblStylePr>
    <w:tblStylePr w:type="band1Horz">
      <w:rPr>
        <w:rFonts w:ascii="Arial" w:hAnsi="Arial"/>
        <w:color w:val="404040"/>
        <w:sz w:val="22"/>
      </w:rPr>
    </w:tblStylePr>
    <w:tblStylePr w:type="band2Horz">
      <w:rPr>
        <w:rFonts w:ascii="Arial" w:hAnsi="Arial"/>
        <w:color w:val="404040"/>
        <w:sz w:val="22"/>
      </w:rPr>
      <w:tcPr>
        <w:shd w:val="clear" w:color="EAF1DD" w:fill="EAF1DD"/>
      </w:tcPr>
    </w:tblStylePr>
  </w:style>
  <w:style w:type="table" w:customStyle="1" w:styleId="375">
    <w:name w:val="Lined-Accent40"/>
    <w:basedOn w:val="37"/>
    <w:qFormat/>
    <w:uiPriority w:val="99"/>
    <w:rPr>
      <w:color w:val="404040"/>
    </w:rPr>
    <w:tblStylePr w:type="firstRow">
      <w:rPr>
        <w:rFonts w:ascii="Arial" w:hAnsi="Arial"/>
        <w:color w:val="F2F2F2"/>
        <w:sz w:val="22"/>
      </w:rPr>
      <w:tcPr>
        <w:shd w:val="clear" w:color="B2A1C6" w:fill="B2A1C6"/>
      </w:tcPr>
    </w:tblStylePr>
    <w:tblStylePr w:type="lastRow">
      <w:rPr>
        <w:rFonts w:ascii="Arial" w:hAnsi="Arial"/>
        <w:color w:val="F2F2F2"/>
        <w:sz w:val="22"/>
      </w:rPr>
      <w:tcPr>
        <w:shd w:val="clear" w:color="B2A1C6" w:fill="B2A1C6"/>
      </w:tcPr>
    </w:tblStylePr>
    <w:tblStylePr w:type="firstCol">
      <w:rPr>
        <w:rFonts w:ascii="Arial" w:hAnsi="Arial"/>
        <w:color w:val="F2F2F2"/>
        <w:sz w:val="22"/>
      </w:rPr>
      <w:tcPr>
        <w:shd w:val="clear" w:color="B2A1C6" w:fill="B2A1C6"/>
      </w:tcPr>
    </w:tblStylePr>
    <w:tblStylePr w:type="lastCol">
      <w:rPr>
        <w:rFonts w:ascii="Arial" w:hAnsi="Arial"/>
        <w:color w:val="F2F2F2"/>
        <w:sz w:val="22"/>
      </w:rPr>
      <w:tcPr>
        <w:shd w:val="clear" w:color="B2A1C6" w:fill="B2A1C6"/>
      </w:tcPr>
    </w:tblStylePr>
    <w:tblStylePr w:type="band1Vert">
      <w:rPr>
        <w:rFonts w:ascii="Arial" w:hAnsi="Arial"/>
        <w:color w:val="404040"/>
        <w:sz w:val="22"/>
      </w:rPr>
    </w:tblStylePr>
    <w:tblStylePr w:type="band2Vert">
      <w:rPr>
        <w:rFonts w:ascii="Arial" w:hAnsi="Arial"/>
        <w:color w:val="404040"/>
        <w:sz w:val="22"/>
      </w:rPr>
      <w:tcPr>
        <w:shd w:val="clear" w:color="E5DFEC" w:fill="E5DFEC"/>
      </w:tcPr>
    </w:tblStylePr>
    <w:tblStylePr w:type="band1Horz">
      <w:rPr>
        <w:rFonts w:ascii="Arial" w:hAnsi="Arial"/>
        <w:color w:val="404040"/>
        <w:sz w:val="22"/>
      </w:rPr>
    </w:tblStylePr>
    <w:tblStylePr w:type="band2Horz">
      <w:rPr>
        <w:rFonts w:ascii="Arial" w:hAnsi="Arial"/>
        <w:color w:val="404040"/>
        <w:sz w:val="22"/>
      </w:rPr>
      <w:tcPr>
        <w:shd w:val="clear" w:color="E5DFEC" w:fill="E5DFEC"/>
      </w:tcPr>
    </w:tblStylePr>
  </w:style>
  <w:style w:type="table" w:customStyle="1" w:styleId="376">
    <w:name w:val="Lined-Accent50"/>
    <w:basedOn w:val="37"/>
    <w:qFormat/>
    <w:uiPriority w:val="99"/>
    <w:rPr>
      <w:color w:val="404040"/>
    </w:rPr>
    <w:tblStylePr w:type="firstRow">
      <w:rPr>
        <w:rFonts w:ascii="Arial" w:hAnsi="Arial"/>
        <w:color w:val="F2F2F2"/>
        <w:sz w:val="22"/>
      </w:rPr>
      <w:tcPr>
        <w:shd w:val="clear" w:color="4BACC6" w:fill="4BACC6"/>
      </w:tcPr>
    </w:tblStylePr>
    <w:tblStylePr w:type="lastRow">
      <w:rPr>
        <w:rFonts w:ascii="Arial" w:hAnsi="Arial"/>
        <w:color w:val="F2F2F2"/>
        <w:sz w:val="22"/>
      </w:rPr>
      <w:tcPr>
        <w:shd w:val="clear" w:color="4BACC6" w:fill="4BACC6"/>
      </w:tcPr>
    </w:tblStylePr>
    <w:tblStylePr w:type="firstCol">
      <w:rPr>
        <w:rFonts w:ascii="Arial" w:hAnsi="Arial"/>
        <w:color w:val="F2F2F2"/>
        <w:sz w:val="22"/>
      </w:rPr>
      <w:tcPr>
        <w:shd w:val="clear" w:color="4BACC6" w:fill="4BACC6"/>
      </w:tcPr>
    </w:tblStylePr>
    <w:tblStylePr w:type="lastCol">
      <w:rPr>
        <w:rFonts w:ascii="Arial" w:hAnsi="Arial"/>
        <w:color w:val="F2F2F2"/>
        <w:sz w:val="22"/>
      </w:rPr>
      <w:tcPr>
        <w:shd w:val="clear" w:color="4BACC6" w:fill="4BACC6"/>
      </w:tcPr>
    </w:tblStylePr>
    <w:tblStylePr w:type="band1Vert">
      <w:rPr>
        <w:rFonts w:ascii="Arial" w:hAnsi="Arial"/>
        <w:color w:val="404040"/>
        <w:sz w:val="22"/>
      </w:rPr>
    </w:tblStylePr>
    <w:tblStylePr w:type="band2Vert">
      <w:rPr>
        <w:rFonts w:ascii="Arial" w:hAnsi="Arial"/>
        <w:color w:val="404040"/>
        <w:sz w:val="22"/>
      </w:rPr>
      <w:tcPr>
        <w:shd w:val="clear" w:color="DAEEF3" w:fill="DAEEF3"/>
      </w:tcPr>
    </w:tblStylePr>
    <w:tblStylePr w:type="band1Horz">
      <w:rPr>
        <w:rFonts w:ascii="Arial" w:hAnsi="Arial"/>
        <w:color w:val="404040"/>
        <w:sz w:val="22"/>
      </w:rPr>
    </w:tblStylePr>
    <w:tblStylePr w:type="band2Horz">
      <w:rPr>
        <w:rFonts w:ascii="Arial" w:hAnsi="Arial"/>
        <w:color w:val="404040"/>
        <w:sz w:val="22"/>
      </w:rPr>
      <w:tcPr>
        <w:shd w:val="clear" w:color="DAEEF3" w:fill="DAEEF3"/>
      </w:tcPr>
    </w:tblStylePr>
  </w:style>
  <w:style w:type="table" w:customStyle="1" w:styleId="377">
    <w:name w:val="Lined-Accent60"/>
    <w:basedOn w:val="37"/>
    <w:qFormat/>
    <w:uiPriority w:val="99"/>
    <w:rPr>
      <w:color w:val="404040"/>
    </w:rPr>
    <w:tblStylePr w:type="firstRow">
      <w:rPr>
        <w:rFonts w:ascii="Arial" w:hAnsi="Arial"/>
        <w:color w:val="F2F2F2"/>
        <w:sz w:val="22"/>
      </w:rPr>
      <w:tcPr>
        <w:shd w:val="clear" w:color="F79646" w:fill="F79646"/>
      </w:tcPr>
    </w:tblStylePr>
    <w:tblStylePr w:type="lastRow">
      <w:rPr>
        <w:rFonts w:ascii="Arial" w:hAnsi="Arial"/>
        <w:color w:val="F2F2F2"/>
        <w:sz w:val="22"/>
      </w:rPr>
      <w:tcPr>
        <w:shd w:val="clear" w:color="F79646" w:fill="F79646"/>
      </w:tcPr>
    </w:tblStylePr>
    <w:tblStylePr w:type="firstCol">
      <w:rPr>
        <w:rFonts w:ascii="Arial" w:hAnsi="Arial"/>
        <w:color w:val="F2F2F2"/>
        <w:sz w:val="22"/>
      </w:rPr>
      <w:tcPr>
        <w:shd w:val="clear" w:color="F79646" w:fill="F79646"/>
      </w:tcPr>
    </w:tblStylePr>
    <w:tblStylePr w:type="lastCol">
      <w:rPr>
        <w:rFonts w:ascii="Arial" w:hAnsi="Arial"/>
        <w:color w:val="F2F2F2"/>
        <w:sz w:val="22"/>
      </w:rPr>
      <w:tcPr>
        <w:shd w:val="clear" w:color="F79646" w:fill="F79646"/>
      </w:tcPr>
    </w:tblStylePr>
    <w:tblStylePr w:type="band1Vert">
      <w:rPr>
        <w:rFonts w:ascii="Arial" w:hAnsi="Arial"/>
        <w:color w:val="404040"/>
        <w:sz w:val="22"/>
      </w:rPr>
    </w:tblStylePr>
    <w:tblStylePr w:type="band2Vert">
      <w:rPr>
        <w:rFonts w:ascii="Arial" w:hAnsi="Arial"/>
        <w:color w:val="404040"/>
        <w:sz w:val="22"/>
      </w:rPr>
      <w:tcPr>
        <w:shd w:val="clear" w:color="FDE9D9" w:fill="FDE9D9"/>
      </w:tcPr>
    </w:tblStylePr>
    <w:tblStylePr w:type="band1Horz">
      <w:rPr>
        <w:rFonts w:ascii="Arial" w:hAnsi="Arial"/>
        <w:color w:val="404040"/>
        <w:sz w:val="22"/>
      </w:rPr>
    </w:tblStylePr>
    <w:tblStylePr w:type="band2Horz">
      <w:rPr>
        <w:rFonts w:ascii="Arial" w:hAnsi="Arial"/>
        <w:color w:val="404040"/>
        <w:sz w:val="22"/>
      </w:rPr>
      <w:tcPr>
        <w:shd w:val="clear" w:color="FDE9D9" w:fill="FDE9D9"/>
      </w:tcPr>
    </w:tblStylePr>
  </w:style>
  <w:style w:type="table" w:customStyle="1" w:styleId="378">
    <w:name w:val="Bordered&amp;Lined-Accent0"/>
    <w:basedOn w:val="37"/>
    <w:qFormat/>
    <w:uiPriority w:val="99"/>
    <w:rPr>
      <w:color w:val="404040"/>
    </w:rPr>
    <w:tblPr>
      <w:tblBorders>
        <w:top w:val="single" w:color="585858" w:themeColor="text1" w:themeTint="A6" w:sz="4" w:space="0"/>
        <w:left w:val="single" w:color="585858" w:themeColor="text1" w:themeTint="A6" w:sz="4" w:space="0"/>
        <w:bottom w:val="single" w:color="585858" w:themeColor="text1" w:themeTint="A6" w:sz="4" w:space="0"/>
        <w:right w:val="single" w:color="585858" w:themeColor="text1" w:themeTint="A6" w:sz="4" w:space="0"/>
        <w:insideH w:val="single" w:color="585858" w:themeColor="text1" w:themeTint="A6" w:sz="4" w:space="0"/>
        <w:insideV w:val="single" w:color="585858" w:themeColor="text1" w:themeTint="A6" w:sz="4" w:space="0"/>
      </w:tblBorders>
    </w:tblPr>
    <w:tblStylePr w:type="firstRow">
      <w:rPr>
        <w:rFonts w:ascii="Arial" w:hAnsi="Arial"/>
        <w:color w:val="F2F2F2"/>
        <w:sz w:val="22"/>
      </w:rPr>
      <w:tcPr>
        <w:shd w:val="clear" w:color="7E7E7E" w:fill="7E7E7E"/>
      </w:tcPr>
    </w:tblStylePr>
    <w:tblStylePr w:type="lastRow">
      <w:rPr>
        <w:rFonts w:ascii="Arial" w:hAnsi="Arial"/>
        <w:color w:val="F2F2F2"/>
        <w:sz w:val="22"/>
      </w:rPr>
      <w:tcPr>
        <w:shd w:val="clear" w:color="7E7E7E" w:fill="7E7E7E"/>
      </w:tcPr>
    </w:tblStylePr>
    <w:tblStylePr w:type="firstCol">
      <w:rPr>
        <w:rFonts w:ascii="Arial" w:hAnsi="Arial"/>
        <w:color w:val="F2F2F2"/>
        <w:sz w:val="22"/>
      </w:rPr>
      <w:tcPr>
        <w:shd w:val="clear" w:color="7E7E7E" w:fill="7E7E7E"/>
      </w:tcPr>
    </w:tblStylePr>
    <w:tblStylePr w:type="lastCol">
      <w:rPr>
        <w:rFonts w:ascii="Arial" w:hAnsi="Arial"/>
        <w:color w:val="F2F2F2"/>
        <w:sz w:val="22"/>
      </w:rPr>
      <w:tcPr>
        <w:shd w:val="clear" w:color="7E7E7E" w:fill="7E7E7E"/>
      </w:tcPr>
    </w:tblStylePr>
    <w:tblStylePr w:type="band1Vert">
      <w:rPr>
        <w:rFonts w:ascii="Arial" w:hAnsi="Arial"/>
        <w:color w:val="404040"/>
        <w:sz w:val="22"/>
      </w:rPr>
    </w:tblStylePr>
    <w:tblStylePr w:type="band2Vert">
      <w:rPr>
        <w:rFonts w:ascii="Arial" w:hAnsi="Arial"/>
        <w:color w:val="404040"/>
        <w:sz w:val="22"/>
      </w:rPr>
      <w:tcPr>
        <w:shd w:val="clear" w:color="F1F1F1" w:fill="F1F1F1"/>
      </w:tcPr>
    </w:tblStylePr>
    <w:tblStylePr w:type="band1Horz">
      <w:rPr>
        <w:rFonts w:ascii="Arial" w:hAnsi="Arial"/>
        <w:color w:val="404040"/>
        <w:sz w:val="22"/>
      </w:rPr>
    </w:tblStylePr>
    <w:tblStylePr w:type="band2Horz">
      <w:rPr>
        <w:rFonts w:ascii="Arial" w:hAnsi="Arial"/>
        <w:color w:val="404040"/>
        <w:sz w:val="22"/>
      </w:rPr>
      <w:tcPr>
        <w:shd w:val="clear" w:color="F1F1F1" w:fill="F1F1F1"/>
      </w:tcPr>
    </w:tblStylePr>
  </w:style>
  <w:style w:type="table" w:customStyle="1" w:styleId="379">
    <w:name w:val="Bordered&amp;Lined-Accent10"/>
    <w:basedOn w:val="37"/>
    <w:qFormat/>
    <w:uiPriority w:val="99"/>
    <w:rPr>
      <w:color w:val="404040"/>
    </w:rPr>
    <w:tblPr>
      <w:tblBorders>
        <w:top w:val="single" w:color="245B8D" w:themeColor="accent1" w:themeShade="95" w:sz="4" w:space="0"/>
        <w:left w:val="single" w:color="245B8D" w:themeColor="accent1" w:themeShade="95" w:sz="4" w:space="0"/>
        <w:bottom w:val="single" w:color="245B8D" w:themeColor="accent1" w:themeShade="95" w:sz="4" w:space="0"/>
        <w:right w:val="single" w:color="245B8D" w:themeColor="accent1" w:themeShade="95" w:sz="4" w:space="0"/>
        <w:insideH w:val="single" w:color="245B8D" w:themeColor="accent1" w:themeShade="95" w:sz="4" w:space="0"/>
        <w:insideV w:val="single" w:color="245B8D" w:themeColor="accent1" w:themeShade="95" w:sz="4" w:space="0"/>
      </w:tblBorders>
    </w:tblPr>
    <w:tblStylePr w:type="firstRow">
      <w:rPr>
        <w:rFonts w:ascii="Arial" w:hAnsi="Arial"/>
        <w:color w:val="F2F2F2"/>
        <w:sz w:val="22"/>
      </w:rPr>
      <w:tcPr>
        <w:shd w:val="clear" w:color="5D8BC2" w:fill="5D8BC2"/>
      </w:tcPr>
    </w:tblStylePr>
    <w:tblStylePr w:type="lastRow">
      <w:rPr>
        <w:rFonts w:ascii="Arial" w:hAnsi="Arial"/>
        <w:color w:val="F2F2F2"/>
        <w:sz w:val="22"/>
      </w:rPr>
      <w:tcPr>
        <w:shd w:val="clear" w:color="5D8BC2" w:fill="5D8BC2"/>
      </w:tcPr>
    </w:tblStylePr>
    <w:tblStylePr w:type="firstCol">
      <w:rPr>
        <w:rFonts w:ascii="Arial" w:hAnsi="Arial"/>
        <w:color w:val="F2F2F2"/>
        <w:sz w:val="22"/>
      </w:rPr>
      <w:tcPr>
        <w:shd w:val="clear" w:color="5D8BC2" w:fill="5D8BC2"/>
      </w:tcPr>
    </w:tblStylePr>
    <w:tblStylePr w:type="lastCol">
      <w:rPr>
        <w:rFonts w:ascii="Arial" w:hAnsi="Arial"/>
        <w:color w:val="F2F2F2"/>
        <w:sz w:val="22"/>
      </w:rPr>
      <w:tcPr>
        <w:shd w:val="clear" w:color="5D8BC2" w:fill="5D8BC2"/>
      </w:tcPr>
    </w:tblStylePr>
    <w:tblStylePr w:type="band1Vert">
      <w:rPr>
        <w:rFonts w:ascii="Arial" w:hAnsi="Arial"/>
        <w:color w:val="404040"/>
        <w:sz w:val="22"/>
      </w:rPr>
    </w:tblStylePr>
    <w:tblStylePr w:type="band2Vert">
      <w:rPr>
        <w:rFonts w:ascii="Arial" w:hAnsi="Arial"/>
        <w:color w:val="404040"/>
        <w:sz w:val="22"/>
      </w:rPr>
      <w:tcPr>
        <w:shd w:val="clear" w:color="C7D7EA" w:fill="C7D7EA"/>
      </w:tcPr>
    </w:tblStylePr>
    <w:tblStylePr w:type="band1Horz">
      <w:rPr>
        <w:rFonts w:ascii="Arial" w:hAnsi="Arial"/>
        <w:color w:val="404040"/>
        <w:sz w:val="22"/>
      </w:rPr>
    </w:tblStylePr>
    <w:tblStylePr w:type="band2Horz">
      <w:rPr>
        <w:rFonts w:ascii="Arial" w:hAnsi="Arial"/>
        <w:color w:val="404040"/>
        <w:sz w:val="22"/>
      </w:rPr>
      <w:tcPr>
        <w:shd w:val="clear" w:color="C7D7EA" w:fill="C7D7EA"/>
      </w:tcPr>
    </w:tblStylePr>
  </w:style>
  <w:style w:type="table" w:customStyle="1" w:styleId="380">
    <w:name w:val="Bordered&amp;Lined-Accent20"/>
    <w:basedOn w:val="37"/>
    <w:qFormat/>
    <w:uiPriority w:val="99"/>
    <w:rPr>
      <w:color w:val="404040"/>
    </w:rPr>
    <w:tblPr>
      <w:tblBorders>
        <w:top w:val="single" w:color="99460D" w:themeColor="accent2" w:themeShade="95" w:sz="4" w:space="0"/>
        <w:left w:val="single" w:color="99460D" w:themeColor="accent2" w:themeShade="95" w:sz="4" w:space="0"/>
        <w:bottom w:val="single" w:color="99460D" w:themeColor="accent2" w:themeShade="95" w:sz="4" w:space="0"/>
        <w:right w:val="single" w:color="99460D" w:themeColor="accent2" w:themeShade="95" w:sz="4" w:space="0"/>
        <w:insideH w:val="single" w:color="99460D" w:themeColor="accent2" w:themeShade="95" w:sz="4" w:space="0"/>
        <w:insideV w:val="single" w:color="99460D" w:themeColor="accent2" w:themeShade="95" w:sz="4" w:space="0"/>
      </w:tblBorders>
    </w:tblPr>
    <w:tblStylePr w:type="firstRow">
      <w:rPr>
        <w:rFonts w:ascii="Arial" w:hAnsi="Arial"/>
        <w:color w:val="F2F2F2"/>
        <w:sz w:val="22"/>
      </w:rPr>
      <w:tcPr>
        <w:shd w:val="clear" w:color="D99795" w:fill="D99795"/>
      </w:tcPr>
    </w:tblStylePr>
    <w:tblStylePr w:type="lastRow">
      <w:rPr>
        <w:rFonts w:ascii="Arial" w:hAnsi="Arial"/>
        <w:color w:val="F2F2F2"/>
        <w:sz w:val="22"/>
      </w:rPr>
      <w:tcPr>
        <w:shd w:val="clear" w:color="D99795" w:fill="D99795"/>
      </w:tcPr>
    </w:tblStylePr>
    <w:tblStylePr w:type="firstCol">
      <w:rPr>
        <w:rFonts w:ascii="Arial" w:hAnsi="Arial"/>
        <w:color w:val="F2F2F2"/>
        <w:sz w:val="22"/>
      </w:rPr>
      <w:tcPr>
        <w:shd w:val="clear" w:color="D99795" w:fill="D99795"/>
      </w:tcPr>
    </w:tblStylePr>
    <w:tblStylePr w:type="lastCol">
      <w:rPr>
        <w:rFonts w:ascii="Arial" w:hAnsi="Arial"/>
        <w:color w:val="F2F2F2"/>
        <w:sz w:val="22"/>
      </w:rPr>
      <w:tcPr>
        <w:shd w:val="clear" w:color="D99795" w:fill="D99795"/>
      </w:tcPr>
    </w:tblStylePr>
    <w:tblStylePr w:type="band1Vert">
      <w:rPr>
        <w:rFonts w:ascii="Arial" w:hAnsi="Arial"/>
        <w:color w:val="404040"/>
        <w:sz w:val="22"/>
      </w:rPr>
    </w:tblStylePr>
    <w:tblStylePr w:type="band2Vert">
      <w:rPr>
        <w:rFonts w:ascii="Arial" w:hAnsi="Arial"/>
        <w:color w:val="404040"/>
        <w:sz w:val="22"/>
      </w:rPr>
      <w:tcPr>
        <w:shd w:val="clear" w:color="F2DCDC" w:fill="F2DCDC"/>
      </w:tcPr>
    </w:tblStylePr>
    <w:tblStylePr w:type="band1Horz">
      <w:rPr>
        <w:rFonts w:ascii="Arial" w:hAnsi="Arial"/>
        <w:color w:val="404040"/>
        <w:sz w:val="22"/>
      </w:rPr>
    </w:tblStylePr>
    <w:tblStylePr w:type="band2Horz">
      <w:rPr>
        <w:rFonts w:ascii="Arial" w:hAnsi="Arial"/>
        <w:color w:val="404040"/>
        <w:sz w:val="22"/>
      </w:rPr>
      <w:tcPr>
        <w:shd w:val="clear" w:color="F2DCDC" w:fill="F2DCDC"/>
      </w:tcPr>
    </w:tblStylePr>
  </w:style>
  <w:style w:type="table" w:customStyle="1" w:styleId="381">
    <w:name w:val="Bordered&amp;Lined-Accent30"/>
    <w:basedOn w:val="37"/>
    <w:qFormat/>
    <w:uiPriority w:val="99"/>
    <w:rPr>
      <w:color w:val="404040"/>
    </w:rPr>
    <w:tblPr>
      <w:tblBorders>
        <w:top w:val="single" w:color="606060" w:themeColor="accent3" w:themeShade="95" w:sz="4" w:space="0"/>
        <w:left w:val="single" w:color="606060" w:themeColor="accent3" w:themeShade="95" w:sz="4" w:space="0"/>
        <w:bottom w:val="single" w:color="606060" w:themeColor="accent3" w:themeShade="95" w:sz="4" w:space="0"/>
        <w:right w:val="single" w:color="606060" w:themeColor="accent3" w:themeShade="95" w:sz="4" w:space="0"/>
        <w:insideH w:val="single" w:color="606060" w:themeColor="accent3" w:themeShade="95" w:sz="4" w:space="0"/>
        <w:insideV w:val="single" w:color="606060" w:themeColor="accent3" w:themeShade="95" w:sz="4" w:space="0"/>
      </w:tblBorders>
    </w:tblPr>
    <w:tblStylePr w:type="firstRow">
      <w:rPr>
        <w:rFonts w:ascii="Arial" w:hAnsi="Arial"/>
        <w:color w:val="F2F2F2"/>
        <w:sz w:val="22"/>
      </w:rPr>
      <w:tcPr>
        <w:shd w:val="clear" w:color="9BBB59" w:fill="9BBB59"/>
      </w:tcPr>
    </w:tblStylePr>
    <w:tblStylePr w:type="lastRow">
      <w:rPr>
        <w:rFonts w:ascii="Arial" w:hAnsi="Arial"/>
        <w:color w:val="F2F2F2"/>
        <w:sz w:val="22"/>
      </w:rPr>
      <w:tcPr>
        <w:shd w:val="clear" w:color="9BBB59" w:fill="9BBB59"/>
      </w:tcPr>
    </w:tblStylePr>
    <w:tblStylePr w:type="firstCol">
      <w:rPr>
        <w:rFonts w:ascii="Arial" w:hAnsi="Arial"/>
        <w:color w:val="F2F2F2"/>
        <w:sz w:val="22"/>
      </w:rPr>
      <w:tcPr>
        <w:shd w:val="clear" w:color="9BBB59" w:fill="9BBB59"/>
      </w:tcPr>
    </w:tblStylePr>
    <w:tblStylePr w:type="lastCol">
      <w:rPr>
        <w:rFonts w:ascii="Arial" w:hAnsi="Arial"/>
        <w:color w:val="F2F2F2"/>
        <w:sz w:val="22"/>
      </w:rPr>
      <w:tcPr>
        <w:shd w:val="clear" w:color="9BBB59" w:fill="9BBB59"/>
      </w:tcPr>
    </w:tblStylePr>
    <w:tblStylePr w:type="band1Vert">
      <w:rPr>
        <w:rFonts w:ascii="Arial" w:hAnsi="Arial"/>
        <w:color w:val="404040"/>
        <w:sz w:val="22"/>
      </w:rPr>
    </w:tblStylePr>
    <w:tblStylePr w:type="band2Vert">
      <w:rPr>
        <w:rFonts w:ascii="Arial" w:hAnsi="Arial"/>
        <w:color w:val="404040"/>
        <w:sz w:val="22"/>
      </w:rPr>
      <w:tcPr>
        <w:shd w:val="clear" w:color="EAF1DD" w:fill="EAF1DD"/>
      </w:tcPr>
    </w:tblStylePr>
    <w:tblStylePr w:type="band1Horz">
      <w:rPr>
        <w:rFonts w:ascii="Arial" w:hAnsi="Arial"/>
        <w:color w:val="404040"/>
        <w:sz w:val="22"/>
      </w:rPr>
    </w:tblStylePr>
    <w:tblStylePr w:type="band2Horz">
      <w:rPr>
        <w:rFonts w:ascii="Arial" w:hAnsi="Arial"/>
        <w:color w:val="404040"/>
        <w:sz w:val="22"/>
      </w:rPr>
      <w:tcPr>
        <w:shd w:val="clear" w:color="EAF1DD" w:fill="EAF1DD"/>
      </w:tcPr>
    </w:tblStylePr>
  </w:style>
  <w:style w:type="table" w:customStyle="1" w:styleId="382">
    <w:name w:val="Bordered&amp;Lined-Accent40"/>
    <w:basedOn w:val="37"/>
    <w:qFormat/>
    <w:uiPriority w:val="99"/>
    <w:rPr>
      <w:color w:val="404040"/>
    </w:rPr>
    <w:tblPr>
      <w:tblBorders>
        <w:top w:val="single" w:color="947000" w:themeColor="accent4" w:themeShade="95" w:sz="4" w:space="0"/>
        <w:left w:val="single" w:color="947000" w:themeColor="accent4" w:themeShade="95" w:sz="4" w:space="0"/>
        <w:bottom w:val="single" w:color="947000" w:themeColor="accent4" w:themeShade="95" w:sz="4" w:space="0"/>
        <w:right w:val="single" w:color="947000" w:themeColor="accent4" w:themeShade="95" w:sz="4" w:space="0"/>
        <w:insideH w:val="single" w:color="947000" w:themeColor="accent4" w:themeShade="95" w:sz="4" w:space="0"/>
        <w:insideV w:val="single" w:color="947000" w:themeColor="accent4" w:themeShade="95" w:sz="4" w:space="0"/>
      </w:tblBorders>
    </w:tblPr>
    <w:tblStylePr w:type="firstRow">
      <w:rPr>
        <w:rFonts w:ascii="Arial" w:hAnsi="Arial"/>
        <w:color w:val="F2F2F2"/>
        <w:sz w:val="22"/>
      </w:rPr>
      <w:tcPr>
        <w:shd w:val="clear" w:color="B2A1C6" w:fill="B2A1C6"/>
      </w:tcPr>
    </w:tblStylePr>
    <w:tblStylePr w:type="lastRow">
      <w:rPr>
        <w:rFonts w:ascii="Arial" w:hAnsi="Arial"/>
        <w:color w:val="F2F2F2"/>
        <w:sz w:val="22"/>
      </w:rPr>
      <w:tcPr>
        <w:shd w:val="clear" w:color="B2A1C6" w:fill="B2A1C6"/>
      </w:tcPr>
    </w:tblStylePr>
    <w:tblStylePr w:type="firstCol">
      <w:rPr>
        <w:rFonts w:ascii="Arial" w:hAnsi="Arial"/>
        <w:color w:val="F2F2F2"/>
        <w:sz w:val="22"/>
      </w:rPr>
      <w:tcPr>
        <w:shd w:val="clear" w:color="B2A1C6" w:fill="B2A1C6"/>
      </w:tcPr>
    </w:tblStylePr>
    <w:tblStylePr w:type="lastCol">
      <w:rPr>
        <w:rFonts w:ascii="Arial" w:hAnsi="Arial"/>
        <w:color w:val="F2F2F2"/>
        <w:sz w:val="22"/>
      </w:rPr>
      <w:tcPr>
        <w:shd w:val="clear" w:color="B2A1C6" w:fill="B2A1C6"/>
      </w:tcPr>
    </w:tblStylePr>
    <w:tblStylePr w:type="band1Vert">
      <w:rPr>
        <w:rFonts w:ascii="Arial" w:hAnsi="Arial"/>
        <w:color w:val="404040"/>
        <w:sz w:val="22"/>
      </w:rPr>
    </w:tblStylePr>
    <w:tblStylePr w:type="band2Vert">
      <w:rPr>
        <w:rFonts w:ascii="Arial" w:hAnsi="Arial"/>
        <w:color w:val="404040"/>
        <w:sz w:val="22"/>
      </w:rPr>
      <w:tcPr>
        <w:shd w:val="clear" w:color="E5DFEC" w:fill="E5DFEC"/>
      </w:tcPr>
    </w:tblStylePr>
    <w:tblStylePr w:type="band1Horz">
      <w:rPr>
        <w:rFonts w:ascii="Arial" w:hAnsi="Arial"/>
        <w:color w:val="404040"/>
        <w:sz w:val="22"/>
      </w:rPr>
    </w:tblStylePr>
    <w:tblStylePr w:type="band2Horz">
      <w:rPr>
        <w:rFonts w:ascii="Arial" w:hAnsi="Arial"/>
        <w:color w:val="404040"/>
        <w:sz w:val="22"/>
      </w:rPr>
      <w:tcPr>
        <w:shd w:val="clear" w:color="E5DFEC" w:fill="E5DFEC"/>
      </w:tcPr>
    </w:tblStylePr>
  </w:style>
  <w:style w:type="table" w:customStyle="1" w:styleId="383">
    <w:name w:val="Bordered&amp;Lined-Accent50"/>
    <w:basedOn w:val="37"/>
    <w:qFormat/>
    <w:uiPriority w:val="99"/>
    <w:rPr>
      <w:color w:val="404040"/>
    </w:rPr>
    <w:tblPr>
      <w:tblBorders>
        <w:top w:val="single" w:color="244175" w:themeColor="accent5" w:themeShade="95" w:sz="4" w:space="0"/>
        <w:left w:val="single" w:color="244175" w:themeColor="accent5" w:themeShade="95" w:sz="4" w:space="0"/>
        <w:bottom w:val="single" w:color="244175" w:themeColor="accent5" w:themeShade="95" w:sz="4" w:space="0"/>
        <w:right w:val="single" w:color="244175" w:themeColor="accent5" w:themeShade="95" w:sz="4" w:space="0"/>
        <w:insideH w:val="single" w:color="244175" w:themeColor="accent5" w:themeShade="95" w:sz="4" w:space="0"/>
        <w:insideV w:val="single" w:color="244175" w:themeColor="accent5" w:themeShade="95" w:sz="4" w:space="0"/>
      </w:tblBorders>
    </w:tblPr>
    <w:tblStylePr w:type="firstRow">
      <w:rPr>
        <w:rFonts w:ascii="Arial" w:hAnsi="Arial"/>
        <w:color w:val="F2F2F2"/>
        <w:sz w:val="22"/>
      </w:rPr>
      <w:tcPr>
        <w:shd w:val="clear" w:color="4BACC6" w:fill="4BACC6"/>
      </w:tcPr>
    </w:tblStylePr>
    <w:tblStylePr w:type="lastRow">
      <w:rPr>
        <w:rFonts w:ascii="Arial" w:hAnsi="Arial"/>
        <w:color w:val="F2F2F2"/>
        <w:sz w:val="22"/>
      </w:rPr>
      <w:tcPr>
        <w:shd w:val="clear" w:color="4BACC6" w:fill="4BACC6"/>
      </w:tcPr>
    </w:tblStylePr>
    <w:tblStylePr w:type="firstCol">
      <w:rPr>
        <w:rFonts w:ascii="Arial" w:hAnsi="Arial"/>
        <w:color w:val="F2F2F2"/>
        <w:sz w:val="22"/>
      </w:rPr>
      <w:tcPr>
        <w:shd w:val="clear" w:color="4BACC6" w:fill="4BACC6"/>
      </w:tcPr>
    </w:tblStylePr>
    <w:tblStylePr w:type="lastCol">
      <w:rPr>
        <w:rFonts w:ascii="Arial" w:hAnsi="Arial"/>
        <w:color w:val="F2F2F2"/>
        <w:sz w:val="22"/>
      </w:rPr>
      <w:tcPr>
        <w:shd w:val="clear" w:color="4BACC6" w:fill="4BACC6"/>
      </w:tcPr>
    </w:tblStylePr>
    <w:tblStylePr w:type="band1Vert">
      <w:rPr>
        <w:rFonts w:ascii="Arial" w:hAnsi="Arial"/>
        <w:color w:val="404040"/>
        <w:sz w:val="22"/>
      </w:rPr>
    </w:tblStylePr>
    <w:tblStylePr w:type="band2Vert">
      <w:rPr>
        <w:rFonts w:ascii="Arial" w:hAnsi="Arial"/>
        <w:color w:val="404040"/>
        <w:sz w:val="22"/>
      </w:rPr>
      <w:tcPr>
        <w:shd w:val="clear" w:color="DAEEF3" w:fill="DAEEF3"/>
      </w:tcPr>
    </w:tblStylePr>
    <w:tblStylePr w:type="band1Horz">
      <w:rPr>
        <w:rFonts w:ascii="Arial" w:hAnsi="Arial"/>
        <w:color w:val="404040"/>
        <w:sz w:val="22"/>
      </w:rPr>
    </w:tblStylePr>
    <w:tblStylePr w:type="band2Horz">
      <w:rPr>
        <w:rFonts w:ascii="Arial" w:hAnsi="Arial"/>
        <w:color w:val="404040"/>
        <w:sz w:val="22"/>
      </w:rPr>
      <w:tcPr>
        <w:shd w:val="clear" w:color="DAEEF3" w:fill="DAEEF3"/>
      </w:tcPr>
    </w:tblStylePr>
  </w:style>
  <w:style w:type="table" w:customStyle="1" w:styleId="384">
    <w:name w:val="Bordered&amp;Lined-Accent60"/>
    <w:basedOn w:val="37"/>
    <w:qFormat/>
    <w:uiPriority w:val="99"/>
    <w:rPr>
      <w:color w:val="404040"/>
    </w:rPr>
    <w:tblPr>
      <w:tblBorders>
        <w:top w:val="single" w:color="416529" w:themeColor="accent6" w:themeShade="95" w:sz="4" w:space="0"/>
        <w:left w:val="single" w:color="416529" w:themeColor="accent6" w:themeShade="95" w:sz="4" w:space="0"/>
        <w:bottom w:val="single" w:color="416529" w:themeColor="accent6" w:themeShade="95" w:sz="4" w:space="0"/>
        <w:right w:val="single" w:color="416529" w:themeColor="accent6" w:themeShade="95" w:sz="4" w:space="0"/>
        <w:insideH w:val="single" w:color="416529" w:themeColor="accent6" w:themeShade="95" w:sz="4" w:space="0"/>
        <w:insideV w:val="single" w:color="416529" w:themeColor="accent6" w:themeShade="95" w:sz="4" w:space="0"/>
      </w:tblBorders>
    </w:tblPr>
    <w:tblStylePr w:type="firstRow">
      <w:rPr>
        <w:rFonts w:ascii="Arial" w:hAnsi="Arial"/>
        <w:color w:val="F2F2F2"/>
        <w:sz w:val="22"/>
      </w:rPr>
      <w:tcPr>
        <w:shd w:val="clear" w:color="F79646" w:fill="F79646"/>
      </w:tcPr>
    </w:tblStylePr>
    <w:tblStylePr w:type="lastRow">
      <w:rPr>
        <w:rFonts w:ascii="Arial" w:hAnsi="Arial"/>
        <w:color w:val="F2F2F2"/>
        <w:sz w:val="22"/>
      </w:rPr>
      <w:tcPr>
        <w:shd w:val="clear" w:color="F79646" w:fill="F79646"/>
      </w:tcPr>
    </w:tblStylePr>
    <w:tblStylePr w:type="firstCol">
      <w:rPr>
        <w:rFonts w:ascii="Arial" w:hAnsi="Arial"/>
        <w:color w:val="F2F2F2"/>
        <w:sz w:val="22"/>
      </w:rPr>
      <w:tcPr>
        <w:shd w:val="clear" w:color="F79646" w:fill="F79646"/>
      </w:tcPr>
    </w:tblStylePr>
    <w:tblStylePr w:type="lastCol">
      <w:rPr>
        <w:rFonts w:ascii="Arial" w:hAnsi="Arial"/>
        <w:color w:val="F2F2F2"/>
        <w:sz w:val="22"/>
      </w:rPr>
      <w:tcPr>
        <w:shd w:val="clear" w:color="F79646" w:fill="F79646"/>
      </w:tcPr>
    </w:tblStylePr>
    <w:tblStylePr w:type="band1Vert">
      <w:rPr>
        <w:rFonts w:ascii="Arial" w:hAnsi="Arial"/>
        <w:color w:val="404040"/>
        <w:sz w:val="22"/>
      </w:rPr>
    </w:tblStylePr>
    <w:tblStylePr w:type="band2Vert">
      <w:rPr>
        <w:rFonts w:ascii="Arial" w:hAnsi="Arial"/>
        <w:color w:val="404040"/>
        <w:sz w:val="22"/>
      </w:rPr>
      <w:tcPr>
        <w:shd w:val="clear" w:color="FDE9D9" w:fill="FDE9D9"/>
      </w:tcPr>
    </w:tblStylePr>
    <w:tblStylePr w:type="band1Horz">
      <w:rPr>
        <w:rFonts w:ascii="Arial" w:hAnsi="Arial"/>
        <w:color w:val="404040"/>
        <w:sz w:val="22"/>
      </w:rPr>
    </w:tblStylePr>
    <w:tblStylePr w:type="band2Horz">
      <w:rPr>
        <w:rFonts w:ascii="Arial" w:hAnsi="Arial"/>
        <w:color w:val="404040"/>
        <w:sz w:val="22"/>
      </w:rPr>
      <w:tcPr>
        <w:shd w:val="clear" w:color="FDE9D9" w:fill="FDE9D9"/>
      </w:tcPr>
    </w:tblStylePr>
  </w:style>
  <w:style w:type="table" w:customStyle="1" w:styleId="385">
    <w:name w:val="Bordered0"/>
    <w:basedOn w:val="37"/>
    <w:qFormat/>
    <w:uiPriority w:val="99"/>
    <w:tblPr>
      <w:tblBorders>
        <w:top w:val="single" w:color="D8D8D8" w:themeColor="text1" w:themeTint="26" w:sz="4" w:space="0"/>
        <w:left w:val="single" w:color="D8D8D8" w:themeColor="text1" w:themeTint="26" w:sz="4" w:space="0"/>
        <w:bottom w:val="single" w:color="D8D8D8" w:themeColor="text1" w:themeTint="26" w:sz="4" w:space="0"/>
        <w:right w:val="single" w:color="D8D8D8" w:themeColor="text1" w:themeTint="26" w:sz="4" w:space="0"/>
        <w:insideH w:val="single" w:color="D8D8D8" w:themeColor="text1" w:themeTint="26" w:sz="4" w:space="0"/>
        <w:insideV w:val="single" w:color="D8D8D8" w:themeColor="text1" w:themeTint="26" w:sz="4" w:space="0"/>
      </w:tblBorders>
    </w:tblPr>
    <w:tblStylePr w:type="firstRow">
      <w:rPr>
        <w:rFonts w:ascii="Arial" w:hAnsi="Arial"/>
        <w:color w:val="404040"/>
        <w:sz w:val="22"/>
      </w:rPr>
      <w:tcPr>
        <w:tcBorders>
          <w:bottom w:val="single" w:color="7E7E7E" w:themeColor="text1" w:themeTint="80" w:sz="12" w:space="0"/>
        </w:tcBorders>
      </w:tcPr>
    </w:tblStylePr>
    <w:tblStylePr w:type="lastRow">
      <w:rPr>
        <w:rFonts w:ascii="Arial" w:hAnsi="Arial"/>
        <w:color w:val="404040"/>
        <w:sz w:val="22"/>
      </w:rPr>
      <w:tcPr>
        <w:tcBorders>
          <w:top w:val="single" w:color="7E7E7E" w:themeColor="text1" w:themeTint="80"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7E7E7E" w:themeColor="text1" w:themeTint="80" w:sz="12" w:space="0"/>
        </w:tcBorders>
      </w:tcPr>
    </w:tblStylePr>
    <w:tblStylePr w:type="band1Horz">
      <w:rPr>
        <w:rFonts w:ascii="Arial" w:hAnsi="Arial"/>
        <w:color w:val="404040"/>
        <w:sz w:val="22"/>
      </w:rPr>
      <w:tcPr>
        <w:tcBorders>
          <w:top w:val="single" w:color="D8D8D8" w:themeColor="text1" w:themeTint="26" w:sz="4" w:space="0"/>
          <w:left w:val="single" w:color="D8D8D8" w:themeColor="text1" w:themeTint="26" w:sz="4" w:space="0"/>
          <w:bottom w:val="single" w:color="D8D8D8" w:themeColor="text1" w:themeTint="26" w:sz="4" w:space="0"/>
          <w:right w:val="single" w:color="D8D8D8" w:themeColor="text1" w:themeTint="26" w:sz="4" w:space="0"/>
        </w:tcBorders>
      </w:tcPr>
    </w:tblStylePr>
  </w:style>
  <w:style w:type="table" w:customStyle="1" w:styleId="386">
    <w:name w:val="Bordered-Accent10"/>
    <w:basedOn w:val="37"/>
    <w:qFormat/>
    <w:uiPriority w:val="99"/>
    <w:tblPr>
      <w:tblBorders>
        <w:top w:val="single" w:color="BCD6EE" w:themeColor="accent1" w:themeTint="67" w:sz="4" w:space="0"/>
        <w:left w:val="single" w:color="BCD6EE" w:themeColor="accent1" w:themeTint="67" w:sz="4" w:space="0"/>
        <w:bottom w:val="single" w:color="BCD6EE" w:themeColor="accent1" w:themeTint="67" w:sz="4" w:space="0"/>
        <w:right w:val="single" w:color="BCD6EE" w:themeColor="accent1" w:themeTint="67" w:sz="4" w:space="0"/>
        <w:insideH w:val="single" w:color="BCD6EE" w:themeColor="accent1" w:themeTint="67" w:sz="4" w:space="0"/>
        <w:insideV w:val="single" w:color="BCD6EE" w:themeColor="accent1" w:themeTint="67" w:sz="4" w:space="0"/>
      </w:tblBorders>
    </w:tblPr>
    <w:tblStylePr w:type="firstRow">
      <w:rPr>
        <w:rFonts w:ascii="Arial" w:hAnsi="Arial"/>
        <w:color w:val="404040"/>
        <w:sz w:val="22"/>
      </w:rPr>
      <w:tcPr>
        <w:tcBorders>
          <w:bottom w:val="single" w:color="5B9BD5" w:themeColor="accent1" w:sz="12" w:space="0"/>
        </w:tcBorders>
      </w:tcPr>
    </w:tblStylePr>
    <w:tblStylePr w:type="lastRow">
      <w:rPr>
        <w:rFonts w:ascii="Arial" w:hAnsi="Arial"/>
        <w:color w:val="404040"/>
        <w:sz w:val="22"/>
      </w:rPr>
      <w:tcPr>
        <w:tcBorders>
          <w:top w:val="single" w:color="5B9BD5" w:themeColor="accent1"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5B9BD5" w:themeColor="accent1" w:sz="12" w:space="0"/>
        </w:tcBorders>
      </w:tcPr>
    </w:tblStylePr>
    <w:tblStylePr w:type="band1Horz">
      <w:rPr>
        <w:rFonts w:ascii="Arial" w:hAnsi="Arial"/>
        <w:color w:val="404040"/>
        <w:sz w:val="22"/>
      </w:rPr>
      <w:tcPr>
        <w:tcBorders>
          <w:top w:val="single" w:color="BCD6EE" w:themeColor="accent1" w:themeTint="67" w:sz="4" w:space="0"/>
          <w:left w:val="single" w:color="BCD6EE" w:themeColor="accent1" w:themeTint="67" w:sz="4" w:space="0"/>
          <w:bottom w:val="single" w:color="BCD6EE" w:themeColor="accent1" w:themeTint="67" w:sz="4" w:space="0"/>
          <w:right w:val="single" w:color="BCD6EE" w:themeColor="accent1" w:themeTint="67" w:sz="4" w:space="0"/>
        </w:tcBorders>
      </w:tcPr>
    </w:tblStylePr>
  </w:style>
  <w:style w:type="table" w:customStyle="1" w:styleId="387">
    <w:name w:val="Bordered-Accent20"/>
    <w:basedOn w:val="37"/>
    <w:qFormat/>
    <w:uiPriority w:val="99"/>
    <w:tblPr>
      <w:tblBorders>
        <w:top w:val="single" w:color="F7CAAB" w:themeColor="accent2" w:themeTint="67" w:sz="4" w:space="0"/>
        <w:left w:val="single" w:color="F7CAAB" w:themeColor="accent2" w:themeTint="67" w:sz="4" w:space="0"/>
        <w:bottom w:val="single" w:color="F7CAAB" w:themeColor="accent2" w:themeTint="67" w:sz="4" w:space="0"/>
        <w:right w:val="single" w:color="F7CAAB" w:themeColor="accent2" w:themeTint="67" w:sz="4" w:space="0"/>
        <w:insideH w:val="single" w:color="F7CAAB" w:themeColor="accent2" w:themeTint="67" w:sz="4" w:space="0"/>
        <w:insideV w:val="single" w:color="F7CAAB" w:themeColor="accent2" w:themeTint="67" w:sz="4" w:space="0"/>
      </w:tblBorders>
    </w:tblPr>
    <w:tblStylePr w:type="firstRow">
      <w:rPr>
        <w:rFonts w:ascii="Arial" w:hAnsi="Arial"/>
        <w:color w:val="404040"/>
        <w:sz w:val="22"/>
      </w:rPr>
      <w:tcPr>
        <w:tcBorders>
          <w:bottom w:val="single" w:color="F4B285" w:themeColor="accent2" w:themeTint="97" w:sz="12" w:space="0"/>
        </w:tcBorders>
      </w:tcPr>
    </w:tblStylePr>
    <w:tblStylePr w:type="lastRow">
      <w:rPr>
        <w:rFonts w:ascii="Arial" w:hAnsi="Arial"/>
        <w:color w:val="404040"/>
        <w:sz w:val="22"/>
      </w:rPr>
      <w:tcPr>
        <w:tcBorders>
          <w:top w:val="single" w:color="F4B285" w:themeColor="accent2" w:themeTint="97"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F4B285" w:themeColor="accent2" w:themeTint="97" w:sz="12" w:space="0"/>
        </w:tcBorders>
      </w:tcPr>
    </w:tblStylePr>
    <w:tblStylePr w:type="band1Horz">
      <w:rPr>
        <w:rFonts w:ascii="Arial" w:hAnsi="Arial"/>
        <w:color w:val="404040"/>
        <w:sz w:val="22"/>
      </w:rPr>
      <w:tcPr>
        <w:tcBorders>
          <w:top w:val="single" w:color="F7CAAB" w:themeColor="accent2" w:themeTint="67" w:sz="4" w:space="0"/>
          <w:left w:val="single" w:color="F7CAAB" w:themeColor="accent2" w:themeTint="67" w:sz="4" w:space="0"/>
          <w:bottom w:val="single" w:color="F7CAAB" w:themeColor="accent2" w:themeTint="67" w:sz="4" w:space="0"/>
          <w:right w:val="single" w:color="F7CAAB" w:themeColor="accent2" w:themeTint="67" w:sz="4" w:space="0"/>
        </w:tcBorders>
      </w:tcPr>
    </w:tblStylePr>
  </w:style>
  <w:style w:type="table" w:customStyle="1" w:styleId="388">
    <w:name w:val="Bordered-Accent30"/>
    <w:basedOn w:val="37"/>
    <w:qFormat/>
    <w:uiPriority w:val="99"/>
    <w:tblPr>
      <w:tblBorders>
        <w:top w:val="single" w:color="DADADA" w:themeColor="accent3" w:themeTint="67" w:sz="4" w:space="0"/>
        <w:left w:val="single" w:color="DADADA" w:themeColor="accent3" w:themeTint="67" w:sz="4" w:space="0"/>
        <w:bottom w:val="single" w:color="DADADA" w:themeColor="accent3" w:themeTint="67" w:sz="4" w:space="0"/>
        <w:right w:val="single" w:color="DADADA" w:themeColor="accent3" w:themeTint="67" w:sz="4" w:space="0"/>
        <w:insideH w:val="single" w:color="DADADA" w:themeColor="accent3" w:themeTint="67" w:sz="4" w:space="0"/>
        <w:insideV w:val="single" w:color="DADADA" w:themeColor="accent3" w:themeTint="67" w:sz="4" w:space="0"/>
      </w:tblBorders>
    </w:tblPr>
    <w:tblStylePr w:type="firstRow">
      <w:rPr>
        <w:rFonts w:ascii="Arial" w:hAnsi="Arial"/>
        <w:color w:val="404040"/>
        <w:sz w:val="22"/>
      </w:rPr>
      <w:tcPr>
        <w:tcBorders>
          <w:bottom w:val="single" w:color="C9C9C9" w:themeColor="accent3" w:themeTint="98" w:sz="12" w:space="0"/>
        </w:tcBorders>
      </w:tcPr>
    </w:tblStylePr>
    <w:tblStylePr w:type="lastRow">
      <w:rPr>
        <w:rFonts w:ascii="Arial" w:hAnsi="Arial"/>
        <w:color w:val="404040"/>
        <w:sz w:val="22"/>
      </w:rPr>
      <w:tcPr>
        <w:tcBorders>
          <w:top w:val="single" w:color="C9C9C9" w:themeColor="accent3" w:themeTint="98"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C9C9C9" w:themeColor="accent3" w:themeTint="98" w:sz="12" w:space="0"/>
        </w:tcBorders>
      </w:tcPr>
    </w:tblStylePr>
    <w:tblStylePr w:type="band1Horz">
      <w:rPr>
        <w:rFonts w:ascii="Arial" w:hAnsi="Arial"/>
        <w:color w:val="404040"/>
        <w:sz w:val="22"/>
      </w:rPr>
      <w:tcPr>
        <w:tcBorders>
          <w:top w:val="single" w:color="DADADA" w:themeColor="accent3" w:themeTint="67" w:sz="4" w:space="0"/>
          <w:left w:val="single" w:color="DADADA" w:themeColor="accent3" w:themeTint="67" w:sz="4" w:space="0"/>
          <w:bottom w:val="single" w:color="DADADA" w:themeColor="accent3" w:themeTint="67" w:sz="4" w:space="0"/>
          <w:right w:val="single" w:color="DADADA" w:themeColor="accent3" w:themeTint="67" w:sz="4" w:space="0"/>
        </w:tcBorders>
      </w:tcPr>
    </w:tblStylePr>
  </w:style>
  <w:style w:type="table" w:customStyle="1" w:styleId="389">
    <w:name w:val="Bordered-Accent40"/>
    <w:basedOn w:val="37"/>
    <w:qFormat/>
    <w:uiPriority w:val="99"/>
    <w:tblPr>
      <w:tblBorders>
        <w:top w:val="single" w:color="FFE597" w:themeColor="accent4" w:themeTint="67" w:sz="4" w:space="0"/>
        <w:left w:val="single" w:color="FFE597" w:themeColor="accent4" w:themeTint="67" w:sz="4" w:space="0"/>
        <w:bottom w:val="single" w:color="FFE597" w:themeColor="accent4" w:themeTint="67" w:sz="4" w:space="0"/>
        <w:right w:val="single" w:color="FFE597" w:themeColor="accent4" w:themeTint="67" w:sz="4" w:space="0"/>
        <w:insideH w:val="single" w:color="FFE597" w:themeColor="accent4" w:themeTint="67" w:sz="4" w:space="0"/>
        <w:insideV w:val="single" w:color="FFE597" w:themeColor="accent4" w:themeTint="67" w:sz="4" w:space="0"/>
      </w:tblBorders>
    </w:tblPr>
    <w:tblStylePr w:type="firstRow">
      <w:rPr>
        <w:rFonts w:ascii="Arial" w:hAnsi="Arial"/>
        <w:color w:val="404040"/>
        <w:sz w:val="22"/>
      </w:rPr>
      <w:tcPr>
        <w:tcBorders>
          <w:bottom w:val="single" w:color="FFD864" w:themeColor="accent4" w:themeTint="9A" w:sz="12" w:space="0"/>
        </w:tcBorders>
      </w:tcPr>
    </w:tblStylePr>
    <w:tblStylePr w:type="lastRow">
      <w:rPr>
        <w:rFonts w:ascii="Arial" w:hAnsi="Arial"/>
        <w:color w:val="404040"/>
        <w:sz w:val="22"/>
      </w:rPr>
      <w:tcPr>
        <w:tcBorders>
          <w:top w:val="single" w:color="FFD864" w:themeColor="accent4" w:themeTint="9A"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FFD864" w:themeColor="accent4" w:themeTint="9A" w:sz="12" w:space="0"/>
        </w:tcBorders>
      </w:tcPr>
    </w:tblStylePr>
    <w:tblStylePr w:type="band1Horz">
      <w:rPr>
        <w:rFonts w:ascii="Arial" w:hAnsi="Arial"/>
        <w:color w:val="404040"/>
        <w:sz w:val="22"/>
      </w:rPr>
      <w:tcPr>
        <w:tcBorders>
          <w:top w:val="single" w:color="FFE597" w:themeColor="accent4" w:themeTint="67" w:sz="4" w:space="0"/>
          <w:left w:val="single" w:color="FFE597" w:themeColor="accent4" w:themeTint="67" w:sz="4" w:space="0"/>
          <w:bottom w:val="single" w:color="FFE597" w:themeColor="accent4" w:themeTint="67" w:sz="4" w:space="0"/>
          <w:right w:val="single" w:color="FFE597" w:themeColor="accent4" w:themeTint="67" w:sz="4" w:space="0"/>
        </w:tcBorders>
      </w:tcPr>
    </w:tblStylePr>
  </w:style>
  <w:style w:type="table" w:customStyle="1" w:styleId="390">
    <w:name w:val="Bordered-Accent50"/>
    <w:basedOn w:val="37"/>
    <w:qFormat/>
    <w:uiPriority w:val="99"/>
    <w:tblPr>
      <w:tblBorders>
        <w:top w:val="single" w:color="B3C6E7" w:themeColor="accent5" w:themeTint="67" w:sz="4" w:space="0"/>
        <w:left w:val="single" w:color="B3C6E7" w:themeColor="accent5" w:themeTint="67" w:sz="4" w:space="0"/>
        <w:bottom w:val="single" w:color="B3C6E7" w:themeColor="accent5" w:themeTint="67" w:sz="4" w:space="0"/>
        <w:right w:val="single" w:color="B3C6E7" w:themeColor="accent5" w:themeTint="67" w:sz="4" w:space="0"/>
        <w:insideH w:val="single" w:color="B3C6E7" w:themeColor="accent5" w:themeTint="67" w:sz="4" w:space="0"/>
        <w:insideV w:val="single" w:color="B3C6E7" w:themeColor="accent5" w:themeTint="67" w:sz="4" w:space="0"/>
      </w:tblBorders>
    </w:tblPr>
    <w:tblStylePr w:type="firstRow">
      <w:rPr>
        <w:rFonts w:ascii="Arial" w:hAnsi="Arial"/>
        <w:color w:val="404040"/>
        <w:sz w:val="22"/>
      </w:rPr>
      <w:tcPr>
        <w:tcBorders>
          <w:bottom w:val="single" w:color="8EA9DB" w:themeColor="accent5" w:themeTint="9A" w:sz="12" w:space="0"/>
        </w:tcBorders>
      </w:tcPr>
    </w:tblStylePr>
    <w:tblStylePr w:type="lastRow">
      <w:rPr>
        <w:rFonts w:ascii="Arial" w:hAnsi="Arial"/>
        <w:color w:val="404040"/>
        <w:sz w:val="22"/>
      </w:rPr>
      <w:tcPr>
        <w:tcBorders>
          <w:top w:val="single" w:color="8EA9DB" w:themeColor="accent5" w:themeTint="9A"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8EA9DB" w:themeColor="accent5" w:themeTint="9A" w:sz="12" w:space="0"/>
        </w:tcBorders>
      </w:tcPr>
    </w:tblStylePr>
    <w:tblStylePr w:type="band1Horz">
      <w:rPr>
        <w:rFonts w:ascii="Arial" w:hAnsi="Arial"/>
        <w:color w:val="404040"/>
        <w:sz w:val="22"/>
      </w:rPr>
      <w:tcPr>
        <w:tcBorders>
          <w:top w:val="single" w:color="B3C6E7" w:themeColor="accent5" w:themeTint="67" w:sz="4" w:space="0"/>
          <w:left w:val="single" w:color="B3C6E7" w:themeColor="accent5" w:themeTint="67" w:sz="4" w:space="0"/>
          <w:bottom w:val="single" w:color="B3C6E7" w:themeColor="accent5" w:themeTint="67" w:sz="4" w:space="0"/>
          <w:right w:val="single" w:color="B3C6E7" w:themeColor="accent5" w:themeTint="67" w:sz="4" w:space="0"/>
        </w:tcBorders>
      </w:tcPr>
    </w:tblStylePr>
  </w:style>
  <w:style w:type="table" w:customStyle="1" w:styleId="391">
    <w:name w:val="Bordered-Accent60"/>
    <w:basedOn w:val="37"/>
    <w:qFormat/>
    <w:uiPriority w:val="99"/>
    <w:tblPr>
      <w:tblBorders>
        <w:top w:val="single" w:color="C4DFB2" w:themeColor="accent6" w:themeTint="67" w:sz="4" w:space="0"/>
        <w:left w:val="single" w:color="C4DFB2" w:themeColor="accent6" w:themeTint="67" w:sz="4" w:space="0"/>
        <w:bottom w:val="single" w:color="C4DFB2" w:themeColor="accent6" w:themeTint="67" w:sz="4" w:space="0"/>
        <w:right w:val="single" w:color="C4DFB2" w:themeColor="accent6" w:themeTint="67" w:sz="4" w:space="0"/>
        <w:insideH w:val="single" w:color="C4DFB2" w:themeColor="accent6" w:themeTint="67" w:sz="4" w:space="0"/>
        <w:insideV w:val="single" w:color="C4DFB2" w:themeColor="accent6" w:themeTint="67" w:sz="4" w:space="0"/>
      </w:tblBorders>
    </w:tblPr>
    <w:tblStylePr w:type="firstRow">
      <w:rPr>
        <w:rFonts w:ascii="Arial" w:hAnsi="Arial"/>
        <w:color w:val="404040"/>
        <w:sz w:val="22"/>
      </w:rPr>
      <w:tcPr>
        <w:tcBorders>
          <w:bottom w:val="single" w:color="A9D08E" w:themeColor="accent6" w:themeTint="98" w:sz="12" w:space="0"/>
        </w:tcBorders>
      </w:tcPr>
    </w:tblStylePr>
    <w:tblStylePr w:type="lastRow">
      <w:rPr>
        <w:rFonts w:ascii="Arial" w:hAnsi="Arial"/>
        <w:color w:val="404040"/>
        <w:sz w:val="22"/>
      </w:rPr>
      <w:tcPr>
        <w:tcBorders>
          <w:top w:val="single" w:color="A9D08E" w:themeColor="accent6" w:themeTint="98" w:sz="12" w:space="0"/>
        </w:tcBorders>
      </w:tcPr>
    </w:tblStylePr>
    <w:tblStylePr w:type="firstCol">
      <w:rPr>
        <w:rFonts w:ascii="Arial" w:hAnsi="Arial"/>
        <w:color w:val="404040"/>
        <w:sz w:val="22"/>
      </w:rPr>
    </w:tblStylePr>
    <w:tblStylePr w:type="lastCol">
      <w:rPr>
        <w:rFonts w:ascii="Arial" w:hAnsi="Arial"/>
        <w:color w:val="404040"/>
        <w:sz w:val="22"/>
      </w:rPr>
      <w:tcPr>
        <w:tcBorders>
          <w:left w:val="single" w:color="A9D08E" w:themeColor="accent6" w:themeTint="98" w:sz="12" w:space="0"/>
        </w:tcBorders>
      </w:tcPr>
    </w:tblStylePr>
    <w:tblStylePr w:type="band1Horz">
      <w:rPr>
        <w:rFonts w:ascii="Arial" w:hAnsi="Arial"/>
        <w:color w:val="404040"/>
        <w:sz w:val="22"/>
      </w:rPr>
      <w:tcPr>
        <w:tcBorders>
          <w:top w:val="single" w:color="C4DFB2" w:themeColor="accent6" w:themeTint="67" w:sz="4" w:space="0"/>
          <w:left w:val="single" w:color="C4DFB2" w:themeColor="accent6" w:themeTint="67" w:sz="4" w:space="0"/>
          <w:bottom w:val="single" w:color="C4DFB2" w:themeColor="accent6" w:themeTint="67" w:sz="4" w:space="0"/>
          <w:right w:val="single" w:color="C4DFB2" w:themeColor="accent6" w:themeTint="67" w:sz="4" w:space="0"/>
        </w:tcBorders>
      </w:tcPr>
    </w:tblStylePr>
  </w:style>
  <w:style w:type="character" w:customStyle="1" w:styleId="392">
    <w:name w:val="标题 字符1"/>
    <w:link w:val="36"/>
    <w:qFormat/>
    <w:uiPriority w:val="99"/>
    <w:rPr>
      <w:sz w:val="18"/>
    </w:rPr>
  </w:style>
  <w:style w:type="character" w:customStyle="1" w:styleId="393">
    <w:name w:val="EndnoteTextChar0"/>
    <w:qFormat/>
    <w:uiPriority w:val="99"/>
    <w:rPr>
      <w:sz w:val="20"/>
    </w:rPr>
  </w:style>
  <w:style w:type="paragraph" w:customStyle="1" w:styleId="394">
    <w:name w:val="TOCHeading0"/>
    <w:unhideWhenUsed/>
    <w:qFormat/>
    <w:uiPriority w:val="39"/>
    <w:pPr>
      <w:spacing w:after="160" w:line="278" w:lineRule="auto"/>
    </w:pPr>
    <w:rPr>
      <w:rFonts w:hint="default" w:ascii="Times New Roman" w:hAnsi="Times New Roman" w:eastAsia="宋体" w:cs="Times New Roman"/>
      <w:lang w:val="en-US" w:eastAsia="zh-CN" w:bidi="ar-SA"/>
    </w:rPr>
  </w:style>
  <w:style w:type="paragraph" w:customStyle="1" w:styleId="395">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sz w:val="22"/>
      <w:szCs w:val="22"/>
    </w:rPr>
  </w:style>
  <w:style w:type="paragraph" w:customStyle="1" w:styleId="396">
    <w:name w:val="xl3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sz w:val="22"/>
      <w:szCs w:val="22"/>
    </w:rPr>
  </w:style>
  <w:style w:type="paragraph" w:customStyle="1" w:styleId="397">
    <w:name w:val="xl48"/>
    <w:basedOn w:val="1"/>
    <w:qFormat/>
    <w:uiPriority w:val="0"/>
    <w:pPr>
      <w:widowControl/>
      <w:spacing w:before="100" w:beforeAutospacing="1" w:after="100" w:afterAutospacing="1"/>
      <w:jc w:val="left"/>
    </w:pPr>
    <w:rPr>
      <w:rFonts w:ascii="宋体" w:hAnsi="宋体" w:cs="宋体"/>
      <w:sz w:val="22"/>
      <w:szCs w:val="22"/>
    </w:rPr>
  </w:style>
  <w:style w:type="paragraph" w:customStyle="1" w:styleId="398">
    <w:name w:val="xl5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sz w:val="22"/>
      <w:szCs w:val="22"/>
    </w:rPr>
  </w:style>
  <w:style w:type="paragraph" w:customStyle="1" w:styleId="399">
    <w:name w:val="Char"/>
    <w:basedOn w:val="1"/>
    <w:qFormat/>
    <w:uiPriority w:val="0"/>
  </w:style>
  <w:style w:type="character" w:customStyle="1" w:styleId="400">
    <w:name w:val="页眉 Char"/>
    <w:basedOn w:val="39"/>
    <w:qFormat/>
    <w:uiPriority w:val="99"/>
    <w:rPr>
      <w:sz w:val="18"/>
      <w:szCs w:val="18"/>
    </w:rPr>
  </w:style>
  <w:style w:type="paragraph" w:customStyle="1" w:styleId="401">
    <w:name w:val="章标题"/>
    <w:next w:val="1"/>
    <w:qFormat/>
    <w:uiPriority w:val="0"/>
    <w:pPr>
      <w:tabs>
        <w:tab w:val="left" w:pos="360"/>
        <w:tab w:val="left" w:pos="420"/>
      </w:tabs>
      <w:spacing w:after="160" w:line="278" w:lineRule="auto"/>
      <w:jc w:val="both"/>
      <w:outlineLvl w:val="1"/>
    </w:pPr>
    <w:rPr>
      <w:rFonts w:hint="default" w:ascii="黑体" w:hAnsi="Times New Roman" w:eastAsia="黑体" w:cs="Times New Roman"/>
      <w:b/>
      <w:sz w:val="21"/>
      <w:lang w:val="en-US" w:eastAsia="zh-CN" w:bidi="ar-SA"/>
    </w:rPr>
  </w:style>
  <w:style w:type="paragraph" w:customStyle="1" w:styleId="402">
    <w:name w:val="一级条标题"/>
    <w:basedOn w:val="401"/>
    <w:next w:val="1"/>
    <w:qFormat/>
    <w:uiPriority w:val="0"/>
    <w:pPr>
      <w:tabs>
        <w:tab w:val="left" w:pos="525"/>
        <w:tab w:val="clear" w:pos="420"/>
      </w:tabs>
      <w:outlineLvl w:val="2"/>
    </w:pPr>
  </w:style>
  <w:style w:type="paragraph" w:customStyle="1" w:styleId="403">
    <w:name w:val="二级条标题"/>
    <w:basedOn w:val="402"/>
    <w:next w:val="1"/>
    <w:qFormat/>
    <w:uiPriority w:val="0"/>
    <w:pPr>
      <w:tabs>
        <w:tab w:val="clear" w:pos="525"/>
      </w:tabs>
      <w:outlineLvl w:val="3"/>
    </w:pPr>
  </w:style>
  <w:style w:type="paragraph" w:customStyle="1" w:styleId="404">
    <w:name w:val="三级条标题"/>
    <w:basedOn w:val="403"/>
    <w:next w:val="1"/>
    <w:qFormat/>
    <w:uiPriority w:val="0"/>
    <w:pPr>
      <w:tabs>
        <w:tab w:val="left" w:pos="945"/>
      </w:tabs>
      <w:outlineLvl w:val="4"/>
    </w:pPr>
  </w:style>
  <w:style w:type="paragraph" w:customStyle="1" w:styleId="405">
    <w:name w:val="四级条标题"/>
    <w:basedOn w:val="404"/>
    <w:next w:val="1"/>
    <w:qFormat/>
    <w:uiPriority w:val="0"/>
    <w:pPr>
      <w:tabs>
        <w:tab w:val="left" w:pos="1155"/>
        <w:tab w:val="clear" w:pos="945"/>
      </w:tabs>
      <w:outlineLvl w:val="5"/>
    </w:pPr>
  </w:style>
  <w:style w:type="paragraph" w:customStyle="1" w:styleId="406">
    <w:name w:val="五级条标题"/>
    <w:basedOn w:val="405"/>
    <w:next w:val="1"/>
    <w:qFormat/>
    <w:uiPriority w:val="0"/>
    <w:pPr>
      <w:tabs>
        <w:tab w:val="left" w:pos="1407"/>
        <w:tab w:val="clear" w:pos="1155"/>
      </w:tabs>
      <w:outlineLvl w:val="6"/>
    </w:pPr>
  </w:style>
  <w:style w:type="character" w:customStyle="1" w:styleId="407">
    <w:name w:val="纯文本 Char"/>
    <w:basedOn w:val="39"/>
    <w:qFormat/>
    <w:uiPriority w:val="0"/>
    <w:rPr>
      <w:rFonts w:ascii="宋体" w:hAnsi="Courier New"/>
      <w:sz w:val="21"/>
      <w:szCs w:val="21"/>
    </w:rPr>
  </w:style>
  <w:style w:type="paragraph" w:customStyle="1" w:styleId="408">
    <w:name w:val="ListParagraph0"/>
    <w:basedOn w:val="1"/>
    <w:qFormat/>
    <w:uiPriority w:val="34"/>
    <w:pPr>
      <w:ind w:firstLine="420"/>
    </w:pPr>
  </w:style>
  <w:style w:type="paragraph" w:customStyle="1" w:styleId="409">
    <w:name w:val="附录标识"/>
    <w:basedOn w:val="1"/>
    <w:next w:val="410"/>
    <w:qFormat/>
    <w:uiPriority w:val="0"/>
    <w:pPr>
      <w:keepNext/>
      <w:widowControl/>
      <w:numPr>
        <w:ilvl w:val="0"/>
        <w:numId w:val="1"/>
      </w:numPr>
      <w:shd w:val="clear" w:color="FFFFFF" w:fill="FFFFFF"/>
      <w:tabs>
        <w:tab w:val="left" w:pos="6405"/>
      </w:tabs>
      <w:spacing w:before="640" w:after="280"/>
      <w:jc w:val="center"/>
      <w:outlineLvl w:val="0"/>
    </w:pPr>
    <w:rPr>
      <w:rFonts w:ascii="黑体" w:eastAsia="黑体"/>
      <w:sz w:val="20"/>
      <w:szCs w:val="20"/>
    </w:rPr>
  </w:style>
  <w:style w:type="paragraph" w:customStyle="1" w:styleId="410">
    <w:name w:val="段"/>
    <w:qFormat/>
    <w:uiPriority w:val="0"/>
    <w:pPr>
      <w:tabs>
        <w:tab w:val="center" w:pos="4201"/>
        <w:tab w:val="right" w:leader="dot" w:pos="9298"/>
      </w:tabs>
      <w:spacing w:after="160" w:line="278" w:lineRule="auto"/>
      <w:ind w:firstLine="420"/>
      <w:jc w:val="both"/>
    </w:pPr>
    <w:rPr>
      <w:rFonts w:hint="default" w:ascii="宋体" w:hAnsi="Times New Roman" w:eastAsia="宋体" w:cs="Arial"/>
      <w:sz w:val="21"/>
      <w:szCs w:val="24"/>
      <w:lang w:val="en-US" w:eastAsia="zh-CN" w:bidi="ar-SA"/>
    </w:rPr>
  </w:style>
  <w:style w:type="paragraph" w:customStyle="1" w:styleId="411">
    <w:name w:val="xl25"/>
    <w:basedOn w:val="1"/>
    <w:qFormat/>
    <w:uiPriority w:val="0"/>
    <w:pPr>
      <w:widowControl/>
      <w:pBdr>
        <w:bottom w:val="single" w:color="auto" w:sz="4" w:space="0"/>
        <w:right w:val="single" w:color="auto" w:sz="4" w:space="0"/>
      </w:pBdr>
      <w:spacing w:before="100" w:beforeAutospacing="1" w:after="100" w:afterAutospacing="1"/>
    </w:pPr>
    <w:rPr>
      <w:rFonts w:ascii="宋体" w:hAnsi="宋体"/>
      <w:color w:val="000000"/>
      <w:sz w:val="18"/>
      <w:szCs w:val="18"/>
    </w:rPr>
  </w:style>
  <w:style w:type="character" w:customStyle="1" w:styleId="412">
    <w:name w:val="font131"/>
    <w:basedOn w:val="39"/>
    <w:qFormat/>
    <w:uiPriority w:val="0"/>
    <w:rPr>
      <w:rFonts w:ascii="微软雅黑" w:hAnsi="微软雅黑" w:eastAsia="微软雅黑" w:cs="微软雅黑"/>
      <w:b/>
      <w:color w:val="000000"/>
      <w:sz w:val="36"/>
      <w:szCs w:val="36"/>
      <w:u w:val="none"/>
    </w:rPr>
  </w:style>
  <w:style w:type="character" w:customStyle="1" w:styleId="413">
    <w:name w:val="font21"/>
    <w:basedOn w:val="39"/>
    <w:qFormat/>
    <w:uiPriority w:val="0"/>
    <w:rPr>
      <w:rFonts w:hint="default" w:ascii="Arial" w:hAnsi="Arial" w:cs="Arial"/>
      <w:b/>
      <w:color w:val="000000"/>
      <w:sz w:val="36"/>
      <w:szCs w:val="36"/>
      <w:u w:val="none"/>
    </w:rPr>
  </w:style>
  <w:style w:type="character" w:customStyle="1" w:styleId="414">
    <w:name w:val="font161"/>
    <w:basedOn w:val="39"/>
    <w:qFormat/>
    <w:uiPriority w:val="0"/>
    <w:rPr>
      <w:rFonts w:ascii="微软雅黑" w:hAnsi="微软雅黑" w:eastAsia="微软雅黑" w:cs="微软雅黑"/>
      <w:b/>
      <w:color w:val="000000"/>
      <w:sz w:val="36"/>
      <w:szCs w:val="36"/>
      <w:u w:val="none"/>
    </w:rPr>
  </w:style>
  <w:style w:type="character" w:customStyle="1" w:styleId="415">
    <w:name w:val="font41"/>
    <w:basedOn w:val="39"/>
    <w:qFormat/>
    <w:uiPriority w:val="0"/>
    <w:rPr>
      <w:rFonts w:hint="default" w:ascii="Arial" w:hAnsi="Arial" w:cs="Arial"/>
      <w:b/>
      <w:color w:val="000000"/>
      <w:sz w:val="36"/>
      <w:szCs w:val="36"/>
      <w:u w:val="none"/>
    </w:rPr>
  </w:style>
  <w:style w:type="paragraph" w:customStyle="1" w:styleId="416">
    <w:name w:val="_Style 2"/>
    <w:basedOn w:val="1"/>
    <w:next w:val="1"/>
    <w:qFormat/>
    <w:uiPriority w:val="0"/>
    <w:pPr>
      <w:pBdr>
        <w:bottom w:val="single" w:color="auto" w:sz="6" w:space="1"/>
      </w:pBdr>
      <w:jc w:val="center"/>
    </w:pPr>
    <w:rPr>
      <w:rFonts w:ascii="Arial"/>
      <w:vanish/>
      <w:sz w:val="16"/>
    </w:rPr>
  </w:style>
  <w:style w:type="paragraph" w:customStyle="1" w:styleId="417">
    <w:name w:val="_Style 3"/>
    <w:basedOn w:val="1"/>
    <w:next w:val="1"/>
    <w:qFormat/>
    <w:uiPriority w:val="0"/>
    <w:pPr>
      <w:pBdr>
        <w:top w:val="single" w:color="auto" w:sz="6" w:space="1"/>
      </w:pBdr>
      <w:jc w:val="center"/>
    </w:pPr>
    <w:rPr>
      <w:rFonts w:ascii="Arial"/>
      <w:vanish/>
      <w:sz w:val="16"/>
    </w:rPr>
  </w:style>
  <w:style w:type="paragraph" w:customStyle="1" w:styleId="418">
    <w:name w:val="WPSOffice手动目录 1"/>
    <w:qFormat/>
    <w:uiPriority w:val="0"/>
    <w:pPr>
      <w:spacing w:after="160" w:line="278" w:lineRule="auto"/>
    </w:pPr>
    <w:rPr>
      <w:rFonts w:hint="default" w:ascii="Times New Roman" w:hAnsi="Times New Roman" w:eastAsia="宋体_x0004_fal" w:cs="Times New Roman"/>
      <w:lang w:val="en-US" w:eastAsia="zh-CN" w:bidi="ar-SA"/>
    </w:rPr>
  </w:style>
  <w:style w:type="character" w:customStyle="1" w:styleId="419">
    <w:name w:val="font11"/>
    <w:basedOn w:val="39"/>
    <w:qFormat/>
    <w:uiPriority w:val="0"/>
    <w:rPr>
      <w:rFonts w:hint="eastAsia" w:ascii="宋体" w:hAnsi="宋体" w:eastAsia="宋体" w:cs="宋体"/>
      <w:color w:val="000000"/>
      <w:sz w:val="22"/>
      <w:szCs w:val="22"/>
      <w:u w:val="none"/>
    </w:rPr>
  </w:style>
  <w:style w:type="character" w:customStyle="1" w:styleId="420">
    <w:name w:val="font31"/>
    <w:basedOn w:val="39"/>
    <w:qFormat/>
    <w:uiPriority w:val="0"/>
    <w:rPr>
      <w:rFonts w:hint="eastAsia" w:ascii="宋体" w:hAnsi="宋体" w:eastAsia="宋体" w:cs="宋体"/>
      <w:color w:val="000000"/>
      <w:sz w:val="20"/>
      <w:szCs w:val="20"/>
      <w:u w:val="none"/>
    </w:rPr>
  </w:style>
  <w:style w:type="character" w:customStyle="1" w:styleId="421">
    <w:name w:val="font01"/>
    <w:basedOn w:val="39"/>
    <w:qFormat/>
    <w:uiPriority w:val="0"/>
    <w:rPr>
      <w:rFonts w:hint="eastAsia" w:ascii="宋体" w:hAnsi="宋体" w:eastAsia="宋体" w:cs="宋体"/>
      <w:color w:val="000000"/>
      <w:sz w:val="22"/>
      <w:szCs w:val="22"/>
      <w:u w:val="none"/>
    </w:rPr>
  </w:style>
  <w:style w:type="character" w:customStyle="1" w:styleId="422">
    <w:name w:val="font51"/>
    <w:basedOn w:val="39"/>
    <w:qFormat/>
    <w:uiPriority w:val="0"/>
    <w:rPr>
      <w:rFonts w:hint="eastAsia" w:ascii="宋体" w:hAnsi="宋体" w:eastAsia="宋体" w:cs="宋体"/>
      <w:color w:val="000000"/>
      <w:sz w:val="20"/>
      <w:szCs w:val="20"/>
      <w:u w:val="none"/>
    </w:rPr>
  </w:style>
  <w:style w:type="character" w:customStyle="1" w:styleId="423">
    <w:name w:val="font81"/>
    <w:basedOn w:val="39"/>
    <w:qFormat/>
    <w:uiPriority w:val="0"/>
    <w:rPr>
      <w:rFonts w:hint="eastAsia" w:ascii="宋体" w:hAnsi="宋体" w:eastAsia="宋体" w:cs="宋体"/>
      <w:color w:val="FF0000"/>
      <w:sz w:val="20"/>
      <w:szCs w:val="20"/>
      <w:u w:val="none"/>
    </w:rPr>
  </w:style>
  <w:style w:type="character" w:customStyle="1" w:styleId="424">
    <w:name w:val="font61"/>
    <w:basedOn w:val="39"/>
    <w:qFormat/>
    <w:uiPriority w:val="0"/>
    <w:rPr>
      <w:rFonts w:hint="eastAsia" w:ascii="微软雅黑" w:hAnsi="微软雅黑" w:eastAsia="微软雅黑" w:cs="微软雅黑"/>
      <w:b/>
      <w:bCs/>
      <w:color w:val="000000"/>
      <w:sz w:val="24"/>
      <w:szCs w:val="24"/>
      <w:u w:val="none"/>
    </w:rPr>
  </w:style>
  <w:style w:type="character" w:customStyle="1" w:styleId="425">
    <w:name w:val="font91"/>
    <w:basedOn w:val="39"/>
    <w:qFormat/>
    <w:uiPriority w:val="0"/>
    <w:rPr>
      <w:rFonts w:hint="eastAsia" w:ascii="微软雅黑" w:hAnsi="微软雅黑" w:eastAsia="微软雅黑" w:cs="微软雅黑"/>
      <w:b/>
      <w:bCs/>
      <w:color w:val="000000"/>
      <w:sz w:val="24"/>
      <w:szCs w:val="24"/>
      <w:u w:val="none"/>
    </w:rPr>
  </w:style>
  <w:style w:type="character" w:customStyle="1" w:styleId="426">
    <w:name w:val="font71"/>
    <w:basedOn w:val="39"/>
    <w:qFormat/>
    <w:uiPriority w:val="0"/>
    <w:rPr>
      <w:rFonts w:hint="eastAsia" w:ascii="宋体" w:hAnsi="宋体" w:eastAsia="宋体" w:cs="宋体"/>
      <w:color w:val="000000"/>
      <w:sz w:val="20"/>
      <w:szCs w:val="20"/>
      <w:u w:val="none"/>
    </w:rPr>
  </w:style>
  <w:style w:type="paragraph" w:customStyle="1" w:styleId="427">
    <w:name w:val="二级无"/>
    <w:basedOn w:val="1"/>
    <w:qFormat/>
    <w:uiPriority w:val="99"/>
    <w:pPr>
      <w:widowControl/>
      <w:tabs>
        <w:tab w:val="left" w:pos="2160"/>
      </w:tabs>
      <w:spacing w:before="50" w:after="50"/>
      <w:ind w:left="2160" w:hanging="720"/>
      <w:jc w:val="left"/>
      <w:outlineLvl w:val="3"/>
    </w:pPr>
    <w:rPr>
      <w:rFonts w:ascii="宋体" w:cs="宋体"/>
      <w:sz w:val="21"/>
      <w:szCs w:val="21"/>
    </w:rPr>
  </w:style>
  <w:style w:type="paragraph" w:customStyle="1" w:styleId="428">
    <w:name w:val="Normal00"/>
    <w:qFormat/>
    <w:uiPriority w:val="0"/>
    <w:pPr>
      <w:widowControl w:val="0"/>
      <w:spacing w:after="160" w:line="278" w:lineRule="auto"/>
      <w:jc w:val="both"/>
    </w:pPr>
    <w:rPr>
      <w:rFonts w:hint="default" w:ascii="Times New Roman" w:hAnsi="Times New Roman" w:eastAsia="宋体" w:cs="Times New Roman"/>
      <w:sz w:val="21"/>
      <w:lang w:val="en-US" w:eastAsia="zh-CN" w:bidi="ar-SA"/>
    </w:rPr>
  </w:style>
  <w:style w:type="paragraph" w:customStyle="1" w:styleId="429">
    <w:name w:val="Header00"/>
    <w:basedOn w:val="1"/>
    <w:unhideWhenUsed/>
    <w:qFormat/>
    <w:uiPriority w:val="0"/>
    <w:pPr>
      <w:tabs>
        <w:tab w:val="center" w:pos="4153"/>
        <w:tab w:val="right" w:pos="8306"/>
      </w:tabs>
      <w:jc w:val="center"/>
    </w:pPr>
    <w:rPr>
      <w:sz w:val="18"/>
      <w:szCs w:val="18"/>
    </w:rPr>
  </w:style>
  <w:style w:type="paragraph" w:customStyle="1" w:styleId="430">
    <w:name w:val="Footer00"/>
    <w:basedOn w:val="1"/>
    <w:unhideWhenUsed/>
    <w:qFormat/>
    <w:uiPriority w:val="99"/>
    <w:pPr>
      <w:tabs>
        <w:tab w:val="center" w:pos="4153"/>
        <w:tab w:val="right" w:pos="8306"/>
      </w:tabs>
      <w:jc w:val="left"/>
    </w:pPr>
    <w:rPr>
      <w:sz w:val="18"/>
      <w:szCs w:val="18"/>
    </w:rPr>
  </w:style>
  <w:style w:type="character" w:customStyle="1" w:styleId="431">
    <w:name w:val="标题 2 字符"/>
    <w:basedOn w:val="39"/>
    <w:qFormat/>
    <w:uiPriority w:val="9"/>
    <w:rPr>
      <w:rFonts w:ascii="Arial" w:hAnsi="Arial" w:eastAsia="Arial" w:cs="Arial"/>
      <w:sz w:val="34"/>
    </w:rPr>
  </w:style>
  <w:style w:type="character" w:customStyle="1" w:styleId="432">
    <w:name w:val="标题 3 字符"/>
    <w:basedOn w:val="39"/>
    <w:qFormat/>
    <w:uiPriority w:val="9"/>
    <w:rPr>
      <w:rFonts w:ascii="Arial" w:hAnsi="Arial" w:eastAsia="Arial" w:cs="Arial"/>
      <w:sz w:val="30"/>
      <w:szCs w:val="30"/>
    </w:rPr>
  </w:style>
  <w:style w:type="character" w:customStyle="1" w:styleId="433">
    <w:name w:val="标题 4 字符"/>
    <w:basedOn w:val="39"/>
    <w:qFormat/>
    <w:uiPriority w:val="9"/>
    <w:rPr>
      <w:rFonts w:ascii="Arial" w:hAnsi="Arial" w:eastAsia="Arial" w:cs="Arial"/>
      <w:b/>
      <w:bCs/>
      <w:sz w:val="26"/>
      <w:szCs w:val="26"/>
    </w:rPr>
  </w:style>
  <w:style w:type="character" w:customStyle="1" w:styleId="434">
    <w:name w:val="标题 5 字符"/>
    <w:basedOn w:val="39"/>
    <w:qFormat/>
    <w:uiPriority w:val="9"/>
    <w:rPr>
      <w:rFonts w:ascii="Arial" w:hAnsi="Arial" w:eastAsia="Arial" w:cs="Arial"/>
      <w:b/>
      <w:bCs/>
      <w:sz w:val="24"/>
      <w:szCs w:val="24"/>
    </w:rPr>
  </w:style>
  <w:style w:type="character" w:customStyle="1" w:styleId="435">
    <w:name w:val="标题 6 字符"/>
    <w:basedOn w:val="39"/>
    <w:qFormat/>
    <w:uiPriority w:val="9"/>
    <w:rPr>
      <w:rFonts w:ascii="Arial" w:hAnsi="Arial" w:eastAsia="Arial" w:cs="Arial"/>
      <w:b/>
      <w:bCs/>
      <w:sz w:val="22"/>
      <w:szCs w:val="22"/>
    </w:rPr>
  </w:style>
  <w:style w:type="character" w:customStyle="1" w:styleId="436">
    <w:name w:val="标题 7 字符"/>
    <w:basedOn w:val="39"/>
    <w:qFormat/>
    <w:uiPriority w:val="9"/>
    <w:rPr>
      <w:rFonts w:ascii="Arial" w:hAnsi="Arial" w:eastAsia="Arial" w:cs="Arial"/>
      <w:b/>
      <w:bCs/>
      <w:i/>
      <w:iCs/>
      <w:sz w:val="22"/>
      <w:szCs w:val="22"/>
    </w:rPr>
  </w:style>
  <w:style w:type="character" w:customStyle="1" w:styleId="437">
    <w:name w:val="标题 8 字符"/>
    <w:basedOn w:val="39"/>
    <w:qFormat/>
    <w:uiPriority w:val="9"/>
    <w:rPr>
      <w:rFonts w:ascii="Arial" w:hAnsi="Arial" w:eastAsia="Arial" w:cs="Arial"/>
      <w:i/>
      <w:iCs/>
      <w:sz w:val="22"/>
      <w:szCs w:val="22"/>
    </w:rPr>
  </w:style>
  <w:style w:type="character" w:customStyle="1" w:styleId="438">
    <w:name w:val="标题 9 字符"/>
    <w:basedOn w:val="39"/>
    <w:qFormat/>
    <w:uiPriority w:val="9"/>
    <w:rPr>
      <w:rFonts w:ascii="Arial" w:hAnsi="Arial" w:eastAsia="Arial" w:cs="Arial"/>
      <w:i/>
      <w:iCs/>
      <w:sz w:val="21"/>
      <w:szCs w:val="21"/>
    </w:rPr>
  </w:style>
  <w:style w:type="character" w:customStyle="1" w:styleId="439">
    <w:name w:val="标题 字符"/>
    <w:basedOn w:val="39"/>
    <w:qFormat/>
    <w:uiPriority w:val="10"/>
    <w:rPr>
      <w:sz w:val="48"/>
      <w:szCs w:val="48"/>
    </w:rPr>
  </w:style>
  <w:style w:type="character" w:customStyle="1" w:styleId="440">
    <w:name w:val="副标题 字符"/>
    <w:basedOn w:val="39"/>
    <w:qFormat/>
    <w:uiPriority w:val="11"/>
    <w:rPr>
      <w:sz w:val="24"/>
      <w:szCs w:val="24"/>
    </w:rPr>
  </w:style>
  <w:style w:type="character" w:customStyle="1" w:styleId="441">
    <w:name w:val="引用 字符"/>
    <w:qFormat/>
    <w:uiPriority w:val="29"/>
    <w:rPr>
      <w:i/>
    </w:rPr>
  </w:style>
  <w:style w:type="character" w:customStyle="1" w:styleId="442">
    <w:name w:val="明显引用 字符"/>
    <w:qFormat/>
    <w:uiPriority w:val="30"/>
    <w:rPr>
      <w:i/>
    </w:rPr>
  </w:style>
  <w:style w:type="character" w:customStyle="1" w:styleId="443">
    <w:name w:val="页脚 字符"/>
    <w:qFormat/>
    <w:uiPriority w:val="99"/>
  </w:style>
  <w:style w:type="character" w:customStyle="1" w:styleId="444">
    <w:name w:val="脚注文本 字符"/>
    <w:qFormat/>
    <w:uiPriority w:val="99"/>
    <w:rPr>
      <w:sz w:val="18"/>
    </w:rPr>
  </w:style>
  <w:style w:type="character" w:customStyle="1" w:styleId="445">
    <w:name w:val="尾注文本 字符"/>
    <w:qFormat/>
    <w:uiPriority w:val="99"/>
    <w:rPr>
      <w:sz w:val="20"/>
    </w:rPr>
  </w:style>
  <w:style w:type="paragraph" w:customStyle="1" w:styleId="446">
    <w:name w:val="TOC 标题11"/>
    <w:unhideWhenUsed/>
    <w:qFormat/>
    <w:uiPriority w:val="39"/>
    <w:pPr>
      <w:spacing w:after="160" w:line="278" w:lineRule="auto"/>
    </w:pPr>
    <w:rPr>
      <w:rFonts w:hint="default" w:ascii="Times New Roman" w:hAnsi="Times New Roman" w:eastAsia="宋体" w:cs="Times New Roman"/>
      <w:lang w:val="en-US" w:eastAsia="zh-CN" w:bidi="ar-SA"/>
    </w:rPr>
  </w:style>
  <w:style w:type="paragraph" w:customStyle="1" w:styleId="447">
    <w:name w:val="修订1"/>
    <w:hidden/>
    <w:semiHidden/>
    <w:uiPriority w:val="99"/>
    <w:pPr>
      <w:spacing w:after="160" w:line="278" w:lineRule="auto"/>
    </w:pPr>
    <w:rPr>
      <w:rFonts w:hint="default" w:ascii="Times New Roman" w:hAnsi="Times New Roman" w:eastAsia="宋体" w:cs="Times New Roman"/>
      <w:sz w:val="21"/>
      <w:szCs w:val="24"/>
      <w:lang w:val="en-US" w:eastAsia="zh-CN" w:bidi="ar-SA"/>
    </w:rPr>
  </w:style>
  <w:style w:type="paragraph" w:customStyle="1" w:styleId="448">
    <w:name w:val="msonormal"/>
    <w:basedOn w:val="1"/>
    <w:uiPriority w:val="0"/>
    <w:pPr>
      <w:widowControl/>
      <w:spacing w:before="100" w:beforeAutospacing="1" w:after="100" w:afterAutospacing="1"/>
      <w:jc w:val="left"/>
    </w:pPr>
    <w:rPr>
      <w:rFonts w:ascii="宋体" w:hAnsi="宋体" w:cs="宋体"/>
      <w:sz w:val="24"/>
    </w:rPr>
  </w:style>
  <w:style w:type="paragraph" w:customStyle="1" w:styleId="449">
    <w:name w:val="font5"/>
    <w:basedOn w:val="1"/>
    <w:uiPriority w:val="0"/>
    <w:pPr>
      <w:widowControl/>
      <w:spacing w:before="100" w:beforeAutospacing="1" w:after="100" w:afterAutospacing="1"/>
      <w:jc w:val="left"/>
    </w:pPr>
    <w:rPr>
      <w:rFonts w:ascii="宋体" w:hAnsi="宋体" w:cs="宋体"/>
      <w:sz w:val="20"/>
      <w:szCs w:val="20"/>
    </w:rPr>
  </w:style>
  <w:style w:type="paragraph" w:customStyle="1" w:styleId="450">
    <w:name w:val="font6"/>
    <w:basedOn w:val="1"/>
    <w:uiPriority w:val="0"/>
    <w:pPr>
      <w:widowControl/>
      <w:spacing w:before="100" w:beforeAutospacing="1" w:after="100" w:afterAutospacing="1"/>
      <w:jc w:val="left"/>
    </w:pPr>
    <w:rPr>
      <w:rFonts w:ascii="宋体" w:hAnsi="宋体" w:cs="宋体"/>
      <w:sz w:val="18"/>
      <w:szCs w:val="18"/>
    </w:rPr>
  </w:style>
  <w:style w:type="paragraph" w:customStyle="1" w:styleId="451">
    <w:name w:val="xl8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sz w:val="20"/>
      <w:szCs w:val="20"/>
    </w:rPr>
  </w:style>
  <w:style w:type="paragraph" w:customStyle="1" w:styleId="452">
    <w:name w:val="xl87"/>
    <w:basedOn w:val="1"/>
    <w:qFormat/>
    <w:uiPriority w:val="0"/>
    <w:pPr>
      <w:widowControl/>
      <w:spacing w:before="100" w:beforeAutospacing="1" w:after="100" w:afterAutospacing="1"/>
      <w:jc w:val="center"/>
    </w:pPr>
    <w:rPr>
      <w:rFonts w:ascii="宋体" w:hAnsi="宋体" w:cs="宋体"/>
      <w:sz w:val="20"/>
      <w:szCs w:val="20"/>
    </w:rPr>
  </w:style>
  <w:style w:type="paragraph" w:customStyle="1" w:styleId="453">
    <w:name w:val="xl88"/>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sz w:val="20"/>
      <w:szCs w:val="20"/>
    </w:rPr>
  </w:style>
  <w:style w:type="paragraph" w:customStyle="1" w:styleId="454">
    <w:name w:val="xl8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sz w:val="20"/>
      <w:szCs w:val="20"/>
    </w:rPr>
  </w:style>
  <w:style w:type="paragraph" w:customStyle="1" w:styleId="455">
    <w:name w:val="xl9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FF0000"/>
      <w:sz w:val="20"/>
      <w:szCs w:val="20"/>
    </w:rPr>
  </w:style>
  <w:style w:type="paragraph" w:customStyle="1" w:styleId="456">
    <w:name w:val="xl9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FF0000"/>
      <w:sz w:val="20"/>
      <w:szCs w:val="20"/>
    </w:rPr>
  </w:style>
  <w:style w:type="paragraph" w:customStyle="1" w:styleId="457">
    <w:name w:val="xl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Calibri" w:hAnsi="Calibri" w:cs="Calibri"/>
      <w:sz w:val="20"/>
      <w:szCs w:val="20"/>
    </w:rPr>
  </w:style>
  <w:style w:type="paragraph" w:customStyle="1" w:styleId="458">
    <w:name w:val="xl9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sz w:val="20"/>
      <w:szCs w:val="20"/>
    </w:rPr>
  </w:style>
  <w:style w:type="paragraph" w:customStyle="1" w:styleId="459">
    <w:name w:val="xl9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sz w:val="20"/>
      <w:szCs w:val="20"/>
    </w:rPr>
  </w:style>
  <w:style w:type="paragraph" w:customStyle="1" w:styleId="460">
    <w:name w:val="xl95"/>
    <w:basedOn w:val="1"/>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cs="宋体"/>
      <w:sz w:val="20"/>
      <w:szCs w:val="20"/>
    </w:rPr>
  </w:style>
  <w:style w:type="paragraph" w:customStyle="1" w:styleId="461">
    <w:name w:val="xl96"/>
    <w:basedOn w:val="1"/>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cs="宋体"/>
      <w:sz w:val="20"/>
      <w:szCs w:val="20"/>
    </w:rPr>
  </w:style>
  <w:style w:type="paragraph" w:customStyle="1" w:styleId="462">
    <w:name w:val="xl97"/>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sz w:val="20"/>
      <w:szCs w:val="20"/>
    </w:rPr>
  </w:style>
  <w:style w:type="paragraph" w:customStyle="1" w:styleId="463">
    <w:name w:val="xl98"/>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宋体" w:hAnsi="宋体" w:cs="宋体"/>
      <w:color w:val="000000"/>
      <w:sz w:val="20"/>
      <w:szCs w:val="20"/>
    </w:rPr>
  </w:style>
  <w:style w:type="paragraph" w:customStyle="1" w:styleId="464">
    <w:name w:val="xl99"/>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宋体" w:hAnsi="宋体" w:cs="宋体"/>
      <w:color w:val="000000"/>
      <w:sz w:val="20"/>
      <w:szCs w:val="20"/>
    </w:rPr>
  </w:style>
  <w:style w:type="paragraph" w:customStyle="1" w:styleId="465">
    <w:name w:val="xl100"/>
    <w:basedOn w:val="1"/>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宋体" w:hAnsi="宋体" w:cs="宋体"/>
      <w:sz w:val="20"/>
      <w:szCs w:val="20"/>
    </w:rPr>
  </w:style>
  <w:style w:type="paragraph" w:customStyle="1" w:styleId="466">
    <w:name w:val="xl101"/>
    <w:basedOn w:val="1"/>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宋体" w:hAnsi="宋体" w:cs="宋体"/>
      <w:sz w:val="24"/>
    </w:rPr>
  </w:style>
  <w:style w:type="paragraph" w:customStyle="1" w:styleId="467">
    <w:name w:val="xl10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sz w:val="20"/>
      <w:szCs w:val="20"/>
    </w:rPr>
  </w:style>
  <w:style w:type="paragraph" w:customStyle="1" w:styleId="468">
    <w:name w:val="xl103"/>
    <w:basedOn w:val="1"/>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sz w:val="20"/>
      <w:szCs w:val="20"/>
    </w:rPr>
  </w:style>
  <w:style w:type="paragraph" w:customStyle="1" w:styleId="469">
    <w:name w:val="xl104"/>
    <w:basedOn w:val="1"/>
    <w:qFormat/>
    <w:uiPriority w:val="0"/>
    <w:pPr>
      <w:widowControl/>
      <w:pBdr>
        <w:top w:val="single" w:color="000000" w:sz="4" w:space="0"/>
        <w:left w:val="single" w:color="000000" w:sz="4" w:space="0"/>
        <w:right w:val="single" w:color="000000" w:sz="4" w:space="0"/>
      </w:pBdr>
      <w:spacing w:before="100" w:beforeAutospacing="1" w:after="100" w:afterAutospacing="1"/>
      <w:jc w:val="center"/>
    </w:pPr>
    <w:rPr>
      <w:rFonts w:ascii="宋体" w:hAnsi="宋体" w:cs="宋体"/>
      <w:color w:val="000000"/>
      <w:sz w:val="20"/>
      <w:szCs w:val="20"/>
    </w:rPr>
  </w:style>
  <w:style w:type="paragraph" w:customStyle="1" w:styleId="470">
    <w:name w:val="xl105"/>
    <w:basedOn w:val="1"/>
    <w:uiPriority w:val="0"/>
    <w:pPr>
      <w:widowControl/>
      <w:pBdr>
        <w:left w:val="single" w:color="000000" w:sz="4" w:space="0"/>
        <w:right w:val="single" w:color="000000" w:sz="4" w:space="0"/>
      </w:pBdr>
      <w:spacing w:before="100" w:beforeAutospacing="1" w:after="100" w:afterAutospacing="1"/>
      <w:jc w:val="center"/>
    </w:pPr>
    <w:rPr>
      <w:rFonts w:ascii="宋体" w:hAnsi="宋体" w:cs="宋体"/>
      <w:color w:val="000000"/>
      <w:sz w:val="20"/>
      <w:szCs w:val="20"/>
    </w:rPr>
  </w:style>
  <w:style w:type="paragraph" w:customStyle="1" w:styleId="471">
    <w:name w:val="xl106"/>
    <w:basedOn w:val="1"/>
    <w:qFormat/>
    <w:uiPriority w:val="0"/>
    <w:pPr>
      <w:widowControl/>
      <w:pBdr>
        <w:left w:val="single" w:color="000000" w:sz="4" w:space="0"/>
        <w:bottom w:val="single" w:color="000000" w:sz="4" w:space="0"/>
        <w:right w:val="single" w:color="000000" w:sz="4" w:space="0"/>
      </w:pBdr>
      <w:spacing w:before="100" w:beforeAutospacing="1" w:after="100" w:afterAutospacing="1"/>
      <w:jc w:val="center"/>
    </w:pPr>
    <w:rPr>
      <w:rFonts w:ascii="宋体" w:hAnsi="宋体" w:cs="宋体"/>
      <w:color w:val="000000"/>
      <w:sz w:val="20"/>
      <w:szCs w:val="20"/>
    </w:rPr>
  </w:style>
  <w:style w:type="paragraph" w:customStyle="1" w:styleId="472">
    <w:name w:val="xl107"/>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sz w:val="20"/>
      <w:szCs w:val="20"/>
    </w:rPr>
  </w:style>
  <w:style w:type="paragraph" w:customStyle="1" w:styleId="473">
    <w:name w:val="xl108"/>
    <w:basedOn w:val="1"/>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sz w:val="20"/>
      <w:szCs w:val="20"/>
    </w:rPr>
  </w:style>
  <w:style w:type="paragraph" w:customStyle="1" w:styleId="474">
    <w:name w:val="xl109"/>
    <w:basedOn w:val="1"/>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sz w:val="20"/>
      <w:szCs w:val="20"/>
    </w:rPr>
  </w:style>
  <w:style w:type="paragraph" w:customStyle="1" w:styleId="475">
    <w:name w:val="xl110"/>
    <w:basedOn w:val="1"/>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sz w:val="20"/>
      <w:szCs w:val="20"/>
    </w:rPr>
  </w:style>
  <w:style w:type="paragraph" w:customStyle="1" w:styleId="476">
    <w:name w:val="xl111"/>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2" Type="http://schemas.openxmlformats.org/officeDocument/2006/relationships/fontTable" Target="fontTable.xml"/><Relationship Id="rId51" Type="http://schemas.openxmlformats.org/officeDocument/2006/relationships/customXml" Target="../customXml/item27.xml"/><Relationship Id="rId50" Type="http://schemas.openxmlformats.org/officeDocument/2006/relationships/customXml" Target="../customXml/item26.xml"/><Relationship Id="rId5" Type="http://schemas.openxmlformats.org/officeDocument/2006/relationships/header" Target="header1.xml"/><Relationship Id="rId49" Type="http://schemas.openxmlformats.org/officeDocument/2006/relationships/customXml" Target="../customXml/item25.xml"/><Relationship Id="rId48" Type="http://schemas.openxmlformats.org/officeDocument/2006/relationships/customXml" Target="../customXml/item24.xml"/><Relationship Id="rId47" Type="http://schemas.openxmlformats.org/officeDocument/2006/relationships/customXml" Target="../customXml/item23.xml"/><Relationship Id="rId46" Type="http://schemas.openxmlformats.org/officeDocument/2006/relationships/customXml" Target="../customXml/item22.xml"/><Relationship Id="rId45" Type="http://schemas.openxmlformats.org/officeDocument/2006/relationships/customXml" Target="../customXml/item21.xml"/><Relationship Id="rId44" Type="http://schemas.openxmlformats.org/officeDocument/2006/relationships/customXml" Target="../customXml/item20.xml"/><Relationship Id="rId43" Type="http://schemas.openxmlformats.org/officeDocument/2006/relationships/customXml" Target="../customXml/item19.xml"/><Relationship Id="rId42" Type="http://schemas.openxmlformats.org/officeDocument/2006/relationships/customXml" Target="../customXml/item18.xml"/><Relationship Id="rId41" Type="http://schemas.openxmlformats.org/officeDocument/2006/relationships/customXml" Target="../customXml/item17.xml"/><Relationship Id="rId40" Type="http://schemas.openxmlformats.org/officeDocument/2006/relationships/customXml" Target="../customXml/item16.xml"/><Relationship Id="rId4" Type="http://schemas.openxmlformats.org/officeDocument/2006/relationships/endnotes" Target="endnotes.xml"/><Relationship Id="rId39" Type="http://schemas.openxmlformats.org/officeDocument/2006/relationships/customXml" Target="../customXml/item15.xml"/><Relationship Id="rId38" Type="http://schemas.openxmlformats.org/officeDocument/2006/relationships/customXml" Target="../customXml/item14.xml"/><Relationship Id="rId37" Type="http://schemas.openxmlformats.org/officeDocument/2006/relationships/customXml" Target="../customXml/item13.xml"/><Relationship Id="rId36" Type="http://schemas.openxmlformats.org/officeDocument/2006/relationships/customXml" Target="../customXml/item12.xml"/><Relationship Id="rId35" Type="http://schemas.openxmlformats.org/officeDocument/2006/relationships/customXml" Target="../customXml/item11.xml"/><Relationship Id="rId34" Type="http://schemas.openxmlformats.org/officeDocument/2006/relationships/customXml" Target="../customXml/item10.xml"/><Relationship Id="rId33" Type="http://schemas.openxmlformats.org/officeDocument/2006/relationships/customXml" Target="../customXml/item9.xml"/><Relationship Id="rId32" Type="http://schemas.openxmlformats.org/officeDocument/2006/relationships/customXml" Target="../customXml/item8.xml"/><Relationship Id="rId31" Type="http://schemas.openxmlformats.org/officeDocument/2006/relationships/customXml" Target="../customXml/item7.xml"/><Relationship Id="rId30" Type="http://schemas.openxmlformats.org/officeDocument/2006/relationships/customXml" Target="../customXml/item6.xml"/><Relationship Id="rId3" Type="http://schemas.openxmlformats.org/officeDocument/2006/relationships/footnotes" Target="footnotes.xml"/><Relationship Id="rId29" Type="http://schemas.openxmlformats.org/officeDocument/2006/relationships/customXml" Target="../customXml/item5.xml"/><Relationship Id="rId28" Type="http://schemas.openxmlformats.org/officeDocument/2006/relationships/customXml" Target="../customXml/item4.xml"/><Relationship Id="rId27" Type="http://schemas.openxmlformats.org/officeDocument/2006/relationships/customXml" Target="../customXml/item3.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7.xml"/><Relationship Id="rId16" Type="http://schemas.openxmlformats.org/officeDocument/2006/relationships/header" Target="header6.xml"/><Relationship Id="rId15" Type="http://schemas.openxmlformats.org/officeDocument/2006/relationships/footer" Target="footer6.xml"/><Relationship Id="rId14" Type="http://schemas.openxmlformats.org/officeDocument/2006/relationships/footer" Target="footer5.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10.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cp:lastModifiedBy>
  <cp:revision>7</cp:revision>
  <dcterms:created xsi:type="dcterms:W3CDTF">2021-10-09T02:32:00Z</dcterms:created>
  <dcterms:modified xsi:type="dcterms:W3CDTF">2023-03-01T03:06:00Z</dcterms:modified>
</cp:coreProperties>
</file>

<file path=customXml/item11.xml><?xml version="1.0" encoding="utf-8"?>
<Properties xmlns="http://schemas.openxmlformats.org/officeDocument/2006/custom-properties" xmlns:vt="http://schemas.openxmlformats.org/officeDocument/2006/docPropsVTypes">
  <property fmtid="{D5CDD505-2E9C-101B-9397-08002B2CF9AE}" pid="2" name="KSOProductBuildVer">
    <vt:lpwstr>2052-11.8.6.8810</vt:lpwstr>
  </property>
</Properties>
</file>

<file path=customXml/item12.xml><?xml version="1.0" encoding="utf-8"?>
<Properties xmlns="http://schemas.openxmlformats.org/officeDocument/2006/custom-properties" xmlns:vt="http://schemas.openxmlformats.org/officeDocument/2006/docPropsVTypes">
  <property fmtid="{D5CDD505-2E9C-101B-9397-08002B2CF9AE}" pid="2" name="KSOProductBuildVer">
    <vt:lpwstr>2052-11.8.6.8810</vt:lpwstr>
  </property>
</Properties>
</file>

<file path=customXml/item13.xml><?xml version="1.0" encoding="utf-8"?>
<Properties xmlns:vt="http://schemas.openxmlformats.org/officeDocument/2006/docPropsVTypes" xmlns="http://schemas.openxmlformats.org/officeDocument/2006/extended-properties">
  <Template>Normal.dotm</Template>
  <TotalTime>16</TotalTime>
  <Pages>1</Pages>
  <Words>58</Words>
  <Characters>333</Characters>
  <Application>Microsoft Office Word</Application>
  <DocSecurity>0</DocSecurity>
  <Lines>2</Lines>
  <Paragraphs>1</Paragraphs>
  <CharactersWithSpaces>390</CharactersWithSpaces>
  <AppVersion>15.0000</AppVersion>
</Properties>
</file>

<file path=customXml/item14.xml><?xml version="1.0" encoding="utf-8"?>
<cp:coreProperties xmlns:cp="http://schemas.openxmlformats.org/package/2006/metadata/core-properties" xmlns:dc="http://purl.org/dc/elements/1.1/" xmlns:dcterms="http://purl.org/dc/terms/" xmlns:dcmitype="http://purl.org/dc/dcmitype/" xmlns:xsi="http://www.w3.org/2001/XMLSchema-instance">
  <dc:title>炉1项目包技术协议及项目清单</dc:title>
  <dc:creator>yd</dc:creator>
  <cp:lastModifiedBy>设备管理部(123) 冯成凯</cp:lastModifiedBy>
  <cp:revision>8</cp:revision>
  <dcterms:created xsi:type="dcterms:W3CDTF">2018-07-17T07:33:00Z</dcterms:created>
  <dcterms:modified xsi:type="dcterms:W3CDTF">2023-08-06T04:51:43Z</dcterms:modified>
</cp:coreProperties>
</file>

<file path=customXml/item15.xml><?xml version="1.0" encoding="utf-8"?>
<w:settings xmlns:w="http://schemas.openxmlformats.org/wordprocessingml/2006/main">
  <w:SpecialFormsHighlight w:val="c9c8ff"/>
</w:settings>
</file>

<file path=customXml/item16.xml><?xml version="1.0" encoding="utf-8"?>
<Properties xmlns:vt="http://schemas.openxmlformats.org/officeDocument/2006/docPropsVTypes" xmlns="http://schemas.openxmlformats.org/officeDocument/2006/custom-properties">
  <property fmtid="{D5CDD505-2E9C-101B-9397-08002B2CF9AE}" pid="2" name="KSOProductBuildVer">
    <vt:lpstr>2052-11.8.6.8810</vt:lpstr>
  </property>
</Properties>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w:settings xmlns:w="http://schemas.openxmlformats.org/wordprocessingml/2006/main">
  <w:SpecialFormsHighlight w:val="c9c8ff"/>
</w:settings>
</file>

<file path=customXml/item19.xml><?xml version="1.0" encoding="utf-8"?>
<w:settings xmlns:w="http://schemas.openxmlformats.org/wordprocessingml/2006/main">
  <w:SpecialFormsHighlight w:val="c9c8ff"/>
</w:settings>
</file>

<file path=customXml/item2.xml><?xml version="1.0" encoding="utf-8"?>
<Properties xmlns:vt="http://schemas.openxmlformats.org/officeDocument/2006/docPropsVTypes" xmlns="http://schemas.openxmlformats.org/officeDocument/2006/extended-properties">
  <Template>Normal</Template>
  <Application>ONLYOFFICE/6.4.1.45</Application>
  <DocSecurity>0</DocSecurity>
  <Company>Microsoft</Company>
  <AppVersion>15.0000</AppVersion>
</Properties>
</file>

<file path=customXml/item20.xml><?xml version="1.0" encoding="utf-8"?>
<w:settings xmlns:w="http://schemas.openxmlformats.org/wordprocessingml/2006/main">
  <w:SpecialFormsHighlight w:val="c9c8ff"/>
</w:settings>
</file>

<file path=customXml/item21.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14708B9B36384360B7EB73B51F31F87F</vt:lpwstr>
  </property>
</Properties>
</file>

<file path=customXml/item22.xml><?xml version="1.0" encoding="utf-8"?>
<Properties xmlns:vt="http://schemas.openxmlformats.org/officeDocument/2006/docPropsVTypes" xmlns="http://schemas.openxmlformats.org/officeDocument/2006/extended-properties">
  <Template>Normal</Template>
  <Application>ONLYOFFICE/6.4.1.45</Application>
  <DocSecurity>0</DocSecurity>
  <Company>Microsoft</Company>
  <AppVersion>15.0000</AppVersion>
</Properties>
</file>

<file path=customXml/item23.xml><?xml version="1.0" encoding="utf-8"?>
<cp:coreProperties xmlns:cp="http://schemas.openxmlformats.org/package/2006/metadata/core-properties" xmlns:dc="http://purl.org/dc/elements/1.1/" xmlns:dcterms="http://purl.org/dc/terms/" xmlns:xsi="http://www.w3.org/2001/XMLSchema-instance">
  <dcterms:created xsi:type="dcterms:W3CDTF">2021-10-09T02:32:00Z</dcterms:created>
  <dc:creator>Administrator</dc:creator>
  <cp:lastModifiedBy>admin</cp:lastModifiedBy>
  <dcterms:modified xsi:type="dcterms:W3CDTF">2023-03-01T03:06:00Z</dcterms:modified>
  <cp:revision>7</cp:revision>
</cp:coreProperties>
</file>

<file path=customXml/item24.xml><?xml version="1.0" encoding="utf-8"?>
<cp:coreProperties xmlns:cp="http://schemas.openxmlformats.org/package/2006/metadata/core-properties" xmlns:dc="http://purl.org/dc/elements/1.1/" xmlns:dcterms="http://purl.org/dc/terms/" xmlns:dcmitype="http://purl.org/dc/dcmitype/" xmlns:xsi="http://www.w3.org/2001/XMLSchema-instance">
  <dc:title>炉1项目包技术协议及项目清单</dc:title>
  <dc:creator>yd</dc:creator>
  <cp:lastModifiedBy>设备管理部(123) 冯成凯</cp:lastModifiedBy>
  <cp:revision>8</cp:revision>
  <dcterms:created xsi:type="dcterms:W3CDTF">2018-07-17T07:33:00Z</dcterms:created>
  <dcterms:modified xsi:type="dcterms:W3CDTF">2023-08-06T04:51:43Z</dcterms:modified>
</cp:coreProperties>
</file>

<file path=customXml/item25.xml><?xml version="1.0" encoding="utf-8"?>
<Properties xmlns="http://schemas.openxmlformats.org/officeDocument/2006/extended-properties" xmlns:vt="http://schemas.openxmlformats.org/officeDocument/2006/docPropsVTypes">
  <Application>ONLYOFFICE/6.4.1.45</Application>
  <Company>Microsoft</Company>
  <DocSecurity>0</DocSecurity>
  <LinksUpToDate>false</LinksUpToDate>
  <ScaleCrop>false</ScaleCrop>
  <Template>Normal</Template>
</Properties>
</file>

<file path=customXml/item26.xml><?xml version="1.0" encoding="utf-8"?>
<Properties xmlns:vt="http://schemas.openxmlformats.org/officeDocument/2006/docPropsVTypes" xmlns="http://schemas.openxmlformats.org/officeDocument/2006/custom-properties">
  <property fmtid="{D5CDD505-2E9C-101B-9397-08002B2CF9AE}" pid="2" name="KSOProductBuildVer">
    <vt:lpstr>2052-11.1.0.14309</vt:lpstr>
  </property>
  <property fmtid="{D5CDD505-2E9C-101B-9397-08002B2CF9AE}" pid="3" name="ICV">
    <vt:lpstr>14708B9B36384360B7EB73B51F31F87F</vt:lpstr>
  </property>
</Properties>
</file>

<file path=customXml/item27.xml><?xml version="1.0" encoding="utf-8"?>
<w:settings xmlns:w="http://schemas.openxmlformats.org/wordprocessingml/2006/main">
  <w:SpecialFormsHighlight w:val="c9c8ff"/>
</w:settings>
</file>

<file path=customXml/item3.xml><?xml version="1.0" encoding="utf-8"?>
<Properties xmlns="http://schemas.openxmlformats.org/officeDocument/2006/extended-properties" xmlns:vt="http://schemas.openxmlformats.org/officeDocument/2006/docPropsVTypes">
  <Application>ONLYOFFICE/6.4.0.121</Application>
  <DocSecurity>0</DocSecurity>
  <LinksUpToDate>false</LinksUpToDate>
  <ScaleCrop>false</ScaleCrop>
  <Template>Normal.dotm</Template>
</Properties>
</file>

<file path=customXml/item4.xml><?xml version="1.0" encoding="utf-8"?>
<w:settings xmlns:w="http://schemas.openxmlformats.org/wordprocessingml/2006/main">
  <w:SpecialFormsHighlight w:val="c9c8ff"/>
</w:settings>
</file>

<file path=customXml/item5.xml><?xml version="1.0" encoding="utf-8"?>
<w:settings xmlns:w="http://schemas.openxmlformats.org/wordprocessingml/2006/main">
  <w:SpecialFormsHighlight w:val="c9c8ff"/>
</w:settings>
</file>

<file path=customXml/item6.xml><?xml version="1.0" encoding="utf-8"?>
<cp:coreProperties xmlns:cp="http://schemas.openxmlformats.org/package/2006/metadata/core-properties" xmlns:dc="http://purl.org/dc/elements/1.1/" xmlns:dcterms="http://purl.org/dc/terms/" xmlns:xsi="http://www.w3.org/2001/XMLSchema-instance">
  <dcterms:created xsi:type="dcterms:W3CDTF">2021-10-09T03:12:00Z</dcterms:created>
  <dc:creator>Administrator</dc:creator>
  <cp:lastModifiedBy>党群工作部(103) 超级管理员</cp:lastModifiedBy>
  <dcterms:modified xsi:type="dcterms:W3CDTF">2021-10-09T03:43:28Z</dcterms:modified>
  <cp:revision>1</cp:revision>
</cp:coreProperties>
</file>

<file path=customXml/item7.xml><?xml version="1.0" encoding="utf-8"?>
<cp:coreProperties xmlns:cp="http://schemas.openxmlformats.org/package/2006/metadata/core-properties" xmlns:dc="http://purl.org/dc/elements/1.1/" xmlns:dcterms="http://purl.org/dc/terms/" xmlns:xsi="http://www.w3.org/2001/XMLSchema-instance">
  <dcterms:created xsi:type="dcterms:W3CDTF">2018-07-17T07:33:00Z</dcterms:created>
  <dc:creator>yd</dc:creator>
  <cp:lastModifiedBy>设备管理部(123) 冯成凯</cp:lastModifiedBy>
  <dcterms:modified xsi:type="dcterms:W3CDTF">2023-08-06T04:51:43Z</dcterms:modified>
  <cp:revision>8</cp:revision>
  <dc:title>炉1项目包技术协议及项目清单</dc:title>
</cp:coreProperties>
</file>

<file path=customXml/item8.xml><?xml version="1.0" encoding="utf-8"?>
<Properties xmlns="http://schemas.openxmlformats.org/officeDocument/2006/extended-properties" xmlns:vt="http://schemas.openxmlformats.org/officeDocument/2006/docPropsVTypes">
  <Template>Normal.dotm</Template>
  <TotalTime>16</TotalTime>
  <Pages>1</Pages>
  <Words>58</Words>
  <Characters>333</Characters>
  <Application>Microsoft Office Word</Application>
  <DocSecurity>0</DocSecurity>
  <Lines>2</Lines>
  <Paragraphs>1</Paragraphs>
  <ScaleCrop>false</ScaleCrop>
  <Company/>
  <LinksUpToDate>false</LinksUpToDate>
  <CharactersWithSpaces>390</CharactersWithSpaces>
  <SharedDoc>false</SharedDoc>
  <HyperlinksChanged>false</HyperlinksChanged>
  <AppVersion>16.0000</AppVersion>
</Properties>
</file>

<file path=customXml/item9.xml><?xml version="1.0" encoding="utf-8"?>
<Properties xmlns:vt="http://schemas.openxmlformats.org/officeDocument/2006/docPropsVTypes" xmlns="http://schemas.openxmlformats.org/officeDocument/2006/custom-properties">
  <property fmtid="{D5CDD505-2E9C-101B-9397-08002B2CF9AE}" pid="2" name="KSOProductBuildVer">
    <vt:lpstr>2052-11.1.0.14309</vt:lpstr>
  </property>
  <property fmtid="{D5CDD505-2E9C-101B-9397-08002B2CF9AE}" pid="3" name="ICV">
    <vt:lpstr>14708B9B36384360B7EB73B51F31F87F</vt:lpstr>
  </property>
</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10.xml><?xml version="1.0" encoding="utf-8"?>
<ds:datastoreItem xmlns:ds="http://schemas.openxmlformats.org/officeDocument/2006/customXml" ds:itemID="{00000000-0000-0000-0000-000000000000}">
  <ds:schemaRefs/>
</ds:datastoreItem>
</file>

<file path=customXml/itemProps11.xml><?xml version="1.0" encoding="utf-8"?>
<ds:datastoreItem xmlns:ds="http://schemas.openxmlformats.org/officeDocument/2006/customXml" ds:itemID="{00000000-0000-0000-0000-000000000000}">
  <ds:schemaRefs/>
</ds:datastoreItem>
</file>

<file path=customXml/itemProps12.xml><?xml version="1.0" encoding="utf-8"?>
<ds:datastoreItem xmlns:ds="http://schemas.openxmlformats.org/officeDocument/2006/customXml" ds:itemID="{00000000-0000-0000-0000-000000000000}">
  <ds:schemaRefs/>
</ds:datastoreItem>
</file>

<file path=customXml/itemProps13.xml><?xml version="1.0" encoding="utf-8"?>
<ds:datastoreItem xmlns:ds="http://schemas.openxmlformats.org/officeDocument/2006/customXml" ds:itemID="{00000000-0000-0000-0000-000000000000}">
  <ds:schemaRefs/>
</ds:datastoreItem>
</file>

<file path=customXml/itemProps14.xml><?xml version="1.0" encoding="utf-8"?>
<ds:datastoreItem xmlns:ds="http://schemas.openxmlformats.org/officeDocument/2006/customXml" ds:itemID="{00000000-0000-0000-0000-000000000000}">
  <ds:schemaRefs/>
</ds:datastoreItem>
</file>

<file path=customXml/itemProps15.xml><?xml version="1.0" encoding="utf-8"?>
<ds:datastoreItem xmlns:ds="http://schemas.openxmlformats.org/officeDocument/2006/customXml" ds:itemID="{5D0AEA6B-E499-4EEF-98A3-AFBB261C493E}">
  <ds:schemaRefs/>
</ds:datastoreItem>
</file>

<file path=customXml/itemProps16.xml><?xml version="1.0" encoding="utf-8"?>
<ds:datastoreItem xmlns:ds="http://schemas.openxmlformats.org/officeDocument/2006/customXml" ds:itemID="{00000000-0000-0000-0000-000000000000}">
  <ds:schemaRefs/>
</ds:datastoreItem>
</file>

<file path=customXml/itemProps17.xml><?xml version="1.0" encoding="utf-8"?>
<ds:datastoreItem xmlns:ds="http://schemas.openxmlformats.org/officeDocument/2006/customXml" ds:itemID="{E2A517F0-5A52-4710-AE1A-AD72311200D4}">
  <ds:schemaRefs/>
</ds:datastoreItem>
</file>

<file path=customXml/itemProps18.xml><?xml version="1.0" encoding="utf-8"?>
<ds:datastoreItem xmlns:ds="http://schemas.openxmlformats.org/officeDocument/2006/customXml" ds:itemID="{5D0AEA6B-E499-4EEF-98A3-AFBB261C493E}">
  <ds:schemaRefs/>
</ds:datastoreItem>
</file>

<file path=customXml/itemProps19.xml><?xml version="1.0" encoding="utf-8"?>
<ds:datastoreItem xmlns:ds="http://schemas.openxmlformats.org/officeDocument/2006/customXml" ds:itemID="{5D0AEA6B-E499-4EEF-98A3-AFBB261C493E}">
  <ds:schemaRefs/>
</ds:datastoreItem>
</file>

<file path=customXml/itemProps2.xml><?xml version="1.0" encoding="utf-8"?>
<ds:datastoreItem xmlns:ds="http://schemas.openxmlformats.org/officeDocument/2006/customXml" ds:itemID="{00000000-0000-0000-0000-000000000000}">
  <ds:schemaRefs/>
</ds:datastoreItem>
</file>

<file path=customXml/itemProps20.xml><?xml version="1.0" encoding="utf-8"?>
<ds:datastoreItem xmlns:ds="http://schemas.openxmlformats.org/officeDocument/2006/customXml" ds:itemID="{5D0AEA6B-E499-4EEF-98A3-AFBB261C493E}">
  <ds:schemaRefs/>
</ds:datastoreItem>
</file>

<file path=customXml/itemProps21.xml><?xml version="1.0" encoding="utf-8"?>
<ds:datastoreItem xmlns:ds="http://schemas.openxmlformats.org/officeDocument/2006/customXml" ds:itemID="{00000000-0000-0000-0000-000000000000}">
  <ds:schemaRefs/>
</ds:datastoreItem>
</file>

<file path=customXml/itemProps22.xml><?xml version="1.0" encoding="utf-8"?>
<ds:datastoreItem xmlns:ds="http://schemas.openxmlformats.org/officeDocument/2006/customXml" ds:itemID="{00000000-0000-0000-0000-000000000000}">
  <ds:schemaRefs/>
</ds:datastoreItem>
</file>

<file path=customXml/itemProps23.xml><?xml version="1.0" encoding="utf-8"?>
<ds:datastoreItem xmlns:ds="http://schemas.openxmlformats.org/officeDocument/2006/customXml" ds:itemID="{00000000-0000-0000-0000-000000000000}">
  <ds:schemaRefs/>
</ds:datastoreItem>
</file>

<file path=customXml/itemProps24.xml><?xml version="1.0" encoding="utf-8"?>
<ds:datastoreItem xmlns:ds="http://schemas.openxmlformats.org/officeDocument/2006/customXml" ds:itemID="{00000000-0000-0000-0000-000000000000}">
  <ds:schemaRefs/>
</ds:datastoreItem>
</file>

<file path=customXml/itemProps25.xml><?xml version="1.0" encoding="utf-8"?>
<ds:datastoreItem xmlns:ds="http://schemas.openxmlformats.org/officeDocument/2006/customXml" ds:itemID="{00000000-0000-0000-0000-000000000000}">
  <ds:schemaRefs/>
</ds:datastoreItem>
</file>

<file path=customXml/itemProps26.xml><?xml version="1.0" encoding="utf-8"?>
<ds:datastoreItem xmlns:ds="http://schemas.openxmlformats.org/officeDocument/2006/customXml" ds:itemID="{00000000-0000-0000-0000-000000000000}">
  <ds:schemaRefs/>
</ds:datastoreItem>
</file>

<file path=customXml/itemProps27.xml><?xml version="1.0" encoding="utf-8"?>
<ds:datastoreItem xmlns:ds="http://schemas.openxmlformats.org/officeDocument/2006/customXml" ds:itemID="{5D0AEA6B-E499-4EEF-98A3-AFBB261C493E}">
  <ds:schemaRefs/>
</ds:datastoreItem>
</file>

<file path=customXml/itemProps3.xml><?xml version="1.0" encoding="utf-8"?>
<ds:datastoreItem xmlns:ds="http://schemas.openxmlformats.org/officeDocument/2006/customXml" ds:itemID="{00000000-0000-0000-0000-000000000000}">
  <ds:schemaRefs/>
</ds:datastoreItem>
</file>

<file path=customXml/itemProps4.xml><?xml version="1.0" encoding="utf-8"?>
<ds:datastoreItem xmlns:ds="http://schemas.openxmlformats.org/officeDocument/2006/customXml" ds:itemID="{5D0AEA6B-E499-4EEF-98A3-AFBB261C493E}">
  <ds:schemaRefs/>
</ds:datastoreItem>
</file>

<file path=customXml/itemProps5.xml><?xml version="1.0" encoding="utf-8"?>
<ds:datastoreItem xmlns:ds="http://schemas.openxmlformats.org/officeDocument/2006/customXml" ds:itemID="{5D0AEA6B-E499-4EEF-98A3-AFBB261C493E}">
  <ds:schemaRefs/>
</ds:datastoreItem>
</file>

<file path=customXml/itemProps6.xml><?xml version="1.0" encoding="utf-8"?>
<ds:datastoreItem xmlns:ds="http://schemas.openxmlformats.org/officeDocument/2006/customXml" ds:itemID="{00000000-0000-0000-0000-000000000000}">
  <ds:schemaRefs/>
</ds:datastoreItem>
</file>

<file path=customXml/itemProps7.xml><?xml version="1.0" encoding="utf-8"?>
<ds:datastoreItem xmlns:ds="http://schemas.openxmlformats.org/officeDocument/2006/customXml" ds:itemID="{00000000-0000-0000-0000-000000000000}">
  <ds:schemaRefs/>
</ds:datastoreItem>
</file>

<file path=customXml/itemProps8.xml><?xml version="1.0" encoding="utf-8"?>
<ds:datastoreItem xmlns:ds="http://schemas.openxmlformats.org/officeDocument/2006/customXml" ds:itemID="{00000000-0000-0000-0000-000000000000}">
  <ds:schemaRefs/>
</ds:datastoreItem>
</file>

<file path=customXml/itemProps9.xml><?xml version="1.0" encoding="utf-8"?>
<ds:datastoreItem xmlns:ds="http://schemas.openxmlformats.org/officeDocument/2006/customXml" ds:itemID="{00000000-0000-0000-0000-000000000000}">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TotalTime>5</TotalTime>
  <ScaleCrop>false</ScaleCrop>
  <LinksUpToDate>false</LinksUpToDate>
  <Application>WPS Office_11.8.6.11829_F1E327BC-269C-435d-A152-05C5408002CA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炉1项目包技术协议及项目清单</dc:title>
  <cp:revision>38</cp:revision>
  <dcterms:created xsi:type="dcterms:W3CDTF">2021-10-09T02:32:00Z</dcterms:created>
  <dcterms:modified xsi:type="dcterms:W3CDTF">2026-01-27T01:26:49Z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2052-11.8.6.11829</vt:lpwstr>
  </property>
  <property fmtid="{D5CDD505-2E9C-101B-9397-08002B2CF9AE}" pid="3" name="ICV">
    <vt:lpwstr>FC1F3AE0DF444E1D8C8B5E56B810986A</vt:lpwstr>
  </property>
</Properties>
</file>