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val="0"/>
        <w:autoSpaceDN w:val="0"/>
        <w:bidi w:val="0"/>
        <w:adjustRightInd w:val="0"/>
        <w:jc w:val="center"/>
        <w:textAlignment w:val="auto"/>
        <w:rPr>
          <w:rFonts w:hint="eastAsia" w:asciiTheme="minorEastAsia" w:hAnsiTheme="minorEastAsia" w:eastAsiaTheme="minorEastAsia" w:cstheme="minorEastAsia"/>
          <w:b/>
          <w:bCs/>
          <w:color w:val="auto"/>
          <w:kern w:val="0"/>
          <w:sz w:val="48"/>
          <w:szCs w:val="48"/>
        </w:rPr>
      </w:pPr>
    </w:p>
    <w:p>
      <w:pPr>
        <w:pageBreakBefore w:val="0"/>
        <w:widowControl w:val="0"/>
        <w:kinsoku/>
        <w:wordWrap/>
        <w:overflowPunct/>
        <w:topLinePunct w:val="0"/>
        <w:autoSpaceDE w:val="0"/>
        <w:autoSpaceDN w:val="0"/>
        <w:bidi w:val="0"/>
        <w:adjustRightInd w:val="0"/>
        <w:jc w:val="center"/>
        <w:textAlignment w:val="auto"/>
        <w:rPr>
          <w:rFonts w:hint="eastAsia" w:asciiTheme="minorEastAsia" w:hAnsiTheme="minorEastAsia" w:eastAsiaTheme="minorEastAsia" w:cstheme="minorEastAsia"/>
          <w:b/>
          <w:bCs/>
          <w:color w:val="auto"/>
          <w:kern w:val="0"/>
          <w:sz w:val="48"/>
          <w:szCs w:val="48"/>
        </w:rPr>
      </w:pPr>
    </w:p>
    <w:p>
      <w:pPr>
        <w:pageBreakBefore w:val="0"/>
        <w:widowControl w:val="0"/>
        <w:kinsoku/>
        <w:wordWrap/>
        <w:overflowPunct/>
        <w:topLinePunct w:val="0"/>
        <w:autoSpaceDE w:val="0"/>
        <w:autoSpaceDN w:val="0"/>
        <w:bidi w:val="0"/>
        <w:adjustRightInd w:val="0"/>
        <w:jc w:val="center"/>
        <w:textAlignment w:val="auto"/>
        <w:rPr>
          <w:rFonts w:hint="eastAsia" w:asciiTheme="minorEastAsia" w:hAnsiTheme="minorEastAsia" w:eastAsiaTheme="minorEastAsia" w:cstheme="minorEastAsia"/>
          <w:b/>
          <w:bCs/>
          <w:color w:val="auto"/>
          <w:kern w:val="0"/>
          <w:sz w:val="48"/>
          <w:szCs w:val="48"/>
        </w:rPr>
      </w:pPr>
      <w:r>
        <w:rPr>
          <w:rFonts w:hint="eastAsia" w:asciiTheme="minorEastAsia" w:hAnsiTheme="minorEastAsia" w:eastAsiaTheme="minorEastAsia" w:cstheme="minorEastAsia"/>
          <w:b/>
          <w:bCs/>
          <w:color w:val="auto"/>
          <w:kern w:val="0"/>
          <w:sz w:val="48"/>
          <w:szCs w:val="48"/>
        </w:rPr>
        <w:t>浙江浙能中煤舟山煤电有限责任公司</w:t>
      </w:r>
    </w:p>
    <w:p>
      <w:pPr>
        <w:pageBreakBefore w:val="0"/>
        <w:widowControl w:val="0"/>
        <w:kinsoku/>
        <w:wordWrap/>
        <w:overflowPunct/>
        <w:topLinePunct w:val="0"/>
        <w:autoSpaceDE w:val="0"/>
        <w:autoSpaceDN w:val="0"/>
        <w:bidi w:val="0"/>
        <w:adjustRightInd w:val="0"/>
        <w:jc w:val="center"/>
        <w:textAlignment w:val="auto"/>
        <w:rPr>
          <w:rFonts w:hint="eastAsia" w:asciiTheme="minorEastAsia" w:hAnsiTheme="minorEastAsia" w:eastAsiaTheme="minorEastAsia" w:cstheme="minorEastAsia"/>
          <w:b/>
          <w:bCs/>
          <w:color w:val="auto"/>
          <w:kern w:val="0"/>
          <w:sz w:val="48"/>
          <w:szCs w:val="48"/>
        </w:rPr>
      </w:pPr>
    </w:p>
    <w:p>
      <w:pPr>
        <w:pageBreakBefore w:val="0"/>
        <w:widowControl w:val="0"/>
        <w:kinsoku/>
        <w:wordWrap/>
        <w:overflowPunct/>
        <w:topLinePunct w:val="0"/>
        <w:autoSpaceDE w:val="0"/>
        <w:autoSpaceDN w:val="0"/>
        <w:bidi w:val="0"/>
        <w:adjustRightInd w:val="0"/>
        <w:jc w:val="center"/>
        <w:textAlignment w:val="auto"/>
        <w:rPr>
          <w:rFonts w:hint="eastAsia" w:asciiTheme="minorEastAsia" w:hAnsiTheme="minorEastAsia" w:eastAsiaTheme="minorEastAsia" w:cstheme="minorEastAsia"/>
          <w:b/>
          <w:bCs/>
          <w:color w:val="auto"/>
          <w:kern w:val="0"/>
          <w:sz w:val="48"/>
          <w:szCs w:val="48"/>
        </w:rPr>
      </w:pPr>
      <w:r>
        <w:rPr>
          <w:rFonts w:hint="eastAsia" w:asciiTheme="minorEastAsia" w:hAnsiTheme="minorEastAsia" w:eastAsiaTheme="minorEastAsia" w:cstheme="minorEastAsia"/>
          <w:b/>
          <w:bCs/>
          <w:color w:val="auto"/>
          <w:kern w:val="0"/>
          <w:sz w:val="48"/>
          <w:szCs w:val="48"/>
          <w:lang w:val="en-US" w:eastAsia="zh-CN"/>
        </w:rPr>
        <w:t>#2炉炉顶大罩密封改造</w:t>
      </w:r>
      <w:r>
        <w:rPr>
          <w:rFonts w:hint="eastAsia" w:asciiTheme="minorEastAsia" w:hAnsiTheme="minorEastAsia" w:eastAsiaTheme="minorEastAsia" w:cstheme="minorEastAsia"/>
          <w:b/>
          <w:bCs/>
          <w:color w:val="auto"/>
          <w:kern w:val="0"/>
          <w:sz w:val="48"/>
          <w:szCs w:val="48"/>
        </w:rPr>
        <w:t>项目</w:t>
      </w:r>
      <w:r>
        <w:rPr>
          <w:rFonts w:hint="eastAsia" w:asciiTheme="minorEastAsia" w:hAnsiTheme="minorEastAsia" w:eastAsiaTheme="minorEastAsia" w:cstheme="minorEastAsia"/>
          <w:b/>
          <w:bCs/>
          <w:color w:val="auto"/>
          <w:kern w:val="0"/>
          <w:sz w:val="48"/>
          <w:szCs w:val="48"/>
          <w:lang w:val="zh-CN"/>
        </w:rPr>
        <w:t>技术规范</w:t>
      </w:r>
      <w:r>
        <w:rPr>
          <w:rFonts w:hint="eastAsia" w:asciiTheme="minorEastAsia" w:hAnsiTheme="minorEastAsia" w:eastAsiaTheme="minorEastAsia" w:cstheme="minorEastAsia"/>
          <w:b/>
          <w:bCs/>
          <w:color w:val="auto"/>
          <w:kern w:val="0"/>
          <w:sz w:val="48"/>
          <w:szCs w:val="48"/>
        </w:rPr>
        <w:t>书</w:t>
      </w:r>
    </w:p>
    <w:p>
      <w:pPr>
        <w:pageBreakBefore w:val="0"/>
        <w:widowControl w:val="0"/>
        <w:kinsoku/>
        <w:wordWrap/>
        <w:overflowPunct/>
        <w:topLinePunct w:val="0"/>
        <w:bidi w:val="0"/>
        <w:textAlignment w:val="auto"/>
        <w:rPr>
          <w:color w:val="auto"/>
          <w:lang w:val="zh-CN"/>
        </w:rPr>
      </w:pPr>
    </w:p>
    <w:p>
      <w:pPr>
        <w:pStyle w:val="4"/>
        <w:pageBreakBefore w:val="0"/>
        <w:widowControl w:val="0"/>
        <w:kinsoku/>
        <w:wordWrap/>
        <w:overflowPunct/>
        <w:topLinePunct w:val="0"/>
        <w:bidi w:val="0"/>
        <w:textAlignment w:val="auto"/>
        <w:rPr>
          <w:color w:val="auto"/>
          <w:lang w:val="zh-CN"/>
        </w:rPr>
      </w:pPr>
    </w:p>
    <w:p>
      <w:pPr>
        <w:pageBreakBefore w:val="0"/>
        <w:widowControl w:val="0"/>
        <w:kinsoku/>
        <w:wordWrap/>
        <w:overflowPunct/>
        <w:topLinePunct w:val="0"/>
        <w:bidi w:val="0"/>
        <w:textAlignment w:val="auto"/>
        <w:rPr>
          <w:color w:val="auto"/>
          <w:lang w:val="zh-CN"/>
        </w:rPr>
      </w:pPr>
    </w:p>
    <w:p>
      <w:pPr>
        <w:pageBreakBefore w:val="0"/>
        <w:widowControl w:val="0"/>
        <w:kinsoku/>
        <w:wordWrap/>
        <w:overflowPunct/>
        <w:topLinePunct w:val="0"/>
        <w:bidi w:val="0"/>
        <w:textAlignment w:val="auto"/>
        <w:rPr>
          <w:color w:val="auto"/>
          <w:lang w:val="zh-CN"/>
        </w:rPr>
      </w:pPr>
    </w:p>
    <w:p>
      <w:pPr>
        <w:pageBreakBefore w:val="0"/>
        <w:widowControl w:val="0"/>
        <w:kinsoku/>
        <w:wordWrap/>
        <w:overflowPunct/>
        <w:topLinePunct w:val="0"/>
        <w:bidi w:val="0"/>
        <w:snapToGrid w:val="0"/>
        <w:spacing w:line="480" w:lineRule="auto"/>
        <w:ind w:firstLine="2520" w:firstLineChars="700"/>
        <w:textAlignment w:val="auto"/>
        <w:rPr>
          <w:rFonts w:hint="eastAsia" w:ascii="宋体" w:hAnsi="宋体" w:eastAsia="宋体" w:cs="宋体"/>
          <w:color w:val="auto"/>
          <w:sz w:val="36"/>
          <w:szCs w:val="36"/>
        </w:rPr>
      </w:pPr>
      <w:r>
        <w:rPr>
          <w:rFonts w:hint="eastAsia" w:ascii="宋体" w:hAnsi="宋体" w:eastAsia="宋体" w:cs="宋体"/>
          <w:color w:val="auto"/>
          <w:sz w:val="36"/>
          <w:szCs w:val="36"/>
        </w:rPr>
        <w:t>编写:</w:t>
      </w:r>
    </w:p>
    <w:p>
      <w:pPr>
        <w:pageBreakBefore w:val="0"/>
        <w:widowControl w:val="0"/>
        <w:kinsoku/>
        <w:wordWrap/>
        <w:overflowPunct/>
        <w:topLinePunct w:val="0"/>
        <w:bidi w:val="0"/>
        <w:snapToGrid w:val="0"/>
        <w:spacing w:line="480" w:lineRule="auto"/>
        <w:ind w:firstLine="2520" w:firstLineChars="700"/>
        <w:textAlignment w:val="auto"/>
        <w:rPr>
          <w:rFonts w:hint="eastAsia" w:ascii="宋体" w:hAnsi="宋体" w:eastAsia="宋体" w:cs="宋体"/>
          <w:color w:val="auto"/>
          <w:sz w:val="36"/>
          <w:szCs w:val="36"/>
        </w:rPr>
      </w:pPr>
      <w:r>
        <w:rPr>
          <w:rFonts w:hint="eastAsia" w:ascii="宋体" w:hAnsi="宋体" w:eastAsia="宋体" w:cs="宋体"/>
          <w:color w:val="auto"/>
          <w:sz w:val="36"/>
          <w:szCs w:val="36"/>
          <w:lang w:val="en-US" w:eastAsia="zh-CN"/>
        </w:rPr>
        <w:t>会审</w:t>
      </w:r>
      <w:r>
        <w:rPr>
          <w:rFonts w:hint="eastAsia" w:ascii="宋体" w:hAnsi="宋体" w:eastAsia="宋体" w:cs="宋体"/>
          <w:color w:val="auto"/>
          <w:sz w:val="36"/>
          <w:szCs w:val="36"/>
        </w:rPr>
        <w:t>:</w:t>
      </w:r>
    </w:p>
    <w:p>
      <w:pPr>
        <w:pageBreakBefore w:val="0"/>
        <w:widowControl w:val="0"/>
        <w:kinsoku/>
        <w:wordWrap/>
        <w:overflowPunct/>
        <w:topLinePunct w:val="0"/>
        <w:bidi w:val="0"/>
        <w:snapToGrid w:val="0"/>
        <w:spacing w:line="480" w:lineRule="auto"/>
        <w:ind w:firstLine="2520" w:firstLineChars="700"/>
        <w:textAlignment w:val="auto"/>
        <w:rPr>
          <w:rFonts w:hint="eastAsia" w:ascii="宋体" w:hAnsi="宋体" w:eastAsia="宋体" w:cs="宋体"/>
          <w:color w:val="auto"/>
          <w:sz w:val="36"/>
          <w:szCs w:val="36"/>
        </w:rPr>
      </w:pPr>
      <w:r>
        <w:rPr>
          <w:rFonts w:hint="eastAsia" w:ascii="宋体" w:hAnsi="宋体" w:eastAsia="宋体" w:cs="宋体"/>
          <w:color w:val="auto"/>
          <w:sz w:val="36"/>
          <w:szCs w:val="36"/>
        </w:rPr>
        <w:t>审核:</w:t>
      </w:r>
    </w:p>
    <w:p>
      <w:pPr>
        <w:pageBreakBefore w:val="0"/>
        <w:widowControl w:val="0"/>
        <w:kinsoku/>
        <w:wordWrap/>
        <w:overflowPunct/>
        <w:topLinePunct w:val="0"/>
        <w:bidi w:val="0"/>
        <w:snapToGrid w:val="0"/>
        <w:spacing w:line="480" w:lineRule="auto"/>
        <w:ind w:firstLine="2520" w:firstLineChars="700"/>
        <w:textAlignment w:val="auto"/>
        <w:rPr>
          <w:rFonts w:hint="eastAsia" w:ascii="宋体" w:hAnsi="宋体" w:eastAsia="宋体" w:cs="宋体"/>
          <w:color w:val="auto"/>
          <w:sz w:val="36"/>
          <w:szCs w:val="36"/>
        </w:rPr>
      </w:pPr>
      <w:r>
        <w:rPr>
          <w:rFonts w:hint="eastAsia" w:ascii="宋体" w:hAnsi="宋体" w:eastAsia="宋体" w:cs="宋体"/>
          <w:color w:val="auto"/>
          <w:sz w:val="36"/>
          <w:szCs w:val="36"/>
        </w:rPr>
        <w:t>审定：</w:t>
      </w:r>
    </w:p>
    <w:p>
      <w:pPr>
        <w:pageBreakBefore w:val="0"/>
        <w:widowControl w:val="0"/>
        <w:kinsoku/>
        <w:wordWrap/>
        <w:overflowPunct/>
        <w:topLinePunct w:val="0"/>
        <w:bidi w:val="0"/>
        <w:snapToGrid w:val="0"/>
        <w:spacing w:line="480" w:lineRule="auto"/>
        <w:ind w:firstLine="2520" w:firstLineChars="700"/>
        <w:textAlignment w:val="auto"/>
        <w:rPr>
          <w:rFonts w:hint="eastAsia" w:ascii="宋体" w:hAnsi="宋体" w:eastAsia="宋体" w:cs="宋体"/>
          <w:color w:val="auto"/>
          <w:sz w:val="36"/>
          <w:szCs w:val="36"/>
        </w:rPr>
      </w:pPr>
      <w:r>
        <w:rPr>
          <w:rFonts w:hint="eastAsia" w:ascii="宋体" w:hAnsi="宋体" w:eastAsia="宋体" w:cs="宋体"/>
          <w:color w:val="auto"/>
          <w:sz w:val="36"/>
          <w:szCs w:val="36"/>
        </w:rPr>
        <w:t>批准:</w:t>
      </w:r>
    </w:p>
    <w:p>
      <w:pPr>
        <w:pageBreakBefore w:val="0"/>
        <w:widowControl w:val="0"/>
        <w:tabs>
          <w:tab w:val="left" w:pos="540"/>
        </w:tabs>
        <w:kinsoku/>
        <w:wordWrap/>
        <w:overflowPunct/>
        <w:topLinePunct w:val="0"/>
        <w:bidi w:val="0"/>
        <w:textAlignment w:val="auto"/>
        <w:rPr>
          <w:rFonts w:hint="eastAsia" w:ascii="黑体" w:hAnsi="宋体" w:eastAsia="黑体"/>
          <w:color w:val="auto"/>
          <w:kern w:val="0"/>
          <w:sz w:val="32"/>
          <w:szCs w:val="32"/>
        </w:rPr>
      </w:pPr>
    </w:p>
    <w:p>
      <w:pPr>
        <w:pageBreakBefore w:val="0"/>
        <w:widowControl w:val="0"/>
        <w:tabs>
          <w:tab w:val="left" w:pos="540"/>
        </w:tabs>
        <w:kinsoku/>
        <w:wordWrap/>
        <w:overflowPunct/>
        <w:topLinePunct w:val="0"/>
        <w:bidi w:val="0"/>
        <w:textAlignment w:val="auto"/>
        <w:rPr>
          <w:rFonts w:hint="eastAsia" w:ascii="黑体" w:hAnsi="宋体" w:eastAsia="黑体"/>
          <w:color w:val="auto"/>
          <w:kern w:val="0"/>
          <w:sz w:val="32"/>
          <w:szCs w:val="32"/>
        </w:rPr>
      </w:pPr>
    </w:p>
    <w:p>
      <w:pPr>
        <w:pageBreakBefore w:val="0"/>
        <w:widowControl w:val="0"/>
        <w:kinsoku/>
        <w:wordWrap/>
        <w:overflowPunct/>
        <w:topLinePunct w:val="0"/>
        <w:bidi w:val="0"/>
        <w:textAlignment w:val="auto"/>
        <w:rPr>
          <w:rFonts w:hint="eastAsia" w:ascii="黑体" w:hAnsi="宋体" w:eastAsia="黑体"/>
          <w:color w:val="auto"/>
          <w:kern w:val="0"/>
          <w:sz w:val="32"/>
          <w:szCs w:val="32"/>
        </w:rPr>
      </w:pPr>
    </w:p>
    <w:p>
      <w:pPr>
        <w:pageBreakBefore w:val="0"/>
        <w:widowControl w:val="0"/>
        <w:kinsoku/>
        <w:wordWrap/>
        <w:overflowPunct/>
        <w:topLinePunct w:val="0"/>
        <w:bidi w:val="0"/>
        <w:jc w:val="center"/>
        <w:textAlignment w:val="auto"/>
        <w:rPr>
          <w:rFonts w:hint="eastAsia" w:ascii="黑体" w:hAnsi="宋体" w:eastAsia="黑体"/>
          <w:color w:val="auto"/>
          <w:kern w:val="0"/>
          <w:sz w:val="36"/>
          <w:szCs w:val="36"/>
        </w:rPr>
      </w:pPr>
      <w:r>
        <w:rPr>
          <w:rFonts w:hint="eastAsia" w:hAnsi="宋体"/>
          <w:bCs/>
          <w:color w:val="auto"/>
          <w:sz w:val="36"/>
          <w:szCs w:val="36"/>
          <w:lang w:val="en-US" w:eastAsia="zh-CN"/>
        </w:rPr>
        <w:t>招标人：</w:t>
      </w:r>
      <w:r>
        <w:rPr>
          <w:rFonts w:hint="eastAsia" w:hAnsi="宋体"/>
          <w:bCs/>
          <w:color w:val="auto"/>
          <w:sz w:val="36"/>
          <w:szCs w:val="36"/>
        </w:rPr>
        <w:t>浙江浙能中煤舟山煤电有限责任公司</w:t>
      </w:r>
    </w:p>
    <w:p>
      <w:pPr>
        <w:pageBreakBefore w:val="0"/>
        <w:widowControl w:val="0"/>
        <w:kinsoku/>
        <w:wordWrap/>
        <w:overflowPunct/>
        <w:topLinePunct w:val="0"/>
        <w:bidi w:val="0"/>
        <w:jc w:val="center"/>
        <w:textAlignment w:val="auto"/>
        <w:rPr>
          <w:rFonts w:hint="eastAsia" w:hAnsi="宋体"/>
          <w:bCs/>
          <w:color w:val="auto"/>
          <w:sz w:val="32"/>
          <w:szCs w:val="32"/>
        </w:rPr>
      </w:pPr>
      <w:r>
        <w:rPr>
          <w:rFonts w:hint="eastAsia" w:hAnsi="宋体"/>
          <w:bCs/>
          <w:color w:val="auto"/>
          <w:sz w:val="32"/>
          <w:szCs w:val="32"/>
        </w:rPr>
        <w:t>2025年1</w:t>
      </w:r>
      <w:r>
        <w:rPr>
          <w:rFonts w:hint="eastAsia" w:hAnsi="宋体"/>
          <w:bCs/>
          <w:color w:val="auto"/>
          <w:sz w:val="32"/>
          <w:szCs w:val="32"/>
          <w:lang w:val="en-US" w:eastAsia="zh-CN"/>
        </w:rPr>
        <w:t>2</w:t>
      </w:r>
      <w:r>
        <w:rPr>
          <w:rFonts w:hint="eastAsia" w:hAnsi="宋体"/>
          <w:bCs/>
          <w:color w:val="auto"/>
          <w:sz w:val="32"/>
          <w:szCs w:val="32"/>
        </w:rPr>
        <w:t>月</w:t>
      </w:r>
    </w:p>
    <w:p>
      <w:pPr>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ind w:left="0" w:leftChars="0" w:firstLine="0" w:firstLineChars="0"/>
        <w:textAlignment w:val="auto"/>
        <w:rPr>
          <w:color w:val="auto"/>
        </w:rPr>
      </w:pPr>
    </w:p>
    <w:p>
      <w:pPr>
        <w:pStyle w:val="2"/>
        <w:pageBreakBefore w:val="0"/>
        <w:widowControl w:val="0"/>
        <w:kinsoku/>
        <w:wordWrap/>
        <w:overflowPunct/>
        <w:topLinePunct w:val="0"/>
        <w:bidi w:val="0"/>
        <w:textAlignment w:val="auto"/>
        <w:rPr>
          <w:color w:val="auto"/>
        </w:rPr>
      </w:pPr>
    </w:p>
    <w:p>
      <w:pPr>
        <w:pageBreakBefore w:val="0"/>
        <w:widowControl w:val="0"/>
        <w:kinsoku/>
        <w:wordWrap/>
        <w:overflowPunct/>
        <w:topLinePunct w:val="0"/>
        <w:bidi w:val="0"/>
        <w:jc w:val="center"/>
        <w:textAlignment w:val="auto"/>
        <w:rPr>
          <w:rFonts w:hint="eastAsia" w:ascii="黑体" w:hAnsi="黑体" w:eastAsia="黑体" w:cs="黑体"/>
          <w:color w:val="auto"/>
          <w:sz w:val="44"/>
          <w:szCs w:val="44"/>
        </w:rPr>
      </w:pPr>
      <w:r>
        <w:rPr>
          <w:rFonts w:hint="eastAsia" w:ascii="黑体" w:hAnsi="黑体" w:eastAsia="黑体" w:cs="黑体"/>
          <w:color w:val="auto"/>
          <w:sz w:val="44"/>
          <w:szCs w:val="44"/>
        </w:rPr>
        <w:t>目</w:t>
      </w:r>
      <w:r>
        <w:rPr>
          <w:rFonts w:hint="eastAsia" w:ascii="黑体" w:hAnsi="黑体" w:eastAsia="黑体" w:cs="黑体"/>
          <w:color w:val="auto"/>
          <w:sz w:val="44"/>
          <w:szCs w:val="44"/>
          <w:lang w:val="en-US" w:eastAsia="zh-CN"/>
        </w:rPr>
        <w:t xml:space="preserve">    </w:t>
      </w:r>
      <w:r>
        <w:rPr>
          <w:rFonts w:hint="eastAsia" w:ascii="黑体" w:hAnsi="黑体" w:eastAsia="黑体" w:cs="黑体"/>
          <w:color w:val="auto"/>
          <w:sz w:val="44"/>
          <w:szCs w:val="44"/>
        </w:rPr>
        <w:t>录</w:t>
      </w:r>
    </w:p>
    <w:p>
      <w:pPr>
        <w:pStyle w:val="5"/>
        <w:pageBreakBefore w:val="0"/>
        <w:widowControl w:val="0"/>
        <w:tabs>
          <w:tab w:val="right" w:leader="dot" w:pos="8306"/>
        </w:tabs>
        <w:kinsoku/>
        <w:wordWrap/>
        <w:overflowPunct/>
        <w:topLinePunct w:val="0"/>
        <w:bidi w:val="0"/>
        <w:textAlignment w:val="auto"/>
        <w:rPr>
          <w:rFonts w:hint="eastAsia" w:ascii="楷体" w:hAnsi="楷体" w:eastAsia="楷体"/>
          <w:color w:val="auto"/>
          <w:sz w:val="24"/>
          <w:shd w:val="clear" w:color="FFFFFF" w:fill="D9D9D9"/>
        </w:rPr>
      </w:pP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工程概况</w:t>
      </w: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承包范围及工作内容</w:t>
      </w: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主要工程量</w:t>
      </w: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材料提供方式</w:t>
      </w: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工艺质量标准及有关要求</w:t>
      </w: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工期</w:t>
      </w: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安健环及文明施工、危险源（环境因素）控制要求</w:t>
      </w:r>
    </w:p>
    <w:p>
      <w:pPr>
        <w:pageBreakBefore w:val="0"/>
        <w:widowControl w:val="0"/>
        <w:numPr>
          <w:ilvl w:val="0"/>
          <w:numId w:val="2"/>
        </w:numPr>
        <w:kinsoku/>
        <w:wordWrap/>
        <w:overflowPunct/>
        <w:topLinePunct w:val="0"/>
        <w:autoSpaceDE w:val="0"/>
        <w:autoSpaceDN w:val="0"/>
        <w:bidi w:val="0"/>
        <w:adjustRightInd w:val="0"/>
        <w:spacing w:after="160" w:line="278" w:lineRule="auto"/>
        <w:ind w:left="720" w:hanging="720" w:firstLineChars="0"/>
        <w:jc w:val="left"/>
        <w:textAlignment w:val="auto"/>
        <w:rPr>
          <w:rFonts w:hint="eastAsia" w:ascii="宋体" w:hAnsi="ºÚÌå" w:eastAsia="宋体" w:cs="宋体"/>
          <w:color w:val="auto"/>
          <w:kern w:val="0"/>
          <w:sz w:val="30"/>
          <w:szCs w:val="30"/>
          <w:lang w:val="en-US" w:eastAsia="zh-CN" w:bidi="ar-SA"/>
        </w:rPr>
      </w:pPr>
      <w:r>
        <w:rPr>
          <w:rFonts w:hint="eastAsia" w:ascii="宋体" w:hAnsi="ºÚÌå" w:eastAsia="宋体" w:cs="宋体"/>
          <w:color w:val="auto"/>
          <w:kern w:val="0"/>
          <w:sz w:val="30"/>
          <w:szCs w:val="30"/>
          <w:lang w:val="en-US" w:eastAsia="zh-CN" w:bidi="ar-SA"/>
        </w:rPr>
        <w:t>工程质量验收</w:t>
      </w: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textAlignment w:val="auto"/>
        <w:rPr>
          <w:color w:val="auto"/>
        </w:rPr>
      </w:pPr>
    </w:p>
    <w:p>
      <w:pPr>
        <w:pStyle w:val="2"/>
        <w:pageBreakBefore w:val="0"/>
        <w:widowControl w:val="0"/>
        <w:kinsoku/>
        <w:wordWrap/>
        <w:overflowPunct/>
        <w:topLinePunct w:val="0"/>
        <w:bidi w:val="0"/>
        <w:ind w:left="0" w:leftChars="0" w:firstLine="0" w:firstLineChars="0"/>
        <w:textAlignment w:val="auto"/>
        <w:rPr>
          <w:color w:val="auto"/>
        </w:rPr>
      </w:pPr>
    </w:p>
    <w:p>
      <w:pPr>
        <w:pageBreakBefore w:val="0"/>
        <w:widowControl w:val="0"/>
        <w:shd w:val="clear" w:color="auto" w:fill="FFFFFF"/>
        <w:kinsoku/>
        <w:wordWrap/>
        <w:overflowPunct/>
        <w:topLinePunct w:val="0"/>
        <w:bidi w:val="0"/>
        <w:adjustRightInd w:val="0"/>
        <w:snapToGrid w:val="0"/>
        <w:spacing w:line="560" w:lineRule="exact"/>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一、项目概述</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1.1 厂址概况</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eastAsia="zh-CN"/>
        </w:rPr>
        <w:t>浙江浙能中煤舟山煤电有限责任公司</w:t>
      </w:r>
      <w:r>
        <w:rPr>
          <w:rFonts w:hint="eastAsia" w:ascii="仿宋" w:hAnsi="仿宋" w:eastAsia="仿宋" w:cs="宋体"/>
          <w:color w:val="auto"/>
          <w:kern w:val="0"/>
          <w:sz w:val="30"/>
          <w:szCs w:val="30"/>
          <w:lang w:val="en-US" w:eastAsia="zh-CN"/>
        </w:rPr>
        <w:t>厂址位于浙江省舟山市六横岛，是舟山市第三大岛，在地理上是一个完全与大陆隔离的岛，一般需从宁波市北仑区峙头码头到舟山六横沙岙码头的船渡进岛，投标方需充分考虑运输事宜。六横岛距舟山本岛约40公里，距离宁波北仑区大陆约16公里，距杭州市区约230公里。</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1.2 设备概况</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eastAsia="zh-CN"/>
        </w:rPr>
      </w:pPr>
      <w:r>
        <w:rPr>
          <w:rFonts w:hint="eastAsia" w:ascii="仿宋" w:hAnsi="仿宋" w:eastAsia="仿宋" w:cs="宋体"/>
          <w:color w:val="auto"/>
          <w:kern w:val="0"/>
          <w:sz w:val="30"/>
          <w:szCs w:val="30"/>
          <w:lang w:eastAsia="zh-CN"/>
        </w:rPr>
        <w:t>浙江浙能中煤舟山煤电有限责任公司2×1030MW超超临界锅炉是由北京巴布科克·威尔科克斯有限公司生产，锅炉为超超临界参数、螺旋炉膛、一次中间再热、平衡通风、固态排渣、全钢构架、露天布置的∏型锅炉，锅炉配有带启动循环泵的内置式启动系统。锅炉设计煤种为烟混煤，校核煤种为晋北烟煤。锅炉采用中速磨冷一次风机正压直吹式制粉系统，前后墙对冲燃烧方式，配置B&amp;W公司研制的DRB-4ZTM超低NOx双调风旋流燃烧器及低NOx喷口。尾部设置分烟道，采用烟气分流挡板调节再热器出口汽温，烟道出口还设置有SCR脱硝装置，烟气经脱硝后进入尾部竖井下设置的两台三分仓回转式空预器。</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1.3</w:t>
      </w:r>
      <w:bookmarkStart w:id="0" w:name="_Toc14503"/>
      <w:r>
        <w:rPr>
          <w:rFonts w:hint="eastAsia" w:ascii="仿宋" w:hAnsi="仿宋" w:eastAsia="仿宋" w:cs="宋体"/>
          <w:b/>
          <w:color w:val="auto"/>
          <w:kern w:val="0"/>
          <w:sz w:val="30"/>
          <w:szCs w:val="30"/>
          <w:lang w:val="en-US" w:eastAsia="zh-CN"/>
        </w:rPr>
        <w:t xml:space="preserve"> 设备</w:t>
      </w:r>
      <w:bookmarkEnd w:id="0"/>
      <w:r>
        <w:rPr>
          <w:rFonts w:hint="eastAsia" w:ascii="仿宋" w:hAnsi="仿宋" w:eastAsia="仿宋" w:cs="宋体"/>
          <w:b/>
          <w:color w:val="auto"/>
          <w:kern w:val="0"/>
          <w:sz w:val="30"/>
          <w:szCs w:val="30"/>
          <w:lang w:val="en-US" w:eastAsia="zh-CN"/>
        </w:rPr>
        <w:t>参数</w:t>
      </w:r>
    </w:p>
    <w:p>
      <w:pPr>
        <w:keepNext w:val="0"/>
        <w:keepLines w:val="0"/>
        <w:pageBreakBefore w:val="0"/>
        <w:widowControl w:val="0"/>
        <w:shd w:val="clear" w:color="auto" w:fill="FFFFFF"/>
        <w:kinsoku/>
        <w:wordWrap w:val="0"/>
        <w:overflowPunct/>
        <w:topLinePunct w:val="0"/>
        <w:autoSpaceDE/>
        <w:autoSpaceDN/>
        <w:bidi w:val="0"/>
        <w:adjustRightInd w:val="0"/>
        <w:snapToGrid w:val="0"/>
        <w:spacing w:line="560" w:lineRule="exact"/>
        <w:ind w:firstLine="600" w:firstLineChars="200"/>
        <w:textAlignment w:val="auto"/>
        <w:outlineLvl w:val="9"/>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eastAsia="zh-CN"/>
        </w:rPr>
        <w:t>锅炉为10</w:t>
      </w:r>
      <w:r>
        <w:rPr>
          <w:rFonts w:hint="eastAsia" w:ascii="仿宋" w:hAnsi="仿宋" w:eastAsia="仿宋" w:cs="宋体"/>
          <w:color w:val="auto"/>
          <w:kern w:val="0"/>
          <w:sz w:val="30"/>
          <w:szCs w:val="30"/>
          <w:lang w:val="en-US" w:eastAsia="zh-CN"/>
        </w:rPr>
        <w:t>3</w:t>
      </w:r>
      <w:r>
        <w:rPr>
          <w:rFonts w:hint="eastAsia" w:ascii="仿宋" w:hAnsi="仿宋" w:eastAsia="仿宋" w:cs="宋体"/>
          <w:color w:val="auto"/>
          <w:kern w:val="0"/>
          <w:sz w:val="30"/>
          <w:szCs w:val="30"/>
          <w:lang w:eastAsia="zh-CN"/>
        </w:rPr>
        <w:t>0MW超超临界参数直流炉，采用前后墙对冲燃烧方式，燃烧器布置在炉膛的前后墙。炉膛宽度为33128.7mm，深度为16308.7mm，锅炉采用露天布置。锅炉型号：B&amp;W B-3048/26.15-M，</w:t>
      </w:r>
      <w:r>
        <w:rPr>
          <w:rFonts w:hint="eastAsia" w:ascii="仿宋" w:hAnsi="仿宋" w:eastAsia="仿宋" w:cs="宋体"/>
          <w:color w:val="auto"/>
          <w:kern w:val="0"/>
          <w:sz w:val="30"/>
          <w:szCs w:val="30"/>
          <w:lang w:val="en-US" w:eastAsia="zh-CN"/>
        </w:rPr>
        <w:t>锅炉主要参数见表1。</w:t>
      </w:r>
    </w:p>
    <w:p>
      <w:pPr>
        <w:pageBreakBefore w:val="0"/>
        <w:widowControl w:val="0"/>
        <w:kinsoku/>
        <w:wordWrap/>
        <w:overflowPunct/>
        <w:topLinePunct w:val="0"/>
        <w:bidi w:val="0"/>
        <w:spacing w:line="560" w:lineRule="exact"/>
        <w:textAlignment w:val="auto"/>
        <w:rPr>
          <w:rFonts w:hint="eastAsia" w:ascii="仿宋" w:hAnsi="仿宋" w:eastAsia="仿宋" w:cs="仿宋"/>
          <w:color w:val="auto"/>
          <w:sz w:val="24"/>
          <w:lang w:val="en-US" w:eastAsia="zh-CN"/>
        </w:rPr>
      </w:pPr>
    </w:p>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表1 锅炉主要参数</w:t>
      </w:r>
    </w:p>
    <w:tbl>
      <w:tblPr>
        <w:tblStyle w:val="7"/>
        <w:tblW w:w="91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282"/>
        <w:gridCol w:w="2282"/>
        <w:gridCol w:w="2282"/>
        <w:gridCol w:w="22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tblHeader/>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项   目</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单  位</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BMCR</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BRL</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过热蒸汽流量</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t/h</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3048</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2959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过热蒸汽压力</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MPa，g*</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26.15</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26.08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过热蒸汽温度</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605</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605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给 水 温 度</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304</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302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再热蒸汽流量</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t/h</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2530</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2448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再热蒸汽进口压力</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MPa，g</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5.041</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4.867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再热蒸汽出口压力</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MPa，g</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4.831</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4.664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再热蒸汽进口温度</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352</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350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cantSplit/>
          <w:trHeight w:val="454" w:hRule="atLeast"/>
          <w:jc w:val="center"/>
        </w:trPr>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再热蒸汽出口温度</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603</w:t>
            </w:r>
          </w:p>
        </w:tc>
        <w:tc>
          <w:tcPr>
            <w:tcW w:w="2282"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603</w:t>
            </w:r>
          </w:p>
        </w:tc>
      </w:tr>
    </w:tbl>
    <w:p>
      <w:pPr>
        <w:pageBreakBefore w:val="0"/>
        <w:widowControl w:val="0"/>
        <w:shd w:val="clear" w:color="auto" w:fill="FFFFFF"/>
        <w:kinsoku/>
        <w:wordWrap/>
        <w:overflowPunct/>
        <w:topLinePunct w:val="0"/>
        <w:bidi w:val="0"/>
        <w:adjustRightInd w:val="0"/>
        <w:snapToGrid w:val="0"/>
        <w:spacing w:line="560" w:lineRule="exact"/>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二、承包范围及工作内容</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项目范围：浙江浙能中煤舟山煤电有限责任公司#2炉炉顶大罩密封改造工程，包括但不限于：1、对各集箱及大罩内部管道、受热面的保温层更换并加厚；2、修复屏过、后屏区域的二次密封及一次密封浇注料；3、对易发生漏灰的前水冷壁集箱、屏式过热器等区域增装柔性密封。现场勘测，材料采购、运输及储存，施工、消缺和最终交付等工作。</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default"/>
          <w:color w:val="auto"/>
          <w:lang w:val="en-US" w:eastAsia="zh-CN"/>
        </w:rPr>
      </w:pPr>
      <w:r>
        <w:rPr>
          <w:rFonts w:hint="eastAsia" w:ascii="仿宋" w:hAnsi="仿宋" w:eastAsia="仿宋" w:cs="宋体"/>
          <w:color w:val="auto"/>
          <w:kern w:val="0"/>
          <w:sz w:val="30"/>
          <w:szCs w:val="30"/>
          <w:lang w:val="en-US" w:eastAsia="zh-CN"/>
        </w:rPr>
        <w:t>分包要求：本项目由中标单位单独实施，禁止分包。</w:t>
      </w:r>
    </w:p>
    <w:p>
      <w:pPr>
        <w:pageBreakBefore w:val="0"/>
        <w:widowControl w:val="0"/>
        <w:shd w:val="clear" w:color="auto" w:fill="FFFFFF"/>
        <w:kinsoku/>
        <w:wordWrap/>
        <w:overflowPunct/>
        <w:topLinePunct w:val="0"/>
        <w:bidi w:val="0"/>
        <w:adjustRightInd w:val="0"/>
        <w:snapToGrid w:val="0"/>
        <w:spacing w:line="560" w:lineRule="exact"/>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三、主要工程量</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eastAsia="zh-CN"/>
        </w:rPr>
        <w:t>#2炉</w:t>
      </w:r>
      <w:r>
        <w:rPr>
          <w:rFonts w:hint="eastAsia" w:ascii="仿宋" w:hAnsi="仿宋" w:eastAsia="仿宋" w:cs="宋体"/>
          <w:color w:val="auto"/>
          <w:kern w:val="0"/>
          <w:sz w:val="30"/>
          <w:szCs w:val="30"/>
          <w:lang w:val="en-US" w:eastAsia="zh-CN"/>
        </w:rPr>
        <w:t>炉顶大罩密封</w:t>
      </w:r>
      <w:r>
        <w:rPr>
          <w:rFonts w:hint="eastAsia" w:ascii="仿宋" w:hAnsi="仿宋" w:eastAsia="仿宋" w:cs="宋体"/>
          <w:color w:val="auto"/>
          <w:kern w:val="0"/>
          <w:sz w:val="30"/>
          <w:szCs w:val="30"/>
          <w:lang w:eastAsia="zh-CN"/>
        </w:rPr>
        <w:t>改造工程</w:t>
      </w:r>
      <w:r>
        <w:rPr>
          <w:rFonts w:hint="eastAsia" w:ascii="仿宋" w:hAnsi="仿宋" w:eastAsia="仿宋" w:cs="宋体"/>
          <w:color w:val="auto"/>
          <w:kern w:val="0"/>
          <w:sz w:val="30"/>
          <w:szCs w:val="30"/>
          <w:lang w:val="en-US" w:eastAsia="zh-CN"/>
        </w:rPr>
        <w:t>具体工作量包含但不限于如下内容：</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3.1 更换并加厚大罩内部各集箱及内部管道的保温层（约508m³）；</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3.2 割除并恢复后屏、末过区域的二次密封板并配合清理积灰（约130㎡）；</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3.3 检查清理后屏、末过区域的一次密封情况，清理原微膨胀耐火可塑料并重新铺设（约29m³）；</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3.4 对易发生漏灰部位（水冷壁前墙密封盒及前墙与左右墙两角处、屏过膨胀节处），向四周延伸0.5m，按实际情况增装柔性密封。集箱宽度33m，计算水冷壁前墙密封盒面积约为80㎡。屏过膨胀节密封箱部位投影面积约140㎡。（示意图如下，细节图见附件）；</w:t>
      </w:r>
    </w:p>
    <w:p>
      <w:pPr>
        <w:pStyle w:val="2"/>
        <w:pageBreakBefore w:val="0"/>
        <w:widowControl w:val="0"/>
        <w:kinsoku/>
        <w:wordWrap/>
        <w:overflowPunct/>
        <w:topLinePunct w:val="0"/>
        <w:bidi w:val="0"/>
        <w:textAlignment w:val="auto"/>
        <w:rPr>
          <w:rFonts w:hint="default"/>
          <w:color w:val="auto"/>
          <w:lang w:val="en-US" w:eastAsia="zh-CN"/>
        </w:rPr>
      </w:pPr>
      <w:r>
        <w:rPr>
          <w:rFonts w:hint="default"/>
          <w:color w:val="auto"/>
          <w:lang w:val="en-US" w:eastAsia="zh-CN"/>
        </w:rPr>
        <w:drawing>
          <wp:inline distT="0" distB="0" distL="114300" distR="114300">
            <wp:extent cx="5262880" cy="2550160"/>
            <wp:effectExtent l="0" t="0" r="13970" b="2540"/>
            <wp:docPr id="4" name="图片 4"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捕获"/>
                    <pic:cNvPicPr>
                      <a:picLocks noChangeAspect="1"/>
                    </pic:cNvPicPr>
                  </pic:nvPicPr>
                  <pic:blipFill>
                    <a:blip r:embed="rId4"/>
                    <a:stretch>
                      <a:fillRect/>
                    </a:stretch>
                  </pic:blipFill>
                  <pic:spPr>
                    <a:xfrm>
                      <a:off x="0" y="0"/>
                      <a:ext cx="5262880" cy="2550160"/>
                    </a:xfrm>
                    <a:prstGeom prst="rect">
                      <a:avLst/>
                    </a:prstGeom>
                  </pic:spPr>
                </pic:pic>
              </a:graphicData>
            </a:graphic>
          </wp:inline>
        </w:drawing>
      </w:r>
    </w:p>
    <w:p>
      <w:pPr>
        <w:pageBreakBefore w:val="0"/>
        <w:widowControl w:val="0"/>
        <w:kinsoku/>
        <w:wordWrap/>
        <w:overflowPunct/>
        <w:topLinePunct w:val="0"/>
        <w:bidi w:val="0"/>
        <w:spacing w:line="560" w:lineRule="exact"/>
        <w:jc w:val="center"/>
        <w:textAlignment w:val="auto"/>
        <w:rPr>
          <w:rFonts w:hint="eastAsia"/>
          <w:color w:val="auto"/>
          <w:lang w:val="en-US" w:eastAsia="zh-CN"/>
        </w:rPr>
      </w:pPr>
      <w:r>
        <w:rPr>
          <w:rFonts w:hint="eastAsia" w:ascii="仿宋" w:hAnsi="仿宋" w:eastAsia="仿宋" w:cs="仿宋"/>
          <w:color w:val="auto"/>
          <w:sz w:val="24"/>
          <w:lang w:val="en-US" w:eastAsia="zh-CN"/>
        </w:rPr>
        <w:t>图1 屏过管组二次密封示意图</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3.5 项目安装施工所需的所有架子配合工作。</w:t>
      </w:r>
    </w:p>
    <w:p>
      <w:pPr>
        <w:pageBreakBefore w:val="0"/>
        <w:widowControl w:val="0"/>
        <w:shd w:val="clear" w:color="auto" w:fill="FFFFFF"/>
        <w:kinsoku/>
        <w:wordWrap/>
        <w:overflowPunct/>
        <w:topLinePunct w:val="0"/>
        <w:bidi w:val="0"/>
        <w:adjustRightInd w:val="0"/>
        <w:snapToGrid w:val="0"/>
        <w:spacing w:line="560" w:lineRule="exact"/>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四、材料提供方式</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本次#2炉炉顶大罩密封改造项目所需更换的密封材料均由投标方提供。本次改造供货范围包含但不限于：</w:t>
      </w:r>
    </w:p>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表2 改造需用材料表</w:t>
      </w:r>
    </w:p>
    <w:tbl>
      <w:tblPr>
        <w:tblStyle w:val="7"/>
        <w:tblW w:w="7997" w:type="dxa"/>
        <w:jc w:val="center"/>
        <w:tblInd w:w="-85" w:type="dxa"/>
        <w:tblLayout w:type="fixed"/>
        <w:tblCellMar>
          <w:top w:w="0" w:type="dxa"/>
          <w:left w:w="108" w:type="dxa"/>
          <w:bottom w:w="0" w:type="dxa"/>
          <w:right w:w="108" w:type="dxa"/>
        </w:tblCellMar>
      </w:tblPr>
      <w:tblGrid>
        <w:gridCol w:w="955"/>
        <w:gridCol w:w="1304"/>
        <w:gridCol w:w="2904"/>
        <w:gridCol w:w="2834"/>
      </w:tblGrid>
      <w:tr>
        <w:tblPrEx>
          <w:tblLayout w:type="fixed"/>
          <w:tblCellMar>
            <w:top w:w="0" w:type="dxa"/>
            <w:left w:w="108" w:type="dxa"/>
            <w:bottom w:w="0" w:type="dxa"/>
            <w:right w:w="108" w:type="dxa"/>
          </w:tblCellMar>
        </w:tblPrEx>
        <w:trPr>
          <w:trHeight w:val="333" w:hRule="atLeast"/>
          <w:jc w:val="cent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序号</w:t>
            </w:r>
          </w:p>
        </w:tc>
        <w:tc>
          <w:tcPr>
            <w:tcW w:w="1304" w:type="dxa"/>
            <w:tcBorders>
              <w:top w:val="single" w:color="auto" w:sz="4" w:space="0"/>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名称</w:t>
            </w:r>
          </w:p>
        </w:tc>
        <w:tc>
          <w:tcPr>
            <w:tcW w:w="2904" w:type="dxa"/>
            <w:tcBorders>
              <w:top w:val="single" w:color="auto" w:sz="4" w:space="0"/>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材质型号</w:t>
            </w:r>
          </w:p>
        </w:tc>
        <w:tc>
          <w:tcPr>
            <w:tcW w:w="2834" w:type="dxa"/>
            <w:tcBorders>
              <w:top w:val="single" w:color="auto" w:sz="4" w:space="0"/>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备注</w:t>
            </w:r>
          </w:p>
        </w:tc>
      </w:tr>
      <w:tr>
        <w:tblPrEx>
          <w:tblLayout w:type="fixed"/>
          <w:tblCellMar>
            <w:top w:w="0" w:type="dxa"/>
            <w:left w:w="108" w:type="dxa"/>
            <w:bottom w:w="0" w:type="dxa"/>
            <w:right w:w="108" w:type="dxa"/>
          </w:tblCellMar>
        </w:tblPrEx>
        <w:trPr>
          <w:trHeight w:val="333" w:hRule="atLeast"/>
          <w:jc w:val="center"/>
        </w:trPr>
        <w:tc>
          <w:tcPr>
            <w:tcW w:w="955"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1</w:t>
            </w:r>
          </w:p>
        </w:tc>
        <w:tc>
          <w:tcPr>
            <w:tcW w:w="13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保温材料</w:t>
            </w:r>
          </w:p>
        </w:tc>
        <w:tc>
          <w:tcPr>
            <w:tcW w:w="29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硅酸铝耐火纤维毡δ40mm</w:t>
            </w:r>
          </w:p>
        </w:tc>
        <w:tc>
          <w:tcPr>
            <w:tcW w:w="283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含压板及保温钉，需满足现场实际需求。</w:t>
            </w:r>
          </w:p>
        </w:tc>
      </w:tr>
      <w:tr>
        <w:tblPrEx>
          <w:tblLayout w:type="fixed"/>
          <w:tblCellMar>
            <w:top w:w="0" w:type="dxa"/>
            <w:left w:w="108" w:type="dxa"/>
            <w:bottom w:w="0" w:type="dxa"/>
            <w:right w:w="108" w:type="dxa"/>
          </w:tblCellMar>
        </w:tblPrEx>
        <w:trPr>
          <w:trHeight w:val="333" w:hRule="atLeast"/>
          <w:jc w:val="center"/>
        </w:trPr>
        <w:tc>
          <w:tcPr>
            <w:tcW w:w="955"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2</w:t>
            </w:r>
          </w:p>
        </w:tc>
        <w:tc>
          <w:tcPr>
            <w:tcW w:w="13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钢板网</w:t>
            </w:r>
          </w:p>
        </w:tc>
        <w:tc>
          <w:tcPr>
            <w:tcW w:w="29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PB2</w:t>
            </w:r>
            <w:r>
              <w:rPr>
                <w:rFonts w:hint="default" w:ascii="仿宋" w:hAnsi="仿宋" w:eastAsia="仿宋" w:cs="仿宋"/>
                <w:sz w:val="24"/>
                <w:lang w:val="en-US" w:eastAsia="zh-CN"/>
              </w:rPr>
              <w:t>×</w:t>
            </w:r>
            <w:r>
              <w:rPr>
                <w:rFonts w:hint="eastAsia" w:ascii="仿宋" w:hAnsi="仿宋" w:eastAsia="仿宋" w:cs="仿宋"/>
                <w:sz w:val="24"/>
                <w:lang w:val="en-US" w:eastAsia="zh-CN"/>
              </w:rPr>
              <w:t>24mm  0Cr18Ni9</w:t>
            </w:r>
          </w:p>
        </w:tc>
        <w:tc>
          <w:tcPr>
            <w:tcW w:w="283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需满足现场实际需求。</w:t>
            </w:r>
          </w:p>
        </w:tc>
      </w:tr>
      <w:tr>
        <w:tblPrEx>
          <w:tblLayout w:type="fixed"/>
          <w:tblCellMar>
            <w:top w:w="0" w:type="dxa"/>
            <w:left w:w="108" w:type="dxa"/>
            <w:bottom w:w="0" w:type="dxa"/>
            <w:right w:w="108" w:type="dxa"/>
          </w:tblCellMar>
        </w:tblPrEx>
        <w:trPr>
          <w:trHeight w:val="333" w:hRule="atLeast"/>
          <w:jc w:val="center"/>
        </w:trPr>
        <w:tc>
          <w:tcPr>
            <w:tcW w:w="955"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3</w:t>
            </w:r>
          </w:p>
        </w:tc>
        <w:tc>
          <w:tcPr>
            <w:tcW w:w="13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镀锌铁丝网</w:t>
            </w:r>
          </w:p>
        </w:tc>
        <w:tc>
          <w:tcPr>
            <w:tcW w:w="29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Φ1.2</w:t>
            </w:r>
            <w:r>
              <w:rPr>
                <w:rFonts w:hint="default" w:ascii="仿宋" w:hAnsi="仿宋" w:eastAsia="仿宋" w:cs="仿宋"/>
                <w:sz w:val="24"/>
                <w:lang w:val="en-US" w:eastAsia="zh-CN"/>
              </w:rPr>
              <w:t>×</w:t>
            </w:r>
            <w:r>
              <w:rPr>
                <w:rFonts w:hint="eastAsia" w:ascii="仿宋" w:hAnsi="仿宋" w:eastAsia="仿宋" w:cs="仿宋"/>
                <w:sz w:val="24"/>
                <w:lang w:val="en-US" w:eastAsia="zh-CN"/>
              </w:rPr>
              <w:t>20</w:t>
            </w:r>
            <w:r>
              <w:rPr>
                <w:rFonts w:hint="default" w:ascii="仿宋" w:hAnsi="仿宋" w:eastAsia="仿宋" w:cs="仿宋"/>
                <w:sz w:val="24"/>
                <w:lang w:val="en-US" w:eastAsia="zh-CN"/>
              </w:rPr>
              <w:t>×</w:t>
            </w:r>
            <w:r>
              <w:rPr>
                <w:rFonts w:hint="eastAsia" w:ascii="仿宋" w:hAnsi="仿宋" w:eastAsia="仿宋" w:cs="仿宋"/>
                <w:sz w:val="24"/>
                <w:lang w:val="en-US" w:eastAsia="zh-CN"/>
              </w:rPr>
              <w:t>20mm</w:t>
            </w:r>
          </w:p>
        </w:tc>
        <w:tc>
          <w:tcPr>
            <w:tcW w:w="283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需满足现场实际需求。</w:t>
            </w:r>
          </w:p>
        </w:tc>
      </w:tr>
      <w:tr>
        <w:tblPrEx>
          <w:tblLayout w:type="fixed"/>
          <w:tblCellMar>
            <w:top w:w="0" w:type="dxa"/>
            <w:left w:w="108" w:type="dxa"/>
            <w:bottom w:w="0" w:type="dxa"/>
            <w:right w:w="108" w:type="dxa"/>
          </w:tblCellMar>
        </w:tblPrEx>
        <w:trPr>
          <w:trHeight w:val="333" w:hRule="atLeast"/>
          <w:jc w:val="center"/>
        </w:trPr>
        <w:tc>
          <w:tcPr>
            <w:tcW w:w="955"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4</w:t>
            </w:r>
          </w:p>
        </w:tc>
        <w:tc>
          <w:tcPr>
            <w:tcW w:w="13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不锈钢丝</w:t>
            </w:r>
          </w:p>
        </w:tc>
        <w:tc>
          <w:tcPr>
            <w:tcW w:w="29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Φ2mm  316L</w:t>
            </w:r>
          </w:p>
        </w:tc>
        <w:tc>
          <w:tcPr>
            <w:tcW w:w="283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满足现场实际需求。</w:t>
            </w:r>
          </w:p>
        </w:tc>
      </w:tr>
      <w:tr>
        <w:tblPrEx>
          <w:tblLayout w:type="fixed"/>
          <w:tblCellMar>
            <w:top w:w="0" w:type="dxa"/>
            <w:left w:w="108" w:type="dxa"/>
            <w:bottom w:w="0" w:type="dxa"/>
            <w:right w:w="108" w:type="dxa"/>
          </w:tblCellMar>
        </w:tblPrEx>
        <w:trPr>
          <w:trHeight w:val="333" w:hRule="atLeast"/>
          <w:jc w:val="center"/>
        </w:trPr>
        <w:tc>
          <w:tcPr>
            <w:tcW w:w="955"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5</w:t>
            </w:r>
          </w:p>
        </w:tc>
        <w:tc>
          <w:tcPr>
            <w:tcW w:w="13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一次密封材料</w:t>
            </w:r>
          </w:p>
        </w:tc>
        <w:tc>
          <w:tcPr>
            <w:tcW w:w="290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微膨胀耐火可塑料</w:t>
            </w:r>
          </w:p>
        </w:tc>
        <w:tc>
          <w:tcPr>
            <w:tcW w:w="2834"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满足现场实际需求。</w:t>
            </w:r>
          </w:p>
        </w:tc>
      </w:tr>
    </w:tbl>
    <w:p>
      <w:pPr>
        <w:keepNext w:val="0"/>
        <w:keepLines w:val="0"/>
        <w:pageBreakBefore w:val="0"/>
        <w:widowControl w:val="0"/>
        <w:kinsoku/>
        <w:wordWrap/>
        <w:overflowPunct/>
        <w:topLinePunct w:val="0"/>
        <w:autoSpaceDE/>
        <w:autoSpaceDN/>
        <w:bidi w:val="0"/>
        <w:adjustRightInd/>
        <w:snapToGrid w:val="0"/>
        <w:spacing w:line="560" w:lineRule="exact"/>
        <w:ind w:firstLine="480" w:firstLineChars="200"/>
        <w:textAlignment w:val="auto"/>
        <w:outlineLvl w:val="9"/>
        <w:rPr>
          <w:rFonts w:hint="eastAsia" w:ascii="仿宋" w:hAnsi="仿宋" w:eastAsia="仿宋" w:cs="宋体"/>
          <w:color w:val="auto"/>
          <w:kern w:val="0"/>
          <w:sz w:val="30"/>
          <w:szCs w:val="30"/>
          <w:lang w:val="en-US" w:eastAsia="zh-CN"/>
        </w:rPr>
      </w:pPr>
      <w:r>
        <w:rPr>
          <w:rFonts w:hint="eastAsia" w:ascii="宋体" w:hAnsi="宋体" w:eastAsia="宋体"/>
          <w:color w:val="auto"/>
          <w:sz w:val="24"/>
          <w:szCs w:val="24"/>
          <w:lang w:val="en-US" w:eastAsia="zh-CN"/>
        </w:rPr>
        <w:t>注：表内为图纸预估量，本工程实际用量以实际消耗为准。</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4.1 所有柔性密封增装材料由投标方提供。</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4.2 投标方在投标前应充分了解此次炉顶大罩密封工程的工作范围及要求，并根据图纸及工作内容预算工作面积，以此做为报价依据。投标方在递交投标书之前，应向招标方详细了解炉顶大罩密封工程的施工总体范围，如有需要，招标方将根据投标方要求提供其它相关资料。投标方递交投标书后，招标方即认为投标方已充分了解了本工程的施工范围、要求等，合同签订后，投标方不得以任何理由要求招标方增加合同费用，否则，招标方除有权按相关条款对投标方进行考核外，投标方还要承担因此给招标方造成的损失。</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jc w:val="both"/>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五、工艺质量标准及有关要求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5.1 人员要求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5.1.1 投标方项目负责人有丰富的现场管理经验，至少应有3台及以上600MW及以上机组锅炉检修项目管理经验，身体健康，能熟练使用办公软件，普通话流利，沟通协调能力较强；</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5.1.2 投标方技术负责人要求技术全面，至少有三年及以上锅炉施工管理经历，计算机应用能力良好，安全员必须持有C类证书；</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5.1.3 投标方施工人员的岗位基本配置由投标方自行确定，但应满足本项目在规定时间内完成；</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5.1.4 投标方主要项目管理人员必须是投标方正式员工（已签署劳动合同，办理法律法规规定的社保）。</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5.1.5 投标方参加施工的特种作业人员必须具备当地政府主管部门颁发的有效证书或证明，提交招标方审核、备案。</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5.1.6 投标方项目管理人员素质要求应符合国家法律法规要求，普通用工人员等需身体健康，无影响所从事工作的残疾及职业禁忌症。</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5.1.7 禁止55周岁以上男性、45周岁以上女性进入施工现场从事繁重体力劳动或其他影响身体健康以及危险性、风险性高的特殊工作。</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5.1.8 投标方的总人数应能满足现场工作需要。本规范中要求的人员为现场实际工作人数（直接参与检修工作人员，不包括生活、后勤等辅助人员）。</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5.1.9 投标方应当按照合同约定，保证人员投入、保证人员队伍稳定。投标方所有工作人员及其工作范围，未经招标方同意，不得变动。</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5.1.10 无论什么情况，若发现投标方现场人员数量、资质、业务素质与合同不符，影响本项目的实施，被招标方认定为不称职人员，招标方有权进行考核或者要求更换人员。</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5.2 物资、材料要求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5.2.1 本项目所需消耗性材料由投标方负责（消耗性材料的定义：除特别申明外，系指设备投入运转后不附着在设备上的材料，如清洗用的汽油、棉纱、砂纸等）。投标方负责供应的消耗性材料应保证符合国家、地方、相关行业规范标准，满足正常的环保要求及本工程质量需要，由投标方负责组织材料进场。</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5.2.2 本项目所需的工器具原则上由投标方自理。招标方提供的专用工器具、机具的安装和拆解都属于检修投标方的工作范畴，使用后的工器具、机具（含使用我公司提供材料加工的专用工具）验收后包装好交归还招标方相关部门。投标方需借用招标方的工器具、叉车等，投标方需按市场价格支付相应的使用费用。</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5.2.3 投标方机械设备及工器具入厂必须履行报验手续、提交报验资料，招标方项目主管部门进行复核后，许可设备进场。</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5.2.4 本项目实施过程中禁用石棉制品等国家禁用材料。</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5.2.5 项目工程中使用的氧气、乙炔、氩气和焊材，由招标方提供。</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5.2.6 投标方根据《外包项目管理》，做好工程材料的报审及现场确认，经项目负责人、项目主管部门检查合格后方可使用。</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5.2.7 保温材料宜选用硅酸铝(板、毡、毯等)制品：体积密度130kg/m³左右、抗拉强度≥0.04mpa、导热系数热面温度500℃±10℃≤0.156w/(mk)、渣球含量≤15%。品牌宜选用：</w:t>
      </w:r>
      <w:bookmarkStart w:id="1" w:name="OLE_LINK1"/>
      <w:r>
        <w:rPr>
          <w:rFonts w:hint="eastAsia" w:ascii="仿宋" w:hAnsi="仿宋" w:eastAsia="仿宋" w:cs="宋体"/>
          <w:color w:val="auto"/>
          <w:kern w:val="0"/>
          <w:sz w:val="30"/>
          <w:szCs w:val="30"/>
          <w:lang w:val="en-US" w:eastAsia="zh-CN"/>
        </w:rPr>
        <w:t>天津佳好</w:t>
      </w:r>
      <w:bookmarkEnd w:id="1"/>
      <w:r>
        <w:rPr>
          <w:rFonts w:hint="eastAsia" w:ascii="仿宋" w:hAnsi="仿宋" w:eastAsia="仿宋" w:cs="宋体"/>
          <w:color w:val="auto"/>
          <w:kern w:val="0"/>
          <w:sz w:val="30"/>
          <w:szCs w:val="30"/>
          <w:lang w:val="en-US" w:eastAsia="zh-CN"/>
        </w:rPr>
        <w:t>保温材料有限公司、山东鲁阳保温材料有限公司、河北华能耐火保温材料股份有限公司或相当于。</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宋体" w:hAnsi="宋体" w:eastAsia="宋体"/>
          <w:color w:val="auto"/>
          <w:sz w:val="24"/>
          <w:szCs w:val="24"/>
          <w:highlight w:val="none"/>
          <w:lang w:val="en-US" w:eastAsia="zh-CN"/>
        </w:rPr>
      </w:pPr>
      <w:r>
        <w:rPr>
          <w:rFonts w:hint="eastAsia" w:ascii="仿宋" w:hAnsi="仿宋" w:eastAsia="仿宋" w:cs="宋体"/>
          <w:color w:val="auto"/>
          <w:kern w:val="0"/>
          <w:sz w:val="30"/>
          <w:szCs w:val="30"/>
          <w:lang w:val="en-US" w:eastAsia="zh-CN"/>
        </w:rPr>
        <w:t>5.2.8 本项目工程中密封材料（包括但不限于下表）可参考以下性能指标。</w:t>
      </w:r>
    </w:p>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表3 高温粘合剂性能指标</w:t>
      </w:r>
    </w:p>
    <w:tbl>
      <w:tblPr>
        <w:tblStyle w:val="7"/>
        <w:tblW w:w="76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8"/>
        <w:gridCol w:w="2053"/>
        <w:gridCol w:w="2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3438"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项目</w:t>
            </w:r>
          </w:p>
        </w:tc>
        <w:tc>
          <w:tcPr>
            <w:tcW w:w="2053"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单位</w:t>
            </w:r>
          </w:p>
        </w:tc>
        <w:tc>
          <w:tcPr>
            <w:tcW w:w="2200"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3438"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最大抗温能力</w:t>
            </w:r>
          </w:p>
        </w:tc>
        <w:tc>
          <w:tcPr>
            <w:tcW w:w="2053"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00"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3438"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抗折粘结强度</w:t>
            </w:r>
          </w:p>
        </w:tc>
        <w:tc>
          <w:tcPr>
            <w:tcW w:w="2053"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MPa</w:t>
            </w:r>
          </w:p>
        </w:tc>
        <w:tc>
          <w:tcPr>
            <w:tcW w:w="2200"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3438"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容重</w:t>
            </w:r>
          </w:p>
        </w:tc>
        <w:tc>
          <w:tcPr>
            <w:tcW w:w="2053"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kg/m3</w:t>
            </w:r>
          </w:p>
        </w:tc>
        <w:tc>
          <w:tcPr>
            <w:tcW w:w="2200"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3438"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SiO2+AL2O3+Na2O+Fe2O3+K2O</w:t>
            </w:r>
          </w:p>
        </w:tc>
        <w:tc>
          <w:tcPr>
            <w:tcW w:w="2053"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00"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3438"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H2O</w:t>
            </w:r>
          </w:p>
        </w:tc>
        <w:tc>
          <w:tcPr>
            <w:tcW w:w="2053"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00" w:type="dxa"/>
            <w:vAlign w:val="center"/>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46.6</w:t>
            </w:r>
          </w:p>
        </w:tc>
      </w:tr>
    </w:tbl>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表4陶瓷纤维棉性能指标</w:t>
      </w:r>
    </w:p>
    <w:tbl>
      <w:tblPr>
        <w:tblStyle w:val="7"/>
        <w:tblW w:w="76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25"/>
        <w:gridCol w:w="2050"/>
        <w:gridCol w:w="2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5"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项目</w:t>
            </w:r>
          </w:p>
        </w:tc>
        <w:tc>
          <w:tcPr>
            <w:tcW w:w="2050"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单位</w:t>
            </w:r>
          </w:p>
        </w:tc>
        <w:tc>
          <w:tcPr>
            <w:tcW w:w="2216"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5"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分类温度</w:t>
            </w:r>
          </w:p>
        </w:tc>
        <w:tc>
          <w:tcPr>
            <w:tcW w:w="2050"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16"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1260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5"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容重</w:t>
            </w:r>
          </w:p>
        </w:tc>
        <w:tc>
          <w:tcPr>
            <w:tcW w:w="2050"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kg/m3</w:t>
            </w:r>
          </w:p>
        </w:tc>
        <w:tc>
          <w:tcPr>
            <w:tcW w:w="2216"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128+15%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5"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抗拉强度</w:t>
            </w:r>
          </w:p>
        </w:tc>
        <w:tc>
          <w:tcPr>
            <w:tcW w:w="2050"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MPa</w:t>
            </w:r>
          </w:p>
        </w:tc>
        <w:tc>
          <w:tcPr>
            <w:tcW w:w="2216"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5"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渣球含量</w:t>
            </w:r>
          </w:p>
        </w:tc>
        <w:tc>
          <w:tcPr>
            <w:tcW w:w="2050"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16"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5"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线收缩</w:t>
            </w:r>
          </w:p>
        </w:tc>
        <w:tc>
          <w:tcPr>
            <w:tcW w:w="2050"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16"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5"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化学成分（SiO2+AL2O3）</w:t>
            </w:r>
          </w:p>
        </w:tc>
        <w:tc>
          <w:tcPr>
            <w:tcW w:w="2050"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w:t>
            </w:r>
          </w:p>
        </w:tc>
        <w:tc>
          <w:tcPr>
            <w:tcW w:w="2216" w:type="dxa"/>
            <w:vAlign w:val="top"/>
          </w:tcPr>
          <w:p>
            <w:pPr>
              <w:pageBreakBefore w:val="0"/>
              <w:widowControl w:val="0"/>
              <w:kinsoku/>
              <w:wordWrap/>
              <w:overflowPunct/>
              <w:topLinePunct w:val="0"/>
              <w:bidi w:val="0"/>
              <w:spacing w:line="560" w:lineRule="exact"/>
              <w:jc w:val="center"/>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≥99.1</w:t>
            </w:r>
          </w:p>
        </w:tc>
      </w:tr>
    </w:tbl>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5.2.9 柔性密封材料品牌选用奇耐、伊索莱特、鲁阳或相当于同等级品牌产品中性能较佳的产品。</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5.2.10 保温材料到货后提供产品合格证等供招标方进行验收。</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5.3 工艺要求</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本项目涉及的技术标准如下，但不限于：</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《火力发电厂热力设备及管道保温施工工艺导则》（DL 5713）</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《火力发电厂热力设备及管道保温防腐施工技术规范》（DL 5714）</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《火力发电厂热力设备及管道保温防腐施工质量验收规程》（DL/T 5704）</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《电力建设安全工作规程 第1部分：火力发电》（DL 5009.1）</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《电力建设施工技术规范 第2部分：锅炉机组》（DL 5190.2）</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《火力发电厂焊接技术规程》（DL/T 869）</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《金属熔化焊对接接头射线检测技术和质量分级》（DL/T 821）</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《电力建设施工质量验收及评定规程 第2部分：锅炉机组》（DL/T5210.2）</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《电力建设施工质量验收规程 第5部分：焊接》（DL/T5210.5）</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zh-CN" w:eastAsia="zh-CN"/>
        </w:rPr>
      </w:pPr>
      <w:r>
        <w:rPr>
          <w:rFonts w:hint="eastAsia" w:ascii="仿宋" w:hAnsi="仿宋" w:eastAsia="仿宋" w:cs="宋体"/>
          <w:color w:val="auto"/>
          <w:kern w:val="0"/>
          <w:sz w:val="30"/>
          <w:szCs w:val="30"/>
          <w:lang w:val="zh-CN" w:eastAsia="zh-CN"/>
        </w:rPr>
        <w:t>《建筑施工高处作业安全技术规范》（JGJ</w:t>
      </w:r>
      <w:r>
        <w:rPr>
          <w:rFonts w:hint="eastAsia" w:ascii="仿宋" w:hAnsi="仿宋" w:eastAsia="仿宋" w:cs="宋体"/>
          <w:color w:val="auto"/>
          <w:kern w:val="0"/>
          <w:sz w:val="30"/>
          <w:szCs w:val="30"/>
          <w:lang w:val="en-US" w:eastAsia="zh-CN"/>
        </w:rPr>
        <w:t xml:space="preserve"> </w:t>
      </w:r>
      <w:r>
        <w:rPr>
          <w:rFonts w:hint="eastAsia" w:ascii="仿宋" w:hAnsi="仿宋" w:eastAsia="仿宋" w:cs="宋体"/>
          <w:color w:val="auto"/>
          <w:kern w:val="0"/>
          <w:sz w:val="30"/>
          <w:szCs w:val="30"/>
          <w:lang w:val="zh-CN" w:eastAsia="zh-CN"/>
        </w:rPr>
        <w:t>80）</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zh-CN" w:eastAsia="zh-CN"/>
        </w:rPr>
      </w:pPr>
      <w:r>
        <w:rPr>
          <w:rFonts w:hint="eastAsia" w:ascii="仿宋" w:hAnsi="仿宋" w:eastAsia="仿宋" w:cs="宋体"/>
          <w:color w:val="auto"/>
          <w:kern w:val="0"/>
          <w:sz w:val="30"/>
          <w:szCs w:val="30"/>
          <w:lang w:val="zh-CN" w:eastAsia="zh-CN"/>
        </w:rPr>
        <w:t>《建筑工程施工安全隐患防治管理规范》（DB33</w:t>
      </w:r>
      <w:r>
        <w:rPr>
          <w:rFonts w:hint="eastAsia" w:ascii="仿宋" w:hAnsi="仿宋" w:eastAsia="仿宋" w:cs="宋体"/>
          <w:color w:val="auto"/>
          <w:kern w:val="0"/>
          <w:sz w:val="30"/>
          <w:szCs w:val="30"/>
          <w:lang w:val="en-US" w:eastAsia="zh-CN"/>
        </w:rPr>
        <w:t>/</w:t>
      </w:r>
      <w:r>
        <w:rPr>
          <w:rFonts w:hint="eastAsia" w:ascii="仿宋" w:hAnsi="仿宋" w:eastAsia="仿宋" w:cs="宋体"/>
          <w:color w:val="auto"/>
          <w:kern w:val="0"/>
          <w:sz w:val="30"/>
          <w:szCs w:val="30"/>
          <w:lang w:val="zh-CN" w:eastAsia="zh-CN"/>
        </w:rPr>
        <w:t>T 1107）</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zh-CN" w:eastAsia="zh-CN"/>
        </w:rPr>
      </w:pPr>
      <w:r>
        <w:rPr>
          <w:rFonts w:hint="eastAsia" w:ascii="仿宋" w:hAnsi="仿宋" w:eastAsia="仿宋" w:cs="宋体"/>
          <w:color w:val="auto"/>
          <w:kern w:val="0"/>
          <w:sz w:val="30"/>
          <w:szCs w:val="30"/>
          <w:lang w:val="en-US" w:eastAsia="zh-CN"/>
        </w:rPr>
        <w:t>《火力发电厂绝热材料》（DL/T 776）</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《现场临时用电安装技术规程》（JGJ46）</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《废旧物资处置管理》（Q/ZNZD 2030）</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《外包项目管理》（Q/ZNZD 2093）</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《外包项目安全管理》（Q/ZNZD 2126）</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《工作票管理》（Q/ZNZD 2127）</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《动火工作票管理》（Q/ZNZD 2223）</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《有限空间作业管理》（Q/ZNZD 2234）</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《职业健康保护管理》（Q/ZNZD 2147）</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 xml:space="preserve">《劳动防护用品管理》（Q/ZNZD 2146） </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 xml:space="preserve">《文明生产管理》（Q/ZNZD 2132） </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《反违章管理》（Q/ZNZD 2130）</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default" w:ascii="仿宋" w:hAnsi="仿宋" w:eastAsia="仿宋" w:cs="宋体"/>
          <w:color w:val="auto"/>
          <w:kern w:val="0"/>
          <w:sz w:val="30"/>
          <w:szCs w:val="30"/>
          <w:lang w:val="en-US" w:eastAsia="zh-CN"/>
        </w:rPr>
        <w:t>执行的标准规范不仅限于上述，如果采用其它标准，其要求不得低于上述标准。上述标准如有新版本</w:t>
      </w:r>
      <w:r>
        <w:rPr>
          <w:rFonts w:hint="eastAsia" w:ascii="仿宋" w:hAnsi="仿宋" w:eastAsia="仿宋" w:cs="宋体"/>
          <w:color w:val="auto"/>
          <w:kern w:val="0"/>
          <w:sz w:val="30"/>
          <w:szCs w:val="30"/>
          <w:lang w:val="en-US" w:eastAsia="zh-CN"/>
        </w:rPr>
        <w:t>或替代标准</w:t>
      </w:r>
      <w:r>
        <w:rPr>
          <w:rFonts w:hint="default" w:ascii="仿宋" w:hAnsi="仿宋" w:eastAsia="仿宋" w:cs="宋体"/>
          <w:color w:val="auto"/>
          <w:kern w:val="0"/>
          <w:sz w:val="30"/>
          <w:szCs w:val="30"/>
          <w:lang w:val="en-US" w:eastAsia="zh-CN"/>
        </w:rPr>
        <w:t>，以最新的版本为准。</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开工前投标方提供完整和详细的施工方案和完整的技术措施、组织措施、安全措施和施工进度，经招标方审核并批准后执行。投标方的现场施工管理制度须报招标方备案。</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bCs/>
          <w:color w:val="auto"/>
          <w:kern w:val="0"/>
          <w:sz w:val="30"/>
          <w:szCs w:val="30"/>
          <w:lang w:val="en-US" w:eastAsia="zh-CN"/>
        </w:rPr>
      </w:pPr>
      <w:r>
        <w:rPr>
          <w:rFonts w:hint="eastAsia" w:ascii="仿宋" w:hAnsi="仿宋" w:eastAsia="仿宋" w:cs="宋体"/>
          <w:b/>
          <w:bCs/>
          <w:color w:val="auto"/>
          <w:kern w:val="0"/>
          <w:sz w:val="30"/>
          <w:szCs w:val="30"/>
          <w:lang w:val="en-US" w:eastAsia="zh-CN"/>
        </w:rPr>
        <w:t>5.3.1 准备工作</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5.3.1.1 投标方应根据招标方公司相关规定，配合完成工作票签发人及工作负责人资格的考核。</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5.3.1.2 停炉后，炉顶大罩内温度降至50℃以下后，投标方办理工作票、有限空间等相关流程后，方可开工。</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5.3.1.3 投标方在作业区域布置足够的照明，注意符合安规要求。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5.3.1.4 投标方清理柔性密封施工区域的积灰以及杂物等。</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b/>
          <w:bCs/>
          <w:color w:val="auto"/>
          <w:kern w:val="0"/>
          <w:sz w:val="30"/>
          <w:szCs w:val="30"/>
          <w:lang w:val="en-US" w:eastAsia="zh-CN"/>
        </w:rPr>
      </w:pPr>
      <w:r>
        <w:rPr>
          <w:rFonts w:hint="eastAsia" w:ascii="仿宋" w:hAnsi="仿宋" w:eastAsia="仿宋" w:cs="宋体"/>
          <w:b/>
          <w:bCs/>
          <w:color w:val="auto"/>
          <w:kern w:val="0"/>
          <w:sz w:val="30"/>
          <w:szCs w:val="30"/>
          <w:lang w:val="en-US" w:eastAsia="zh-CN"/>
        </w:rPr>
        <w:t>5.3.2 机务施工技术要求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5.3.2.1 现场安装的人员必须具有国家和电力行业相应的作业证书（如焊接人员、电工人员、起重等），证书验证后招标方留复印件，以便招标方验证。</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5.3.2.2 现场使用机械方法切割密封铁板时，应做好防护，避免损伤炉管，若有损伤不得隐瞒需第一时间通知招标方技术人员。</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5.3.2.3 焊接坡口的制造符合GB985和DL/869的有关质量标准。</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5.3.2.4 密封板焊接应严密不漏，焊缝饱满。</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bCs/>
          <w:color w:val="auto"/>
          <w:kern w:val="0"/>
          <w:sz w:val="30"/>
          <w:szCs w:val="30"/>
          <w:lang w:val="en-US" w:eastAsia="zh-CN"/>
        </w:rPr>
      </w:pPr>
      <w:r>
        <w:rPr>
          <w:rFonts w:hint="eastAsia" w:ascii="仿宋" w:hAnsi="仿宋" w:eastAsia="仿宋" w:cs="宋体"/>
          <w:b/>
          <w:bCs/>
          <w:color w:val="auto"/>
          <w:kern w:val="0"/>
          <w:sz w:val="30"/>
          <w:szCs w:val="30"/>
          <w:lang w:val="en-US" w:eastAsia="zh-CN"/>
        </w:rPr>
        <w:t>5.3.3 保温技术要求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5.3.3.1 保温施工工艺应符合《火力发电厂热力设备及管道保温施工工艺导则》标准要求。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5.3.3.2 施工现场周边各种设备施工时应做好防护措施，防止损坏。施工过程中的人员及使用的工具设备等应与周边带电设备保持至少5米的安全距离，施工前必须做好护栏等防护设施。</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5.3.3.3 施工过程中应采用有效降尘方法防止扬尘，施工过程中产生的各种垃圾、废弃物等应随时装袋清理并放于指定位置，做到每日下班前的工完场清。因保温施工产生的碎保温棉、灰尘等落入周边区域、设备的，投标方也应及时清理。</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5.3.3.4 保温层拼砌密实平整，一层错缝，二层压缝。</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5.3.3.5 保温材料在安装工地应妥善保管，严禁受雨淋。</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5.3.3.6 旧保温材料拆除后，废弃材料处理需符合招标方的《废旧物资处置管理》标准。拆除后的废旧保温外护板有投标方自行回收处理，拆除后的废旧保温棉及其他垃圾由投标方打包牢固后放入招标方指点的地点。</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5.3.3.7 其他未提及的要求按《火力发电厂热力设备及管道保温防腐施工质量验收规程》、《火力发电厂热力设备及管道保温防腐施工技术规范》等有关最新标准执行。</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bCs/>
          <w:color w:val="auto"/>
          <w:kern w:val="0"/>
          <w:sz w:val="30"/>
          <w:szCs w:val="30"/>
          <w:lang w:val="en-US" w:eastAsia="zh-CN"/>
        </w:rPr>
      </w:pPr>
      <w:r>
        <w:rPr>
          <w:rFonts w:hint="eastAsia" w:ascii="仿宋" w:hAnsi="仿宋" w:eastAsia="仿宋" w:cs="宋体"/>
          <w:b/>
          <w:bCs/>
          <w:color w:val="auto"/>
          <w:kern w:val="0"/>
          <w:sz w:val="30"/>
          <w:szCs w:val="30"/>
          <w:lang w:val="en-US" w:eastAsia="zh-CN"/>
        </w:rPr>
        <w:t>5.3.4 密封施工要求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5.3.4.1 施工使用的材料必须达到以下要求：采用耐高温高性能粘合剂，瓷纤维、高温粘合剂等主材必须采用优质产品，陶瓷纤维抗拉强度为≥70Kpa，密度≥128Kg/m3，耐热温度≥1000℃。</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5.3.4.2 穿顶棚管处，密封层要完全覆盖原金属密封盒，总密封延展量应不低于500mm（高度方向的密封延展至少为250mm，水平密封延展至少为250mm）。</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5.3.4.3 采用高温维粘合剂粘合陶瓷纤维，要求铺设不少于3层，每层陶瓷纤维之间及陶瓷纤维与管壁之间均涂抹纤维粘合剂。纤维粘合剂的涂抹必须均匀全部覆盖住陶瓷纤维接触面、厚度一致，在陶瓷纤维侧面接缝处同样涂抹纤维粘合剂。陶瓷纤维铺设必须单层错缝、层间压缝，错缝距离不小于50mm。</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5.3.4.4 施工前应在清除积灰的情况下，再清理施工区域上存在的灰尘、铁锈等污物，确保预施工区域干净整洁，同时清理施工现场障碍物，清理部位面积必须大于施工部位面积。</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5.3.4.5 施工区域清理完毕后，必须进行仔细检查，如发现原有金属密封上有裂缝、焊缝开裂或漏焊等缺陷，应重新密封焊接完整，至验收合格为止。在一些特殊部位如前交叉或裂缝较大处，应安装型膨胀节或用两块钢板焊在两侧，中间形成搭接结构，以防止烟气对密封材料的直接冲刷。</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bCs/>
          <w:color w:val="auto"/>
          <w:kern w:val="0"/>
          <w:sz w:val="30"/>
          <w:szCs w:val="30"/>
          <w:lang w:val="en-US" w:eastAsia="zh-CN"/>
        </w:rPr>
      </w:pPr>
      <w:r>
        <w:rPr>
          <w:rFonts w:hint="eastAsia" w:ascii="仿宋" w:hAnsi="仿宋" w:eastAsia="仿宋" w:cs="宋体"/>
          <w:b/>
          <w:bCs/>
          <w:color w:val="auto"/>
          <w:kern w:val="0"/>
          <w:sz w:val="30"/>
          <w:szCs w:val="30"/>
          <w:lang w:val="en-US" w:eastAsia="zh-CN"/>
        </w:rPr>
        <w:t>5.3.5 陶瓷纤维及镍铬锰钢网铺设规范</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5.3.5.1 再次清扫工作面所污染灰尘后，使用裁好的小块陶瓷纤维将管间进行填充，陶瓷纤维之间及陶瓷纤维与管壁之间均涂抹纤维粘合剂。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5.3.5.2 每层陶瓷纤维之间及陶瓷纤维与金属工作面之间必须涂抹高温黏合剂。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5.3.5.3 单层错缝、层间压缝。错缝距离不小于50mm且接缝处也需涂抹高温黏合剂。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5.3.5.4 每层之间要求压实，平整，牢固，错缝粘结。</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5.3.5.5 在陶瓷纤维外表面铺设菱形不锈钢网，其作用为防止密封面遭受外部冲击、增加钢性强度。钢网以完全覆盖膨胀纤维密封层为准，钢网搭接不少于50mm。</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5.3.5.6 钢网之间采用专用卯环连接，使用方型逆止钢片，圆形垫片焊接固定在钢钉之上。</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5.3.5.7 在管排的高度方向上用钢丝穿过管间将外部钢网扎牢，每管一扎，管间距大于100mm的，每50mm须捆扎</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5.4 验收流程</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5.4.1 投标方应执行招标方制定的质量检验程序，按照三级验收制度执行，验收代表应在验收单上签字，双方对质量有异议时，原则上协调解决，未经招标方验收合格的设备不得投入运行（或进行下道工序）。</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5.4.2 投标方应执行招标方制定的不符合项管理程序，投标方承包范围内的不符合项处理由投标方承担，直到验收合格，特殊情况下难以达到要求时，由双方协商做出变通决定并签署意见。</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5.5 考核</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5.5.1 投标方施工过程中须做好成品保护及原有设施保护工作，包括但不限于光纤测点、密封装置、锅炉管道吊架等装置，未做好成品保护工作的考核500-2000元/每次，并按原样复原或照原价赔偿。</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5.5.2 投标方不服从招标方对口管理部门的管理，工作态度不端正，考核500-2000元/次，情节严重的该施工人员做清退处理。</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5.5.3 投标方未按时完成需求单位工作需求及要求的保温拆除或恢复工作的考核2000元/处。</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5.5.4 投标方现场安装的保温不符合规范要求的考核500-2000元/处，并立即整改。</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5.5.5 投标方现场乱堆乱放未按规定在指定地点进行存放或者拆除的保温棉、未按要求做到每天下班前的工完场清工作的考核500元/处。</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5.5.6 投标方保温施工过程中，未有效做好防尘措施影响检修现场文明卫生的，考核500元/次。</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5.5.7 投标方在检修工作前的施工报审材料、施工进场后人员和工器具配置、检修工作质量、进度及安全保障措施、文明生产方面等的检查，不满足招标方合同相关条款的管理要求且不整改，招标方有权终止合同并更换投标方。</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5.5.8 如在合同履行期间投标方因人员数量不足，导致无法跟上检修进度所需要的保温拆装，招标方有权终止合同，因此导致影响检修进度产生的费用由投标方负责。</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5.5.9 投标方其它违反招标方各项管理制度及规定的，考核内容均按招标方《外包项目安全管理》、《反违章管理》及其他规定或标准制度执行。</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jc w:val="both"/>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六、工期</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本项目服务期限：按照浙江浙能中煤舟山煤电有限责任公司检修计划安排人员开展工作。2号机组计划2026年2月停机，总时长约85天，本项目检修工期约为30天，具体时间以招标方通知为准。投标方应满足招标方机组实际停复役要求。</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jc w:val="both"/>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七、安健环及文明施工、危险源（环境因素）控制要求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7.1 安健环及文明施工</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textAlignment w:val="auto"/>
        <w:outlineLvl w:val="9"/>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 xml:space="preserve">7.1.2 建立健全项目安全保证体系和监督体系，依法设置安全生产管理机构和专（兼）职安全生产管理人员，选派合适的项目负责人（项目经理）、技术负责人、安全负责人等骨干人员。 </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textAlignment w:val="auto"/>
        <w:outlineLvl w:val="9"/>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7.1.3 制定岗位安全生产责任制和岗位工作标准，建立安全生产相关管理制度、作业规程、应急处置方案。</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7.1.4 按照国家有关规定计列和使用安全生产费用，做到专款专用。</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7.1.5 做好作业人员安全技能培训工作，做到人岗相适。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7.1.6 定期组织现场安全检查和隐患排查治理，严格落实现场安全措施。</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7.1.7 依法及时足额支付用工人员工资。</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7.1.8 投标方应认真贯彻国家和地方劳动保护、安全生产主管部门颁发的有关安全生产的方针、政策，严格执行有关劳动保护法规、法令、条例、电业安全工作规程、安全生产工作规定及电力建设安全施工管理规定。</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7.1.9 投标方应先向招标方提供本单位出具的员工安全教育培训合格证明材料；接受招标方入厂安全教育，考试通过后，方可办理出入证；接受项目主管部门安全教育，考试通过后，方可进入现场作业。</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7.1.10 投标方人员经过当地公安系统进行身份信息采集、比对，防止非法人员进入现场。</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7.1.11 投标方人员必须持有效出入证/门禁卡出入厂区和生产作业区域，严禁投标方人员进入非承包作业区域。</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7.1.12 双方必须严格执行工作票制度。工作票由招标方签发，并写明安全措施，投标方必须严格执行。有关工作票的办理按照招标方《工作票管理》执行,严禁无票作业。</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7.1.13 安全防护设施不得随意挪动、拆改，如确需挪动或拆改，必须经招标方项目主管部门审批并采取相应防护措施。作业完成后应立即恢复，且恢复标准不低于挪动或拆改前。</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7.1.14 投标方应按招标方Q/ZNZD 2132《文明生产管理》及7S管理要求，坚持文明施工和实施定置管理，对所承担工程区域的文明生产负责，做到工完料尽场地清。</w:t>
      </w:r>
    </w:p>
    <w:p>
      <w:pPr>
        <w:pageBreakBefore w:val="0"/>
        <w:widowControl w:val="0"/>
        <w:shd w:val="clear" w:color="auto" w:fill="FFFFFF"/>
        <w:kinsoku/>
        <w:wordWrap/>
        <w:overflowPunct/>
        <w:topLinePunct w:val="0"/>
        <w:bidi w:val="0"/>
        <w:adjustRightInd w:val="0"/>
        <w:snapToGrid w:val="0"/>
        <w:spacing w:line="560" w:lineRule="exact"/>
        <w:textAlignment w:val="auto"/>
        <w:rPr>
          <w:rFonts w:ascii="宋体" w:hAnsi="宋体" w:eastAsia="宋体"/>
          <w:color w:val="auto"/>
          <w:sz w:val="24"/>
          <w:szCs w:val="24"/>
          <w:highlight w:val="none"/>
        </w:rPr>
      </w:pPr>
      <w:r>
        <w:rPr>
          <w:rFonts w:hint="eastAsia" w:ascii="仿宋" w:hAnsi="仿宋" w:eastAsia="仿宋" w:cs="宋体"/>
          <w:color w:val="auto"/>
          <w:kern w:val="0"/>
          <w:sz w:val="30"/>
          <w:szCs w:val="30"/>
          <w:lang w:val="en-US" w:eastAsia="zh-CN"/>
        </w:rPr>
        <w:t>7.1.15 在检修过程中出现的被更换下来的任何废旧设备、配件和装置性材料均为招标方所有。投标方应妥善保护并及时向招标方移交被更换下来的设备或材料，应每天对施工现场的废物、垃圾进行一次清理，并将其集中堆放在招标方指定的地点。对投标方负责处置的各类废弃物应依法合规的定期完成清运和无害化处置</w:t>
      </w:r>
      <w:r>
        <w:rPr>
          <w:rFonts w:hint="eastAsia" w:ascii="宋体" w:hAnsi="宋体" w:eastAsia="宋体"/>
          <w:color w:val="auto"/>
          <w:sz w:val="24"/>
          <w:szCs w:val="24"/>
          <w:highlight w:val="none"/>
        </w:rPr>
        <w:t>。</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7.2 危险源控制</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7.2.1 投标方在施工作业过程中，应采取必要的环境保护措施，消除各类废水、噪声、灰渣、粉尘排放和危险废弃物弃置对周边环境造成的影响。投标方应按招标方Q/ZNZD 2121《环境因素、危险源辨识、评价与控制管理程序》要求，针对所承包业务开展环境因素识别。</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宋体" w:hAnsi="宋体" w:eastAsia="宋体"/>
          <w:color w:val="auto"/>
          <w:sz w:val="24"/>
          <w:szCs w:val="24"/>
          <w:highlight w:val="none"/>
          <w:lang w:val="en-US" w:eastAsia="zh-CN"/>
        </w:rPr>
      </w:pPr>
      <w:r>
        <w:rPr>
          <w:rFonts w:hint="eastAsia" w:ascii="仿宋" w:hAnsi="仿宋" w:eastAsia="仿宋" w:cs="宋体"/>
          <w:color w:val="auto"/>
          <w:kern w:val="0"/>
          <w:sz w:val="30"/>
          <w:szCs w:val="30"/>
          <w:lang w:val="en-US" w:eastAsia="zh-CN"/>
        </w:rPr>
        <w:t>7.2.2 工程施工必须按招标方程序要求采取相应的安全施工防护措施，使污染、噪声、粉尘等的危险和危害减少到最低限度，投标方应保持现场清洁，随时清除工程余料、垃圾并运至厂区外。确保招标方的生产工作不受影响。</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7.3 劳动保护</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7.3.1 投标方应根据招标方Q/ZNZD 2147《职业健康保护管理》及Q/ZNZD 2146《劳动防护用品管理》，制定针对本项目的防止职业病危害的控制措施，为工作人员配备相应的合格的劳动保护用品以及定期进行职业健康体检。</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7.3.2 投标方应根据工作需求为工作人员配备五点式安全带、防尘口罩等劳动保护用品。</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7.4 应急管理</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7.4.1 本项目实施期间，投标方纳入投标方应急管理体系。投标方发生突发事件后，招标方、投标方联动开展救援工作，总体按招标方应急预案体系执行。投标方应当根据承包项目潜在事故风险，制定与招标方应急体系相衔接的应急预案、现场处置方案，并按应急处置需求配备应急救援设备、设施、工具、器材。</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7.4.2 承包项目发生安全事故/事件，投标方应立即向招标方报告。招标方依据有关规定报告事故/事件信息，组织开展事故/事件调查，对事故责任单位和责任人进行责任追究。</w:t>
      </w:r>
    </w:p>
    <w:p>
      <w:pPr>
        <w:keepNext w:val="0"/>
        <w:keepLines w:val="0"/>
        <w:pageBreakBefore w:val="0"/>
        <w:widowControl w:val="0"/>
        <w:shd w:val="clear" w:color="auto" w:fill="FFFFFF"/>
        <w:kinsoku/>
        <w:wordWrap/>
        <w:overflowPunct/>
        <w:topLinePunct w:val="0"/>
        <w:autoSpaceDE/>
        <w:autoSpaceDN/>
        <w:bidi w:val="0"/>
        <w:adjustRightInd w:val="0"/>
        <w:snapToGrid w:val="0"/>
        <w:spacing w:line="560" w:lineRule="exact"/>
        <w:jc w:val="both"/>
        <w:textAlignment w:val="auto"/>
        <w:outlineLvl w:val="0"/>
        <w:rPr>
          <w:rFonts w:hint="eastAsia" w:ascii="黑体" w:hAnsi="黑体" w:eastAsia="黑体" w:cs="宋体"/>
          <w:color w:val="auto"/>
          <w:kern w:val="0"/>
          <w:sz w:val="30"/>
          <w:szCs w:val="30"/>
          <w:lang w:val="en-US" w:eastAsia="zh-CN"/>
        </w:rPr>
      </w:pPr>
      <w:r>
        <w:rPr>
          <w:rFonts w:hint="eastAsia" w:ascii="黑体" w:hAnsi="黑体" w:eastAsia="黑体" w:cs="宋体"/>
          <w:color w:val="auto"/>
          <w:kern w:val="0"/>
          <w:sz w:val="30"/>
          <w:szCs w:val="30"/>
          <w:lang w:val="en-US" w:eastAsia="zh-CN"/>
        </w:rPr>
        <w:t>八、工程质量验收</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8.1 质量、性能验收要求</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8.1.1 投标方应根据本项目的具体情况，按相关要求制定本单位的质量管理体系并切实实施。</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8.1.2 投标方应提供详细的组织实施方案，包含针对本项目所制定的总体质量保证目标和措施，以及分项所对应的的质量保证体系及控制点，经招标方审核后方可实施。</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8.1.3 投标方在本项目实施过程中发生因野蛮施工、不履行质量验收流程等，招标方项目主管部门有权进行考核并要求进行停工整顿。</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8.1.4 本项目需编制施工方案，经招标方审批后投标方根据施工方案进行施工。投标方根据施工方案设置质检点，并经招标方验收后方可继续施工。</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w:t>
      </w:r>
      <w:r>
        <w:rPr>
          <w:rFonts w:hint="default" w:ascii="仿宋" w:hAnsi="仿宋" w:eastAsia="仿宋" w:cs="宋体"/>
          <w:color w:val="auto"/>
          <w:kern w:val="0"/>
          <w:sz w:val="30"/>
          <w:szCs w:val="30"/>
          <w:lang w:val="en-US" w:eastAsia="zh-CN"/>
        </w:rPr>
        <w:t>.</w:t>
      </w:r>
      <w:r>
        <w:rPr>
          <w:rFonts w:hint="eastAsia" w:ascii="仿宋" w:hAnsi="仿宋" w:eastAsia="仿宋" w:cs="宋体"/>
          <w:color w:val="auto"/>
          <w:kern w:val="0"/>
          <w:sz w:val="30"/>
          <w:szCs w:val="30"/>
          <w:lang w:val="en-US" w:eastAsia="zh-CN"/>
        </w:rPr>
        <w:t>1.</w:t>
      </w:r>
      <w:r>
        <w:rPr>
          <w:rFonts w:hint="default" w:ascii="仿宋" w:hAnsi="仿宋" w:eastAsia="仿宋" w:cs="宋体"/>
          <w:color w:val="auto"/>
          <w:kern w:val="0"/>
          <w:sz w:val="30"/>
          <w:szCs w:val="30"/>
          <w:lang w:val="en-US" w:eastAsia="zh-CN"/>
        </w:rPr>
        <w:t>5</w:t>
      </w:r>
      <w:r>
        <w:rPr>
          <w:rFonts w:hint="eastAsia" w:ascii="仿宋" w:hAnsi="仿宋" w:eastAsia="仿宋" w:cs="宋体"/>
          <w:color w:val="auto"/>
          <w:kern w:val="0"/>
          <w:sz w:val="30"/>
          <w:szCs w:val="30"/>
          <w:lang w:val="en-US" w:eastAsia="zh-CN"/>
        </w:rPr>
        <w:t xml:space="preserve"> </w:t>
      </w:r>
      <w:r>
        <w:rPr>
          <w:rFonts w:hint="default" w:ascii="仿宋" w:hAnsi="仿宋" w:eastAsia="仿宋" w:cs="宋体"/>
          <w:color w:val="auto"/>
          <w:kern w:val="0"/>
          <w:sz w:val="30"/>
          <w:szCs w:val="30"/>
          <w:lang w:val="en-US" w:eastAsia="zh-CN"/>
        </w:rPr>
        <w:t>密封工作面除锈打磨要求：无浮锈、无污渍、无油迹。打磨部位不小于施工部位10％左右。</w:t>
      </w:r>
    </w:p>
    <w:p>
      <w:pPr>
        <w:pageBreakBefore w:val="0"/>
        <w:widowControl w:val="0"/>
        <w:shd w:val="clear" w:color="auto" w:fill="FFFFFF"/>
        <w:kinsoku/>
        <w:wordWrap/>
        <w:overflowPunct/>
        <w:topLinePunct w:val="0"/>
        <w:bidi w:val="0"/>
        <w:adjustRightInd w:val="0"/>
        <w:snapToGrid w:val="0"/>
        <w:spacing w:line="560" w:lineRule="exact"/>
        <w:textAlignment w:val="auto"/>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w:t>
      </w:r>
      <w:r>
        <w:rPr>
          <w:rFonts w:hint="default" w:ascii="仿宋" w:hAnsi="仿宋" w:eastAsia="仿宋" w:cs="宋体"/>
          <w:color w:val="auto"/>
          <w:kern w:val="0"/>
          <w:sz w:val="30"/>
          <w:szCs w:val="30"/>
          <w:lang w:val="en-US" w:eastAsia="zh-CN"/>
        </w:rPr>
        <w:t>.</w:t>
      </w:r>
      <w:r>
        <w:rPr>
          <w:rFonts w:hint="eastAsia" w:ascii="仿宋" w:hAnsi="仿宋" w:eastAsia="仿宋" w:cs="宋体"/>
          <w:color w:val="auto"/>
          <w:kern w:val="0"/>
          <w:sz w:val="30"/>
          <w:szCs w:val="30"/>
          <w:lang w:val="en-US" w:eastAsia="zh-CN"/>
        </w:rPr>
        <w:t>1.</w:t>
      </w:r>
      <w:r>
        <w:rPr>
          <w:rFonts w:hint="default" w:ascii="仿宋" w:hAnsi="仿宋" w:eastAsia="仿宋" w:cs="宋体"/>
          <w:color w:val="auto"/>
          <w:kern w:val="0"/>
          <w:sz w:val="30"/>
          <w:szCs w:val="30"/>
          <w:lang w:val="en-US" w:eastAsia="zh-CN"/>
        </w:rPr>
        <w:t>6</w:t>
      </w:r>
      <w:r>
        <w:rPr>
          <w:rFonts w:hint="eastAsia" w:ascii="仿宋" w:hAnsi="仿宋" w:eastAsia="仿宋" w:cs="宋体"/>
          <w:color w:val="auto"/>
          <w:kern w:val="0"/>
          <w:sz w:val="30"/>
          <w:szCs w:val="30"/>
          <w:lang w:val="en-US" w:eastAsia="zh-CN"/>
        </w:rPr>
        <w:t xml:space="preserve"> </w:t>
      </w:r>
      <w:r>
        <w:rPr>
          <w:rFonts w:hint="default" w:ascii="仿宋" w:hAnsi="仿宋" w:eastAsia="仿宋" w:cs="宋体"/>
          <w:color w:val="auto"/>
          <w:kern w:val="0"/>
          <w:sz w:val="30"/>
          <w:szCs w:val="30"/>
          <w:lang w:val="en-US" w:eastAsia="zh-CN"/>
        </w:rPr>
        <w:t>密封钢钉焊接要求：间距为200-250mm交错排列布置，每平米不得少于12根。钢钉要求两面焊接牢固。</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w:t>
      </w:r>
      <w:r>
        <w:rPr>
          <w:rFonts w:hint="default" w:ascii="仿宋" w:hAnsi="仿宋" w:eastAsia="仿宋" w:cs="宋体"/>
          <w:color w:val="auto"/>
          <w:kern w:val="0"/>
          <w:sz w:val="30"/>
          <w:szCs w:val="30"/>
          <w:lang w:val="en-US" w:eastAsia="zh-CN"/>
        </w:rPr>
        <w:t>.</w:t>
      </w:r>
      <w:r>
        <w:rPr>
          <w:rFonts w:hint="eastAsia" w:ascii="仿宋" w:hAnsi="仿宋" w:eastAsia="仿宋" w:cs="宋体"/>
          <w:color w:val="auto"/>
          <w:kern w:val="0"/>
          <w:sz w:val="30"/>
          <w:szCs w:val="30"/>
          <w:lang w:val="en-US" w:eastAsia="zh-CN"/>
        </w:rPr>
        <w:t>1.</w:t>
      </w:r>
      <w:r>
        <w:rPr>
          <w:rFonts w:hint="default" w:ascii="仿宋" w:hAnsi="仿宋" w:eastAsia="仿宋" w:cs="宋体"/>
          <w:color w:val="auto"/>
          <w:kern w:val="0"/>
          <w:sz w:val="30"/>
          <w:szCs w:val="30"/>
          <w:lang w:val="en-US" w:eastAsia="zh-CN"/>
        </w:rPr>
        <w:t>7</w:t>
      </w:r>
      <w:r>
        <w:rPr>
          <w:rFonts w:hint="eastAsia" w:ascii="仿宋" w:hAnsi="仿宋" w:eastAsia="仿宋" w:cs="宋体"/>
          <w:color w:val="auto"/>
          <w:kern w:val="0"/>
          <w:sz w:val="30"/>
          <w:szCs w:val="30"/>
          <w:lang w:val="en-US" w:eastAsia="zh-CN"/>
        </w:rPr>
        <w:t xml:space="preserve"> </w:t>
      </w:r>
      <w:r>
        <w:rPr>
          <w:rFonts w:hint="default" w:ascii="仿宋" w:hAnsi="仿宋" w:eastAsia="仿宋" w:cs="宋体"/>
          <w:color w:val="auto"/>
          <w:kern w:val="0"/>
          <w:sz w:val="30"/>
          <w:szCs w:val="30"/>
          <w:lang w:val="en-US" w:eastAsia="zh-CN"/>
        </w:rPr>
        <w:t>每层陶瓷纤维之间及陶瓷纤维与金属工作面之间必须涂抹纤维粘合剂；每层陶瓷纤维之间要求错缝，错缝距离不小于100mm；陶瓷纤维接缝处也需涂抹纤维粘合剂</w:t>
      </w:r>
      <w:r>
        <w:rPr>
          <w:rFonts w:hint="eastAsia" w:ascii="仿宋" w:hAnsi="仿宋" w:eastAsia="仿宋" w:cs="宋体"/>
          <w:color w:val="auto"/>
          <w:kern w:val="0"/>
          <w:sz w:val="30"/>
          <w:szCs w:val="30"/>
          <w:lang w:val="en-US" w:eastAsia="zh-CN"/>
        </w:rPr>
        <w:t>。</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8.2 质保范围</w:t>
      </w:r>
    </w:p>
    <w:p>
      <w:pPr>
        <w:pageBreakBefore w:val="0"/>
        <w:widowControl w:val="0"/>
        <w:shd w:val="clear" w:color="auto" w:fill="FFFFFF"/>
        <w:kinsoku/>
        <w:wordWrap/>
        <w:overflowPunct/>
        <w:topLinePunct w:val="0"/>
        <w:bidi w:val="0"/>
        <w:adjustRightInd w:val="0"/>
        <w:snapToGrid w:val="0"/>
        <w:spacing w:line="560" w:lineRule="exact"/>
        <w:ind w:firstLine="600" w:firstLineChars="200"/>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投标方应保证所提供的检修服务和设备、材料满足电厂安全、可靠运行的要求，并对检修服务质量和提供的设备、材料等质量全面负责。</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8.3 质保期限</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8.3.1 投标方交付的全部工程质保期为2号机组并网之时起1年。</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8.3.2 因投标方责任，维修或更换的部分的质保期自维修或更换完成并经双方验收合格之日起重新计算。</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8.3.3 质保期内，如因投标方工程质量问题导致设备（或机组）停机，相应设备（或整个机组）质保期均相应顺延。</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b/>
          <w:color w:val="auto"/>
          <w:kern w:val="0"/>
          <w:sz w:val="30"/>
          <w:szCs w:val="30"/>
          <w:lang w:val="en-US" w:eastAsia="zh-CN"/>
        </w:rPr>
      </w:pPr>
      <w:r>
        <w:rPr>
          <w:rFonts w:hint="eastAsia" w:ascii="仿宋" w:hAnsi="仿宋" w:eastAsia="仿宋" w:cs="宋体"/>
          <w:b/>
          <w:color w:val="auto"/>
          <w:kern w:val="0"/>
          <w:sz w:val="30"/>
          <w:szCs w:val="30"/>
          <w:lang w:val="en-US" w:eastAsia="zh-CN"/>
        </w:rPr>
        <w:t>8.4 质保期内问题处理及费用</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8.4.1 质保期内且投标方工程质量问题导致的设备问题，投标方应免费修复；如因检修质量问题（经双方共同确认）造成招标方或第三方损失，投标方应按实赔偿。</w:t>
      </w:r>
    </w:p>
    <w:p>
      <w:pPr>
        <w:pageBreakBefore w:val="0"/>
        <w:widowControl w:val="0"/>
        <w:shd w:val="clear" w:color="auto" w:fill="FFFFFF"/>
        <w:kinsoku/>
        <w:wordWrap/>
        <w:overflowPunct/>
        <w:topLinePunct w:val="0"/>
        <w:bidi w:val="0"/>
        <w:adjustRightInd w:val="0"/>
        <w:snapToGrid w:val="0"/>
        <w:spacing w:line="560" w:lineRule="exact"/>
        <w:textAlignment w:val="auto"/>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8.4.2 投标方逾期未派员、未修复合格、二次维修后仍出现问题，招标方可自行或另行委托他人维修、处理、更换,因此所发生的费用由投标方承担，由此造成的其他损失由投标方按实赔偿。</w:t>
      </w:r>
    </w:p>
    <w:p>
      <w:pPr>
        <w:pStyle w:val="2"/>
        <w:pageBreakBefore w:val="0"/>
        <w:widowControl w:val="0"/>
        <w:kinsoku/>
        <w:wordWrap/>
        <w:overflowPunct/>
        <w:topLinePunct w:val="0"/>
        <w:bidi w:val="0"/>
        <w:textAlignment w:val="auto"/>
        <w:rPr>
          <w:rFonts w:hint="eastAsia" w:ascii="宋体" w:hAnsi="宋体" w:eastAsia="宋体"/>
          <w:b/>
          <w:bCs/>
          <w:color w:val="auto"/>
          <w:sz w:val="24"/>
          <w:szCs w:val="24"/>
          <w:highlight w:val="none"/>
        </w:rPr>
      </w:pPr>
      <w:bookmarkStart w:id="2" w:name="_Toc76671521"/>
    </w:p>
    <w:bookmarkEnd w:id="2"/>
    <w:p>
      <w:pPr>
        <w:pStyle w:val="2"/>
        <w:pageBreakBefore w:val="0"/>
        <w:widowControl w:val="0"/>
        <w:numPr>
          <w:ilvl w:val="-1"/>
          <w:numId w:val="0"/>
        </w:numPr>
        <w:kinsoku/>
        <w:wordWrap/>
        <w:overflowPunct/>
        <w:topLinePunct w:val="0"/>
        <w:bidi w:val="0"/>
        <w:ind w:firstLine="0" w:firstLineChars="0"/>
        <w:textAlignment w:val="auto"/>
        <w:rPr>
          <w:rFonts w:hint="eastAsia"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附件1 大罩内集箱保温示意图</w:t>
      </w:r>
    </w:p>
    <w:p>
      <w:pPr>
        <w:pStyle w:val="2"/>
        <w:pageBreakBefore w:val="0"/>
        <w:widowControl w:val="0"/>
        <w:numPr>
          <w:ilvl w:val="-1"/>
          <w:numId w:val="0"/>
        </w:numPr>
        <w:kinsoku/>
        <w:wordWrap/>
        <w:overflowPunct/>
        <w:topLinePunct w:val="0"/>
        <w:bidi w:val="0"/>
        <w:ind w:firstLine="0" w:firstLineChars="0"/>
        <w:jc w:val="center"/>
        <w:textAlignment w:val="auto"/>
        <w:rPr>
          <w:rFonts w:hint="default" w:ascii="宋体" w:hAnsi="宋体" w:eastAsia="宋体"/>
          <w:b/>
          <w:bCs/>
          <w:color w:val="auto"/>
          <w:sz w:val="24"/>
          <w:szCs w:val="24"/>
          <w:highlight w:val="none"/>
          <w:lang w:val="en-US" w:eastAsia="zh-CN"/>
        </w:rPr>
      </w:pPr>
      <w:r>
        <w:rPr>
          <w:color w:val="auto"/>
          <w:highlight w:val="none"/>
        </w:rPr>
        <w:drawing>
          <wp:inline distT="0" distB="0" distL="114300" distR="114300">
            <wp:extent cx="5269865" cy="1237615"/>
            <wp:effectExtent l="0" t="0" r="698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9865" cy="1237615"/>
                    </a:xfrm>
                    <a:prstGeom prst="rect">
                      <a:avLst/>
                    </a:prstGeom>
                    <a:noFill/>
                    <a:ln>
                      <a:noFill/>
                    </a:ln>
                  </pic:spPr>
                </pic:pic>
              </a:graphicData>
            </a:graphic>
          </wp:inline>
        </w:drawing>
      </w:r>
    </w:p>
    <w:p>
      <w:pPr>
        <w:pStyle w:val="2"/>
        <w:pageBreakBefore w:val="0"/>
        <w:widowControl w:val="0"/>
        <w:kinsoku/>
        <w:wordWrap/>
        <w:overflowPunct/>
        <w:topLinePunct w:val="0"/>
        <w:bidi w:val="0"/>
        <w:ind w:left="0" w:leftChars="0" w:firstLine="0" w:firstLineChars="0"/>
        <w:jc w:val="center"/>
        <w:textAlignment w:val="auto"/>
        <w:rPr>
          <w:rFonts w:hint="eastAsia" w:eastAsiaTheme="minorEastAsia"/>
          <w:color w:val="auto"/>
          <w:highlight w:val="none"/>
          <w:lang w:eastAsia="zh-CN"/>
        </w:rPr>
      </w:pPr>
      <w:r>
        <w:rPr>
          <w:rFonts w:hint="eastAsia" w:eastAsiaTheme="minorEastAsia"/>
          <w:color w:val="auto"/>
          <w:highlight w:val="none"/>
          <w:lang w:eastAsia="zh-CN"/>
        </w:rPr>
        <w:drawing>
          <wp:inline distT="0" distB="0" distL="114300" distR="114300">
            <wp:extent cx="3309620" cy="5335270"/>
            <wp:effectExtent l="0" t="0" r="17780" b="0"/>
            <wp:docPr id="2" name="图片 2" descr="前屏、高再集箱保温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前屏、高再集箱保温示意图"/>
                    <pic:cNvPicPr>
                      <a:picLocks noChangeAspect="1"/>
                    </pic:cNvPicPr>
                  </pic:nvPicPr>
                  <pic:blipFill>
                    <a:blip r:embed="rId6"/>
                    <a:srcRect l="-2810" r="7157" b="7789"/>
                    <a:stretch>
                      <a:fillRect/>
                    </a:stretch>
                  </pic:blipFill>
                  <pic:spPr>
                    <a:xfrm rot="16200000">
                      <a:off x="0" y="0"/>
                      <a:ext cx="3309620" cy="5335270"/>
                    </a:xfrm>
                    <a:prstGeom prst="rect">
                      <a:avLst/>
                    </a:prstGeom>
                  </pic:spPr>
                </pic:pic>
              </a:graphicData>
            </a:graphic>
          </wp:inline>
        </w:drawing>
      </w:r>
    </w:p>
    <w:p>
      <w:pPr>
        <w:pStyle w:val="2"/>
        <w:pageBreakBefore w:val="0"/>
        <w:widowControl w:val="0"/>
        <w:kinsoku/>
        <w:wordWrap/>
        <w:overflowPunct/>
        <w:topLinePunct w:val="0"/>
        <w:bidi w:val="0"/>
        <w:ind w:left="0" w:leftChars="0" w:firstLine="0" w:firstLineChars="0"/>
        <w:jc w:val="center"/>
        <w:textAlignment w:val="auto"/>
        <w:rPr>
          <w:rFonts w:hint="eastAsia" w:eastAsiaTheme="minorEastAsia"/>
          <w:color w:val="auto"/>
          <w:highlight w:val="none"/>
          <w:lang w:eastAsia="zh-CN"/>
        </w:rPr>
      </w:pPr>
      <w:r>
        <w:rPr>
          <w:rFonts w:hint="eastAsia" w:eastAsiaTheme="minorEastAsia"/>
          <w:color w:val="auto"/>
          <w:highlight w:val="none"/>
          <w:lang w:eastAsia="zh-CN"/>
        </w:rPr>
        <w:drawing>
          <wp:inline distT="0" distB="0" distL="114300" distR="114300">
            <wp:extent cx="3032760" cy="4873625"/>
            <wp:effectExtent l="0" t="0" r="3175" b="15240"/>
            <wp:docPr id="3" name="图片 3" descr="后屏、末过集箱保温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后屏、末过集箱保温示意图"/>
                    <pic:cNvPicPr>
                      <a:picLocks noChangeAspect="1"/>
                    </pic:cNvPicPr>
                  </pic:nvPicPr>
                  <pic:blipFill>
                    <a:blip r:embed="rId7"/>
                    <a:srcRect l="9936" t="13045" r="4565" b="9696"/>
                    <a:stretch>
                      <a:fillRect/>
                    </a:stretch>
                  </pic:blipFill>
                  <pic:spPr>
                    <a:xfrm rot="5400000">
                      <a:off x="0" y="0"/>
                      <a:ext cx="3032760" cy="4873625"/>
                    </a:xfrm>
                    <a:prstGeom prst="rect">
                      <a:avLst/>
                    </a:prstGeom>
                  </pic:spPr>
                </pic:pic>
              </a:graphicData>
            </a:graphic>
          </wp:inline>
        </w:drawing>
      </w:r>
    </w:p>
    <w:p>
      <w:pPr>
        <w:pStyle w:val="2"/>
        <w:pageBreakBefore w:val="0"/>
        <w:widowControl w:val="0"/>
        <w:numPr>
          <w:ilvl w:val="-1"/>
          <w:numId w:val="0"/>
        </w:numPr>
        <w:kinsoku/>
        <w:wordWrap/>
        <w:overflowPunct/>
        <w:topLinePunct w:val="0"/>
        <w:bidi w:val="0"/>
        <w:ind w:firstLine="0" w:firstLineChars="0"/>
        <w:textAlignment w:val="auto"/>
        <w:rPr>
          <w:rFonts w:hint="eastAsia" w:ascii="宋体" w:hAnsi="宋体" w:eastAsia="宋体"/>
          <w:b/>
          <w:bCs/>
          <w:color w:val="auto"/>
          <w:sz w:val="24"/>
          <w:szCs w:val="24"/>
          <w:highlight w:val="none"/>
          <w:lang w:val="en-US" w:eastAsia="zh-CN"/>
        </w:rPr>
      </w:pPr>
    </w:p>
    <w:p>
      <w:pPr>
        <w:pStyle w:val="2"/>
        <w:pageBreakBefore w:val="0"/>
        <w:widowControl w:val="0"/>
        <w:numPr>
          <w:ilvl w:val="-1"/>
          <w:numId w:val="0"/>
        </w:numPr>
        <w:kinsoku/>
        <w:wordWrap/>
        <w:overflowPunct/>
        <w:topLinePunct w:val="0"/>
        <w:bidi w:val="0"/>
        <w:ind w:firstLine="0" w:firstLineChars="0"/>
        <w:textAlignment w:val="auto"/>
        <w:rPr>
          <w:rFonts w:hint="eastAsia" w:ascii="宋体" w:hAnsi="宋体" w:eastAsia="宋体"/>
          <w:b/>
          <w:bCs/>
          <w:color w:val="auto"/>
          <w:sz w:val="24"/>
          <w:szCs w:val="24"/>
          <w:highlight w:val="none"/>
          <w:lang w:val="en-US" w:eastAsia="zh-CN"/>
        </w:rPr>
      </w:pPr>
    </w:p>
    <w:p>
      <w:pPr>
        <w:pStyle w:val="2"/>
        <w:pageBreakBefore w:val="0"/>
        <w:widowControl w:val="0"/>
        <w:numPr>
          <w:ilvl w:val="-1"/>
          <w:numId w:val="0"/>
        </w:numPr>
        <w:kinsoku/>
        <w:wordWrap/>
        <w:overflowPunct/>
        <w:topLinePunct w:val="0"/>
        <w:bidi w:val="0"/>
        <w:ind w:firstLine="0" w:firstLineChars="0"/>
        <w:textAlignment w:val="auto"/>
        <w:rPr>
          <w:rFonts w:hint="eastAsia" w:ascii="宋体" w:hAnsi="宋体" w:eastAsia="宋体"/>
          <w:b/>
          <w:bCs/>
          <w:color w:val="auto"/>
          <w:sz w:val="24"/>
          <w:szCs w:val="24"/>
          <w:highlight w:val="none"/>
          <w:lang w:val="en-US" w:eastAsia="zh-CN"/>
        </w:rPr>
      </w:pPr>
    </w:p>
    <w:p>
      <w:pPr>
        <w:pStyle w:val="2"/>
        <w:pageBreakBefore w:val="0"/>
        <w:widowControl w:val="0"/>
        <w:numPr>
          <w:ilvl w:val="-1"/>
          <w:numId w:val="0"/>
        </w:numPr>
        <w:kinsoku/>
        <w:wordWrap/>
        <w:overflowPunct/>
        <w:topLinePunct w:val="0"/>
        <w:bidi w:val="0"/>
        <w:ind w:firstLine="0" w:firstLineChars="0"/>
        <w:textAlignment w:val="auto"/>
        <w:rPr>
          <w:rFonts w:hint="eastAsia"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附件2 后屏、末过管组密封示意图</w:t>
      </w:r>
    </w:p>
    <w:p>
      <w:pPr>
        <w:pStyle w:val="2"/>
        <w:pageBreakBefore w:val="0"/>
        <w:widowControl w:val="0"/>
        <w:kinsoku/>
        <w:wordWrap/>
        <w:overflowPunct/>
        <w:topLinePunct w:val="0"/>
        <w:bidi w:val="0"/>
        <w:ind w:left="0" w:leftChars="0" w:firstLine="0" w:firstLineChars="0"/>
        <w:jc w:val="center"/>
        <w:textAlignment w:val="auto"/>
        <w:rPr>
          <w:rFonts w:hint="eastAsia" w:eastAsiaTheme="minorEastAsia"/>
          <w:color w:val="auto"/>
          <w:highlight w:val="none"/>
          <w:lang w:eastAsia="zh-CN"/>
        </w:rPr>
      </w:pPr>
      <w:r>
        <w:rPr>
          <w:rFonts w:hint="eastAsia" w:eastAsiaTheme="minorEastAsia"/>
          <w:color w:val="auto"/>
          <w:highlight w:val="none"/>
          <w:lang w:eastAsia="zh-CN"/>
        </w:rPr>
        <w:drawing>
          <wp:inline distT="0" distB="0" distL="114300" distR="114300">
            <wp:extent cx="5266690" cy="2781300"/>
            <wp:effectExtent l="0" t="0" r="10160" b="0"/>
            <wp:docPr id="5" name="图片 5"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捕获"/>
                    <pic:cNvPicPr>
                      <a:picLocks noChangeAspect="1"/>
                    </pic:cNvPicPr>
                  </pic:nvPicPr>
                  <pic:blipFill>
                    <a:blip r:embed="rId8"/>
                    <a:stretch>
                      <a:fillRect/>
                    </a:stretch>
                  </pic:blipFill>
                  <pic:spPr>
                    <a:xfrm>
                      <a:off x="0" y="0"/>
                      <a:ext cx="5266690" cy="2781300"/>
                    </a:xfrm>
                    <a:prstGeom prst="rect">
                      <a:avLst/>
                    </a:prstGeom>
                  </pic:spPr>
                </pic:pic>
              </a:graphicData>
            </a:graphic>
          </wp:inline>
        </w:drawing>
      </w:r>
    </w:p>
    <w:p>
      <w:pPr>
        <w:pStyle w:val="2"/>
        <w:pageBreakBefore w:val="0"/>
        <w:widowControl w:val="0"/>
        <w:kinsoku/>
        <w:wordWrap/>
        <w:overflowPunct/>
        <w:topLinePunct w:val="0"/>
        <w:bidi w:val="0"/>
        <w:ind w:left="0" w:leftChars="0" w:firstLine="0" w:firstLineChars="0"/>
        <w:jc w:val="center"/>
        <w:textAlignment w:val="auto"/>
        <w:rPr>
          <w:rFonts w:hint="eastAsia" w:eastAsiaTheme="minorEastAsia"/>
          <w:color w:val="auto"/>
          <w:highlight w:val="none"/>
          <w:lang w:eastAsia="zh-CN"/>
        </w:rPr>
      </w:pPr>
      <w:r>
        <w:rPr>
          <w:rFonts w:hint="eastAsia" w:eastAsiaTheme="minorEastAsia"/>
          <w:color w:val="auto"/>
          <w:highlight w:val="none"/>
          <w:lang w:eastAsia="zh-CN"/>
        </w:rPr>
        <w:drawing>
          <wp:inline distT="0" distB="0" distL="114300" distR="114300">
            <wp:extent cx="5029835" cy="4296410"/>
            <wp:effectExtent l="0" t="0" r="18415" b="8890"/>
            <wp:docPr id="6" name="图片 6"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捕获"/>
                    <pic:cNvPicPr>
                      <a:picLocks noChangeAspect="1"/>
                    </pic:cNvPicPr>
                  </pic:nvPicPr>
                  <pic:blipFill>
                    <a:blip r:embed="rId9"/>
                    <a:stretch>
                      <a:fillRect/>
                    </a:stretch>
                  </pic:blipFill>
                  <pic:spPr>
                    <a:xfrm>
                      <a:off x="0" y="0"/>
                      <a:ext cx="5029835" cy="4296410"/>
                    </a:xfrm>
                    <a:prstGeom prst="rect">
                      <a:avLst/>
                    </a:prstGeom>
                  </pic:spPr>
                </pic:pic>
              </a:graphicData>
            </a:graphic>
          </wp:inline>
        </w:drawing>
      </w:r>
    </w:p>
    <w:p>
      <w:pPr>
        <w:pStyle w:val="2"/>
        <w:pageBreakBefore w:val="0"/>
        <w:widowControl w:val="0"/>
        <w:kinsoku/>
        <w:wordWrap/>
        <w:overflowPunct/>
        <w:topLinePunct w:val="0"/>
        <w:bidi w:val="0"/>
        <w:ind w:left="0" w:leftChars="0" w:firstLine="0" w:firstLineChars="0"/>
        <w:jc w:val="center"/>
        <w:textAlignment w:val="auto"/>
        <w:rPr>
          <w:rFonts w:hint="eastAsia" w:eastAsiaTheme="minorEastAsia"/>
          <w:color w:val="auto"/>
          <w:highlight w:val="none"/>
          <w:lang w:eastAsia="zh-CN"/>
        </w:rPr>
      </w:pPr>
      <w:r>
        <w:rPr>
          <w:rFonts w:hint="eastAsia" w:eastAsiaTheme="minorEastAsia"/>
          <w:color w:val="auto"/>
          <w:highlight w:val="none"/>
          <w:lang w:eastAsia="zh-CN"/>
        </w:rPr>
        <w:drawing>
          <wp:inline distT="0" distB="0" distL="114300" distR="114300">
            <wp:extent cx="4363085" cy="4462145"/>
            <wp:effectExtent l="0" t="0" r="18415" b="14605"/>
            <wp:docPr id="7" name="图片 7"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捕获"/>
                    <pic:cNvPicPr>
                      <a:picLocks noChangeAspect="1"/>
                    </pic:cNvPicPr>
                  </pic:nvPicPr>
                  <pic:blipFill>
                    <a:blip r:embed="rId10"/>
                    <a:stretch>
                      <a:fillRect/>
                    </a:stretch>
                  </pic:blipFill>
                  <pic:spPr>
                    <a:xfrm>
                      <a:off x="0" y="0"/>
                      <a:ext cx="4363085" cy="4462145"/>
                    </a:xfrm>
                    <a:prstGeom prst="rect">
                      <a:avLst/>
                    </a:prstGeom>
                  </pic:spPr>
                </pic:pic>
              </a:graphicData>
            </a:graphic>
          </wp:inline>
        </w:drawing>
      </w:r>
    </w:p>
    <w:p>
      <w:pPr>
        <w:pStyle w:val="2"/>
        <w:pageBreakBefore w:val="0"/>
        <w:widowControl w:val="0"/>
        <w:kinsoku/>
        <w:wordWrap/>
        <w:overflowPunct/>
        <w:topLinePunct w:val="0"/>
        <w:bidi w:val="0"/>
        <w:ind w:left="0" w:leftChars="0" w:firstLine="0" w:firstLineChars="0"/>
        <w:jc w:val="center"/>
        <w:textAlignment w:val="auto"/>
        <w:rPr>
          <w:rFonts w:hint="eastAsia" w:eastAsiaTheme="minorEastAsia"/>
          <w:color w:val="auto"/>
          <w:highlight w:val="none"/>
          <w:lang w:eastAsia="zh-CN"/>
        </w:rPr>
        <w:sectPr>
          <w:pgSz w:w="11906" w:h="16838"/>
          <w:pgMar w:top="1440" w:right="1800" w:bottom="1440" w:left="1800" w:header="851" w:footer="992" w:gutter="0"/>
          <w:cols w:space="425" w:num="1"/>
          <w:docGrid w:type="lines" w:linePitch="312" w:charSpace="0"/>
        </w:sectPr>
      </w:pPr>
      <w:r>
        <w:rPr>
          <w:rFonts w:hint="eastAsia" w:eastAsiaTheme="minorEastAsia"/>
          <w:color w:val="auto"/>
          <w:highlight w:val="none"/>
          <w:lang w:eastAsia="zh-CN"/>
        </w:rPr>
        <w:drawing>
          <wp:inline distT="0" distB="0" distL="114300" distR="114300">
            <wp:extent cx="4427220" cy="3860165"/>
            <wp:effectExtent l="0" t="0" r="11430" b="6985"/>
            <wp:docPr id="8" name="图片 8"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捕获"/>
                    <pic:cNvPicPr>
                      <a:picLocks noChangeAspect="1"/>
                    </pic:cNvPicPr>
                  </pic:nvPicPr>
                  <pic:blipFill>
                    <a:blip r:embed="rId11"/>
                    <a:stretch>
                      <a:fillRect/>
                    </a:stretch>
                  </pic:blipFill>
                  <pic:spPr>
                    <a:xfrm>
                      <a:off x="0" y="0"/>
                      <a:ext cx="4427220" cy="3860165"/>
                    </a:xfrm>
                    <a:prstGeom prst="rect">
                      <a:avLst/>
                    </a:prstGeom>
                  </pic:spPr>
                </pic:pic>
              </a:graphicData>
            </a:graphic>
          </wp:inline>
        </w:drawing>
      </w:r>
    </w:p>
    <w:p>
      <w:pPr>
        <w:pStyle w:val="2"/>
        <w:pageBreakBefore w:val="0"/>
        <w:widowControl w:val="0"/>
        <w:numPr>
          <w:ilvl w:val="-1"/>
          <w:numId w:val="0"/>
        </w:numPr>
        <w:kinsoku/>
        <w:wordWrap/>
        <w:overflowPunct/>
        <w:topLinePunct w:val="0"/>
        <w:bidi w:val="0"/>
        <w:ind w:firstLine="0" w:firstLineChars="0"/>
        <w:textAlignment w:val="auto"/>
        <w:rPr>
          <w:rFonts w:hint="default" w:eastAsia="宋体"/>
          <w:color w:val="auto"/>
          <w:highlight w:val="none"/>
          <w:lang w:val="en-US" w:eastAsia="zh-CN"/>
        </w:rPr>
      </w:pPr>
      <w:r>
        <w:rPr>
          <w:rFonts w:hint="eastAsia" w:ascii="宋体" w:hAnsi="宋体" w:eastAsia="宋体"/>
          <w:b/>
          <w:bCs/>
          <w:color w:val="auto"/>
          <w:sz w:val="24"/>
          <w:szCs w:val="24"/>
          <w:highlight w:val="none"/>
          <w:lang w:val="en-US" w:eastAsia="zh-CN"/>
        </w:rPr>
        <w:t>附件3</w:t>
      </w:r>
      <w:bookmarkStart w:id="3" w:name="_GoBack"/>
      <w:bookmarkEnd w:id="3"/>
      <w:r>
        <w:rPr>
          <w:rFonts w:hint="eastAsia" w:ascii="宋体" w:hAnsi="宋体" w:eastAsia="宋体"/>
          <w:b/>
          <w:bCs/>
          <w:color w:val="auto"/>
          <w:sz w:val="24"/>
          <w:szCs w:val="24"/>
          <w:highlight w:val="none"/>
          <w:lang w:val="en-US" w:eastAsia="zh-CN"/>
        </w:rPr>
        <w:t xml:space="preserve"> 二次密封细节示意图</w:t>
      </w:r>
    </w:p>
    <w:p>
      <w:pPr>
        <w:pStyle w:val="2"/>
        <w:pageBreakBefore w:val="0"/>
        <w:widowControl w:val="0"/>
        <w:numPr>
          <w:ilvl w:val="0"/>
          <w:numId w:val="0"/>
        </w:numPr>
        <w:kinsoku/>
        <w:wordWrap/>
        <w:overflowPunct/>
        <w:topLinePunct w:val="0"/>
        <w:bidi w:val="0"/>
        <w:ind w:firstLine="0" w:firstLineChars="0"/>
        <w:jc w:val="center"/>
        <w:textAlignment w:val="auto"/>
        <w:rPr>
          <w:rFonts w:hint="default" w:eastAsiaTheme="minorEastAsia"/>
          <w:color w:val="auto"/>
          <w:highlight w:val="none"/>
          <w:lang w:val="en-US" w:eastAsia="zh-CN"/>
        </w:rPr>
      </w:pPr>
      <w:r>
        <w:rPr>
          <w:rFonts w:hint="default" w:eastAsiaTheme="minorEastAsia"/>
          <w:color w:val="auto"/>
          <w:highlight w:val="none"/>
          <w:lang w:val="en-US" w:eastAsia="zh-CN"/>
        </w:rPr>
        <w:drawing>
          <wp:inline distT="0" distB="0" distL="114300" distR="114300">
            <wp:extent cx="5269865" cy="5717540"/>
            <wp:effectExtent l="0" t="0" r="6985" b="16510"/>
            <wp:docPr id="9" name="图片 9" descr="捕获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捕获1"/>
                    <pic:cNvPicPr>
                      <a:picLocks noChangeAspect="1"/>
                    </pic:cNvPicPr>
                  </pic:nvPicPr>
                  <pic:blipFill>
                    <a:blip r:embed="rId12"/>
                    <a:stretch>
                      <a:fillRect/>
                    </a:stretch>
                  </pic:blipFill>
                  <pic:spPr>
                    <a:xfrm>
                      <a:off x="0" y="0"/>
                      <a:ext cx="5269865" cy="5717540"/>
                    </a:xfrm>
                    <a:prstGeom prst="rect">
                      <a:avLst/>
                    </a:prstGeom>
                  </pic:spPr>
                </pic:pic>
              </a:graphicData>
            </a:graphic>
          </wp:inline>
        </w:drawing>
      </w:r>
    </w:p>
    <w:p>
      <w:pPr>
        <w:pStyle w:val="2"/>
        <w:pageBreakBefore w:val="0"/>
        <w:widowControl w:val="0"/>
        <w:kinsoku/>
        <w:wordWrap/>
        <w:overflowPunct/>
        <w:topLinePunct w:val="0"/>
        <w:bidi w:val="0"/>
        <w:textAlignment w:val="auto"/>
        <w:rPr>
          <w:rFonts w:hint="default" w:ascii="楷体" w:hAnsi="楷体" w:eastAsia="楷体" w:cs="宋体"/>
          <w:b/>
          <w:color w:val="auto"/>
          <w:kern w:val="0"/>
          <w:sz w:val="30"/>
          <w:szCs w:val="30"/>
          <w:lang w:val="en-US" w:eastAsia="zh-CN"/>
        </w:rPr>
      </w:pPr>
    </w:p>
    <w:p>
      <w:pPr>
        <w:pStyle w:val="2"/>
        <w:pageBreakBefore w:val="0"/>
        <w:widowControl w:val="0"/>
        <w:kinsoku/>
        <w:wordWrap/>
        <w:overflowPunct/>
        <w:topLinePunct w:val="0"/>
        <w:bidi w:val="0"/>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ºÚÌå">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92C2D"/>
    <w:multiLevelType w:val="multilevel"/>
    <w:tmpl w:val="5F492C2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7D3FBC"/>
    <w:multiLevelType w:val="multilevel"/>
    <w:tmpl w:val="657D3FBC"/>
    <w:lvl w:ilvl="0" w:tentative="0">
      <w:start w:val="1"/>
      <w:numFmt w:val="upperLetter"/>
      <w:pStyle w:val="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243AD"/>
    <w:rsid w:val="2228783F"/>
    <w:rsid w:val="27C233AE"/>
    <w:rsid w:val="2CF22C1E"/>
    <w:rsid w:val="4A50385C"/>
    <w:rsid w:val="57182143"/>
    <w:rsid w:val="61FC0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line="240" w:lineRule="auto"/>
      <w:ind w:firstLine="480"/>
    </w:pPr>
  </w:style>
  <w:style w:type="paragraph" w:styleId="5">
    <w:name w:val="toc 1"/>
    <w:basedOn w:val="1"/>
    <w:next w:val="1"/>
    <w:qFormat/>
    <w:uiPriority w:val="0"/>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9">
    <w:name w:val="附录标识"/>
    <w:basedOn w:val="1"/>
    <w:next w:val="1"/>
    <w:qFormat/>
    <w:uiPriority w:val="0"/>
    <w:pPr>
      <w:keepNext/>
      <w:widowControl/>
      <w:numPr>
        <w:ilvl w:val="0"/>
        <w:numId w:val="1"/>
      </w:numPr>
      <w:shd w:val="clear" w:color="FFFFFF" w:fill="FFFFFF"/>
      <w:tabs>
        <w:tab w:val="left" w:pos="6405"/>
      </w:tabs>
      <w:spacing w:before="640" w:after="280"/>
      <w:jc w:val="center"/>
      <w:outlineLvl w:val="0"/>
    </w:pPr>
    <w:rPr>
      <w:rFonts w:ascii="黑体" w:hAnsi="Times New Roman" w:eastAsia="黑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2025-12-11T09:03:14Z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